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BC" w:rsidRDefault="008B2C34">
      <w:pPr>
        <w:pStyle w:val="Text"/>
        <w:widowControl w:val="0"/>
        <w:spacing w:line="480" w:lineRule="auto"/>
        <w:jc w:val="both"/>
      </w:pPr>
      <w:r w:rsidRPr="008B2C34">
        <w:rPr>
          <w:i/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95250</wp:posOffset>
            </wp:positionV>
            <wp:extent cx="2955925" cy="654685"/>
            <wp:effectExtent l="19050" t="0" r="0" b="0"/>
            <wp:wrapSquare wrapText="bothSides"/>
            <wp:docPr id="5" name="Picture 2" descr="P:\PublicationComponents\logos\NCVER LOGOS\JPEG\ncver right tab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ublicationComponents\logos\NCVER LOGOS\JPEG\ncver right tab_m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CD1" w:rsidRPr="00765CD1">
        <w:rPr>
          <w:noProof/>
          <w:sz w:val="40"/>
        </w:rPr>
        <w:pict>
          <v:line id="_x0000_s1031" style="position:absolute;left:0;text-align:left;z-index:-251636224;mso-position-horizontal-relative:text;mso-position-vertical-relative:text" from="446.15pt,9.05pt" to="446.15pt,693.05pt" o:regroupid="1"/>
        </w:pict>
      </w:r>
      <w:r w:rsidR="00765CD1" w:rsidRPr="00765CD1">
        <w:rPr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35pt;margin-top:21.6pt;width:100.8pt;height:622.4pt;z-index:251659776;mso-position-horizontal-relative:text;mso-position-vertical-relative:text" o:allowincell="f" stroked="f">
            <v:textbox style="layout-flow:vertical;mso-layout-flow-alt:bottom-to-top;mso-next-textbox:#_x0000_s1034">
              <w:txbxContent>
                <w:p w:rsidR="002D3FFB" w:rsidRDefault="002D3FFB" w:rsidP="00853B81">
                  <w:pPr>
                    <w:jc w:val="center"/>
                    <w:rPr>
                      <w:rFonts w:ascii="Garamond" w:hAnsi="Garamond"/>
                      <w:color w:val="C0C0C0"/>
                      <w:sz w:val="116"/>
                      <w:lang w:val="en-US"/>
                    </w:rPr>
                  </w:pPr>
                  <w:proofErr w:type="gramStart"/>
                  <w:r>
                    <w:rPr>
                      <w:rFonts w:ascii="Garamond" w:hAnsi="Garamond"/>
                      <w:color w:val="C0C0C0"/>
                      <w:sz w:val="116"/>
                      <w:lang w:val="en-US"/>
                    </w:rPr>
                    <w:t>TECHNICAL  PAPER</w:t>
                  </w:r>
                  <w:proofErr w:type="gramEnd"/>
                </w:p>
              </w:txbxContent>
            </v:textbox>
          </v:shape>
        </w:pict>
      </w:r>
      <w:r w:rsidR="007106BC">
        <w:rPr>
          <w:i/>
        </w:rPr>
        <w:br/>
      </w:r>
      <w:r w:rsidR="007106BC">
        <w:rPr>
          <w:i/>
        </w:rPr>
        <w:br/>
      </w:r>
    </w:p>
    <w:p w:rsidR="00454C38" w:rsidRDefault="00454C38" w:rsidP="00454C38">
      <w:pPr>
        <w:pStyle w:val="Heading9"/>
        <w:ind w:left="2977" w:firstLine="0"/>
        <w:rPr>
          <w:sz w:val="40"/>
        </w:rPr>
      </w:pPr>
    </w:p>
    <w:p w:rsidR="00454C38" w:rsidRDefault="00454C38" w:rsidP="00454C38">
      <w:pPr>
        <w:pStyle w:val="Heading9"/>
        <w:ind w:left="2977" w:firstLine="0"/>
        <w:rPr>
          <w:sz w:val="40"/>
        </w:rPr>
      </w:pPr>
    </w:p>
    <w:p w:rsidR="00454C38" w:rsidRDefault="00454C38" w:rsidP="00454C38">
      <w:pPr>
        <w:pStyle w:val="Heading9"/>
        <w:ind w:left="2977" w:firstLine="0"/>
        <w:rPr>
          <w:sz w:val="40"/>
        </w:rPr>
      </w:pPr>
    </w:p>
    <w:p w:rsidR="00454C38" w:rsidRDefault="00454C38" w:rsidP="00454C38">
      <w:pPr>
        <w:pStyle w:val="Heading9"/>
        <w:ind w:left="1440" w:firstLine="0"/>
        <w:rPr>
          <w:sz w:val="40"/>
        </w:rPr>
      </w:pPr>
    </w:p>
    <w:p w:rsidR="00454C38" w:rsidRDefault="00454C38" w:rsidP="00454C38">
      <w:pPr>
        <w:pStyle w:val="Heading9"/>
        <w:ind w:left="1440" w:firstLine="0"/>
        <w:rPr>
          <w:sz w:val="40"/>
        </w:rPr>
      </w:pPr>
    </w:p>
    <w:p w:rsidR="00454C38" w:rsidRDefault="00372E44" w:rsidP="00853B81">
      <w:pPr>
        <w:pStyle w:val="Heading9"/>
        <w:ind w:left="2640" w:firstLine="0"/>
        <w:rPr>
          <w:sz w:val="40"/>
        </w:rPr>
      </w:pPr>
      <w:r>
        <w:rPr>
          <w:sz w:val="40"/>
        </w:rPr>
        <w:t>Estimating apprentice and trainee completion and attrition rates</w:t>
      </w:r>
      <w:r w:rsidR="00016C2C">
        <w:rPr>
          <w:sz w:val="40"/>
        </w:rPr>
        <w:t xml:space="preserve"> using </w:t>
      </w:r>
      <w:r w:rsidR="004A499D">
        <w:rPr>
          <w:sz w:val="40"/>
        </w:rPr>
        <w:t>a</w:t>
      </w:r>
      <w:r w:rsidR="002E2953">
        <w:rPr>
          <w:sz w:val="40"/>
        </w:rPr>
        <w:t> </w:t>
      </w:r>
      <w:r w:rsidR="00DD64A6">
        <w:rPr>
          <w:sz w:val="40"/>
        </w:rPr>
        <w:t>‘</w:t>
      </w:r>
      <w:r w:rsidR="00016C2C">
        <w:rPr>
          <w:sz w:val="40"/>
        </w:rPr>
        <w:t>life tables</w:t>
      </w:r>
      <w:r w:rsidR="00DD64A6">
        <w:rPr>
          <w:sz w:val="40"/>
        </w:rPr>
        <w:t>’</w:t>
      </w:r>
      <w:r w:rsidR="00016C2C">
        <w:rPr>
          <w:sz w:val="40"/>
        </w:rPr>
        <w:t xml:space="preserve"> approach</w:t>
      </w:r>
    </w:p>
    <w:p w:rsidR="00CB5F46" w:rsidRDefault="005B257F" w:rsidP="005B257F">
      <w:pPr>
        <w:pStyle w:val="Text"/>
        <w:spacing w:before="360"/>
        <w:ind w:left="2642"/>
        <w:jc w:val="both"/>
        <w:rPr>
          <w:smallCaps/>
        </w:rPr>
      </w:pPr>
      <w:r>
        <w:rPr>
          <w:smallCaps/>
        </w:rPr>
        <w:t xml:space="preserve">TOM KARMEL </w:t>
      </w:r>
    </w:p>
    <w:p w:rsidR="00454C38" w:rsidRDefault="005B257F" w:rsidP="00CB5F46">
      <w:pPr>
        <w:pStyle w:val="Text"/>
        <w:spacing w:before="80"/>
        <w:ind w:left="2642"/>
        <w:jc w:val="both"/>
        <w:rPr>
          <w:smallCaps/>
        </w:rPr>
      </w:pPr>
      <w:r>
        <w:rPr>
          <w:smallCaps/>
        </w:rPr>
        <w:t>PETER MLOTKOWSKI</w:t>
      </w:r>
    </w:p>
    <w:p w:rsidR="00454C38" w:rsidRDefault="00372E44" w:rsidP="00853B81">
      <w:pPr>
        <w:pStyle w:val="Text"/>
        <w:ind w:left="2640"/>
        <w:jc w:val="both"/>
        <w:rPr>
          <w:smallCaps/>
          <w:szCs w:val="22"/>
        </w:rPr>
      </w:pPr>
      <w:r>
        <w:rPr>
          <w:smallCaps/>
          <w:szCs w:val="22"/>
        </w:rPr>
        <w:t>national centre for vocational education research</w:t>
      </w:r>
    </w:p>
    <w:p w:rsidR="00454C38" w:rsidRDefault="00454C38" w:rsidP="00853B81">
      <w:pPr>
        <w:pStyle w:val="Text"/>
        <w:ind w:left="2640"/>
        <w:jc w:val="both"/>
        <w:rPr>
          <w:smallCaps/>
          <w:szCs w:val="22"/>
        </w:rPr>
      </w:pPr>
    </w:p>
    <w:p w:rsidR="00454C38" w:rsidRDefault="00454C38" w:rsidP="00853B81">
      <w:pPr>
        <w:pStyle w:val="Text"/>
        <w:ind w:left="2640"/>
        <w:jc w:val="both"/>
        <w:rPr>
          <w:smallCaps/>
          <w:szCs w:val="22"/>
        </w:rPr>
      </w:pPr>
    </w:p>
    <w:p w:rsidR="006F0203" w:rsidRDefault="006F0203" w:rsidP="00853B81">
      <w:pPr>
        <w:pStyle w:val="Text"/>
        <w:ind w:left="2640"/>
        <w:jc w:val="both"/>
        <w:rPr>
          <w:smallCaps/>
          <w:szCs w:val="22"/>
        </w:rPr>
      </w:pPr>
    </w:p>
    <w:p w:rsidR="00E83B9D" w:rsidRPr="0098320C" w:rsidRDefault="00E83B9D" w:rsidP="0098320C">
      <w:pPr>
        <w:ind w:left="2694"/>
        <w:rPr>
          <w:rFonts w:ascii="Garamond" w:hAnsi="Garamond"/>
          <w:color w:val="FF0000"/>
          <w:szCs w:val="24"/>
        </w:rPr>
      </w:pPr>
      <w:r w:rsidRPr="0098320C">
        <w:rPr>
          <w:rFonts w:ascii="Garamond" w:hAnsi="Garamond"/>
          <w:color w:val="FF0000"/>
          <w:szCs w:val="24"/>
        </w:rPr>
        <w:t xml:space="preserve">FOR CLARITY WITH FIGURES, </w:t>
      </w:r>
      <w:r w:rsidR="0098320C" w:rsidRPr="0098320C">
        <w:rPr>
          <w:rFonts w:ascii="Garamond" w:hAnsi="Garamond"/>
          <w:color w:val="FF0000"/>
          <w:szCs w:val="24"/>
        </w:rPr>
        <w:br/>
      </w:r>
      <w:r w:rsidRPr="0098320C">
        <w:rPr>
          <w:rFonts w:ascii="Garamond" w:hAnsi="Garamond"/>
          <w:color w:val="FF0000"/>
          <w:szCs w:val="24"/>
        </w:rPr>
        <w:t>PLEASE PRINT IN COLOUR</w:t>
      </w:r>
    </w:p>
    <w:p w:rsidR="006F0203" w:rsidRDefault="006F0203" w:rsidP="00853B81">
      <w:pPr>
        <w:pStyle w:val="Text"/>
        <w:ind w:left="2640"/>
        <w:jc w:val="both"/>
        <w:rPr>
          <w:smallCaps/>
          <w:szCs w:val="22"/>
        </w:rPr>
      </w:pPr>
    </w:p>
    <w:p w:rsidR="00454C38" w:rsidRDefault="00454C38" w:rsidP="00853B81">
      <w:pPr>
        <w:pStyle w:val="Text"/>
        <w:ind w:left="2640"/>
        <w:jc w:val="both"/>
        <w:rPr>
          <w:smallCaps/>
          <w:szCs w:val="22"/>
        </w:rPr>
      </w:pPr>
    </w:p>
    <w:p w:rsidR="00454C38" w:rsidRPr="00685EC0" w:rsidRDefault="00454C38" w:rsidP="00853B81">
      <w:pPr>
        <w:pStyle w:val="Text"/>
        <w:ind w:left="2640"/>
        <w:jc w:val="both"/>
        <w:rPr>
          <w:smallCaps/>
          <w:szCs w:val="22"/>
        </w:rPr>
      </w:pPr>
    </w:p>
    <w:p w:rsidR="00454C38" w:rsidRDefault="00454C38" w:rsidP="002E2953">
      <w:pPr>
        <w:pStyle w:val="Imprint"/>
        <w:ind w:left="2640" w:right="699"/>
      </w:pPr>
      <w:r>
        <w:t>The views and opinions expressed in this d</w:t>
      </w:r>
      <w:r w:rsidR="00BE1284">
        <w:t>ocument are those of the authors</w:t>
      </w:r>
      <w:r>
        <w:t xml:space="preserve"> and do not necessarily reflect the views of the Australian Government or state and territory governments.</w:t>
      </w:r>
    </w:p>
    <w:p w:rsidR="007106BC" w:rsidRDefault="007106BC">
      <w:pPr>
        <w:pStyle w:val="Text"/>
        <w:jc w:val="both"/>
      </w:pPr>
    </w:p>
    <w:p w:rsidR="007106BC" w:rsidRDefault="007106BC">
      <w:pPr>
        <w:pStyle w:val="Text"/>
        <w:jc w:val="both"/>
      </w:pPr>
    </w:p>
    <w:p w:rsidR="005B257F" w:rsidRDefault="00765CD1">
      <w:pPr>
        <w:spacing w:before="0"/>
        <w:rPr>
          <w:rFonts w:ascii="Garamond" w:hAnsi="Garamond"/>
          <w:sz w:val="16"/>
        </w:rPr>
      </w:pPr>
      <w:r w:rsidRPr="00765CD1">
        <w:rPr>
          <w:noProof/>
        </w:rPr>
        <w:pict>
          <v:line id="_x0000_s1032" style="position:absolute;flip:x;z-index:-251635200" from="1.1pt,88.45pt" to="446.15pt,88.45pt" o:regroupid="1"/>
        </w:pict>
      </w:r>
      <w:r w:rsidR="008B2C34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203200</wp:posOffset>
            </wp:positionV>
            <wp:extent cx="3353435" cy="845185"/>
            <wp:effectExtent l="19050" t="0" r="0" b="0"/>
            <wp:wrapSquare wrapText="bothSides"/>
            <wp:docPr id="1" name="Picture 3" descr="P:\PublicationComponents\logos\DEEWR\new logos sent Apr 08\DEEWR_I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ublicationComponents\logos\DEEWR\new logos sent Apr 08\DEEWR_In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57F">
        <w:br w:type="page"/>
      </w:r>
    </w:p>
    <w:p w:rsidR="000064A9" w:rsidRDefault="000064A9" w:rsidP="005B257F">
      <w:pPr>
        <w:pStyle w:val="Imprint"/>
      </w:pPr>
    </w:p>
    <w:p w:rsidR="007106BC" w:rsidRPr="00CB5F46" w:rsidRDefault="007106BC" w:rsidP="005B257F">
      <w:pPr>
        <w:pStyle w:val="Imprint"/>
        <w:spacing w:before="7200"/>
        <w:ind w:right="1701"/>
        <w:rPr>
          <w:b/>
        </w:rPr>
      </w:pPr>
      <w:r w:rsidRPr="00CB5F46">
        <w:rPr>
          <w:b/>
        </w:rPr>
        <w:t xml:space="preserve">© </w:t>
      </w:r>
      <w:r w:rsidR="00CB5F46" w:rsidRPr="00CB5F46">
        <w:rPr>
          <w:b/>
        </w:rPr>
        <w:t>Commonwealth of Australia,</w:t>
      </w:r>
      <w:r w:rsidR="00454C38" w:rsidRPr="00CB5F46">
        <w:rPr>
          <w:b/>
        </w:rPr>
        <w:t xml:space="preserve"> </w:t>
      </w:r>
      <w:r w:rsidR="00454C38" w:rsidRPr="00C74F08">
        <w:rPr>
          <w:b/>
        </w:rPr>
        <w:t>201</w:t>
      </w:r>
      <w:r w:rsidR="00F54142">
        <w:rPr>
          <w:b/>
        </w:rPr>
        <w:t>0</w:t>
      </w:r>
    </w:p>
    <w:p w:rsidR="007106BC" w:rsidRDefault="007106BC" w:rsidP="005B257F">
      <w:pPr>
        <w:pStyle w:val="Imprint"/>
        <w:ind w:right="2117"/>
      </w:pPr>
      <w:r>
        <w:t xml:space="preserve">This work has been produced by the National Centre for Vocational Education Research (NCVER) </w:t>
      </w:r>
      <w:r w:rsidR="004D27A8">
        <w:t>on behalf of the Australian Government and state and territory governments with funding provided through the Australian Department of Educat</w:t>
      </w:r>
      <w:r w:rsidR="00E7024E">
        <w:t xml:space="preserve">ion, </w:t>
      </w:r>
      <w:r w:rsidR="004B24DA">
        <w:t>Employment</w:t>
      </w:r>
      <w:r w:rsidR="00E7024E">
        <w:t xml:space="preserve"> and </w:t>
      </w:r>
      <w:r w:rsidR="004B24DA">
        <w:t>Workplace Relations</w:t>
      </w:r>
      <w:r w:rsidR="004D27A8">
        <w:t xml:space="preserve">. Apart from any use permitted under the </w:t>
      </w:r>
      <w:proofErr w:type="spellStart"/>
      <w:r w:rsidR="004D27A8">
        <w:rPr>
          <w:i/>
        </w:rPr>
        <w:t>CopyrightAct</w:t>
      </w:r>
      <w:proofErr w:type="spellEnd"/>
      <w:r w:rsidR="004D27A8">
        <w:rPr>
          <w:i/>
        </w:rPr>
        <w:t xml:space="preserve"> 1968</w:t>
      </w:r>
      <w:r w:rsidR="004D27A8">
        <w:t>, no part of this publication may be reproduced by any process without written permission.</w:t>
      </w:r>
      <w:r>
        <w:t xml:space="preserve"> Requests should be made to NCVER.</w:t>
      </w:r>
    </w:p>
    <w:p w:rsidR="00C13E9C" w:rsidRDefault="00C13E9C" w:rsidP="005B257F">
      <w:pPr>
        <w:pStyle w:val="Imprint"/>
        <w:ind w:right="2117"/>
      </w:pPr>
      <w:r>
        <w:t>The views and opinions expressed in this document are those of the author(s) and do not necessarily reflect the vie</w:t>
      </w:r>
      <w:r w:rsidR="00CB5F46">
        <w:t>ws of the Australian Government or</w:t>
      </w:r>
      <w:r>
        <w:t xml:space="preserve"> state and territory governments.  </w:t>
      </w:r>
    </w:p>
    <w:p w:rsidR="00C13E9C" w:rsidRDefault="00C13E9C" w:rsidP="005B257F">
      <w:pPr>
        <w:pStyle w:val="Imprint"/>
        <w:tabs>
          <w:tab w:val="left" w:pos="851"/>
        </w:tabs>
      </w:pPr>
      <w:r w:rsidRPr="00C74F08">
        <w:t>TD/TNC</w:t>
      </w:r>
      <w:r w:rsidR="005B257F" w:rsidRPr="00C74F08">
        <w:tab/>
      </w:r>
      <w:r w:rsidR="00C74F08">
        <w:t>104.09</w:t>
      </w:r>
    </w:p>
    <w:p w:rsidR="00C13E9C" w:rsidRDefault="00C13E9C" w:rsidP="00C13E9C">
      <w:pPr>
        <w:pStyle w:val="Imprint"/>
      </w:pPr>
      <w:r>
        <w:t>Published by NCVER</w:t>
      </w:r>
      <w:r>
        <w:br/>
        <w:t>ABN 87 007 967 311</w:t>
      </w:r>
    </w:p>
    <w:p w:rsidR="00C13E9C" w:rsidRDefault="00C13E9C" w:rsidP="00C13E9C">
      <w:pPr>
        <w:pStyle w:val="Imprint"/>
      </w:pPr>
      <w:r>
        <w:t>Level 11, 33 King William Street, Adelaide, SA 5000</w:t>
      </w:r>
      <w:r>
        <w:br/>
        <w:t>PO Box 8288 Station Arcade, Adelaide SA 5000, Australia</w:t>
      </w:r>
    </w:p>
    <w:p w:rsidR="00C13E9C" w:rsidRPr="00835D1E" w:rsidRDefault="00C13E9C" w:rsidP="005B257F">
      <w:pPr>
        <w:pStyle w:val="Imprint"/>
      </w:pPr>
      <w:proofErr w:type="gramStart"/>
      <w:r>
        <w:t>ph</w:t>
      </w:r>
      <w:proofErr w:type="gramEnd"/>
      <w:r>
        <w:t xml:space="preserve"> +61 8 8230 8400 fax +61 8 8212 3436</w:t>
      </w:r>
      <w:r>
        <w:br/>
        <w:t>email ncver@ncver.edu.au</w:t>
      </w:r>
      <w:r>
        <w:br/>
        <w:t>&lt;http://www.ncver.edu.au&gt;</w:t>
      </w:r>
      <w:r w:rsidR="005B257F">
        <w:br/>
      </w:r>
      <w:r>
        <w:t>&lt;http://www.ncver.edu.au/publications/</w:t>
      </w:r>
      <w:r w:rsidR="00B345E9">
        <w:t>2389</w:t>
      </w:r>
      <w:r>
        <w:t>.html&gt;</w:t>
      </w:r>
    </w:p>
    <w:p w:rsidR="002E2953" w:rsidRDefault="002E2953">
      <w:pPr>
        <w:spacing w:before="0"/>
        <w:rPr>
          <w:rFonts w:ascii="Garamond" w:hAnsi="Garamond"/>
          <w:b/>
          <w:sz w:val="16"/>
        </w:rPr>
      </w:pPr>
      <w:r>
        <w:rPr>
          <w:rFonts w:ascii="Garamond" w:hAnsi="Garamond"/>
          <w:b/>
          <w:sz w:val="16"/>
        </w:rPr>
        <w:br w:type="page"/>
      </w:r>
    </w:p>
    <w:p w:rsidR="00BA1BA9" w:rsidRPr="0033689E" w:rsidRDefault="00765CD1" w:rsidP="000C13AF">
      <w:pPr>
        <w:pStyle w:val="Aboutresearch"/>
      </w:pPr>
      <w:bookmarkStart w:id="0" w:name="_Toc495748330"/>
      <w:bookmarkStart w:id="1" w:name="_Toc495810630"/>
      <w:bookmarkStart w:id="2" w:name="_Toc6031787"/>
      <w:bookmarkStart w:id="3" w:name="_Toc6031844"/>
      <w:r w:rsidRPr="00765CD1">
        <w:rPr>
          <w:i/>
          <w:noProof/>
          <w:sz w:val="16"/>
          <w:szCs w:val="16"/>
          <w:vertAlign w:val="superscript"/>
        </w:rPr>
        <w:lastRenderedPageBreak/>
        <w:pict>
          <v:group id="_x0000_s1026" style="position:absolute;margin-left:.75pt;margin-top:6.65pt;width:450pt;height:684pt;z-index:-251660800" coordorigin="1341,1621" coordsize="9000,13680">
            <v:line id="_x0000_s1027" style="position:absolute" from="10341,1621" to="10341,15301"/>
            <v:line id="_x0000_s1028" style="position:absolute;flip:x" from="1341,15301" to="10341,15301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456;top:1621;width:3885;height:870">
              <v:imagedata r:id="rId11" o:title="ncver right tab_mono"/>
            </v:shape>
          </v:group>
        </w:pict>
      </w:r>
      <w:r w:rsidR="007106BC" w:rsidRPr="000C13AF">
        <w:rPr>
          <w:i/>
          <w:sz w:val="16"/>
          <w:szCs w:val="16"/>
          <w:vertAlign w:val="superscript"/>
        </w:rPr>
        <w:br/>
      </w:r>
      <w:bookmarkStart w:id="4" w:name="_Toc296933760"/>
      <w:bookmarkStart w:id="5" w:name="_Toc47346280"/>
      <w:bookmarkStart w:id="6" w:name="_Toc47951941"/>
      <w:r w:rsidR="007B6B23" w:rsidRPr="00B5304E">
        <w:t>About the research</w:t>
      </w:r>
      <w:bookmarkEnd w:id="4"/>
    </w:p>
    <w:p w:rsidR="003930C1" w:rsidRPr="0033689E" w:rsidRDefault="00372E44" w:rsidP="00AF224A">
      <w:pPr>
        <w:pStyle w:val="AboutTitle"/>
        <w:spacing w:before="720"/>
      </w:pPr>
      <w:r w:rsidRPr="0033689E">
        <w:t>Estimating apprentice and trainee completion and attrition rates</w:t>
      </w:r>
      <w:r w:rsidR="00016C2C" w:rsidRPr="0033689E">
        <w:t xml:space="preserve"> using </w:t>
      </w:r>
      <w:r w:rsidR="004A499D">
        <w:t>a</w:t>
      </w:r>
      <w:r w:rsidR="00016C2C" w:rsidRPr="0033689E">
        <w:t xml:space="preserve"> </w:t>
      </w:r>
      <w:r w:rsidR="00DD64A6" w:rsidRPr="0033689E">
        <w:t>‘</w:t>
      </w:r>
      <w:r w:rsidR="00016C2C" w:rsidRPr="0033689E">
        <w:t>life</w:t>
      </w:r>
      <w:r w:rsidR="00AF224A">
        <w:t> </w:t>
      </w:r>
      <w:r w:rsidR="00016C2C" w:rsidRPr="0033689E">
        <w:t>tables</w:t>
      </w:r>
      <w:r w:rsidR="00DD64A6" w:rsidRPr="0033689E">
        <w:t>’</w:t>
      </w:r>
      <w:r w:rsidR="00016C2C" w:rsidRPr="0033689E">
        <w:t xml:space="preserve"> approach</w:t>
      </w:r>
    </w:p>
    <w:p w:rsidR="003930C1" w:rsidRPr="00AF224A" w:rsidRDefault="004A499D" w:rsidP="004E2A45">
      <w:pPr>
        <w:pStyle w:val="Aboutauthor"/>
        <w:rPr>
          <w:sz w:val="28"/>
          <w:szCs w:val="28"/>
        </w:rPr>
      </w:pPr>
      <w:r w:rsidRPr="00AF224A">
        <w:rPr>
          <w:sz w:val="28"/>
          <w:szCs w:val="28"/>
        </w:rPr>
        <w:t>Tom Karmel</w:t>
      </w:r>
      <w:r w:rsidR="00AF224A">
        <w:rPr>
          <w:sz w:val="28"/>
          <w:szCs w:val="28"/>
        </w:rPr>
        <w:t xml:space="preserve"> and</w:t>
      </w:r>
      <w:r w:rsidRPr="00AF224A">
        <w:rPr>
          <w:sz w:val="28"/>
          <w:szCs w:val="28"/>
        </w:rPr>
        <w:t xml:space="preserve"> Peter Mlot</w:t>
      </w:r>
      <w:r w:rsidR="00FF3C84" w:rsidRPr="00AF224A">
        <w:rPr>
          <w:sz w:val="28"/>
          <w:szCs w:val="28"/>
        </w:rPr>
        <w:t>k</w:t>
      </w:r>
      <w:r w:rsidRPr="00AF224A">
        <w:rPr>
          <w:sz w:val="28"/>
          <w:szCs w:val="28"/>
        </w:rPr>
        <w:t>owski</w:t>
      </w:r>
      <w:r w:rsidR="005A508C" w:rsidRPr="00AF224A">
        <w:rPr>
          <w:sz w:val="28"/>
          <w:szCs w:val="28"/>
        </w:rPr>
        <w:t>, NCVER</w:t>
      </w:r>
    </w:p>
    <w:p w:rsidR="009425D3" w:rsidRPr="00AF224A" w:rsidRDefault="009425D3" w:rsidP="00AF224A">
      <w:pPr>
        <w:pStyle w:val="Text"/>
      </w:pPr>
      <w:r w:rsidRPr="0033689E">
        <w:t xml:space="preserve">The proportion of apprentices and trainees completing their contract of training has received considerable attention in recent years. To support public discussion, </w:t>
      </w:r>
      <w:r w:rsidR="00E15F9D">
        <w:t>the National Centre for Vocational Education Research (</w:t>
      </w:r>
      <w:r w:rsidRPr="0033689E">
        <w:t>NCVER</w:t>
      </w:r>
      <w:r w:rsidR="00E15F9D">
        <w:t>)</w:t>
      </w:r>
      <w:r w:rsidRPr="0033689E">
        <w:t xml:space="preserve"> has been publishing tab</w:t>
      </w:r>
      <w:r w:rsidR="007F3E7B">
        <w:t>ulations of both completion</w:t>
      </w:r>
      <w:r w:rsidRPr="0033689E">
        <w:t xml:space="preserve"> and attrition rates. </w:t>
      </w:r>
      <w:r w:rsidR="00DB68EF">
        <w:t>Up until recently, t</w:t>
      </w:r>
      <w:r w:rsidRPr="006804FE">
        <w:t>h</w:t>
      </w:r>
      <w:r w:rsidR="00335C85">
        <w:t>e appr</w:t>
      </w:r>
      <w:r w:rsidR="00DB68EF">
        <w:t>oach taken was</w:t>
      </w:r>
      <w:r w:rsidRPr="006804FE">
        <w:t xml:space="preserve"> to identify a commencing cohort and follow it over time. </w:t>
      </w:r>
      <w:r w:rsidR="00DB68EF">
        <w:t>Currently</w:t>
      </w:r>
      <w:r w:rsidR="000E6995">
        <w:t xml:space="preserve">, </w:t>
      </w:r>
      <w:r w:rsidR="00DB68EF">
        <w:t>NCVER publishes</w:t>
      </w:r>
      <w:r w:rsidR="00335C85">
        <w:t xml:space="preserve"> </w:t>
      </w:r>
      <w:r w:rsidR="00335C85" w:rsidRPr="000025B0">
        <w:t>com</w:t>
      </w:r>
      <w:r w:rsidR="00335C85">
        <w:t xml:space="preserve">pletion and attrition rates </w:t>
      </w:r>
      <w:r w:rsidR="000E6995">
        <w:t xml:space="preserve">that </w:t>
      </w:r>
      <w:r w:rsidR="009B22DF">
        <w:t xml:space="preserve">are </w:t>
      </w:r>
      <w:r w:rsidR="00335C85" w:rsidRPr="000025B0">
        <w:t xml:space="preserve">calculated from tabulations of completions and cancellations/withdrawals within particular quarters, for particular commencing cohorts (see NCVER 2010). </w:t>
      </w:r>
      <w:r w:rsidR="00335C85" w:rsidRPr="00AF224A">
        <w:t>One drawback of both</w:t>
      </w:r>
      <w:r w:rsidRPr="00AF224A">
        <w:t xml:space="preserve"> approach</w:t>
      </w:r>
      <w:r w:rsidR="00335C85" w:rsidRPr="00AF224A">
        <w:t>es</w:t>
      </w:r>
      <w:r w:rsidRPr="00AF224A">
        <w:t xml:space="preserve"> is that the resultant completion and attri</w:t>
      </w:r>
      <w:r w:rsidR="009B22DF" w:rsidRPr="00AF224A">
        <w:t>tion rates refer to cohorts which</w:t>
      </w:r>
      <w:r w:rsidRPr="00AF224A">
        <w:t xml:space="preserve"> c</w:t>
      </w:r>
      <w:r w:rsidR="00335C85" w:rsidRPr="00AF224A">
        <w:t xml:space="preserve">ommenced </w:t>
      </w:r>
      <w:r w:rsidR="00561C14" w:rsidRPr="00AF224A">
        <w:t>some time</w:t>
      </w:r>
      <w:r w:rsidR="003633D1" w:rsidRPr="00AF224A">
        <w:t xml:space="preserve"> earlier.</w:t>
      </w:r>
    </w:p>
    <w:p w:rsidR="009425D3" w:rsidRPr="00AF224A" w:rsidRDefault="00561C14" w:rsidP="00AF224A">
      <w:pPr>
        <w:pStyle w:val="Text"/>
      </w:pPr>
      <w:r w:rsidRPr="00AF224A">
        <w:t xml:space="preserve">The economic downturn </w:t>
      </w:r>
      <w:r w:rsidR="00EB60B6" w:rsidRPr="00AF224A">
        <w:t>provided the</w:t>
      </w:r>
      <w:r w:rsidRPr="00AF224A">
        <w:t xml:space="preserve"> impetus </w:t>
      </w:r>
      <w:r w:rsidR="00EB60B6" w:rsidRPr="00AF224A">
        <w:t>for</w:t>
      </w:r>
      <w:r w:rsidRPr="00AF224A">
        <w:t xml:space="preserve"> the development of completion and attrition rates for the latest commencing cohorts. </w:t>
      </w:r>
      <w:r w:rsidR="009B22DF" w:rsidRPr="00AF224A">
        <w:t>Such up-to-</w:t>
      </w:r>
      <w:r w:rsidR="009425D3" w:rsidRPr="00AF224A">
        <w:t xml:space="preserve">date estimates are possible if they are modelled using recent cross-sectional data to mimic data with a time dimension. This is the basic approach used in the construction of </w:t>
      </w:r>
      <w:r w:rsidR="00A9325D" w:rsidRPr="00AF224A">
        <w:t>‘</w:t>
      </w:r>
      <w:r w:rsidR="009425D3" w:rsidRPr="00AF224A">
        <w:t>life tables</w:t>
      </w:r>
      <w:r w:rsidR="00A9325D" w:rsidRPr="00AF224A">
        <w:t>’</w:t>
      </w:r>
      <w:r w:rsidR="009425D3" w:rsidRPr="00AF224A">
        <w:t>.</w:t>
      </w:r>
    </w:p>
    <w:p w:rsidR="001873E7" w:rsidRPr="00AF224A" w:rsidRDefault="009425D3" w:rsidP="00AF224A">
      <w:pPr>
        <w:pStyle w:val="Text"/>
      </w:pPr>
      <w:r w:rsidRPr="00AF224A">
        <w:t>This technical paper details a methodological approach which constructs cross-sectional estimates of completion and attrition rates</w:t>
      </w:r>
      <w:r w:rsidR="009D1434" w:rsidRPr="00AF224A">
        <w:t xml:space="preserve"> for the latest commencing cohorts</w:t>
      </w:r>
      <w:r w:rsidRPr="00AF224A">
        <w:t>.</w:t>
      </w:r>
      <w:r w:rsidR="00B625F7" w:rsidRPr="00AF224A">
        <w:t xml:space="preserve"> </w:t>
      </w:r>
      <w:r w:rsidR="00322543" w:rsidRPr="00AF224A">
        <w:t>These reflect what</w:t>
      </w:r>
      <w:r w:rsidR="00967779" w:rsidRPr="00AF224A">
        <w:t xml:space="preserve"> the</w:t>
      </w:r>
      <w:r w:rsidR="00322543" w:rsidRPr="00AF224A">
        <w:t xml:space="preserve"> completion and attrition rates would be if the patterns observed in a particular quarter remain</w:t>
      </w:r>
      <w:r w:rsidR="00967779" w:rsidRPr="00AF224A">
        <w:t>ed</w:t>
      </w:r>
      <w:r w:rsidR="00322543" w:rsidRPr="00AF224A">
        <w:t xml:space="preserve"> unchanged for the life of the commencing cohort in that quarter. </w:t>
      </w:r>
      <w:r w:rsidR="00B625F7" w:rsidRPr="00AF224A">
        <w:t xml:space="preserve">Throughout </w:t>
      </w:r>
      <w:r w:rsidR="00A51323" w:rsidRPr="00AF224A">
        <w:t>the paper</w:t>
      </w:r>
      <w:r w:rsidR="001A45A3" w:rsidRPr="00AF224A">
        <w:t>,</w:t>
      </w:r>
      <w:r w:rsidR="00A51323" w:rsidRPr="00AF224A">
        <w:t xml:space="preserve"> </w:t>
      </w:r>
      <w:r w:rsidR="004B6491" w:rsidRPr="00AF224A">
        <w:t xml:space="preserve">we use </w:t>
      </w:r>
      <w:r w:rsidR="00B625F7" w:rsidRPr="00AF224A">
        <w:t xml:space="preserve">a simple and contrived example </w:t>
      </w:r>
      <w:r w:rsidR="001A45A3" w:rsidRPr="00AF224A">
        <w:t>to illustrate the model</w:t>
      </w:r>
      <w:r w:rsidR="00DB68EF" w:rsidRPr="00AF224A">
        <w:t>, along</w:t>
      </w:r>
      <w:r w:rsidR="00B625F7" w:rsidRPr="00AF224A">
        <w:t xml:space="preserve"> with the formal mathematical notation.</w:t>
      </w:r>
      <w:r w:rsidR="00CC69BB" w:rsidRPr="00AF224A">
        <w:t xml:space="preserve"> </w:t>
      </w:r>
      <w:r w:rsidR="007A685E" w:rsidRPr="00AF224A">
        <w:t xml:space="preserve">Finally, </w:t>
      </w:r>
      <w:r w:rsidR="00CC69BB" w:rsidRPr="00AF224A">
        <w:t>we apply the model to cohorts commencing in the December quarter</w:t>
      </w:r>
      <w:r w:rsidR="004A499D" w:rsidRPr="00AF224A">
        <w:t xml:space="preserve">s of </w:t>
      </w:r>
      <w:r w:rsidR="00CC69BB" w:rsidRPr="00AF224A">
        <w:t>2007</w:t>
      </w:r>
      <w:r w:rsidR="004A499D" w:rsidRPr="00AF224A">
        <w:t xml:space="preserve"> to</w:t>
      </w:r>
      <w:r w:rsidR="00FF0963" w:rsidRPr="00AF224A">
        <w:t xml:space="preserve"> </w:t>
      </w:r>
      <w:r w:rsidR="004A499D" w:rsidRPr="00AF224A">
        <w:t>200</w:t>
      </w:r>
      <w:r w:rsidR="00CC69BB" w:rsidRPr="00AF224A">
        <w:t>9.</w:t>
      </w:r>
      <w:r w:rsidRPr="00AF224A">
        <w:t xml:space="preserve"> </w:t>
      </w:r>
    </w:p>
    <w:p w:rsidR="0035327A" w:rsidRPr="00AF224A" w:rsidRDefault="009425D3" w:rsidP="00AF224A">
      <w:pPr>
        <w:pStyle w:val="Text"/>
      </w:pPr>
      <w:r w:rsidRPr="00AF224A">
        <w:t xml:space="preserve">Readers who would like to </w:t>
      </w:r>
      <w:r w:rsidR="0035327A" w:rsidRPr="00AF224A">
        <w:t xml:space="preserve">reproduce the </w:t>
      </w:r>
      <w:r w:rsidR="00C44D8C" w:rsidRPr="00AF224A">
        <w:t>estimates provided in this technical paper</w:t>
      </w:r>
      <w:r w:rsidRPr="00AF224A">
        <w:t xml:space="preserve"> are directed to the support document in Excel format.</w:t>
      </w:r>
      <w:r w:rsidR="0035327A" w:rsidRPr="00AF224A">
        <w:t xml:space="preserve"> </w:t>
      </w:r>
    </w:p>
    <w:p w:rsidR="00BE6144" w:rsidRPr="00AF224A" w:rsidRDefault="00BE6144" w:rsidP="00AF224A">
      <w:pPr>
        <w:pStyle w:val="Text"/>
      </w:pPr>
    </w:p>
    <w:p w:rsidR="0000783B" w:rsidRPr="00AF224A" w:rsidRDefault="009425D3" w:rsidP="00AF224A">
      <w:pPr>
        <w:pStyle w:val="Text"/>
      </w:pPr>
      <w:r w:rsidRPr="00AF224A">
        <w:t>Tom Karmel</w:t>
      </w:r>
      <w:r w:rsidR="0000783B" w:rsidRPr="00AF224A">
        <w:br/>
        <w:t>Managing Director</w:t>
      </w:r>
      <w:r w:rsidR="00AF224A">
        <w:t>, NCVER</w:t>
      </w:r>
    </w:p>
    <w:p w:rsidR="004E2A45" w:rsidRPr="00AF224A" w:rsidRDefault="004E2A45" w:rsidP="00AF224A">
      <w:pPr>
        <w:pStyle w:val="Text"/>
      </w:pPr>
    </w:p>
    <w:p w:rsidR="00AF224A" w:rsidRDefault="002E2953">
      <w:pPr>
        <w:spacing w:before="0"/>
        <w:rPr>
          <w:i/>
        </w:rPr>
        <w:sectPr w:rsidR="00AF224A" w:rsidSect="002E2953">
          <w:pgSz w:w="11899" w:h="16838" w:code="9"/>
          <w:pgMar w:top="1418" w:right="1985" w:bottom="567" w:left="1418" w:header="720" w:footer="720" w:gutter="0"/>
          <w:cols w:space="720"/>
          <w:titlePg/>
          <w:docGrid w:linePitch="360"/>
        </w:sectPr>
      </w:pPr>
      <w:r>
        <w:rPr>
          <w:i/>
        </w:rPr>
        <w:br w:type="page"/>
      </w:r>
      <w:r w:rsidR="00AF224A">
        <w:rPr>
          <w:i/>
        </w:rPr>
        <w:lastRenderedPageBreak/>
        <w:br w:type="page"/>
      </w:r>
    </w:p>
    <w:p w:rsidR="007106BC" w:rsidRDefault="007B6B23" w:rsidP="00AF224A">
      <w:pPr>
        <w:pStyle w:val="Heading1"/>
        <w:spacing w:before="640"/>
        <w:rPr>
          <w:rFonts w:ascii="Avant Garde" w:hAnsi="Avant Garde"/>
        </w:rPr>
      </w:pPr>
      <w:r>
        <w:rPr>
          <w:i/>
        </w:rPr>
        <w:lastRenderedPageBreak/>
        <w:br/>
      </w:r>
      <w:bookmarkStart w:id="7" w:name="_Toc296933761"/>
      <w:r w:rsidR="007106BC">
        <w:t>Contents</w:t>
      </w:r>
      <w:bookmarkEnd w:id="0"/>
      <w:bookmarkEnd w:id="1"/>
      <w:bookmarkEnd w:id="2"/>
      <w:bookmarkEnd w:id="3"/>
      <w:bookmarkEnd w:id="5"/>
      <w:bookmarkEnd w:id="6"/>
      <w:bookmarkEnd w:id="7"/>
    </w:p>
    <w:p w:rsidR="00116868" w:rsidRDefault="00765CD1" w:rsidP="00116868">
      <w:pPr>
        <w:pStyle w:val="TOC1"/>
        <w:spacing w:before="440"/>
        <w:rPr>
          <w:rFonts w:asciiTheme="minorHAnsi" w:eastAsiaTheme="minorEastAsia" w:hAnsiTheme="minorHAnsi" w:cstheme="minorBidi"/>
          <w:noProof/>
          <w:szCs w:val="22"/>
        </w:rPr>
      </w:pPr>
      <w:r w:rsidRPr="00765CD1">
        <w:rPr>
          <w:rFonts w:ascii="Avant Garde" w:hAnsi="Avant Garde"/>
        </w:rPr>
        <w:fldChar w:fldCharType="begin"/>
      </w:r>
      <w:r w:rsidR="007106BC">
        <w:rPr>
          <w:rFonts w:ascii="Avant Garde" w:hAnsi="Avant Garde"/>
        </w:rPr>
        <w:instrText xml:space="preserve"> TOC \o "1-2" </w:instrText>
      </w:r>
      <w:r w:rsidRPr="00765CD1">
        <w:rPr>
          <w:rFonts w:ascii="Avant Garde" w:hAnsi="Avant Garde"/>
        </w:rPr>
        <w:fldChar w:fldCharType="separate"/>
      </w:r>
      <w:r w:rsidR="00116868">
        <w:rPr>
          <w:noProof/>
        </w:rPr>
        <w:t>Tables and figures</w:t>
      </w:r>
      <w:r w:rsidR="00116868">
        <w:rPr>
          <w:noProof/>
        </w:rPr>
        <w:tab/>
      </w:r>
      <w:r>
        <w:rPr>
          <w:noProof/>
        </w:rPr>
        <w:fldChar w:fldCharType="begin"/>
      </w:r>
      <w:r w:rsidR="00116868">
        <w:rPr>
          <w:noProof/>
        </w:rPr>
        <w:instrText xml:space="preserve"> PAGEREF _Toc296933762 \h </w:instrText>
      </w:r>
      <w:r>
        <w:rPr>
          <w:noProof/>
        </w:rPr>
      </w:r>
      <w:r>
        <w:rPr>
          <w:noProof/>
        </w:rPr>
        <w:fldChar w:fldCharType="separate"/>
      </w:r>
      <w:r w:rsidR="00116868">
        <w:rPr>
          <w:noProof/>
        </w:rPr>
        <w:t>6</w:t>
      </w:r>
      <w:r>
        <w:rPr>
          <w:noProof/>
        </w:rPr>
        <w:fldChar w:fldCharType="end"/>
      </w:r>
    </w:p>
    <w:p w:rsidR="00116868" w:rsidRDefault="00116868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Introduction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_Toc296933763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7</w:t>
      </w:r>
      <w:r w:rsidR="00765CD1">
        <w:rPr>
          <w:noProof/>
        </w:rPr>
        <w:fldChar w:fldCharType="end"/>
      </w:r>
    </w:p>
    <w:p w:rsidR="00116868" w:rsidRDefault="00116868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Methodology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_Toc296933764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9</w:t>
      </w:r>
      <w:r w:rsidR="00765CD1">
        <w:rPr>
          <w:noProof/>
        </w:rPr>
        <w:fldChar w:fldCharType="end"/>
      </w:r>
    </w:p>
    <w:p w:rsidR="00116868" w:rsidRDefault="0011686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Calculating ‘transition probabilities’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_Toc296933765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9</w:t>
      </w:r>
      <w:r w:rsidR="00765CD1">
        <w:rPr>
          <w:noProof/>
        </w:rPr>
        <w:fldChar w:fldCharType="end"/>
      </w:r>
    </w:p>
    <w:p w:rsidR="00116868" w:rsidRDefault="0011686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Applying the ‘life tables’ approach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_Toc296933766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10</w:t>
      </w:r>
      <w:r w:rsidR="00765CD1">
        <w:rPr>
          <w:noProof/>
        </w:rPr>
        <w:fldChar w:fldCharType="end"/>
      </w:r>
    </w:p>
    <w:p w:rsidR="00116868" w:rsidRDefault="00116868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Application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_Toc296933767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13</w:t>
      </w:r>
      <w:r w:rsidR="00765CD1">
        <w:rPr>
          <w:noProof/>
        </w:rPr>
        <w:fldChar w:fldCharType="end"/>
      </w:r>
    </w:p>
    <w:p w:rsidR="00116868" w:rsidRDefault="0011686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How well does the ‘life tables’ approach work?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_Toc296933768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13</w:t>
      </w:r>
      <w:r w:rsidR="00765CD1">
        <w:rPr>
          <w:noProof/>
        </w:rPr>
        <w:fldChar w:fldCharType="end"/>
      </w:r>
    </w:p>
    <w:p w:rsidR="00116868" w:rsidRDefault="00116868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Estimates for latest commencing cohorts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_Toc296933769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14</w:t>
      </w:r>
      <w:r w:rsidR="00765CD1">
        <w:rPr>
          <w:noProof/>
        </w:rPr>
        <w:fldChar w:fldCharType="end"/>
      </w:r>
    </w:p>
    <w:p w:rsidR="00116868" w:rsidRDefault="00116868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Concluding comments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_Toc296933770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17</w:t>
      </w:r>
      <w:r w:rsidR="00765CD1">
        <w:rPr>
          <w:noProof/>
        </w:rPr>
        <w:fldChar w:fldCharType="end"/>
      </w:r>
    </w:p>
    <w:p w:rsidR="00116868" w:rsidRDefault="00116868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References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_Toc296933771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18</w:t>
      </w:r>
      <w:r w:rsidR="00765CD1">
        <w:rPr>
          <w:noProof/>
        </w:rPr>
        <w:fldChar w:fldCharType="end"/>
      </w:r>
    </w:p>
    <w:p w:rsidR="00C2187C" w:rsidRDefault="00765CD1">
      <w:pPr>
        <w:pStyle w:val="TOC1"/>
      </w:pPr>
      <w:r>
        <w:fldChar w:fldCharType="end"/>
      </w:r>
    </w:p>
    <w:p w:rsidR="007106BC" w:rsidRDefault="00C2187C" w:rsidP="00AF224A">
      <w:pPr>
        <w:pStyle w:val="Heading1"/>
      </w:pPr>
      <w:r>
        <w:br w:type="page"/>
      </w:r>
      <w:bookmarkStart w:id="8" w:name="_Toc457122463"/>
      <w:r w:rsidR="007106BC">
        <w:lastRenderedPageBreak/>
        <w:br/>
      </w:r>
      <w:r w:rsidR="007106BC">
        <w:br/>
      </w:r>
      <w:bookmarkStart w:id="9" w:name="_Toc296933762"/>
      <w:r w:rsidR="007106BC">
        <w:t xml:space="preserve">Tables and </w:t>
      </w:r>
      <w:r w:rsidR="007106BC" w:rsidRPr="00AF224A">
        <w:t>figures</w:t>
      </w:r>
      <w:bookmarkEnd w:id="9"/>
    </w:p>
    <w:p w:rsidR="00CB5F46" w:rsidRDefault="00CB5F46" w:rsidP="00CB5F46">
      <w:pPr>
        <w:pStyle w:val="Heading3"/>
        <w:spacing w:before="440"/>
        <w:ind w:firstLine="2268"/>
      </w:pPr>
      <w:r>
        <w:t>Tables</w:t>
      </w:r>
    </w:p>
    <w:p w:rsidR="00116868" w:rsidRDefault="00765CD1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765CD1">
        <w:fldChar w:fldCharType="begin"/>
      </w:r>
      <w:r w:rsidR="007106BC">
        <w:instrText xml:space="preserve"> TOC \f F \t "tabletitle" \c </w:instrText>
      </w:r>
      <w:r w:rsidRPr="00765CD1">
        <w:fldChar w:fldCharType="separate"/>
      </w:r>
      <w:r w:rsidR="00116868">
        <w:rPr>
          <w:noProof/>
        </w:rPr>
        <w:t>1</w:t>
      </w:r>
      <w:r w:rsidR="00116868">
        <w:rPr>
          <w:rFonts w:asciiTheme="minorHAnsi" w:eastAsiaTheme="minorEastAsia" w:hAnsiTheme="minorHAnsi" w:cstheme="minorBidi"/>
          <w:noProof/>
          <w:szCs w:val="22"/>
        </w:rPr>
        <w:tab/>
      </w:r>
      <w:r w:rsidR="00116868">
        <w:rPr>
          <w:noProof/>
        </w:rPr>
        <w:t xml:space="preserve">Number of completed, cancelled/withdrawn and </w:t>
      </w:r>
      <w:r w:rsidR="00116868">
        <w:rPr>
          <w:noProof/>
        </w:rPr>
        <w:br/>
        <w:t>continuing contracts of training by commencing quarter</w:t>
      </w:r>
      <w:r w:rsidR="00116868">
        <w:rPr>
          <w:noProof/>
        </w:rPr>
        <w:tab/>
      </w:r>
      <w:r>
        <w:rPr>
          <w:noProof/>
        </w:rPr>
        <w:fldChar w:fldCharType="begin"/>
      </w:r>
      <w:r w:rsidR="00116868">
        <w:rPr>
          <w:noProof/>
        </w:rPr>
        <w:instrText xml:space="preserve"> PAGEREF _Toc296933795 \h </w:instrText>
      </w:r>
      <w:r>
        <w:rPr>
          <w:noProof/>
        </w:rPr>
      </w:r>
      <w:r>
        <w:rPr>
          <w:noProof/>
        </w:rPr>
        <w:fldChar w:fldCharType="separate"/>
      </w:r>
      <w:r w:rsidR="00116868">
        <w:rPr>
          <w:noProof/>
        </w:rPr>
        <w:t>9</w:t>
      </w:r>
      <w:r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872A99">
        <w:rPr>
          <w:bCs/>
          <w:noProof/>
        </w:rPr>
        <w:t>2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872A99">
        <w:rPr>
          <w:bCs/>
          <w:noProof/>
        </w:rPr>
        <w:t xml:space="preserve">Completed, cancelled/withdrawn and continuing </w:t>
      </w:r>
      <w:r>
        <w:rPr>
          <w:bCs/>
          <w:noProof/>
        </w:rPr>
        <w:br/>
      </w:r>
      <w:r w:rsidRPr="00872A99">
        <w:rPr>
          <w:bCs/>
          <w:noProof/>
        </w:rPr>
        <w:t>transition probabilities by commencing quarter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_Toc296933796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10</w:t>
      </w:r>
      <w:r w:rsidR="00765CD1"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872A99">
        <w:rPr>
          <w:bCs/>
          <w:noProof/>
        </w:rPr>
        <w:t>3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872A99">
        <w:rPr>
          <w:bCs/>
          <w:noProof/>
        </w:rPr>
        <w:t xml:space="preserve">Cross-sectional transition probabilities for cohort </w:t>
      </w:r>
      <w:r>
        <w:rPr>
          <w:bCs/>
          <w:noProof/>
        </w:rPr>
        <w:br/>
      </w:r>
      <w:r w:rsidRPr="00872A99">
        <w:rPr>
          <w:bCs/>
          <w:noProof/>
        </w:rPr>
        <w:t>commencing quarter four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_Toc296933797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11</w:t>
      </w:r>
      <w:r w:rsidR="00765CD1"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872A99">
        <w:rPr>
          <w:bCs/>
          <w:noProof/>
        </w:rPr>
        <w:t>4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872A99">
        <w:rPr>
          <w:bCs/>
          <w:noProof/>
        </w:rPr>
        <w:t xml:space="preserve">‘Flipped’ cross-sectional transition probabilities for </w:t>
      </w:r>
      <w:r>
        <w:rPr>
          <w:bCs/>
          <w:noProof/>
        </w:rPr>
        <w:br/>
      </w:r>
      <w:r w:rsidRPr="00872A99">
        <w:rPr>
          <w:bCs/>
          <w:noProof/>
        </w:rPr>
        <w:t>cohort commencing quarter four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_Toc296933798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11</w:t>
      </w:r>
      <w:r w:rsidR="00765CD1"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872A99">
        <w:rPr>
          <w:bCs/>
          <w:noProof/>
        </w:rPr>
        <w:t>5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872A99">
        <w:rPr>
          <w:bCs/>
          <w:noProof/>
        </w:rPr>
        <w:t xml:space="preserve">Cumulative cross-sectional rates for cohort commencing </w:t>
      </w:r>
      <w:r>
        <w:rPr>
          <w:bCs/>
          <w:noProof/>
        </w:rPr>
        <w:br/>
      </w:r>
      <w:r w:rsidRPr="00872A99">
        <w:rPr>
          <w:bCs/>
          <w:noProof/>
        </w:rPr>
        <w:t>quarter four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_Toc296933799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11</w:t>
      </w:r>
      <w:r w:rsidR="00765CD1">
        <w:rPr>
          <w:noProof/>
        </w:rPr>
        <w:fldChar w:fldCharType="end"/>
      </w:r>
    </w:p>
    <w:p w:rsidR="00116868" w:rsidRDefault="00765CD1" w:rsidP="00CB5F46">
      <w:pPr>
        <w:pStyle w:val="Heading3"/>
        <w:ind w:firstLine="2268"/>
        <w:rPr>
          <w:noProof/>
        </w:rPr>
      </w:pPr>
      <w:r>
        <w:fldChar w:fldCharType="end"/>
      </w:r>
      <w:r w:rsidR="00CB5F46" w:rsidRPr="00CB5F46">
        <w:t>Figures</w:t>
      </w:r>
      <w:r w:rsidRPr="00765CD1">
        <w:fldChar w:fldCharType="begin"/>
      </w:r>
      <w:r w:rsidR="007106BC" w:rsidRPr="00CB5F46">
        <w:instrText xml:space="preserve"> TOC \t "Figuretitle" \c </w:instrText>
      </w:r>
      <w:r w:rsidRPr="00765CD1">
        <w:fldChar w:fldCharType="separate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 xml:space="preserve">Cross-sectional and actual completion and attrition rates </w:t>
      </w:r>
      <w:r>
        <w:rPr>
          <w:noProof/>
        </w:rPr>
        <w:br/>
        <w:t>for cohort commencing September quarter, 2005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_Toc296933803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13</w:t>
      </w:r>
      <w:r w:rsidR="00765CD1"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 w:rsidRPr="00AC288C">
        <w:rPr>
          <w:bCs/>
          <w:noProof/>
        </w:rPr>
        <w:t>2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AC288C">
        <w:rPr>
          <w:bCs/>
          <w:noProof/>
        </w:rPr>
        <w:t>Cross-sectional completion and attrition rates for cohorts commencing December quarter, 2007–09, trades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_Toc296933804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14</w:t>
      </w:r>
      <w:r w:rsidR="00765CD1">
        <w:rPr>
          <w:noProof/>
        </w:rPr>
        <w:fldChar w:fldCharType="end"/>
      </w:r>
    </w:p>
    <w:p w:rsidR="00116868" w:rsidRDefault="00116868">
      <w:pPr>
        <w:pStyle w:val="TableofFigures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Cross-sectional completion and attrition rates for cohorts commencing December quarter, 2007–09, non-trades</w:t>
      </w:r>
      <w:r>
        <w:rPr>
          <w:noProof/>
        </w:rPr>
        <w:tab/>
      </w:r>
      <w:r w:rsidR="00765CD1">
        <w:rPr>
          <w:noProof/>
        </w:rPr>
        <w:fldChar w:fldCharType="begin"/>
      </w:r>
      <w:r>
        <w:rPr>
          <w:noProof/>
        </w:rPr>
        <w:instrText xml:space="preserve"> PAGEREF _Toc296933805 \h </w:instrText>
      </w:r>
      <w:r w:rsidR="00765CD1">
        <w:rPr>
          <w:noProof/>
        </w:rPr>
      </w:r>
      <w:r w:rsidR="00765CD1">
        <w:rPr>
          <w:noProof/>
        </w:rPr>
        <w:fldChar w:fldCharType="separate"/>
      </w:r>
      <w:r>
        <w:rPr>
          <w:noProof/>
        </w:rPr>
        <w:t>15</w:t>
      </w:r>
      <w:r w:rsidR="00765CD1">
        <w:rPr>
          <w:noProof/>
        </w:rPr>
        <w:fldChar w:fldCharType="end"/>
      </w:r>
    </w:p>
    <w:p w:rsidR="00C2187C" w:rsidRDefault="00765CD1" w:rsidP="004D27A8">
      <w:pPr>
        <w:pStyle w:val="Text"/>
        <w:tabs>
          <w:tab w:val="center" w:pos="4536"/>
        </w:tabs>
      </w:pPr>
      <w:r>
        <w:fldChar w:fldCharType="end"/>
      </w:r>
    </w:p>
    <w:p w:rsidR="007106BC" w:rsidRDefault="00C2187C" w:rsidP="00C2187C">
      <w:pPr>
        <w:pStyle w:val="Heading1"/>
      </w:pPr>
      <w:r>
        <w:br w:type="page"/>
      </w:r>
      <w:bookmarkEnd w:id="8"/>
      <w:r w:rsidR="007106BC">
        <w:lastRenderedPageBreak/>
        <w:br/>
      </w:r>
      <w:r w:rsidR="007106BC">
        <w:br/>
      </w:r>
      <w:bookmarkStart w:id="10" w:name="_Toc296933763"/>
      <w:r w:rsidR="008D3762">
        <w:t>Introduction</w:t>
      </w:r>
      <w:bookmarkEnd w:id="10"/>
    </w:p>
    <w:p w:rsidR="008D3762" w:rsidRPr="00AF224A" w:rsidRDefault="008D3762" w:rsidP="00AF224A">
      <w:pPr>
        <w:pStyle w:val="Text"/>
        <w:spacing w:before="440"/>
      </w:pPr>
      <w:r>
        <w:t xml:space="preserve">The proportion of apprentices and trainees completing their contract of training has received considerable attention in recent years. To support public discussion, </w:t>
      </w:r>
      <w:r w:rsidR="00985006">
        <w:t>the National Centre for Vocational Education Research (</w:t>
      </w:r>
      <w:r>
        <w:t>NCVER</w:t>
      </w:r>
      <w:r w:rsidR="00985006">
        <w:t>)</w:t>
      </w:r>
      <w:r>
        <w:t xml:space="preserve"> has been publishing tabulations of both completion rates and</w:t>
      </w:r>
      <w:r w:rsidR="006F2D11">
        <w:t xml:space="preserve"> attrition </w:t>
      </w:r>
      <w:r w:rsidR="006F2D11" w:rsidRPr="00AA6594">
        <w:t>rates</w:t>
      </w:r>
      <w:r w:rsidR="00AA6594" w:rsidRPr="00AA6594">
        <w:t xml:space="preserve"> in its annual apprenticeship and traineeship statistical bulletin</w:t>
      </w:r>
      <w:r w:rsidR="006F2D11" w:rsidRPr="00AA6594">
        <w:t xml:space="preserve"> </w:t>
      </w:r>
      <w:r w:rsidR="00AA6594" w:rsidRPr="00AA6594">
        <w:t>(</w:t>
      </w:r>
      <w:r w:rsidR="006F2D11" w:rsidRPr="00AA6594">
        <w:t>NCVER 2010</w:t>
      </w:r>
      <w:r w:rsidRPr="00AA6594">
        <w:t>). Both measu</w:t>
      </w:r>
      <w:r w:rsidRPr="00016C2C">
        <w:t>res are closely related</w:t>
      </w:r>
      <w:r w:rsidR="00F07FB9">
        <w:t>, since by definition</w:t>
      </w:r>
      <w:r w:rsidR="00967779">
        <w:t>,</w:t>
      </w:r>
      <w:r w:rsidRPr="00016C2C">
        <w:t xml:space="preserve"> once the contract of training has </w:t>
      </w:r>
      <w:r w:rsidR="00B345E9">
        <w:t>e</w:t>
      </w:r>
      <w:r w:rsidRPr="00016C2C">
        <w:t>xpired</w:t>
      </w:r>
      <w:r w:rsidR="00F07FB9">
        <w:t>,</w:t>
      </w:r>
      <w:r w:rsidRPr="00016C2C">
        <w:t xml:space="preserve"> an individual must have either completed or not. The advantage of an</w:t>
      </w:r>
      <w:r>
        <w:t xml:space="preserve"> attrition rate is that it has a time dimension, so we can say </w:t>
      </w:r>
      <w:r w:rsidR="00534521">
        <w:t>what proportion of</w:t>
      </w:r>
      <w:r>
        <w:t xml:space="preserve"> apprentices or trainees have withdrawn (or had their contract cancelled) within three months of commencement, six months and so on. While one could calculate a progressive completion rate in </w:t>
      </w:r>
      <w:r w:rsidRPr="00AF224A">
        <w:t>the same way</w:t>
      </w:r>
      <w:r w:rsidR="00723117" w:rsidRPr="00AF224A">
        <w:t>,</w:t>
      </w:r>
      <w:r w:rsidRPr="00AF224A">
        <w:t xml:space="preserve"> this </w:t>
      </w:r>
      <w:r w:rsidR="004A5D1A" w:rsidRPr="00AF224A">
        <w:t>makes</w:t>
      </w:r>
      <w:r w:rsidRPr="00AF224A">
        <w:t xml:space="preserve"> less sense because comp</w:t>
      </w:r>
      <w:r w:rsidR="004A5D1A" w:rsidRPr="00AF224A">
        <w:t>letion typically involves a pre</w:t>
      </w:r>
      <w:r w:rsidRPr="00AF224A">
        <w:t>determined amount of time.</w:t>
      </w:r>
    </w:p>
    <w:p w:rsidR="004B47DC" w:rsidRPr="00AF224A" w:rsidRDefault="008D3762" w:rsidP="00AF224A">
      <w:pPr>
        <w:pStyle w:val="Text"/>
      </w:pPr>
      <w:r w:rsidRPr="00AF224A">
        <w:t xml:space="preserve">The approach taken by NCVER </w:t>
      </w:r>
      <w:r w:rsidR="00646B97" w:rsidRPr="00AF224A">
        <w:t xml:space="preserve">in the past </w:t>
      </w:r>
      <w:r w:rsidR="007A00B8" w:rsidRPr="00AF224A">
        <w:t>was</w:t>
      </w:r>
      <w:r w:rsidR="00AA6594" w:rsidRPr="00AF224A">
        <w:t xml:space="preserve"> </w:t>
      </w:r>
      <w:r w:rsidRPr="00AF224A">
        <w:t xml:space="preserve">to identify a commencing cohort and follow it over time. </w:t>
      </w:r>
      <w:r w:rsidR="00646B97" w:rsidRPr="00AF224A">
        <w:t xml:space="preserve">One drawback of this </w:t>
      </w:r>
      <w:r w:rsidR="00183F72" w:rsidRPr="00AF224A">
        <w:t>method</w:t>
      </w:r>
      <w:r w:rsidR="00646B97" w:rsidRPr="00AF224A">
        <w:t xml:space="preserve"> was</w:t>
      </w:r>
      <w:r w:rsidRPr="00AF224A">
        <w:t xml:space="preserve"> that the resultant completion and attri</w:t>
      </w:r>
      <w:r w:rsidR="00CC5EF4" w:rsidRPr="00AF224A">
        <w:t>tion rates refer</w:t>
      </w:r>
      <w:r w:rsidR="00646B97" w:rsidRPr="00AF224A">
        <w:t>red</w:t>
      </w:r>
      <w:r w:rsidR="00CC5EF4" w:rsidRPr="00AF224A">
        <w:t xml:space="preserve"> to cohorts which</w:t>
      </w:r>
      <w:r w:rsidR="00183F72" w:rsidRPr="00AF224A">
        <w:t xml:space="preserve"> commenced quite some time</w:t>
      </w:r>
      <w:r w:rsidRPr="00AF224A">
        <w:t xml:space="preserve"> earlier.</w:t>
      </w:r>
      <w:r w:rsidR="004B47DC" w:rsidRPr="00AF224A">
        <w:t xml:space="preserve"> </w:t>
      </w:r>
      <w:r w:rsidRPr="00AF224A">
        <w:t>Th</w:t>
      </w:r>
      <w:r w:rsidR="00CC5EF4" w:rsidRPr="00AF224A">
        <w:t>is is because th</w:t>
      </w:r>
      <w:r w:rsidRPr="00AF224A">
        <w:t>ere are lags in the data</w:t>
      </w:r>
      <w:r w:rsidR="00A1016E" w:rsidRPr="00AF224A">
        <w:t>,</w:t>
      </w:r>
      <w:r w:rsidRPr="00AF224A">
        <w:t xml:space="preserve"> which mean that completions and </w:t>
      </w:r>
      <w:r w:rsidR="00EE320B" w:rsidRPr="00AF224A">
        <w:t>cancellations/</w:t>
      </w:r>
      <w:r w:rsidRPr="00AF224A">
        <w:t>withdrawals are estimated for recent quarters. While these estimates are fine for aggregates</w:t>
      </w:r>
      <w:r w:rsidR="00723117" w:rsidRPr="00AF224A">
        <w:t>,</w:t>
      </w:r>
      <w:r w:rsidRPr="00AF224A">
        <w:t xml:space="preserve"> they must be discarded for the cohort analysis </w:t>
      </w:r>
      <w:r w:rsidR="00A1016E" w:rsidRPr="00AF224A">
        <w:t>that</w:t>
      </w:r>
      <w:r w:rsidRPr="00AF224A">
        <w:t xml:space="preserve"> matches individual contracts over time.</w:t>
      </w:r>
      <w:r w:rsidR="00646B97" w:rsidRPr="00AF224A">
        <w:t xml:space="preserve"> </w:t>
      </w:r>
      <w:r w:rsidR="00D6453B" w:rsidRPr="00AF224A">
        <w:t xml:space="preserve">For this reason, NCVER has changed its approach and now </w:t>
      </w:r>
      <w:r w:rsidR="002F491A" w:rsidRPr="00AF224A">
        <w:t xml:space="preserve">calculates </w:t>
      </w:r>
      <w:r w:rsidR="00D6453B" w:rsidRPr="00AF224A">
        <w:t>completion and attrition rates from tabulations of completions and cancellations/withdrawals within particular quarters, for particular commencing cohorts (see NCVER 2010). However, because of the durations involved</w:t>
      </w:r>
      <w:r w:rsidR="000B6FF0" w:rsidRPr="00AF224A">
        <w:t xml:space="preserve">, </w:t>
      </w:r>
      <w:r w:rsidR="000025B0" w:rsidRPr="00AF224A">
        <w:t xml:space="preserve">the resultant rates will never refer to the </w:t>
      </w:r>
      <w:r w:rsidR="00511FAE" w:rsidRPr="00AF224A">
        <w:t xml:space="preserve">very </w:t>
      </w:r>
      <w:r w:rsidR="000025B0" w:rsidRPr="00AF224A">
        <w:t>latest commencing cohorts.</w:t>
      </w:r>
      <w:r w:rsidR="00A1016E" w:rsidRPr="00AF224A">
        <w:t xml:space="preserve"> </w:t>
      </w:r>
      <w:r w:rsidR="000B6FF0" w:rsidRPr="00AF224A">
        <w:t>A traditional trade apprenticeship typically takes four years to complete, while a non-trade traineeship is shorter, around two years for the higher levels.</w:t>
      </w:r>
    </w:p>
    <w:p w:rsidR="008D3762" w:rsidRPr="00AF224A" w:rsidRDefault="008D3762" w:rsidP="00AF224A">
      <w:pPr>
        <w:pStyle w:val="Text"/>
      </w:pPr>
      <w:r w:rsidRPr="00AF224A">
        <w:t xml:space="preserve">The economic downturn </w:t>
      </w:r>
      <w:r w:rsidR="000B6FF0" w:rsidRPr="00AF224A">
        <w:t>provided</w:t>
      </w:r>
      <w:r w:rsidRPr="00AF224A">
        <w:t xml:space="preserve"> the impetus </w:t>
      </w:r>
      <w:r w:rsidR="000B6FF0" w:rsidRPr="00AF224A">
        <w:t>for</w:t>
      </w:r>
      <w:r w:rsidRPr="00AF224A">
        <w:t xml:space="preserve"> the development of </w:t>
      </w:r>
      <w:r w:rsidR="00CC5EF4" w:rsidRPr="00AF224A">
        <w:t>completion and att</w:t>
      </w:r>
      <w:r w:rsidR="00305BE4" w:rsidRPr="00AF224A">
        <w:t>rition rates for the latest</w:t>
      </w:r>
      <w:r w:rsidR="00CC5EF4" w:rsidRPr="00AF224A">
        <w:t xml:space="preserve"> commencing cohorts. </w:t>
      </w:r>
      <w:r w:rsidRPr="00AF224A">
        <w:t xml:space="preserve">In one sense, </w:t>
      </w:r>
      <w:r w:rsidR="00155DFF" w:rsidRPr="00AF224A">
        <w:t xml:space="preserve">arriving at </w:t>
      </w:r>
      <w:r w:rsidR="00303DCC" w:rsidRPr="00AF224A">
        <w:t>such up-to-</w:t>
      </w:r>
      <w:r w:rsidR="00305BE4" w:rsidRPr="00AF224A">
        <w:t xml:space="preserve">date </w:t>
      </w:r>
      <w:r w:rsidRPr="00AF224A">
        <w:t xml:space="preserve">estimates </w:t>
      </w:r>
      <w:proofErr w:type="gramStart"/>
      <w:r w:rsidRPr="00AF224A">
        <w:t>are</w:t>
      </w:r>
      <w:proofErr w:type="gramEnd"/>
      <w:r w:rsidRPr="00AF224A">
        <w:t xml:space="preserve"> </w:t>
      </w:r>
      <w:r w:rsidR="00155DFF" w:rsidRPr="00AF224A">
        <w:t>impossible,</w:t>
      </w:r>
      <w:r w:rsidRPr="00AF224A">
        <w:t xml:space="preserve"> because we will not observe the outcomes of the latest commencing cohort</w:t>
      </w:r>
      <w:r w:rsidR="00305BE4" w:rsidRPr="00AF224A">
        <w:t>s</w:t>
      </w:r>
      <w:r w:rsidRPr="00AF224A">
        <w:t xml:space="preserve"> for</w:t>
      </w:r>
      <w:r w:rsidR="00303DCC" w:rsidRPr="00AF224A">
        <w:t xml:space="preserve"> some years. However, up-to-</w:t>
      </w:r>
      <w:r w:rsidR="00305BE4" w:rsidRPr="00AF224A">
        <w:t>date</w:t>
      </w:r>
      <w:r w:rsidRPr="00AF224A">
        <w:t xml:space="preserve"> estimates are possible if they are modelled using recent cross-sectional data to mimic data with a time dimension. This is the basic approach used in the construction of </w:t>
      </w:r>
      <w:r w:rsidR="00EE320B" w:rsidRPr="00AF224A">
        <w:t>‘</w:t>
      </w:r>
      <w:r w:rsidRPr="00AF224A">
        <w:t>life tables</w:t>
      </w:r>
      <w:r w:rsidR="00EE320B" w:rsidRPr="00AF224A">
        <w:t>’</w:t>
      </w:r>
      <w:r w:rsidRPr="00AF224A">
        <w:t>.</w:t>
      </w:r>
    </w:p>
    <w:p w:rsidR="00FB34E9" w:rsidRPr="00AF224A" w:rsidRDefault="008D3762" w:rsidP="00AF224A">
      <w:pPr>
        <w:pStyle w:val="Text"/>
      </w:pPr>
      <w:r w:rsidRPr="00AF224A">
        <w:t>The purpose of this paper is to de</w:t>
      </w:r>
      <w:r w:rsidR="00EE320B" w:rsidRPr="00AF224A">
        <w:t xml:space="preserve">velop a model which does this. </w:t>
      </w:r>
      <w:r w:rsidR="00D6453B" w:rsidRPr="00AF224A">
        <w:t xml:space="preserve">The next section </w:t>
      </w:r>
      <w:r w:rsidR="00725424" w:rsidRPr="00AF224A">
        <w:t>develops</w:t>
      </w:r>
      <w:r w:rsidR="000025B0" w:rsidRPr="00AF224A">
        <w:t xml:space="preserve"> the methodology, </w:t>
      </w:r>
      <w:r w:rsidR="007E50A5" w:rsidRPr="00AF224A">
        <w:t>beginning</w:t>
      </w:r>
      <w:r w:rsidR="000025B0" w:rsidRPr="00AF224A">
        <w:t xml:space="preserve"> with the calculation of what we term ‘transition probabilities’. These simply compare the number o</w:t>
      </w:r>
      <w:r w:rsidR="007E50A5" w:rsidRPr="00AF224A">
        <w:t>f apprentices and trainees who</w:t>
      </w:r>
      <w:r w:rsidR="000025B0" w:rsidRPr="00AF224A">
        <w:t xml:space="preserve"> completed or</w:t>
      </w:r>
      <w:r w:rsidR="00FB34E9" w:rsidRPr="00AF224A">
        <w:t xml:space="preserve"> were cancelled/withdra</w:t>
      </w:r>
      <w:r w:rsidR="000025B0" w:rsidRPr="00AF224A">
        <w:t>w</w:t>
      </w:r>
      <w:r w:rsidR="00FB34E9" w:rsidRPr="00AF224A">
        <w:t>n</w:t>
      </w:r>
      <w:r w:rsidR="000025B0" w:rsidRPr="00AF224A">
        <w:t xml:space="preserve"> in a quarter with the number surviving to the previous quarter</w:t>
      </w:r>
      <w:r w:rsidR="004A499D" w:rsidRPr="00AF224A">
        <w:t>, conditional on the period of time since commencement of the apprenticeship or traineeship.</w:t>
      </w:r>
      <w:r w:rsidR="002B695F" w:rsidRPr="00AF224A">
        <w:t xml:space="preserve"> The crux of the method is the assumption that the latest commencing cohorts will behave according to the cross-sectional transitions derived. W</w:t>
      </w:r>
      <w:r w:rsidR="00D37222" w:rsidRPr="00AF224A">
        <w:t>e use a simple and con</w:t>
      </w:r>
      <w:r w:rsidR="002B695F" w:rsidRPr="00AF224A">
        <w:t>trived example to illustrate this</w:t>
      </w:r>
      <w:r w:rsidR="00D37222" w:rsidRPr="00AF224A">
        <w:t xml:space="preserve">, </w:t>
      </w:r>
      <w:r w:rsidR="00744238" w:rsidRPr="00AF224A">
        <w:t>along with</w:t>
      </w:r>
      <w:r w:rsidR="00D37222" w:rsidRPr="00AF224A">
        <w:t xml:space="preserve"> the formal mathematical notation.</w:t>
      </w:r>
    </w:p>
    <w:p w:rsidR="0037249B" w:rsidRDefault="00D37222" w:rsidP="00AF224A">
      <w:pPr>
        <w:pStyle w:val="Text"/>
      </w:pPr>
      <w:r w:rsidRPr="00AF224A">
        <w:t>One drawback of our</w:t>
      </w:r>
      <w:r w:rsidR="000025B0" w:rsidRPr="00AF224A">
        <w:t xml:space="preserve"> approach is that </w:t>
      </w:r>
      <w:r w:rsidRPr="00AF224A">
        <w:t xml:space="preserve">it inherently assumes </w:t>
      </w:r>
      <w:r w:rsidR="00FE7634">
        <w:t xml:space="preserve">that </w:t>
      </w:r>
      <w:r>
        <w:t xml:space="preserve">all commencements occur at a point in time, specifically the beginning of each quarter, </w:t>
      </w:r>
      <w:r w:rsidR="00725424">
        <w:t>rather than</w:t>
      </w:r>
      <w:r w:rsidR="006107B0">
        <w:t xml:space="preserve"> </w:t>
      </w:r>
      <w:r>
        <w:t xml:space="preserve">allowing for commencements to occur over the whole quarter. </w:t>
      </w:r>
      <w:r w:rsidR="006107B0">
        <w:t xml:space="preserve">However, </w:t>
      </w:r>
      <w:r w:rsidR="00155DFF">
        <w:t>taking this factor into account</w:t>
      </w:r>
      <w:r>
        <w:t xml:space="preserve"> </w:t>
      </w:r>
      <w:r w:rsidR="00635218">
        <w:t xml:space="preserve">greatly </w:t>
      </w:r>
      <w:r>
        <w:t>complicate</w:t>
      </w:r>
      <w:r w:rsidR="007A00B8">
        <w:t>s</w:t>
      </w:r>
      <w:r>
        <w:t xml:space="preserve"> the estimation of </w:t>
      </w:r>
      <w:r w:rsidR="00635218">
        <w:t xml:space="preserve">the </w:t>
      </w:r>
      <w:r>
        <w:t xml:space="preserve">transitions. </w:t>
      </w:r>
      <w:r w:rsidR="004E63AB">
        <w:t>O</w:t>
      </w:r>
      <w:r w:rsidR="005106F5">
        <w:t>ne way around the issue</w:t>
      </w:r>
      <w:r w:rsidR="001939B3">
        <w:t xml:space="preserve"> is to </w:t>
      </w:r>
      <w:r w:rsidR="00635218">
        <w:t xml:space="preserve">simply </w:t>
      </w:r>
      <w:r w:rsidR="001939B3">
        <w:t xml:space="preserve">assume that all </w:t>
      </w:r>
      <w:r w:rsidR="001939B3">
        <w:lastRenderedPageBreak/>
        <w:t>commencements in the first quarter begin at exactly half way through the quarter</w:t>
      </w:r>
      <w:r w:rsidR="00635218">
        <w:t xml:space="preserve">, so that the resultant completion and attrition rates refer to 0.5 quarter, 1.5 quarters, </w:t>
      </w:r>
      <w:proofErr w:type="gramStart"/>
      <w:r w:rsidR="00635218">
        <w:t>2.5</w:t>
      </w:r>
      <w:proofErr w:type="gramEnd"/>
      <w:r w:rsidR="00635218">
        <w:t xml:space="preserve"> quarters and so on</w:t>
      </w:r>
      <w:r w:rsidR="001939B3">
        <w:t>.</w:t>
      </w:r>
    </w:p>
    <w:p w:rsidR="00F16110" w:rsidRPr="00AF224A" w:rsidRDefault="00F40D4E" w:rsidP="00AF224A">
      <w:pPr>
        <w:pStyle w:val="Text"/>
      </w:pPr>
      <w:r>
        <w:t xml:space="preserve">Before presenting completion and attrition rates for the latest commencing cohorts, we test how well the ‘life tables’ approach works when applied to </w:t>
      </w:r>
      <w:r w:rsidR="004A499D">
        <w:t xml:space="preserve">historical </w:t>
      </w:r>
      <w:r>
        <w:t xml:space="preserve">apprenticeship and </w:t>
      </w:r>
      <w:r w:rsidRPr="00DF65DE">
        <w:t>traineeship data</w:t>
      </w:r>
      <w:r w:rsidR="009A399E" w:rsidRPr="00DF65DE">
        <w:t xml:space="preserve"> (</w:t>
      </w:r>
      <w:r w:rsidR="00155DFF">
        <w:t xml:space="preserve">the third </w:t>
      </w:r>
      <w:r w:rsidR="009A399E" w:rsidRPr="00DF65DE">
        <w:t>section)</w:t>
      </w:r>
      <w:r w:rsidRPr="00DF65DE">
        <w:t>.</w:t>
      </w:r>
      <w:r w:rsidR="009A399E" w:rsidRPr="00DF65DE">
        <w:t xml:space="preserve"> To do this we take a cohort which commenced quite some time earlier, </w:t>
      </w:r>
      <w:r w:rsidR="00DF65DE" w:rsidRPr="00DF65DE">
        <w:t>the September quarter 2005</w:t>
      </w:r>
      <w:r w:rsidR="009A399E" w:rsidRPr="00DF65DE">
        <w:t>, and calculate actual completion and attrition rates</w:t>
      </w:r>
      <w:r w:rsidR="005106F5">
        <w:t xml:space="preserve"> from the latest data</w:t>
      </w:r>
      <w:r w:rsidR="00F16110" w:rsidRPr="00DF65DE">
        <w:t xml:space="preserve"> </w:t>
      </w:r>
      <w:r w:rsidR="00183F72">
        <w:t xml:space="preserve">available. We then match these with </w:t>
      </w:r>
      <w:r w:rsidR="009A399E" w:rsidRPr="00DF65DE">
        <w:t>the cross-sectional</w:t>
      </w:r>
      <w:r w:rsidR="009A399E">
        <w:t xml:space="preserve"> rates implied by the model</w:t>
      </w:r>
      <w:r w:rsidR="00183F72">
        <w:t xml:space="preserve">, </w:t>
      </w:r>
      <w:r w:rsidR="00791423">
        <w:t>using</w:t>
      </w:r>
      <w:r w:rsidR="005106F5">
        <w:t xml:space="preserve"> data</w:t>
      </w:r>
      <w:r w:rsidR="00183F72">
        <w:t xml:space="preserve"> </w:t>
      </w:r>
      <w:r w:rsidR="00791423">
        <w:t xml:space="preserve">as </w:t>
      </w:r>
      <w:r w:rsidR="003E7538">
        <w:t>they were</w:t>
      </w:r>
      <w:r w:rsidR="00791423">
        <w:t xml:space="preserve"> </w:t>
      </w:r>
      <w:r w:rsidR="00183F72">
        <w:t>first reported for that cohort</w:t>
      </w:r>
      <w:r w:rsidR="009A399E">
        <w:t>.</w:t>
      </w:r>
      <w:r w:rsidR="005D2412">
        <w:t xml:space="preserve"> </w:t>
      </w:r>
      <w:r w:rsidR="005D2412" w:rsidRPr="00401298">
        <w:t xml:space="preserve">The </w:t>
      </w:r>
      <w:r w:rsidR="005D2412" w:rsidRPr="00AF224A">
        <w:t>results show that the two are remarkably similar.</w:t>
      </w:r>
      <w:r w:rsidR="00726495" w:rsidRPr="00AF224A">
        <w:t xml:space="preserve"> For completion, the cross-sectional rates follow the actual rates closely b</w:t>
      </w:r>
      <w:r w:rsidR="00F439B1" w:rsidRPr="00AF224A">
        <w:t>efore diverging slightly in lat</w:t>
      </w:r>
      <w:r w:rsidR="00726495" w:rsidRPr="00AF224A">
        <w:t>er quarter</w:t>
      </w:r>
      <w:r w:rsidR="00F439B1" w:rsidRPr="00AF224A">
        <w:t>s</w:t>
      </w:r>
      <w:r w:rsidR="00726495" w:rsidRPr="00AF224A">
        <w:t>. For attrition, there is virtually no difference between the two for the whole time period</w:t>
      </w:r>
      <w:r w:rsidR="005D2412" w:rsidRPr="00AF224A">
        <w:t>.</w:t>
      </w:r>
    </w:p>
    <w:p w:rsidR="004A499D" w:rsidRPr="00AF224A" w:rsidRDefault="004A499D" w:rsidP="00AF224A">
      <w:pPr>
        <w:pStyle w:val="Text"/>
      </w:pPr>
      <w:r w:rsidRPr="00AF224A">
        <w:t>While these results are reassuring, we emphasise that the cross-section est</w:t>
      </w:r>
      <w:r w:rsidR="00A97D29" w:rsidRPr="00AF224A">
        <w:t>imates are based on the quarter-to-</w:t>
      </w:r>
      <w:r w:rsidRPr="00AF224A">
        <w:t>quarter transition probabilities, for various periods since commencement, as observed at a specific quarter. Thus the cross-sectional estimates can be interpreted as a completion rate based on the information available at the time point in question rather than as an estimate of a rate that has not yet been observed. Under this interpretation, the cross-section</w:t>
      </w:r>
      <w:r w:rsidR="00A97D29" w:rsidRPr="00AF224A">
        <w:t>al</w:t>
      </w:r>
      <w:r w:rsidRPr="00AF224A">
        <w:t xml:space="preserve"> estimates are legitimate statistics in their own right, even if future transition patterns change. This interpretation leads naturally to comparison</w:t>
      </w:r>
      <w:r w:rsidR="00A97D29" w:rsidRPr="00AF224A">
        <w:t>s</w:t>
      </w:r>
      <w:r w:rsidRPr="00AF224A">
        <w:t xml:space="preserve"> between the cross-section</w:t>
      </w:r>
      <w:r w:rsidR="00A97D29" w:rsidRPr="00AF224A">
        <w:t>al</w:t>
      </w:r>
      <w:r w:rsidRPr="00AF224A">
        <w:t xml:space="preserve"> estimates across years.</w:t>
      </w:r>
    </w:p>
    <w:p w:rsidR="007A00B8" w:rsidRPr="00AF224A" w:rsidRDefault="005D2412" w:rsidP="00AF224A">
      <w:pPr>
        <w:pStyle w:val="Text"/>
      </w:pPr>
      <w:r w:rsidRPr="00AF224A">
        <w:t xml:space="preserve">Finally, we present cross-sectional completion and attrition rates for </w:t>
      </w:r>
      <w:r w:rsidR="000039EF" w:rsidRPr="00AF224A">
        <w:t>the latest commencing trade and non-trade cohorts.</w:t>
      </w:r>
      <w:r w:rsidRPr="00AF224A">
        <w:t xml:space="preserve"> </w:t>
      </w:r>
      <w:r w:rsidR="00A92D9A" w:rsidRPr="00AF224A">
        <w:t>We choose the cohorts commencing in the December quarter</w:t>
      </w:r>
      <w:r w:rsidR="00A97D29" w:rsidRPr="00AF224A">
        <w:t>s</w:t>
      </w:r>
      <w:r w:rsidR="00A92D9A" w:rsidRPr="00AF224A">
        <w:t xml:space="preserve"> </w:t>
      </w:r>
      <w:r w:rsidR="00A97D29" w:rsidRPr="00AF224A">
        <w:t>of 2007 to 20</w:t>
      </w:r>
      <w:r w:rsidR="00A92D9A" w:rsidRPr="00AF224A">
        <w:t xml:space="preserve">09. </w:t>
      </w:r>
      <w:r w:rsidR="00664FA5" w:rsidRPr="00AF224A">
        <w:t xml:space="preserve">These periods cover the economic cycle </w:t>
      </w:r>
      <w:r w:rsidR="008A0A25" w:rsidRPr="00AF224A">
        <w:t xml:space="preserve">in Australia </w:t>
      </w:r>
      <w:r w:rsidR="00664FA5" w:rsidRPr="00AF224A">
        <w:t>and we are interested in the differences in the patterns for completion and attrition between the three cohorts.</w:t>
      </w:r>
    </w:p>
    <w:p w:rsidR="00B91CFF" w:rsidRPr="00AF224A" w:rsidRDefault="00B91CFF" w:rsidP="00AF224A">
      <w:pPr>
        <w:pStyle w:val="Text"/>
      </w:pPr>
      <w:r w:rsidRPr="00AF224A">
        <w:t>The results show that</w:t>
      </w:r>
      <w:r w:rsidR="002054C2" w:rsidRPr="00AF224A">
        <w:t>,</w:t>
      </w:r>
      <w:r w:rsidRPr="00AF224A">
        <w:t xml:space="preserve"> </w:t>
      </w:r>
      <w:r w:rsidR="008C61EB" w:rsidRPr="00AF224A">
        <w:t xml:space="preserve">with deteriorating economic conditions </w:t>
      </w:r>
      <w:r w:rsidRPr="00AF224A">
        <w:t>from the end of 2007 to the end of 2009, completion rates have increased and attritio</w:t>
      </w:r>
      <w:r w:rsidR="008C61EB" w:rsidRPr="00AF224A">
        <w:t>n rates have decreased, with</w:t>
      </w:r>
      <w:r w:rsidRPr="00AF224A">
        <w:t xml:space="preserve"> the differences </w:t>
      </w:r>
      <w:r w:rsidR="008C61EB" w:rsidRPr="00AF224A">
        <w:t xml:space="preserve">being quite dramatic in the non-trades. </w:t>
      </w:r>
    </w:p>
    <w:p w:rsidR="008D3762" w:rsidRDefault="008D3762" w:rsidP="00AF224A">
      <w:pPr>
        <w:pStyle w:val="Text"/>
      </w:pPr>
      <w:r w:rsidRPr="00AF224A">
        <w:t>The paper ends with some concluding</w:t>
      </w:r>
      <w:r>
        <w:t xml:space="preserve"> comments.</w:t>
      </w:r>
    </w:p>
    <w:p w:rsidR="001650F4" w:rsidRDefault="001650F4">
      <w:pPr>
        <w:spacing w:before="0"/>
        <w:rPr>
          <w:rFonts w:ascii="Garamond" w:hAnsi="Garamond"/>
          <w:sz w:val="22"/>
        </w:rPr>
      </w:pPr>
      <w:r>
        <w:br w:type="page"/>
      </w:r>
    </w:p>
    <w:p w:rsidR="008D3762" w:rsidRDefault="001650F4" w:rsidP="00AF224A">
      <w:pPr>
        <w:pStyle w:val="Heading1"/>
      </w:pPr>
      <w:r>
        <w:lastRenderedPageBreak/>
        <w:br/>
      </w:r>
      <w:r>
        <w:br/>
      </w:r>
      <w:bookmarkStart w:id="11" w:name="_Toc296933764"/>
      <w:r>
        <w:t>Methodology</w:t>
      </w:r>
      <w:bookmarkEnd w:id="11"/>
    </w:p>
    <w:p w:rsidR="001650F4" w:rsidRDefault="00BC6312" w:rsidP="00AF224A">
      <w:pPr>
        <w:pStyle w:val="Heading2"/>
      </w:pPr>
      <w:bookmarkStart w:id="12" w:name="_Toc296933765"/>
      <w:r>
        <w:t>Calculating ‘transition</w:t>
      </w:r>
      <w:r w:rsidR="009065DB">
        <w:t xml:space="preserve"> </w:t>
      </w:r>
      <w:r w:rsidR="009065DB" w:rsidRPr="00AF224A">
        <w:t>probabilities’</w:t>
      </w:r>
      <w:bookmarkEnd w:id="12"/>
    </w:p>
    <w:p w:rsidR="00E2048C" w:rsidRPr="00AF224A" w:rsidRDefault="007B150E" w:rsidP="00AF224A">
      <w:pPr>
        <w:pStyle w:val="Text"/>
      </w:pPr>
      <w:r>
        <w:t>T</w:t>
      </w:r>
      <w:r w:rsidR="00A5653C">
        <w:t>he first step</w:t>
      </w:r>
      <w:r w:rsidR="00C55047">
        <w:t xml:space="preserve"> is to calculate what we </w:t>
      </w:r>
      <w:r w:rsidR="00407CE3">
        <w:t>term</w:t>
      </w:r>
      <w:r w:rsidR="00BC6312">
        <w:t xml:space="preserve"> ‘transition</w:t>
      </w:r>
      <w:r w:rsidR="00C55047">
        <w:t xml:space="preserve"> probabilities’. These are</w:t>
      </w:r>
      <w:r>
        <w:t xml:space="preserve"> based on </w:t>
      </w:r>
      <w:r w:rsidR="00B322B3">
        <w:t xml:space="preserve">simple </w:t>
      </w:r>
      <w:r w:rsidR="00DD6673">
        <w:t>tabulations of completions</w:t>
      </w:r>
      <w:r>
        <w:t xml:space="preserve"> and cancellations/</w:t>
      </w:r>
      <w:r w:rsidRPr="00AF224A">
        <w:t>withdrawals within particular quarters</w:t>
      </w:r>
      <w:r w:rsidR="00B322B3" w:rsidRPr="00AF224A">
        <w:t>, for particular commencing cohorts</w:t>
      </w:r>
      <w:r w:rsidRPr="00AF224A">
        <w:t>.</w:t>
      </w:r>
    </w:p>
    <w:p w:rsidR="003633D1" w:rsidRPr="00AF224A" w:rsidRDefault="00285C57" w:rsidP="00AF224A">
      <w:pPr>
        <w:pStyle w:val="Text"/>
      </w:pPr>
      <w:r w:rsidRPr="00AF224A">
        <w:t>We begin by identifying three st</w:t>
      </w:r>
      <w:r w:rsidR="005E4CCD" w:rsidRPr="00AF224A">
        <w:t>ates: in-training or continuing; completed;</w:t>
      </w:r>
      <w:r w:rsidRPr="00AF224A">
        <w:t xml:space="preserve"> and cancelled/withdrawn. An individual commences a contract of training and from that point on </w:t>
      </w:r>
      <w:r w:rsidR="005E4CCD" w:rsidRPr="00AF224A">
        <w:t xml:space="preserve">he/she </w:t>
      </w:r>
      <w:r w:rsidRPr="00AF224A">
        <w:t>must be in one of these three states. The two states of completed and cancelled</w:t>
      </w:r>
      <w:r w:rsidR="005E4CCD" w:rsidRPr="00AF224A">
        <w:t>/withdrawn are absorbing states:</w:t>
      </w:r>
      <w:r w:rsidRPr="00AF224A">
        <w:t xml:space="preserve"> once an individual has completed or cancelled/withdrawn</w:t>
      </w:r>
      <w:r w:rsidR="002054C2" w:rsidRPr="00AF224A">
        <w:t>,</w:t>
      </w:r>
      <w:r w:rsidRPr="00AF224A">
        <w:t xml:space="preserve"> then the person can no longer have a continuing contr</w:t>
      </w:r>
      <w:r w:rsidR="002054C2" w:rsidRPr="00AF224A">
        <w:t>act. This means that eventually</w:t>
      </w:r>
      <w:r w:rsidRPr="00AF224A">
        <w:t xml:space="preserve"> every contract of training must result in either</w:t>
      </w:r>
      <w:r w:rsidR="00E2048C" w:rsidRPr="00AF224A">
        <w:t xml:space="preserve"> a completion or a cancellation</w:t>
      </w:r>
      <w:r w:rsidRPr="00AF224A">
        <w:t>/withdrawa</w:t>
      </w:r>
      <w:r w:rsidR="00B22800" w:rsidRPr="00AF224A">
        <w:t>l.</w:t>
      </w:r>
    </w:p>
    <w:p w:rsidR="00285C57" w:rsidRDefault="00E2048C" w:rsidP="00AF224A">
      <w:pPr>
        <w:pStyle w:val="Text"/>
      </w:pPr>
      <w:r w:rsidRPr="00AF224A">
        <w:t>Consider the</w:t>
      </w:r>
      <w:r w:rsidR="00D84C0A" w:rsidRPr="00AF224A">
        <w:t xml:space="preserve"> very simple and contrived example</w:t>
      </w:r>
      <w:r w:rsidRPr="00AF224A">
        <w:t xml:space="preserve"> in table 1</w:t>
      </w:r>
      <w:r w:rsidR="005E4CCD" w:rsidRPr="00AF224A">
        <w:t xml:space="preserve">; </w:t>
      </w:r>
      <w:r w:rsidR="00A67F9C" w:rsidRPr="00AF224A">
        <w:t>w</w:t>
      </w:r>
      <w:r w:rsidR="00A3077A" w:rsidRPr="00AF224A">
        <w:t>e will provide the formal mathematical not</w:t>
      </w:r>
      <w:r w:rsidR="00E41A7B" w:rsidRPr="00AF224A">
        <w:t>at</w:t>
      </w:r>
      <w:r w:rsidR="00A3077A" w:rsidRPr="00AF224A">
        <w:t xml:space="preserve">ion later. For simplicity, </w:t>
      </w:r>
      <w:r w:rsidR="000F701C" w:rsidRPr="00AF224A">
        <w:t>there are only</w:t>
      </w:r>
      <w:r w:rsidR="004717A3" w:rsidRPr="00AF224A">
        <w:t xml:space="preserve"> four q</w:t>
      </w:r>
      <w:r w:rsidR="004717A3">
        <w:t>uarters and</w:t>
      </w:r>
      <w:r w:rsidR="000F30E3">
        <w:t xml:space="preserve"> </w:t>
      </w:r>
      <w:r w:rsidR="00A3077A">
        <w:t xml:space="preserve">each </w:t>
      </w:r>
      <w:r w:rsidR="004717A3">
        <w:t xml:space="preserve">sees </w:t>
      </w:r>
      <w:r w:rsidR="00A3077A">
        <w:t>100</w:t>
      </w:r>
      <w:r w:rsidR="007A0A04">
        <w:t xml:space="preserve"> </w:t>
      </w:r>
      <w:r w:rsidR="004717A3">
        <w:t xml:space="preserve">contracts </w:t>
      </w:r>
      <w:r w:rsidR="00A3077A">
        <w:t>commenced</w:t>
      </w:r>
      <w:r w:rsidR="006F2972">
        <w:t>.</w:t>
      </w:r>
      <w:r w:rsidR="00B22800">
        <w:t xml:space="preserve"> We observe the data at quarter four, meaning that only for the cohort commencing </w:t>
      </w:r>
      <w:r w:rsidR="002054C2">
        <w:t xml:space="preserve">at </w:t>
      </w:r>
      <w:r w:rsidR="00B22800">
        <w:t xml:space="preserve">quarter one have all contracts resulted in either a completion or a cancellation/withdrawal. </w:t>
      </w:r>
      <w:r w:rsidR="00407CE3">
        <w:t>Consider th</w:t>
      </w:r>
      <w:r w:rsidR="00BA4C08">
        <w:t>is</w:t>
      </w:r>
      <w:r w:rsidR="00E41A7B">
        <w:t xml:space="preserve"> cohort</w:t>
      </w:r>
      <w:r w:rsidR="00407CE3">
        <w:t xml:space="preserve"> </w:t>
      </w:r>
      <w:r w:rsidR="00E41A7B">
        <w:t xml:space="preserve">more closely. In the first quarter, five contracts </w:t>
      </w:r>
      <w:r w:rsidR="002778D4">
        <w:t>were</w:t>
      </w:r>
      <w:r w:rsidR="00E41A7B">
        <w:t xml:space="preserve"> completed and </w:t>
      </w:r>
      <w:r w:rsidR="002054C2">
        <w:t>20</w:t>
      </w:r>
      <w:r w:rsidR="00E41A7B">
        <w:t xml:space="preserve"> </w:t>
      </w:r>
      <w:r w:rsidR="002778D4">
        <w:t>were</w:t>
      </w:r>
      <w:r w:rsidR="00E41A7B">
        <w:t xml:space="preserve"> cancelled/withdrawn</w:t>
      </w:r>
      <w:r w:rsidR="002054C2">
        <w:t>,</w:t>
      </w:r>
      <w:r w:rsidR="00E41A7B">
        <w:t xml:space="preserve"> to leave 75 continuing. In the next quarter, </w:t>
      </w:r>
      <w:r w:rsidR="00E13DEB">
        <w:t xml:space="preserve">a further </w:t>
      </w:r>
      <w:r w:rsidR="00407CE3">
        <w:t>ten</w:t>
      </w:r>
      <w:r w:rsidR="00E41A7B">
        <w:t xml:space="preserve"> contracts </w:t>
      </w:r>
      <w:r w:rsidR="002778D4">
        <w:t>were</w:t>
      </w:r>
      <w:r w:rsidR="00E41A7B">
        <w:t xml:space="preserve"> completed and </w:t>
      </w:r>
      <w:r w:rsidR="002054C2">
        <w:t>15</w:t>
      </w:r>
      <w:r w:rsidR="00E41A7B">
        <w:t xml:space="preserve"> </w:t>
      </w:r>
      <w:r w:rsidR="002778D4">
        <w:t>were</w:t>
      </w:r>
      <w:r w:rsidR="00E41A7B">
        <w:t xml:space="preserve"> cancelled/withdrawn</w:t>
      </w:r>
      <w:r w:rsidR="002054C2">
        <w:t>,</w:t>
      </w:r>
      <w:r w:rsidR="00E41A7B">
        <w:t xml:space="preserve"> to leave 50 continuing. By the fourth quarter, every contract has resulted in </w:t>
      </w:r>
      <w:proofErr w:type="gramStart"/>
      <w:r w:rsidR="00E41A7B">
        <w:t>either a</w:t>
      </w:r>
      <w:proofErr w:type="gramEnd"/>
      <w:r w:rsidR="00E41A7B">
        <w:t xml:space="preserve"> completion or a cancellation/</w:t>
      </w:r>
      <w:r w:rsidR="005A508C">
        <w:t xml:space="preserve"> </w:t>
      </w:r>
      <w:r w:rsidR="00E41A7B">
        <w:t xml:space="preserve">withdrawal. For simplicity, these patterns are the same for </w:t>
      </w:r>
      <w:r w:rsidR="00A706D9">
        <w:t>each of the commencing cohorts.</w:t>
      </w:r>
    </w:p>
    <w:p w:rsidR="00285C57" w:rsidRDefault="00285C57" w:rsidP="00285C57">
      <w:pPr>
        <w:pStyle w:val="tabletitle"/>
        <w:ind w:left="993" w:hanging="993"/>
      </w:pPr>
      <w:bookmarkStart w:id="13" w:name="_Toc296933795"/>
      <w:r>
        <w:t>Table 1</w:t>
      </w:r>
      <w:r>
        <w:tab/>
        <w:t xml:space="preserve">Number of completed, cancelled/withdrawn and continuing contracts of training by </w:t>
      </w:r>
      <w:r w:rsidR="002840E5">
        <w:t xml:space="preserve">commencing </w:t>
      </w:r>
      <w:r>
        <w:t>quarter</w:t>
      </w:r>
      <w:bookmarkEnd w:id="13"/>
      <w:r>
        <w:t xml:space="preserve"> </w:t>
      </w:r>
    </w:p>
    <w:tbl>
      <w:tblPr>
        <w:tblStyle w:val="TableGrid"/>
        <w:tblW w:w="850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8"/>
        <w:gridCol w:w="860"/>
        <w:gridCol w:w="590"/>
        <w:gridCol w:w="591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591"/>
      </w:tblGrid>
      <w:tr w:rsidR="00A3077A" w:rsidTr="0019596E">
        <w:tc>
          <w:tcPr>
            <w:tcW w:w="1418" w:type="dxa"/>
            <w:gridSpan w:val="2"/>
            <w:tcBorders>
              <w:bottom w:val="nil"/>
              <w:right w:val="dotted" w:sz="4" w:space="0" w:color="auto"/>
            </w:tcBorders>
          </w:tcPr>
          <w:p w:rsidR="00A3077A" w:rsidRDefault="00A3077A" w:rsidP="0019596E">
            <w:pPr>
              <w:pStyle w:val="Tablehead1"/>
            </w:pPr>
            <w:r>
              <w:t>Commenced</w:t>
            </w:r>
          </w:p>
        </w:tc>
        <w:tc>
          <w:tcPr>
            <w:tcW w:w="2362" w:type="dxa"/>
            <w:gridSpan w:val="4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A3077A" w:rsidRDefault="00A3077A" w:rsidP="00283A08">
            <w:pPr>
              <w:pStyle w:val="Tablehead1"/>
              <w:jc w:val="center"/>
            </w:pPr>
            <w:r>
              <w:t>Completed</w:t>
            </w:r>
          </w:p>
        </w:tc>
        <w:tc>
          <w:tcPr>
            <w:tcW w:w="2362" w:type="dxa"/>
            <w:gridSpan w:val="4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A3077A" w:rsidRDefault="00A3077A" w:rsidP="00283A08">
            <w:pPr>
              <w:pStyle w:val="Tablehead1"/>
              <w:jc w:val="center"/>
            </w:pPr>
            <w:r>
              <w:t>Cancelled/withdrawn</w:t>
            </w:r>
          </w:p>
        </w:tc>
        <w:tc>
          <w:tcPr>
            <w:tcW w:w="2363" w:type="dxa"/>
            <w:gridSpan w:val="4"/>
            <w:tcBorders>
              <w:left w:val="dotted" w:sz="4" w:space="0" w:color="auto"/>
              <w:bottom w:val="nil"/>
            </w:tcBorders>
            <w:vAlign w:val="bottom"/>
          </w:tcPr>
          <w:p w:rsidR="00A3077A" w:rsidRDefault="00A3077A" w:rsidP="00283A08">
            <w:pPr>
              <w:pStyle w:val="Tablehead1"/>
              <w:jc w:val="center"/>
            </w:pPr>
            <w:r>
              <w:t>Continuing</w:t>
            </w:r>
          </w:p>
        </w:tc>
      </w:tr>
      <w:tr w:rsidR="00285C57" w:rsidTr="0019596E">
        <w:tc>
          <w:tcPr>
            <w:tcW w:w="558" w:type="dxa"/>
            <w:tcBorders>
              <w:top w:val="nil"/>
              <w:bottom w:val="single" w:sz="4" w:space="0" w:color="auto"/>
            </w:tcBorders>
          </w:tcPr>
          <w:p w:rsidR="00285C57" w:rsidRDefault="00285C57" w:rsidP="0019596E">
            <w:pPr>
              <w:pStyle w:val="Tablehead2"/>
            </w:pPr>
          </w:p>
        </w:tc>
        <w:tc>
          <w:tcPr>
            <w:tcW w:w="860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285C57" w:rsidRDefault="00285C57" w:rsidP="0019596E">
            <w:pPr>
              <w:pStyle w:val="Tablehead2"/>
            </w:pPr>
          </w:p>
        </w:tc>
        <w:tc>
          <w:tcPr>
            <w:tcW w:w="590" w:type="dxa"/>
            <w:tcBorders>
              <w:top w:val="nil"/>
              <w:left w:val="dotted" w:sz="4" w:space="0" w:color="auto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590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  <w:right w:val="dotted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590" w:type="dxa"/>
            <w:tcBorders>
              <w:top w:val="nil"/>
              <w:left w:val="dotted" w:sz="4" w:space="0" w:color="auto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590" w:type="dxa"/>
            <w:tcBorders>
              <w:top w:val="nil"/>
              <w:bottom w:val="single" w:sz="4" w:space="0" w:color="auto"/>
              <w:right w:val="dotted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591" w:type="dxa"/>
            <w:tcBorders>
              <w:top w:val="nil"/>
              <w:left w:val="dotted" w:sz="4" w:space="0" w:color="auto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590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591" w:type="dxa"/>
            <w:tcBorders>
              <w:top w:val="nil"/>
              <w:bottom w:val="single" w:sz="4" w:space="0" w:color="auto"/>
            </w:tcBorders>
            <w:vAlign w:val="bottom"/>
          </w:tcPr>
          <w:p w:rsidR="00285C57" w:rsidRDefault="00285C57" w:rsidP="0087061F">
            <w:pPr>
              <w:pStyle w:val="Tablehead2"/>
              <w:jc w:val="center"/>
            </w:pPr>
            <w:r>
              <w:t>Q4</w:t>
            </w:r>
          </w:p>
        </w:tc>
      </w:tr>
      <w:tr w:rsidR="00D84C0A" w:rsidTr="0019596E">
        <w:tc>
          <w:tcPr>
            <w:tcW w:w="558" w:type="dxa"/>
            <w:tcBorders>
              <w:top w:val="single" w:sz="4" w:space="0" w:color="auto"/>
            </w:tcBorders>
          </w:tcPr>
          <w:p w:rsidR="00D84C0A" w:rsidRDefault="00D84C0A" w:rsidP="0019596E">
            <w:pPr>
              <w:pStyle w:val="Tabletext"/>
            </w:pPr>
            <w:r>
              <w:t>Q1</w:t>
            </w:r>
          </w:p>
        </w:tc>
        <w:tc>
          <w:tcPr>
            <w:tcW w:w="860" w:type="dxa"/>
            <w:tcBorders>
              <w:top w:val="single" w:sz="4" w:space="0" w:color="auto"/>
              <w:right w:val="dotted" w:sz="4" w:space="0" w:color="auto"/>
            </w:tcBorders>
          </w:tcPr>
          <w:p w:rsidR="00D84C0A" w:rsidRPr="00285C57" w:rsidRDefault="00D84C0A" w:rsidP="0019596E">
            <w:pPr>
              <w:pStyle w:val="Tabletext"/>
              <w:ind w:left="227"/>
            </w:pPr>
            <w:r>
              <w:t>100</w:t>
            </w:r>
          </w:p>
        </w:tc>
        <w:tc>
          <w:tcPr>
            <w:tcW w:w="590" w:type="dxa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:rsidR="00D84C0A" w:rsidRPr="00D84C0A" w:rsidRDefault="00D84C0A" w:rsidP="0019596E">
            <w:pPr>
              <w:pStyle w:val="Tabletext"/>
              <w:ind w:right="142"/>
              <w:jc w:val="right"/>
            </w:pPr>
            <w:r w:rsidRPr="00D84C0A">
              <w:t>5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10</w:t>
            </w:r>
          </w:p>
        </w:tc>
        <w:tc>
          <w:tcPr>
            <w:tcW w:w="590" w:type="dxa"/>
            <w:tcBorders>
              <w:top w:val="single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15</w:t>
            </w:r>
          </w:p>
        </w:tc>
        <w:tc>
          <w:tcPr>
            <w:tcW w:w="591" w:type="dxa"/>
            <w:tcBorders>
              <w:top w:val="single" w:sz="4" w:space="0" w:color="auto"/>
              <w:righ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20</w:t>
            </w:r>
          </w:p>
        </w:tc>
        <w:tc>
          <w:tcPr>
            <w:tcW w:w="590" w:type="dxa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20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15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10</w:t>
            </w:r>
          </w:p>
        </w:tc>
        <w:tc>
          <w:tcPr>
            <w:tcW w:w="590" w:type="dxa"/>
            <w:tcBorders>
              <w:top w:val="single" w:sz="4" w:space="0" w:color="auto"/>
              <w:righ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5</w:t>
            </w:r>
          </w:p>
        </w:tc>
        <w:tc>
          <w:tcPr>
            <w:tcW w:w="591" w:type="dxa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75</w:t>
            </w:r>
          </w:p>
        </w:tc>
        <w:tc>
          <w:tcPr>
            <w:tcW w:w="590" w:type="dxa"/>
            <w:tcBorders>
              <w:top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50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25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0</w:t>
            </w:r>
          </w:p>
        </w:tc>
      </w:tr>
      <w:tr w:rsidR="00D84C0A" w:rsidTr="0019596E">
        <w:tc>
          <w:tcPr>
            <w:tcW w:w="558" w:type="dxa"/>
          </w:tcPr>
          <w:p w:rsidR="00D84C0A" w:rsidRDefault="00D84C0A" w:rsidP="0019596E">
            <w:pPr>
              <w:pStyle w:val="Tabletext"/>
            </w:pPr>
            <w:r>
              <w:t>Q2</w:t>
            </w:r>
          </w:p>
        </w:tc>
        <w:tc>
          <w:tcPr>
            <w:tcW w:w="860" w:type="dxa"/>
            <w:tcBorders>
              <w:right w:val="dotted" w:sz="4" w:space="0" w:color="auto"/>
            </w:tcBorders>
          </w:tcPr>
          <w:p w:rsidR="00D84C0A" w:rsidRPr="00285C57" w:rsidRDefault="00D84C0A" w:rsidP="0019596E">
            <w:pPr>
              <w:pStyle w:val="Tabletext"/>
              <w:ind w:left="227"/>
            </w:pPr>
            <w:r>
              <w:t>100</w:t>
            </w:r>
          </w:p>
        </w:tc>
        <w:tc>
          <w:tcPr>
            <w:tcW w:w="590" w:type="dxa"/>
            <w:tcBorders>
              <w:lef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5</w:t>
            </w:r>
          </w:p>
        </w:tc>
        <w:tc>
          <w:tcPr>
            <w:tcW w:w="590" w:type="dxa"/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10</w:t>
            </w:r>
          </w:p>
        </w:tc>
        <w:tc>
          <w:tcPr>
            <w:tcW w:w="591" w:type="dxa"/>
            <w:tcBorders>
              <w:righ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15</w:t>
            </w:r>
          </w:p>
        </w:tc>
        <w:tc>
          <w:tcPr>
            <w:tcW w:w="590" w:type="dxa"/>
            <w:tcBorders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20</w:t>
            </w: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15</w:t>
            </w:r>
          </w:p>
        </w:tc>
        <w:tc>
          <w:tcPr>
            <w:tcW w:w="590" w:type="dxa"/>
            <w:tcBorders>
              <w:righ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10</w:t>
            </w:r>
          </w:p>
        </w:tc>
        <w:tc>
          <w:tcPr>
            <w:tcW w:w="591" w:type="dxa"/>
            <w:tcBorders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0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75</w:t>
            </w: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50</w:t>
            </w: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25</w:t>
            </w:r>
          </w:p>
        </w:tc>
      </w:tr>
      <w:tr w:rsidR="00D84C0A" w:rsidTr="0019596E">
        <w:tc>
          <w:tcPr>
            <w:tcW w:w="558" w:type="dxa"/>
          </w:tcPr>
          <w:p w:rsidR="00D84C0A" w:rsidRDefault="00D84C0A" w:rsidP="0019596E">
            <w:pPr>
              <w:pStyle w:val="Tabletext"/>
            </w:pPr>
            <w:r>
              <w:t>Q3</w:t>
            </w:r>
          </w:p>
        </w:tc>
        <w:tc>
          <w:tcPr>
            <w:tcW w:w="860" w:type="dxa"/>
            <w:tcBorders>
              <w:right w:val="dotted" w:sz="4" w:space="0" w:color="auto"/>
            </w:tcBorders>
          </w:tcPr>
          <w:p w:rsidR="00D84C0A" w:rsidRPr="00285C57" w:rsidRDefault="00D84C0A" w:rsidP="0019596E">
            <w:pPr>
              <w:pStyle w:val="Tabletext"/>
              <w:ind w:left="227"/>
            </w:pPr>
            <w:r>
              <w:t>100</w:t>
            </w:r>
          </w:p>
        </w:tc>
        <w:tc>
          <w:tcPr>
            <w:tcW w:w="590" w:type="dxa"/>
            <w:tcBorders>
              <w:lef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0" w:type="dxa"/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5</w:t>
            </w:r>
          </w:p>
        </w:tc>
        <w:tc>
          <w:tcPr>
            <w:tcW w:w="591" w:type="dxa"/>
            <w:tcBorders>
              <w:righ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ind w:right="113"/>
              <w:jc w:val="right"/>
            </w:pPr>
            <w:r w:rsidRPr="00D84C0A">
              <w:t>10</w:t>
            </w:r>
          </w:p>
        </w:tc>
        <w:tc>
          <w:tcPr>
            <w:tcW w:w="590" w:type="dxa"/>
            <w:tcBorders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20</w:t>
            </w:r>
          </w:p>
        </w:tc>
        <w:tc>
          <w:tcPr>
            <w:tcW w:w="590" w:type="dxa"/>
            <w:tcBorders>
              <w:righ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15</w:t>
            </w:r>
          </w:p>
        </w:tc>
        <w:tc>
          <w:tcPr>
            <w:tcW w:w="591" w:type="dxa"/>
            <w:tcBorders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0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75</w:t>
            </w: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ind w:right="113"/>
              <w:jc w:val="right"/>
            </w:pPr>
            <w:r>
              <w:t>50</w:t>
            </w:r>
          </w:p>
        </w:tc>
      </w:tr>
      <w:tr w:rsidR="00D84C0A" w:rsidTr="0019596E">
        <w:tc>
          <w:tcPr>
            <w:tcW w:w="558" w:type="dxa"/>
          </w:tcPr>
          <w:p w:rsidR="00D84C0A" w:rsidRDefault="00D84C0A" w:rsidP="0019596E">
            <w:pPr>
              <w:pStyle w:val="Tabletext"/>
              <w:spacing w:after="40"/>
            </w:pPr>
            <w:r>
              <w:t>Q4</w:t>
            </w:r>
          </w:p>
        </w:tc>
        <w:tc>
          <w:tcPr>
            <w:tcW w:w="860" w:type="dxa"/>
            <w:tcBorders>
              <w:right w:val="dotted" w:sz="4" w:space="0" w:color="auto"/>
            </w:tcBorders>
          </w:tcPr>
          <w:p w:rsidR="00D84C0A" w:rsidRPr="00285C57" w:rsidRDefault="00D84C0A" w:rsidP="0019596E">
            <w:pPr>
              <w:pStyle w:val="Tabletext"/>
              <w:spacing w:after="40"/>
              <w:ind w:left="227"/>
            </w:pPr>
            <w:r>
              <w:t>100</w:t>
            </w:r>
          </w:p>
        </w:tc>
        <w:tc>
          <w:tcPr>
            <w:tcW w:w="590" w:type="dxa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tcBorders>
              <w:bottom w:val="single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0" w:type="dxa"/>
            <w:tcBorders>
              <w:bottom w:val="single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D84C0A" w:rsidRPr="00D84C0A" w:rsidRDefault="00D84C0A" w:rsidP="0087061F">
            <w:pPr>
              <w:pStyle w:val="Tabletext"/>
              <w:spacing w:after="40"/>
              <w:ind w:right="113"/>
              <w:jc w:val="right"/>
            </w:pPr>
            <w:r w:rsidRPr="00D84C0A">
              <w:t>5</w:t>
            </w:r>
          </w:p>
        </w:tc>
        <w:tc>
          <w:tcPr>
            <w:tcW w:w="590" w:type="dxa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tcBorders>
              <w:bottom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tcBorders>
              <w:bottom w:val="single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0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  <w:r>
              <w:t>20</w:t>
            </w:r>
          </w:p>
        </w:tc>
        <w:tc>
          <w:tcPr>
            <w:tcW w:w="591" w:type="dxa"/>
            <w:tcBorders>
              <w:left w:val="dotted" w:sz="4" w:space="0" w:color="auto"/>
            </w:tcBorders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0" w:type="dxa"/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</w:p>
        </w:tc>
        <w:tc>
          <w:tcPr>
            <w:tcW w:w="591" w:type="dxa"/>
            <w:vAlign w:val="bottom"/>
          </w:tcPr>
          <w:p w:rsidR="00D84C0A" w:rsidRDefault="00D84C0A" w:rsidP="0087061F">
            <w:pPr>
              <w:pStyle w:val="Tabletext"/>
              <w:spacing w:after="40"/>
              <w:ind w:right="113"/>
              <w:jc w:val="right"/>
            </w:pPr>
            <w:r>
              <w:t>75</w:t>
            </w:r>
          </w:p>
        </w:tc>
      </w:tr>
    </w:tbl>
    <w:p w:rsidR="002840E5" w:rsidRDefault="002840E5" w:rsidP="00AF224A">
      <w:pPr>
        <w:pStyle w:val="StyleTextBefore15pt"/>
      </w:pPr>
      <w:r>
        <w:t xml:space="preserve">We can use these tabulations of </w:t>
      </w:r>
      <w:r w:rsidR="00702E97">
        <w:t>completions</w:t>
      </w:r>
      <w:r>
        <w:t xml:space="preserve"> and cancellations/withdrawal</w:t>
      </w:r>
      <w:r w:rsidR="00AA5D75">
        <w:t>s</w:t>
      </w:r>
      <w:r>
        <w:t xml:space="preserve"> to calculate the </w:t>
      </w:r>
      <w:r w:rsidR="00BC6312">
        <w:t>transition</w:t>
      </w:r>
      <w:r w:rsidR="00C55047">
        <w:t xml:space="preserve"> probabilities</w:t>
      </w:r>
      <w:r>
        <w:t xml:space="preserve"> (table 2).</w:t>
      </w:r>
    </w:p>
    <w:p w:rsidR="00E2048C" w:rsidRDefault="00E2048C">
      <w:pPr>
        <w:spacing w:before="0"/>
        <w:rPr>
          <w:rFonts w:ascii="Arial" w:hAnsi="Arial"/>
          <w:b/>
          <w:sz w:val="17"/>
        </w:rPr>
      </w:pPr>
      <w:r>
        <w:br w:type="page"/>
      </w:r>
    </w:p>
    <w:p w:rsidR="00004C0D" w:rsidRPr="0019596E" w:rsidRDefault="00C55047" w:rsidP="0019596E">
      <w:pPr>
        <w:pStyle w:val="tabletitle"/>
        <w:ind w:left="993" w:hanging="993"/>
        <w:rPr>
          <w:bCs/>
        </w:rPr>
      </w:pPr>
      <w:bookmarkStart w:id="14" w:name="_Toc296933796"/>
      <w:r w:rsidRPr="0019596E">
        <w:rPr>
          <w:bCs/>
        </w:rPr>
        <w:lastRenderedPageBreak/>
        <w:t>Table 2</w:t>
      </w:r>
      <w:r w:rsidRPr="0019596E">
        <w:rPr>
          <w:bCs/>
        </w:rPr>
        <w:tab/>
        <w:t>Completed, cancelled/withd</w:t>
      </w:r>
      <w:r w:rsidR="00BC6312" w:rsidRPr="0019596E">
        <w:rPr>
          <w:bCs/>
        </w:rPr>
        <w:t>rawn and continuing transition</w:t>
      </w:r>
      <w:r w:rsidRPr="0019596E">
        <w:rPr>
          <w:bCs/>
        </w:rPr>
        <w:t xml:space="preserve"> probabilities </w:t>
      </w:r>
      <w:r w:rsidR="002840E5" w:rsidRPr="0019596E">
        <w:rPr>
          <w:bCs/>
        </w:rPr>
        <w:t>by commencing quarter</w:t>
      </w:r>
      <w:bookmarkEnd w:id="14"/>
      <w:r w:rsidR="00004C0D" w:rsidRPr="0019596E">
        <w:rPr>
          <w:bCs/>
        </w:rPr>
        <w:t xml:space="preserve"> </w:t>
      </w:r>
    </w:p>
    <w:tbl>
      <w:tblPr>
        <w:tblStyle w:val="TableGrid"/>
        <w:tblW w:w="850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6"/>
        <w:gridCol w:w="602"/>
        <w:gridCol w:w="602"/>
        <w:gridCol w:w="603"/>
        <w:gridCol w:w="602"/>
        <w:gridCol w:w="603"/>
        <w:gridCol w:w="602"/>
        <w:gridCol w:w="602"/>
        <w:gridCol w:w="603"/>
        <w:gridCol w:w="602"/>
        <w:gridCol w:w="603"/>
        <w:gridCol w:w="602"/>
        <w:gridCol w:w="603"/>
      </w:tblGrid>
      <w:tr w:rsidR="00004C0D" w:rsidTr="0019596E">
        <w:tc>
          <w:tcPr>
            <w:tcW w:w="1276" w:type="dxa"/>
            <w:tcBorders>
              <w:bottom w:val="nil"/>
              <w:right w:val="dotted" w:sz="4" w:space="0" w:color="auto"/>
            </w:tcBorders>
          </w:tcPr>
          <w:p w:rsidR="00004C0D" w:rsidRDefault="00004C0D" w:rsidP="0019596E">
            <w:pPr>
              <w:pStyle w:val="Tablehead1"/>
            </w:pPr>
            <w:r>
              <w:t>Commenced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004C0D" w:rsidRDefault="00004C0D" w:rsidP="00283A08">
            <w:pPr>
              <w:pStyle w:val="Tablehead1"/>
              <w:jc w:val="center"/>
            </w:pPr>
            <w:r>
              <w:t>Completed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:rsidR="00004C0D" w:rsidRDefault="00004C0D" w:rsidP="00283A08">
            <w:pPr>
              <w:pStyle w:val="Tablehead1"/>
              <w:jc w:val="center"/>
            </w:pPr>
            <w:r>
              <w:t>Cancelled/withdrawn</w:t>
            </w:r>
          </w:p>
        </w:tc>
        <w:tc>
          <w:tcPr>
            <w:tcW w:w="2410" w:type="dxa"/>
            <w:gridSpan w:val="4"/>
            <w:tcBorders>
              <w:left w:val="dotted" w:sz="4" w:space="0" w:color="auto"/>
              <w:bottom w:val="nil"/>
            </w:tcBorders>
            <w:vAlign w:val="bottom"/>
          </w:tcPr>
          <w:p w:rsidR="00004C0D" w:rsidRDefault="00004C0D" w:rsidP="00283A08">
            <w:pPr>
              <w:pStyle w:val="Tablehead1"/>
              <w:jc w:val="center"/>
            </w:pPr>
            <w:r>
              <w:t>Continuing</w:t>
            </w:r>
          </w:p>
        </w:tc>
      </w:tr>
      <w:tr w:rsidR="00004C0D" w:rsidTr="0019596E">
        <w:tc>
          <w:tcPr>
            <w:tcW w:w="1276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004C0D" w:rsidRDefault="00004C0D" w:rsidP="0019596E">
            <w:pPr>
              <w:pStyle w:val="Tablehead2"/>
            </w:pPr>
          </w:p>
        </w:tc>
        <w:tc>
          <w:tcPr>
            <w:tcW w:w="602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602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602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603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602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602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602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Q1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Q2</w:t>
            </w:r>
          </w:p>
        </w:tc>
        <w:tc>
          <w:tcPr>
            <w:tcW w:w="602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Q3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</w:tcPr>
          <w:p w:rsidR="00004C0D" w:rsidRDefault="00004C0D" w:rsidP="0019596E">
            <w:pPr>
              <w:pStyle w:val="Tablehead2"/>
              <w:jc w:val="center"/>
            </w:pPr>
            <w:r>
              <w:t>Q4</w:t>
            </w:r>
          </w:p>
        </w:tc>
      </w:tr>
      <w:tr w:rsidR="00AA5D75" w:rsidTr="0019596E">
        <w:tc>
          <w:tcPr>
            <w:tcW w:w="1276" w:type="dxa"/>
            <w:tcBorders>
              <w:top w:val="single" w:sz="4" w:space="0" w:color="auto"/>
              <w:right w:val="dotted" w:sz="4" w:space="0" w:color="auto"/>
            </w:tcBorders>
          </w:tcPr>
          <w:p w:rsidR="00AA5D75" w:rsidRPr="00285C57" w:rsidRDefault="00AA5D75" w:rsidP="0019596E">
            <w:pPr>
              <w:pStyle w:val="Tabletext"/>
            </w:pPr>
            <w:r>
              <w:t>Q1</w:t>
            </w:r>
          </w:p>
        </w:tc>
        <w:tc>
          <w:tcPr>
            <w:tcW w:w="602" w:type="dxa"/>
            <w:tcBorders>
              <w:top w:val="single" w:sz="4" w:space="0" w:color="auto"/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0.05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0.13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0.30</w:t>
            </w:r>
          </w:p>
        </w:tc>
        <w:tc>
          <w:tcPr>
            <w:tcW w:w="602" w:type="dxa"/>
            <w:tcBorders>
              <w:top w:val="single" w:sz="4" w:space="0" w:color="auto"/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0.80</w:t>
            </w:r>
          </w:p>
        </w:tc>
        <w:tc>
          <w:tcPr>
            <w:tcW w:w="603" w:type="dxa"/>
            <w:tcBorders>
              <w:top w:val="single" w:sz="4" w:space="0" w:color="auto"/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3" w:type="dxa"/>
            <w:tcBorders>
              <w:top w:val="single" w:sz="4" w:space="0" w:color="auto"/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  <w:tcBorders>
              <w:top w:val="single" w:sz="4" w:space="0" w:color="auto"/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0.75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0.67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0.50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0.00</w:t>
            </w:r>
          </w:p>
        </w:tc>
      </w:tr>
      <w:tr w:rsidR="00AA5D75" w:rsidTr="0019596E">
        <w:tc>
          <w:tcPr>
            <w:tcW w:w="1276" w:type="dxa"/>
            <w:tcBorders>
              <w:right w:val="dotted" w:sz="4" w:space="0" w:color="auto"/>
            </w:tcBorders>
          </w:tcPr>
          <w:p w:rsidR="00AA5D75" w:rsidRPr="00285C57" w:rsidRDefault="00AA5D75" w:rsidP="0019596E">
            <w:pPr>
              <w:pStyle w:val="Tabletext"/>
            </w:pPr>
            <w:r>
              <w:t>Q2</w:t>
            </w:r>
          </w:p>
        </w:tc>
        <w:tc>
          <w:tcPr>
            <w:tcW w:w="602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0.05</w:t>
            </w: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0.13</w:t>
            </w:r>
          </w:p>
        </w:tc>
        <w:tc>
          <w:tcPr>
            <w:tcW w:w="602" w:type="dxa"/>
            <w:tcBorders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0.30</w:t>
            </w:r>
          </w:p>
        </w:tc>
        <w:tc>
          <w:tcPr>
            <w:tcW w:w="603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3" w:type="dxa"/>
            <w:tcBorders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0.75</w:t>
            </w: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0.67</w:t>
            </w: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0.50</w:t>
            </w:r>
          </w:p>
        </w:tc>
      </w:tr>
      <w:tr w:rsidR="00AA5D75" w:rsidTr="0019596E">
        <w:tc>
          <w:tcPr>
            <w:tcW w:w="1276" w:type="dxa"/>
            <w:tcBorders>
              <w:right w:val="dotted" w:sz="4" w:space="0" w:color="auto"/>
            </w:tcBorders>
          </w:tcPr>
          <w:p w:rsidR="00AA5D75" w:rsidRPr="00285C57" w:rsidRDefault="00AA5D75" w:rsidP="0019596E">
            <w:pPr>
              <w:pStyle w:val="Tabletext"/>
            </w:pPr>
            <w:r>
              <w:t>Q3</w:t>
            </w:r>
          </w:p>
        </w:tc>
        <w:tc>
          <w:tcPr>
            <w:tcW w:w="602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0.05</w:t>
            </w:r>
          </w:p>
        </w:tc>
        <w:tc>
          <w:tcPr>
            <w:tcW w:w="602" w:type="dxa"/>
            <w:tcBorders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0.13</w:t>
            </w:r>
          </w:p>
        </w:tc>
        <w:tc>
          <w:tcPr>
            <w:tcW w:w="603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3" w:type="dxa"/>
            <w:tcBorders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0.20</w:t>
            </w:r>
          </w:p>
        </w:tc>
        <w:tc>
          <w:tcPr>
            <w:tcW w:w="602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0.75</w:t>
            </w: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</w:pPr>
            <w:r>
              <w:t>0.67</w:t>
            </w:r>
          </w:p>
        </w:tc>
      </w:tr>
      <w:tr w:rsidR="00AA5D75" w:rsidTr="0019596E">
        <w:tc>
          <w:tcPr>
            <w:tcW w:w="1276" w:type="dxa"/>
            <w:tcBorders>
              <w:right w:val="dotted" w:sz="4" w:space="0" w:color="auto"/>
            </w:tcBorders>
          </w:tcPr>
          <w:p w:rsidR="00AA5D75" w:rsidRPr="00285C57" w:rsidRDefault="00AA5D75" w:rsidP="0019596E">
            <w:pPr>
              <w:pStyle w:val="Tabletext"/>
              <w:spacing w:after="40"/>
            </w:pPr>
            <w:r>
              <w:t>Q4</w:t>
            </w:r>
          </w:p>
        </w:tc>
        <w:tc>
          <w:tcPr>
            <w:tcW w:w="602" w:type="dxa"/>
            <w:tcBorders>
              <w:left w:val="dotted" w:sz="4" w:space="0" w:color="auto"/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2" w:type="dxa"/>
            <w:tcBorders>
              <w:bottom w:val="single" w:sz="4" w:space="0" w:color="auto"/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  <w:r>
              <w:t>0.05</w:t>
            </w:r>
          </w:p>
        </w:tc>
        <w:tc>
          <w:tcPr>
            <w:tcW w:w="603" w:type="dxa"/>
            <w:tcBorders>
              <w:left w:val="dotted" w:sz="4" w:space="0" w:color="auto"/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3" w:type="dxa"/>
            <w:tcBorders>
              <w:bottom w:val="single" w:sz="4" w:space="0" w:color="auto"/>
              <w:righ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  <w:r>
              <w:t>0.20</w:t>
            </w:r>
          </w:p>
        </w:tc>
        <w:tc>
          <w:tcPr>
            <w:tcW w:w="602" w:type="dxa"/>
            <w:tcBorders>
              <w:left w:val="dotted" w:sz="4" w:space="0" w:color="auto"/>
            </w:tcBorders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2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</w:p>
        </w:tc>
        <w:tc>
          <w:tcPr>
            <w:tcW w:w="603" w:type="dxa"/>
          </w:tcPr>
          <w:p w:rsidR="00AA5D75" w:rsidRDefault="00AA5D75" w:rsidP="0019596E">
            <w:pPr>
              <w:pStyle w:val="Tabletext"/>
              <w:tabs>
                <w:tab w:val="decimal" w:pos="113"/>
              </w:tabs>
              <w:spacing w:after="40"/>
            </w:pPr>
            <w:r>
              <w:t>0.75</w:t>
            </w:r>
          </w:p>
        </w:tc>
      </w:tr>
    </w:tbl>
    <w:p w:rsidR="00004C0D" w:rsidRDefault="00F56B16" w:rsidP="00AF224A">
      <w:pPr>
        <w:pStyle w:val="StyleTextBefore15pt"/>
      </w:pPr>
      <w:r>
        <w:t xml:space="preserve">The table is best explained by </w:t>
      </w:r>
      <w:r w:rsidR="00E2048C">
        <w:t xml:space="preserve">considering </w:t>
      </w:r>
      <w:r w:rsidR="00EC12C6">
        <w:t>an example:</w:t>
      </w:r>
      <w:r>
        <w:t xml:space="preserve"> </w:t>
      </w:r>
      <w:r w:rsidR="00E2048C">
        <w:t>the cohort commencing quarter one.</w:t>
      </w:r>
      <w:r>
        <w:t xml:space="preserve"> In the first quarter, </w:t>
      </w:r>
      <w:r w:rsidR="00407CE3">
        <w:t>five</w:t>
      </w:r>
      <w:r>
        <w:t xml:space="preserve"> contract</w:t>
      </w:r>
      <w:r w:rsidR="00AA5A4D">
        <w:t xml:space="preserve">s out of the commencing 100 </w:t>
      </w:r>
      <w:r w:rsidR="002778D4">
        <w:t>were</w:t>
      </w:r>
      <w:r>
        <w:t xml:space="preserve"> completed to give a </w:t>
      </w:r>
      <w:r w:rsidR="00BC6312">
        <w:t>transition</w:t>
      </w:r>
      <w:r w:rsidR="006260E1">
        <w:t xml:space="preserve"> probability</w:t>
      </w:r>
      <w:r>
        <w:t xml:space="preserve"> </w:t>
      </w:r>
      <w:r w:rsidR="00407CE3">
        <w:t>of 0.05. In the next quarter, ten</w:t>
      </w:r>
      <w:r>
        <w:t xml:space="preserve"> contrac</w:t>
      </w:r>
      <w:r w:rsidR="00AA5A4D">
        <w:t xml:space="preserve">ts out of the 75 continuing </w:t>
      </w:r>
      <w:r w:rsidR="00D86C6D">
        <w:t xml:space="preserve">from the previous quarter </w:t>
      </w:r>
      <w:r w:rsidR="002778D4">
        <w:t>were</w:t>
      </w:r>
      <w:r>
        <w:t xml:space="preserve"> completed to give a rate of 0.13</w:t>
      </w:r>
      <w:r w:rsidR="00AA5A4D">
        <w:t>, and so on</w:t>
      </w:r>
      <w:r w:rsidR="00EC12C6">
        <w:t>,</w:t>
      </w:r>
      <w:r w:rsidR="00AA5A4D">
        <w:t xml:space="preserve"> until the fourth quarter (0.80</w:t>
      </w:r>
      <w:r w:rsidR="009863E0">
        <w:t xml:space="preserve"> </w:t>
      </w:r>
      <w:r w:rsidR="00AA5A4D">
        <w:t>=</w:t>
      </w:r>
      <w:r w:rsidR="009863E0">
        <w:t xml:space="preserve"> </w:t>
      </w:r>
      <w:r w:rsidR="00AA5A4D">
        <w:t>20/25)</w:t>
      </w:r>
      <w:r>
        <w:t xml:space="preserve">. </w:t>
      </w:r>
      <w:r w:rsidR="00C15B35">
        <w:t xml:space="preserve">The </w:t>
      </w:r>
      <w:r w:rsidR="00AC0004">
        <w:t>cancellation/withdrawal</w:t>
      </w:r>
      <w:r w:rsidR="00BC6312">
        <w:t xml:space="preserve"> rates</w:t>
      </w:r>
      <w:r w:rsidR="00AC0004">
        <w:t xml:space="preserve"> </w:t>
      </w:r>
      <w:r>
        <w:t xml:space="preserve">follow the same logic. </w:t>
      </w:r>
      <w:r w:rsidR="005A14ED">
        <w:t>Put simply, t</w:t>
      </w:r>
      <w:r w:rsidR="00407CE3">
        <w:t>he</w:t>
      </w:r>
      <w:r w:rsidR="004F00CF">
        <w:t xml:space="preserve"> </w:t>
      </w:r>
      <w:r w:rsidR="00BC6312">
        <w:t>transition</w:t>
      </w:r>
      <w:r w:rsidR="00C15B35">
        <w:t xml:space="preserve"> probabilities</w:t>
      </w:r>
      <w:r w:rsidR="00407CE3">
        <w:t xml:space="preserve"> in table 2</w:t>
      </w:r>
      <w:r w:rsidR="005A14ED">
        <w:t xml:space="preserve"> compare the number</w:t>
      </w:r>
      <w:r w:rsidR="00FF3B11">
        <w:t xml:space="preserve"> of </w:t>
      </w:r>
      <w:r w:rsidR="00714C03">
        <w:t>contracts</w:t>
      </w:r>
      <w:r w:rsidR="00FF3B11">
        <w:t xml:space="preserve"> </w:t>
      </w:r>
      <w:r w:rsidR="00EC12C6">
        <w:t>that</w:t>
      </w:r>
      <w:r w:rsidR="00FF3B11">
        <w:t xml:space="preserve"> </w:t>
      </w:r>
      <w:r w:rsidR="009863E0">
        <w:t xml:space="preserve">were </w:t>
      </w:r>
      <w:r w:rsidR="00FF3B11">
        <w:t xml:space="preserve">completed or </w:t>
      </w:r>
      <w:r w:rsidR="00592F75">
        <w:t>cancelled/withdra</w:t>
      </w:r>
      <w:r w:rsidR="00FF3B11">
        <w:t>w</w:t>
      </w:r>
      <w:r w:rsidR="00592F75">
        <w:t>n</w:t>
      </w:r>
      <w:r w:rsidR="00FF3B11">
        <w:t xml:space="preserve"> in a quarter with the number </w:t>
      </w:r>
      <w:r w:rsidR="00EC12C6">
        <w:t>that</w:t>
      </w:r>
      <w:r w:rsidR="00FF3B11">
        <w:t xml:space="preserve"> survived to the previous quarter.</w:t>
      </w:r>
      <w:r w:rsidR="005A14ED">
        <w:t xml:space="preserve"> The continui</w:t>
      </w:r>
      <w:r w:rsidR="007C435D">
        <w:t>ng rate</w:t>
      </w:r>
      <w:r w:rsidR="00AC0004">
        <w:t>s</w:t>
      </w:r>
      <w:r w:rsidR="007C435D">
        <w:t xml:space="preserve"> </w:t>
      </w:r>
      <w:r w:rsidR="00AC0004">
        <w:t>are</w:t>
      </w:r>
      <w:r w:rsidR="00132D74">
        <w:t xml:space="preserve"> </w:t>
      </w:r>
      <w:r w:rsidR="000F45BA">
        <w:t>derived differently—</w:t>
      </w:r>
      <w:r w:rsidR="00132D74">
        <w:t xml:space="preserve">one minus the completion rate minus the </w:t>
      </w:r>
      <w:r w:rsidR="002778D4">
        <w:t>cancellation/withdrawal</w:t>
      </w:r>
      <w:r w:rsidR="00132D74">
        <w:t xml:space="preserve"> rate</w:t>
      </w:r>
      <w:r w:rsidR="000F45BA">
        <w:t>—something which</w:t>
      </w:r>
      <w:r w:rsidR="005A14ED">
        <w:t xml:space="preserve"> follows from the assumption that </w:t>
      </w:r>
      <w:r w:rsidR="00132D74">
        <w:t>a contract</w:t>
      </w:r>
      <w:r w:rsidR="005A14ED">
        <w:t xml:space="preserve"> must </w:t>
      </w:r>
      <w:r w:rsidR="000574BC">
        <w:t>be in one of the three states of</w:t>
      </w:r>
      <w:r w:rsidR="005A14ED">
        <w:t xml:space="preserve"> continuing, co</w:t>
      </w:r>
      <w:r w:rsidR="00F62CB3">
        <w:t>mpleted or cancelled/withdrawn.</w:t>
      </w:r>
    </w:p>
    <w:p w:rsidR="00AA5A4D" w:rsidRDefault="001965A7" w:rsidP="00AA5A4D">
      <w:pPr>
        <w:pStyle w:val="Text"/>
      </w:pPr>
      <w:r>
        <w:t xml:space="preserve">Table 2 </w:t>
      </w:r>
      <w:r w:rsidR="00AC0004">
        <w:t xml:space="preserve">is a </w:t>
      </w:r>
      <w:r w:rsidR="004F00CF">
        <w:t xml:space="preserve">transition matrix and </w:t>
      </w:r>
      <w:r w:rsidR="00AC0004">
        <w:t xml:space="preserve">may be </w:t>
      </w:r>
      <w:r w:rsidR="004F00CF">
        <w:t xml:space="preserve">defined formally. </w:t>
      </w:r>
      <w:r w:rsidR="00AA5A4D">
        <w:t xml:space="preserve">Consider a cohort of contracts commencing at time </w:t>
      </w:r>
      <w:r w:rsidR="00AA5A4D" w:rsidRPr="00AA5A4D">
        <w:rPr>
          <w:i/>
        </w:rPr>
        <w:t>t</w:t>
      </w:r>
      <w:r w:rsidR="00AA5A4D">
        <w:t xml:space="preserve"> (measured in quarters), which denotes the number of quarters since a given start tim</w:t>
      </w:r>
      <w:r w:rsidR="00EE39AC">
        <w:t>e. Denote the number of</w:t>
      </w:r>
      <w:r w:rsidR="00AA5A4D">
        <w:t xml:space="preserve"> contracts in this cohort continuing during quarter </w:t>
      </w:r>
      <w:proofErr w:type="spellStart"/>
      <w:r w:rsidR="00AA5A4D" w:rsidRPr="00AA5A4D">
        <w:rPr>
          <w:i/>
        </w:rPr>
        <w:t>t+i</w:t>
      </w:r>
      <w:proofErr w:type="spellEnd"/>
      <w:r w:rsidR="00AA5A4D" w:rsidRPr="00AA5A4D">
        <w:rPr>
          <w:i/>
        </w:rPr>
        <w:t xml:space="preserve"> -1</w:t>
      </w:r>
      <w:r w:rsidR="00AA5A4D">
        <w:t xml:space="preserve"> </w:t>
      </w:r>
      <w:proofErr w:type="gramStart"/>
      <w:r w:rsidR="00AA5A4D">
        <w:t xml:space="preserve">as </w:t>
      </w:r>
      <w:proofErr w:type="gramEnd"/>
      <w:r w:rsidR="00AA5A4D" w:rsidRPr="00E10510">
        <w:rPr>
          <w:position w:val="-28"/>
        </w:rPr>
        <w:object w:dxaOrig="400" w:dyaOrig="540">
          <v:shape id="_x0000_i1025" type="#_x0000_t75" style="width:21.75pt;height:26.8pt" o:ole="">
            <v:imagedata r:id="rId12" o:title=""/>
          </v:shape>
          <o:OLEObject Type="Embed" ProgID="Equation.3" ShapeID="_x0000_i1025" DrawAspect="Content" ObjectID="_1372149033" r:id="rId13"/>
        </w:object>
      </w:r>
      <w:r w:rsidR="00AA5A4D">
        <w:t xml:space="preserve">. </w:t>
      </w:r>
    </w:p>
    <w:p w:rsidR="00AA5A4D" w:rsidRPr="00624882" w:rsidRDefault="00AA5A4D" w:rsidP="00AA5A4D">
      <w:pPr>
        <w:pStyle w:val="Text"/>
      </w:pPr>
      <w:r>
        <w:t xml:space="preserve">Note that </w:t>
      </w:r>
      <w:proofErr w:type="spellStart"/>
      <w:r w:rsidRPr="00AA5A4D">
        <w:rPr>
          <w:i/>
        </w:rPr>
        <w:t>i</w:t>
      </w:r>
      <w:proofErr w:type="spellEnd"/>
      <w:r w:rsidR="009863E0">
        <w:rPr>
          <w:i/>
        </w:rPr>
        <w:t xml:space="preserve"> </w:t>
      </w:r>
      <w:r>
        <w:t xml:space="preserve">= 1 is the first quarter for each cohort and </w:t>
      </w:r>
      <w:r w:rsidRPr="00E10510">
        <w:rPr>
          <w:position w:val="-28"/>
        </w:rPr>
        <w:object w:dxaOrig="400" w:dyaOrig="540">
          <v:shape id="_x0000_i1026" type="#_x0000_t75" style="width:21.75pt;height:26.8pt" o:ole="">
            <v:imagedata r:id="rId14" o:title=""/>
          </v:shape>
          <o:OLEObject Type="Embed" ProgID="Equation.3" ShapeID="_x0000_i1026" DrawAspect="Content" ObjectID="_1372149034" r:id="rId15"/>
        </w:object>
      </w:r>
      <w:r>
        <w:t xml:space="preserve"> is taken to be the number of commencements in the quarter </w:t>
      </w:r>
      <w:r w:rsidRPr="00AA5A4D">
        <w:rPr>
          <w:i/>
        </w:rPr>
        <w:t>t</w:t>
      </w:r>
      <w:r>
        <w:t xml:space="preserve">. </w:t>
      </w:r>
    </w:p>
    <w:p w:rsidR="00AA5A4D" w:rsidRDefault="00AA5A4D" w:rsidP="00AA5A4D">
      <w:pPr>
        <w:pStyle w:val="Text"/>
      </w:pPr>
      <w:r>
        <w:t>We also define th</w:t>
      </w:r>
      <w:r w:rsidR="00F0123B">
        <w:t>e number of completed contracts</w:t>
      </w:r>
      <w:r>
        <w:t xml:space="preserve"> in quarter </w:t>
      </w:r>
      <w:r w:rsidRPr="00AA5A4D">
        <w:rPr>
          <w:i/>
        </w:rPr>
        <w:t>t+i-1</w:t>
      </w:r>
      <w:r>
        <w:t xml:space="preserve"> (of those commencing in quarter </w:t>
      </w:r>
      <w:r w:rsidRPr="00AA5A4D">
        <w:rPr>
          <w:i/>
        </w:rPr>
        <w:t>t</w:t>
      </w:r>
      <w:r>
        <w:t xml:space="preserve">) as </w:t>
      </w:r>
      <w:r w:rsidRPr="00E10510">
        <w:rPr>
          <w:position w:val="-28"/>
        </w:rPr>
        <w:object w:dxaOrig="400" w:dyaOrig="540">
          <v:shape id="_x0000_i1027" type="#_x0000_t75" style="width:21.75pt;height:26.8pt" o:ole="">
            <v:imagedata r:id="rId16" o:title=""/>
          </v:shape>
          <o:OLEObject Type="Embed" ProgID="Equation.3" ShapeID="_x0000_i1027" DrawAspect="Content" ObjectID="_1372149035" r:id="rId17"/>
        </w:object>
      </w:r>
      <w:r>
        <w:t xml:space="preserve"> and the number of cancellations/withdrawals in quarter </w:t>
      </w:r>
      <w:r w:rsidRPr="00AA5A4D">
        <w:rPr>
          <w:i/>
        </w:rPr>
        <w:t>t+i-1</w:t>
      </w:r>
      <w:r>
        <w:t xml:space="preserve"> (of those commencing in quarter t) </w:t>
      </w:r>
      <w:proofErr w:type="gramStart"/>
      <w:r>
        <w:t xml:space="preserve">as </w:t>
      </w:r>
      <w:proofErr w:type="gramEnd"/>
      <w:r w:rsidRPr="00E10510">
        <w:rPr>
          <w:position w:val="-28"/>
        </w:rPr>
        <w:object w:dxaOrig="400" w:dyaOrig="540">
          <v:shape id="_x0000_i1028" type="#_x0000_t75" style="width:21.75pt;height:26.8pt" o:ole="">
            <v:imagedata r:id="rId18" o:title=""/>
          </v:shape>
          <o:OLEObject Type="Embed" ProgID="Equation.3" ShapeID="_x0000_i1028" DrawAspect="Content" ObjectID="_1372149036" r:id="rId19"/>
        </w:object>
      </w:r>
      <w:r>
        <w:t>. Clearly we need to have</w:t>
      </w:r>
      <w:r w:rsidR="00EC12C6">
        <w:t>:</w:t>
      </w:r>
      <w:r>
        <w:t xml:space="preserve"> </w:t>
      </w:r>
    </w:p>
    <w:p w:rsidR="00AA5A4D" w:rsidRDefault="00AA5A4D" w:rsidP="00AA5A4D">
      <w:pPr>
        <w:pStyle w:val="Text"/>
      </w:pPr>
      <w:r w:rsidRPr="00E10510">
        <w:rPr>
          <w:position w:val="-28"/>
        </w:rPr>
        <w:object w:dxaOrig="2240" w:dyaOrig="540">
          <v:shape id="_x0000_i1029" type="#_x0000_t75" style="width:109.65pt;height:26.8pt" o:ole="">
            <v:imagedata r:id="rId20" o:title=""/>
          </v:shape>
          <o:OLEObject Type="Embed" ProgID="Equation.3" ShapeID="_x0000_i1029" DrawAspect="Content" ObjectID="_1372149037" r:id="rId21"/>
        </w:object>
      </w:r>
    </w:p>
    <w:p w:rsidR="001965A7" w:rsidRDefault="00AA5A4D" w:rsidP="00AA5A4D">
      <w:pPr>
        <w:pStyle w:val="Text"/>
      </w:pPr>
      <w:r>
        <w:t xml:space="preserve">Let us consider a single cohort, and suppress the index </w:t>
      </w:r>
      <w:r w:rsidRPr="00AA5A4D">
        <w:rPr>
          <w:i/>
        </w:rPr>
        <w:t>t</w:t>
      </w:r>
      <w:r w:rsidRPr="00135BAB">
        <w:t>.  Then</w:t>
      </w:r>
      <w:r>
        <w:t xml:space="preserve"> the transition matrix for quarter </w:t>
      </w:r>
      <w:proofErr w:type="spellStart"/>
      <w:r w:rsidRPr="00AA5A4D">
        <w:rPr>
          <w:i/>
        </w:rPr>
        <w:t>i</w:t>
      </w:r>
      <w:proofErr w:type="spellEnd"/>
      <w:r>
        <w:t xml:space="preserve"> </w:t>
      </w:r>
      <w:proofErr w:type="gramStart"/>
      <w:r>
        <w:t>is</w:t>
      </w:r>
      <w:proofErr w:type="gramEnd"/>
      <w:r>
        <w:t xml:space="preserve"> given by</w:t>
      </w:r>
      <w:r w:rsidR="00EC12C6">
        <w:t>:</w:t>
      </w:r>
    </w:p>
    <w:p w:rsidR="00392598" w:rsidRDefault="00392598" w:rsidP="00AA5A4D">
      <w:pPr>
        <w:pStyle w:val="Text"/>
      </w:pPr>
    </w:p>
    <w:p w:rsidR="00AA5A4D" w:rsidRDefault="00765CD1" w:rsidP="00AA5A4D">
      <w:pPr>
        <w:pStyle w:val="Text"/>
      </w:pPr>
      <w:r>
        <w:rPr>
          <w:noProof/>
        </w:rPr>
        <w:pict>
          <v:shape id="_x0000_s1035" type="#_x0000_t75" style="position:absolute;margin-left:0;margin-top:-14.1pt;width:245.45pt;height:57.75pt;z-index:251660800;mso-position-horizontal:left">
            <v:imagedata r:id="rId22" o:title=""/>
            <w10:wrap type="square" side="right"/>
          </v:shape>
          <o:OLEObject Type="Embed" ProgID="Equation.3" ShapeID="_x0000_s1035" DrawAspect="Content" ObjectID="_1372149039" r:id="rId23"/>
        </w:pict>
      </w:r>
    </w:p>
    <w:p w:rsidR="00392598" w:rsidRDefault="00392598" w:rsidP="00AA5A4D">
      <w:pPr>
        <w:pStyle w:val="Text"/>
      </w:pPr>
    </w:p>
    <w:p w:rsidR="00E13DEB" w:rsidRPr="00004C0D" w:rsidRDefault="00E13DEB" w:rsidP="00AA5A4D">
      <w:pPr>
        <w:pStyle w:val="Text"/>
      </w:pPr>
      <w:proofErr w:type="gramStart"/>
      <w:r>
        <w:t>with</w:t>
      </w:r>
      <w:proofErr w:type="gramEnd"/>
      <w:r>
        <w:t xml:space="preserve"> the second and third col</w:t>
      </w:r>
      <w:r w:rsidR="00BC6312">
        <w:t>umns expressing the transition</w:t>
      </w:r>
      <w:r>
        <w:t xml:space="preserve"> probabilities for completion and cancellation/withdrawal, respectively.</w:t>
      </w:r>
    </w:p>
    <w:p w:rsidR="003633D1" w:rsidRDefault="009065DB" w:rsidP="003633D1">
      <w:pPr>
        <w:pStyle w:val="Heading2"/>
      </w:pPr>
      <w:bookmarkStart w:id="15" w:name="_Toc296933766"/>
      <w:r>
        <w:t>Applying t</w:t>
      </w:r>
      <w:r w:rsidR="0097672D">
        <w:t>he</w:t>
      </w:r>
      <w:r w:rsidR="003633D1">
        <w:t xml:space="preserve"> ‘life tables’</w:t>
      </w:r>
      <w:r w:rsidR="0097672D">
        <w:t xml:space="preserve"> approach</w:t>
      </w:r>
      <w:bookmarkEnd w:id="15"/>
    </w:p>
    <w:p w:rsidR="00303DCC" w:rsidRDefault="003F3F83" w:rsidP="003633D1">
      <w:pPr>
        <w:pStyle w:val="Text"/>
      </w:pPr>
      <w:r>
        <w:t>In</w:t>
      </w:r>
      <w:r w:rsidR="00EC44C6">
        <w:t xml:space="preserve"> our</w:t>
      </w:r>
      <w:r w:rsidR="007422EA">
        <w:t xml:space="preserve"> example</w:t>
      </w:r>
      <w:r w:rsidR="00D15114">
        <w:t xml:space="preserve">, the </w:t>
      </w:r>
      <w:r w:rsidR="00831CD4">
        <w:t>latest</w:t>
      </w:r>
      <w:r w:rsidR="00D15114">
        <w:t xml:space="preserve"> </w:t>
      </w:r>
      <w:proofErr w:type="gramStart"/>
      <w:r w:rsidR="00D15114">
        <w:t>cohort commenced in quarter</w:t>
      </w:r>
      <w:proofErr w:type="gramEnd"/>
      <w:r w:rsidR="00D15114">
        <w:t xml:space="preserve"> four. We </w:t>
      </w:r>
      <w:r w:rsidR="006523D5">
        <w:t xml:space="preserve">now </w:t>
      </w:r>
      <w:r w:rsidR="00D15114">
        <w:t xml:space="preserve">wish to </w:t>
      </w:r>
      <w:r w:rsidR="00B70686">
        <w:t xml:space="preserve">find out what proportion of these contracts will be completed </w:t>
      </w:r>
      <w:r w:rsidR="00160956">
        <w:t xml:space="preserve">and what proportion will be </w:t>
      </w:r>
      <w:proofErr w:type="gramStart"/>
      <w:r w:rsidR="00B70686">
        <w:t>cancelled/withdrawn</w:t>
      </w:r>
      <w:proofErr w:type="gramEnd"/>
      <w:r w:rsidR="00B70686">
        <w:t xml:space="preserve">. </w:t>
      </w:r>
      <w:r w:rsidR="00C53153">
        <w:t>In one sense, this is not possible because we will not observe the final outcome of this cohort for another three quarters</w:t>
      </w:r>
      <w:r w:rsidR="00B70686">
        <w:t xml:space="preserve">—using a more realistic example, we would not observe the final outcome of the </w:t>
      </w:r>
      <w:r w:rsidR="00160956">
        <w:t>latest</w:t>
      </w:r>
      <w:r w:rsidR="00B70686">
        <w:t xml:space="preserve"> commencing cohort for s</w:t>
      </w:r>
      <w:r w:rsidR="003F04C0">
        <w:t>everal</w:t>
      </w:r>
      <w:r w:rsidR="00B70686">
        <w:t xml:space="preserve"> years</w:t>
      </w:r>
      <w:r w:rsidR="00C53153">
        <w:t>.</w:t>
      </w:r>
      <w:r w:rsidR="002471DF">
        <w:t xml:space="preserve"> However, such up-</w:t>
      </w:r>
      <w:r w:rsidR="00160956">
        <w:t>to</w:t>
      </w:r>
      <w:r w:rsidR="002471DF">
        <w:t>-</w:t>
      </w:r>
      <w:r w:rsidR="00160956">
        <w:t xml:space="preserve">date estimates are possible if we assume </w:t>
      </w:r>
      <w:r w:rsidR="002471DF">
        <w:t>that the cohort will beha</w:t>
      </w:r>
      <w:r w:rsidR="00BC6312">
        <w:t>ve according to the transition</w:t>
      </w:r>
      <w:r w:rsidR="002471DF">
        <w:t xml:space="preserve"> probab</w:t>
      </w:r>
      <w:r w:rsidR="00EC44C6">
        <w:t>ilities constructed in table 2.</w:t>
      </w:r>
      <w:r w:rsidR="00160956">
        <w:t xml:space="preserve"> </w:t>
      </w:r>
      <w:r w:rsidR="008103F2">
        <w:t>That is, we will use recent cross-sectional data to mimic data with a time dimension. This is the basic approach used in the construction of ‘life tables’</w:t>
      </w:r>
      <w:r w:rsidR="00EF3A8E">
        <w:t>.</w:t>
      </w:r>
    </w:p>
    <w:p w:rsidR="001C5ECE" w:rsidRDefault="001C5ECE" w:rsidP="003633D1">
      <w:pPr>
        <w:pStyle w:val="Text"/>
      </w:pPr>
      <w:r>
        <w:lastRenderedPageBreak/>
        <w:t>We continue our example</w:t>
      </w:r>
      <w:r w:rsidR="008103F2">
        <w:t>. The cohort we</w:t>
      </w:r>
      <w:r w:rsidR="00BD6F35">
        <w:t xml:space="preserve"> are interested in is the one </w:t>
      </w:r>
      <w:r w:rsidR="003F04C0">
        <w:t>which commenced</w:t>
      </w:r>
      <w:r w:rsidR="008103F2">
        <w:t xml:space="preserve"> </w:t>
      </w:r>
      <w:r w:rsidR="009B5747">
        <w:t xml:space="preserve">at </w:t>
      </w:r>
      <w:r w:rsidR="008103F2">
        <w:t xml:space="preserve">quarter four. Table 3 presents </w:t>
      </w:r>
      <w:r w:rsidR="00BC6312">
        <w:t>the cross-sectional transition</w:t>
      </w:r>
      <w:r w:rsidR="008103F2">
        <w:t xml:space="preserve"> probabilities for this cohort.</w:t>
      </w:r>
      <w:r w:rsidR="007422EA">
        <w:t xml:space="preserve"> Notice that this table</w:t>
      </w:r>
      <w:r w:rsidR="00543145">
        <w:t xml:space="preserve"> is merely an abridged version of tab</w:t>
      </w:r>
      <w:r w:rsidR="00BC6312">
        <w:t>le 2, with only the transition</w:t>
      </w:r>
      <w:r w:rsidR="00543145">
        <w:t xml:space="preserve"> probabilities for quarter four retained</w:t>
      </w:r>
      <w:r w:rsidR="00EF3A8E">
        <w:t xml:space="preserve"> for each state</w:t>
      </w:r>
      <w:r w:rsidR="00F31818">
        <w:t>.</w:t>
      </w:r>
    </w:p>
    <w:p w:rsidR="00FE571B" w:rsidRPr="0019596E" w:rsidRDefault="00FE571B" w:rsidP="0019596E">
      <w:pPr>
        <w:pStyle w:val="tabletitle"/>
        <w:ind w:left="993" w:hanging="993"/>
        <w:rPr>
          <w:bCs/>
        </w:rPr>
      </w:pPr>
      <w:bookmarkStart w:id="16" w:name="_Toc296933797"/>
      <w:r w:rsidRPr="0019596E">
        <w:rPr>
          <w:bCs/>
        </w:rPr>
        <w:t>Tabl</w:t>
      </w:r>
      <w:r w:rsidR="00AA670F" w:rsidRPr="0019596E">
        <w:rPr>
          <w:bCs/>
        </w:rPr>
        <w:t>e 3</w:t>
      </w:r>
      <w:r w:rsidR="00AA670F" w:rsidRPr="0019596E">
        <w:rPr>
          <w:bCs/>
        </w:rPr>
        <w:tab/>
        <w:t>Cross-sectional transition</w:t>
      </w:r>
      <w:r w:rsidRPr="0019596E">
        <w:rPr>
          <w:bCs/>
        </w:rPr>
        <w:t xml:space="preserve"> probabilities </w:t>
      </w:r>
      <w:r w:rsidR="004712ED" w:rsidRPr="0019596E">
        <w:rPr>
          <w:bCs/>
        </w:rPr>
        <w:t>for cohort commencing quarter four</w:t>
      </w:r>
      <w:bookmarkEnd w:id="16"/>
    </w:p>
    <w:tbl>
      <w:tblPr>
        <w:tblStyle w:val="TableGrid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2315"/>
        <w:gridCol w:w="2315"/>
        <w:gridCol w:w="2315"/>
      </w:tblGrid>
      <w:tr w:rsidR="001C5ECE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</w:tcPr>
          <w:p w:rsidR="001C5ECE" w:rsidRDefault="001C5ECE" w:rsidP="002D3FFB">
            <w:pPr>
              <w:pStyle w:val="Tablehead1"/>
            </w:pPr>
            <w:r>
              <w:t>Commenced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1C5ECE" w:rsidRDefault="001C5ECE" w:rsidP="002D3FFB">
            <w:pPr>
              <w:pStyle w:val="Tablehead1"/>
              <w:jc w:val="center"/>
            </w:pPr>
            <w:r>
              <w:t>Completed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1C5ECE" w:rsidRDefault="001C5ECE" w:rsidP="002D3FFB">
            <w:pPr>
              <w:pStyle w:val="Tablehead1"/>
              <w:jc w:val="center"/>
            </w:pPr>
            <w:r>
              <w:t>Cancelled/withdrawn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1C5ECE" w:rsidRDefault="001C5ECE" w:rsidP="002D3FFB">
            <w:pPr>
              <w:pStyle w:val="Tablehead1"/>
              <w:jc w:val="center"/>
            </w:pPr>
            <w:r>
              <w:t>Continuing</w:t>
            </w:r>
          </w:p>
        </w:tc>
      </w:tr>
      <w:tr w:rsidR="001C5ECE" w:rsidTr="002D3FFB">
        <w:tc>
          <w:tcPr>
            <w:tcW w:w="1560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1C5ECE" w:rsidRDefault="001C5ECE" w:rsidP="002D3FFB">
            <w:pPr>
              <w:pStyle w:val="Tablehead2"/>
            </w:pP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C5ECE" w:rsidRPr="00285C57" w:rsidRDefault="001C5ECE" w:rsidP="002D3FFB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C5ECE" w:rsidRPr="00285C57" w:rsidRDefault="001C5ECE" w:rsidP="002D3FFB">
            <w:pPr>
              <w:pStyle w:val="Tablehead2"/>
              <w:jc w:val="center"/>
            </w:pPr>
            <w:r>
              <w:t>Q4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</w:tcBorders>
          </w:tcPr>
          <w:p w:rsidR="001C5ECE" w:rsidRPr="00285C57" w:rsidRDefault="001C5ECE" w:rsidP="002D3FFB">
            <w:pPr>
              <w:pStyle w:val="Tablehead2"/>
              <w:jc w:val="center"/>
            </w:pPr>
            <w:r>
              <w:t>Q4</w:t>
            </w:r>
          </w:p>
        </w:tc>
      </w:tr>
      <w:tr w:rsidR="00FE571B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  <w:vAlign w:val="bottom"/>
          </w:tcPr>
          <w:p w:rsidR="00FE571B" w:rsidRDefault="00FE571B" w:rsidP="002D3FFB">
            <w:pPr>
              <w:pStyle w:val="Tabletext"/>
              <w:ind w:left="227"/>
            </w:pPr>
            <w:r>
              <w:t>Q1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0.80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0.00</w:t>
            </w:r>
          </w:p>
        </w:tc>
      </w:tr>
      <w:tr w:rsidR="00FE571B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FE571B" w:rsidRPr="001C5ECE" w:rsidRDefault="00FE571B" w:rsidP="002D3FFB">
            <w:pPr>
              <w:pStyle w:val="Tabletext"/>
              <w:ind w:left="227"/>
            </w:pPr>
            <w:r>
              <w:t>Q2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0.30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0.50</w:t>
            </w:r>
          </w:p>
        </w:tc>
      </w:tr>
      <w:tr w:rsidR="00FE571B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FE571B" w:rsidRDefault="00FE571B" w:rsidP="002D3FFB">
            <w:pPr>
              <w:pStyle w:val="Tabletext"/>
              <w:ind w:left="227"/>
            </w:pPr>
            <w:r>
              <w:t>Q3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0.13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</w:pPr>
            <w:r>
              <w:t>0.67</w:t>
            </w:r>
          </w:p>
        </w:tc>
      </w:tr>
      <w:tr w:rsidR="00FE571B" w:rsidTr="002D3FFB">
        <w:tc>
          <w:tcPr>
            <w:tcW w:w="1560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FE571B" w:rsidRDefault="00FE571B" w:rsidP="002D3FFB">
            <w:pPr>
              <w:pStyle w:val="Tabletext"/>
              <w:spacing w:after="40"/>
              <w:ind w:left="227"/>
            </w:pPr>
            <w:r>
              <w:t>Q4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0.05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</w:tcBorders>
          </w:tcPr>
          <w:p w:rsidR="00FE571B" w:rsidRDefault="00FE571B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0.75</w:t>
            </w:r>
          </w:p>
        </w:tc>
      </w:tr>
    </w:tbl>
    <w:p w:rsidR="00CE21CB" w:rsidRDefault="00543145" w:rsidP="002D3FFB">
      <w:pPr>
        <w:pStyle w:val="StyleTextBefore15pt"/>
      </w:pPr>
      <w:r w:rsidRPr="00543145">
        <w:t>From table 3 we can clearly see that the transition probabilities</w:t>
      </w:r>
      <w:r w:rsidR="00013AA3">
        <w:t xml:space="preserve"> for each state</w:t>
      </w:r>
      <w:r w:rsidRPr="00543145">
        <w:t xml:space="preserve"> are based on data going from one quarter to the </w:t>
      </w:r>
      <w:r w:rsidR="00EF3A8E">
        <w:t>next, the implication of this being</w:t>
      </w:r>
      <w:r w:rsidRPr="00543145">
        <w:t xml:space="preserve"> </w:t>
      </w:r>
      <w:r w:rsidR="00BC6312">
        <w:t xml:space="preserve">that </w:t>
      </w:r>
      <w:r w:rsidRPr="00543145">
        <w:t>each rate is based on a different commencing cohort</w:t>
      </w:r>
      <w:r>
        <w:t>.</w:t>
      </w:r>
      <w:r w:rsidR="00BC6312">
        <w:t xml:space="preserve"> That is, early transition probabilities (0.05, 0.20 and 0.75</w:t>
      </w:r>
      <w:r w:rsidR="00224076">
        <w:t xml:space="preserve"> for completed, cancelled/withdrawn and continuing</w:t>
      </w:r>
      <w:r w:rsidR="00BC6312">
        <w:t>, respectively)</w:t>
      </w:r>
      <w:r w:rsidR="00BC6312" w:rsidRPr="00BC6312">
        <w:t xml:space="preserve"> are based on the most recent commencements</w:t>
      </w:r>
      <w:r w:rsidR="009B5747">
        <w:t>,</w:t>
      </w:r>
      <w:r w:rsidR="00BC6312" w:rsidRPr="00BC6312">
        <w:t xml:space="preserve"> while later </w:t>
      </w:r>
      <w:r w:rsidR="00BC6312">
        <w:t xml:space="preserve">probabilities (0.80, 0.20 and 0.00, </w:t>
      </w:r>
      <w:r w:rsidR="00D248BD">
        <w:t>for</w:t>
      </w:r>
      <w:r w:rsidR="00224076">
        <w:t xml:space="preserve"> completed, cancelled/</w:t>
      </w:r>
      <w:r w:rsidR="005A508C">
        <w:t xml:space="preserve"> </w:t>
      </w:r>
      <w:r w:rsidR="00224076">
        <w:t>withdrawn and continuing</w:t>
      </w:r>
      <w:r w:rsidR="00D248BD">
        <w:t xml:space="preserve">, </w:t>
      </w:r>
      <w:r w:rsidR="00BC6312">
        <w:t>respectively)</w:t>
      </w:r>
      <w:r w:rsidR="00BC6312" w:rsidRPr="00BC6312">
        <w:t xml:space="preserve"> are based on cohorts </w:t>
      </w:r>
      <w:r w:rsidR="00CE21CB">
        <w:t>which</w:t>
      </w:r>
      <w:r w:rsidR="00BC6312" w:rsidRPr="00BC6312">
        <w:t xml:space="preserve"> commenced earlier.</w:t>
      </w:r>
      <w:r>
        <w:t xml:space="preserve"> </w:t>
      </w:r>
    </w:p>
    <w:p w:rsidR="00CE21CB" w:rsidRDefault="00CE21CB" w:rsidP="003633D1">
      <w:pPr>
        <w:pStyle w:val="Text"/>
      </w:pPr>
      <w:r>
        <w:t xml:space="preserve">In this sense, table 3 needs to be </w:t>
      </w:r>
      <w:r w:rsidR="007422EA">
        <w:t>‘</w:t>
      </w:r>
      <w:r>
        <w:t>flipped over</w:t>
      </w:r>
      <w:r w:rsidR="007422EA">
        <w:t>’</w:t>
      </w:r>
      <w:r>
        <w:t xml:space="preserve"> to show</w:t>
      </w:r>
      <w:r w:rsidR="00D2017B">
        <w:t xml:space="preserve"> how</w:t>
      </w:r>
      <w:r w:rsidR="00724D73">
        <w:t xml:space="preserve"> the</w:t>
      </w:r>
      <w:r>
        <w:t xml:space="preserve"> cohort </w:t>
      </w:r>
      <w:r w:rsidR="00724D73">
        <w:t xml:space="preserve">commencing </w:t>
      </w:r>
      <w:r w:rsidR="003F3F1A">
        <w:t xml:space="preserve">in </w:t>
      </w:r>
      <w:r w:rsidR="00724D73">
        <w:t>quarter four will behave (table 4).</w:t>
      </w:r>
    </w:p>
    <w:p w:rsidR="00CE21CB" w:rsidRPr="002D3FFB" w:rsidRDefault="00CE21CB" w:rsidP="002D3FFB">
      <w:pPr>
        <w:pStyle w:val="tabletitle"/>
        <w:ind w:left="993" w:hanging="993"/>
        <w:rPr>
          <w:bCs/>
        </w:rPr>
      </w:pPr>
      <w:bookmarkStart w:id="17" w:name="_Toc296933798"/>
      <w:r w:rsidRPr="002D3FFB">
        <w:rPr>
          <w:bCs/>
        </w:rPr>
        <w:t>Table 4</w:t>
      </w:r>
      <w:r w:rsidRPr="002D3FFB">
        <w:rPr>
          <w:bCs/>
        </w:rPr>
        <w:tab/>
      </w:r>
      <w:r w:rsidR="00D51E93" w:rsidRPr="002D3FFB">
        <w:rPr>
          <w:bCs/>
        </w:rPr>
        <w:t>‘Flipped’ c</w:t>
      </w:r>
      <w:r w:rsidRPr="002D3FFB">
        <w:rPr>
          <w:bCs/>
        </w:rPr>
        <w:t xml:space="preserve">ross-sectional transition probabilities </w:t>
      </w:r>
      <w:r w:rsidR="004712ED" w:rsidRPr="002D3FFB">
        <w:rPr>
          <w:bCs/>
        </w:rPr>
        <w:t>for cohort commencing quarter four</w:t>
      </w:r>
      <w:bookmarkEnd w:id="17"/>
    </w:p>
    <w:tbl>
      <w:tblPr>
        <w:tblStyle w:val="TableGrid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2315"/>
        <w:gridCol w:w="2315"/>
        <w:gridCol w:w="2315"/>
      </w:tblGrid>
      <w:tr w:rsidR="00CE21CB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</w:tcPr>
          <w:p w:rsidR="00CE21CB" w:rsidRDefault="009C70EA" w:rsidP="002D3FFB">
            <w:pPr>
              <w:pStyle w:val="Tablehead1"/>
            </w:pPr>
            <w:r>
              <w:t>Time period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CE21CB" w:rsidRDefault="00CE21CB" w:rsidP="002D3FFB">
            <w:pPr>
              <w:pStyle w:val="Tablehead1"/>
              <w:jc w:val="center"/>
            </w:pPr>
            <w:r>
              <w:t>Completed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CE21CB" w:rsidRDefault="00CE21CB" w:rsidP="002D3FFB">
            <w:pPr>
              <w:pStyle w:val="Tablehead1"/>
              <w:jc w:val="center"/>
            </w:pPr>
            <w:r>
              <w:t>Cancelled/withdrawn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CE21CB" w:rsidRDefault="00CE21CB" w:rsidP="002D3FFB">
            <w:pPr>
              <w:pStyle w:val="Tablehead1"/>
              <w:jc w:val="center"/>
            </w:pPr>
            <w:r>
              <w:t>Continuing</w:t>
            </w:r>
          </w:p>
        </w:tc>
      </w:tr>
      <w:tr w:rsidR="004712ED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  <w:vAlign w:val="bottom"/>
          </w:tcPr>
          <w:p w:rsidR="004712ED" w:rsidRDefault="004712ED" w:rsidP="002D3FFB">
            <w:pPr>
              <w:pStyle w:val="Tabletext"/>
              <w:ind w:left="227"/>
            </w:pPr>
            <w: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0.05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0.75</w:t>
            </w:r>
          </w:p>
        </w:tc>
      </w:tr>
      <w:tr w:rsidR="004712ED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4712ED" w:rsidRPr="001C5ECE" w:rsidRDefault="004712ED" w:rsidP="002D3FFB">
            <w:pPr>
              <w:pStyle w:val="Tabletext"/>
              <w:ind w:left="227"/>
            </w:pPr>
            <w:r>
              <w:t>2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0.13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0.67</w:t>
            </w:r>
          </w:p>
        </w:tc>
      </w:tr>
      <w:tr w:rsidR="004712ED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4712ED" w:rsidRDefault="004712ED" w:rsidP="002D3FFB">
            <w:pPr>
              <w:pStyle w:val="Tabletext"/>
              <w:ind w:left="227"/>
            </w:pPr>
            <w:r>
              <w:t>3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0.30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</w:pPr>
            <w:r>
              <w:t>0.50</w:t>
            </w:r>
          </w:p>
        </w:tc>
      </w:tr>
      <w:tr w:rsidR="004712ED" w:rsidTr="002D3FFB">
        <w:tc>
          <w:tcPr>
            <w:tcW w:w="1560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4712ED" w:rsidRDefault="004712ED" w:rsidP="002D3FFB">
            <w:pPr>
              <w:pStyle w:val="Tabletext"/>
              <w:spacing w:after="40"/>
              <w:ind w:left="227"/>
            </w:pPr>
            <w:r>
              <w:t>4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0.80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</w:tcBorders>
          </w:tcPr>
          <w:p w:rsidR="004712ED" w:rsidRDefault="004712ED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0.00</w:t>
            </w:r>
          </w:p>
        </w:tc>
      </w:tr>
    </w:tbl>
    <w:p w:rsidR="00296F95" w:rsidRDefault="004D1BF1" w:rsidP="002D3FFB">
      <w:pPr>
        <w:pStyle w:val="StyleTextBefore15pt"/>
      </w:pPr>
      <w:r>
        <w:t xml:space="preserve">Notice that we have not performed any additional calculations in the last two steps. We have merely taken the transition probabilities in table 2, and for a particular cohort, </w:t>
      </w:r>
      <w:r w:rsidR="007422EA">
        <w:t>‘</w:t>
      </w:r>
      <w:r>
        <w:t>flipped</w:t>
      </w:r>
      <w:r w:rsidR="007422EA">
        <w:t>’</w:t>
      </w:r>
      <w:r>
        <w:t xml:space="preserve"> them over.</w:t>
      </w:r>
      <w:r w:rsidR="00C6297B">
        <w:t xml:space="preserve"> T</w:t>
      </w:r>
      <w:r w:rsidR="00A7767D">
        <w:t>he only diffi</w:t>
      </w:r>
      <w:r w:rsidR="00C6297B">
        <w:t xml:space="preserve">cult part of the exercise is </w:t>
      </w:r>
      <w:r w:rsidR="003F3F1A">
        <w:t>recognising</w:t>
      </w:r>
      <w:r w:rsidR="00013AA3">
        <w:t xml:space="preserve"> </w:t>
      </w:r>
      <w:r w:rsidR="00A7767D">
        <w:t>that the latest commencing cohort will behave according to transition probabilities calculated for different commencing cohorts, with the transitions from the earliest commencing cohorts being used for the la</w:t>
      </w:r>
      <w:r w:rsidR="00724D73">
        <w:t>t</w:t>
      </w:r>
      <w:r w:rsidR="00A7767D">
        <w:t xml:space="preserve">er </w:t>
      </w:r>
      <w:r w:rsidR="007422EA">
        <w:t>quarters</w:t>
      </w:r>
      <w:r w:rsidR="00A7767D">
        <w:t>.</w:t>
      </w:r>
    </w:p>
    <w:p w:rsidR="00296F95" w:rsidRDefault="00296F95" w:rsidP="003633D1">
      <w:pPr>
        <w:pStyle w:val="Text"/>
      </w:pPr>
      <w:r>
        <w:t>It is a simple step to now calculate the cumulative rates (table 5</w:t>
      </w:r>
      <w:r w:rsidR="004C2625">
        <w:t>).</w:t>
      </w:r>
    </w:p>
    <w:p w:rsidR="00296F95" w:rsidRPr="002D3FFB" w:rsidRDefault="00296F95" w:rsidP="002D3FFB">
      <w:pPr>
        <w:pStyle w:val="tabletitle"/>
        <w:ind w:left="993" w:hanging="993"/>
        <w:rPr>
          <w:bCs/>
        </w:rPr>
      </w:pPr>
      <w:bookmarkStart w:id="18" w:name="_Toc296933799"/>
      <w:r w:rsidRPr="002D3FFB">
        <w:rPr>
          <w:bCs/>
        </w:rPr>
        <w:t>Table 5</w:t>
      </w:r>
      <w:r w:rsidRPr="002D3FFB">
        <w:rPr>
          <w:bCs/>
        </w:rPr>
        <w:tab/>
        <w:t>Cumulative cross-sectional rates for cohort commencing quarter four</w:t>
      </w:r>
      <w:bookmarkEnd w:id="18"/>
    </w:p>
    <w:tbl>
      <w:tblPr>
        <w:tblStyle w:val="TableGrid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2315"/>
        <w:gridCol w:w="2315"/>
        <w:gridCol w:w="2315"/>
      </w:tblGrid>
      <w:tr w:rsidR="00296F95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head1"/>
            </w:pPr>
            <w:r>
              <w:t>Quarter ending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head1"/>
              <w:jc w:val="center"/>
            </w:pPr>
            <w:r>
              <w:t>Completed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head1"/>
              <w:jc w:val="center"/>
            </w:pPr>
            <w:r>
              <w:t>Cancelled/withdrawn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296F95" w:rsidRDefault="00296F95" w:rsidP="002D3FFB">
            <w:pPr>
              <w:pStyle w:val="Tablehead1"/>
              <w:jc w:val="center"/>
            </w:pPr>
            <w:r>
              <w:t>Continuing</w:t>
            </w:r>
          </w:p>
        </w:tc>
      </w:tr>
      <w:tr w:rsidR="00296F95" w:rsidTr="002D3FFB">
        <w:tc>
          <w:tcPr>
            <w:tcW w:w="1560" w:type="dxa"/>
            <w:tcBorders>
              <w:top w:val="single" w:sz="4" w:space="0" w:color="auto"/>
              <w:right w:val="dotted" w:sz="4" w:space="0" w:color="auto"/>
            </w:tcBorders>
            <w:vAlign w:val="bottom"/>
          </w:tcPr>
          <w:p w:rsidR="00296F95" w:rsidRDefault="00296F95" w:rsidP="002D3FFB">
            <w:pPr>
              <w:pStyle w:val="Tabletext"/>
              <w:ind w:left="227"/>
            </w:pPr>
            <w:r>
              <w:t>0</w:t>
            </w:r>
            <w:r w:rsidR="00972C88">
              <w:t>.0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0.00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0.00</w:t>
            </w:r>
          </w:p>
        </w:tc>
        <w:tc>
          <w:tcPr>
            <w:tcW w:w="2315" w:type="dxa"/>
            <w:tcBorders>
              <w:top w:val="single" w:sz="4" w:space="0" w:color="auto"/>
              <w:lef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1.00</w:t>
            </w:r>
          </w:p>
        </w:tc>
      </w:tr>
      <w:tr w:rsidR="00296F95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296F95" w:rsidRDefault="00296F95" w:rsidP="002D3FFB">
            <w:pPr>
              <w:pStyle w:val="Tabletext"/>
              <w:ind w:left="227"/>
            </w:pPr>
            <w:r>
              <w:t>0.5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0.05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0.20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0.75</w:t>
            </w:r>
          </w:p>
        </w:tc>
      </w:tr>
      <w:tr w:rsidR="00296F95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296F95" w:rsidRPr="001C5ECE" w:rsidRDefault="00296F95" w:rsidP="002D3FFB">
            <w:pPr>
              <w:pStyle w:val="Tabletext"/>
              <w:ind w:left="227"/>
            </w:pPr>
            <w:r>
              <w:t>1.5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0.15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0.35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0.50</w:t>
            </w:r>
          </w:p>
        </w:tc>
      </w:tr>
      <w:tr w:rsidR="00296F95" w:rsidTr="002D3FFB">
        <w:tc>
          <w:tcPr>
            <w:tcW w:w="1560" w:type="dxa"/>
            <w:tcBorders>
              <w:right w:val="dotted" w:sz="4" w:space="0" w:color="auto"/>
            </w:tcBorders>
            <w:vAlign w:val="bottom"/>
          </w:tcPr>
          <w:p w:rsidR="00296F95" w:rsidRDefault="00296F95" w:rsidP="002D3FFB">
            <w:pPr>
              <w:pStyle w:val="Tabletext"/>
              <w:ind w:left="227"/>
            </w:pPr>
            <w:r>
              <w:t>2.5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0.30</w:t>
            </w:r>
          </w:p>
        </w:tc>
        <w:tc>
          <w:tcPr>
            <w:tcW w:w="2315" w:type="dxa"/>
            <w:tcBorders>
              <w:left w:val="dotted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0.45</w:t>
            </w:r>
          </w:p>
        </w:tc>
        <w:tc>
          <w:tcPr>
            <w:tcW w:w="2315" w:type="dxa"/>
            <w:tcBorders>
              <w:lef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</w:pPr>
            <w:r>
              <w:t>0.25</w:t>
            </w:r>
          </w:p>
        </w:tc>
      </w:tr>
      <w:tr w:rsidR="00296F95" w:rsidTr="002D3FFB">
        <w:tc>
          <w:tcPr>
            <w:tcW w:w="1560" w:type="dxa"/>
            <w:tcBorders>
              <w:bottom w:val="single" w:sz="4" w:space="0" w:color="auto"/>
              <w:right w:val="dotted" w:sz="4" w:space="0" w:color="auto"/>
            </w:tcBorders>
            <w:vAlign w:val="bottom"/>
          </w:tcPr>
          <w:p w:rsidR="00296F95" w:rsidRDefault="00296F95" w:rsidP="002D3FFB">
            <w:pPr>
              <w:pStyle w:val="Tabletext"/>
              <w:spacing w:after="40"/>
              <w:ind w:left="227"/>
            </w:pPr>
            <w:r>
              <w:t>3.5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0.50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0.50</w:t>
            </w:r>
          </w:p>
        </w:tc>
        <w:tc>
          <w:tcPr>
            <w:tcW w:w="2315" w:type="dxa"/>
            <w:tcBorders>
              <w:left w:val="dotted" w:sz="4" w:space="0" w:color="auto"/>
              <w:bottom w:val="single" w:sz="4" w:space="0" w:color="auto"/>
            </w:tcBorders>
          </w:tcPr>
          <w:p w:rsidR="00296F95" w:rsidRDefault="00296F95" w:rsidP="002D3FFB">
            <w:pPr>
              <w:pStyle w:val="Tabletext"/>
              <w:tabs>
                <w:tab w:val="decimal" w:pos="992"/>
              </w:tabs>
              <w:spacing w:after="40"/>
            </w:pPr>
            <w:r>
              <w:t>0.00</w:t>
            </w:r>
          </w:p>
        </w:tc>
      </w:tr>
    </w:tbl>
    <w:p w:rsidR="009C367B" w:rsidRDefault="00904025" w:rsidP="002D3FFB">
      <w:pPr>
        <w:pStyle w:val="StyleTextBefore15pt"/>
      </w:pPr>
      <w:r>
        <w:t xml:space="preserve">The time periods used are half a quarter for the first time period and one quarter thereafter. </w:t>
      </w:r>
      <w:r w:rsidR="00A76AB6">
        <w:t>Th</w:t>
      </w:r>
      <w:r w:rsidR="009C367B">
        <w:t xml:space="preserve">at is, </w:t>
      </w:r>
      <w:r w:rsidR="006F26DC">
        <w:t>we assume</w:t>
      </w:r>
      <w:r w:rsidR="00A76AB6">
        <w:t xml:space="preserve"> that all commencements in the first quarter begin at exactly half way through the quarter rather than at the beginning. </w:t>
      </w:r>
      <w:r w:rsidR="009C367B">
        <w:t xml:space="preserve">In reality, commencements occur over the whole </w:t>
      </w:r>
      <w:r w:rsidR="00515ECD">
        <w:t xml:space="preserve">quarter </w:t>
      </w:r>
      <w:r w:rsidR="009C367B">
        <w:t xml:space="preserve">rather than </w:t>
      </w:r>
      <w:r w:rsidR="00224076">
        <w:t xml:space="preserve">at </w:t>
      </w:r>
      <w:r w:rsidR="009C367B">
        <w:lastRenderedPageBreak/>
        <w:t xml:space="preserve">any point in time, but as </w:t>
      </w:r>
      <w:r w:rsidR="00DB29F0">
        <w:t xml:space="preserve">already </w:t>
      </w:r>
      <w:r w:rsidR="003F3F1A">
        <w:t>highlighted</w:t>
      </w:r>
      <w:r w:rsidR="00DB29F0">
        <w:t xml:space="preserve">, the </w:t>
      </w:r>
      <w:r w:rsidR="00AD5C16">
        <w:t>requisite</w:t>
      </w:r>
      <w:r w:rsidR="00DB29F0">
        <w:t xml:space="preserve"> calculations </w:t>
      </w:r>
      <w:r w:rsidR="004A499D">
        <w:t>complicate matters for little gain in precision.</w:t>
      </w:r>
    </w:p>
    <w:p w:rsidR="004C2625" w:rsidRDefault="004C2625" w:rsidP="00C8549F">
      <w:pPr>
        <w:pStyle w:val="Text"/>
      </w:pPr>
      <w:r>
        <w:t xml:space="preserve">For completeness, let us explain how the cumulative rates are calculated. </w:t>
      </w:r>
      <w:r w:rsidR="00912035">
        <w:t xml:space="preserve">At the beginning, every contract is continuing. </w:t>
      </w:r>
      <w:r w:rsidR="00F35B4D">
        <w:t xml:space="preserve">At </w:t>
      </w:r>
      <w:r w:rsidR="003F3F1A">
        <w:t xml:space="preserve">the </w:t>
      </w:r>
      <w:r w:rsidR="00F35B4D">
        <w:t xml:space="preserve">quarter ending 0.5, the cumulative rates equal the transition probabilities for time period one in table 4. At </w:t>
      </w:r>
      <w:r w:rsidR="003F3F1A">
        <w:t xml:space="preserve">the </w:t>
      </w:r>
      <w:r w:rsidR="00F35B4D">
        <w:t xml:space="preserve">quarter ending 1.5, </w:t>
      </w:r>
      <w:r w:rsidR="00E94F68">
        <w:t>the cumulative completion rate</w:t>
      </w:r>
      <w:r w:rsidR="00F35B4D">
        <w:t xml:space="preserve"> is </w:t>
      </w:r>
      <w:r w:rsidR="00E94F68">
        <w:t>0.15 (</w:t>
      </w:r>
      <w:r w:rsidR="00F35B4D">
        <w:t>=</w:t>
      </w:r>
      <w:r w:rsidR="00224076">
        <w:t xml:space="preserve"> </w:t>
      </w:r>
      <w:r w:rsidR="00E94F68">
        <w:t>0.75*0.13+0.05) and the cumulative attrition rate is 0.35 (=</w:t>
      </w:r>
      <w:r w:rsidR="00224076">
        <w:t xml:space="preserve"> </w:t>
      </w:r>
      <w:r w:rsidR="00E94F68">
        <w:t xml:space="preserve">0.75*0.20+0.20). At </w:t>
      </w:r>
      <w:r w:rsidR="003F3F1A">
        <w:t xml:space="preserve">the </w:t>
      </w:r>
      <w:r w:rsidR="00E94F68">
        <w:t xml:space="preserve">quarter ending 3.5, exactly half of the contracts have resulted in a completion and half have been </w:t>
      </w:r>
      <w:proofErr w:type="gramStart"/>
      <w:r w:rsidR="00E94F68">
        <w:t>cancelled/withdrawn</w:t>
      </w:r>
      <w:proofErr w:type="gramEnd"/>
      <w:r w:rsidR="00E94F68">
        <w:t xml:space="preserve">. </w:t>
      </w:r>
    </w:p>
    <w:p w:rsidR="008D351A" w:rsidRDefault="008D351A" w:rsidP="008D351A">
      <w:pPr>
        <w:pStyle w:val="Text"/>
      </w:pPr>
      <w:r>
        <w:t>We are able to defi</w:t>
      </w:r>
      <w:r w:rsidR="00111B15">
        <w:t>ne the steps formally</w:t>
      </w:r>
      <w:r>
        <w:t xml:space="preserve">. Define </w:t>
      </w:r>
      <w:r w:rsidRPr="00273E7D">
        <w:rPr>
          <w:rFonts w:ascii="Symbol" w:hAnsi="Symbol"/>
        </w:rPr>
        <w:t></w:t>
      </w:r>
      <w:r w:rsidRPr="00273E7D">
        <w:rPr>
          <w:vertAlign w:val="subscript"/>
        </w:rPr>
        <w:t>1</w:t>
      </w:r>
      <w:r>
        <w:t xml:space="preserve">, </w:t>
      </w:r>
      <w:r>
        <w:rPr>
          <w:rFonts w:ascii="Symbol" w:hAnsi="Symbol"/>
        </w:rPr>
        <w:t></w:t>
      </w:r>
      <w:r w:rsidRPr="00273E7D">
        <w:rPr>
          <w:vertAlign w:val="subscript"/>
        </w:rPr>
        <w:t>1</w:t>
      </w:r>
      <w:r>
        <w:t xml:space="preserve"> and </w:t>
      </w:r>
      <w:r>
        <w:rPr>
          <w:rFonts w:ascii="Symbol" w:hAnsi="Symbol"/>
        </w:rPr>
        <w:t></w:t>
      </w:r>
      <w:r w:rsidRPr="00273E7D">
        <w:rPr>
          <w:vertAlign w:val="subscript"/>
        </w:rPr>
        <w:t>1</w:t>
      </w:r>
      <w:r>
        <w:t xml:space="preserve"> as the transition probabilities for the first quarter of a contract, where</w:t>
      </w:r>
      <w:r w:rsidR="007D60B7">
        <w:t xml:space="preserve"> the three states are as before:</w:t>
      </w:r>
      <w:r w:rsidR="003F3F1A">
        <w:t xml:space="preserve"> continuing; completed;</w:t>
      </w:r>
      <w:r>
        <w:t xml:space="preserve"> </w:t>
      </w:r>
      <w:r w:rsidR="007916F5">
        <w:t>and cancelled/</w:t>
      </w:r>
      <w:r>
        <w:t>withdrawn. That is, we have a transiti</w:t>
      </w:r>
      <w:r w:rsidR="003F3F1A">
        <w:t>on matrix for the first quarter:</w:t>
      </w:r>
    </w:p>
    <w:p w:rsidR="008D351A" w:rsidRDefault="008D351A" w:rsidP="008D351A">
      <w:pPr>
        <w:pStyle w:val="Text"/>
      </w:pPr>
    </w:p>
    <w:p w:rsidR="008D351A" w:rsidRDefault="00765CD1" w:rsidP="008D351A">
      <w:pPr>
        <w:pStyle w:val="Text"/>
      </w:pPr>
      <w:r w:rsidRPr="00765CD1">
        <w:rPr>
          <w:noProof/>
          <w:position w:val="-50"/>
        </w:rPr>
        <w:pict>
          <v:shape id="_x0000_s1036" type="#_x0000_t75" style="position:absolute;margin-left:0;margin-top:-11.05pt;width:69pt;height:56.25pt;z-index:251662848">
            <v:imagedata r:id="rId24" o:title=""/>
            <w10:wrap type="square"/>
          </v:shape>
          <o:OLEObject Type="Embed" ProgID="Equation.3" ShapeID="_x0000_s1036" DrawAspect="Content" ObjectID="_1372149040" r:id="rId25"/>
        </w:pict>
      </w:r>
    </w:p>
    <w:p w:rsidR="008D351A" w:rsidRDefault="008D351A" w:rsidP="008D351A">
      <w:pPr>
        <w:pStyle w:val="Text"/>
      </w:pPr>
    </w:p>
    <w:p w:rsidR="008D351A" w:rsidRDefault="008D351A" w:rsidP="008D351A">
      <w:pPr>
        <w:pStyle w:val="Text"/>
      </w:pPr>
      <w:r>
        <w:t xml:space="preserve">Similarly, we have a transition matrix for quarter </w:t>
      </w:r>
      <w:proofErr w:type="spellStart"/>
      <w:r>
        <w:rPr>
          <w:i/>
        </w:rPr>
        <w:t>i</w:t>
      </w:r>
      <w:proofErr w:type="spellEnd"/>
      <w:r>
        <w:t>:</w:t>
      </w:r>
    </w:p>
    <w:p w:rsidR="008D351A" w:rsidRDefault="008D351A" w:rsidP="008D351A">
      <w:pPr>
        <w:pStyle w:val="Text"/>
      </w:pPr>
    </w:p>
    <w:p w:rsidR="008D351A" w:rsidRPr="008D351A" w:rsidRDefault="00765CD1" w:rsidP="008D351A">
      <w:pPr>
        <w:pStyle w:val="Text"/>
      </w:pPr>
      <w:r w:rsidRPr="00765CD1">
        <w:rPr>
          <w:noProof/>
          <w:position w:val="-50"/>
        </w:rPr>
        <w:pict>
          <v:shape id="_x0000_s1037" type="#_x0000_t75" style="position:absolute;margin-left:0;margin-top:-10.75pt;width:71pt;height:56.2pt;z-index:251664896">
            <v:imagedata r:id="rId26" o:title=""/>
            <w10:wrap type="square"/>
          </v:shape>
          <o:OLEObject Type="Embed" ProgID="Equation.3" ShapeID="_x0000_s1037" DrawAspect="Content" ObjectID="_1372149041" r:id="rId27"/>
        </w:pict>
      </w:r>
    </w:p>
    <w:p w:rsidR="008D351A" w:rsidRDefault="008D351A" w:rsidP="008D351A">
      <w:pPr>
        <w:pStyle w:val="Text"/>
      </w:pPr>
    </w:p>
    <w:p w:rsidR="008D351A" w:rsidRDefault="008D351A" w:rsidP="008D351A">
      <w:pPr>
        <w:pStyle w:val="Text"/>
      </w:pPr>
      <w:r>
        <w:t>By mult</w:t>
      </w:r>
      <w:r w:rsidR="003F3F1A">
        <w:t xml:space="preserve">iplying the transition matrices, </w:t>
      </w:r>
      <w:r>
        <w:t>we can describe the cumulative completion and attrition</w:t>
      </w:r>
      <w:r w:rsidR="007D60B7">
        <w:t xml:space="preserve"> rates</w:t>
      </w:r>
      <w:r>
        <w:t>. We commence with an</w:t>
      </w:r>
      <w:r w:rsidR="00A96ABA">
        <w:t xml:space="preserve"> initial vector (1</w:t>
      </w:r>
      <w:proofErr w:type="gramStart"/>
      <w:r w:rsidR="00A96ABA">
        <w:t>,0,0</w:t>
      </w:r>
      <w:proofErr w:type="gramEnd"/>
      <w:r w:rsidR="00A96ABA">
        <w:t>). Denote</w:t>
      </w:r>
      <w:r>
        <w:t xml:space="preserve"> </w:t>
      </w:r>
      <w:r w:rsidRPr="00702600">
        <w:rPr>
          <w:rFonts w:ascii="Symbol" w:hAnsi="Symbol"/>
        </w:rPr>
        <w:t></w:t>
      </w:r>
      <w:proofErr w:type="spellStart"/>
      <w:r w:rsidRPr="007D60B7">
        <w:rPr>
          <w:i/>
          <w:vertAlign w:val="subscript"/>
        </w:rPr>
        <w:t>i</w:t>
      </w:r>
      <w:proofErr w:type="spellEnd"/>
      <w:r>
        <w:t xml:space="preserve"> as the transition matrix for the </w:t>
      </w:r>
      <w:proofErr w:type="spellStart"/>
      <w:r w:rsidRPr="008D351A">
        <w:rPr>
          <w:i/>
        </w:rPr>
        <w:t>i</w:t>
      </w:r>
      <w:r w:rsidRPr="007D60B7">
        <w:rPr>
          <w:vertAlign w:val="superscript"/>
        </w:rPr>
        <w:t>th</w:t>
      </w:r>
      <w:proofErr w:type="spellEnd"/>
      <w:r>
        <w:t xml:space="preserve"> time period. Then the state vector </w:t>
      </w:r>
      <w:r w:rsidRPr="00F30102">
        <w:rPr>
          <w:position w:val="-12"/>
        </w:rPr>
        <w:object w:dxaOrig="1340" w:dyaOrig="380">
          <v:shape id="_x0000_i1033" type="#_x0000_t75" style="width:65.3pt;height:19.25pt" o:ole="">
            <v:imagedata r:id="rId28" o:title=""/>
          </v:shape>
          <o:OLEObject Type="Embed" ProgID="Equation.3" ShapeID="_x0000_i1033" DrawAspect="Content" ObjectID="_1372149038" r:id="rId29"/>
        </w:object>
      </w:r>
      <w:r>
        <w:t xml:space="preserve"> at time </w:t>
      </w:r>
      <w:r w:rsidRPr="007D60B7">
        <w:rPr>
          <w:i/>
        </w:rPr>
        <w:t>t</w:t>
      </w:r>
      <w:r>
        <w:t xml:space="preserve"> is given by</w:t>
      </w:r>
      <w:r w:rsidR="003F3F1A">
        <w:t>:</w:t>
      </w:r>
    </w:p>
    <w:p w:rsidR="00EF3A8E" w:rsidRPr="003633D1" w:rsidRDefault="00765CD1" w:rsidP="003633D1">
      <w:pPr>
        <w:pStyle w:val="Text"/>
      </w:pPr>
      <w:r w:rsidRPr="00765CD1">
        <w:rPr>
          <w:noProof/>
          <w:position w:val="-12"/>
        </w:rPr>
        <w:pict>
          <v:shape id="_x0000_s1038" type="#_x0000_t75" style="position:absolute;margin-left:0;margin-top:8.2pt;width:174pt;height:18.75pt;z-index:251666944">
            <v:imagedata r:id="rId30" o:title=""/>
            <w10:wrap type="square"/>
          </v:shape>
          <o:OLEObject Type="Embed" ProgID="Equation.3" ShapeID="_x0000_s1038" DrawAspect="Content" ObjectID="_1372149042" r:id="rId31"/>
        </w:pict>
      </w:r>
    </w:p>
    <w:p w:rsidR="00EC44C6" w:rsidRDefault="00EC44C6" w:rsidP="00303DCC">
      <w:pPr>
        <w:pStyle w:val="Text"/>
      </w:pPr>
    </w:p>
    <w:p w:rsidR="008D351A" w:rsidRDefault="008D351A" w:rsidP="008D351A">
      <w:pPr>
        <w:pStyle w:val="Text"/>
      </w:pPr>
      <w:r>
        <w:t xml:space="preserve">The three elements in the state vector represent the cumulative proportion of continuing, completed and </w:t>
      </w:r>
      <w:r w:rsidR="006F26DC">
        <w:t>cancelled/</w:t>
      </w:r>
      <w:r>
        <w:t xml:space="preserve">withdrawn contracts after </w:t>
      </w:r>
      <w:r w:rsidRPr="008D351A">
        <w:rPr>
          <w:i/>
        </w:rPr>
        <w:t>t</w:t>
      </w:r>
      <w:r>
        <w:t xml:space="preserve"> time period</w:t>
      </w:r>
      <w:r w:rsidR="006F13D1">
        <w:t>s</w:t>
      </w:r>
      <w:r>
        <w:t>.</w:t>
      </w:r>
    </w:p>
    <w:p w:rsidR="008D351A" w:rsidRDefault="008D351A" w:rsidP="00303DCC">
      <w:pPr>
        <w:pStyle w:val="Text"/>
      </w:pPr>
    </w:p>
    <w:p w:rsidR="001650F4" w:rsidRDefault="001650F4">
      <w:pPr>
        <w:spacing w:before="0"/>
        <w:rPr>
          <w:rFonts w:ascii="Garamond" w:hAnsi="Garamond"/>
          <w:sz w:val="22"/>
        </w:rPr>
      </w:pPr>
      <w:r>
        <w:br w:type="page"/>
      </w:r>
    </w:p>
    <w:p w:rsidR="001650F4" w:rsidRDefault="001650F4" w:rsidP="001650F4">
      <w:pPr>
        <w:pStyle w:val="Heading1"/>
      </w:pPr>
      <w:r>
        <w:lastRenderedPageBreak/>
        <w:br/>
      </w:r>
      <w:r>
        <w:br/>
      </w:r>
      <w:bookmarkStart w:id="19" w:name="_Toc296933767"/>
      <w:r>
        <w:t>Application</w:t>
      </w:r>
      <w:bookmarkEnd w:id="19"/>
    </w:p>
    <w:p w:rsidR="001650F4" w:rsidRDefault="003633D1" w:rsidP="003633D1">
      <w:pPr>
        <w:pStyle w:val="Heading2"/>
      </w:pPr>
      <w:bookmarkStart w:id="20" w:name="_Toc296933768"/>
      <w:proofErr w:type="gramStart"/>
      <w:r>
        <w:t>How well does th</w:t>
      </w:r>
      <w:r w:rsidR="00C54144">
        <w:t>e ‘life tables’ approach</w:t>
      </w:r>
      <w:r>
        <w:t xml:space="preserve"> work?</w:t>
      </w:r>
      <w:bookmarkEnd w:id="20"/>
      <w:proofErr w:type="gramEnd"/>
    </w:p>
    <w:p w:rsidR="00C54144" w:rsidRDefault="007733D7" w:rsidP="003633D1">
      <w:pPr>
        <w:pStyle w:val="Text"/>
      </w:pPr>
      <w:r>
        <w:t xml:space="preserve">Before presenting completion and attrition rates for the latest commencing cohorts, it is a good idea to test how well the ‘life tables’ approach works when applied to apprenticeship and traineeship data. </w:t>
      </w:r>
    </w:p>
    <w:p w:rsidR="00AD2730" w:rsidRDefault="00C54144" w:rsidP="001B7F47">
      <w:pPr>
        <w:pStyle w:val="Text"/>
      </w:pPr>
      <w:r>
        <w:t>To do this</w:t>
      </w:r>
      <w:r w:rsidR="00BE36C6">
        <w:t>,</w:t>
      </w:r>
      <w:r>
        <w:t xml:space="preserve"> we consider a cohort which commenced</w:t>
      </w:r>
      <w:r w:rsidR="009A399E">
        <w:t xml:space="preserve"> quite</w:t>
      </w:r>
      <w:r>
        <w:t xml:space="preserve"> some time earlier, say, </w:t>
      </w:r>
      <w:r w:rsidR="00F439B1" w:rsidRPr="00F439B1">
        <w:t>the September quarter 2005</w:t>
      </w:r>
      <w:r w:rsidRPr="00F439B1">
        <w:t xml:space="preserve">. A sufficient </w:t>
      </w:r>
      <w:r w:rsidR="00AD1910">
        <w:t>period</w:t>
      </w:r>
      <w:r w:rsidRPr="00F439B1">
        <w:t xml:space="preserve"> of time has passed for us to calculate actual completion and attrition rates</w:t>
      </w:r>
      <w:r w:rsidR="00973208" w:rsidRPr="00F439B1">
        <w:t xml:space="preserve"> for this cohort</w:t>
      </w:r>
      <w:r w:rsidR="000834C7">
        <w:t xml:space="preserve"> from the latest data available</w:t>
      </w:r>
      <w:r w:rsidRPr="00F439B1">
        <w:t>. We can also go back in time and look at the data</w:t>
      </w:r>
      <w:r>
        <w:t xml:space="preserve"> as </w:t>
      </w:r>
      <w:r w:rsidR="003E7538">
        <w:t>they were</w:t>
      </w:r>
      <w:r>
        <w:t xml:space="preserve"> first reported for this cohort </w:t>
      </w:r>
      <w:r w:rsidR="00912A4D">
        <w:t xml:space="preserve">and use the model developed </w:t>
      </w:r>
      <w:r w:rsidR="008A0A25">
        <w:t>in the previous section</w:t>
      </w:r>
      <w:r>
        <w:t xml:space="preserve"> to calculate the cross-sectional completion and attrition rates.</w:t>
      </w:r>
      <w:r w:rsidR="000834C7">
        <w:rPr>
          <w:rStyle w:val="FootnoteReference"/>
        </w:rPr>
        <w:footnoteReference w:id="1"/>
      </w:r>
    </w:p>
    <w:p w:rsidR="008A245F" w:rsidRPr="00853CDE" w:rsidRDefault="00AD2730" w:rsidP="00853CDE">
      <w:pPr>
        <w:pStyle w:val="Text"/>
      </w:pPr>
      <w:r>
        <w:t>Figure 1 presents the results of this exercise</w:t>
      </w:r>
      <w:r w:rsidR="00853CDE">
        <w:t>. At this stage we do</w:t>
      </w:r>
      <w:r w:rsidR="00570CCC">
        <w:t xml:space="preserve"> not</w:t>
      </w:r>
      <w:r w:rsidR="00A92D9A">
        <w:t xml:space="preserve"> disaggregate into</w:t>
      </w:r>
      <w:r w:rsidR="00853CDE">
        <w:t xml:space="preserve"> trade/non-trade</w:t>
      </w:r>
      <w:r w:rsidR="00570CCC">
        <w:t xml:space="preserve"> contracts of training</w:t>
      </w:r>
      <w:r w:rsidR="00853CDE">
        <w:t xml:space="preserve">—we are interested in the robustness of our method in an overall sense. </w:t>
      </w:r>
      <w:r w:rsidR="008A245F" w:rsidRPr="008A245F">
        <w:t>The results show that the actual and cross-sectional rates</w:t>
      </w:r>
      <w:r w:rsidR="006F5DED" w:rsidRPr="008A245F">
        <w:t xml:space="preserve"> are remarkably similar. For completion, the cross-sectional rates follow the actual rates closely before diverging slightly in later quarters. For attrition, there is virtually no difference between the two for the whole time period.</w:t>
      </w:r>
    </w:p>
    <w:p w:rsidR="006F5DED" w:rsidRDefault="005650D7" w:rsidP="006F5DED">
      <w:pPr>
        <w:pStyle w:val="Figuretitle"/>
        <w:ind w:left="993" w:hanging="993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542925</wp:posOffset>
            </wp:positionV>
            <wp:extent cx="5263515" cy="2893695"/>
            <wp:effectExtent l="0" t="0" r="0" b="0"/>
            <wp:wrapTopAndBottom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bookmarkStart w:id="21" w:name="_Toc296933803"/>
      <w:r w:rsidR="006F5DED">
        <w:t>Figure 1</w:t>
      </w:r>
      <w:r w:rsidR="006F5DED">
        <w:tab/>
        <w:t>Cross-sectional and actual completion and attrition rates for cohort commencing September quarter</w:t>
      </w:r>
      <w:r w:rsidR="00853CDE">
        <w:t>,</w:t>
      </w:r>
      <w:r w:rsidR="006F5DED">
        <w:t xml:space="preserve"> 2005</w:t>
      </w:r>
      <w:bookmarkEnd w:id="21"/>
    </w:p>
    <w:p w:rsidR="005650D7" w:rsidRDefault="005650D7">
      <w:pPr>
        <w:spacing w:before="0"/>
        <w:rPr>
          <w:rFonts w:ascii="Arial" w:hAnsi="Arial"/>
          <w:sz w:val="15"/>
        </w:rPr>
      </w:pPr>
      <w:r>
        <w:br w:type="page"/>
      </w:r>
    </w:p>
    <w:p w:rsidR="006F5DED" w:rsidRDefault="00B345E9" w:rsidP="006F5DED">
      <w:pPr>
        <w:pStyle w:val="Source"/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21590</wp:posOffset>
            </wp:positionV>
            <wp:extent cx="5271135" cy="2854325"/>
            <wp:effectExtent l="0" t="0" r="0" b="0"/>
            <wp:wrapTopAndBottom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8A245F">
        <w:t>Source:</w:t>
      </w:r>
      <w:r w:rsidR="008A245F">
        <w:tab/>
        <w:t xml:space="preserve">Derived from </w:t>
      </w:r>
      <w:r w:rsidR="005A508C">
        <w:t xml:space="preserve">the National </w:t>
      </w:r>
      <w:r w:rsidR="008A245F">
        <w:t>Appre</w:t>
      </w:r>
      <w:r w:rsidR="00CA0E31">
        <w:t>ntice and Trainee Collection, n</w:t>
      </w:r>
      <w:r w:rsidR="005E0499">
        <w:t>o</w:t>
      </w:r>
      <w:r w:rsidR="00CA0E31">
        <w:t>.</w:t>
      </w:r>
      <w:r w:rsidR="008A245F">
        <w:t xml:space="preserve"> 63 and 46. </w:t>
      </w:r>
    </w:p>
    <w:p w:rsidR="003633D1" w:rsidRDefault="00570CCC" w:rsidP="003633D1">
      <w:pPr>
        <w:pStyle w:val="Heading2"/>
      </w:pPr>
      <w:bookmarkStart w:id="22" w:name="_Toc296933769"/>
      <w:r>
        <w:t>E</w:t>
      </w:r>
      <w:r w:rsidR="0097672D">
        <w:t>stimates</w:t>
      </w:r>
      <w:r>
        <w:t xml:space="preserve"> for latest commencing cohorts</w:t>
      </w:r>
      <w:bookmarkEnd w:id="22"/>
    </w:p>
    <w:p w:rsidR="003949DE" w:rsidRDefault="00CF7B8B" w:rsidP="005650D7">
      <w:pPr>
        <w:pStyle w:val="Text"/>
        <w:ind w:right="132"/>
      </w:pPr>
      <w:r w:rsidRPr="003F2CDC">
        <w:t xml:space="preserve">We present estimates of cross-sectional completion and attrition rates for </w:t>
      </w:r>
      <w:r w:rsidR="00584721" w:rsidRPr="003F2CDC">
        <w:t>cohorts</w:t>
      </w:r>
      <w:r w:rsidRPr="003F2CDC">
        <w:t xml:space="preserve"> commencing </w:t>
      </w:r>
      <w:r w:rsidR="00584721" w:rsidRPr="003F2CDC">
        <w:t>in the December quarter</w:t>
      </w:r>
      <w:r w:rsidR="00B30172">
        <w:t>s of 2007 to 20</w:t>
      </w:r>
      <w:r w:rsidR="00584721" w:rsidRPr="003F2CDC">
        <w:t xml:space="preserve">09. These periods </w:t>
      </w:r>
      <w:r w:rsidR="00664FA5">
        <w:t>cover the economic cycle</w:t>
      </w:r>
      <w:r w:rsidR="004C4FD4">
        <w:t xml:space="preserve"> in Australia</w:t>
      </w:r>
      <w:r w:rsidR="008A1DE2">
        <w:t>, with</w:t>
      </w:r>
      <w:r w:rsidR="00BA6306">
        <w:t xml:space="preserve"> the unemployment rate peaking at 5.8% in </w:t>
      </w:r>
      <w:r w:rsidR="00817420">
        <w:t>October</w:t>
      </w:r>
      <w:r w:rsidR="00BA6306">
        <w:t xml:space="preserve"> 2009, from an historical low of 4.0% in March 2008 (ABS 2010). </w:t>
      </w:r>
      <w:r w:rsidR="004C4FD4">
        <w:t>W</w:t>
      </w:r>
      <w:r w:rsidR="00664FA5">
        <w:t xml:space="preserve">e are interested in the differences in the patterns for completion and attrition between the three cohorts. </w:t>
      </w:r>
      <w:r w:rsidR="00AB5F0F" w:rsidRPr="003F2CDC">
        <w:t xml:space="preserve">Noting that the economic cycle affects apprenticeships very differently </w:t>
      </w:r>
      <w:r w:rsidR="00CA0E31">
        <w:t>from</w:t>
      </w:r>
      <w:r w:rsidR="00AB5F0F" w:rsidRPr="003F2CDC">
        <w:t xml:space="preserve"> traineeships, </w:t>
      </w:r>
      <w:r w:rsidR="000C2957" w:rsidRPr="003F2CDC">
        <w:t>we</w:t>
      </w:r>
      <w:r w:rsidR="00524CD2" w:rsidRPr="003F2CDC">
        <w:t xml:space="preserve"> provide</w:t>
      </w:r>
      <w:r w:rsidR="00360E1E" w:rsidRPr="003F2CDC">
        <w:t xml:space="preserve"> separate estimates for trade and non-trade contracts</w:t>
      </w:r>
      <w:r w:rsidR="00AB5F0F" w:rsidRPr="003F2CDC">
        <w:t xml:space="preserve"> of training.</w:t>
      </w:r>
      <w:r w:rsidR="00AB5F0F" w:rsidRPr="003F2CDC">
        <w:rPr>
          <w:rStyle w:val="FootnoteReference"/>
        </w:rPr>
        <w:footnoteReference w:id="2"/>
      </w:r>
      <w:r w:rsidR="00AB5F0F" w:rsidRPr="003F2CDC">
        <w:t xml:space="preserve"> </w:t>
      </w:r>
      <w:r w:rsidR="003949DE" w:rsidRPr="003F2CDC">
        <w:t xml:space="preserve">The underlying calculations </w:t>
      </w:r>
      <w:r w:rsidR="00524CD2" w:rsidRPr="003F2CDC">
        <w:t xml:space="preserve">behind the estimates </w:t>
      </w:r>
      <w:r w:rsidR="003949DE" w:rsidRPr="003F2CDC">
        <w:t>may be found in the supporting document in Excel format.</w:t>
      </w:r>
    </w:p>
    <w:p w:rsidR="00F472A2" w:rsidRPr="005650D7" w:rsidRDefault="005650D7" w:rsidP="005650D7">
      <w:pPr>
        <w:pStyle w:val="Figuretitle"/>
        <w:ind w:left="993" w:hanging="993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528955</wp:posOffset>
            </wp:positionV>
            <wp:extent cx="5144135" cy="2703195"/>
            <wp:effectExtent l="0" t="0" r="0" b="0"/>
            <wp:wrapTopAndBottom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bookmarkStart w:id="23" w:name="_Toc296933804"/>
      <w:r w:rsidR="003949DE" w:rsidRPr="005650D7">
        <w:rPr>
          <w:bCs/>
        </w:rPr>
        <w:t>Figure 2</w:t>
      </w:r>
      <w:r w:rsidR="003949DE" w:rsidRPr="005650D7">
        <w:rPr>
          <w:bCs/>
        </w:rPr>
        <w:tab/>
        <w:t xml:space="preserve">Cross-sectional completion </w:t>
      </w:r>
      <w:r w:rsidR="00902BD9" w:rsidRPr="005650D7">
        <w:rPr>
          <w:bCs/>
        </w:rPr>
        <w:t xml:space="preserve">and attrition </w:t>
      </w:r>
      <w:r w:rsidR="003949DE" w:rsidRPr="005650D7">
        <w:rPr>
          <w:bCs/>
        </w:rPr>
        <w:t>rates for cohorts commencing December</w:t>
      </w:r>
      <w:r w:rsidR="00DE4497" w:rsidRPr="005650D7">
        <w:rPr>
          <w:bCs/>
        </w:rPr>
        <w:t xml:space="preserve"> quarter, 2007–09</w:t>
      </w:r>
      <w:r w:rsidR="00902BD9" w:rsidRPr="005650D7">
        <w:rPr>
          <w:bCs/>
        </w:rPr>
        <w:t>, trades</w:t>
      </w:r>
      <w:bookmarkEnd w:id="23"/>
    </w:p>
    <w:p w:rsidR="005650D7" w:rsidRDefault="005650D7">
      <w:pPr>
        <w:spacing w:before="0"/>
        <w:rPr>
          <w:rFonts w:ascii="Arial" w:hAnsi="Arial"/>
          <w:sz w:val="15"/>
        </w:rPr>
      </w:pPr>
      <w:r>
        <w:br w:type="page"/>
      </w:r>
    </w:p>
    <w:p w:rsidR="003949DE" w:rsidRPr="00570CCC" w:rsidRDefault="00B345E9" w:rsidP="006C4726">
      <w:pPr>
        <w:pStyle w:val="Source"/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21590</wp:posOffset>
            </wp:positionV>
            <wp:extent cx="5160010" cy="2679065"/>
            <wp:effectExtent l="0" t="0" r="0" b="0"/>
            <wp:wrapTopAndBottom/>
            <wp:docPr id="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5650D7">
        <w:t>Source:</w:t>
      </w:r>
      <w:r w:rsidR="006C4726">
        <w:tab/>
        <w:t xml:space="preserve">Derived from </w:t>
      </w:r>
      <w:r w:rsidR="005A508C">
        <w:t xml:space="preserve">the National </w:t>
      </w:r>
      <w:r w:rsidR="006C4726">
        <w:t>Appre</w:t>
      </w:r>
      <w:r w:rsidR="005E0499">
        <w:t>ntice and Trainee Collection</w:t>
      </w:r>
      <w:r w:rsidR="00CA0E31">
        <w:t>, n</w:t>
      </w:r>
      <w:r w:rsidR="005E0499">
        <w:t>o</w:t>
      </w:r>
      <w:r w:rsidR="00CA0E31">
        <w:t>.</w:t>
      </w:r>
      <w:r w:rsidR="006C4726">
        <w:t xml:space="preserve"> 63.</w:t>
      </w:r>
    </w:p>
    <w:p w:rsidR="003C52AB" w:rsidRDefault="00F27CB7" w:rsidP="00AF224A">
      <w:pPr>
        <w:pStyle w:val="StyleTextBefore15pt"/>
      </w:pPr>
      <w:r>
        <w:t>The cumulative completion and attrition rates look quite different. The attrition rates are smooth, reflecting cancellations and withdrawals occurring at all durations but at a faster rate in early quarters. By contrast, the completion rate</w:t>
      </w:r>
      <w:r w:rsidR="00DC5E06">
        <w:t>s</w:t>
      </w:r>
      <w:r>
        <w:t xml:space="preserve"> start off slowly (very short trad</w:t>
      </w:r>
      <w:r w:rsidR="002B649F">
        <w:t>e apprenticeships are a rarity)</w:t>
      </w:r>
      <w:r>
        <w:t xml:space="preserve"> a</w:t>
      </w:r>
      <w:r w:rsidR="00CA11E5">
        <w:t>nd kick</w:t>
      </w:r>
      <w:r>
        <w:t xml:space="preserve"> up after around </w:t>
      </w:r>
      <w:r w:rsidR="002B649F">
        <w:t>16</w:t>
      </w:r>
      <w:r>
        <w:t xml:space="preserve"> quarters</w:t>
      </w:r>
      <w:r w:rsidR="00162C3A">
        <w:t>, which</w:t>
      </w:r>
      <w:r w:rsidR="00CA11E5">
        <w:t xml:space="preserve"> historically </w:t>
      </w:r>
      <w:r w:rsidR="00162C3A">
        <w:t xml:space="preserve">has been </w:t>
      </w:r>
      <w:r w:rsidR="00CA11E5">
        <w:t xml:space="preserve">the standard period for a trade apprenticeship. Our interest </w:t>
      </w:r>
      <w:r w:rsidR="00FF49B5">
        <w:t>lies</w:t>
      </w:r>
      <w:r w:rsidR="00CA11E5">
        <w:t xml:space="preserve"> in the difference</w:t>
      </w:r>
      <w:r w:rsidR="00401298">
        <w:t>s</w:t>
      </w:r>
      <w:r w:rsidR="00CA11E5">
        <w:t xml:space="preserve"> between the patterns for </w:t>
      </w:r>
      <w:r w:rsidR="00760AF9">
        <w:t>the three cohorts</w:t>
      </w:r>
      <w:r w:rsidR="00760AF9" w:rsidRPr="00CB658F">
        <w:t>.</w:t>
      </w:r>
      <w:r w:rsidR="00A92D9A" w:rsidRPr="00CB658F">
        <w:t xml:space="preserve"> </w:t>
      </w:r>
      <w:r w:rsidR="00DC5E06" w:rsidRPr="00CB658F">
        <w:t>Overall, compl</w:t>
      </w:r>
      <w:r w:rsidR="003C52AB" w:rsidRPr="00CB658F">
        <w:t>etion</w:t>
      </w:r>
      <w:r w:rsidR="00162C3A" w:rsidRPr="00CB658F">
        <w:t xml:space="preserve"> rates have </w:t>
      </w:r>
      <w:r w:rsidR="0092643C" w:rsidRPr="00CB658F">
        <w:t>increased</w:t>
      </w:r>
      <w:r w:rsidR="00E0296D" w:rsidRPr="00CB658F">
        <w:t xml:space="preserve"> slightly</w:t>
      </w:r>
      <w:r w:rsidR="00162C3A" w:rsidRPr="00CB658F">
        <w:t xml:space="preserve"> from the end of 2007 to the end </w:t>
      </w:r>
      <w:r w:rsidR="00FF49B5">
        <w:t xml:space="preserve">of </w:t>
      </w:r>
      <w:r w:rsidR="00162C3A" w:rsidRPr="00CB658F">
        <w:t>2009</w:t>
      </w:r>
      <w:r w:rsidR="002B649F">
        <w:t>,</w:t>
      </w:r>
      <w:r w:rsidR="00162C3A" w:rsidRPr="00CB658F">
        <w:t xml:space="preserve"> while attrition</w:t>
      </w:r>
      <w:r w:rsidR="00150DCB" w:rsidRPr="00CB658F">
        <w:t xml:space="preserve"> rates are virtually the same.</w:t>
      </w:r>
      <w:r w:rsidR="00162C3A" w:rsidRPr="00CB658F">
        <w:t xml:space="preserve"> </w:t>
      </w:r>
      <w:r w:rsidR="00E0296D" w:rsidRPr="00CB658F">
        <w:t xml:space="preserve">Although the overall rate has increased only slightly, </w:t>
      </w:r>
      <w:r w:rsidR="002F2FE8" w:rsidRPr="00CB658F">
        <w:t xml:space="preserve">completions have clearly </w:t>
      </w:r>
      <w:r w:rsidR="008A37A7" w:rsidRPr="00CB658F">
        <w:t xml:space="preserve">tended to occur faster with deteriorating </w:t>
      </w:r>
      <w:r w:rsidR="002F2FE8" w:rsidRPr="00CB658F">
        <w:t xml:space="preserve">economic </w:t>
      </w:r>
      <w:r w:rsidR="008A37A7" w:rsidRPr="00CB658F">
        <w:t>conditions</w:t>
      </w:r>
      <w:r w:rsidR="002F2FE8" w:rsidRPr="00CB658F">
        <w:t>.</w:t>
      </w:r>
    </w:p>
    <w:p w:rsidR="00570CCC" w:rsidRDefault="003C52AB" w:rsidP="00570CCC">
      <w:pPr>
        <w:pStyle w:val="Text"/>
      </w:pPr>
      <w:r>
        <w:t>Analogous graphs for trainees are presented in figure 3.</w:t>
      </w:r>
    </w:p>
    <w:p w:rsidR="006C4726" w:rsidRDefault="005650D7" w:rsidP="00902BD9">
      <w:pPr>
        <w:pStyle w:val="Figuretitle"/>
        <w:ind w:left="993" w:hanging="993"/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528955</wp:posOffset>
            </wp:positionV>
            <wp:extent cx="5144135" cy="2663190"/>
            <wp:effectExtent l="0" t="0" r="0" b="0"/>
            <wp:wrapTopAndBottom/>
            <wp:docPr id="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bookmarkStart w:id="24" w:name="_Toc296933805"/>
      <w:r w:rsidR="006C4726">
        <w:t>Figure 3</w:t>
      </w:r>
      <w:r w:rsidR="006C4726">
        <w:tab/>
        <w:t xml:space="preserve">Cross-sectional </w:t>
      </w:r>
      <w:r w:rsidR="00902BD9">
        <w:t xml:space="preserve">completion and </w:t>
      </w:r>
      <w:r w:rsidR="006C4726">
        <w:t>attrition rates for cohorts comm</w:t>
      </w:r>
      <w:r w:rsidR="00DE4497">
        <w:t>encing December quarter, 2007–09</w:t>
      </w:r>
      <w:r w:rsidR="00902BD9">
        <w:t>, non-trades</w:t>
      </w:r>
      <w:bookmarkEnd w:id="24"/>
      <w:r w:rsidR="006C4726">
        <w:t xml:space="preserve"> </w:t>
      </w:r>
    </w:p>
    <w:p w:rsidR="005650D7" w:rsidRDefault="005650D7">
      <w:pPr>
        <w:spacing w:before="0"/>
        <w:rPr>
          <w:rFonts w:ascii="Arial" w:hAnsi="Arial"/>
          <w:sz w:val="15"/>
        </w:rPr>
      </w:pPr>
      <w:r>
        <w:br w:type="page"/>
      </w:r>
    </w:p>
    <w:p w:rsidR="006C4726" w:rsidRDefault="00B345E9" w:rsidP="006C4726">
      <w:pPr>
        <w:pStyle w:val="Source"/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5715</wp:posOffset>
            </wp:positionV>
            <wp:extent cx="5120640" cy="2694940"/>
            <wp:effectExtent l="0" t="0" r="0" b="0"/>
            <wp:wrapTopAndBottom/>
            <wp:docPr id="12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8D69E6">
        <w:t>Source:</w:t>
      </w:r>
      <w:r w:rsidR="008D69E6">
        <w:tab/>
        <w:t xml:space="preserve">Derived from </w:t>
      </w:r>
      <w:r w:rsidR="005A508C">
        <w:t xml:space="preserve">the National </w:t>
      </w:r>
      <w:r w:rsidR="008D69E6">
        <w:t>Appre</w:t>
      </w:r>
      <w:r w:rsidR="005E0499">
        <w:t>ntice and Trainee Collect</w:t>
      </w:r>
      <w:r w:rsidR="002B649F">
        <w:t>ion, n</w:t>
      </w:r>
      <w:r w:rsidR="005E0499">
        <w:t>o</w:t>
      </w:r>
      <w:r w:rsidR="002B649F">
        <w:t>.</w:t>
      </w:r>
      <w:r w:rsidR="008D69E6">
        <w:t xml:space="preserve"> 63.</w:t>
      </w:r>
    </w:p>
    <w:p w:rsidR="003C52AB" w:rsidRPr="00570CCC" w:rsidRDefault="00AE1A2B" w:rsidP="00AF224A">
      <w:pPr>
        <w:pStyle w:val="StyleTextBefore15pt"/>
      </w:pPr>
      <w:r w:rsidRPr="00CB658F">
        <w:t xml:space="preserve">For trainees, the differences between the three cohorts are </w:t>
      </w:r>
      <w:r w:rsidR="00691D60" w:rsidRPr="00CB658F">
        <w:t>far more dramatic</w:t>
      </w:r>
      <w:r w:rsidR="00DB223B" w:rsidRPr="00CB658F">
        <w:t xml:space="preserve">. Completion rates have </w:t>
      </w:r>
      <w:r w:rsidR="001469C9" w:rsidRPr="00CB658F">
        <w:t xml:space="preserve">clearly </w:t>
      </w:r>
      <w:r w:rsidR="00DB223B" w:rsidRPr="00CB658F">
        <w:t xml:space="preserve">increased </w:t>
      </w:r>
      <w:r w:rsidRPr="00CB658F">
        <w:t>with</w:t>
      </w:r>
      <w:r w:rsidR="00DB223B" w:rsidRPr="00CB658F">
        <w:t xml:space="preserve"> deteriorating economic conditions from the end of 2007 </w:t>
      </w:r>
      <w:r w:rsidR="00416FE6" w:rsidRPr="00CB658F">
        <w:t>to</w:t>
      </w:r>
      <w:r w:rsidR="00CB658F" w:rsidRPr="00CB658F">
        <w:t xml:space="preserve"> the end of 2009, while a</w:t>
      </w:r>
      <w:r w:rsidRPr="00CB658F">
        <w:t>ttrition rate</w:t>
      </w:r>
      <w:r w:rsidR="00265F75" w:rsidRPr="00CB658F">
        <w:t>s</w:t>
      </w:r>
      <w:r w:rsidRPr="00CB658F">
        <w:t xml:space="preserve"> </w:t>
      </w:r>
      <w:r w:rsidR="00DB223B" w:rsidRPr="00CB658F">
        <w:t>have decreased</w:t>
      </w:r>
      <w:r w:rsidR="00C326F0" w:rsidRPr="00CB658F">
        <w:t xml:space="preserve"> markedly,</w:t>
      </w:r>
      <w:r w:rsidR="00DB223B" w:rsidRPr="00CB658F">
        <w:t xml:space="preserve"> particularly for the cohort commencing </w:t>
      </w:r>
      <w:r w:rsidR="00E90CA7">
        <w:t xml:space="preserve">in </w:t>
      </w:r>
      <w:r w:rsidR="00DB223B" w:rsidRPr="00CB658F">
        <w:t>December 2009.</w:t>
      </w:r>
      <w:r w:rsidR="001469C9" w:rsidRPr="00CB658F">
        <w:t xml:space="preserve"> </w:t>
      </w:r>
    </w:p>
    <w:p w:rsidR="001650F4" w:rsidRDefault="001650F4">
      <w:pPr>
        <w:spacing w:before="0"/>
        <w:rPr>
          <w:rFonts w:ascii="Garamond" w:hAnsi="Garamond"/>
          <w:sz w:val="22"/>
        </w:rPr>
      </w:pPr>
      <w:r>
        <w:br w:type="page"/>
      </w:r>
    </w:p>
    <w:p w:rsidR="001650F4" w:rsidRDefault="001650F4" w:rsidP="001650F4">
      <w:pPr>
        <w:pStyle w:val="Heading1"/>
      </w:pPr>
      <w:r>
        <w:lastRenderedPageBreak/>
        <w:br/>
      </w:r>
      <w:r>
        <w:br/>
      </w:r>
      <w:bookmarkStart w:id="25" w:name="_Toc296933770"/>
      <w:r>
        <w:t>Concluding comments</w:t>
      </w:r>
      <w:bookmarkEnd w:id="25"/>
    </w:p>
    <w:p w:rsidR="00C51FF0" w:rsidRDefault="00F4163B" w:rsidP="00CB5F46">
      <w:pPr>
        <w:pStyle w:val="Text"/>
        <w:spacing w:before="440"/>
      </w:pPr>
      <w:r>
        <w:t xml:space="preserve">In this short paper we have set up a framework for estimating completion and attrition rates </w:t>
      </w:r>
      <w:r w:rsidR="00DF5EBD">
        <w:t xml:space="preserve">for the latest commencing cohorts </w:t>
      </w:r>
      <w:r>
        <w:t xml:space="preserve">using a </w:t>
      </w:r>
      <w:r w:rsidR="005A508C">
        <w:t>‘</w:t>
      </w:r>
      <w:r w:rsidR="00FF49B5">
        <w:t xml:space="preserve">life </w:t>
      </w:r>
      <w:r>
        <w:t>tables</w:t>
      </w:r>
      <w:r w:rsidR="005A508C">
        <w:t>’</w:t>
      </w:r>
      <w:r>
        <w:t xml:space="preserve"> methodology and simple cro</w:t>
      </w:r>
      <w:r w:rsidR="002B649F">
        <w:t>ss-</w:t>
      </w:r>
      <w:r>
        <w:t>tabulations of commencements, completions and cancellations</w:t>
      </w:r>
      <w:r w:rsidR="007A5779">
        <w:t>/withdrawals</w:t>
      </w:r>
      <w:r>
        <w:t>.</w:t>
      </w:r>
      <w:r w:rsidR="003F2CDC">
        <w:t xml:space="preserve"> </w:t>
      </w:r>
      <w:r w:rsidR="00DF5EBD" w:rsidRPr="00D44CDB">
        <w:t xml:space="preserve">These </w:t>
      </w:r>
      <w:r w:rsidR="00DE4497">
        <w:t xml:space="preserve">estimates </w:t>
      </w:r>
      <w:r w:rsidR="00DF5EBD" w:rsidRPr="00D44CDB">
        <w:t>reflect what</w:t>
      </w:r>
      <w:r w:rsidR="002B649F">
        <w:t xml:space="preserve"> the </w:t>
      </w:r>
      <w:r w:rsidR="00DF5EBD" w:rsidRPr="00D44CDB">
        <w:t xml:space="preserve">completion and attrition rates would be </w:t>
      </w:r>
      <w:r w:rsidR="00FF49B5">
        <w:t>had</w:t>
      </w:r>
      <w:r w:rsidR="00DF5EBD" w:rsidRPr="00D44CDB">
        <w:t xml:space="preserve"> the patterns observed in a particular quarter remain</w:t>
      </w:r>
      <w:r w:rsidR="00FF49B5">
        <w:t>ed</w:t>
      </w:r>
      <w:r w:rsidR="00DF5EBD" w:rsidRPr="00D44CDB">
        <w:t xml:space="preserve"> unchanged for the life of the commencing cohort in that quarter.</w:t>
      </w:r>
      <w:r w:rsidR="00AD47F2">
        <w:t xml:space="preserve"> </w:t>
      </w:r>
    </w:p>
    <w:p w:rsidR="00DF5EBD" w:rsidRDefault="003F2CDC" w:rsidP="003F2CDC">
      <w:pPr>
        <w:pStyle w:val="Text"/>
      </w:pPr>
      <w:r>
        <w:t>One drawback of our</w:t>
      </w:r>
      <w:r w:rsidRPr="00D37222">
        <w:t xml:space="preserve"> approach is </w:t>
      </w:r>
      <w:r w:rsidR="00DF5EBD">
        <w:t xml:space="preserve">the boundary effect caused by commencements occurring across a quarter rather than at a point in time. Our way around this is to simply assume that the commencements occur exactly half way through the quarter. </w:t>
      </w:r>
      <w:r w:rsidR="003F6D79">
        <w:t>Our approach does ha</w:t>
      </w:r>
      <w:r w:rsidR="00DF5EBD">
        <w:t xml:space="preserve">ve the advantage of simplicity, </w:t>
      </w:r>
      <w:r w:rsidR="00DB1371">
        <w:t>and we have shown that</w:t>
      </w:r>
      <w:r w:rsidR="002B649F">
        <w:t>,</w:t>
      </w:r>
      <w:r w:rsidR="00DB1371">
        <w:t xml:space="preserve"> </w:t>
      </w:r>
      <w:r w:rsidR="00DF5EBD">
        <w:t>for the cohort commencing September quarter 2005, the cross-sectional completion and attrition rates follow actual rates very clo</w:t>
      </w:r>
      <w:r w:rsidR="00A4505F">
        <w:t>sely.</w:t>
      </w:r>
    </w:p>
    <w:p w:rsidR="00486BFC" w:rsidRDefault="00A4505F" w:rsidP="001650F4">
      <w:pPr>
        <w:pStyle w:val="Text"/>
      </w:pPr>
      <w:r w:rsidRPr="003F2CDC">
        <w:t>We present</w:t>
      </w:r>
      <w:r>
        <w:t>ed</w:t>
      </w:r>
      <w:r w:rsidRPr="003F2CDC">
        <w:t xml:space="preserve"> estimates of cross-sectional completion and attrition rates for cohorts commencing in the December quarter</w:t>
      </w:r>
      <w:r w:rsidR="00F16F5C">
        <w:t>s of 2007 to 20</w:t>
      </w:r>
      <w:r w:rsidRPr="003F2CDC">
        <w:t>09.</w:t>
      </w:r>
      <w:r>
        <w:t xml:space="preserve"> These periods c</w:t>
      </w:r>
      <w:r w:rsidR="00481B82">
        <w:t>over the economic</w:t>
      </w:r>
      <w:r w:rsidR="00C51FF0">
        <w:t xml:space="preserve"> cycle</w:t>
      </w:r>
      <w:r w:rsidR="00481B82">
        <w:t xml:space="preserve"> in Australia</w:t>
      </w:r>
      <w:r w:rsidR="00C51FF0">
        <w:t xml:space="preserve">. </w:t>
      </w:r>
      <w:r w:rsidR="00185572" w:rsidRPr="008C61EB">
        <w:t xml:space="preserve">The results show that from the end of 2007 to the end of 2009, completion rates have increased and attrition rates have decreased, </w:t>
      </w:r>
      <w:r w:rsidR="00B85024">
        <w:t>with</w:t>
      </w:r>
      <w:r w:rsidR="00185572" w:rsidRPr="008C61EB">
        <w:t xml:space="preserve"> the differences </w:t>
      </w:r>
      <w:r w:rsidR="00B85024">
        <w:t xml:space="preserve">being quite </w:t>
      </w:r>
      <w:r w:rsidR="00185572" w:rsidRPr="008C61EB">
        <w:t>dramatic in the non-trades.</w:t>
      </w:r>
    </w:p>
    <w:p w:rsidR="001650F4" w:rsidRDefault="001650F4">
      <w:pPr>
        <w:spacing w:before="0"/>
        <w:rPr>
          <w:rFonts w:ascii="Garamond" w:hAnsi="Garamond"/>
          <w:sz w:val="22"/>
        </w:rPr>
      </w:pPr>
      <w:r>
        <w:br w:type="page"/>
      </w:r>
    </w:p>
    <w:p w:rsidR="001650F4" w:rsidRPr="00C76759" w:rsidRDefault="001650F4" w:rsidP="001650F4">
      <w:pPr>
        <w:pStyle w:val="Heading1"/>
        <w:rPr>
          <w:highlight w:val="yellow"/>
        </w:rPr>
      </w:pPr>
      <w:r>
        <w:lastRenderedPageBreak/>
        <w:br/>
      </w:r>
      <w:r>
        <w:br/>
      </w:r>
      <w:bookmarkStart w:id="26" w:name="_Toc296933771"/>
      <w:r w:rsidRPr="00712B08">
        <w:t>References</w:t>
      </w:r>
      <w:bookmarkEnd w:id="26"/>
    </w:p>
    <w:p w:rsidR="00C76759" w:rsidRPr="00677EB3" w:rsidRDefault="0049134F" w:rsidP="00C76759">
      <w:pPr>
        <w:pStyle w:val="References"/>
        <w:spacing w:before="440"/>
      </w:pPr>
      <w:proofErr w:type="gramStart"/>
      <w:r>
        <w:t>ABS</w:t>
      </w:r>
      <w:r w:rsidR="00BA6306">
        <w:t xml:space="preserve"> (</w:t>
      </w:r>
      <w:r w:rsidRPr="00677EB3">
        <w:t>Australian Bureau of Statistics</w:t>
      </w:r>
      <w:r w:rsidR="00BA6306">
        <w:t>)</w:t>
      </w:r>
      <w:r w:rsidR="00C76759" w:rsidRPr="00677EB3">
        <w:t xml:space="preserve"> 2010</w:t>
      </w:r>
      <w:r w:rsidR="00892645" w:rsidRPr="00677EB3">
        <w:t xml:space="preserve">, </w:t>
      </w:r>
      <w:r w:rsidR="002B649F">
        <w:rPr>
          <w:i/>
        </w:rPr>
        <w:t>Labour f</w:t>
      </w:r>
      <w:r w:rsidR="007507F2" w:rsidRPr="007507F2">
        <w:rPr>
          <w:i/>
        </w:rPr>
        <w:t>orce, Australia, February 2010</w:t>
      </w:r>
      <w:r w:rsidR="00677EB3" w:rsidRPr="007507F2">
        <w:rPr>
          <w:i/>
        </w:rPr>
        <w:t>,</w:t>
      </w:r>
      <w:r>
        <w:rPr>
          <w:i/>
        </w:rPr>
        <w:t xml:space="preserve"> </w:t>
      </w:r>
      <w:r w:rsidR="005A508C">
        <w:t>cat.no.</w:t>
      </w:r>
      <w:r w:rsidR="007507F2" w:rsidRPr="002B649F">
        <w:t>6202.0,</w:t>
      </w:r>
      <w:r w:rsidR="00677EB3" w:rsidRPr="00677EB3">
        <w:t xml:space="preserve"> ABS, Canberra.</w:t>
      </w:r>
      <w:proofErr w:type="gramEnd"/>
      <w:r w:rsidR="00892645" w:rsidRPr="00677EB3">
        <w:rPr>
          <w:sz w:val="16"/>
          <w:szCs w:val="16"/>
        </w:rPr>
        <w:t> </w:t>
      </w:r>
    </w:p>
    <w:p w:rsidR="00C76759" w:rsidRPr="00AB5F0F" w:rsidRDefault="00C76759" w:rsidP="00C76759">
      <w:pPr>
        <w:pStyle w:val="References"/>
      </w:pPr>
      <w:proofErr w:type="gramStart"/>
      <w:r w:rsidRPr="00AB5F0F">
        <w:t>Karmel</w:t>
      </w:r>
      <w:r w:rsidR="00AB5F0F" w:rsidRPr="00AB5F0F">
        <w:t>, T &amp;</w:t>
      </w:r>
      <w:r w:rsidRPr="00AB5F0F">
        <w:t xml:space="preserve"> Misko</w:t>
      </w:r>
      <w:r w:rsidR="00AB5F0F" w:rsidRPr="00AB5F0F">
        <w:t>, J</w:t>
      </w:r>
      <w:r w:rsidRPr="00AB5F0F">
        <w:t xml:space="preserve"> 2009</w:t>
      </w:r>
      <w:r w:rsidR="00AB5F0F" w:rsidRPr="00AB5F0F">
        <w:t xml:space="preserve">, </w:t>
      </w:r>
      <w:r w:rsidR="00AB5F0F" w:rsidRPr="00AB5F0F">
        <w:rPr>
          <w:i/>
        </w:rPr>
        <w:t>Apprenticeships and traineeships in the downturn</w:t>
      </w:r>
      <w:r w:rsidR="00AB5F0F" w:rsidRPr="00AB5F0F">
        <w:t>, NCVER, Adelaide.</w:t>
      </w:r>
      <w:proofErr w:type="gramEnd"/>
    </w:p>
    <w:p w:rsidR="001650F4" w:rsidRPr="007E2A39" w:rsidRDefault="00C76759" w:rsidP="007E2A39">
      <w:pPr>
        <w:pStyle w:val="References"/>
      </w:pPr>
      <w:r w:rsidRPr="00630761">
        <w:t xml:space="preserve">NCVER </w:t>
      </w:r>
      <w:r w:rsidR="00630761" w:rsidRPr="00630761">
        <w:t xml:space="preserve">(National Centre for Vocational Education Research) </w:t>
      </w:r>
      <w:r w:rsidRPr="00630761">
        <w:t>2010</w:t>
      </w:r>
      <w:r w:rsidR="00AB5F0F" w:rsidRPr="00630761">
        <w:t>,</w:t>
      </w:r>
      <w:r w:rsidR="00AB5F0F">
        <w:t xml:space="preserve"> </w:t>
      </w:r>
      <w:r w:rsidR="00630761">
        <w:rPr>
          <w:i/>
        </w:rPr>
        <w:t>Australian vocational education and training statistics: Apprentices and trainees 2009</w:t>
      </w:r>
      <w:r w:rsidR="00AB5F0F">
        <w:rPr>
          <w:i/>
        </w:rPr>
        <w:t xml:space="preserve"> – Annual</w:t>
      </w:r>
      <w:r w:rsidR="00AB5F0F">
        <w:t xml:space="preserve">, NCVER, </w:t>
      </w:r>
      <w:proofErr w:type="gramStart"/>
      <w:r w:rsidR="00AB5F0F">
        <w:t>Adelaide</w:t>
      </w:r>
      <w:proofErr w:type="gramEnd"/>
      <w:r w:rsidR="00AB5F0F">
        <w:t xml:space="preserve">. </w:t>
      </w:r>
    </w:p>
    <w:sectPr w:rsidR="001650F4" w:rsidRPr="007E2A39" w:rsidSect="002E2953">
      <w:footerReference w:type="even" r:id="rId38"/>
      <w:footerReference w:type="default" r:id="rId39"/>
      <w:pgSz w:w="11899" w:h="16838" w:code="9"/>
      <w:pgMar w:top="1418" w:right="1985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FFB" w:rsidRDefault="002D3FFB">
      <w:r>
        <w:separator/>
      </w:r>
    </w:p>
  </w:endnote>
  <w:endnote w:type="continuationSeparator" w:id="0">
    <w:p w:rsidR="002D3FFB" w:rsidRDefault="002D3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69D9F22-11F0-42C6-8944-2D802A97D7E5}"/>
    <w:embedBold r:id="rId2" w:fontKey="{40E1C206-7AE1-4460-99AE-FEBFFC0E86EB}"/>
    <w:embedItalic r:id="rId3" w:fontKey="{663D7F98-8DCD-47CF-A7B2-3ECC801F62C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E1447E-97CE-4B15-97FA-D34691B8A215}"/>
  </w:font>
  <w:font w:name="Avant Garde">
    <w:altName w:val="Century Gothic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A3E3EE6F-DC46-40F8-8B9F-060D0AB582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2BB0871-2B8B-4BEA-9374-CE21C5FBC2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FB" w:rsidRDefault="002D3FFB">
    <w:pPr>
      <w:pStyle w:val="Footer"/>
    </w:pPr>
  </w:p>
  <w:p w:rsidR="002D3FFB" w:rsidRDefault="00765CD1" w:rsidP="002E2953">
    <w:pPr>
      <w:pStyle w:val="Footer"/>
      <w:pBdr>
        <w:top w:val="single" w:sz="4" w:space="1" w:color="auto"/>
      </w:pBdr>
      <w:tabs>
        <w:tab w:val="clear" w:pos="4153"/>
        <w:tab w:val="clear" w:pos="8306"/>
        <w:tab w:val="right" w:pos="8505"/>
      </w:tabs>
    </w:pPr>
    <w:r>
      <w:rPr>
        <w:rStyle w:val="PageNumber"/>
      </w:rPr>
      <w:fldChar w:fldCharType="begin"/>
    </w:r>
    <w:r w:rsidR="002D3F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1284">
      <w:rPr>
        <w:rStyle w:val="PageNumber"/>
        <w:noProof/>
      </w:rPr>
      <w:t>18</w:t>
    </w:r>
    <w:r>
      <w:rPr>
        <w:rStyle w:val="PageNumber"/>
      </w:rPr>
      <w:fldChar w:fldCharType="end"/>
    </w:r>
    <w:r w:rsidR="002D3FFB">
      <w:rPr>
        <w:rStyle w:val="PageNumber"/>
      </w:rPr>
      <w:tab/>
    </w:r>
    <w:r w:rsidR="002D3FFB" w:rsidRPr="00CB5F46">
      <w:rPr>
        <w:rStyle w:val="PageNumber"/>
      </w:rPr>
      <w:t>Estimating apprentice and trainee completion and attrition rates using a ‘life tables’ approach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FB" w:rsidRDefault="002D3FFB">
    <w:pPr>
      <w:pStyle w:val="Footer"/>
    </w:pPr>
  </w:p>
  <w:p w:rsidR="002D3FFB" w:rsidRDefault="002D3FFB" w:rsidP="002E2953">
    <w:pPr>
      <w:pStyle w:val="Footer"/>
      <w:pBdr>
        <w:top w:val="single" w:sz="4" w:space="1" w:color="auto"/>
      </w:pBdr>
      <w:tabs>
        <w:tab w:val="clear" w:pos="4153"/>
        <w:tab w:val="clear" w:pos="8306"/>
        <w:tab w:val="right" w:pos="8505"/>
      </w:tabs>
    </w:pPr>
    <w:r>
      <w:t>NCVER</w:t>
    </w:r>
    <w:r>
      <w:tab/>
    </w:r>
    <w:r w:rsidR="00765CD1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765CD1">
      <w:rPr>
        <w:rStyle w:val="PageNumber"/>
      </w:rPr>
      <w:fldChar w:fldCharType="separate"/>
    </w:r>
    <w:r w:rsidR="00BE1284">
      <w:rPr>
        <w:rStyle w:val="PageNumber"/>
        <w:noProof/>
      </w:rPr>
      <w:t>17</w:t>
    </w:r>
    <w:r w:rsidR="00765CD1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FFB" w:rsidRDefault="002D3FFB">
      <w:r>
        <w:separator/>
      </w:r>
    </w:p>
  </w:footnote>
  <w:footnote w:type="continuationSeparator" w:id="0">
    <w:p w:rsidR="002D3FFB" w:rsidRDefault="002D3FFB">
      <w:r>
        <w:continuationSeparator/>
      </w:r>
    </w:p>
  </w:footnote>
  <w:footnote w:id="1">
    <w:p w:rsidR="002D3FFB" w:rsidRDefault="002D3FFB" w:rsidP="005650D7">
      <w:pPr>
        <w:pStyle w:val="FootnoteText"/>
        <w:ind w:right="-151"/>
      </w:pPr>
      <w:r>
        <w:rPr>
          <w:rStyle w:val="FootnoteReference"/>
        </w:rPr>
        <w:footnoteRef/>
      </w:r>
      <w:r>
        <w:tab/>
        <w:t>Alternatively, we could simply use the latest data to derive both sets of rates. However, this would be a less robust because of the nature of the data collection, and the fact that activity levels may be revised for a period of up to two years. We are interested in comparing rates as they would have been calculated ‘back then’ with what actually happened.</w:t>
      </w:r>
    </w:p>
  </w:footnote>
  <w:footnote w:id="2">
    <w:p w:rsidR="002D3FFB" w:rsidRDefault="002D3FFB" w:rsidP="005650D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See Karmel and Misko (2009) for a discussion on the impact of economic downturns on apprenticeships and traineeships.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F9C6F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BAB7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C727F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DB407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9A9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4A4B2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D0E1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E88FC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97E41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DC9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0B12F76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2">
    <w:nsid w:val="01F410EF"/>
    <w:multiLevelType w:val="hybridMultilevel"/>
    <w:tmpl w:val="42146892"/>
    <w:lvl w:ilvl="0" w:tplc="24BA3DD4">
      <w:start w:val="1"/>
      <w:numFmt w:val="decimal"/>
      <w:pStyle w:val="NumberedListContinuing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2385E0A"/>
    <w:multiLevelType w:val="singleLevel"/>
    <w:tmpl w:val="FFFFFFFF"/>
    <w:lvl w:ilvl="0">
      <w:start w:val="1"/>
      <w:numFmt w:val="bullet"/>
      <w:lvlText w:val="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4">
    <w:nsid w:val="06035F2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6FF05DF"/>
    <w:multiLevelType w:val="singleLevel"/>
    <w:tmpl w:val="3C76DDCE"/>
    <w:lvl w:ilvl="0">
      <w:numFmt w:val="bullet"/>
      <w:pStyle w:val="Dotpoint1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0C402A4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0CD87213"/>
    <w:multiLevelType w:val="singleLevel"/>
    <w:tmpl w:val="FFFFFFFF"/>
    <w:lvl w:ilvl="0">
      <w:start w:val="1"/>
      <w:numFmt w:val="bullet"/>
      <w:lvlText w:val="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8">
    <w:nsid w:val="174A2C71"/>
    <w:multiLevelType w:val="singleLevel"/>
    <w:tmpl w:val="5A282C10"/>
    <w:lvl w:ilvl="0">
      <w:start w:val="1"/>
      <w:numFmt w:val="bullet"/>
      <w:pStyle w:val="Dotpoint2"/>
      <w:lvlText w:val="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18D85083"/>
    <w:multiLevelType w:val="singleLevel"/>
    <w:tmpl w:val="AB16F10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1F1D5D94"/>
    <w:multiLevelType w:val="singleLevel"/>
    <w:tmpl w:val="BD143BDC"/>
    <w:lvl w:ilvl="0">
      <w:numFmt w:val="bullet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30932698"/>
    <w:multiLevelType w:val="singleLevel"/>
    <w:tmpl w:val="77101FFA"/>
    <w:lvl w:ilvl="0">
      <w:start w:val="1"/>
      <w:numFmt w:val="bullet"/>
      <w:lvlText w:val="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30961F00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23">
    <w:nsid w:val="33CE2798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24">
    <w:nsid w:val="3E8C3432"/>
    <w:multiLevelType w:val="singleLevel"/>
    <w:tmpl w:val="FFFFFFFF"/>
    <w:lvl w:ilvl="0">
      <w:start w:val="1"/>
      <w:numFmt w:val="bullet"/>
      <w:lvlText w:val="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5">
    <w:nsid w:val="454E0E3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87C0F01"/>
    <w:multiLevelType w:val="singleLevel"/>
    <w:tmpl w:val="297C02B0"/>
    <w:lvl w:ilvl="0">
      <w:start w:val="1"/>
      <w:numFmt w:val="bullet"/>
      <w:lvlText w:val="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4900580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9A3336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9FC1EEE"/>
    <w:multiLevelType w:val="singleLevel"/>
    <w:tmpl w:val="8B8ACFAC"/>
    <w:lvl w:ilvl="0">
      <w:numFmt w:val="decimal"/>
      <w:lvlText w:val="%1"/>
      <w:legacy w:legacy="1" w:legacySpace="0" w:legacyIndent="0"/>
      <w:lvlJc w:val="left"/>
    </w:lvl>
  </w:abstractNum>
  <w:abstractNum w:abstractNumId="30">
    <w:nsid w:val="4AA9754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4D8525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4F095AD2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33">
    <w:nsid w:val="5162601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261228E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35">
    <w:nsid w:val="58655486"/>
    <w:multiLevelType w:val="singleLevel"/>
    <w:tmpl w:val="BB928762"/>
    <w:lvl w:ilvl="0">
      <w:numFmt w:val="bullet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5ACC0A3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CD447FC"/>
    <w:multiLevelType w:val="multilevel"/>
    <w:tmpl w:val="42146892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EB269DA"/>
    <w:multiLevelType w:val="singleLevel"/>
    <w:tmpl w:val="FD1255FA"/>
    <w:lvl w:ilvl="0">
      <w:numFmt w:val="bullet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>
    <w:nsid w:val="716032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3FD0B6F"/>
    <w:multiLevelType w:val="singleLevel"/>
    <w:tmpl w:val="ED7C77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41">
    <w:nsid w:val="752B4923"/>
    <w:multiLevelType w:val="singleLevel"/>
    <w:tmpl w:val="FFFFFFFF"/>
    <w:lvl w:ilvl="0"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2">
    <w:nsid w:val="78453263"/>
    <w:multiLevelType w:val="singleLevel"/>
    <w:tmpl w:val="FFFFFFFF"/>
    <w:lvl w:ilvl="0">
      <w:start w:val="1"/>
      <w:numFmt w:val="bullet"/>
      <w:lvlText w:val="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0"/>
    <w:lvlOverride w:ilvl="0">
      <w:lvl w:ilvl="0">
        <w:start w:val="1"/>
        <w:numFmt w:val="bullet"/>
        <w:lvlText w:val="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23"/>
  </w:num>
  <w:num w:numId="4">
    <w:abstractNumId w:val="24"/>
  </w:num>
  <w:num w:numId="5">
    <w:abstractNumId w:val="22"/>
  </w:num>
  <w:num w:numId="6">
    <w:abstractNumId w:val="11"/>
  </w:num>
  <w:num w:numId="7">
    <w:abstractNumId w:val="40"/>
  </w:num>
  <w:num w:numId="8">
    <w:abstractNumId w:val="34"/>
  </w:num>
  <w:num w:numId="9">
    <w:abstractNumId w:val="32"/>
  </w:num>
  <w:num w:numId="10">
    <w:abstractNumId w:val="39"/>
  </w:num>
  <w:num w:numId="11">
    <w:abstractNumId w:val="30"/>
  </w:num>
  <w:num w:numId="12">
    <w:abstractNumId w:val="14"/>
  </w:num>
  <w:num w:numId="13">
    <w:abstractNumId w:val="36"/>
  </w:num>
  <w:num w:numId="14">
    <w:abstractNumId w:val="31"/>
  </w:num>
  <w:num w:numId="15">
    <w:abstractNumId w:val="16"/>
  </w:num>
  <w:num w:numId="16">
    <w:abstractNumId w:val="17"/>
  </w:num>
  <w:num w:numId="17">
    <w:abstractNumId w:val="13"/>
  </w:num>
  <w:num w:numId="18">
    <w:abstractNumId w:val="42"/>
  </w:num>
  <w:num w:numId="19">
    <w:abstractNumId w:val="25"/>
  </w:num>
  <w:num w:numId="20">
    <w:abstractNumId w:val="33"/>
  </w:num>
  <w:num w:numId="21">
    <w:abstractNumId w:val="41"/>
  </w:num>
  <w:num w:numId="22">
    <w:abstractNumId w:val="29"/>
  </w:num>
  <w:num w:numId="23">
    <w:abstractNumId w:val="27"/>
  </w:num>
  <w:num w:numId="24">
    <w:abstractNumId w:val="28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38"/>
  </w:num>
  <w:num w:numId="36">
    <w:abstractNumId w:val="19"/>
  </w:num>
  <w:num w:numId="37">
    <w:abstractNumId w:val="20"/>
  </w:num>
  <w:num w:numId="38">
    <w:abstractNumId w:val="35"/>
  </w:num>
  <w:num w:numId="39">
    <w:abstractNumId w:val="15"/>
  </w:num>
  <w:num w:numId="40">
    <w:abstractNumId w:val="21"/>
  </w:num>
  <w:num w:numId="41">
    <w:abstractNumId w:val="26"/>
  </w:num>
  <w:num w:numId="42">
    <w:abstractNumId w:val="18"/>
  </w:num>
  <w:num w:numId="43">
    <w:abstractNumId w:val="12"/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mirrorMargins/>
  <w:activeWritingStyle w:appName="MSWord" w:lang="en-US" w:vendorID="8" w:dllVersion="513" w:checkStyle="1"/>
  <w:activeWritingStyle w:appName="MSWord" w:lang="en-AU" w:vendorID="8" w:dllVersion="513" w:checkStyle="1"/>
  <w:activeWritingStyle w:appName="MSWord" w:lang="en-GB" w:vendorID="8" w:dllVersion="513" w:checkStyle="1"/>
  <w:proofState w:spelling="clean" w:grammar="clean"/>
  <w:stylePaneFormatFilter w:val="1F08"/>
  <w:defaultTabStop w:val="720"/>
  <w:doNotHyphenateCaps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A5F"/>
    <w:rsid w:val="000025B0"/>
    <w:rsid w:val="000039EF"/>
    <w:rsid w:val="00004C0D"/>
    <w:rsid w:val="000064A9"/>
    <w:rsid w:val="0000783B"/>
    <w:rsid w:val="00013AA3"/>
    <w:rsid w:val="00016C2C"/>
    <w:rsid w:val="00033795"/>
    <w:rsid w:val="000574BC"/>
    <w:rsid w:val="0006748C"/>
    <w:rsid w:val="0008093A"/>
    <w:rsid w:val="00081354"/>
    <w:rsid w:val="000834C7"/>
    <w:rsid w:val="00091D07"/>
    <w:rsid w:val="00097026"/>
    <w:rsid w:val="000B2B96"/>
    <w:rsid w:val="000B6FF0"/>
    <w:rsid w:val="000C13AF"/>
    <w:rsid w:val="000C1FAA"/>
    <w:rsid w:val="000C2957"/>
    <w:rsid w:val="000D5EB1"/>
    <w:rsid w:val="000E2597"/>
    <w:rsid w:val="000E6995"/>
    <w:rsid w:val="000F262E"/>
    <w:rsid w:val="000F30E3"/>
    <w:rsid w:val="000F45BA"/>
    <w:rsid w:val="000F701C"/>
    <w:rsid w:val="00101BD1"/>
    <w:rsid w:val="00111B15"/>
    <w:rsid w:val="00116868"/>
    <w:rsid w:val="00122490"/>
    <w:rsid w:val="00122FFA"/>
    <w:rsid w:val="00123879"/>
    <w:rsid w:val="00132D74"/>
    <w:rsid w:val="00136877"/>
    <w:rsid w:val="001401F0"/>
    <w:rsid w:val="001464B8"/>
    <w:rsid w:val="001469C9"/>
    <w:rsid w:val="001477C4"/>
    <w:rsid w:val="00150DCB"/>
    <w:rsid w:val="00151155"/>
    <w:rsid w:val="00152C4A"/>
    <w:rsid w:val="00155DFF"/>
    <w:rsid w:val="00157FC4"/>
    <w:rsid w:val="00160956"/>
    <w:rsid w:val="00162C3A"/>
    <w:rsid w:val="001650F4"/>
    <w:rsid w:val="00165C62"/>
    <w:rsid w:val="0016633E"/>
    <w:rsid w:val="0016761F"/>
    <w:rsid w:val="00183F72"/>
    <w:rsid w:val="00185572"/>
    <w:rsid w:val="001873E7"/>
    <w:rsid w:val="001904D3"/>
    <w:rsid w:val="001939B3"/>
    <w:rsid w:val="0019596E"/>
    <w:rsid w:val="001965A7"/>
    <w:rsid w:val="001A45A3"/>
    <w:rsid w:val="001B307A"/>
    <w:rsid w:val="001B7F47"/>
    <w:rsid w:val="001C5ECE"/>
    <w:rsid w:val="001D5CEA"/>
    <w:rsid w:val="001E07C6"/>
    <w:rsid w:val="001F0FC1"/>
    <w:rsid w:val="002054C2"/>
    <w:rsid w:val="002237D1"/>
    <w:rsid w:val="00224076"/>
    <w:rsid w:val="00224683"/>
    <w:rsid w:val="00226B05"/>
    <w:rsid w:val="002471DF"/>
    <w:rsid w:val="00265F75"/>
    <w:rsid w:val="002778D4"/>
    <w:rsid w:val="00283060"/>
    <w:rsid w:val="00283A08"/>
    <w:rsid w:val="002840E5"/>
    <w:rsid w:val="00285C57"/>
    <w:rsid w:val="00296F95"/>
    <w:rsid w:val="00297841"/>
    <w:rsid w:val="002A6F79"/>
    <w:rsid w:val="002B649F"/>
    <w:rsid w:val="002B658F"/>
    <w:rsid w:val="002B695F"/>
    <w:rsid w:val="002C3B30"/>
    <w:rsid w:val="002C4909"/>
    <w:rsid w:val="002C6113"/>
    <w:rsid w:val="002C65D3"/>
    <w:rsid w:val="002D3FFB"/>
    <w:rsid w:val="002D5E9B"/>
    <w:rsid w:val="002E2953"/>
    <w:rsid w:val="002E4FBE"/>
    <w:rsid w:val="002F221B"/>
    <w:rsid w:val="002F2FE8"/>
    <w:rsid w:val="002F3861"/>
    <w:rsid w:val="002F491A"/>
    <w:rsid w:val="00300A54"/>
    <w:rsid w:val="00303DCC"/>
    <w:rsid w:val="00305BE4"/>
    <w:rsid w:val="003065A6"/>
    <w:rsid w:val="003163A2"/>
    <w:rsid w:val="00322543"/>
    <w:rsid w:val="00327D47"/>
    <w:rsid w:val="00331BCA"/>
    <w:rsid w:val="0033333C"/>
    <w:rsid w:val="00335C85"/>
    <w:rsid w:val="0033689E"/>
    <w:rsid w:val="00341F89"/>
    <w:rsid w:val="00343540"/>
    <w:rsid w:val="0035327A"/>
    <w:rsid w:val="00354AE7"/>
    <w:rsid w:val="00360E1E"/>
    <w:rsid w:val="003633D1"/>
    <w:rsid w:val="0037249B"/>
    <w:rsid w:val="003729EC"/>
    <w:rsid w:val="00372B63"/>
    <w:rsid w:val="00372E44"/>
    <w:rsid w:val="00392598"/>
    <w:rsid w:val="003930C1"/>
    <w:rsid w:val="003949DE"/>
    <w:rsid w:val="003B1B3D"/>
    <w:rsid w:val="003C16E9"/>
    <w:rsid w:val="003C390B"/>
    <w:rsid w:val="003C460E"/>
    <w:rsid w:val="003C52AB"/>
    <w:rsid w:val="003D4B1A"/>
    <w:rsid w:val="003E7538"/>
    <w:rsid w:val="003F04C0"/>
    <w:rsid w:val="003F2CDC"/>
    <w:rsid w:val="003F3F1A"/>
    <w:rsid w:val="003F3F83"/>
    <w:rsid w:val="003F596C"/>
    <w:rsid w:val="003F6D79"/>
    <w:rsid w:val="00401298"/>
    <w:rsid w:val="00407CE3"/>
    <w:rsid w:val="00416FE6"/>
    <w:rsid w:val="00421900"/>
    <w:rsid w:val="00425013"/>
    <w:rsid w:val="00432BAA"/>
    <w:rsid w:val="00454C38"/>
    <w:rsid w:val="00466269"/>
    <w:rsid w:val="00470B46"/>
    <w:rsid w:val="004712ED"/>
    <w:rsid w:val="004717A3"/>
    <w:rsid w:val="00481B82"/>
    <w:rsid w:val="00486BFC"/>
    <w:rsid w:val="00490E88"/>
    <w:rsid w:val="0049134F"/>
    <w:rsid w:val="0049257E"/>
    <w:rsid w:val="004A0D2A"/>
    <w:rsid w:val="004A2664"/>
    <w:rsid w:val="004A425C"/>
    <w:rsid w:val="004A499D"/>
    <w:rsid w:val="004A5D1A"/>
    <w:rsid w:val="004B207F"/>
    <w:rsid w:val="004B24DA"/>
    <w:rsid w:val="004B47DC"/>
    <w:rsid w:val="004B6491"/>
    <w:rsid w:val="004B78F0"/>
    <w:rsid w:val="004C1E84"/>
    <w:rsid w:val="004C2625"/>
    <w:rsid w:val="004C4FD4"/>
    <w:rsid w:val="004D1BF1"/>
    <w:rsid w:val="004D27A8"/>
    <w:rsid w:val="004E2A45"/>
    <w:rsid w:val="004E63AB"/>
    <w:rsid w:val="004F00CF"/>
    <w:rsid w:val="00500066"/>
    <w:rsid w:val="00505145"/>
    <w:rsid w:val="005106F5"/>
    <w:rsid w:val="00511FAE"/>
    <w:rsid w:val="005133B6"/>
    <w:rsid w:val="00515ECD"/>
    <w:rsid w:val="00521C22"/>
    <w:rsid w:val="00524CD2"/>
    <w:rsid w:val="00534521"/>
    <w:rsid w:val="00536CDE"/>
    <w:rsid w:val="00543145"/>
    <w:rsid w:val="0054483D"/>
    <w:rsid w:val="00546DFE"/>
    <w:rsid w:val="00561C14"/>
    <w:rsid w:val="005646E8"/>
    <w:rsid w:val="00564B09"/>
    <w:rsid w:val="005650D7"/>
    <w:rsid w:val="00570CCC"/>
    <w:rsid w:val="0057110E"/>
    <w:rsid w:val="00574853"/>
    <w:rsid w:val="00584721"/>
    <w:rsid w:val="00592EA6"/>
    <w:rsid w:val="00592F75"/>
    <w:rsid w:val="005939B5"/>
    <w:rsid w:val="0059520D"/>
    <w:rsid w:val="005A14ED"/>
    <w:rsid w:val="005A378A"/>
    <w:rsid w:val="005A508C"/>
    <w:rsid w:val="005B257F"/>
    <w:rsid w:val="005B6A86"/>
    <w:rsid w:val="005D2412"/>
    <w:rsid w:val="005E0499"/>
    <w:rsid w:val="005E456B"/>
    <w:rsid w:val="005E4CCD"/>
    <w:rsid w:val="005E6714"/>
    <w:rsid w:val="005F4E01"/>
    <w:rsid w:val="00602536"/>
    <w:rsid w:val="00604E91"/>
    <w:rsid w:val="006107B0"/>
    <w:rsid w:val="00617A3A"/>
    <w:rsid w:val="00625140"/>
    <w:rsid w:val="006260E1"/>
    <w:rsid w:val="00630761"/>
    <w:rsid w:val="00635218"/>
    <w:rsid w:val="006455E4"/>
    <w:rsid w:val="00646B97"/>
    <w:rsid w:val="00650720"/>
    <w:rsid w:val="006523D5"/>
    <w:rsid w:val="00657B47"/>
    <w:rsid w:val="00664FA5"/>
    <w:rsid w:val="00677EB3"/>
    <w:rsid w:val="006804FE"/>
    <w:rsid w:val="00685EC0"/>
    <w:rsid w:val="00691D60"/>
    <w:rsid w:val="006967ED"/>
    <w:rsid w:val="006C36CF"/>
    <w:rsid w:val="006C4726"/>
    <w:rsid w:val="006C4ED1"/>
    <w:rsid w:val="006C5EF0"/>
    <w:rsid w:val="006F0203"/>
    <w:rsid w:val="006F13D1"/>
    <w:rsid w:val="006F26DC"/>
    <w:rsid w:val="006F2972"/>
    <w:rsid w:val="006F2A37"/>
    <w:rsid w:val="006F2D11"/>
    <w:rsid w:val="006F5DED"/>
    <w:rsid w:val="00702E97"/>
    <w:rsid w:val="007106BC"/>
    <w:rsid w:val="00712B08"/>
    <w:rsid w:val="0071496D"/>
    <w:rsid w:val="00714C03"/>
    <w:rsid w:val="007211AD"/>
    <w:rsid w:val="00723117"/>
    <w:rsid w:val="00724D73"/>
    <w:rsid w:val="00725424"/>
    <w:rsid w:val="00726495"/>
    <w:rsid w:val="0074023C"/>
    <w:rsid w:val="007422EA"/>
    <w:rsid w:val="00744238"/>
    <w:rsid w:val="007507F2"/>
    <w:rsid w:val="007537D8"/>
    <w:rsid w:val="00755503"/>
    <w:rsid w:val="00760AF9"/>
    <w:rsid w:val="0076275A"/>
    <w:rsid w:val="007653F9"/>
    <w:rsid w:val="00765CD1"/>
    <w:rsid w:val="007733D7"/>
    <w:rsid w:val="00786223"/>
    <w:rsid w:val="00786E81"/>
    <w:rsid w:val="00791423"/>
    <w:rsid w:val="007916F5"/>
    <w:rsid w:val="007A00B8"/>
    <w:rsid w:val="007A0A04"/>
    <w:rsid w:val="007A5779"/>
    <w:rsid w:val="007A685E"/>
    <w:rsid w:val="007B01B6"/>
    <w:rsid w:val="007B150E"/>
    <w:rsid w:val="007B6B23"/>
    <w:rsid w:val="007C2130"/>
    <w:rsid w:val="007C435D"/>
    <w:rsid w:val="007D3D11"/>
    <w:rsid w:val="007D4E2B"/>
    <w:rsid w:val="007D60B7"/>
    <w:rsid w:val="007E2A39"/>
    <w:rsid w:val="007E3142"/>
    <w:rsid w:val="007E50A5"/>
    <w:rsid w:val="007E529D"/>
    <w:rsid w:val="007F3E7B"/>
    <w:rsid w:val="00800C60"/>
    <w:rsid w:val="008103F2"/>
    <w:rsid w:val="00817420"/>
    <w:rsid w:val="00831CD4"/>
    <w:rsid w:val="00850994"/>
    <w:rsid w:val="00853B81"/>
    <w:rsid w:val="00853CDE"/>
    <w:rsid w:val="00866F10"/>
    <w:rsid w:val="0087061F"/>
    <w:rsid w:val="00875994"/>
    <w:rsid w:val="00882787"/>
    <w:rsid w:val="008834B1"/>
    <w:rsid w:val="00883C3D"/>
    <w:rsid w:val="0089070F"/>
    <w:rsid w:val="00892645"/>
    <w:rsid w:val="008A0A25"/>
    <w:rsid w:val="008A1DE2"/>
    <w:rsid w:val="008A245F"/>
    <w:rsid w:val="008A37A7"/>
    <w:rsid w:val="008B14FB"/>
    <w:rsid w:val="008B1F8B"/>
    <w:rsid w:val="008B2C34"/>
    <w:rsid w:val="008B3B07"/>
    <w:rsid w:val="008B4A11"/>
    <w:rsid w:val="008C61EB"/>
    <w:rsid w:val="008D351A"/>
    <w:rsid w:val="008D3762"/>
    <w:rsid w:val="008D69E6"/>
    <w:rsid w:val="008F75D0"/>
    <w:rsid w:val="00902BD9"/>
    <w:rsid w:val="00904025"/>
    <w:rsid w:val="009065DB"/>
    <w:rsid w:val="0090675A"/>
    <w:rsid w:val="00911BD2"/>
    <w:rsid w:val="00912035"/>
    <w:rsid w:val="00912A4D"/>
    <w:rsid w:val="00913371"/>
    <w:rsid w:val="0092643C"/>
    <w:rsid w:val="009267DD"/>
    <w:rsid w:val="00941BFA"/>
    <w:rsid w:val="009425D3"/>
    <w:rsid w:val="00950A11"/>
    <w:rsid w:val="00967779"/>
    <w:rsid w:val="00972C88"/>
    <w:rsid w:val="00973208"/>
    <w:rsid w:val="0097672D"/>
    <w:rsid w:val="0098320C"/>
    <w:rsid w:val="0098473D"/>
    <w:rsid w:val="00985006"/>
    <w:rsid w:val="00985477"/>
    <w:rsid w:val="009863E0"/>
    <w:rsid w:val="0099255F"/>
    <w:rsid w:val="00996931"/>
    <w:rsid w:val="009A399E"/>
    <w:rsid w:val="009A75CA"/>
    <w:rsid w:val="009B22DF"/>
    <w:rsid w:val="009B437B"/>
    <w:rsid w:val="009B5747"/>
    <w:rsid w:val="009C367B"/>
    <w:rsid w:val="009C70EA"/>
    <w:rsid w:val="009D1434"/>
    <w:rsid w:val="009F45C3"/>
    <w:rsid w:val="009F5E40"/>
    <w:rsid w:val="00A01999"/>
    <w:rsid w:val="00A04462"/>
    <w:rsid w:val="00A04F2D"/>
    <w:rsid w:val="00A06C85"/>
    <w:rsid w:val="00A1016E"/>
    <w:rsid w:val="00A10288"/>
    <w:rsid w:val="00A3077A"/>
    <w:rsid w:val="00A375A0"/>
    <w:rsid w:val="00A4359B"/>
    <w:rsid w:val="00A4505F"/>
    <w:rsid w:val="00A51323"/>
    <w:rsid w:val="00A51E13"/>
    <w:rsid w:val="00A5653C"/>
    <w:rsid w:val="00A6393C"/>
    <w:rsid w:val="00A67F9C"/>
    <w:rsid w:val="00A706D9"/>
    <w:rsid w:val="00A710E9"/>
    <w:rsid w:val="00A7175B"/>
    <w:rsid w:val="00A72797"/>
    <w:rsid w:val="00A76AB6"/>
    <w:rsid w:val="00A7767D"/>
    <w:rsid w:val="00A77D77"/>
    <w:rsid w:val="00A81ACA"/>
    <w:rsid w:val="00A825C7"/>
    <w:rsid w:val="00A87CFA"/>
    <w:rsid w:val="00A92D9A"/>
    <w:rsid w:val="00A9325D"/>
    <w:rsid w:val="00A96ABA"/>
    <w:rsid w:val="00A97D29"/>
    <w:rsid w:val="00AA5A4D"/>
    <w:rsid w:val="00AA5D75"/>
    <w:rsid w:val="00AA6594"/>
    <w:rsid w:val="00AA670F"/>
    <w:rsid w:val="00AB5F0F"/>
    <w:rsid w:val="00AC0004"/>
    <w:rsid w:val="00AD1910"/>
    <w:rsid w:val="00AD2730"/>
    <w:rsid w:val="00AD47F2"/>
    <w:rsid w:val="00AD5C16"/>
    <w:rsid w:val="00AE0B5B"/>
    <w:rsid w:val="00AE1A2B"/>
    <w:rsid w:val="00AF224A"/>
    <w:rsid w:val="00B05F11"/>
    <w:rsid w:val="00B100E3"/>
    <w:rsid w:val="00B22800"/>
    <w:rsid w:val="00B30172"/>
    <w:rsid w:val="00B3184F"/>
    <w:rsid w:val="00B322B3"/>
    <w:rsid w:val="00B345E9"/>
    <w:rsid w:val="00B5304E"/>
    <w:rsid w:val="00B5361D"/>
    <w:rsid w:val="00B55151"/>
    <w:rsid w:val="00B625F7"/>
    <w:rsid w:val="00B70686"/>
    <w:rsid w:val="00B71DBA"/>
    <w:rsid w:val="00B8223C"/>
    <w:rsid w:val="00B84519"/>
    <w:rsid w:val="00B85024"/>
    <w:rsid w:val="00B85E41"/>
    <w:rsid w:val="00B91CFF"/>
    <w:rsid w:val="00B97E0B"/>
    <w:rsid w:val="00BA1BA9"/>
    <w:rsid w:val="00BA4C08"/>
    <w:rsid w:val="00BA6306"/>
    <w:rsid w:val="00BC3F5A"/>
    <w:rsid w:val="00BC50FF"/>
    <w:rsid w:val="00BC6312"/>
    <w:rsid w:val="00BD6F35"/>
    <w:rsid w:val="00BE1284"/>
    <w:rsid w:val="00BE36C6"/>
    <w:rsid w:val="00BE45FD"/>
    <w:rsid w:val="00BE6144"/>
    <w:rsid w:val="00C01C1D"/>
    <w:rsid w:val="00C033B9"/>
    <w:rsid w:val="00C0410E"/>
    <w:rsid w:val="00C051F1"/>
    <w:rsid w:val="00C10E5B"/>
    <w:rsid w:val="00C13E9C"/>
    <w:rsid w:val="00C15B35"/>
    <w:rsid w:val="00C170B7"/>
    <w:rsid w:val="00C17CCF"/>
    <w:rsid w:val="00C2187C"/>
    <w:rsid w:val="00C21D1B"/>
    <w:rsid w:val="00C326F0"/>
    <w:rsid w:val="00C44D8C"/>
    <w:rsid w:val="00C51FF0"/>
    <w:rsid w:val="00C53153"/>
    <w:rsid w:val="00C54144"/>
    <w:rsid w:val="00C55047"/>
    <w:rsid w:val="00C568AF"/>
    <w:rsid w:val="00C6297B"/>
    <w:rsid w:val="00C67DA6"/>
    <w:rsid w:val="00C71A5E"/>
    <w:rsid w:val="00C71A97"/>
    <w:rsid w:val="00C74F08"/>
    <w:rsid w:val="00C76759"/>
    <w:rsid w:val="00C8549F"/>
    <w:rsid w:val="00CA079A"/>
    <w:rsid w:val="00CA0E31"/>
    <w:rsid w:val="00CA11E5"/>
    <w:rsid w:val="00CB5F46"/>
    <w:rsid w:val="00CB658F"/>
    <w:rsid w:val="00CC3D22"/>
    <w:rsid w:val="00CC5EF4"/>
    <w:rsid w:val="00CC63FA"/>
    <w:rsid w:val="00CC69BB"/>
    <w:rsid w:val="00CD741C"/>
    <w:rsid w:val="00CE21CB"/>
    <w:rsid w:val="00CF3AE5"/>
    <w:rsid w:val="00CF4B4F"/>
    <w:rsid w:val="00CF621F"/>
    <w:rsid w:val="00CF68EF"/>
    <w:rsid w:val="00CF7B8B"/>
    <w:rsid w:val="00D01DF1"/>
    <w:rsid w:val="00D1397B"/>
    <w:rsid w:val="00D15114"/>
    <w:rsid w:val="00D2017B"/>
    <w:rsid w:val="00D248BD"/>
    <w:rsid w:val="00D26713"/>
    <w:rsid w:val="00D33B1D"/>
    <w:rsid w:val="00D37222"/>
    <w:rsid w:val="00D44CDB"/>
    <w:rsid w:val="00D51E93"/>
    <w:rsid w:val="00D557C8"/>
    <w:rsid w:val="00D573C6"/>
    <w:rsid w:val="00D6453B"/>
    <w:rsid w:val="00D72A55"/>
    <w:rsid w:val="00D74873"/>
    <w:rsid w:val="00D810B6"/>
    <w:rsid w:val="00D82DE6"/>
    <w:rsid w:val="00D84C0A"/>
    <w:rsid w:val="00D86C6D"/>
    <w:rsid w:val="00D9504D"/>
    <w:rsid w:val="00D96F48"/>
    <w:rsid w:val="00DA57B3"/>
    <w:rsid w:val="00DA7828"/>
    <w:rsid w:val="00DB1371"/>
    <w:rsid w:val="00DB223B"/>
    <w:rsid w:val="00DB29F0"/>
    <w:rsid w:val="00DB4B74"/>
    <w:rsid w:val="00DB55EF"/>
    <w:rsid w:val="00DB68EF"/>
    <w:rsid w:val="00DC5E06"/>
    <w:rsid w:val="00DC6F3D"/>
    <w:rsid w:val="00DD64A6"/>
    <w:rsid w:val="00DD6673"/>
    <w:rsid w:val="00DE1A5F"/>
    <w:rsid w:val="00DE4497"/>
    <w:rsid w:val="00DF4655"/>
    <w:rsid w:val="00DF5EBD"/>
    <w:rsid w:val="00DF65DE"/>
    <w:rsid w:val="00E0296D"/>
    <w:rsid w:val="00E0637F"/>
    <w:rsid w:val="00E13DEB"/>
    <w:rsid w:val="00E140A1"/>
    <w:rsid w:val="00E15F9D"/>
    <w:rsid w:val="00E16BAB"/>
    <w:rsid w:val="00E2048C"/>
    <w:rsid w:val="00E41A7B"/>
    <w:rsid w:val="00E4457F"/>
    <w:rsid w:val="00E502B9"/>
    <w:rsid w:val="00E60C84"/>
    <w:rsid w:val="00E64DAA"/>
    <w:rsid w:val="00E7024E"/>
    <w:rsid w:val="00E7514B"/>
    <w:rsid w:val="00E83B9D"/>
    <w:rsid w:val="00E842B4"/>
    <w:rsid w:val="00E86F33"/>
    <w:rsid w:val="00E90CA7"/>
    <w:rsid w:val="00E94F68"/>
    <w:rsid w:val="00EA19FD"/>
    <w:rsid w:val="00EB60B6"/>
    <w:rsid w:val="00EC12C6"/>
    <w:rsid w:val="00EC39F0"/>
    <w:rsid w:val="00EC44C6"/>
    <w:rsid w:val="00EE320B"/>
    <w:rsid w:val="00EE39AC"/>
    <w:rsid w:val="00EF3A8E"/>
    <w:rsid w:val="00EF767B"/>
    <w:rsid w:val="00F0123B"/>
    <w:rsid w:val="00F0197C"/>
    <w:rsid w:val="00F044C8"/>
    <w:rsid w:val="00F07FB9"/>
    <w:rsid w:val="00F16110"/>
    <w:rsid w:val="00F16F5C"/>
    <w:rsid w:val="00F20B30"/>
    <w:rsid w:val="00F21DA5"/>
    <w:rsid w:val="00F267AE"/>
    <w:rsid w:val="00F27CB7"/>
    <w:rsid w:val="00F302C1"/>
    <w:rsid w:val="00F31818"/>
    <w:rsid w:val="00F31BDE"/>
    <w:rsid w:val="00F35B4D"/>
    <w:rsid w:val="00F36B4D"/>
    <w:rsid w:val="00F40D4E"/>
    <w:rsid w:val="00F4163B"/>
    <w:rsid w:val="00F439B1"/>
    <w:rsid w:val="00F472A2"/>
    <w:rsid w:val="00F53322"/>
    <w:rsid w:val="00F54142"/>
    <w:rsid w:val="00F56B16"/>
    <w:rsid w:val="00F62CB3"/>
    <w:rsid w:val="00F856D4"/>
    <w:rsid w:val="00F937FB"/>
    <w:rsid w:val="00F96021"/>
    <w:rsid w:val="00FA5CF7"/>
    <w:rsid w:val="00FB34E9"/>
    <w:rsid w:val="00FC0E71"/>
    <w:rsid w:val="00FE571B"/>
    <w:rsid w:val="00FE6ED0"/>
    <w:rsid w:val="00FE7634"/>
    <w:rsid w:val="00FF0963"/>
    <w:rsid w:val="00FF3B11"/>
    <w:rsid w:val="00FF3C84"/>
    <w:rsid w:val="00FF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able of figures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0D7"/>
    <w:pPr>
      <w:spacing w:before="200"/>
    </w:pPr>
    <w:rPr>
      <w:sz w:val="24"/>
    </w:rPr>
  </w:style>
  <w:style w:type="paragraph" w:styleId="Heading1">
    <w:name w:val="heading 1"/>
    <w:next w:val="Text"/>
    <w:qFormat/>
    <w:rsid w:val="00E4457F"/>
    <w:pPr>
      <w:widowControl w:val="0"/>
      <w:pBdr>
        <w:bottom w:val="single" w:sz="4" w:space="1" w:color="auto"/>
      </w:pBdr>
      <w:spacing w:before="440" w:after="60"/>
      <w:jc w:val="right"/>
      <w:outlineLvl w:val="0"/>
    </w:pPr>
    <w:rPr>
      <w:rFonts w:ascii="Garamond" w:hAnsi="Garamond"/>
      <w:kern w:val="28"/>
      <w:sz w:val="60"/>
    </w:rPr>
  </w:style>
  <w:style w:type="paragraph" w:styleId="Heading2">
    <w:name w:val="heading 2"/>
    <w:next w:val="Text"/>
    <w:qFormat/>
    <w:rsid w:val="00E4457F"/>
    <w:pPr>
      <w:keepNext/>
      <w:spacing w:before="440"/>
      <w:outlineLvl w:val="1"/>
    </w:pPr>
    <w:rPr>
      <w:rFonts w:ascii="Garamond" w:hAnsi="Garamond"/>
      <w:sz w:val="36"/>
    </w:rPr>
  </w:style>
  <w:style w:type="paragraph" w:styleId="Heading3">
    <w:name w:val="heading 3"/>
    <w:next w:val="Text"/>
    <w:qFormat/>
    <w:rsid w:val="00E4457F"/>
    <w:pPr>
      <w:keepNext/>
      <w:spacing w:before="280"/>
      <w:outlineLvl w:val="2"/>
    </w:pPr>
    <w:rPr>
      <w:rFonts w:ascii="Garamond" w:hAnsi="Garamond"/>
      <w:sz w:val="28"/>
    </w:rPr>
  </w:style>
  <w:style w:type="paragraph" w:styleId="Heading4">
    <w:name w:val="heading 4"/>
    <w:next w:val="Text"/>
    <w:qFormat/>
    <w:rsid w:val="00E4457F"/>
    <w:pPr>
      <w:keepNext/>
      <w:spacing w:before="260"/>
      <w:outlineLvl w:val="3"/>
    </w:pPr>
    <w:rPr>
      <w:rFonts w:ascii="Garamond" w:hAnsi="Garamond"/>
      <w:i/>
      <w:sz w:val="24"/>
    </w:rPr>
  </w:style>
  <w:style w:type="paragraph" w:styleId="Heading5">
    <w:name w:val="heading 5"/>
    <w:basedOn w:val="Normal"/>
    <w:next w:val="Normal"/>
    <w:qFormat/>
    <w:rsid w:val="00E4457F"/>
    <w:pPr>
      <w:keepNext/>
      <w:outlineLvl w:val="4"/>
    </w:pPr>
    <w:rPr>
      <w:rFonts w:ascii="Garamond" w:hAnsi="Garamond"/>
      <w:b/>
    </w:rPr>
  </w:style>
  <w:style w:type="paragraph" w:styleId="Heading6">
    <w:name w:val="heading 6"/>
    <w:basedOn w:val="Normal"/>
    <w:next w:val="Normal"/>
    <w:qFormat/>
    <w:rsid w:val="002B658F"/>
    <w:pPr>
      <w:keepNext/>
      <w:ind w:left="2977"/>
      <w:outlineLvl w:val="5"/>
    </w:pPr>
    <w:rPr>
      <w:rFonts w:ascii="Garamond" w:hAnsi="Garamond"/>
      <w:sz w:val="36"/>
    </w:rPr>
  </w:style>
  <w:style w:type="paragraph" w:styleId="Heading7">
    <w:name w:val="heading 7"/>
    <w:basedOn w:val="Normal"/>
    <w:next w:val="Normal"/>
    <w:qFormat/>
    <w:rsid w:val="002B658F"/>
    <w:pPr>
      <w:keepNext/>
      <w:jc w:val="center"/>
      <w:outlineLvl w:val="6"/>
    </w:pPr>
    <w:rPr>
      <w:rFonts w:ascii="Garamond" w:hAnsi="Garamond"/>
      <w:b/>
      <w:spacing w:val="20"/>
      <w:sz w:val="36"/>
    </w:rPr>
  </w:style>
  <w:style w:type="paragraph" w:styleId="Heading8">
    <w:name w:val="heading 8"/>
    <w:basedOn w:val="Normal"/>
    <w:next w:val="Normal"/>
    <w:qFormat/>
    <w:rsid w:val="002B658F"/>
    <w:pPr>
      <w:keepNext/>
      <w:jc w:val="center"/>
      <w:outlineLvl w:val="7"/>
    </w:pPr>
    <w:rPr>
      <w:rFonts w:ascii="Garamond" w:hAnsi="Garamond"/>
      <w:b/>
      <w:color w:val="C0C0C0"/>
      <w:spacing w:val="60"/>
      <w:sz w:val="56"/>
    </w:rPr>
  </w:style>
  <w:style w:type="paragraph" w:styleId="Heading9">
    <w:name w:val="heading 9"/>
    <w:basedOn w:val="Normal"/>
    <w:next w:val="Normal"/>
    <w:qFormat/>
    <w:rsid w:val="002B658F"/>
    <w:pPr>
      <w:keepNext/>
      <w:spacing w:before="0"/>
      <w:ind w:firstLine="2977"/>
      <w:outlineLvl w:val="8"/>
    </w:pPr>
    <w:rPr>
      <w:rFonts w:ascii="Garamond" w:hAnsi="Garamond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link w:val="TextChar1"/>
    <w:uiPriority w:val="99"/>
    <w:rsid w:val="00E4457F"/>
    <w:pPr>
      <w:spacing w:before="200" w:line="260" w:lineRule="exact"/>
    </w:pPr>
    <w:rPr>
      <w:rFonts w:ascii="Garamond" w:hAnsi="Garamond"/>
      <w:sz w:val="22"/>
    </w:rPr>
  </w:style>
  <w:style w:type="character" w:styleId="PageNumber">
    <w:name w:val="page number"/>
    <w:basedOn w:val="DefaultParagraphFont"/>
    <w:rsid w:val="002B658F"/>
    <w:rPr>
      <w:rFonts w:ascii="Garamond" w:hAnsi="Garamond"/>
      <w:sz w:val="18"/>
    </w:rPr>
  </w:style>
  <w:style w:type="paragraph" w:styleId="Footer">
    <w:name w:val="footer"/>
    <w:basedOn w:val="Normal"/>
    <w:rsid w:val="002B658F"/>
    <w:pPr>
      <w:tabs>
        <w:tab w:val="center" w:pos="4153"/>
        <w:tab w:val="right" w:pos="8306"/>
      </w:tabs>
      <w:spacing w:before="0"/>
    </w:pPr>
    <w:rPr>
      <w:rFonts w:ascii="Garamond" w:hAnsi="Garamond"/>
      <w:sz w:val="18"/>
    </w:rPr>
  </w:style>
  <w:style w:type="paragraph" w:styleId="TOC1">
    <w:name w:val="toc 1"/>
    <w:uiPriority w:val="39"/>
    <w:rsid w:val="002B658F"/>
    <w:pPr>
      <w:tabs>
        <w:tab w:val="left" w:pos="221"/>
        <w:tab w:val="right" w:pos="8222"/>
      </w:tabs>
      <w:spacing w:before="80"/>
      <w:ind w:left="2268"/>
    </w:pPr>
    <w:rPr>
      <w:rFonts w:ascii="Garamond" w:hAnsi="Garamond"/>
      <w:sz w:val="22"/>
    </w:rPr>
  </w:style>
  <w:style w:type="paragraph" w:styleId="TOC2">
    <w:name w:val="toc 2"/>
    <w:basedOn w:val="Normal"/>
    <w:next w:val="Normal"/>
    <w:uiPriority w:val="39"/>
    <w:rsid w:val="002B658F"/>
    <w:pPr>
      <w:tabs>
        <w:tab w:val="left" w:pos="709"/>
        <w:tab w:val="right" w:pos="8222"/>
      </w:tabs>
      <w:spacing w:before="20" w:after="20"/>
      <w:ind w:left="2552"/>
    </w:pPr>
    <w:rPr>
      <w:rFonts w:ascii="Garamond" w:hAnsi="Garamond"/>
      <w:sz w:val="20"/>
    </w:rPr>
  </w:style>
  <w:style w:type="paragraph" w:styleId="TOC3">
    <w:name w:val="toc 3"/>
    <w:basedOn w:val="Normal"/>
    <w:next w:val="Normal"/>
    <w:autoRedefine/>
    <w:semiHidden/>
    <w:rsid w:val="002B658F"/>
    <w:pPr>
      <w:ind w:left="440"/>
    </w:pPr>
  </w:style>
  <w:style w:type="paragraph" w:customStyle="1" w:styleId="tabletitle">
    <w:name w:val="tabletitle"/>
    <w:next w:val="Text"/>
    <w:rsid w:val="002B658F"/>
    <w:pPr>
      <w:tabs>
        <w:tab w:val="left" w:pos="992"/>
      </w:tabs>
      <w:spacing w:before="360" w:after="80"/>
    </w:pPr>
    <w:rPr>
      <w:rFonts w:ascii="Arial" w:hAnsi="Arial"/>
      <w:b/>
      <w:sz w:val="17"/>
    </w:rPr>
  </w:style>
  <w:style w:type="paragraph" w:customStyle="1" w:styleId="Tabletext">
    <w:name w:val="Table text"/>
    <w:next w:val="Text"/>
    <w:rsid w:val="002B658F"/>
    <w:pPr>
      <w:spacing w:before="80"/>
    </w:pPr>
    <w:rPr>
      <w:rFonts w:ascii="Arial" w:hAnsi="Arial"/>
      <w:sz w:val="16"/>
    </w:rPr>
  </w:style>
  <w:style w:type="paragraph" w:styleId="TOC4">
    <w:name w:val="toc 4"/>
    <w:basedOn w:val="Normal"/>
    <w:next w:val="Normal"/>
    <w:autoRedefine/>
    <w:semiHidden/>
    <w:rsid w:val="002B658F"/>
    <w:pPr>
      <w:ind w:left="660"/>
    </w:pPr>
  </w:style>
  <w:style w:type="paragraph" w:styleId="TOC5">
    <w:name w:val="toc 5"/>
    <w:basedOn w:val="Normal"/>
    <w:next w:val="Normal"/>
    <w:autoRedefine/>
    <w:semiHidden/>
    <w:rsid w:val="002B658F"/>
    <w:pPr>
      <w:ind w:left="880"/>
    </w:pPr>
  </w:style>
  <w:style w:type="paragraph" w:styleId="TOC6">
    <w:name w:val="toc 6"/>
    <w:basedOn w:val="Normal"/>
    <w:next w:val="Normal"/>
    <w:autoRedefine/>
    <w:semiHidden/>
    <w:rsid w:val="002B658F"/>
    <w:pPr>
      <w:ind w:left="1100"/>
    </w:pPr>
  </w:style>
  <w:style w:type="paragraph" w:styleId="TOC7">
    <w:name w:val="toc 7"/>
    <w:basedOn w:val="Normal"/>
    <w:next w:val="Normal"/>
    <w:autoRedefine/>
    <w:semiHidden/>
    <w:rsid w:val="002B658F"/>
    <w:pPr>
      <w:ind w:left="1320"/>
    </w:pPr>
  </w:style>
  <w:style w:type="paragraph" w:styleId="TOC8">
    <w:name w:val="toc 8"/>
    <w:basedOn w:val="Normal"/>
    <w:next w:val="Normal"/>
    <w:autoRedefine/>
    <w:semiHidden/>
    <w:rsid w:val="002B658F"/>
    <w:pPr>
      <w:ind w:left="1540"/>
    </w:pPr>
  </w:style>
  <w:style w:type="paragraph" w:styleId="TOC9">
    <w:name w:val="toc 9"/>
    <w:basedOn w:val="Normal"/>
    <w:next w:val="Normal"/>
    <w:autoRedefine/>
    <w:semiHidden/>
    <w:rsid w:val="002B658F"/>
    <w:pPr>
      <w:ind w:left="1760"/>
    </w:pPr>
  </w:style>
  <w:style w:type="paragraph" w:customStyle="1" w:styleId="Tablehead1">
    <w:name w:val="Tablehead1"/>
    <w:rsid w:val="002B658F"/>
    <w:pPr>
      <w:spacing w:before="80" w:after="80"/>
    </w:pPr>
    <w:rPr>
      <w:rFonts w:ascii="Arial" w:hAnsi="Arial"/>
      <w:b/>
      <w:sz w:val="17"/>
    </w:rPr>
  </w:style>
  <w:style w:type="paragraph" w:styleId="Quote">
    <w:name w:val="Quote"/>
    <w:basedOn w:val="Text"/>
    <w:qFormat/>
    <w:rsid w:val="002B658F"/>
    <w:pPr>
      <w:spacing w:before="80"/>
      <w:ind w:left="567" w:right="646"/>
    </w:pPr>
    <w:rPr>
      <w:sz w:val="20"/>
    </w:rPr>
  </w:style>
  <w:style w:type="paragraph" w:customStyle="1" w:styleId="References">
    <w:name w:val="References"/>
    <w:rsid w:val="002B658F"/>
    <w:pPr>
      <w:ind w:left="284" w:hanging="284"/>
    </w:pPr>
    <w:rPr>
      <w:rFonts w:ascii="Garamond" w:hAnsi="Garamond"/>
    </w:rPr>
  </w:style>
  <w:style w:type="paragraph" w:customStyle="1" w:styleId="Tablehead2">
    <w:name w:val="Tablehead2"/>
    <w:basedOn w:val="Tablehead1"/>
    <w:rsid w:val="002B658F"/>
    <w:pPr>
      <w:tabs>
        <w:tab w:val="left" w:pos="992"/>
      </w:tabs>
      <w:spacing w:before="20" w:after="20"/>
    </w:pPr>
    <w:rPr>
      <w:b w:val="0"/>
    </w:rPr>
  </w:style>
  <w:style w:type="paragraph" w:customStyle="1" w:styleId="Tablehead3">
    <w:name w:val="Tablehead3"/>
    <w:basedOn w:val="Tablehead2"/>
    <w:rsid w:val="002B658F"/>
    <w:rPr>
      <w:i/>
    </w:rPr>
  </w:style>
  <w:style w:type="paragraph" w:styleId="TableofFigures">
    <w:name w:val="table of figures"/>
    <w:basedOn w:val="Normal"/>
    <w:next w:val="Normal"/>
    <w:uiPriority w:val="99"/>
    <w:rsid w:val="002B658F"/>
    <w:pPr>
      <w:tabs>
        <w:tab w:val="left" w:pos="3260"/>
        <w:tab w:val="right" w:pos="8222"/>
      </w:tabs>
      <w:spacing w:before="0"/>
      <w:ind w:left="2671" w:hanging="403"/>
    </w:pPr>
    <w:rPr>
      <w:rFonts w:ascii="Garamond" w:hAnsi="Garamond"/>
      <w:sz w:val="22"/>
    </w:rPr>
  </w:style>
  <w:style w:type="paragraph" w:styleId="Header">
    <w:name w:val="header"/>
    <w:basedOn w:val="Normal"/>
    <w:rsid w:val="002B658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2B658F"/>
    <w:pPr>
      <w:spacing w:line="260" w:lineRule="atLeast"/>
      <w:ind w:right="1508"/>
    </w:pPr>
    <w:rPr>
      <w:rFonts w:ascii="Garamond" w:hAnsi="Garamond"/>
      <w:sz w:val="16"/>
    </w:rPr>
  </w:style>
  <w:style w:type="paragraph" w:customStyle="1" w:styleId="Figuretitle">
    <w:name w:val="Figuretitle"/>
    <w:basedOn w:val="tabletitle"/>
    <w:rsid w:val="002B658F"/>
  </w:style>
  <w:style w:type="character" w:styleId="FollowedHyperlink">
    <w:name w:val="FollowedHyperlink"/>
    <w:basedOn w:val="DefaultParagraphFont"/>
    <w:rsid w:val="002B658F"/>
    <w:rPr>
      <w:color w:val="000000"/>
      <w:u w:val="single"/>
    </w:rPr>
  </w:style>
  <w:style w:type="character" w:styleId="Hyperlink">
    <w:name w:val="Hyperlink"/>
    <w:basedOn w:val="DefaultParagraphFont"/>
    <w:rsid w:val="002B658F"/>
    <w:rPr>
      <w:color w:val="000000"/>
      <w:u w:val="single"/>
    </w:rPr>
  </w:style>
  <w:style w:type="paragraph" w:customStyle="1" w:styleId="Dotpoint1">
    <w:name w:val="Dotpoint1"/>
    <w:rsid w:val="002B658F"/>
    <w:pPr>
      <w:numPr>
        <w:numId w:val="39"/>
      </w:numPr>
      <w:tabs>
        <w:tab w:val="clear" w:pos="360"/>
        <w:tab w:val="left" w:pos="284"/>
      </w:tabs>
      <w:spacing w:before="120"/>
      <w:ind w:left="284" w:hanging="284"/>
    </w:pPr>
    <w:rPr>
      <w:rFonts w:ascii="Garamond" w:hAnsi="Garamond"/>
      <w:sz w:val="22"/>
    </w:rPr>
  </w:style>
  <w:style w:type="paragraph" w:customStyle="1" w:styleId="Dotpoint2">
    <w:name w:val="Dotpoint2"/>
    <w:rsid w:val="002B658F"/>
    <w:pPr>
      <w:numPr>
        <w:numId w:val="42"/>
      </w:numPr>
      <w:tabs>
        <w:tab w:val="clear" w:pos="0"/>
        <w:tab w:val="left" w:pos="284"/>
        <w:tab w:val="left" w:pos="567"/>
      </w:tabs>
      <w:ind w:left="568" w:hanging="284"/>
    </w:pPr>
    <w:rPr>
      <w:rFonts w:ascii="Garamond" w:hAnsi="Garamond"/>
      <w:sz w:val="22"/>
    </w:rPr>
  </w:style>
  <w:style w:type="paragraph" w:customStyle="1" w:styleId="contents">
    <w:name w:val="contents"/>
    <w:rsid w:val="00C051F1"/>
    <w:pPr>
      <w:pBdr>
        <w:bottom w:val="single" w:sz="4" w:space="1" w:color="auto"/>
      </w:pBdr>
      <w:jc w:val="right"/>
    </w:pPr>
    <w:rPr>
      <w:rFonts w:ascii="Garamond" w:hAnsi="Garamond"/>
      <w:kern w:val="28"/>
      <w:sz w:val="60"/>
    </w:rPr>
  </w:style>
  <w:style w:type="paragraph" w:styleId="BodyTextIndent">
    <w:name w:val="Body Text Indent"/>
    <w:basedOn w:val="Normal"/>
    <w:rsid w:val="002B658F"/>
    <w:pPr>
      <w:ind w:left="2977"/>
    </w:pPr>
    <w:rPr>
      <w:sz w:val="36"/>
    </w:rPr>
  </w:style>
  <w:style w:type="paragraph" w:customStyle="1" w:styleId="Source">
    <w:name w:val="Source"/>
    <w:rsid w:val="002B658F"/>
    <w:pPr>
      <w:spacing w:before="40"/>
    </w:pPr>
    <w:rPr>
      <w:rFonts w:ascii="Arial" w:hAnsi="Arial"/>
      <w:sz w:val="15"/>
    </w:rPr>
  </w:style>
  <w:style w:type="paragraph" w:customStyle="1" w:styleId="NumberedListContinuing">
    <w:name w:val="NumberedListContinuing"/>
    <w:rsid w:val="00E4457F"/>
    <w:pPr>
      <w:numPr>
        <w:numId w:val="43"/>
      </w:numPr>
      <w:spacing w:before="120"/>
      <w:ind w:left="284" w:hanging="284"/>
    </w:pPr>
    <w:rPr>
      <w:rFonts w:ascii="Garamond" w:hAnsi="Garamond"/>
      <w:sz w:val="22"/>
    </w:rPr>
  </w:style>
  <w:style w:type="paragraph" w:customStyle="1" w:styleId="Imprint">
    <w:name w:val="Imprint"/>
    <w:basedOn w:val="Normal"/>
    <w:rsid w:val="00C2187C"/>
    <w:pPr>
      <w:spacing w:line="260" w:lineRule="atLeast"/>
    </w:pPr>
    <w:rPr>
      <w:rFonts w:ascii="Garamond" w:hAnsi="Garamond"/>
      <w:sz w:val="16"/>
    </w:rPr>
  </w:style>
  <w:style w:type="paragraph" w:styleId="FootnoteText">
    <w:name w:val="footnote text"/>
    <w:basedOn w:val="Normal"/>
    <w:rsid w:val="005650D7"/>
    <w:pPr>
      <w:ind w:left="198" w:hanging="198"/>
    </w:pPr>
    <w:rPr>
      <w:rFonts w:ascii="Garamond" w:hAnsi="Garamond"/>
      <w:sz w:val="18"/>
    </w:rPr>
  </w:style>
  <w:style w:type="paragraph" w:customStyle="1" w:styleId="Abstract">
    <w:name w:val="Abstract"/>
    <w:basedOn w:val="Text"/>
    <w:rsid w:val="00CF68EF"/>
    <w:pPr>
      <w:spacing w:before="120"/>
      <w:ind w:firstLine="2977"/>
    </w:pPr>
    <w:rPr>
      <w:smallCaps/>
      <w:sz w:val="20"/>
    </w:rPr>
  </w:style>
  <w:style w:type="table" w:styleId="TableGrid">
    <w:name w:val="Table Grid"/>
    <w:basedOn w:val="TableNormal"/>
    <w:rsid w:val="00CF68EF"/>
    <w:pPr>
      <w:spacing w:before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outresearch">
    <w:name w:val="About research"/>
    <w:basedOn w:val="contents"/>
    <w:rsid w:val="000C13AF"/>
    <w:pPr>
      <w:pBdr>
        <w:bottom w:val="none" w:sz="0" w:space="0" w:color="auto"/>
      </w:pBdr>
      <w:spacing w:before="560"/>
      <w:jc w:val="left"/>
      <w:outlineLvl w:val="0"/>
    </w:pPr>
  </w:style>
  <w:style w:type="paragraph" w:customStyle="1" w:styleId="AboutTitle">
    <w:name w:val="AboutTitle"/>
    <w:rsid w:val="004E2A45"/>
    <w:pPr>
      <w:spacing w:before="440"/>
    </w:pPr>
    <w:rPr>
      <w:rFonts w:ascii="Garamond" w:hAnsi="Garamond"/>
      <w:i/>
      <w:sz w:val="32"/>
      <w:szCs w:val="32"/>
    </w:rPr>
  </w:style>
  <w:style w:type="paragraph" w:customStyle="1" w:styleId="Aboutauthor">
    <w:name w:val="Aboutauthor"/>
    <w:rsid w:val="004E2A45"/>
    <w:pPr>
      <w:spacing w:before="120"/>
    </w:pPr>
    <w:rPr>
      <w:rFonts w:ascii="Garamond" w:hAnsi="Garamond"/>
      <w:sz w:val="32"/>
      <w:szCs w:val="32"/>
    </w:rPr>
  </w:style>
  <w:style w:type="paragraph" w:styleId="BalloonText">
    <w:name w:val="Balloon Text"/>
    <w:basedOn w:val="Normal"/>
    <w:link w:val="BalloonTextChar"/>
    <w:rsid w:val="005E456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456B"/>
    <w:rPr>
      <w:rFonts w:ascii="Tahoma" w:hAnsi="Tahoma" w:cs="Tahoma"/>
      <w:sz w:val="16"/>
      <w:szCs w:val="16"/>
    </w:rPr>
  </w:style>
  <w:style w:type="character" w:customStyle="1" w:styleId="TextChar1">
    <w:name w:val="Text Char1"/>
    <w:basedOn w:val="DefaultParagraphFont"/>
    <w:link w:val="Text"/>
    <w:uiPriority w:val="99"/>
    <w:locked/>
    <w:rsid w:val="009425D3"/>
    <w:rPr>
      <w:rFonts w:ascii="Garamond" w:hAnsi="Garamond"/>
      <w:sz w:val="22"/>
    </w:rPr>
  </w:style>
  <w:style w:type="character" w:styleId="FootnoteReference">
    <w:name w:val="footnote reference"/>
    <w:basedOn w:val="DefaultParagraphFont"/>
    <w:rsid w:val="00D810B6"/>
    <w:rPr>
      <w:vertAlign w:val="superscript"/>
    </w:rPr>
  </w:style>
  <w:style w:type="paragraph" w:styleId="Revision">
    <w:name w:val="Revision"/>
    <w:hidden/>
    <w:uiPriority w:val="99"/>
    <w:semiHidden/>
    <w:rsid w:val="0049257E"/>
    <w:rPr>
      <w:sz w:val="24"/>
    </w:rPr>
  </w:style>
  <w:style w:type="paragraph" w:customStyle="1" w:styleId="StyleTextBefore15pt">
    <w:name w:val="Style Text + Before:  15 pt"/>
    <w:basedOn w:val="Text"/>
    <w:rsid w:val="00AF224A"/>
    <w:pPr>
      <w:spacing w:before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oleObject" Target="embeddings/oleObject5.bin"/><Relationship Id="rId34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chart" Target="charts/chart2.xm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chart" Target="charts/chart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cver.edu.au\data\users\PeterMlotkowski\private\cot\completion%20rates\calculation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cver.edu.au\data\users\PeterMlotkowski\private\cot\completion%20rates\calculation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turn\appdata$\PeterMlotkowski\AppData\Roaming\Hummingbird\DM\Temp\NCVER_DMS-%2390770-v1-Technical_paper_-_life_table_completion_and_attrition_rates_-_supporting_doc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turn\appdata$\PeterMlotkowski\AppData\Roaming\Hummingbird\DM\Temp\NCVER_DMS-%2390770-v1-Technical_paper_-_life_table_completion_and_attrition_rates_-_supporting_do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turn\appdata$\PeterMlotkowski\AppData\Roaming\Hummingbird\DM\Temp\NCVER_DMS-%2390770-v1-Technical_paper_-_life_table_completion_and_attrition_rates_-_supporting_doc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turn\appdata$\PeterMlotkowski\AppData\Roaming\Hummingbird\DM\Temp\NCVER_DMS-%2390770-v1-Technical_paper_-_life_table_completion_and_attrition_rates_-_supporting_do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Completion rates</a:t>
            </a:r>
          </a:p>
        </c:rich>
      </c:tx>
      <c:layout>
        <c:manualLayout>
          <c:xMode val="edge"/>
          <c:yMode val="edge"/>
          <c:x val="0.35611807585101257"/>
          <c:y val="2.6315789473684216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'test - paper'!$D$172</c:f>
              <c:strCache>
                <c:ptCount val="1"/>
                <c:pt idx="0">
                  <c:v>Cross-sectional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'test - paper'!$C$173:$C$191</c:f>
              <c:numCache>
                <c:formatCode>General</c:formatCode>
                <c:ptCount val="19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</c:numCache>
            </c:numRef>
          </c:cat>
          <c:val>
            <c:numRef>
              <c:f>'test - paper'!$D$173:$D$191</c:f>
              <c:numCache>
                <c:formatCode>General</c:formatCode>
                <c:ptCount val="19"/>
                <c:pt idx="0">
                  <c:v>0</c:v>
                </c:pt>
                <c:pt idx="1">
                  <c:v>5.5152035618449391E-4</c:v>
                </c:pt>
                <c:pt idx="2">
                  <c:v>7.2697067287389033E-3</c:v>
                </c:pt>
                <c:pt idx="3">
                  <c:v>2.5085372803618024E-2</c:v>
                </c:pt>
                <c:pt idx="4">
                  <c:v>7.0819808042288851E-2</c:v>
                </c:pt>
                <c:pt idx="5">
                  <c:v>0.1850818640759152</c:v>
                </c:pt>
                <c:pt idx="6">
                  <c:v>0.23703571322456277</c:v>
                </c:pt>
                <c:pt idx="7">
                  <c:v>0.26342294869710936</c:v>
                </c:pt>
                <c:pt idx="8">
                  <c:v>0.28710126885502418</c:v>
                </c:pt>
                <c:pt idx="9">
                  <c:v>0.36348284056491598</c:v>
                </c:pt>
                <c:pt idx="10">
                  <c:v>0.37895802573914261</c:v>
                </c:pt>
                <c:pt idx="11">
                  <c:v>0.38798006959118414</c:v>
                </c:pt>
                <c:pt idx="12">
                  <c:v>0.39584226221583441</c:v>
                </c:pt>
                <c:pt idx="13">
                  <c:v>0.40751538577211038</c:v>
                </c:pt>
                <c:pt idx="14">
                  <c:v>0.41176454854322064</c:v>
                </c:pt>
                <c:pt idx="15">
                  <c:v>0.41953324852809093</c:v>
                </c:pt>
                <c:pt idx="16">
                  <c:v>0.4255229849982845</c:v>
                </c:pt>
                <c:pt idx="17">
                  <c:v>0.45595154703224638</c:v>
                </c:pt>
                <c:pt idx="18">
                  <c:v>0.45758326310540925</c:v>
                </c:pt>
              </c:numCache>
            </c:numRef>
          </c:val>
        </c:ser>
        <c:ser>
          <c:idx val="1"/>
          <c:order val="1"/>
          <c:tx>
            <c:strRef>
              <c:f>'test - paper'!$E$172</c:f>
              <c:strCache>
                <c:ptCount val="1"/>
                <c:pt idx="0">
                  <c:v>Actual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'test - paper'!$C$173:$C$191</c:f>
              <c:numCache>
                <c:formatCode>General</c:formatCode>
                <c:ptCount val="19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</c:numCache>
            </c:numRef>
          </c:cat>
          <c:val>
            <c:numRef>
              <c:f>'test - paper'!$E$173:$E$191</c:f>
              <c:numCache>
                <c:formatCode>General</c:formatCode>
                <c:ptCount val="19"/>
                <c:pt idx="0">
                  <c:v>0</c:v>
                </c:pt>
                <c:pt idx="1">
                  <c:v>6.3337603817505595E-4</c:v>
                </c:pt>
                <c:pt idx="2">
                  <c:v>9.6877744020865634E-3</c:v>
                </c:pt>
                <c:pt idx="3">
                  <c:v>3.2460521956471325E-2</c:v>
                </c:pt>
                <c:pt idx="4">
                  <c:v>8.2986655910890147E-2</c:v>
                </c:pt>
                <c:pt idx="5">
                  <c:v>0.18644287378280242</c:v>
                </c:pt>
                <c:pt idx="6">
                  <c:v>0.23807741580402644</c:v>
                </c:pt>
                <c:pt idx="7">
                  <c:v>0.27243806587502412</c:v>
                </c:pt>
                <c:pt idx="8">
                  <c:v>0.30279693097755095</c:v>
                </c:pt>
                <c:pt idx="9">
                  <c:v>0.36803466290958153</c:v>
                </c:pt>
                <c:pt idx="10">
                  <c:v>0.38250154741789638</c:v>
                </c:pt>
                <c:pt idx="11">
                  <c:v>0.39361441790587992</c:v>
                </c:pt>
                <c:pt idx="12">
                  <c:v>0.4018195165822353</c:v>
                </c:pt>
                <c:pt idx="13">
                  <c:v>0.41585455379179598</c:v>
                </c:pt>
                <c:pt idx="14">
                  <c:v>0.42670831590052338</c:v>
                </c:pt>
                <c:pt idx="15">
                  <c:v>0.43874246062585126</c:v>
                </c:pt>
                <c:pt idx="16">
                  <c:v>0.44958369916291363</c:v>
                </c:pt>
                <c:pt idx="17">
                  <c:v>0.47950020868241472</c:v>
                </c:pt>
                <c:pt idx="18">
                  <c:v>0.48256762004547532</c:v>
                </c:pt>
              </c:numCache>
            </c:numRef>
          </c:val>
        </c:ser>
        <c:marker val="1"/>
        <c:axId val="167392384"/>
        <c:axId val="167394688"/>
      </c:lineChart>
      <c:catAx>
        <c:axId val="1673923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5620445744197327"/>
              <c:y val="0.88949544135930381"/>
            </c:manualLayout>
          </c:layout>
        </c:title>
        <c:numFmt formatCode="General" sourceLinked="1"/>
        <c:tickLblPos val="nextTo"/>
        <c:crossAx val="167394688"/>
        <c:crosses val="autoZero"/>
        <c:auto val="1"/>
        <c:lblAlgn val="ctr"/>
        <c:lblOffset val="100"/>
      </c:catAx>
      <c:valAx>
        <c:axId val="167394688"/>
        <c:scaling>
          <c:orientation val="minMax"/>
          <c:max val="0.5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/>
        </c:title>
        <c:numFmt formatCode="General" sourceLinked="1"/>
        <c:tickLblPos val="nextTo"/>
        <c:crossAx val="167392384"/>
        <c:crosses val="autoZero"/>
        <c:crossBetween val="midCat"/>
        <c:majorUnit val="0.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Attrition rates</a:t>
            </a:r>
          </a:p>
        </c:rich>
      </c:tx>
      <c:layout>
        <c:manualLayout>
          <c:xMode val="edge"/>
          <c:yMode val="edge"/>
          <c:x val="0.37257919959287278"/>
          <c:y val="2.6490066225165611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'test - paper'!$H$172</c:f>
              <c:strCache>
                <c:ptCount val="1"/>
                <c:pt idx="0">
                  <c:v>Cross-sectional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'test - paper'!$G$173:$G$191</c:f>
              <c:numCache>
                <c:formatCode>General</c:formatCode>
                <c:ptCount val="19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</c:numCache>
            </c:numRef>
          </c:cat>
          <c:val>
            <c:numRef>
              <c:f>'test - paper'!$H$173:$H$191</c:f>
              <c:numCache>
                <c:formatCode>General</c:formatCode>
                <c:ptCount val="19"/>
                <c:pt idx="0">
                  <c:v>0</c:v>
                </c:pt>
                <c:pt idx="1">
                  <c:v>5.3362396901684095E-2</c:v>
                </c:pt>
                <c:pt idx="2">
                  <c:v>0.16843732869020794</c:v>
                </c:pt>
                <c:pt idx="3">
                  <c:v>0.24818792761258887</c:v>
                </c:pt>
                <c:pt idx="4">
                  <c:v>0.30938675687777834</c:v>
                </c:pt>
                <c:pt idx="5">
                  <c:v>0.35057251258587235</c:v>
                </c:pt>
                <c:pt idx="6">
                  <c:v>0.37687404458031132</c:v>
                </c:pt>
                <c:pt idx="7">
                  <c:v>0.39647185296530391</c:v>
                </c:pt>
                <c:pt idx="8">
                  <c:v>0.41283476458387708</c:v>
                </c:pt>
                <c:pt idx="9">
                  <c:v>0.42589854616128148</c:v>
                </c:pt>
                <c:pt idx="10">
                  <c:v>0.43240411230237502</c:v>
                </c:pt>
                <c:pt idx="11">
                  <c:v>0.4379682152083415</c:v>
                </c:pt>
                <c:pt idx="12">
                  <c:v>0.44214142895634923</c:v>
                </c:pt>
                <c:pt idx="13">
                  <c:v>0.44551798259809983</c:v>
                </c:pt>
                <c:pt idx="14">
                  <c:v>0.44733899404186239</c:v>
                </c:pt>
                <c:pt idx="15">
                  <c:v>0.4494410137268306</c:v>
                </c:pt>
                <c:pt idx="16">
                  <c:v>0.45010538132924904</c:v>
                </c:pt>
                <c:pt idx="17">
                  <c:v>0.45055881889729282</c:v>
                </c:pt>
                <c:pt idx="18">
                  <c:v>0.4506049681062233</c:v>
                </c:pt>
              </c:numCache>
            </c:numRef>
          </c:val>
        </c:ser>
        <c:ser>
          <c:idx val="1"/>
          <c:order val="1"/>
          <c:tx>
            <c:strRef>
              <c:f>'test - paper'!$I$172</c:f>
              <c:strCache>
                <c:ptCount val="1"/>
                <c:pt idx="0">
                  <c:v>Actual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'test - paper'!$G$173:$G$191</c:f>
              <c:numCache>
                <c:formatCode>General</c:formatCode>
                <c:ptCount val="19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</c:numCache>
            </c:numRef>
          </c:cat>
          <c:val>
            <c:numRef>
              <c:f>'test - paper'!$I$173:$I$191</c:f>
              <c:numCache>
                <c:formatCode>General</c:formatCode>
                <c:ptCount val="19"/>
                <c:pt idx="0">
                  <c:v>0</c:v>
                </c:pt>
                <c:pt idx="1">
                  <c:v>5.470065784239124E-2</c:v>
                </c:pt>
                <c:pt idx="2">
                  <c:v>0.15522031408276388</c:v>
                </c:pt>
                <c:pt idx="3">
                  <c:v>0.24350429685839095</c:v>
                </c:pt>
                <c:pt idx="4">
                  <c:v>0.30132865016178156</c:v>
                </c:pt>
                <c:pt idx="5">
                  <c:v>0.34282917557220677</c:v>
                </c:pt>
                <c:pt idx="6">
                  <c:v>0.37254026972659782</c:v>
                </c:pt>
                <c:pt idx="7">
                  <c:v>0.39606155259882581</c:v>
                </c:pt>
                <c:pt idx="8">
                  <c:v>0.41254372450133386</c:v>
                </c:pt>
                <c:pt idx="9">
                  <c:v>0.42565748747355081</c:v>
                </c:pt>
                <c:pt idx="10">
                  <c:v>0.43338755412127838</c:v>
                </c:pt>
                <c:pt idx="11">
                  <c:v>0.43923188756443882</c:v>
                </c:pt>
                <c:pt idx="12">
                  <c:v>0.44346168790665302</c:v>
                </c:pt>
                <c:pt idx="13">
                  <c:v>0.44684607518699998</c:v>
                </c:pt>
                <c:pt idx="14">
                  <c:v>0.44884437658744414</c:v>
                </c:pt>
                <c:pt idx="15">
                  <c:v>0.45009270317904776</c:v>
                </c:pt>
                <c:pt idx="16">
                  <c:v>0.45103744111962335</c:v>
                </c:pt>
                <c:pt idx="17">
                  <c:v>0.45141487565873722</c:v>
                </c:pt>
                <c:pt idx="18">
                  <c:v>0.45157955342866135</c:v>
                </c:pt>
              </c:numCache>
            </c:numRef>
          </c:val>
        </c:ser>
        <c:marker val="1"/>
        <c:axId val="166596992"/>
        <c:axId val="166598912"/>
      </c:lineChart>
      <c:catAx>
        <c:axId val="1665969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5723697912985658"/>
              <c:y val="0.8843486120526326"/>
            </c:manualLayout>
          </c:layout>
        </c:title>
        <c:numFmt formatCode="General" sourceLinked="1"/>
        <c:tickLblPos val="nextTo"/>
        <c:crossAx val="166598912"/>
        <c:crosses val="autoZero"/>
        <c:auto val="1"/>
        <c:lblAlgn val="ctr"/>
        <c:lblOffset val="100"/>
      </c:catAx>
      <c:valAx>
        <c:axId val="1665989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/>
        </c:title>
        <c:numFmt formatCode="General" sourceLinked="1"/>
        <c:tickLblPos val="nextTo"/>
        <c:crossAx val="166596992"/>
        <c:crosses val="autoZero"/>
        <c:crossBetween val="midCat"/>
        <c:majorUnit val="0.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Cross-sectional completion rates, trades</a:t>
            </a:r>
          </a:p>
        </c:rich>
      </c:tx>
      <c:layout>
        <c:manualLayout>
          <c:xMode val="edge"/>
          <c:yMode val="edge"/>
          <c:x val="0.27397640230036385"/>
          <c:y val="2.816899325792519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Trades!$C$263</c:f>
              <c:strCache>
                <c:ptCount val="1"/>
                <c:pt idx="0">
                  <c:v>2007, Q4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Trades!$B$264:$B$284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Trades!$C$264:$C$284</c:f>
              <c:numCache>
                <c:formatCode>0.0000</c:formatCode>
                <c:ptCount val="21"/>
                <c:pt idx="0">
                  <c:v>0</c:v>
                </c:pt>
                <c:pt idx="1">
                  <c:v>1.487196170352106E-3</c:v>
                </c:pt>
                <c:pt idx="2">
                  <c:v>9.4063824175578768E-3</c:v>
                </c:pt>
                <c:pt idx="3">
                  <c:v>2.2143563346219846E-2</c:v>
                </c:pt>
                <c:pt idx="4">
                  <c:v>3.3156957036400321E-2</c:v>
                </c:pt>
                <c:pt idx="5">
                  <c:v>5.6985776988992383E-2</c:v>
                </c:pt>
                <c:pt idx="6">
                  <c:v>7.7315452575410989E-2</c:v>
                </c:pt>
                <c:pt idx="7">
                  <c:v>9.9539158947134526E-2</c:v>
                </c:pt>
                <c:pt idx="8">
                  <c:v>0.11100901279203335</c:v>
                </c:pt>
                <c:pt idx="9">
                  <c:v>0.13081336161778134</c:v>
                </c:pt>
                <c:pt idx="10">
                  <c:v>0.14911815549663587</c:v>
                </c:pt>
                <c:pt idx="11">
                  <c:v>0.16863448963444344</c:v>
                </c:pt>
                <c:pt idx="12">
                  <c:v>0.18066024409770295</c:v>
                </c:pt>
                <c:pt idx="13">
                  <c:v>0.2145036352370549</c:v>
                </c:pt>
                <c:pt idx="14">
                  <c:v>0.2379277182008962</c:v>
                </c:pt>
                <c:pt idx="15">
                  <c:v>0.26918317730123337</c:v>
                </c:pt>
                <c:pt idx="16">
                  <c:v>0.30081882424239464</c:v>
                </c:pt>
                <c:pt idx="17">
                  <c:v>0.41914261898637734</c:v>
                </c:pt>
                <c:pt idx="18">
                  <c:v>0.42742420766878736</c:v>
                </c:pt>
                <c:pt idx="19">
                  <c:v>0.43056557657314831</c:v>
                </c:pt>
                <c:pt idx="20">
                  <c:v>0.43312589712873911</c:v>
                </c:pt>
              </c:numCache>
            </c:numRef>
          </c:val>
        </c:ser>
        <c:ser>
          <c:idx val="1"/>
          <c:order val="1"/>
          <c:tx>
            <c:strRef>
              <c:f>Trades!$D$263</c:f>
              <c:strCache>
                <c:ptCount val="1"/>
                <c:pt idx="0">
                  <c:v>2008, Q4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Trades!$B$264:$B$284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Trades!$D$264:$D$284</c:f>
              <c:numCache>
                <c:formatCode>0.0000</c:formatCode>
                <c:ptCount val="21"/>
                <c:pt idx="0">
                  <c:v>0</c:v>
                </c:pt>
                <c:pt idx="1">
                  <c:v>2.2562703324915611E-3</c:v>
                </c:pt>
                <c:pt idx="2">
                  <c:v>1.254372339644722E-2</c:v>
                </c:pt>
                <c:pt idx="3">
                  <c:v>2.819541215200904E-2</c:v>
                </c:pt>
                <c:pt idx="4">
                  <c:v>4.0632669760455362E-2</c:v>
                </c:pt>
                <c:pt idx="5">
                  <c:v>6.4022311768018814E-2</c:v>
                </c:pt>
                <c:pt idx="6">
                  <c:v>8.4696905454091226E-2</c:v>
                </c:pt>
                <c:pt idx="7">
                  <c:v>0.10623457193754841</c:v>
                </c:pt>
                <c:pt idx="8">
                  <c:v>0.11916271273717363</c:v>
                </c:pt>
                <c:pt idx="9">
                  <c:v>0.13888220701296894</c:v>
                </c:pt>
                <c:pt idx="10">
                  <c:v>0.15884962149491341</c:v>
                </c:pt>
                <c:pt idx="11">
                  <c:v>0.17643339271551561</c:v>
                </c:pt>
                <c:pt idx="12">
                  <c:v>0.18974006244953984</c:v>
                </c:pt>
                <c:pt idx="13">
                  <c:v>0.22419261005628047</c:v>
                </c:pt>
                <c:pt idx="14">
                  <c:v>0.25358997654334947</c:v>
                </c:pt>
                <c:pt idx="15">
                  <c:v>0.28790340475796938</c:v>
                </c:pt>
                <c:pt idx="16">
                  <c:v>0.31869623880905118</c:v>
                </c:pt>
                <c:pt idx="17">
                  <c:v>0.43404952512584843</c:v>
                </c:pt>
                <c:pt idx="18">
                  <c:v>0.4408578018463668</c:v>
                </c:pt>
                <c:pt idx="19">
                  <c:v>0.44462436802083388</c:v>
                </c:pt>
                <c:pt idx="20">
                  <c:v>0.44679166889259975</c:v>
                </c:pt>
              </c:numCache>
            </c:numRef>
          </c:val>
        </c:ser>
        <c:ser>
          <c:idx val="2"/>
          <c:order val="2"/>
          <c:tx>
            <c:strRef>
              <c:f>Trades!$E$263</c:f>
              <c:strCache>
                <c:ptCount val="1"/>
                <c:pt idx="0">
                  <c:v>2009, Q4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none"/>
          </c:marker>
          <c:cat>
            <c:numRef>
              <c:f>Trades!$B$264:$B$284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Trades!$E$264:$E$284</c:f>
              <c:numCache>
                <c:formatCode>0.0000</c:formatCode>
                <c:ptCount val="21"/>
                <c:pt idx="0">
                  <c:v>0</c:v>
                </c:pt>
                <c:pt idx="1">
                  <c:v>1.6618220438169571E-3</c:v>
                </c:pt>
                <c:pt idx="2">
                  <c:v>1.5015217588669916E-2</c:v>
                </c:pt>
                <c:pt idx="3">
                  <c:v>3.3519657179381018E-2</c:v>
                </c:pt>
                <c:pt idx="4">
                  <c:v>5.0173503702813309E-2</c:v>
                </c:pt>
                <c:pt idx="5">
                  <c:v>7.6096231832859032E-2</c:v>
                </c:pt>
                <c:pt idx="6">
                  <c:v>0.10069329975334014</c:v>
                </c:pt>
                <c:pt idx="7">
                  <c:v>0.12529941826447441</c:v>
                </c:pt>
                <c:pt idx="8">
                  <c:v>0.13585573378420571</c:v>
                </c:pt>
                <c:pt idx="9">
                  <c:v>0.15964422649524582</c:v>
                </c:pt>
                <c:pt idx="10">
                  <c:v>0.17632997879342849</c:v>
                </c:pt>
                <c:pt idx="11">
                  <c:v>0.19712876946673488</c:v>
                </c:pt>
                <c:pt idx="12">
                  <c:v>0.21153496846659359</c:v>
                </c:pt>
                <c:pt idx="13">
                  <c:v>0.24817609413338271</c:v>
                </c:pt>
                <c:pt idx="14">
                  <c:v>0.27044159761357267</c:v>
                </c:pt>
                <c:pt idx="15">
                  <c:v>0.30258914808540682</c:v>
                </c:pt>
                <c:pt idx="16">
                  <c:v>0.33027193785706443</c:v>
                </c:pt>
                <c:pt idx="17">
                  <c:v>0.43399089791121265</c:v>
                </c:pt>
                <c:pt idx="18">
                  <c:v>0.44032513529785827</c:v>
                </c:pt>
                <c:pt idx="19">
                  <c:v>0.44285696591680546</c:v>
                </c:pt>
                <c:pt idx="20">
                  <c:v>0.44519210264423825</c:v>
                </c:pt>
              </c:numCache>
            </c:numRef>
          </c:val>
        </c:ser>
        <c:marker val="1"/>
        <c:axId val="166636544"/>
        <c:axId val="166642816"/>
      </c:lineChart>
      <c:catAx>
        <c:axId val="1666365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8147303015694639"/>
              <c:y val="0.87407240096676553"/>
            </c:manualLayout>
          </c:layout>
        </c:title>
        <c:numFmt formatCode="General" sourceLinked="1"/>
        <c:tickLblPos val="nextTo"/>
        <c:crossAx val="166642816"/>
        <c:crosses val="autoZero"/>
        <c:auto val="1"/>
        <c:lblAlgn val="ctr"/>
        <c:lblOffset val="100"/>
      </c:catAx>
      <c:valAx>
        <c:axId val="166642816"/>
        <c:scaling>
          <c:orientation val="minMax"/>
          <c:max val="0.5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>
            <c:manualLayout>
              <c:xMode val="edge"/>
              <c:yMode val="edge"/>
              <c:x val="1.2368583797155325E-2"/>
              <c:y val="0.29352497613768741"/>
            </c:manualLayout>
          </c:layout>
        </c:title>
        <c:numFmt formatCode="0.0" sourceLinked="0"/>
        <c:tickLblPos val="nextTo"/>
        <c:crossAx val="166636544"/>
        <c:crosses val="autoZero"/>
        <c:crossBetween val="midCat"/>
        <c:majorUnit val="0.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Cross-sectional attrition rates, trades</a:t>
            </a:r>
          </a:p>
        </c:rich>
      </c:tx>
      <c:layout>
        <c:manualLayout>
          <c:xMode val="edge"/>
          <c:yMode val="edge"/>
          <c:x val="0.28823166974738135"/>
          <c:y val="2.8469740252850151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Trades!$C$289</c:f>
              <c:strCache>
                <c:ptCount val="1"/>
                <c:pt idx="0">
                  <c:v>2007, Q4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Trades!$B$290:$B$310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Trades!$C$290:$C$310</c:f>
              <c:numCache>
                <c:formatCode>0.0000</c:formatCode>
                <c:ptCount val="21"/>
                <c:pt idx="0">
                  <c:v>0</c:v>
                </c:pt>
                <c:pt idx="1">
                  <c:v>4.8426825297090463E-2</c:v>
                </c:pt>
                <c:pt idx="2">
                  <c:v>0.15211190862116203</c:v>
                </c:pt>
                <c:pt idx="3">
                  <c:v>0.22828814960149363</c:v>
                </c:pt>
                <c:pt idx="4">
                  <c:v>0.27973877982576983</c:v>
                </c:pt>
                <c:pt idx="5">
                  <c:v>0.33219095090853656</c:v>
                </c:pt>
                <c:pt idx="6">
                  <c:v>0.37687695280139027</c:v>
                </c:pt>
                <c:pt idx="7">
                  <c:v>0.41120760368905312</c:v>
                </c:pt>
                <c:pt idx="8">
                  <c:v>0.43542672756115891</c:v>
                </c:pt>
                <c:pt idx="9">
                  <c:v>0.45959895281965307</c:v>
                </c:pt>
                <c:pt idx="10">
                  <c:v>0.47761698752547055</c:v>
                </c:pt>
                <c:pt idx="11">
                  <c:v>0.49144604637771938</c:v>
                </c:pt>
                <c:pt idx="12">
                  <c:v>0.50082784063983565</c:v>
                </c:pt>
                <c:pt idx="13">
                  <c:v>0.50961272089302856</c:v>
                </c:pt>
                <c:pt idx="14">
                  <c:v>0.51596325005211519</c:v>
                </c:pt>
                <c:pt idx="15">
                  <c:v>0.51967622125729707</c:v>
                </c:pt>
                <c:pt idx="16">
                  <c:v>0.5214382579307163</c:v>
                </c:pt>
                <c:pt idx="17">
                  <c:v>0.52241571536555786</c:v>
                </c:pt>
                <c:pt idx="18">
                  <c:v>0.52293331465820869</c:v>
                </c:pt>
                <c:pt idx="19">
                  <c:v>0.52302180392312325</c:v>
                </c:pt>
                <c:pt idx="20">
                  <c:v>0.52307627882855812</c:v>
                </c:pt>
              </c:numCache>
            </c:numRef>
          </c:val>
        </c:ser>
        <c:ser>
          <c:idx val="1"/>
          <c:order val="1"/>
          <c:tx>
            <c:strRef>
              <c:f>Trades!$D$289</c:f>
              <c:strCache>
                <c:ptCount val="1"/>
                <c:pt idx="0">
                  <c:v>2008, Q4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Trades!$B$290:$B$310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Trades!$D$290:$D$310</c:f>
              <c:numCache>
                <c:formatCode>0.0000</c:formatCode>
                <c:ptCount val="21"/>
                <c:pt idx="0">
                  <c:v>0</c:v>
                </c:pt>
                <c:pt idx="1">
                  <c:v>4.7865988032762312E-2</c:v>
                </c:pt>
                <c:pt idx="2">
                  <c:v>0.15528720551754943</c:v>
                </c:pt>
                <c:pt idx="3">
                  <c:v>0.23259197857889541</c:v>
                </c:pt>
                <c:pt idx="4">
                  <c:v>0.28418784476986048</c:v>
                </c:pt>
                <c:pt idx="5">
                  <c:v>0.33612511255741195</c:v>
                </c:pt>
                <c:pt idx="6">
                  <c:v>0.37907518979261873</c:v>
                </c:pt>
                <c:pt idx="7">
                  <c:v>0.41174261753604097</c:v>
                </c:pt>
                <c:pt idx="8">
                  <c:v>0.4352995667385583</c:v>
                </c:pt>
                <c:pt idx="9">
                  <c:v>0.45751595697920688</c:v>
                </c:pt>
                <c:pt idx="10">
                  <c:v>0.47538289685967611</c:v>
                </c:pt>
                <c:pt idx="11">
                  <c:v>0.48877883699779906</c:v>
                </c:pt>
                <c:pt idx="12">
                  <c:v>0.49730435195397665</c:v>
                </c:pt>
                <c:pt idx="13">
                  <c:v>0.50553860626840563</c:v>
                </c:pt>
                <c:pt idx="14">
                  <c:v>0.51082965884853704</c:v>
                </c:pt>
                <c:pt idx="15">
                  <c:v>0.51410983866128102</c:v>
                </c:pt>
                <c:pt idx="16">
                  <c:v>0.51576398352671349</c:v>
                </c:pt>
                <c:pt idx="17">
                  <c:v>0.51656946019866257</c:v>
                </c:pt>
                <c:pt idx="18">
                  <c:v>0.51693282765334669</c:v>
                </c:pt>
                <c:pt idx="19">
                  <c:v>0.51705120544740135</c:v>
                </c:pt>
                <c:pt idx="20">
                  <c:v>0.51714308997394109</c:v>
                </c:pt>
              </c:numCache>
            </c:numRef>
          </c:val>
        </c:ser>
        <c:ser>
          <c:idx val="2"/>
          <c:order val="2"/>
          <c:tx>
            <c:strRef>
              <c:f>Trades!$E$289</c:f>
              <c:strCache>
                <c:ptCount val="1"/>
                <c:pt idx="0">
                  <c:v>2009, Q4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none"/>
          </c:marker>
          <c:cat>
            <c:numRef>
              <c:f>Trades!$B$290:$B$310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Trades!$E$290:$E$310</c:f>
              <c:numCache>
                <c:formatCode>0.0000</c:formatCode>
                <c:ptCount val="21"/>
                <c:pt idx="0">
                  <c:v>0</c:v>
                </c:pt>
                <c:pt idx="1">
                  <c:v>4.4647917262800763E-2</c:v>
                </c:pt>
                <c:pt idx="2">
                  <c:v>0.16070386792732044</c:v>
                </c:pt>
                <c:pt idx="3">
                  <c:v>0.23948890562301345</c:v>
                </c:pt>
                <c:pt idx="4">
                  <c:v>0.29091160318926917</c:v>
                </c:pt>
                <c:pt idx="5">
                  <c:v>0.34149473353643234</c:v>
                </c:pt>
                <c:pt idx="6">
                  <c:v>0.38475582688104482</c:v>
                </c:pt>
                <c:pt idx="7">
                  <c:v>0.41931239861584846</c:v>
                </c:pt>
                <c:pt idx="8">
                  <c:v>0.44349319939852105</c:v>
                </c:pt>
                <c:pt idx="9">
                  <c:v>0.46762498954257387</c:v>
                </c:pt>
                <c:pt idx="10">
                  <c:v>0.48536486485157287</c:v>
                </c:pt>
                <c:pt idx="11">
                  <c:v>0.49971000553099182</c:v>
                </c:pt>
                <c:pt idx="12">
                  <c:v>0.50779068305729069</c:v>
                </c:pt>
                <c:pt idx="13">
                  <c:v>0.51442080770293486</c:v>
                </c:pt>
                <c:pt idx="14">
                  <c:v>0.51950428630245249</c:v>
                </c:pt>
                <c:pt idx="15">
                  <c:v>0.52258333546901659</c:v>
                </c:pt>
                <c:pt idx="16">
                  <c:v>0.52411640845629048</c:v>
                </c:pt>
                <c:pt idx="17">
                  <c:v>0.52480055481046051</c:v>
                </c:pt>
                <c:pt idx="18">
                  <c:v>0.52507700457382889</c:v>
                </c:pt>
                <c:pt idx="19">
                  <c:v>0.52520149233121982</c:v>
                </c:pt>
                <c:pt idx="20">
                  <c:v>0.52542641695229342</c:v>
                </c:pt>
              </c:numCache>
            </c:numRef>
          </c:val>
        </c:ser>
        <c:marker val="1"/>
        <c:axId val="167980032"/>
        <c:axId val="167998592"/>
      </c:lineChart>
      <c:catAx>
        <c:axId val="1679800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8037773928906327"/>
              <c:y val="0.87096071549463761"/>
            </c:manualLayout>
          </c:layout>
        </c:title>
        <c:numFmt formatCode="General" sourceLinked="1"/>
        <c:tickLblPos val="nextTo"/>
        <c:crossAx val="167998592"/>
        <c:crosses val="autoZero"/>
        <c:auto val="1"/>
        <c:lblAlgn val="ctr"/>
        <c:lblOffset val="100"/>
      </c:catAx>
      <c:valAx>
        <c:axId val="1679985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/>
        </c:title>
        <c:numFmt formatCode="0.0" sourceLinked="0"/>
        <c:tickLblPos val="nextTo"/>
        <c:crossAx val="167980032"/>
        <c:crosses val="autoZero"/>
        <c:crossBetween val="midCat"/>
        <c:majorUnit val="0.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Cross-sectional completion rates, non-trades</a:t>
            </a:r>
          </a:p>
        </c:rich>
      </c:tx>
      <c:layout>
        <c:manualLayout>
          <c:xMode val="edge"/>
          <c:yMode val="edge"/>
          <c:x val="0.25008029840425788"/>
          <c:y val="2.8571439284379212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'Non-trades'!$C$263</c:f>
              <c:strCache>
                <c:ptCount val="1"/>
                <c:pt idx="0">
                  <c:v>2007, Q4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'Non-trades'!$B$264:$B$284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'Non-trades'!$C$264:$C$284</c:f>
              <c:numCache>
                <c:formatCode>0.0000</c:formatCode>
                <c:ptCount val="21"/>
                <c:pt idx="0">
                  <c:v>0</c:v>
                </c:pt>
                <c:pt idx="1">
                  <c:v>9.2048431627496504E-4</c:v>
                </c:pt>
                <c:pt idx="2">
                  <c:v>1.3065619689477639E-2</c:v>
                </c:pt>
                <c:pt idx="3">
                  <c:v>6.377676459803551E-2</c:v>
                </c:pt>
                <c:pt idx="4">
                  <c:v>0.16758116674010792</c:v>
                </c:pt>
                <c:pt idx="5">
                  <c:v>0.30556402194373783</c:v>
                </c:pt>
                <c:pt idx="6">
                  <c:v>0.36701479037527907</c:v>
                </c:pt>
                <c:pt idx="7">
                  <c:v>0.41392350350817592</c:v>
                </c:pt>
                <c:pt idx="8">
                  <c:v>0.45042638144248592</c:v>
                </c:pt>
                <c:pt idx="9">
                  <c:v>0.51695677802908768</c:v>
                </c:pt>
                <c:pt idx="10">
                  <c:v>0.52706280763772639</c:v>
                </c:pt>
                <c:pt idx="11">
                  <c:v>0.53511685811292575</c:v>
                </c:pt>
                <c:pt idx="12">
                  <c:v>0.538873668060042</c:v>
                </c:pt>
                <c:pt idx="13">
                  <c:v>0.54549025686172115</c:v>
                </c:pt>
                <c:pt idx="14">
                  <c:v>0.54777323776243303</c:v>
                </c:pt>
                <c:pt idx="15">
                  <c:v>0.5484526917900524</c:v>
                </c:pt>
                <c:pt idx="16">
                  <c:v>0.54900391359794132</c:v>
                </c:pt>
                <c:pt idx="17">
                  <c:v>0.55108539618276531</c:v>
                </c:pt>
                <c:pt idx="18">
                  <c:v>0.55126001167752392</c:v>
                </c:pt>
                <c:pt idx="19">
                  <c:v>0.55132027681440254</c:v>
                </c:pt>
                <c:pt idx="20">
                  <c:v>0.55135339692644958</c:v>
                </c:pt>
              </c:numCache>
            </c:numRef>
          </c:val>
        </c:ser>
        <c:ser>
          <c:idx val="1"/>
          <c:order val="1"/>
          <c:tx>
            <c:strRef>
              <c:f>'Non-trades'!$D$263</c:f>
              <c:strCache>
                <c:ptCount val="1"/>
                <c:pt idx="0">
                  <c:v>2008, Q4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'Non-trades'!$B$264:$B$284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'Non-trades'!$D$264:$D$284</c:f>
              <c:numCache>
                <c:formatCode>0.0000</c:formatCode>
                <c:ptCount val="21"/>
                <c:pt idx="0">
                  <c:v>0</c:v>
                </c:pt>
                <c:pt idx="1">
                  <c:v>1.3822796282371369E-3</c:v>
                </c:pt>
                <c:pt idx="2">
                  <c:v>1.1837634545015381E-2</c:v>
                </c:pt>
                <c:pt idx="3">
                  <c:v>6.9352493499983264E-2</c:v>
                </c:pt>
                <c:pt idx="4">
                  <c:v>0.18198427611029969</c:v>
                </c:pt>
                <c:pt idx="5">
                  <c:v>0.32865578202396684</c:v>
                </c:pt>
                <c:pt idx="6">
                  <c:v>0.39355344492037947</c:v>
                </c:pt>
                <c:pt idx="7">
                  <c:v>0.44536321794061107</c:v>
                </c:pt>
                <c:pt idx="8">
                  <c:v>0.47856928218305655</c:v>
                </c:pt>
                <c:pt idx="9">
                  <c:v>0.54608608920041957</c:v>
                </c:pt>
                <c:pt idx="10">
                  <c:v>0.55398832361192318</c:v>
                </c:pt>
                <c:pt idx="11">
                  <c:v>0.56300664142205359</c:v>
                </c:pt>
                <c:pt idx="12">
                  <c:v>0.56521447817390003</c:v>
                </c:pt>
                <c:pt idx="13">
                  <c:v>0.5709009467683227</c:v>
                </c:pt>
                <c:pt idx="14">
                  <c:v>0.57275860418063784</c:v>
                </c:pt>
                <c:pt idx="15">
                  <c:v>0.5736918994486061</c:v>
                </c:pt>
                <c:pt idx="16">
                  <c:v>0.5741566128995933</c:v>
                </c:pt>
                <c:pt idx="17">
                  <c:v>0.5758575833987517</c:v>
                </c:pt>
                <c:pt idx="18">
                  <c:v>0.57595830700442063</c:v>
                </c:pt>
                <c:pt idx="19">
                  <c:v>0.57609478122624236</c:v>
                </c:pt>
                <c:pt idx="20">
                  <c:v>0.57616743727341213</c:v>
                </c:pt>
              </c:numCache>
            </c:numRef>
          </c:val>
        </c:ser>
        <c:ser>
          <c:idx val="2"/>
          <c:order val="2"/>
          <c:tx>
            <c:strRef>
              <c:f>'Non-trades'!$E$263</c:f>
              <c:strCache>
                <c:ptCount val="1"/>
                <c:pt idx="0">
                  <c:v>2009, Q4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none"/>
          </c:marker>
          <c:cat>
            <c:numRef>
              <c:f>'Non-trades'!$B$264:$B$284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'Non-trades'!$E$264:$E$284</c:f>
              <c:numCache>
                <c:formatCode>0.0000</c:formatCode>
                <c:ptCount val="21"/>
                <c:pt idx="0">
                  <c:v>0</c:v>
                </c:pt>
                <c:pt idx="1">
                  <c:v>2.575399852634924E-3</c:v>
                </c:pt>
                <c:pt idx="2">
                  <c:v>1.6157194127702942E-2</c:v>
                </c:pt>
                <c:pt idx="3">
                  <c:v>8.6417752364653863E-2</c:v>
                </c:pt>
                <c:pt idx="4">
                  <c:v>0.20659861031443141</c:v>
                </c:pt>
                <c:pt idx="5">
                  <c:v>0.34734876488292826</c:v>
                </c:pt>
                <c:pt idx="6">
                  <c:v>0.41765970603953312</c:v>
                </c:pt>
                <c:pt idx="7">
                  <c:v>0.46636328275247291</c:v>
                </c:pt>
                <c:pt idx="8">
                  <c:v>0.50703496811485549</c:v>
                </c:pt>
                <c:pt idx="9">
                  <c:v>0.57475526454305659</c:v>
                </c:pt>
                <c:pt idx="10">
                  <c:v>0.58402143603850321</c:v>
                </c:pt>
                <c:pt idx="11">
                  <c:v>0.5921863418467157</c:v>
                </c:pt>
                <c:pt idx="12">
                  <c:v>0.59648219000444402</c:v>
                </c:pt>
                <c:pt idx="13">
                  <c:v>0.60192515708618577</c:v>
                </c:pt>
                <c:pt idx="14">
                  <c:v>0.60354625206520063</c:v>
                </c:pt>
                <c:pt idx="15">
                  <c:v>0.60452228616225756</c:v>
                </c:pt>
                <c:pt idx="16">
                  <c:v>0.60515702453487585</c:v>
                </c:pt>
                <c:pt idx="17">
                  <c:v>0.60661765327876283</c:v>
                </c:pt>
                <c:pt idx="18">
                  <c:v>0.60682843643724182</c:v>
                </c:pt>
                <c:pt idx="19">
                  <c:v>0.60689632124670267</c:v>
                </c:pt>
                <c:pt idx="20">
                  <c:v>0.60694523898234465</c:v>
                </c:pt>
              </c:numCache>
            </c:numRef>
          </c:val>
        </c:ser>
        <c:marker val="1"/>
        <c:axId val="168041472"/>
        <c:axId val="168051840"/>
      </c:lineChart>
      <c:catAx>
        <c:axId val="1680414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7993387190237876"/>
              <c:y val="0.87526167051431636"/>
            </c:manualLayout>
          </c:layout>
        </c:title>
        <c:numFmt formatCode="General" sourceLinked="1"/>
        <c:tickLblPos val="nextTo"/>
        <c:crossAx val="168051840"/>
        <c:crosses val="autoZero"/>
        <c:auto val="1"/>
        <c:lblAlgn val="ctr"/>
        <c:lblOffset val="100"/>
      </c:catAx>
      <c:valAx>
        <c:axId val="1680518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/>
        </c:title>
        <c:numFmt formatCode="0.0" sourceLinked="0"/>
        <c:tickLblPos val="nextTo"/>
        <c:crossAx val="168041472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AU"/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Cross-sectional attrition rates, non-trades</a:t>
            </a:r>
          </a:p>
        </c:rich>
      </c:tx>
      <c:layout>
        <c:manualLayout>
          <c:xMode val="edge"/>
          <c:yMode val="edge"/>
          <c:x val="0.27011802905496224"/>
          <c:y val="2.8268551236748842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'Non-trades'!$C$289</c:f>
              <c:strCache>
                <c:ptCount val="1"/>
                <c:pt idx="0">
                  <c:v>2007, Q4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'Non-trades'!$B$290:$B$310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'Non-trades'!$C$290:$C$310</c:f>
              <c:numCache>
                <c:formatCode>0.0000</c:formatCode>
                <c:ptCount val="21"/>
                <c:pt idx="0">
                  <c:v>0</c:v>
                </c:pt>
                <c:pt idx="1">
                  <c:v>6.1837664324113396E-2</c:v>
                </c:pt>
                <c:pt idx="2">
                  <c:v>0.16743990881310006</c:v>
                </c:pt>
                <c:pt idx="3">
                  <c:v>0.25322231281729546</c:v>
                </c:pt>
                <c:pt idx="4">
                  <c:v>0.30545338242476888</c:v>
                </c:pt>
                <c:pt idx="5">
                  <c:v>0.33835651060421168</c:v>
                </c:pt>
                <c:pt idx="6">
                  <c:v>0.35586241532738144</c:v>
                </c:pt>
                <c:pt idx="7">
                  <c:v>0.37017476105824459</c:v>
                </c:pt>
                <c:pt idx="8">
                  <c:v>0.38088537195107058</c:v>
                </c:pt>
                <c:pt idx="9">
                  <c:v>0.38942434310785018</c:v>
                </c:pt>
                <c:pt idx="10">
                  <c:v>0.39202396487212865</c:v>
                </c:pt>
                <c:pt idx="11">
                  <c:v>0.39390378349410743</c:v>
                </c:pt>
                <c:pt idx="12">
                  <c:v>0.39531258722427737</c:v>
                </c:pt>
                <c:pt idx="13">
                  <c:v>0.39638755123127101</c:v>
                </c:pt>
                <c:pt idx="14">
                  <c:v>0.39691920431773714</c:v>
                </c:pt>
                <c:pt idx="15">
                  <c:v>0.39705509512326215</c:v>
                </c:pt>
                <c:pt idx="16">
                  <c:v>0.39718108867935026</c:v>
                </c:pt>
                <c:pt idx="17">
                  <c:v>0.39725336238021186</c:v>
                </c:pt>
                <c:pt idx="18">
                  <c:v>0.39729077998623136</c:v>
                </c:pt>
                <c:pt idx="19">
                  <c:v>0.39729938929149788</c:v>
                </c:pt>
                <c:pt idx="20">
                  <c:v>0.39729938929149788</c:v>
                </c:pt>
              </c:numCache>
            </c:numRef>
          </c:val>
        </c:ser>
        <c:ser>
          <c:idx val="1"/>
          <c:order val="1"/>
          <c:tx>
            <c:strRef>
              <c:f>'Non-trades'!$D$289</c:f>
              <c:strCache>
                <c:ptCount val="1"/>
                <c:pt idx="0">
                  <c:v>2008, Q4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'Non-trades'!$B$290:$B$310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'Non-trades'!$D$290:$D$310</c:f>
              <c:numCache>
                <c:formatCode>0.0000</c:formatCode>
                <c:ptCount val="21"/>
                <c:pt idx="0">
                  <c:v>0</c:v>
                </c:pt>
                <c:pt idx="1">
                  <c:v>6.4509177424085254E-2</c:v>
                </c:pt>
                <c:pt idx="2">
                  <c:v>0.17180047361072892</c:v>
                </c:pt>
                <c:pt idx="3">
                  <c:v>0.24487592530731478</c:v>
                </c:pt>
                <c:pt idx="4">
                  <c:v>0.29394158728370423</c:v>
                </c:pt>
                <c:pt idx="5">
                  <c:v>0.32604669964094296</c:v>
                </c:pt>
                <c:pt idx="6">
                  <c:v>0.34213116332571702</c:v>
                </c:pt>
                <c:pt idx="7">
                  <c:v>0.35488725234316981</c:v>
                </c:pt>
                <c:pt idx="8">
                  <c:v>0.36360877543341463</c:v>
                </c:pt>
                <c:pt idx="9">
                  <c:v>0.36992760095640453</c:v>
                </c:pt>
                <c:pt idx="10">
                  <c:v>0.37182045858879958</c:v>
                </c:pt>
                <c:pt idx="11">
                  <c:v>0.37371858617599041</c:v>
                </c:pt>
                <c:pt idx="12">
                  <c:v>0.3746108657626851</c:v>
                </c:pt>
                <c:pt idx="13">
                  <c:v>0.37562072777571692</c:v>
                </c:pt>
                <c:pt idx="14">
                  <c:v>0.37599854456521231</c:v>
                </c:pt>
                <c:pt idx="15">
                  <c:v>0.37611424572857882</c:v>
                </c:pt>
                <c:pt idx="16">
                  <c:v>0.37617791147136431</c:v>
                </c:pt>
                <c:pt idx="17">
                  <c:v>0.37631870467307937</c:v>
                </c:pt>
                <c:pt idx="18">
                  <c:v>0.37631870467307937</c:v>
                </c:pt>
                <c:pt idx="19">
                  <c:v>0.37631870467307937</c:v>
                </c:pt>
                <c:pt idx="20">
                  <c:v>0.37636622172792666</c:v>
                </c:pt>
              </c:numCache>
            </c:numRef>
          </c:val>
        </c:ser>
        <c:ser>
          <c:idx val="2"/>
          <c:order val="2"/>
          <c:tx>
            <c:strRef>
              <c:f>'Non-trades'!$E$289</c:f>
              <c:strCache>
                <c:ptCount val="1"/>
                <c:pt idx="0">
                  <c:v>2009, Q4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none"/>
          </c:marker>
          <c:cat>
            <c:numRef>
              <c:f>'Non-trades'!$B$290:$B$310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  <c:pt idx="3">
                  <c:v>2.5</c:v>
                </c:pt>
                <c:pt idx="4">
                  <c:v>3.5</c:v>
                </c:pt>
                <c:pt idx="5">
                  <c:v>4.5</c:v>
                </c:pt>
                <c:pt idx="6">
                  <c:v>5.5</c:v>
                </c:pt>
                <c:pt idx="7">
                  <c:v>6.5</c:v>
                </c:pt>
                <c:pt idx="8">
                  <c:v>7.5</c:v>
                </c:pt>
                <c:pt idx="9">
                  <c:v>8.5</c:v>
                </c:pt>
                <c:pt idx="10">
                  <c:v>9.5</c:v>
                </c:pt>
                <c:pt idx="11">
                  <c:v>10.5</c:v>
                </c:pt>
                <c:pt idx="12">
                  <c:v>11.5</c:v>
                </c:pt>
                <c:pt idx="13">
                  <c:v>12.5</c:v>
                </c:pt>
                <c:pt idx="14">
                  <c:v>13.5</c:v>
                </c:pt>
                <c:pt idx="15">
                  <c:v>14.5</c:v>
                </c:pt>
                <c:pt idx="16">
                  <c:v>15.5</c:v>
                </c:pt>
                <c:pt idx="17">
                  <c:v>16.5</c:v>
                </c:pt>
                <c:pt idx="18">
                  <c:v>17.5</c:v>
                </c:pt>
                <c:pt idx="19">
                  <c:v>18.5</c:v>
                </c:pt>
                <c:pt idx="20">
                  <c:v>19.5</c:v>
                </c:pt>
              </c:numCache>
            </c:numRef>
          </c:cat>
          <c:val>
            <c:numRef>
              <c:f>'Non-trades'!$E$290:$E$310</c:f>
              <c:numCache>
                <c:formatCode>0.0000</c:formatCode>
                <c:ptCount val="21"/>
                <c:pt idx="0">
                  <c:v>0</c:v>
                </c:pt>
                <c:pt idx="1">
                  <c:v>4.4512099282478561E-2</c:v>
                </c:pt>
                <c:pt idx="2">
                  <c:v>0.14121341819296276</c:v>
                </c:pt>
                <c:pt idx="3">
                  <c:v>0.21532635674298098</c:v>
                </c:pt>
                <c:pt idx="4">
                  <c:v>0.25842738920345276</c:v>
                </c:pt>
                <c:pt idx="5">
                  <c:v>0.28520677059608335</c:v>
                </c:pt>
                <c:pt idx="6">
                  <c:v>0.29905195371352411</c:v>
                </c:pt>
                <c:pt idx="7">
                  <c:v>0.30797486944689323</c:v>
                </c:pt>
                <c:pt idx="8">
                  <c:v>0.31521961080165878</c:v>
                </c:pt>
                <c:pt idx="9">
                  <c:v>0.31973835056075839</c:v>
                </c:pt>
                <c:pt idx="10">
                  <c:v>0.32161701793717506</c:v>
                </c:pt>
                <c:pt idx="11">
                  <c:v>0.32252796862460653</c:v>
                </c:pt>
                <c:pt idx="12">
                  <c:v>0.32333943674594612</c:v>
                </c:pt>
                <c:pt idx="13">
                  <c:v>0.32436822190134229</c:v>
                </c:pt>
                <c:pt idx="14">
                  <c:v>0.32458938321011344</c:v>
                </c:pt>
                <c:pt idx="15">
                  <c:v>0.32472056757468226</c:v>
                </c:pt>
                <c:pt idx="16">
                  <c:v>0.32490308359600545</c:v>
                </c:pt>
                <c:pt idx="17">
                  <c:v>0.32521444689409273</c:v>
                </c:pt>
                <c:pt idx="18">
                  <c:v>0.32526552804948888</c:v>
                </c:pt>
                <c:pt idx="19">
                  <c:v>0.32526552804948888</c:v>
                </c:pt>
                <c:pt idx="20">
                  <c:v>0.32526552804948888</c:v>
                </c:pt>
              </c:numCache>
            </c:numRef>
          </c:val>
        </c:ser>
        <c:marker val="1"/>
        <c:axId val="168082432"/>
        <c:axId val="168092800"/>
      </c:lineChart>
      <c:catAx>
        <c:axId val="1680824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Quarter ending</a:t>
                </a:r>
              </a:p>
            </c:rich>
          </c:tx>
          <c:layout>
            <c:manualLayout>
              <c:xMode val="edge"/>
              <c:yMode val="edge"/>
              <c:x val="0.37948674536313326"/>
              <c:y val="0.87658403123637862"/>
            </c:manualLayout>
          </c:layout>
        </c:title>
        <c:numFmt formatCode="General" sourceLinked="1"/>
        <c:tickLblPos val="nextTo"/>
        <c:crossAx val="168092800"/>
        <c:crosses val="autoZero"/>
        <c:auto val="1"/>
        <c:lblAlgn val="ctr"/>
        <c:lblOffset val="100"/>
      </c:catAx>
      <c:valAx>
        <c:axId val="1680928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rate</a:t>
                </a:r>
              </a:p>
            </c:rich>
          </c:tx>
          <c:layout/>
        </c:title>
        <c:numFmt formatCode="0.0" sourceLinked="0"/>
        <c:tickLblPos val="nextTo"/>
        <c:crossAx val="168082432"/>
        <c:crosses val="autoZero"/>
        <c:crossBetween val="midCat"/>
        <c:majorUnit val="0.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 sz="800" b="0"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6034E-13C6-4C6F-A45F-34638E8D3E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8B71D7-5E03-4EEB-822D-5151A6DD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18</Pages>
  <Words>3747</Words>
  <Characters>21693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UQ</Company>
  <LinksUpToDate>false</LinksUpToDate>
  <CharactersWithSpaces>25390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kayemcadam</cp:lastModifiedBy>
  <cp:revision>11</cp:revision>
  <cp:lastPrinted>2011-06-12T02:37:00Z</cp:lastPrinted>
  <dcterms:created xsi:type="dcterms:W3CDTF">2011-06-24T01:49:00Z</dcterms:created>
  <dcterms:modified xsi:type="dcterms:W3CDTF">2011-07-14T02:14:00Z</dcterms:modified>
</cp:coreProperties>
</file>