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D7" w:rsidRDefault="008E3E78" w:rsidP="00EB0AD7">
      <w:pPr>
        <w:pStyle w:val="PublicationTitle"/>
        <w:spacing w:before="0"/>
      </w:pPr>
      <w:bookmarkStart w:id="0" w:name="_Toc296423677"/>
      <w:bookmarkStart w:id="1" w:name="_Toc296497508"/>
      <w:bookmarkStart w:id="2" w:name="_Toc495748330"/>
      <w:bookmarkStart w:id="3" w:name="_Toc495810630"/>
      <w:bookmarkStart w:id="4" w:name="_Toc6031787"/>
      <w:bookmarkStart w:id="5" w:name="_Toc6031844"/>
      <w:r>
        <w:rPr>
          <w:noProof/>
          <w:lang w:eastAsia="en-AU"/>
        </w:rPr>
        <w:drawing>
          <wp:anchor distT="0" distB="0" distL="114300" distR="114300" simplePos="0" relativeHeight="251691008" behindDoc="0" locked="0" layoutInCell="1" allowOverlap="1">
            <wp:simplePos x="0" y="0"/>
            <wp:positionH relativeFrom="column">
              <wp:posOffset>-606907</wp:posOffset>
            </wp:positionH>
            <wp:positionV relativeFrom="paragraph">
              <wp:posOffset>-56794</wp:posOffset>
            </wp:positionV>
            <wp:extent cx="2471623" cy="526694"/>
            <wp:effectExtent l="19050" t="0" r="4877" b="0"/>
            <wp:wrapNone/>
            <wp:docPr id="2" name="Picture 1" descr="P:\PublicationComponents\logos\NCVER LOGOS\WMF - word\No lines\NCVER_Floating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NCVER LOGOS\WMF - word\No lines\NCVER_Floating_Mono.wmf"/>
                    <pic:cNvPicPr>
                      <a:picLocks noChangeAspect="1" noChangeArrowheads="1"/>
                    </pic:cNvPicPr>
                  </pic:nvPicPr>
                  <pic:blipFill>
                    <a:blip r:embed="rId9" cstate="print"/>
                    <a:srcRect/>
                    <a:stretch>
                      <a:fillRect/>
                    </a:stretch>
                  </pic:blipFill>
                  <pic:spPr bwMode="auto">
                    <a:xfrm>
                      <a:off x="0" y="0"/>
                      <a:ext cx="2471623" cy="526694"/>
                    </a:xfrm>
                    <a:prstGeom prst="rect">
                      <a:avLst/>
                    </a:prstGeom>
                    <a:noFill/>
                    <a:ln w="9525">
                      <a:noFill/>
                      <a:miter lim="800000"/>
                      <a:headEnd/>
                      <a:tailEnd/>
                    </a:ln>
                  </pic:spPr>
                </pic:pic>
              </a:graphicData>
            </a:graphic>
          </wp:anchor>
        </w:drawing>
      </w:r>
      <w:r w:rsidR="001D5A24">
        <w:rPr>
          <w:noProof/>
          <w:lang w:eastAsia="en-AU"/>
        </w:rPr>
        <w:drawing>
          <wp:anchor distT="0" distB="0" distL="114300" distR="114300" simplePos="0" relativeHeight="251685888" behindDoc="1" locked="0" layoutInCell="1" allowOverlap="1">
            <wp:simplePos x="0" y="0"/>
            <wp:positionH relativeFrom="column">
              <wp:posOffset>-860425</wp:posOffset>
            </wp:positionH>
            <wp:positionV relativeFrom="paragraph">
              <wp:posOffset>539750</wp:posOffset>
            </wp:positionV>
            <wp:extent cx="2724150" cy="914400"/>
            <wp:effectExtent l="19050" t="0" r="0" b="0"/>
            <wp:wrapTight wrapText="bothSides">
              <wp:wrapPolygon edited="0">
                <wp:start x="-151" y="0"/>
                <wp:lineTo x="-151" y="21150"/>
                <wp:lineTo x="21600" y="21150"/>
                <wp:lineTo x="21600" y="0"/>
                <wp:lineTo x="-151" y="0"/>
              </wp:wrapPolygon>
            </wp:wrapTight>
            <wp:docPr id="16" name="Picture 2" descr="P:\PublicationComponents\logos\Department of Industry\Dept_Industry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Department of Industry\Dept_Industry_inline.jpg"/>
                    <pic:cNvPicPr>
                      <a:picLocks noChangeAspect="1" noChangeArrowheads="1"/>
                    </pic:cNvPicPr>
                  </pic:nvPicPr>
                  <pic:blipFill>
                    <a:blip r:embed="rId10" cstate="print"/>
                    <a:srcRect/>
                    <a:stretch>
                      <a:fillRect/>
                    </a:stretch>
                  </pic:blipFill>
                  <pic:spPr bwMode="auto">
                    <a:xfrm>
                      <a:off x="0" y="0"/>
                      <a:ext cx="2724150" cy="914400"/>
                    </a:xfrm>
                    <a:prstGeom prst="rect">
                      <a:avLst/>
                    </a:prstGeom>
                    <a:noFill/>
                    <a:ln w="9525">
                      <a:noFill/>
                      <a:miter lim="800000"/>
                      <a:headEnd/>
                      <a:tailEnd/>
                    </a:ln>
                  </pic:spPr>
                </pic:pic>
              </a:graphicData>
            </a:graphic>
          </wp:anchor>
        </w:drawing>
      </w:r>
    </w:p>
    <w:p w:rsidR="00EB0AD7" w:rsidRDefault="00EB0AD7" w:rsidP="00EB0AD7">
      <w:pPr>
        <w:pStyle w:val="PublicationTitle"/>
        <w:spacing w:before="0"/>
      </w:pPr>
    </w:p>
    <w:bookmarkEnd w:id="0"/>
    <w:bookmarkEnd w:id="1"/>
    <w:p w:rsidR="00EB0AD7" w:rsidRPr="005C2FCF" w:rsidRDefault="00461154" w:rsidP="00EB0AD7">
      <w:pPr>
        <w:pStyle w:val="PublicationTitle"/>
        <w:spacing w:before="0"/>
      </w:pPr>
      <w:r>
        <w:rPr>
          <w:noProof/>
          <w:lang w:eastAsia="en-AU"/>
        </w:rPr>
        <w:t>Understanding</w:t>
      </w:r>
      <w:r w:rsidR="00A27245">
        <w:rPr>
          <w:noProof/>
          <w:lang w:eastAsia="en-AU"/>
        </w:rPr>
        <w:t xml:space="preserve"> the</w:t>
      </w:r>
      <w:r w:rsidR="00CD4446">
        <w:rPr>
          <w:noProof/>
          <w:lang w:eastAsia="en-AU"/>
        </w:rPr>
        <w:br/>
      </w:r>
      <w:r>
        <w:rPr>
          <w:noProof/>
          <w:lang w:eastAsia="en-AU"/>
        </w:rPr>
        <w:t>non-completion of apprentices</w:t>
      </w:r>
    </w:p>
    <w:p w:rsidR="00EB0AD7" w:rsidRDefault="00461154" w:rsidP="00EB0AD7">
      <w:pPr>
        <w:pStyle w:val="Authors"/>
      </w:pPr>
      <w:bookmarkStart w:id="6" w:name="_Toc296423678"/>
      <w:bookmarkStart w:id="7" w:name="_Toc296497509"/>
      <w:r>
        <w:t>Alice Bednarz</w:t>
      </w:r>
    </w:p>
    <w:bookmarkEnd w:id="6"/>
    <w:bookmarkEnd w:id="7"/>
    <w:p w:rsidR="00EB0AD7" w:rsidRDefault="00461154" w:rsidP="00EB0AD7">
      <w:pPr>
        <w:pStyle w:val="Organisation"/>
      </w:pPr>
      <w:r>
        <w:t>National Centre for Vocational Education Research</w:t>
      </w:r>
    </w:p>
    <w:p w:rsidR="00E811C3" w:rsidRDefault="00E811C3" w:rsidP="00EB0AD7">
      <w:pPr>
        <w:pStyle w:val="Organisation"/>
      </w:pPr>
    </w:p>
    <w:p w:rsidR="00EB0AD7" w:rsidRDefault="00D01E02" w:rsidP="00EB0AD7">
      <w:pPr>
        <w:pStyle w:val="Heading3"/>
        <w:ind w:right="-1"/>
      </w:pPr>
      <w:r>
        <w:rPr>
          <w:noProof/>
          <w:lang w:eastAsia="en-AU"/>
        </w:rPr>
        <w:pict>
          <v:shapetype id="_x0000_t202" coordsize="21600,21600" o:spt="202" path="m,l,21600r21600,l21600,xe">
            <v:stroke joinstyle="miter"/>
            <v:path gradientshapeok="t" o:connecttype="rect"/>
          </v:shapetype>
          <v:shape id="_x0000_s1054" type="#_x0000_t202" style="position:absolute;margin-left:79.95pt;margin-top:555.35pt;width:264.8pt;height:83pt;z-index:251671552;mso-position-vertical-relative:margin" filled="f" stroked="f">
            <v:textbox style="mso-next-textbox:#_x0000_s1054">
              <w:txbxContent>
                <w:p w:rsidR="008E3E78" w:rsidRDefault="00461354" w:rsidP="008E3E78">
                  <w:pPr>
                    <w:pStyle w:val="Heading3"/>
                    <w:spacing w:after="120" w:line="320" w:lineRule="exact"/>
                    <w:rPr>
                      <w:szCs w:val="24"/>
                    </w:rPr>
                  </w:pPr>
                  <w:r w:rsidRPr="00001A09">
                    <w:rPr>
                      <w:szCs w:val="24"/>
                    </w:rPr>
                    <w:t>A NATIONAL CENTRE FOR</w:t>
                  </w:r>
                  <w:r>
                    <w:rPr>
                      <w:szCs w:val="24"/>
                    </w:rPr>
                    <w:t xml:space="preserve"> </w:t>
                  </w:r>
                  <w:r>
                    <w:rPr>
                      <w:szCs w:val="24"/>
                    </w:rPr>
                    <w:br/>
                    <w:t>VOCATIONAL EDUCATION RESEARCH</w:t>
                  </w:r>
                </w:p>
                <w:p w:rsidR="00461354" w:rsidRPr="008E3E78" w:rsidRDefault="00461354" w:rsidP="008E3E78">
                  <w:pPr>
                    <w:pStyle w:val="Heading3"/>
                    <w:spacing w:before="120" w:after="120" w:line="320" w:lineRule="exact"/>
                    <w:rPr>
                      <w:b/>
                      <w:szCs w:val="24"/>
                    </w:rPr>
                  </w:pPr>
                  <w:r w:rsidRPr="008E3E78">
                    <w:rPr>
                      <w:b/>
                      <w:szCs w:val="24"/>
                    </w:rPr>
                    <w:t>OCCASIONAL PAPER</w:t>
                  </w:r>
                </w:p>
                <w:p w:rsidR="00461354" w:rsidRDefault="00461354" w:rsidP="00EB0AD7">
                  <w:pPr>
                    <w:pStyle w:val="Heading3"/>
                  </w:pPr>
                </w:p>
              </w:txbxContent>
            </v:textbox>
            <w10:wrap anchory="margin"/>
          </v:shape>
        </w:pict>
      </w:r>
      <w:r>
        <w:rPr>
          <w:noProof/>
          <w:lang w:eastAsia="en-AU"/>
        </w:rPr>
        <w:pict>
          <v:shape id="_x0000_s1053" type="#_x0000_t202" style="position:absolute;margin-left:73.1pt;margin-top:659.7pt;width:357pt;height:83pt;z-index:251670528;mso-position-vertical-relative:margin" filled="f" stroked="f">
            <v:textbox style="mso-next-textbox:#_x0000_s1053">
              <w:txbxContent>
                <w:p w:rsidR="00461354" w:rsidRDefault="00461354" w:rsidP="00EB0AD7">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w:t>
                  </w:r>
                </w:p>
              </w:txbxContent>
            </v:textbox>
            <w10:wrap anchory="margin"/>
          </v:shape>
        </w:pict>
      </w:r>
    </w:p>
    <w:p w:rsidR="00EB0AD7" w:rsidRPr="00E236D0" w:rsidRDefault="00EB0AD7" w:rsidP="00EB0AD7">
      <w:pPr>
        <w:pStyle w:val="Heading3"/>
        <w:ind w:right="-1"/>
        <w:rPr>
          <w:b/>
          <w:sz w:val="19"/>
          <w:szCs w:val="19"/>
        </w:rPr>
      </w:pPr>
      <w:r w:rsidRPr="005C2FCF">
        <w:br w:type="page"/>
      </w:r>
    </w:p>
    <w:p w:rsidR="00EF4BD2" w:rsidRDefault="00D01E02" w:rsidP="00EF4BD2">
      <w:pPr>
        <w:pStyle w:val="Heading3"/>
      </w:pPr>
      <w:r>
        <w:rPr>
          <w:rFonts w:ascii="Trebuchet MS" w:hAnsi="Trebuchet MS" w:cs="Times New Roman"/>
          <w:noProof/>
          <w:color w:val="auto"/>
          <w:lang w:eastAsia="en-AU"/>
        </w:rPr>
        <w:lastRenderedPageBreak/>
        <w:pict>
          <v:shape id="_x0000_s1059" type="#_x0000_t202" style="position:absolute;margin-left:0;margin-top:259.85pt;width:344pt;height:456pt;z-index:251680768;v-text-anchor:bottom" filled="f" stroked="f">
            <v:textbox style="mso-next-textbox:#_x0000_s1059" inset="0,,0">
              <w:txbxContent>
                <w:p w:rsidR="00461354" w:rsidRPr="00A021FC" w:rsidRDefault="00461354" w:rsidP="00EF4BD2">
                  <w:pPr>
                    <w:pStyle w:val="Imprint"/>
                    <w:rPr>
                      <w:b/>
                    </w:rPr>
                  </w:pPr>
                  <w:r w:rsidRPr="00A021FC">
                    <w:rPr>
                      <w:b/>
                    </w:rPr>
                    <w:t xml:space="preserve">© Commonwealth of Australia, </w:t>
                  </w:r>
                  <w:r>
                    <w:rPr>
                      <w:b/>
                    </w:rPr>
                    <w:t>2014</w:t>
                  </w:r>
                </w:p>
                <w:p w:rsidR="00461354" w:rsidRDefault="00461354" w:rsidP="00EF4BD2">
                  <w:pPr>
                    <w:pStyle w:val="Imprint"/>
                    <w:rPr>
                      <w:sz w:val="20"/>
                    </w:rPr>
                  </w:pPr>
                  <w:r w:rsidRPr="00E80270">
                    <w:rPr>
                      <w:noProof/>
                      <w:sz w:val="20"/>
                      <w:lang w:eastAsia="en-AU"/>
                    </w:rPr>
                    <w:drawing>
                      <wp:inline distT="0" distB="0" distL="0" distR="0">
                        <wp:extent cx="850265" cy="302895"/>
                        <wp:effectExtent l="19050" t="0" r="6985" b="0"/>
                        <wp:docPr id="6"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461354" w:rsidRPr="00A021FC" w:rsidRDefault="00461354" w:rsidP="00EF4BD2">
                  <w:pPr>
                    <w:pStyle w:val="Imprint"/>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461354" w:rsidRPr="00A021FC" w:rsidRDefault="00461354" w:rsidP="00EF4BD2">
                  <w:pPr>
                    <w:pStyle w:val="Imprint"/>
                  </w:pPr>
                  <w:r w:rsidRPr="00A021FC">
                    <w:t>The details of the relevant licence conditions are available on the Creative Commons website (accessible using the links provided) as is the full legal code for the CC BY 3.0 AU licence &lt;http://creativecommons.org/licenses/by/3.0/legalcode&gt;.</w:t>
                  </w:r>
                </w:p>
                <w:p w:rsidR="00461354" w:rsidRPr="00A021FC" w:rsidRDefault="00461354" w:rsidP="00EF4BD2">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461354" w:rsidRPr="00A021FC" w:rsidRDefault="00461354" w:rsidP="00EF4BD2">
                  <w:pPr>
                    <w:pStyle w:val="Imprint"/>
                  </w:pPr>
                  <w:r w:rsidRPr="00A021FC">
                    <w:t xml:space="preserve">This document should be attributed as </w:t>
                  </w:r>
                  <w:r>
                    <w:t xml:space="preserve">Bednarz, A 2014, </w:t>
                  </w:r>
                  <w:r>
                    <w:rPr>
                      <w:i/>
                    </w:rPr>
                    <w:t xml:space="preserve">Understanding the non-completion of apprentices, </w:t>
                  </w:r>
                  <w:r w:rsidRPr="00A021FC">
                    <w:t>NCVER, Adelaide.</w:t>
                  </w:r>
                </w:p>
                <w:p w:rsidR="000E750E" w:rsidRPr="005C2FCF" w:rsidRDefault="000E750E" w:rsidP="000E750E">
                  <w:pPr>
                    <w:pStyle w:val="Imprint"/>
                    <w:rPr>
                      <w:color w:val="000000"/>
                    </w:rPr>
                  </w:pPr>
                  <w:r w:rsidRPr="005C2FCF">
                    <w:rPr>
                      <w:color w:val="000000"/>
                    </w:rPr>
                    <w:t>ISBN</w:t>
                  </w:r>
                  <w:r w:rsidRPr="005C2FCF">
                    <w:rPr>
                      <w:color w:val="000000"/>
                    </w:rPr>
                    <w:tab/>
                  </w:r>
                  <w:r w:rsidRPr="000E750E">
                    <w:rPr>
                      <w:color w:val="000000"/>
                    </w:rPr>
                    <w:t>978 1 922056 85 6</w:t>
                  </w:r>
                  <w:r>
                    <w:rPr>
                      <w:color w:val="000000"/>
                    </w:rPr>
                    <w:br/>
                  </w:r>
                  <w:r w:rsidRPr="005C2FCF">
                    <w:rPr>
                      <w:color w:val="000000"/>
                    </w:rPr>
                    <w:t>TD/TNC</w:t>
                  </w:r>
                  <w:r w:rsidRPr="005C2FCF">
                    <w:rPr>
                      <w:color w:val="000000"/>
                    </w:rPr>
                    <w:tab/>
                  </w:r>
                  <w:r w:rsidRPr="000E750E">
                    <w:rPr>
                      <w:color w:val="000000"/>
                    </w:rPr>
                    <w:t>115.10</w:t>
                  </w:r>
                </w:p>
                <w:p w:rsidR="000E750E" w:rsidRPr="005C2FCF" w:rsidRDefault="000E750E" w:rsidP="000E750E">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0E750E" w:rsidRPr="005C2FCF" w:rsidRDefault="000E750E" w:rsidP="000E750E">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0E750E" w:rsidRPr="00541B94" w:rsidRDefault="000E750E" w:rsidP="000E750E">
                  <w:pPr>
                    <w:pStyle w:val="Imprint"/>
                    <w:spacing w:before="80"/>
                    <w:rPr>
                      <w:color w:val="000000"/>
                    </w:rPr>
                  </w:pPr>
                  <w:r w:rsidRPr="00C304A9">
                    <w:rPr>
                      <w:b/>
                      <w:color w:val="000000"/>
                    </w:rPr>
                    <w:t>P</w:t>
                  </w:r>
                  <w:r w:rsidRPr="005C2FCF">
                    <w:rPr>
                      <w:color w:val="000000"/>
                    </w:rPr>
                    <w:t xml:space="preserve"> +61 8 8230 8400 </w:t>
                  </w:r>
                  <w:r>
                    <w:rPr>
                      <w:color w:val="000000"/>
                    </w:rPr>
                    <w:t xml:space="preserve">  </w:t>
                  </w:r>
                  <w:r w:rsidRPr="00C304A9">
                    <w:rPr>
                      <w:b/>
                      <w:color w:val="000000"/>
                    </w:rPr>
                    <w:t>F</w:t>
                  </w:r>
                  <w:r w:rsidRPr="005C2FCF">
                    <w:rPr>
                      <w:color w:val="000000"/>
                    </w:rPr>
                    <w:t xml:space="preserve"> +61 8 8212 3436</w:t>
                  </w:r>
                  <w:r>
                    <w:rPr>
                      <w:color w:val="000000"/>
                    </w:rPr>
                    <w:t xml:space="preserve">   </w:t>
                  </w:r>
                  <w:r w:rsidRPr="00C304A9">
                    <w:rPr>
                      <w:b/>
                      <w:color w:val="000000"/>
                    </w:rPr>
                    <w:t>E</w:t>
                  </w:r>
                  <w:r w:rsidRPr="005C2FCF">
                    <w:rPr>
                      <w:color w:val="000000"/>
                    </w:rPr>
                    <w:t xml:space="preserve"> </w:t>
                  </w:r>
                  <w:hyperlink r:id="rId12" w:history="1">
                    <w:r w:rsidRPr="00441898">
                      <w:rPr>
                        <w:rStyle w:val="Hyperlink"/>
                        <w:sz w:val="16"/>
                      </w:rPr>
                      <w:t>ncver@ncver.edu.au</w:t>
                    </w:r>
                  </w:hyperlink>
                  <w:r>
                    <w:rPr>
                      <w:color w:val="000000"/>
                    </w:rPr>
                    <w:t xml:space="preserve">   </w:t>
                  </w:r>
                  <w:r w:rsidRPr="00C304A9">
                    <w:rPr>
                      <w:b/>
                      <w:color w:val="000000"/>
                    </w:rPr>
                    <w:t>W</w:t>
                  </w:r>
                  <w:r>
                    <w:rPr>
                      <w:color w:val="000000"/>
                    </w:rPr>
                    <w:t xml:space="preserve"> </w:t>
                  </w:r>
                  <w:r w:rsidRPr="005C2FCF">
                    <w:rPr>
                      <w:color w:val="000000"/>
                    </w:rPr>
                    <w:t>&lt; www.ncver.edu.au&gt;</w:t>
                  </w:r>
                  <w:r>
                    <w:rPr>
                      <w:color w:val="000000"/>
                    </w:rPr>
                    <w:t xml:space="preserve"> </w:t>
                  </w:r>
                </w:p>
              </w:txbxContent>
            </v:textbox>
          </v:shape>
        </w:pict>
      </w:r>
      <w:r w:rsidR="00EF4BD2">
        <w:t>Publisher’s note</w:t>
      </w:r>
    </w:p>
    <w:p w:rsidR="00446BFD" w:rsidRDefault="00446BFD" w:rsidP="00446BFD">
      <w:pPr>
        <w:pStyle w:val="Imprint"/>
        <w:ind w:right="1700"/>
      </w:pPr>
      <w:r>
        <w:t>This report has been prepared by the National Centre for Vocational Education Research (NCVER) on behalf of the National Senior Officials Committee and for the Principal Committees of the Council of Australian Governments’ (COAG) Industry Skills Council (formerly the Standing Council on Tertiary Education, Skills and Employment).</w:t>
      </w:r>
    </w:p>
    <w:p w:rsidR="00EF4BD2" w:rsidRDefault="00EF4BD2" w:rsidP="00EF4BD2">
      <w:pPr>
        <w:pStyle w:val="Heading3"/>
        <w:rPr>
          <w:kern w:val="28"/>
          <w:sz w:val="56"/>
          <w:szCs w:val="56"/>
        </w:rPr>
      </w:pPr>
      <w:r>
        <w:br w:type="page"/>
      </w:r>
    </w:p>
    <w:p w:rsidR="00FE1E3D" w:rsidRPr="00C77DC6" w:rsidRDefault="00FE1E3D" w:rsidP="00FE1E3D">
      <w:pPr>
        <w:pStyle w:val="Abouttheresearch"/>
      </w:pPr>
      <w:bookmarkStart w:id="8" w:name="_Toc73766312"/>
      <w:bookmarkStart w:id="9" w:name="_Toc77937774"/>
      <w:bookmarkStart w:id="10" w:name="_Toc80174750"/>
      <w:bookmarkStart w:id="11" w:name="_Toc81560506"/>
      <w:bookmarkStart w:id="12" w:name="_Toc82071799"/>
      <w:bookmarkStart w:id="13" w:name="_Toc82151754"/>
      <w:bookmarkStart w:id="14" w:name="_Toc82498260"/>
      <w:bookmarkStart w:id="15" w:name="_Toc86829097"/>
      <w:bookmarkStart w:id="16" w:name="_Toc89226248"/>
      <w:bookmarkStart w:id="17" w:name="_Toc89240893"/>
      <w:bookmarkStart w:id="18" w:name="_Toc98394875"/>
      <w:bookmarkStart w:id="19" w:name="_Toc296423679"/>
      <w:bookmarkStart w:id="20" w:name="_Toc296497510"/>
      <w:r w:rsidRPr="005C2FCF">
        <w:lastRenderedPageBreak/>
        <w:t>About the research</w:t>
      </w:r>
    </w:p>
    <w:p w:rsidR="00FE1E3D" w:rsidRDefault="00FE1E3D" w:rsidP="00FE1E3D">
      <w:pPr>
        <w:pStyle w:val="Abouttheresearchpubtitle"/>
      </w:pPr>
      <w:r>
        <w:t xml:space="preserve">Understanding </w:t>
      </w:r>
      <w:r w:rsidR="00A27245">
        <w:t xml:space="preserve">the </w:t>
      </w:r>
      <w:r>
        <w:t>non-completion of apprentices</w:t>
      </w:r>
    </w:p>
    <w:p w:rsidR="00FE1E3D" w:rsidRPr="001B43CF" w:rsidRDefault="00FE1E3D" w:rsidP="00FE1E3D">
      <w:pPr>
        <w:pStyle w:val="Heading3"/>
      </w:pPr>
      <w:r>
        <w:t>Alice Bednarz,</w:t>
      </w:r>
      <w:r w:rsidRPr="005C2FCF">
        <w:t xml:space="preserve"> </w:t>
      </w:r>
      <w:r>
        <w:t>National Centre for Vocational Education Research</w:t>
      </w:r>
    </w:p>
    <w:bookmarkEnd w:id="8"/>
    <w:bookmarkEnd w:id="9"/>
    <w:bookmarkEnd w:id="10"/>
    <w:bookmarkEnd w:id="11"/>
    <w:bookmarkEnd w:id="12"/>
    <w:bookmarkEnd w:id="13"/>
    <w:bookmarkEnd w:id="14"/>
    <w:bookmarkEnd w:id="15"/>
    <w:bookmarkEnd w:id="16"/>
    <w:bookmarkEnd w:id="17"/>
    <w:bookmarkEnd w:id="18"/>
    <w:bookmarkEnd w:id="19"/>
    <w:bookmarkEnd w:id="20"/>
    <w:p w:rsidR="00EA3676" w:rsidRPr="00CC43EA" w:rsidRDefault="00EA3676" w:rsidP="00EA3676">
      <w:pPr>
        <w:pStyle w:val="Text"/>
        <w:rPr>
          <w:color w:val="000000"/>
        </w:rPr>
      </w:pPr>
      <w:r>
        <w:t xml:space="preserve">Approximately half of all apprenticeship contracts </w:t>
      </w:r>
      <w:r w:rsidR="00930ACB">
        <w:t xml:space="preserve">in the trades </w:t>
      </w:r>
      <w:r>
        <w:t>are not</w:t>
      </w:r>
      <w:r w:rsidR="00451C52">
        <w:t xml:space="preserve"> completed. </w:t>
      </w:r>
      <w:proofErr w:type="gramStart"/>
      <w:r w:rsidR="00451C52">
        <w:t>In this context, this</w:t>
      </w:r>
      <w:r w:rsidR="00BA7FD3">
        <w:t xml:space="preserve"> </w:t>
      </w:r>
      <w:r w:rsidR="00D0375E">
        <w:t>review</w:t>
      </w:r>
      <w:r w:rsidR="00BA7FD3">
        <w:t xml:space="preserve"> draws together existing research on why apprentices do not complete their training.</w:t>
      </w:r>
      <w:proofErr w:type="gramEnd"/>
      <w:r w:rsidR="00BA7FD3">
        <w:t xml:space="preserve"> </w:t>
      </w:r>
      <w:r w:rsidR="008302EA">
        <w:t>The issue of non-completion is considered f</w:t>
      </w:r>
      <w:r w:rsidR="00CF462D">
        <w:t>rom</w:t>
      </w:r>
      <w:r w:rsidR="008302EA">
        <w:t xml:space="preserve"> multiple angles, including apprentices</w:t>
      </w:r>
      <w:r w:rsidR="00841F93">
        <w:t>’</w:t>
      </w:r>
      <w:r w:rsidR="008302EA">
        <w:t xml:space="preserve"> self-reported reasons for non-completion, the impact of employer</w:t>
      </w:r>
      <w:r w:rsidR="000C7AFF">
        <w:t xml:space="preserve"> characteristics</w:t>
      </w:r>
      <w:r w:rsidR="008302EA">
        <w:t xml:space="preserve">, and </w:t>
      </w:r>
      <w:r w:rsidR="000C7AFF">
        <w:t>apprentices</w:t>
      </w:r>
      <w:r w:rsidR="00841F93">
        <w:t>’</w:t>
      </w:r>
      <w:r w:rsidR="000C7AFF">
        <w:t xml:space="preserve"> and employers</w:t>
      </w:r>
      <w:r w:rsidR="00841F93">
        <w:t>’</w:t>
      </w:r>
      <w:r w:rsidR="000C7AFF">
        <w:t xml:space="preserve"> satisfaction with the </w:t>
      </w:r>
      <w:r w:rsidR="008302EA">
        <w:t>training provider.</w:t>
      </w:r>
      <w:r w:rsidRPr="00EA3676">
        <w:t xml:space="preserve"> </w:t>
      </w:r>
      <w:r>
        <w:t xml:space="preserve">The report is based on findings from surveys </w:t>
      </w:r>
      <w:r w:rsidR="006470B9">
        <w:t xml:space="preserve">undertaken by the National Centre for Vocational Education Research (NCVER) </w:t>
      </w:r>
      <w:r>
        <w:t>and other nat</w:t>
      </w:r>
      <w:r w:rsidR="00930ACB">
        <w:t>ional surveys</w:t>
      </w:r>
      <w:r w:rsidR="00D0375E">
        <w:t xml:space="preserve">, </w:t>
      </w:r>
      <w:r w:rsidR="00930ACB">
        <w:t>industry studies and</w:t>
      </w:r>
      <w:r>
        <w:t xml:space="preserve"> research papers.</w:t>
      </w:r>
    </w:p>
    <w:p w:rsidR="00BA7FD3" w:rsidRDefault="00BA7FD3" w:rsidP="00BA7FD3">
      <w:pPr>
        <w:pStyle w:val="Keymessages"/>
      </w:pPr>
      <w:r w:rsidRPr="005C2FCF">
        <w:t>Key messages</w:t>
      </w:r>
    </w:p>
    <w:p w:rsidR="00EA3676" w:rsidRDefault="00930ACB" w:rsidP="00EA3676">
      <w:pPr>
        <w:pStyle w:val="Dotpoint1"/>
      </w:pPr>
      <w:r>
        <w:t>Employment-related reasons are the most commonly cited reasons for not completing an apprenticeship</w:t>
      </w:r>
      <w:r w:rsidR="00EA3676">
        <w:t xml:space="preserve">. These include </w:t>
      </w:r>
      <w:r w:rsidR="0001715C">
        <w:t xml:space="preserve">experiencing </w:t>
      </w:r>
      <w:r w:rsidR="00EA3676">
        <w:t xml:space="preserve">interpersonal difficulties with employers or colleagues, being made redundant, not liking the work </w:t>
      </w:r>
      <w:r w:rsidR="00A27245">
        <w:t>and</w:t>
      </w:r>
      <w:r w:rsidR="00EA3676">
        <w:t xml:space="preserve"> changing career.</w:t>
      </w:r>
      <w:r w:rsidR="00EA3676" w:rsidRPr="008302EA">
        <w:t xml:space="preserve"> </w:t>
      </w:r>
      <w:r w:rsidR="00EA3676">
        <w:t>By contrast, issues with the off</w:t>
      </w:r>
      <w:r>
        <w:t xml:space="preserve">-the-job training are the least </w:t>
      </w:r>
      <w:r w:rsidR="00EA3676">
        <w:t>frequently cited reasons for not completing an apprenticeship.</w:t>
      </w:r>
    </w:p>
    <w:p w:rsidR="008B0746" w:rsidRDefault="0010212C" w:rsidP="008B0746">
      <w:pPr>
        <w:pStyle w:val="Dotpoint1"/>
      </w:pPr>
      <w:r>
        <w:t>There</w:t>
      </w:r>
      <w:r w:rsidR="008B0746">
        <w:t xml:space="preserve"> is a </w:t>
      </w:r>
      <w:r w:rsidR="006470B9">
        <w:t>large</w:t>
      </w:r>
      <w:r w:rsidR="008B0746">
        <w:t xml:space="preserve"> difference in completers</w:t>
      </w:r>
      <w:r w:rsidR="00841F93">
        <w:t>’</w:t>
      </w:r>
      <w:r w:rsidR="008B0746">
        <w:t xml:space="preserve"> and non-completers</w:t>
      </w:r>
      <w:r w:rsidR="00841F93">
        <w:t>’</w:t>
      </w:r>
      <w:r w:rsidR="008B0746">
        <w:t xml:space="preserve"> satisfaction with their employment experience overall. The majority of completers (80%) </w:t>
      </w:r>
      <w:r w:rsidR="003B40AB">
        <w:t>are</w:t>
      </w:r>
      <w:r w:rsidR="008B0746">
        <w:t xml:space="preserve"> satisfied with the employment experience overall, compared </w:t>
      </w:r>
      <w:r w:rsidR="006470B9">
        <w:t>with</w:t>
      </w:r>
      <w:r w:rsidR="008B0746">
        <w:t xml:space="preserve"> just 42% of non-completers. This provides further evidence that the employment experience, rather than the off-the-job-training experience, carries greater weight in whether an apprentice stays or goes.</w:t>
      </w:r>
    </w:p>
    <w:p w:rsidR="00EA3676" w:rsidRDefault="00EA3676" w:rsidP="00EA3676">
      <w:pPr>
        <w:pStyle w:val="Dotpoint1"/>
      </w:pPr>
      <w:r>
        <w:t xml:space="preserve">There is conflicting evidence </w:t>
      </w:r>
      <w:r w:rsidR="006470B9">
        <w:t>on</w:t>
      </w:r>
      <w:r>
        <w:t xml:space="preserve"> the importance of wages. Most studies find that low wages are not the most common reason for non-completion, but </w:t>
      </w:r>
      <w:r w:rsidR="00A27245">
        <w:t xml:space="preserve">they </w:t>
      </w:r>
      <w:r>
        <w:t xml:space="preserve">are nonetheless one of the top </w:t>
      </w:r>
      <w:r w:rsidR="0001715C">
        <w:t>few</w:t>
      </w:r>
      <w:r>
        <w:t xml:space="preserve"> factors. An increase in wages alone is unlikely to solve the problem of low completion rates, since multiple factors are </w:t>
      </w:r>
      <w:r w:rsidR="006470B9">
        <w:t xml:space="preserve">often </w:t>
      </w:r>
      <w:r>
        <w:t>to blame.</w:t>
      </w:r>
    </w:p>
    <w:p w:rsidR="00E2768C" w:rsidRDefault="00E2768C" w:rsidP="00E2768C">
      <w:pPr>
        <w:pStyle w:val="Dotpoint1"/>
      </w:pPr>
      <w:r>
        <w:t xml:space="preserve">Apprentices generally leave </w:t>
      </w:r>
      <w:bookmarkStart w:id="21" w:name="_GoBack"/>
      <w:bookmarkEnd w:id="21"/>
      <w:r>
        <w:t>their apprenticeship</w:t>
      </w:r>
      <w:r w:rsidR="00ED6F52">
        <w:t xml:space="preserve"> contract</w:t>
      </w:r>
      <w:r w:rsidR="0001715C">
        <w:t xml:space="preserve"> early on</w:t>
      </w:r>
      <w:r>
        <w:t>: 60% of those who leave do so within the first year.</w:t>
      </w:r>
      <w:r w:rsidR="00D0375E">
        <w:t xml:space="preserve"> </w:t>
      </w:r>
    </w:p>
    <w:p w:rsidR="00D0375E" w:rsidRDefault="00D0375E" w:rsidP="00001A09">
      <w:pPr>
        <w:pStyle w:val="Dotpoint1"/>
        <w:ind w:right="-284"/>
      </w:pPr>
      <w:r>
        <w:t>The influence of the employer cannot be overstated. Employers with the highest comple</w:t>
      </w:r>
      <w:r w:rsidR="006470B9">
        <w:t>tion rates are</w:t>
      </w:r>
      <w:r w:rsidR="00001A09">
        <w:t> </w:t>
      </w:r>
      <w:r w:rsidR="006470B9">
        <w:t>generally larger</w:t>
      </w:r>
      <w:r w:rsidR="0001715C">
        <w:t>,</w:t>
      </w:r>
      <w:r>
        <w:t xml:space="preserve"> experienced employers with well-organised systems for managing</w:t>
      </w:r>
      <w:r w:rsidR="0010212C">
        <w:t xml:space="preserve"> and recruiting</w:t>
      </w:r>
      <w:r>
        <w:t xml:space="preserve"> apprentices. Employers with lower comp</w:t>
      </w:r>
      <w:r w:rsidR="006470B9">
        <w:t>letion rates tend to be smaller</w:t>
      </w:r>
      <w:r>
        <w:t xml:space="preserve"> and have less experience. </w:t>
      </w:r>
    </w:p>
    <w:p w:rsidR="00BA7FD3" w:rsidRDefault="00CF462D" w:rsidP="00E834F9">
      <w:pPr>
        <w:pStyle w:val="Text"/>
      </w:pPr>
      <w:r>
        <w:t xml:space="preserve">These findings </w:t>
      </w:r>
      <w:r w:rsidR="00BA7FD3">
        <w:t>suggest a number of i</w:t>
      </w:r>
      <w:r w:rsidR="00D0375E">
        <w:t>deas for future policy developments, such as</w:t>
      </w:r>
      <w:r w:rsidR="00BA7FD3">
        <w:t xml:space="preserve"> encouraging more</w:t>
      </w:r>
      <w:r w:rsidR="00D0375E">
        <w:t xml:space="preserve"> rigorous recruitment practices; provid</w:t>
      </w:r>
      <w:r w:rsidR="006470B9">
        <w:t>ing greater support for smaller</w:t>
      </w:r>
      <w:r w:rsidR="0001715C">
        <w:t>,</w:t>
      </w:r>
      <w:r w:rsidR="00D0375E">
        <w:t xml:space="preserve"> less-experienced employers; providing greater mentoring support for apprentices, particularly in the early stages of their apprenticeship;</w:t>
      </w:r>
      <w:r w:rsidR="00BA7FD3">
        <w:t xml:space="preserve"> and considering alternative apprenticeship models</w:t>
      </w:r>
      <w:r w:rsidR="0001715C">
        <w:t>, specifically those that</w:t>
      </w:r>
      <w:r w:rsidR="00F376F8">
        <w:t xml:space="preserve"> reduce the pressure on employers</w:t>
      </w:r>
      <w:r w:rsidR="00D0375E">
        <w:t>.</w:t>
      </w:r>
    </w:p>
    <w:p w:rsidR="008302EA" w:rsidRDefault="008302EA" w:rsidP="00E834F9">
      <w:pPr>
        <w:pStyle w:val="Text"/>
      </w:pPr>
    </w:p>
    <w:p w:rsidR="00E834F9" w:rsidRDefault="00BA7FD3" w:rsidP="00E834F9">
      <w:pPr>
        <w:pStyle w:val="Text"/>
      </w:pPr>
      <w:r>
        <w:t>Rod Camm</w:t>
      </w:r>
      <w:r>
        <w:br/>
        <w:t>Managing Director, NCVER</w:t>
      </w:r>
    </w:p>
    <w:p w:rsidR="00E834F9" w:rsidRDefault="00E834F9">
      <w:pPr>
        <w:rPr>
          <w:rFonts w:ascii="Trebuchet MS" w:hAnsi="Trebuchet MS"/>
          <w:sz w:val="19"/>
          <w:szCs w:val="20"/>
          <w:lang w:eastAsia="en-US"/>
        </w:rPr>
      </w:pPr>
      <w:r>
        <w:br w:type="page"/>
      </w:r>
    </w:p>
    <w:p w:rsidR="00E834F9" w:rsidRDefault="00E834F9">
      <w:pPr>
        <w:rPr>
          <w:rFonts w:ascii="Trebuchet MS" w:hAnsi="Trebuchet MS"/>
          <w:sz w:val="19"/>
          <w:szCs w:val="20"/>
          <w:lang w:eastAsia="en-US"/>
        </w:rPr>
      </w:pPr>
      <w:r>
        <w:lastRenderedPageBreak/>
        <w:br w:type="page"/>
      </w:r>
    </w:p>
    <w:p w:rsidR="00BA7FD3" w:rsidRDefault="00BA7FD3" w:rsidP="00FC4CA9">
      <w:pPr>
        <w:pStyle w:val="Text"/>
        <w:sectPr w:rsidR="00BA7FD3" w:rsidSect="00E834F9">
          <w:pgSz w:w="11907" w:h="16840" w:code="9"/>
          <w:pgMar w:top="1276" w:right="1701" w:bottom="1276" w:left="1418" w:header="709" w:footer="556" w:gutter="0"/>
          <w:cols w:space="708"/>
          <w:docGrid w:linePitch="360"/>
        </w:sectPr>
      </w:pPr>
    </w:p>
    <w:p w:rsidR="00EB0AD7" w:rsidRPr="00DC5F5C" w:rsidRDefault="00EB0AD7" w:rsidP="00EB0AD7">
      <w:pPr>
        <w:pStyle w:val="Contents"/>
      </w:pPr>
      <w:bookmarkStart w:id="22" w:name="_Toc98394880"/>
      <w:bookmarkStart w:id="23" w:name="_Toc296423683"/>
      <w:bookmarkStart w:id="24" w:name="_Toc296497514"/>
      <w:r w:rsidRPr="00DC5F5C">
        <w:lastRenderedPageBreak/>
        <w:t>Contents</w:t>
      </w:r>
      <w:bookmarkEnd w:id="22"/>
      <w:bookmarkEnd w:id="23"/>
      <w:bookmarkEnd w:id="24"/>
    </w:p>
    <w:p w:rsidR="00EF4BD2" w:rsidRDefault="003F09A2">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EB0AD7" w:rsidRPr="009775C7">
        <w:rPr>
          <w:rFonts w:ascii="Avant Garde" w:hAnsi="Avant Garde"/>
        </w:rPr>
        <w:instrText xml:space="preserve"> TOC \o "1-2" </w:instrText>
      </w:r>
      <w:r w:rsidRPr="009775C7">
        <w:rPr>
          <w:rFonts w:ascii="Avant Garde" w:hAnsi="Avant Garde"/>
        </w:rPr>
        <w:fldChar w:fldCharType="separate"/>
      </w:r>
      <w:r w:rsidR="00EF4BD2">
        <w:t>Tables and figures</w:t>
      </w:r>
      <w:r w:rsidR="00EF4BD2">
        <w:tab/>
      </w:r>
      <w:r>
        <w:fldChar w:fldCharType="begin"/>
      </w:r>
      <w:r w:rsidR="00EF4BD2">
        <w:instrText xml:space="preserve"> PAGEREF _Toc377040291 \h </w:instrText>
      </w:r>
      <w:r>
        <w:fldChar w:fldCharType="separate"/>
      </w:r>
      <w:r w:rsidR="00B31CD6">
        <w:t>6</w:t>
      </w:r>
      <w:r>
        <w:fldChar w:fldCharType="end"/>
      </w:r>
    </w:p>
    <w:p w:rsidR="00EF4BD2" w:rsidRDefault="00EF4BD2">
      <w:pPr>
        <w:pStyle w:val="TOC1"/>
        <w:rPr>
          <w:rFonts w:asciiTheme="minorHAnsi" w:eastAsiaTheme="minorEastAsia" w:hAnsiTheme="minorHAnsi" w:cstheme="minorBidi"/>
          <w:color w:val="auto"/>
          <w:sz w:val="22"/>
          <w:szCs w:val="22"/>
          <w:lang w:eastAsia="en-AU"/>
        </w:rPr>
      </w:pPr>
      <w:r>
        <w:t>Introduction</w:t>
      </w:r>
      <w:r>
        <w:tab/>
      </w:r>
      <w:r w:rsidR="003F09A2">
        <w:fldChar w:fldCharType="begin"/>
      </w:r>
      <w:r>
        <w:instrText xml:space="preserve"> PAGEREF _Toc377040294 \h </w:instrText>
      </w:r>
      <w:r w:rsidR="003F09A2">
        <w:fldChar w:fldCharType="separate"/>
      </w:r>
      <w:r w:rsidR="00B31CD6">
        <w:t>7</w:t>
      </w:r>
      <w:r w:rsidR="003F09A2">
        <w:fldChar w:fldCharType="end"/>
      </w:r>
    </w:p>
    <w:p w:rsidR="00EF4BD2" w:rsidRDefault="00EF4BD2">
      <w:pPr>
        <w:pStyle w:val="TOC1"/>
        <w:rPr>
          <w:rFonts w:asciiTheme="minorHAnsi" w:eastAsiaTheme="minorEastAsia" w:hAnsiTheme="minorHAnsi" w:cstheme="minorBidi"/>
          <w:color w:val="auto"/>
          <w:sz w:val="22"/>
          <w:szCs w:val="22"/>
          <w:lang w:eastAsia="en-AU"/>
        </w:rPr>
      </w:pPr>
      <w:r>
        <w:t>Background</w:t>
      </w:r>
      <w:r>
        <w:tab/>
      </w:r>
      <w:r w:rsidR="003F09A2">
        <w:fldChar w:fldCharType="begin"/>
      </w:r>
      <w:r>
        <w:instrText xml:space="preserve"> PAGEREF _Toc377040295 \h </w:instrText>
      </w:r>
      <w:r w:rsidR="003F09A2">
        <w:fldChar w:fldCharType="separate"/>
      </w:r>
      <w:r w:rsidR="00B31CD6">
        <w:t>8</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Completion rates</w:t>
      </w:r>
      <w:r>
        <w:tab/>
      </w:r>
      <w:r w:rsidR="003F09A2">
        <w:fldChar w:fldCharType="begin"/>
      </w:r>
      <w:r>
        <w:instrText xml:space="preserve"> PAGEREF _Toc377040296 \h </w:instrText>
      </w:r>
      <w:r w:rsidR="003F09A2">
        <w:fldChar w:fldCharType="separate"/>
      </w:r>
      <w:r w:rsidR="00B31CD6">
        <w:t>9</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Data issues in measuring and reporting completion rates</w:t>
      </w:r>
      <w:r>
        <w:tab/>
      </w:r>
      <w:r w:rsidR="003F09A2">
        <w:fldChar w:fldCharType="begin"/>
      </w:r>
      <w:r>
        <w:instrText xml:space="preserve"> PAGEREF _Toc377040297 \h </w:instrText>
      </w:r>
      <w:r w:rsidR="003F09A2">
        <w:fldChar w:fldCharType="separate"/>
      </w:r>
      <w:r w:rsidR="00B31CD6">
        <w:t>11</w:t>
      </w:r>
      <w:r w:rsidR="003F09A2">
        <w:fldChar w:fldCharType="end"/>
      </w:r>
    </w:p>
    <w:p w:rsidR="00EF4BD2" w:rsidRDefault="00EF4BD2">
      <w:pPr>
        <w:pStyle w:val="TOC1"/>
        <w:rPr>
          <w:rFonts w:asciiTheme="minorHAnsi" w:eastAsiaTheme="minorEastAsia" w:hAnsiTheme="minorHAnsi" w:cstheme="minorBidi"/>
          <w:color w:val="auto"/>
          <w:sz w:val="22"/>
          <w:szCs w:val="22"/>
          <w:lang w:eastAsia="en-AU"/>
        </w:rPr>
      </w:pPr>
      <w:r>
        <w:t>Why apprentices do not complete</w:t>
      </w:r>
      <w:r>
        <w:tab/>
      </w:r>
      <w:r w:rsidR="003F09A2">
        <w:fldChar w:fldCharType="begin"/>
      </w:r>
      <w:r>
        <w:instrText xml:space="preserve"> PAGEREF _Toc377040298 \h </w:instrText>
      </w:r>
      <w:r w:rsidR="003F09A2">
        <w:fldChar w:fldCharType="separate"/>
      </w:r>
      <w:r w:rsidR="00B31CD6">
        <w:t>13</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Reasons for not completing</w:t>
      </w:r>
      <w:r>
        <w:tab/>
      </w:r>
      <w:r w:rsidR="003F09A2">
        <w:fldChar w:fldCharType="begin"/>
      </w:r>
      <w:r>
        <w:instrText xml:space="preserve"> PAGEREF _Toc377040299 \h </w:instrText>
      </w:r>
      <w:r w:rsidR="003F09A2">
        <w:fldChar w:fldCharType="separate"/>
      </w:r>
      <w:r w:rsidR="00B31CD6">
        <w:t>13</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When do apprentices leave?</w:t>
      </w:r>
      <w:r>
        <w:tab/>
      </w:r>
      <w:r w:rsidR="003F09A2">
        <w:fldChar w:fldCharType="begin"/>
      </w:r>
      <w:r>
        <w:instrText xml:space="preserve"> PAGEREF _Toc377040300 \h </w:instrText>
      </w:r>
      <w:r w:rsidR="003F09A2">
        <w:fldChar w:fldCharType="separate"/>
      </w:r>
      <w:r w:rsidR="00B31CD6">
        <w:t>16</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Do the reasons for not completing change with duration?</w:t>
      </w:r>
      <w:r>
        <w:tab/>
      </w:r>
      <w:r w:rsidR="003F09A2">
        <w:fldChar w:fldCharType="begin"/>
      </w:r>
      <w:r>
        <w:instrText xml:space="preserve"> PAGEREF _Toc377040301 \h </w:instrText>
      </w:r>
      <w:r w:rsidR="003F09A2">
        <w:fldChar w:fldCharType="separate"/>
      </w:r>
      <w:r w:rsidR="00B31CD6">
        <w:t>17</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What happens to those who quit?</w:t>
      </w:r>
      <w:r>
        <w:tab/>
      </w:r>
      <w:r w:rsidR="003F09A2">
        <w:fldChar w:fldCharType="begin"/>
      </w:r>
      <w:r>
        <w:instrText xml:space="preserve"> PAGEREF _Toc377040302 \h </w:instrText>
      </w:r>
      <w:r w:rsidR="003F09A2">
        <w:fldChar w:fldCharType="separate"/>
      </w:r>
      <w:r w:rsidR="00B31CD6">
        <w:t>17</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The impact of wages</w:t>
      </w:r>
      <w:r>
        <w:tab/>
      </w:r>
      <w:r w:rsidR="003F09A2">
        <w:fldChar w:fldCharType="begin"/>
      </w:r>
      <w:r>
        <w:instrText xml:space="preserve"> PAGEREF _Toc377040303 \h </w:instrText>
      </w:r>
      <w:r w:rsidR="003F09A2">
        <w:fldChar w:fldCharType="separate"/>
      </w:r>
      <w:r w:rsidR="00B31CD6">
        <w:t>18</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Fairness and respect</w:t>
      </w:r>
      <w:r>
        <w:tab/>
      </w:r>
      <w:r w:rsidR="003F09A2">
        <w:fldChar w:fldCharType="begin"/>
      </w:r>
      <w:r>
        <w:instrText xml:space="preserve"> PAGEREF _Toc377040304 \h </w:instrText>
      </w:r>
      <w:r w:rsidR="003F09A2">
        <w:fldChar w:fldCharType="separate"/>
      </w:r>
      <w:r w:rsidR="00B31CD6">
        <w:t>19</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Lack of support</w:t>
      </w:r>
      <w:r>
        <w:tab/>
      </w:r>
      <w:r w:rsidR="003F09A2">
        <w:fldChar w:fldCharType="begin"/>
      </w:r>
      <w:r>
        <w:instrText xml:space="preserve"> PAGEREF _Toc377040305 \h </w:instrText>
      </w:r>
      <w:r w:rsidR="003F09A2">
        <w:fldChar w:fldCharType="separate"/>
      </w:r>
      <w:r w:rsidR="00B31CD6">
        <w:t>19</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Characteristics of successful apprentices</w:t>
      </w:r>
      <w:r>
        <w:tab/>
      </w:r>
      <w:r w:rsidR="003F09A2">
        <w:fldChar w:fldCharType="begin"/>
      </w:r>
      <w:r>
        <w:instrText xml:space="preserve"> PAGEREF _Toc377040306 \h </w:instrText>
      </w:r>
      <w:r w:rsidR="003F09A2">
        <w:fldChar w:fldCharType="separate"/>
      </w:r>
      <w:r w:rsidR="00B31CD6">
        <w:t>19</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rsidRPr="004B0363">
        <w:rPr>
          <w:rFonts w:eastAsia="Calibri"/>
        </w:rPr>
        <w:t>Satisfaction with apprenticeship: completers versus non-completers</w:t>
      </w:r>
      <w:r>
        <w:tab/>
      </w:r>
      <w:r w:rsidR="003F09A2">
        <w:fldChar w:fldCharType="begin"/>
      </w:r>
      <w:r>
        <w:instrText xml:space="preserve"> PAGEREF _Toc377040307 \h </w:instrText>
      </w:r>
      <w:r w:rsidR="003F09A2">
        <w:fldChar w:fldCharType="separate"/>
      </w:r>
      <w:r w:rsidR="00B31CD6">
        <w:t>20</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rsidRPr="004B0363">
        <w:rPr>
          <w:rFonts w:eastAsia="Calibri"/>
        </w:rPr>
        <w:t>Change in young people’s expectations</w:t>
      </w:r>
      <w:r>
        <w:tab/>
      </w:r>
      <w:r w:rsidR="003F09A2">
        <w:fldChar w:fldCharType="begin"/>
      </w:r>
      <w:r>
        <w:instrText xml:space="preserve"> PAGEREF _Toc377040308 \h </w:instrText>
      </w:r>
      <w:r w:rsidR="003F09A2">
        <w:fldChar w:fldCharType="separate"/>
      </w:r>
      <w:r w:rsidR="00B31CD6">
        <w:t>21</w:t>
      </w:r>
      <w:r w:rsidR="003F09A2">
        <w:fldChar w:fldCharType="end"/>
      </w:r>
    </w:p>
    <w:p w:rsidR="00EF4BD2" w:rsidRDefault="00EF4BD2">
      <w:pPr>
        <w:pStyle w:val="TOC1"/>
        <w:rPr>
          <w:rFonts w:asciiTheme="minorHAnsi" w:eastAsiaTheme="minorEastAsia" w:hAnsiTheme="minorHAnsi" w:cstheme="minorBidi"/>
          <w:color w:val="auto"/>
          <w:sz w:val="22"/>
          <w:szCs w:val="22"/>
          <w:lang w:eastAsia="en-AU"/>
        </w:rPr>
      </w:pPr>
      <w:r>
        <w:t>Employer influences</w:t>
      </w:r>
      <w:r>
        <w:tab/>
      </w:r>
      <w:r w:rsidR="003F09A2">
        <w:fldChar w:fldCharType="begin"/>
      </w:r>
      <w:r>
        <w:instrText xml:space="preserve"> PAGEREF _Toc377040309 \h </w:instrText>
      </w:r>
      <w:r w:rsidR="003F09A2">
        <w:fldChar w:fldCharType="separate"/>
      </w:r>
      <w:r w:rsidR="00B31CD6">
        <w:t>23</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Employer size and type</w:t>
      </w:r>
      <w:r>
        <w:tab/>
      </w:r>
      <w:r w:rsidR="003F09A2">
        <w:fldChar w:fldCharType="begin"/>
      </w:r>
      <w:r>
        <w:instrText xml:space="preserve"> PAGEREF _Toc377040310 \h </w:instrText>
      </w:r>
      <w:r w:rsidR="003F09A2">
        <w:fldChar w:fldCharType="separate"/>
      </w:r>
      <w:r w:rsidR="00B31CD6">
        <w:t>23</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Other employer characteristics</w:t>
      </w:r>
      <w:r>
        <w:tab/>
      </w:r>
      <w:r w:rsidR="003F09A2">
        <w:fldChar w:fldCharType="begin"/>
      </w:r>
      <w:r>
        <w:instrText xml:space="preserve"> PAGEREF _Toc377040311 \h </w:instrText>
      </w:r>
      <w:r w:rsidR="003F09A2">
        <w:fldChar w:fldCharType="separate"/>
      </w:r>
      <w:r w:rsidR="00B31CD6">
        <w:t>24</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rsidRPr="004B0363">
        <w:rPr>
          <w:kern w:val="28"/>
        </w:rPr>
        <w:t>Employer challenges</w:t>
      </w:r>
      <w:r>
        <w:tab/>
      </w:r>
      <w:r w:rsidR="003F09A2">
        <w:fldChar w:fldCharType="begin"/>
      </w:r>
      <w:r>
        <w:instrText xml:space="preserve"> PAGEREF _Toc377040312 \h </w:instrText>
      </w:r>
      <w:r w:rsidR="003F09A2">
        <w:fldChar w:fldCharType="separate"/>
      </w:r>
      <w:r w:rsidR="00B31CD6">
        <w:t>26</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Retention strategies used by ‘best practice’ employers</w:t>
      </w:r>
      <w:r>
        <w:tab/>
      </w:r>
      <w:r w:rsidR="003F09A2">
        <w:fldChar w:fldCharType="begin"/>
      </w:r>
      <w:r>
        <w:instrText xml:space="preserve"> PAGEREF _Toc377040313 \h </w:instrText>
      </w:r>
      <w:r w:rsidR="003F09A2">
        <w:fldChar w:fldCharType="separate"/>
      </w:r>
      <w:r w:rsidR="00B31CD6">
        <w:t>27</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rsidRPr="004B0363">
        <w:rPr>
          <w:rFonts w:eastAsia="Calibri"/>
        </w:rPr>
        <w:t>Cost to the employer</w:t>
      </w:r>
      <w:r>
        <w:tab/>
      </w:r>
      <w:r w:rsidR="003F09A2">
        <w:fldChar w:fldCharType="begin"/>
      </w:r>
      <w:r>
        <w:instrText xml:space="preserve"> PAGEREF _Toc377040314 \h </w:instrText>
      </w:r>
      <w:r w:rsidR="003F09A2">
        <w:fldChar w:fldCharType="separate"/>
      </w:r>
      <w:r w:rsidR="00B31CD6">
        <w:t>30</w:t>
      </w:r>
      <w:r w:rsidR="003F09A2">
        <w:fldChar w:fldCharType="end"/>
      </w:r>
    </w:p>
    <w:p w:rsidR="00EF4BD2" w:rsidRDefault="00EF4BD2">
      <w:pPr>
        <w:pStyle w:val="TOC1"/>
        <w:rPr>
          <w:rFonts w:asciiTheme="minorHAnsi" w:eastAsiaTheme="minorEastAsia" w:hAnsiTheme="minorHAnsi" w:cstheme="minorBidi"/>
          <w:color w:val="auto"/>
          <w:sz w:val="22"/>
          <w:szCs w:val="22"/>
          <w:lang w:eastAsia="en-AU"/>
        </w:rPr>
      </w:pPr>
      <w:r>
        <w:t>Off-the-job training experience</w:t>
      </w:r>
      <w:r>
        <w:tab/>
      </w:r>
      <w:r w:rsidR="003F09A2">
        <w:fldChar w:fldCharType="begin"/>
      </w:r>
      <w:r>
        <w:instrText xml:space="preserve"> PAGEREF _Toc377040315 \h </w:instrText>
      </w:r>
      <w:r w:rsidR="003F09A2">
        <w:fldChar w:fldCharType="separate"/>
      </w:r>
      <w:r w:rsidR="00B31CD6">
        <w:t>31</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Apprentice and employer satisfaction</w:t>
      </w:r>
      <w:r>
        <w:tab/>
      </w:r>
      <w:r w:rsidR="003F09A2">
        <w:fldChar w:fldCharType="begin"/>
      </w:r>
      <w:r>
        <w:instrText xml:space="preserve"> PAGEREF _Toc377040316 \h </w:instrText>
      </w:r>
      <w:r w:rsidR="003F09A2">
        <w:fldChar w:fldCharType="separate"/>
      </w:r>
      <w:r w:rsidR="00B31CD6">
        <w:t>31</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Challenges for trainers</w:t>
      </w:r>
      <w:r>
        <w:tab/>
      </w:r>
      <w:r w:rsidR="003F09A2">
        <w:fldChar w:fldCharType="begin"/>
      </w:r>
      <w:r>
        <w:instrText xml:space="preserve"> PAGEREF _Toc377040317 \h </w:instrText>
      </w:r>
      <w:r w:rsidR="003F09A2">
        <w:fldChar w:fldCharType="separate"/>
      </w:r>
      <w:r w:rsidR="00B31CD6">
        <w:t>31</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Implications</w:t>
      </w:r>
      <w:r>
        <w:tab/>
      </w:r>
      <w:r w:rsidR="003F09A2">
        <w:fldChar w:fldCharType="begin"/>
      </w:r>
      <w:r>
        <w:instrText xml:space="preserve"> PAGEREF _Toc377040318 \h </w:instrText>
      </w:r>
      <w:r w:rsidR="003F09A2">
        <w:fldChar w:fldCharType="separate"/>
      </w:r>
      <w:r w:rsidR="00B31CD6">
        <w:t>32</w:t>
      </w:r>
      <w:r w:rsidR="003F09A2">
        <w:fldChar w:fldCharType="end"/>
      </w:r>
    </w:p>
    <w:p w:rsidR="00EF4BD2" w:rsidRDefault="00EF4BD2">
      <w:pPr>
        <w:pStyle w:val="TOC1"/>
        <w:rPr>
          <w:rFonts w:asciiTheme="minorHAnsi" w:eastAsiaTheme="minorEastAsia" w:hAnsiTheme="minorHAnsi" w:cstheme="minorBidi"/>
          <w:color w:val="auto"/>
          <w:sz w:val="22"/>
          <w:szCs w:val="22"/>
          <w:lang w:eastAsia="en-AU"/>
        </w:rPr>
      </w:pPr>
      <w:r>
        <w:t>The value of completing</w:t>
      </w:r>
      <w:r>
        <w:tab/>
      </w:r>
      <w:r w:rsidR="003F09A2">
        <w:fldChar w:fldCharType="begin"/>
      </w:r>
      <w:r>
        <w:instrText xml:space="preserve"> PAGEREF _Toc377040319 \h </w:instrText>
      </w:r>
      <w:r w:rsidR="003F09A2">
        <w:fldChar w:fldCharType="separate"/>
      </w:r>
      <w:r w:rsidR="00B31CD6">
        <w:t>33</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Is not completing always a bad thing?</w:t>
      </w:r>
      <w:r>
        <w:tab/>
      </w:r>
      <w:r w:rsidR="003F09A2">
        <w:fldChar w:fldCharType="begin"/>
      </w:r>
      <w:r>
        <w:instrText xml:space="preserve"> PAGEREF _Toc377040320 \h </w:instrText>
      </w:r>
      <w:r w:rsidR="003F09A2">
        <w:fldChar w:fldCharType="separate"/>
      </w:r>
      <w:r w:rsidR="00B31CD6">
        <w:t>33</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Monetary rewards</w:t>
      </w:r>
      <w:r>
        <w:tab/>
      </w:r>
      <w:r w:rsidR="003F09A2">
        <w:fldChar w:fldCharType="begin"/>
      </w:r>
      <w:r>
        <w:instrText xml:space="preserve"> PAGEREF _Toc377040321 \h </w:instrText>
      </w:r>
      <w:r w:rsidR="003F09A2">
        <w:fldChar w:fldCharType="separate"/>
      </w:r>
      <w:r w:rsidR="00B31CD6">
        <w:t>33</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Employment prospects</w:t>
      </w:r>
      <w:r>
        <w:tab/>
      </w:r>
      <w:r w:rsidR="003F09A2">
        <w:fldChar w:fldCharType="begin"/>
      </w:r>
      <w:r>
        <w:instrText xml:space="preserve"> PAGEREF _Toc377040322 \h </w:instrText>
      </w:r>
      <w:r w:rsidR="003F09A2">
        <w:fldChar w:fldCharType="separate"/>
      </w:r>
      <w:r w:rsidR="00B31CD6">
        <w:t>34</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Summary</w:t>
      </w:r>
      <w:r>
        <w:tab/>
      </w:r>
      <w:r w:rsidR="003F09A2">
        <w:fldChar w:fldCharType="begin"/>
      </w:r>
      <w:r>
        <w:instrText xml:space="preserve"> PAGEREF _Toc377040323 \h </w:instrText>
      </w:r>
      <w:r w:rsidR="003F09A2">
        <w:fldChar w:fldCharType="separate"/>
      </w:r>
      <w:r w:rsidR="00B31CD6">
        <w:t>34</w:t>
      </w:r>
      <w:r w:rsidR="003F09A2">
        <w:fldChar w:fldCharType="end"/>
      </w:r>
    </w:p>
    <w:p w:rsidR="00EF4BD2" w:rsidRDefault="00EF4BD2">
      <w:pPr>
        <w:pStyle w:val="TOC1"/>
        <w:rPr>
          <w:rFonts w:asciiTheme="minorHAnsi" w:eastAsiaTheme="minorEastAsia" w:hAnsiTheme="minorHAnsi" w:cstheme="minorBidi"/>
          <w:color w:val="auto"/>
          <w:sz w:val="22"/>
          <w:szCs w:val="22"/>
          <w:lang w:eastAsia="en-AU"/>
        </w:rPr>
      </w:pPr>
      <w:r>
        <w:t>Final comments</w:t>
      </w:r>
      <w:r>
        <w:tab/>
      </w:r>
      <w:r w:rsidR="003F09A2">
        <w:fldChar w:fldCharType="begin"/>
      </w:r>
      <w:r>
        <w:instrText xml:space="preserve"> PAGEREF _Toc377040324 \h </w:instrText>
      </w:r>
      <w:r w:rsidR="003F09A2">
        <w:fldChar w:fldCharType="separate"/>
      </w:r>
      <w:r w:rsidR="00B31CD6">
        <w:t>35</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Key findings</w:t>
      </w:r>
      <w:r>
        <w:tab/>
      </w:r>
      <w:r w:rsidR="003F09A2">
        <w:fldChar w:fldCharType="begin"/>
      </w:r>
      <w:r>
        <w:instrText xml:space="preserve"> PAGEREF _Toc377040325 \h </w:instrText>
      </w:r>
      <w:r w:rsidR="003F09A2">
        <w:fldChar w:fldCharType="separate"/>
      </w:r>
      <w:r w:rsidR="00B31CD6">
        <w:t>35</w:t>
      </w:r>
      <w:r w:rsidR="003F09A2">
        <w:fldChar w:fldCharType="end"/>
      </w:r>
    </w:p>
    <w:p w:rsidR="00EF4BD2" w:rsidRDefault="00EF4BD2">
      <w:pPr>
        <w:pStyle w:val="TOC2"/>
        <w:rPr>
          <w:rFonts w:asciiTheme="minorHAnsi" w:eastAsiaTheme="minorEastAsia" w:hAnsiTheme="minorHAnsi" w:cstheme="minorBidi"/>
          <w:color w:val="auto"/>
          <w:sz w:val="22"/>
          <w:szCs w:val="22"/>
          <w:lang w:eastAsia="en-AU"/>
        </w:rPr>
      </w:pPr>
      <w:r>
        <w:t>Future directions for policy and practice</w:t>
      </w:r>
      <w:r>
        <w:tab/>
      </w:r>
      <w:r w:rsidR="003F09A2">
        <w:fldChar w:fldCharType="begin"/>
      </w:r>
      <w:r>
        <w:instrText xml:space="preserve"> PAGEREF _Toc377040326 \h </w:instrText>
      </w:r>
      <w:r w:rsidR="003F09A2">
        <w:fldChar w:fldCharType="separate"/>
      </w:r>
      <w:r w:rsidR="00B31CD6">
        <w:t>35</w:t>
      </w:r>
      <w:r w:rsidR="003F09A2">
        <w:fldChar w:fldCharType="end"/>
      </w:r>
    </w:p>
    <w:p w:rsidR="00EF4BD2" w:rsidRDefault="00EF4BD2">
      <w:pPr>
        <w:pStyle w:val="TOC1"/>
        <w:rPr>
          <w:rFonts w:asciiTheme="minorHAnsi" w:eastAsiaTheme="minorEastAsia" w:hAnsiTheme="minorHAnsi" w:cstheme="minorBidi"/>
          <w:color w:val="auto"/>
          <w:sz w:val="22"/>
          <w:szCs w:val="22"/>
          <w:lang w:eastAsia="en-AU"/>
        </w:rPr>
      </w:pPr>
      <w:r>
        <w:t>References</w:t>
      </w:r>
      <w:r>
        <w:tab/>
      </w:r>
      <w:r w:rsidR="003F09A2">
        <w:fldChar w:fldCharType="begin"/>
      </w:r>
      <w:r>
        <w:instrText xml:space="preserve"> PAGEREF _Toc377040327 \h </w:instrText>
      </w:r>
      <w:r w:rsidR="003F09A2">
        <w:fldChar w:fldCharType="separate"/>
      </w:r>
      <w:r w:rsidR="00B31CD6">
        <w:t>38</w:t>
      </w:r>
      <w:r w:rsidR="003F09A2">
        <w:fldChar w:fldCharType="end"/>
      </w:r>
    </w:p>
    <w:p w:rsidR="00EF4BD2" w:rsidRDefault="00EF4BD2">
      <w:pPr>
        <w:pStyle w:val="TOC1"/>
        <w:rPr>
          <w:rFonts w:asciiTheme="minorHAnsi" w:eastAsiaTheme="minorEastAsia" w:hAnsiTheme="minorHAnsi" w:cstheme="minorBidi"/>
          <w:color w:val="auto"/>
          <w:sz w:val="22"/>
          <w:szCs w:val="22"/>
          <w:lang w:eastAsia="en-AU"/>
        </w:rPr>
      </w:pPr>
      <w:r>
        <w:t>Appendix: Case studies</w:t>
      </w:r>
      <w:r>
        <w:tab/>
      </w:r>
      <w:r w:rsidR="003F09A2">
        <w:fldChar w:fldCharType="begin"/>
      </w:r>
      <w:r>
        <w:instrText xml:space="preserve"> PAGEREF _Toc377040328 \h </w:instrText>
      </w:r>
      <w:r w:rsidR="003F09A2">
        <w:fldChar w:fldCharType="separate"/>
      </w:r>
      <w:r w:rsidR="00B31CD6">
        <w:t>41</w:t>
      </w:r>
      <w:r w:rsidR="003F09A2">
        <w:fldChar w:fldCharType="end"/>
      </w:r>
    </w:p>
    <w:p w:rsidR="00EF4BD2" w:rsidRDefault="00446BFD">
      <w:pPr>
        <w:pStyle w:val="TOC1"/>
        <w:rPr>
          <w:rFonts w:asciiTheme="minorHAnsi" w:eastAsiaTheme="minorEastAsia" w:hAnsiTheme="minorHAnsi" w:cstheme="minorBidi"/>
          <w:color w:val="auto"/>
          <w:sz w:val="22"/>
          <w:szCs w:val="22"/>
          <w:lang w:eastAsia="en-AU"/>
        </w:rPr>
      </w:pPr>
      <w:r>
        <w:t>F</w:t>
      </w:r>
      <w:r w:rsidR="00EF4BD2">
        <w:t>unding</w:t>
      </w:r>
      <w:r>
        <w:t xml:space="preserve"> information</w:t>
      </w:r>
      <w:r w:rsidR="00EF4BD2">
        <w:tab/>
      </w:r>
      <w:r w:rsidR="003F09A2">
        <w:fldChar w:fldCharType="begin"/>
      </w:r>
      <w:r w:rsidR="00EF4BD2">
        <w:instrText xml:space="preserve"> PAGEREF _Toc377040332 \h </w:instrText>
      </w:r>
      <w:r w:rsidR="003F09A2">
        <w:fldChar w:fldCharType="separate"/>
      </w:r>
      <w:r w:rsidR="00B31CD6">
        <w:t>43</w:t>
      </w:r>
      <w:r w:rsidR="003F09A2">
        <w:fldChar w:fldCharType="end"/>
      </w:r>
    </w:p>
    <w:p w:rsidR="00E811C3" w:rsidRDefault="003F09A2" w:rsidP="00A27245">
      <w:pPr>
        <w:pStyle w:val="Heading1"/>
      </w:pPr>
      <w:r w:rsidRPr="009775C7">
        <w:lastRenderedPageBreak/>
        <w:fldChar w:fldCharType="end"/>
      </w:r>
      <w:bookmarkStart w:id="25" w:name="_Toc377040291"/>
      <w:bookmarkStart w:id="26" w:name="_Toc358104897"/>
      <w:bookmarkStart w:id="27" w:name="_Toc359830837"/>
      <w:bookmarkStart w:id="28" w:name="_Toc359832409"/>
      <w:bookmarkStart w:id="29" w:name="_Toc359932925"/>
      <w:bookmarkStart w:id="30" w:name="_Toc359933091"/>
      <w:bookmarkStart w:id="31" w:name="_Toc360109628"/>
      <w:bookmarkStart w:id="32" w:name="_Toc360185839"/>
      <w:bookmarkStart w:id="33" w:name="_Toc360190290"/>
      <w:bookmarkStart w:id="34" w:name="_Toc360192200"/>
      <w:bookmarkStart w:id="35" w:name="_Toc361065878"/>
      <w:bookmarkStart w:id="36" w:name="_Toc361316305"/>
      <w:bookmarkStart w:id="37" w:name="_Toc361316701"/>
      <w:bookmarkStart w:id="38" w:name="_Toc361390424"/>
      <w:bookmarkStart w:id="39" w:name="_Toc361667700"/>
      <w:bookmarkStart w:id="40" w:name="_Toc361739653"/>
      <w:bookmarkStart w:id="41" w:name="_Toc361753471"/>
      <w:bookmarkStart w:id="42" w:name="_Toc361754332"/>
      <w:bookmarkStart w:id="43" w:name="_Toc361756957"/>
      <w:r w:rsidR="00E811C3">
        <w:t>Tables and figures</w:t>
      </w:r>
      <w:bookmarkEnd w:id="25"/>
    </w:p>
    <w:p w:rsidR="00E811C3" w:rsidRDefault="00E811C3" w:rsidP="00E811C3">
      <w:pPr>
        <w:pStyle w:val="Heading2"/>
      </w:pPr>
      <w:bookmarkStart w:id="44" w:name="_Toc296497516"/>
      <w:bookmarkStart w:id="45" w:name="_Toc298162801"/>
      <w:bookmarkStart w:id="46" w:name="_Toc370369252"/>
      <w:bookmarkStart w:id="47" w:name="_Toc376874226"/>
      <w:bookmarkStart w:id="48" w:name="_Toc377040292"/>
      <w:r>
        <w:t>Tables</w:t>
      </w:r>
      <w:bookmarkEnd w:id="44"/>
      <w:bookmarkEnd w:id="45"/>
      <w:bookmarkEnd w:id="46"/>
      <w:bookmarkEnd w:id="47"/>
      <w:bookmarkEnd w:id="48"/>
    </w:p>
    <w:p w:rsidR="00355950" w:rsidRDefault="003F09A2">
      <w:pPr>
        <w:pStyle w:val="TableofFigures"/>
        <w:tabs>
          <w:tab w:val="left" w:pos="880"/>
        </w:tabs>
        <w:rPr>
          <w:rFonts w:asciiTheme="minorHAnsi" w:eastAsiaTheme="minorEastAsia" w:hAnsiTheme="minorHAnsi" w:cstheme="minorBidi"/>
          <w:color w:val="auto"/>
          <w:sz w:val="22"/>
          <w:szCs w:val="22"/>
          <w:lang w:eastAsia="en-AU"/>
        </w:rPr>
      </w:pPr>
      <w:r>
        <w:fldChar w:fldCharType="begin"/>
      </w:r>
      <w:r w:rsidR="00E811C3">
        <w:instrText xml:space="preserve"> TOC \f F \t "tabletitle" \c </w:instrText>
      </w:r>
      <w:r>
        <w:fldChar w:fldCharType="separate"/>
      </w:r>
      <w:r w:rsidR="00355950">
        <w:t>1</w:t>
      </w:r>
      <w:r w:rsidR="00355950">
        <w:rPr>
          <w:rFonts w:asciiTheme="minorHAnsi" w:eastAsiaTheme="minorEastAsia" w:hAnsiTheme="minorHAnsi" w:cstheme="minorBidi"/>
          <w:color w:val="auto"/>
          <w:sz w:val="22"/>
          <w:szCs w:val="22"/>
          <w:lang w:eastAsia="en-AU"/>
        </w:rPr>
        <w:tab/>
      </w:r>
      <w:r w:rsidR="00355950">
        <w:t>Latest completion rates for trade apprentices commencing in 2007</w:t>
      </w:r>
      <w:r w:rsidR="00355950">
        <w:tab/>
      </w:r>
      <w:r>
        <w:fldChar w:fldCharType="begin"/>
      </w:r>
      <w:r w:rsidR="00355950">
        <w:instrText xml:space="preserve"> PAGEREF _Toc376874266 \h </w:instrText>
      </w:r>
      <w:r>
        <w:fldChar w:fldCharType="separate"/>
      </w:r>
      <w:r w:rsidR="00B31CD6">
        <w:t>9</w:t>
      </w:r>
      <w:r>
        <w:fldChar w:fldCharType="end"/>
      </w:r>
    </w:p>
    <w:p w:rsidR="00355950" w:rsidRDefault="00355950" w:rsidP="00355950">
      <w:pPr>
        <w:pStyle w:val="TableofFigure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Contract and individual completion rates, based on a </w:t>
      </w:r>
      <w:r>
        <w:br/>
        <w:t>recommencement factor, for trade occupations commencing in 2007</w:t>
      </w:r>
      <w:r>
        <w:tab/>
      </w:r>
      <w:r w:rsidR="003F09A2">
        <w:fldChar w:fldCharType="begin"/>
      </w:r>
      <w:r>
        <w:instrText xml:space="preserve"> PAGEREF _Toc376874267 \h </w:instrText>
      </w:r>
      <w:r w:rsidR="003F09A2">
        <w:fldChar w:fldCharType="separate"/>
      </w:r>
      <w:r w:rsidR="00B31CD6">
        <w:t>10</w:t>
      </w:r>
      <w:r w:rsidR="003F09A2">
        <w:fldChar w:fldCharType="end"/>
      </w:r>
    </w:p>
    <w:p w:rsidR="00355950" w:rsidRDefault="00355950">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Individual completion rates, by state, for 2007 commencements</w:t>
      </w:r>
      <w:r>
        <w:tab/>
      </w:r>
      <w:r w:rsidR="003F09A2">
        <w:fldChar w:fldCharType="begin"/>
      </w:r>
      <w:r>
        <w:instrText xml:space="preserve"> PAGEREF _Toc376874268 \h </w:instrText>
      </w:r>
      <w:r w:rsidR="003F09A2">
        <w:fldChar w:fldCharType="separate"/>
      </w:r>
      <w:r w:rsidR="00B31CD6">
        <w:t>11</w:t>
      </w:r>
      <w:r w:rsidR="003F09A2">
        <w:fldChar w:fldCharType="end"/>
      </w:r>
    </w:p>
    <w:p w:rsidR="00355950" w:rsidRDefault="00355950">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Main reason for not completing an apprenticeship, 2008 and 2010, </w:t>
      </w:r>
      <w:r>
        <w:br/>
        <w:t>trade occupations</w:t>
      </w:r>
      <w:r>
        <w:tab/>
      </w:r>
      <w:r w:rsidR="003F09A2">
        <w:fldChar w:fldCharType="begin"/>
      </w:r>
      <w:r>
        <w:instrText xml:space="preserve"> PAGEREF _Toc376874269 \h </w:instrText>
      </w:r>
      <w:r w:rsidR="003F09A2">
        <w:fldChar w:fldCharType="separate"/>
      </w:r>
      <w:r w:rsidR="00B31CD6">
        <w:t>13</w:t>
      </w:r>
      <w:r w:rsidR="003F09A2">
        <w:fldChar w:fldCharType="end"/>
      </w:r>
    </w:p>
    <w:p w:rsidR="00355950" w:rsidRDefault="00355950">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Grouping the reasons for non-completion, 2008</w:t>
      </w:r>
      <w:r>
        <w:tab/>
      </w:r>
      <w:r w:rsidR="003F09A2">
        <w:fldChar w:fldCharType="begin"/>
      </w:r>
      <w:r>
        <w:instrText xml:space="preserve"> PAGEREF _Toc376874270 \h </w:instrText>
      </w:r>
      <w:r w:rsidR="003F09A2">
        <w:fldChar w:fldCharType="separate"/>
      </w:r>
      <w:r w:rsidR="00B31CD6">
        <w:t>14</w:t>
      </w:r>
      <w:r w:rsidR="003F09A2">
        <w:fldChar w:fldCharType="end"/>
      </w:r>
    </w:p>
    <w:p w:rsidR="00355950" w:rsidRDefault="00355950">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Top five reasons for stopping an apprenticeship, 2001</w:t>
      </w:r>
      <w:r>
        <w:tab/>
      </w:r>
      <w:r w:rsidR="003F09A2">
        <w:fldChar w:fldCharType="begin"/>
      </w:r>
      <w:r>
        <w:instrText xml:space="preserve"> PAGEREF _Toc376874271 \h </w:instrText>
      </w:r>
      <w:r w:rsidR="003F09A2">
        <w:fldChar w:fldCharType="separate"/>
      </w:r>
      <w:r w:rsidR="00B31CD6">
        <w:t>15</w:t>
      </w:r>
      <w:r w:rsidR="003F09A2">
        <w:fldChar w:fldCharType="end"/>
      </w:r>
    </w:p>
    <w:p w:rsidR="00355950" w:rsidRDefault="00355950">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Top five reasons for cancellations identified by discontinued electrotechnology respondents</w:t>
      </w:r>
      <w:r>
        <w:tab/>
      </w:r>
      <w:r w:rsidR="003F09A2">
        <w:fldChar w:fldCharType="begin"/>
      </w:r>
      <w:r>
        <w:instrText xml:space="preserve"> PAGEREF _Toc376874272 \h </w:instrText>
      </w:r>
      <w:r w:rsidR="003F09A2">
        <w:fldChar w:fldCharType="separate"/>
      </w:r>
      <w:r w:rsidR="00B31CD6">
        <w:t>15</w:t>
      </w:r>
      <w:r w:rsidR="003F09A2">
        <w:fldChar w:fldCharType="end"/>
      </w:r>
    </w:p>
    <w:p w:rsidR="00355950" w:rsidRDefault="00355950">
      <w:pPr>
        <w:pStyle w:val="TableofFigures"/>
        <w:tabs>
          <w:tab w:val="left" w:pos="88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Contract attrition rates by occupation and time of cancellation/ withdrawal, for contracts commencing in 2006</w:t>
      </w:r>
      <w:r>
        <w:tab/>
      </w:r>
      <w:r w:rsidR="003F09A2">
        <w:fldChar w:fldCharType="begin"/>
      </w:r>
      <w:r>
        <w:instrText xml:space="preserve"> PAGEREF _Toc376874273 \h </w:instrText>
      </w:r>
      <w:r w:rsidR="003F09A2">
        <w:fldChar w:fldCharType="separate"/>
      </w:r>
      <w:r w:rsidR="00B31CD6">
        <w:t>16</w:t>
      </w:r>
      <w:r w:rsidR="003F09A2">
        <w:fldChar w:fldCharType="end"/>
      </w:r>
    </w:p>
    <w:p w:rsidR="00355950" w:rsidRDefault="00355950">
      <w:pPr>
        <w:pStyle w:val="TableofFigures"/>
        <w:tabs>
          <w:tab w:val="left" w:pos="88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 xml:space="preserve">Satisfaction with the apprenticeship for completers and </w:t>
      </w:r>
      <w:r>
        <w:br/>
        <w:t>non-completers in a trade occupation, 2008</w:t>
      </w:r>
      <w:r>
        <w:tab/>
      </w:r>
      <w:r w:rsidR="003F09A2">
        <w:fldChar w:fldCharType="begin"/>
      </w:r>
      <w:r>
        <w:instrText xml:space="preserve"> PAGEREF _Toc376874274 \h </w:instrText>
      </w:r>
      <w:r w:rsidR="003F09A2">
        <w:fldChar w:fldCharType="separate"/>
      </w:r>
      <w:r w:rsidR="00B31CD6">
        <w:t>21</w:t>
      </w:r>
      <w:r w:rsidR="003F09A2">
        <w:fldChar w:fldCharType="end"/>
      </w:r>
    </w:p>
    <w:p w:rsidR="00355950" w:rsidRDefault="00355950">
      <w:pPr>
        <w:pStyle w:val="TableofFigures"/>
        <w:tabs>
          <w:tab w:val="left" w:pos="1100"/>
        </w:tabs>
        <w:rPr>
          <w:rFonts w:asciiTheme="minorHAnsi" w:eastAsiaTheme="minorEastAsia" w:hAnsiTheme="minorHAnsi" w:cstheme="minorBidi"/>
          <w:color w:val="auto"/>
          <w:sz w:val="22"/>
          <w:szCs w:val="22"/>
          <w:lang w:eastAsia="en-AU"/>
        </w:rPr>
      </w:pPr>
      <w:r w:rsidRPr="00F0485C">
        <w:rPr>
          <w:rFonts w:eastAsia="Calibri"/>
        </w:rPr>
        <w:t>10</w:t>
      </w:r>
      <w:r>
        <w:rPr>
          <w:rFonts w:asciiTheme="minorHAnsi" w:eastAsiaTheme="minorEastAsia" w:hAnsiTheme="minorHAnsi" w:cstheme="minorBidi"/>
          <w:color w:val="auto"/>
          <w:sz w:val="22"/>
          <w:szCs w:val="22"/>
          <w:lang w:eastAsia="en-AU"/>
        </w:rPr>
        <w:tab/>
      </w:r>
      <w:r w:rsidRPr="00F0485C">
        <w:rPr>
          <w:rFonts w:eastAsia="Calibri"/>
        </w:rPr>
        <w:t>Age profile of commencing trade apprentices, 2012</w:t>
      </w:r>
      <w:r>
        <w:tab/>
      </w:r>
      <w:r w:rsidR="003F09A2">
        <w:fldChar w:fldCharType="begin"/>
      </w:r>
      <w:r>
        <w:instrText xml:space="preserve"> PAGEREF _Toc376874275 \h </w:instrText>
      </w:r>
      <w:r w:rsidR="003F09A2">
        <w:fldChar w:fldCharType="separate"/>
      </w:r>
      <w:r w:rsidR="00B31CD6">
        <w:t>21</w:t>
      </w:r>
      <w:r w:rsidR="003F09A2">
        <w:fldChar w:fldCharType="end"/>
      </w:r>
    </w:p>
    <w:p w:rsidR="00355950" w:rsidRDefault="00355950">
      <w:pPr>
        <w:pStyle w:val="TableofFigures"/>
        <w:tabs>
          <w:tab w:val="left" w:pos="1100"/>
        </w:tabs>
        <w:rPr>
          <w:rFonts w:asciiTheme="minorHAnsi" w:eastAsiaTheme="minorEastAsia" w:hAnsiTheme="minorHAnsi" w:cstheme="minorBidi"/>
          <w:color w:val="auto"/>
          <w:sz w:val="22"/>
          <w:szCs w:val="22"/>
          <w:lang w:eastAsia="en-AU"/>
        </w:rPr>
      </w:pPr>
      <w:r>
        <w:t>11</w:t>
      </w:r>
      <w:r>
        <w:rPr>
          <w:rFonts w:asciiTheme="minorHAnsi" w:eastAsiaTheme="minorEastAsia" w:hAnsiTheme="minorHAnsi" w:cstheme="minorBidi"/>
          <w:color w:val="auto"/>
          <w:sz w:val="22"/>
          <w:szCs w:val="22"/>
          <w:lang w:eastAsia="en-AU"/>
        </w:rPr>
        <w:tab/>
      </w:r>
      <w:r>
        <w:t xml:space="preserve">Estimated completion rates by selected employer characteristics </w:t>
      </w:r>
      <w:r>
        <w:br/>
        <w:t>and number of contracts in category</w:t>
      </w:r>
      <w:r>
        <w:tab/>
      </w:r>
      <w:r w:rsidR="003F09A2">
        <w:fldChar w:fldCharType="begin"/>
      </w:r>
      <w:r>
        <w:instrText xml:space="preserve"> PAGEREF _Toc376874276 \h </w:instrText>
      </w:r>
      <w:r w:rsidR="003F09A2">
        <w:fldChar w:fldCharType="separate"/>
      </w:r>
      <w:r w:rsidR="00B31CD6">
        <w:t>23</w:t>
      </w:r>
      <w:r w:rsidR="003F09A2">
        <w:fldChar w:fldCharType="end"/>
      </w:r>
    </w:p>
    <w:p w:rsidR="00355950" w:rsidRDefault="00355950">
      <w:pPr>
        <w:pStyle w:val="TableofFigures"/>
        <w:tabs>
          <w:tab w:val="left" w:pos="1100"/>
        </w:tabs>
        <w:rPr>
          <w:rFonts w:asciiTheme="minorHAnsi" w:eastAsiaTheme="minorEastAsia" w:hAnsiTheme="minorHAnsi" w:cstheme="minorBidi"/>
          <w:color w:val="auto"/>
          <w:sz w:val="22"/>
          <w:szCs w:val="22"/>
          <w:lang w:eastAsia="en-AU"/>
        </w:rPr>
      </w:pPr>
      <w:r>
        <w:t>12</w:t>
      </w:r>
      <w:r>
        <w:rPr>
          <w:rFonts w:asciiTheme="minorHAnsi" w:eastAsiaTheme="minorEastAsia" w:hAnsiTheme="minorHAnsi" w:cstheme="minorBidi"/>
          <w:color w:val="auto"/>
          <w:sz w:val="22"/>
          <w:szCs w:val="22"/>
          <w:lang w:eastAsia="en-AU"/>
        </w:rPr>
        <w:tab/>
      </w:r>
      <w:r>
        <w:t>Commencing apprenticeship contracts by employer type, 2012</w:t>
      </w:r>
      <w:r>
        <w:tab/>
      </w:r>
      <w:r w:rsidR="003F09A2">
        <w:fldChar w:fldCharType="begin"/>
      </w:r>
      <w:r>
        <w:instrText xml:space="preserve"> PAGEREF _Toc376874277 \h </w:instrText>
      </w:r>
      <w:r w:rsidR="003F09A2">
        <w:fldChar w:fldCharType="separate"/>
      </w:r>
      <w:r w:rsidR="00B31CD6">
        <w:t>24</w:t>
      </w:r>
      <w:r w:rsidR="003F09A2">
        <w:fldChar w:fldCharType="end"/>
      </w:r>
    </w:p>
    <w:p w:rsidR="00355950" w:rsidRDefault="00355950">
      <w:pPr>
        <w:pStyle w:val="TableofFigures"/>
        <w:tabs>
          <w:tab w:val="left" w:pos="1100"/>
        </w:tabs>
        <w:rPr>
          <w:rFonts w:asciiTheme="minorHAnsi" w:eastAsiaTheme="minorEastAsia" w:hAnsiTheme="minorHAnsi" w:cstheme="minorBidi"/>
          <w:color w:val="auto"/>
          <w:sz w:val="22"/>
          <w:szCs w:val="22"/>
          <w:lang w:eastAsia="en-AU"/>
        </w:rPr>
      </w:pPr>
      <w:r>
        <w:t>13</w:t>
      </w:r>
      <w:r>
        <w:rPr>
          <w:rFonts w:asciiTheme="minorHAnsi" w:eastAsiaTheme="minorEastAsia" w:hAnsiTheme="minorHAnsi" w:cstheme="minorBidi"/>
          <w:color w:val="auto"/>
          <w:sz w:val="22"/>
          <w:szCs w:val="22"/>
          <w:lang w:eastAsia="en-AU"/>
        </w:rPr>
        <w:tab/>
      </w:r>
      <w:r>
        <w:t xml:space="preserve">Summary of the characteristics of employers with low, medium and </w:t>
      </w:r>
      <w:r w:rsidR="00A27245">
        <w:br/>
      </w:r>
      <w:r>
        <w:t>high retention rates</w:t>
      </w:r>
      <w:r>
        <w:tab/>
      </w:r>
      <w:r w:rsidR="003F09A2">
        <w:fldChar w:fldCharType="begin"/>
      </w:r>
      <w:r>
        <w:instrText xml:space="preserve"> PAGEREF _Toc376874278 \h </w:instrText>
      </w:r>
      <w:r w:rsidR="003F09A2">
        <w:fldChar w:fldCharType="separate"/>
      </w:r>
      <w:r w:rsidR="00B31CD6">
        <w:t>25</w:t>
      </w:r>
      <w:r w:rsidR="003F09A2">
        <w:fldChar w:fldCharType="end"/>
      </w:r>
    </w:p>
    <w:p w:rsidR="00355950" w:rsidRDefault="003F09A2" w:rsidP="00E811C3">
      <w:pPr>
        <w:pStyle w:val="Heading2"/>
        <w:rPr>
          <w:noProof/>
        </w:rPr>
      </w:pPr>
      <w:r>
        <w:fldChar w:fldCharType="end"/>
      </w:r>
      <w:bookmarkStart w:id="49" w:name="_Toc296497517"/>
      <w:bookmarkStart w:id="50" w:name="_Toc298162802"/>
      <w:bookmarkStart w:id="51" w:name="_Toc370369253"/>
      <w:bookmarkStart w:id="52" w:name="_Toc376874227"/>
      <w:bookmarkStart w:id="53" w:name="_Toc377040293"/>
      <w:r w:rsidR="00E811C3">
        <w:t>Figures</w:t>
      </w:r>
      <w:bookmarkEnd w:id="49"/>
      <w:bookmarkEnd w:id="50"/>
      <w:bookmarkEnd w:id="51"/>
      <w:bookmarkEnd w:id="52"/>
      <w:bookmarkEnd w:id="53"/>
      <w:r>
        <w:rPr>
          <w:rFonts w:ascii="Garamond" w:hAnsi="Garamond"/>
          <w:sz w:val="22"/>
        </w:rPr>
        <w:fldChar w:fldCharType="begin"/>
      </w:r>
      <w:r w:rsidR="00E811C3">
        <w:instrText xml:space="preserve"> TOC \t "Figuretitle" \c </w:instrText>
      </w:r>
      <w:r>
        <w:rPr>
          <w:rFonts w:ascii="Garamond" w:hAnsi="Garamond"/>
          <w:sz w:val="22"/>
        </w:rPr>
        <w:fldChar w:fldCharType="separate"/>
      </w:r>
    </w:p>
    <w:p w:rsidR="00355950" w:rsidRDefault="00355950">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Apprentice commencements, seasonally adjusted and smoothed, December 2002 — December 2012</w:t>
      </w:r>
      <w:r>
        <w:tab/>
      </w:r>
      <w:r w:rsidR="003F09A2">
        <w:fldChar w:fldCharType="begin"/>
      </w:r>
      <w:r>
        <w:instrText xml:space="preserve"> PAGEREF _Toc376874279 \h </w:instrText>
      </w:r>
      <w:r w:rsidR="003F09A2">
        <w:fldChar w:fldCharType="separate"/>
      </w:r>
      <w:r w:rsidR="00B31CD6">
        <w:t>8</w:t>
      </w:r>
      <w:r w:rsidR="003F09A2">
        <w:fldChar w:fldCharType="end"/>
      </w:r>
    </w:p>
    <w:p w:rsidR="00355950" w:rsidRDefault="00355950">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Completion rates for trade apprentices over time</w:t>
      </w:r>
      <w:r>
        <w:tab/>
      </w:r>
      <w:r w:rsidR="003F09A2">
        <w:fldChar w:fldCharType="begin"/>
      </w:r>
      <w:r>
        <w:instrText xml:space="preserve"> PAGEREF _Toc376874280 \h </w:instrText>
      </w:r>
      <w:r w:rsidR="003F09A2">
        <w:fldChar w:fldCharType="separate"/>
      </w:r>
      <w:r w:rsidR="00B31CD6">
        <w:t>10</w:t>
      </w:r>
      <w:r w:rsidR="003F09A2">
        <w:fldChar w:fldCharType="end"/>
      </w:r>
    </w:p>
    <w:p w:rsidR="00355950" w:rsidRDefault="00355950">
      <w:pPr>
        <w:pStyle w:val="TableofFigures"/>
        <w:tabs>
          <w:tab w:val="left" w:pos="110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Contract attrition rate by time of cancellation/withdrawal, for </w:t>
      </w:r>
      <w:r>
        <w:br/>
        <w:t>contracts commencing in 2006 (trade occupations)</w:t>
      </w:r>
      <w:r>
        <w:tab/>
      </w:r>
      <w:r w:rsidR="003F09A2">
        <w:fldChar w:fldCharType="begin"/>
      </w:r>
      <w:r>
        <w:instrText xml:space="preserve"> PAGEREF _Toc376874281 \h </w:instrText>
      </w:r>
      <w:r w:rsidR="003F09A2">
        <w:fldChar w:fldCharType="separate"/>
      </w:r>
      <w:r w:rsidR="00B31CD6">
        <w:t>16</w:t>
      </w:r>
      <w:r w:rsidR="003F09A2">
        <w:fldChar w:fldCharType="end"/>
      </w:r>
    </w:p>
    <w:p w:rsidR="00DC0598" w:rsidRDefault="003F09A2" w:rsidP="00461154">
      <w:pPr>
        <w:pStyle w:val="TableofFigures"/>
      </w:pPr>
      <w:r>
        <w:fldChar w:fldCharType="end"/>
      </w:r>
    </w:p>
    <w:p w:rsidR="00DC0598" w:rsidRDefault="00DC0598">
      <w:pPr>
        <w:rPr>
          <w:noProof/>
          <w:color w:val="000000"/>
          <w:szCs w:val="19"/>
        </w:rPr>
      </w:pPr>
      <w:r>
        <w:br w:type="page"/>
      </w:r>
    </w:p>
    <w:p w:rsidR="00E811C3" w:rsidRPr="005C2FCF" w:rsidRDefault="00461154" w:rsidP="0070366E">
      <w:pPr>
        <w:pStyle w:val="Heading1"/>
      </w:pPr>
      <w:bookmarkStart w:id="54" w:name="_Toc377040294"/>
      <w:r>
        <w:lastRenderedPageBreak/>
        <w:t>Introduction</w:t>
      </w:r>
      <w:bookmarkEnd w:id="54"/>
    </w:p>
    <w:p w:rsidR="00017F79" w:rsidRDefault="00D14195" w:rsidP="00017F79">
      <w:pPr>
        <w:pStyle w:val="Text"/>
      </w:pPr>
      <w:bookmarkStart w:id="55" w:name="_Toc188077642"/>
      <w:r>
        <w:t xml:space="preserve">The aim of this </w:t>
      </w:r>
      <w:r w:rsidR="00F464C0">
        <w:t>review</w:t>
      </w:r>
      <w:r>
        <w:t xml:space="preserve"> is to </w:t>
      </w:r>
      <w:r w:rsidR="0001715C">
        <w:t>collate</w:t>
      </w:r>
      <w:r>
        <w:t xml:space="preserve"> </w:t>
      </w:r>
      <w:r w:rsidR="0001715C">
        <w:t xml:space="preserve">the </w:t>
      </w:r>
      <w:r>
        <w:t xml:space="preserve">existing </w:t>
      </w:r>
      <w:r w:rsidR="00035089">
        <w:t>research</w:t>
      </w:r>
      <w:r>
        <w:t xml:space="preserve"> on the reasons why apprentices do not complete their training</w:t>
      </w:r>
      <w:r w:rsidR="00982B56">
        <w:t xml:space="preserve">. </w:t>
      </w:r>
      <w:r w:rsidR="00017F79">
        <w:t xml:space="preserve">The focus </w:t>
      </w:r>
      <w:proofErr w:type="gramStart"/>
      <w:r w:rsidR="00017F79">
        <w:t>is on understanding</w:t>
      </w:r>
      <w:proofErr w:type="gramEnd"/>
      <w:r w:rsidR="001B6FBF">
        <w:t xml:space="preserve"> the</w:t>
      </w:r>
      <w:r w:rsidR="00017F79">
        <w:t xml:space="preserve"> non-completion of trade apprentices, as attrition </w:t>
      </w:r>
      <w:r w:rsidR="001B6FBF">
        <w:t xml:space="preserve">in these areas </w:t>
      </w:r>
      <w:r w:rsidR="00017F79">
        <w:t xml:space="preserve">is generally viewed with </w:t>
      </w:r>
      <w:r w:rsidR="00F464C0">
        <w:t>particular</w:t>
      </w:r>
      <w:r w:rsidR="00017F79">
        <w:t xml:space="preserve"> concern.</w:t>
      </w:r>
    </w:p>
    <w:p w:rsidR="007F1F6D" w:rsidRDefault="008F459F" w:rsidP="008F459F">
      <w:pPr>
        <w:pStyle w:val="Text"/>
      </w:pPr>
      <w:r>
        <w:t>An apprenticeship i</w:t>
      </w:r>
      <w:r w:rsidR="007847B0">
        <w:t>nvolves</w:t>
      </w:r>
      <w:r>
        <w:t xml:space="preserve"> a </w:t>
      </w:r>
      <w:r w:rsidR="00F464C0">
        <w:t>contract</w:t>
      </w:r>
      <w:r>
        <w:t xml:space="preserve"> between</w:t>
      </w:r>
      <w:r w:rsidR="0046335E">
        <w:t xml:space="preserve"> the apprentice</w:t>
      </w:r>
      <w:r w:rsidR="007847B0">
        <w:t xml:space="preserve"> and</w:t>
      </w:r>
      <w:r w:rsidR="0046335E">
        <w:t xml:space="preserve"> their employer</w:t>
      </w:r>
      <w:r w:rsidR="007847B0">
        <w:t>, together with an arrangement with a</w:t>
      </w:r>
      <w:r>
        <w:t xml:space="preserve"> </w:t>
      </w:r>
      <w:r w:rsidR="00FC18A0">
        <w:t>training provider</w:t>
      </w:r>
      <w:r w:rsidR="00636E06">
        <w:t xml:space="preserve">. </w:t>
      </w:r>
      <w:r>
        <w:t>A</w:t>
      </w:r>
      <w:r w:rsidR="001B6FBF">
        <w:t>part</w:t>
      </w:r>
      <w:r>
        <w:t xml:space="preserve"> from these core players, apprenticeships take place within a wider </w:t>
      </w:r>
      <w:r w:rsidR="00035089">
        <w:t>system</w:t>
      </w:r>
      <w:r w:rsidR="0001715C">
        <w:t xml:space="preserve"> that</w:t>
      </w:r>
      <w:r w:rsidR="007F1F6D">
        <w:t xml:space="preserve"> is influenced by g</w:t>
      </w:r>
      <w:r>
        <w:t xml:space="preserve">overnment policies </w:t>
      </w:r>
      <w:r w:rsidR="001B6FBF">
        <w:t>and incentives, industry bodies</w:t>
      </w:r>
      <w:r>
        <w:t xml:space="preserve"> </w:t>
      </w:r>
      <w:r w:rsidR="0046335E">
        <w:t>and</w:t>
      </w:r>
      <w:r>
        <w:t xml:space="preserve"> community </w:t>
      </w:r>
      <w:r w:rsidR="0046335E">
        <w:t>attitudes</w:t>
      </w:r>
      <w:r>
        <w:t>.</w:t>
      </w:r>
      <w:r w:rsidR="007F1F6D">
        <w:t xml:space="preserve"> </w:t>
      </w:r>
      <w:r w:rsidR="00FC18A0">
        <w:t>With this in mind, an</w:t>
      </w:r>
      <w:r w:rsidR="003B1816">
        <w:t xml:space="preserve"> exa</w:t>
      </w:r>
      <w:r w:rsidR="00F75E3F">
        <w:t xml:space="preserve">mination of why apprentices </w:t>
      </w:r>
      <w:r w:rsidR="003B1816">
        <w:t xml:space="preserve">discontinue their training needs to be approached from </w:t>
      </w:r>
      <w:r w:rsidR="00B637E5">
        <w:t>several angles.</w:t>
      </w:r>
    </w:p>
    <w:p w:rsidR="0046335E" w:rsidRDefault="00035089" w:rsidP="008F459F">
      <w:pPr>
        <w:pStyle w:val="Text"/>
      </w:pPr>
      <w:r>
        <w:t>T</w:t>
      </w:r>
      <w:r w:rsidR="007F1F6D">
        <w:t>he first section</w:t>
      </w:r>
      <w:r w:rsidR="003B1816">
        <w:t xml:space="preserve"> </w:t>
      </w:r>
      <w:r w:rsidR="0046335E">
        <w:t>present</w:t>
      </w:r>
      <w:r>
        <w:t>s</w:t>
      </w:r>
      <w:r w:rsidR="0046335E">
        <w:t xml:space="preserve"> a snapshot of the apprenticeship system and the current rates of completion. Approximat</w:t>
      </w:r>
      <w:r w:rsidR="00536BB7">
        <w:t xml:space="preserve">ely half of all apprenticeship contracts </w:t>
      </w:r>
      <w:r w:rsidR="0046335E">
        <w:t>are not completed</w:t>
      </w:r>
      <w:r w:rsidR="00536BB7">
        <w:t>, with some variation</w:t>
      </w:r>
      <w:r w:rsidR="0046335E">
        <w:t xml:space="preserve"> across states and occupations.</w:t>
      </w:r>
      <w:r w:rsidR="0023752D">
        <w:t xml:space="preserve"> Several data issues complicate the measurement of completion rates</w:t>
      </w:r>
      <w:r w:rsidR="00536BB7">
        <w:t>, but even accounting for these, completion rates are low.</w:t>
      </w:r>
    </w:p>
    <w:p w:rsidR="007F1F6D" w:rsidRDefault="0001715C" w:rsidP="008F459F">
      <w:pPr>
        <w:pStyle w:val="Text"/>
      </w:pPr>
      <w:r>
        <w:t>The following section</w:t>
      </w:r>
      <w:r w:rsidR="0046335E">
        <w:t xml:space="preserve"> </w:t>
      </w:r>
      <w:r w:rsidR="003B1816">
        <w:t>present</w:t>
      </w:r>
      <w:r w:rsidR="0046335E">
        <w:t>s</w:t>
      </w:r>
      <w:r w:rsidR="003B1816">
        <w:t xml:space="preserve"> </w:t>
      </w:r>
      <w:r w:rsidR="007E63B6">
        <w:t>apprentices</w:t>
      </w:r>
      <w:r w:rsidR="00841F93">
        <w:t>’</w:t>
      </w:r>
      <w:r w:rsidR="003B1816">
        <w:t xml:space="preserve"> reasons for not completing, as reported by apprentices themselves. </w:t>
      </w:r>
      <w:r w:rsidR="007F1F6D">
        <w:t>These are frequently relat</w:t>
      </w:r>
      <w:r w:rsidR="001B6FBF">
        <w:t>ed to the employment experience</w:t>
      </w:r>
      <w:r w:rsidR="0046335E">
        <w:t xml:space="preserve"> and include trouble with the boss or</w:t>
      </w:r>
      <w:r w:rsidR="001B6FBF">
        <w:t xml:space="preserve"> workmates, not liking the work</w:t>
      </w:r>
      <w:r w:rsidR="0046335E">
        <w:t xml:space="preserve"> and low pay. </w:t>
      </w:r>
      <w:r w:rsidR="0070366E">
        <w:t>Additional</w:t>
      </w:r>
      <w:r w:rsidR="00536BB7">
        <w:t xml:space="preserve"> common reasons are </w:t>
      </w:r>
      <w:r w:rsidR="00376477">
        <w:t>leaving to</w:t>
      </w:r>
      <w:r w:rsidR="00536BB7">
        <w:t xml:space="preserve"> </w:t>
      </w:r>
      <w:r w:rsidR="00376477">
        <w:t>pursue</w:t>
      </w:r>
      <w:r w:rsidR="00655FE5">
        <w:t xml:space="preserve"> other opportunities</w:t>
      </w:r>
      <w:r w:rsidR="00376477">
        <w:t>, such as a better job</w:t>
      </w:r>
      <w:r w:rsidR="00A27245">
        <w:t>,</w:t>
      </w:r>
      <w:r w:rsidR="00376477">
        <w:t xml:space="preserve"> </w:t>
      </w:r>
      <w:r w:rsidR="00536BB7">
        <w:t>and p</w:t>
      </w:r>
      <w:r w:rsidR="00376477">
        <w:t>ersonal reasons, such as illness or transport problems</w:t>
      </w:r>
      <w:r w:rsidR="00536BB7">
        <w:t>.</w:t>
      </w:r>
    </w:p>
    <w:p w:rsidR="00617E4F" w:rsidRDefault="00376477" w:rsidP="008F459F">
      <w:pPr>
        <w:pStyle w:val="Text"/>
      </w:pPr>
      <w:r>
        <w:t>Next</w:t>
      </w:r>
      <w:r w:rsidR="0001715C">
        <w:t>,</w:t>
      </w:r>
      <w:r>
        <w:t xml:space="preserve"> </w:t>
      </w:r>
      <w:r w:rsidR="003B1816">
        <w:t xml:space="preserve">the </w:t>
      </w:r>
      <w:r w:rsidR="00772CAE">
        <w:t>employer</w:t>
      </w:r>
      <w:r w:rsidR="00841F93">
        <w:t>’</w:t>
      </w:r>
      <w:r w:rsidR="00772CAE">
        <w:t>s role</w:t>
      </w:r>
      <w:r w:rsidR="003B1816">
        <w:t xml:space="preserve"> </w:t>
      </w:r>
      <w:r w:rsidR="00035089">
        <w:t xml:space="preserve">is examined </w:t>
      </w:r>
      <w:r w:rsidR="003B1816">
        <w:t>more closely</w:t>
      </w:r>
      <w:r w:rsidR="007E63B6">
        <w:t xml:space="preserve">, as issues </w:t>
      </w:r>
      <w:r w:rsidR="0023752D">
        <w:t>with</w:t>
      </w:r>
      <w:r w:rsidR="007E63B6">
        <w:t xml:space="preserve"> the employment experience are </w:t>
      </w:r>
      <w:r w:rsidR="00655FE5">
        <w:t>frequently cited by non-completers</w:t>
      </w:r>
      <w:r w:rsidR="0070366E">
        <w:t>. The c</w:t>
      </w:r>
      <w:r w:rsidR="003B1816">
        <w:t>haract</w:t>
      </w:r>
      <w:r w:rsidR="00C46960">
        <w:t>eristics of employers with high and low</w:t>
      </w:r>
      <w:r w:rsidR="003B1816">
        <w:t xml:space="preserve"> completion rate</w:t>
      </w:r>
      <w:r w:rsidR="00B637E5">
        <w:t xml:space="preserve">s </w:t>
      </w:r>
      <w:r w:rsidR="007E63B6">
        <w:t>are</w:t>
      </w:r>
      <w:r w:rsidR="00B637E5">
        <w:t xml:space="preserve"> examined</w:t>
      </w:r>
      <w:r w:rsidR="0046335E">
        <w:t xml:space="preserve">. </w:t>
      </w:r>
      <w:r w:rsidR="007F1F6D">
        <w:t xml:space="preserve">Employers with the highest completion rates </w:t>
      </w:r>
      <w:r w:rsidR="00B73070">
        <w:t>tend to be</w:t>
      </w:r>
      <w:r w:rsidR="0070366E">
        <w:t xml:space="preserve"> larger</w:t>
      </w:r>
      <w:r w:rsidR="0001715C">
        <w:t>,</w:t>
      </w:r>
      <w:r w:rsidR="007F1F6D">
        <w:t xml:space="preserve"> experienced employers with well-organised systems for managing apprentices</w:t>
      </w:r>
      <w:r w:rsidR="0070366E">
        <w:t>. Smaller</w:t>
      </w:r>
      <w:r w:rsidR="0001715C">
        <w:t>,</w:t>
      </w:r>
      <w:r w:rsidR="0046335E">
        <w:t xml:space="preserve"> less experienced employers </w:t>
      </w:r>
      <w:r w:rsidR="0023752D">
        <w:t>tend to</w:t>
      </w:r>
      <w:r w:rsidR="0046335E">
        <w:t xml:space="preserve"> have lower completion rates</w:t>
      </w:r>
      <w:r w:rsidR="007F1F6D">
        <w:t xml:space="preserve">. </w:t>
      </w:r>
      <w:r w:rsidR="0046335E">
        <w:t>Given this discrepancy, w</w:t>
      </w:r>
      <w:r w:rsidR="00865B97">
        <w:t xml:space="preserve">e pay particular attention to the types of strategies employed by firms with high apprentice completion rates. </w:t>
      </w:r>
      <w:r w:rsidR="007F1F6D">
        <w:t xml:space="preserve">These include rigorous recruitment processes, </w:t>
      </w:r>
      <w:r w:rsidR="00617E4F">
        <w:t>formal work plans and mentoring support services.</w:t>
      </w:r>
      <w:r w:rsidR="007F1F6D">
        <w:t xml:space="preserve"> </w:t>
      </w:r>
    </w:p>
    <w:p w:rsidR="007F1F6D" w:rsidRDefault="0001715C" w:rsidP="008F459F">
      <w:pPr>
        <w:pStyle w:val="Text"/>
      </w:pPr>
      <w:r>
        <w:t>T</w:t>
      </w:r>
      <w:r w:rsidR="00FC18A0">
        <w:t>he training provider</w:t>
      </w:r>
      <w:r w:rsidR="00865B97">
        <w:t xml:space="preserve"> and opportunities for improving the training experience</w:t>
      </w:r>
      <w:r>
        <w:t xml:space="preserve"> are the focus of the next section</w:t>
      </w:r>
      <w:r w:rsidR="00FC18A0">
        <w:t xml:space="preserve">. </w:t>
      </w:r>
      <w:r w:rsidR="0046335E">
        <w:t>The main problems are inflexible delivery options, poor feedback about apprentice progress</w:t>
      </w:r>
      <w:r w:rsidR="00F15EA6">
        <w:t>,</w:t>
      </w:r>
      <w:r w:rsidR="0046335E">
        <w:t xml:space="preserve"> and </w:t>
      </w:r>
      <w:r w:rsidR="0070366E">
        <w:t xml:space="preserve">the </w:t>
      </w:r>
      <w:r w:rsidR="0046335E">
        <w:t>literacy and numeracy difficulties of apprentices.</w:t>
      </w:r>
    </w:p>
    <w:p w:rsidR="007F1F6D" w:rsidRDefault="0001715C" w:rsidP="008F459F">
      <w:pPr>
        <w:pStyle w:val="Text"/>
      </w:pPr>
      <w:r>
        <w:t>The penultimate section</w:t>
      </w:r>
      <w:r w:rsidR="007F1F6D">
        <w:t xml:space="preserve"> consider</w:t>
      </w:r>
      <w:r w:rsidR="00BD545D">
        <w:t>s</w:t>
      </w:r>
      <w:r w:rsidR="007F1F6D">
        <w:t xml:space="preserve"> the value of completing</w:t>
      </w:r>
      <w:r w:rsidR="00B73070">
        <w:t xml:space="preserve"> </w:t>
      </w:r>
      <w:r w:rsidR="0023752D">
        <w:t xml:space="preserve">— if </w:t>
      </w:r>
      <w:r w:rsidR="00F464C0">
        <w:t>completion</w:t>
      </w:r>
      <w:r w:rsidR="0023752D">
        <w:t xml:space="preserve"> do</w:t>
      </w:r>
      <w:r w:rsidR="00F464C0">
        <w:t>es not offer sufficient reward</w:t>
      </w:r>
      <w:r w:rsidR="0023752D">
        <w:t xml:space="preserve">, it may explain the low completion rates. Benefits are examined in terms </w:t>
      </w:r>
      <w:r w:rsidR="0070366E">
        <w:t>of wage premiums and</w:t>
      </w:r>
      <w:r w:rsidR="007F1F6D">
        <w:t xml:space="preserve"> employment prospects, and whether qualifications are considered necessary to work as a tradesperson. </w:t>
      </w:r>
      <w:r w:rsidR="00376477">
        <w:t>One finding is that</w:t>
      </w:r>
      <w:r w:rsidR="0023752D">
        <w:t xml:space="preserve"> the premium attached to becoming a qualified tradesperson is significant, but is not always enough to offset the opportunity cost of undertaking training, particularly for adult apprentices.</w:t>
      </w:r>
    </w:p>
    <w:p w:rsidR="0070366E" w:rsidRDefault="00617E4F" w:rsidP="00001A09">
      <w:pPr>
        <w:pStyle w:val="Text"/>
        <w:rPr>
          <w:rFonts w:ascii="Tahoma" w:hAnsi="Tahoma" w:cs="Tahoma"/>
          <w:color w:val="000000"/>
          <w:kern w:val="28"/>
          <w:sz w:val="56"/>
          <w:szCs w:val="56"/>
        </w:rPr>
      </w:pPr>
      <w:r w:rsidRPr="00001A09">
        <w:t>Finally,</w:t>
      </w:r>
      <w:r w:rsidR="007F1F6D" w:rsidRPr="00001A09">
        <w:t xml:space="preserve"> we </w:t>
      </w:r>
      <w:r w:rsidR="00376477" w:rsidRPr="00001A09">
        <w:t>summarise</w:t>
      </w:r>
      <w:r w:rsidR="007F1F6D" w:rsidRPr="00001A09">
        <w:t xml:space="preserve"> </w:t>
      </w:r>
      <w:r w:rsidR="00376477" w:rsidRPr="00001A09">
        <w:t>the main</w:t>
      </w:r>
      <w:r w:rsidR="007F1F6D" w:rsidRPr="00001A09">
        <w:t xml:space="preserve"> findings</w:t>
      </w:r>
      <w:r w:rsidR="00376477" w:rsidRPr="00001A09">
        <w:t xml:space="preserve"> </w:t>
      </w:r>
      <w:r w:rsidR="007F1F6D" w:rsidRPr="00001A09">
        <w:t>and</w:t>
      </w:r>
      <w:r w:rsidR="00982B56" w:rsidRPr="00001A09">
        <w:t xml:space="preserve"> </w:t>
      </w:r>
      <w:r w:rsidR="0023752D" w:rsidRPr="00001A09">
        <w:t xml:space="preserve">suggest </w:t>
      </w:r>
      <w:r w:rsidR="00982B56" w:rsidRPr="00001A09">
        <w:t xml:space="preserve">opportunities for </w:t>
      </w:r>
      <w:r w:rsidR="00FE1E3D" w:rsidRPr="00001A09">
        <w:t xml:space="preserve">future </w:t>
      </w:r>
      <w:r w:rsidR="00982B56" w:rsidRPr="00001A09">
        <w:t xml:space="preserve">policy </w:t>
      </w:r>
      <w:r w:rsidR="00FE1E3D" w:rsidRPr="00001A09">
        <w:t>developments</w:t>
      </w:r>
      <w:r w:rsidR="00982B56" w:rsidRPr="00001A09">
        <w:t>.</w:t>
      </w:r>
      <w:r w:rsidR="00376477" w:rsidRPr="00001A09">
        <w:t xml:space="preserve"> Given that apprentices often leave because they do not like the work or it didn</w:t>
      </w:r>
      <w:r w:rsidR="00841F93">
        <w:t>’</w:t>
      </w:r>
      <w:r w:rsidR="00376477" w:rsidRPr="00001A09">
        <w:t xml:space="preserve">t meet their expectations, more effort </w:t>
      </w:r>
      <w:r w:rsidR="00136FFC" w:rsidRPr="00001A09">
        <w:t>could</w:t>
      </w:r>
      <w:r w:rsidR="00376477" w:rsidRPr="00001A09">
        <w:t xml:space="preserve"> be put into the selection process. </w:t>
      </w:r>
      <w:r w:rsidR="00F15EA6" w:rsidRPr="00001A09">
        <w:t>Further, an</w:t>
      </w:r>
      <w:r w:rsidR="00376477" w:rsidRPr="00001A09">
        <w:t xml:space="preserve"> employer accreditation process may help</w:t>
      </w:r>
      <w:r w:rsidR="0070366E" w:rsidRPr="00001A09">
        <w:t xml:space="preserve"> to</w:t>
      </w:r>
      <w:r w:rsidR="00376477" w:rsidRPr="00001A09">
        <w:t xml:space="preserve"> ensure that only </w:t>
      </w:r>
      <w:r w:rsidR="0001715C" w:rsidRPr="00001A09">
        <w:t>those</w:t>
      </w:r>
      <w:r w:rsidR="00376477" w:rsidRPr="00001A09">
        <w:t xml:space="preserve"> employers </w:t>
      </w:r>
      <w:r w:rsidR="00AD223C" w:rsidRPr="00001A09">
        <w:t xml:space="preserve">with sufficient training capacity </w:t>
      </w:r>
      <w:r w:rsidR="00376477" w:rsidRPr="00001A09">
        <w:t>are permitted to take on apprentices</w:t>
      </w:r>
      <w:r w:rsidR="00F15EA6" w:rsidRPr="00001A09">
        <w:t xml:space="preserve">; </w:t>
      </w:r>
      <w:r w:rsidR="00035089" w:rsidRPr="00001A09">
        <w:t xml:space="preserve">careful consideration of </w:t>
      </w:r>
      <w:r w:rsidR="00376477" w:rsidRPr="00001A09">
        <w:t xml:space="preserve">employer incentive payments may also help in this regard. There is </w:t>
      </w:r>
      <w:r w:rsidR="00F15EA6" w:rsidRPr="00001A09">
        <w:t xml:space="preserve">also </w:t>
      </w:r>
      <w:r w:rsidR="00376477" w:rsidRPr="00001A09">
        <w:t xml:space="preserve">scope to consider alternative apprenticeship </w:t>
      </w:r>
      <w:r w:rsidR="0067147B" w:rsidRPr="00001A09">
        <w:t xml:space="preserve">models, specifically those that </w:t>
      </w:r>
      <w:r w:rsidR="00F15EA6" w:rsidRPr="00001A09">
        <w:t>reduce the pressure on employers</w:t>
      </w:r>
      <w:r w:rsidR="00F464C0" w:rsidRPr="00001A09">
        <w:t>.</w:t>
      </w:r>
      <w:r w:rsidR="0070366E">
        <w:br w:type="page"/>
      </w:r>
    </w:p>
    <w:p w:rsidR="00F80DC2" w:rsidRDefault="00F80DC2" w:rsidP="00F80DC2">
      <w:pPr>
        <w:pStyle w:val="Heading1"/>
      </w:pPr>
      <w:bookmarkStart w:id="56" w:name="_Toc377040295"/>
      <w:r>
        <w:lastRenderedPageBreak/>
        <w:t>Background</w:t>
      </w:r>
      <w:bookmarkEnd w:id="56"/>
    </w:p>
    <w:p w:rsidR="003D0C6E" w:rsidRPr="004C7E70" w:rsidRDefault="003D0C6E" w:rsidP="003D0C6E">
      <w:pPr>
        <w:pStyle w:val="Text"/>
      </w:pPr>
      <w:r w:rsidRPr="004C7E70">
        <w:t>Apprenticeships are generally under</w:t>
      </w:r>
      <w:r w:rsidR="0067147B">
        <w:t>taken in the traditional trades</w:t>
      </w:r>
      <w:r w:rsidRPr="004C7E70">
        <w:t xml:space="preserve"> and involve an occupational en</w:t>
      </w:r>
      <w:r w:rsidR="0067147B">
        <w:t>try-</w:t>
      </w:r>
      <w:r w:rsidR="00FB5C7C">
        <w:t>level qualification at the c</w:t>
      </w:r>
      <w:r w:rsidRPr="004C7E70">
        <w:t>ertificate III/IV level</w:t>
      </w:r>
      <w:r>
        <w:t xml:space="preserve"> (Commonwealth of Australia 2011)</w:t>
      </w:r>
      <w:r w:rsidRPr="004C7E70">
        <w:t xml:space="preserve">. They are generally </w:t>
      </w:r>
      <w:r w:rsidR="000A7D0B">
        <w:t>three to four</w:t>
      </w:r>
      <w:r w:rsidRPr="004C7E70">
        <w:t xml:space="preserve"> years in duration. </w:t>
      </w:r>
      <w:r w:rsidR="00311EAD" w:rsidRPr="004C7E70">
        <w:t>Traineeships, on the other hand, tend to be in service-oriented occupations, including business</w:t>
      </w:r>
      <w:r w:rsidR="00311EAD">
        <w:t xml:space="preserve"> and retail, and </w:t>
      </w:r>
      <w:r w:rsidR="00311EAD" w:rsidRPr="004C7E70">
        <w:t xml:space="preserve">are generally </w:t>
      </w:r>
      <w:r w:rsidR="000A7D0B">
        <w:t>two</w:t>
      </w:r>
      <w:r w:rsidR="00311EAD" w:rsidRPr="004C7E70">
        <w:t xml:space="preserve"> years in duration.</w:t>
      </w:r>
      <w:r w:rsidR="00311EAD">
        <w:t xml:space="preserve"> </w:t>
      </w:r>
      <w:r w:rsidRPr="004C7E70">
        <w:t xml:space="preserve">Apprentices </w:t>
      </w:r>
      <w:r w:rsidR="00311EAD">
        <w:t xml:space="preserve">and trainees </w:t>
      </w:r>
      <w:r w:rsidRPr="004C7E70">
        <w:t xml:space="preserve">can be either directly </w:t>
      </w:r>
      <w:r>
        <w:t xml:space="preserve">employed or employed through a </w:t>
      </w:r>
      <w:r w:rsidR="000A7D0B">
        <w:t>group training o</w:t>
      </w:r>
      <w:r w:rsidR="000A7D0B" w:rsidRPr="004C7E70">
        <w:t xml:space="preserve">rganisation </w:t>
      </w:r>
      <w:r w:rsidRPr="004C7E70">
        <w:t>(GTO).</w:t>
      </w:r>
      <w:r w:rsidR="0070366E">
        <w:rPr>
          <w:rStyle w:val="FootnoteReference"/>
        </w:rPr>
        <w:footnoteReference w:id="1"/>
      </w:r>
      <w:r>
        <w:t xml:space="preserve"> </w:t>
      </w:r>
    </w:p>
    <w:p w:rsidR="00F80DC2" w:rsidRPr="004C7E70" w:rsidRDefault="00C33E6A" w:rsidP="004C7E70">
      <w:pPr>
        <w:pStyle w:val="Text"/>
      </w:pPr>
      <w:r w:rsidRPr="004C7E70">
        <w:t xml:space="preserve">Throughout the report, the term </w:t>
      </w:r>
      <w:r w:rsidR="00841F93">
        <w:t>‘</w:t>
      </w:r>
      <w:r w:rsidRPr="004C7E70">
        <w:t>apprentic</w:t>
      </w:r>
      <w:r w:rsidR="005B3E60">
        <w:t>e</w:t>
      </w:r>
      <w:r w:rsidR="00841F93">
        <w:t>’</w:t>
      </w:r>
      <w:r w:rsidRPr="004C7E70">
        <w:t xml:space="preserve"> will be used to refer to </w:t>
      </w:r>
      <w:r w:rsidR="005B3E60">
        <w:t xml:space="preserve">those undertaking </w:t>
      </w:r>
      <w:r w:rsidRPr="004C7E70">
        <w:t>trade apprentices</w:t>
      </w:r>
      <w:r w:rsidR="005B3E60">
        <w:t>hips</w:t>
      </w:r>
      <w:r w:rsidRPr="004C7E70">
        <w:t xml:space="preserve">, while the term </w:t>
      </w:r>
      <w:r w:rsidR="00841F93">
        <w:t>‘</w:t>
      </w:r>
      <w:r w:rsidRPr="004C7E70">
        <w:t>trainee</w:t>
      </w:r>
      <w:r w:rsidR="00841F93">
        <w:t>’</w:t>
      </w:r>
      <w:r w:rsidRPr="004C7E70">
        <w:t xml:space="preserve"> will be used to refer to t</w:t>
      </w:r>
      <w:r w:rsidR="00F80DC2" w:rsidRPr="004C7E70">
        <w:t>hose undertaking a traineeship.</w:t>
      </w:r>
      <w:r w:rsidR="003D0C6E">
        <w:t xml:space="preserve"> </w:t>
      </w:r>
      <w:r w:rsidR="00326D60">
        <w:t xml:space="preserve">Although current terminology groups apprenticeships and traineeships under the umbrella term of </w:t>
      </w:r>
      <w:r w:rsidR="00841F93">
        <w:t>‘</w:t>
      </w:r>
      <w:r w:rsidR="00326D60">
        <w:t>Australian Apprenticeships</w:t>
      </w:r>
      <w:r w:rsidR="00841F93">
        <w:t>’</w:t>
      </w:r>
      <w:r w:rsidR="00FB5C7C">
        <w:t>,</w:t>
      </w:r>
      <w:r w:rsidR="00326D60">
        <w:rPr>
          <w:rStyle w:val="FootnoteReference"/>
        </w:rPr>
        <w:footnoteReference w:id="2"/>
      </w:r>
      <w:r w:rsidR="00326D60">
        <w:t xml:space="preserve"> this report distinguishes between the two, since the reasons for non-completion differ substantially between the two groups.</w:t>
      </w:r>
      <w:r w:rsidR="003D0C6E">
        <w:t xml:space="preserve"> </w:t>
      </w:r>
      <w:r w:rsidR="009B67F6">
        <w:t>The</w:t>
      </w:r>
      <w:r w:rsidR="003D0C6E">
        <w:t xml:space="preserve"> primary focus is on apprentices</w:t>
      </w:r>
      <w:r w:rsidR="007414FB">
        <w:t>.</w:t>
      </w:r>
    </w:p>
    <w:p w:rsidR="005E5703" w:rsidRPr="004C7E70" w:rsidRDefault="00E947C9" w:rsidP="00001A09">
      <w:pPr>
        <w:pStyle w:val="Text"/>
        <w:ind w:right="-284"/>
      </w:pPr>
      <w:r w:rsidRPr="00E947C9">
        <w:t xml:space="preserve">There were approximately </w:t>
      </w:r>
      <w:r w:rsidR="00F86FCE">
        <w:t>200 000 apprentices</w:t>
      </w:r>
      <w:r w:rsidR="0067147B">
        <w:t xml:space="preserve"> in </w:t>
      </w:r>
      <w:r w:rsidRPr="00E947C9">
        <w:t>training as at 31 December 2012 (NCVER 2013a)</w:t>
      </w:r>
      <w:r w:rsidR="003D0C6E">
        <w:t>.</w:t>
      </w:r>
      <w:r w:rsidR="00B9222C">
        <w:t xml:space="preserve"> </w:t>
      </w:r>
      <w:r w:rsidR="007414FB">
        <w:t>Apprentices represent about 12% of Australian workers in technical and trade occupations</w:t>
      </w:r>
      <w:r w:rsidR="00B11AAE">
        <w:t xml:space="preserve"> </w:t>
      </w:r>
      <w:r w:rsidR="00B44592">
        <w:t>(NCVER 2012</w:t>
      </w:r>
      <w:r>
        <w:t>c)</w:t>
      </w:r>
      <w:r w:rsidR="00B44592">
        <w:t xml:space="preserve">. </w:t>
      </w:r>
    </w:p>
    <w:p w:rsidR="00F80DC2" w:rsidRPr="004C7E70" w:rsidRDefault="00326D60" w:rsidP="004C7E70">
      <w:pPr>
        <w:pStyle w:val="Text"/>
      </w:pPr>
      <w:r>
        <w:t xml:space="preserve">Figure </w:t>
      </w:r>
      <w:r w:rsidR="00502343">
        <w:t>1</w:t>
      </w:r>
      <w:r>
        <w:t xml:space="preserve"> shows the trend in </w:t>
      </w:r>
      <w:r w:rsidR="00F86FCE">
        <w:t>apprentice</w:t>
      </w:r>
      <w:r>
        <w:t xml:space="preserve"> commencements over the last ten years. </w:t>
      </w:r>
      <w:r w:rsidR="007414FB">
        <w:t>C</w:t>
      </w:r>
      <w:r w:rsidR="00501019">
        <w:t xml:space="preserve">ommencements have </w:t>
      </w:r>
      <w:r w:rsidR="001349DF">
        <w:t>risen by 38% over the past ten</w:t>
      </w:r>
      <w:r w:rsidR="003D0C6E">
        <w:t xml:space="preserve"> years, </w:t>
      </w:r>
      <w:r w:rsidR="00501019">
        <w:t xml:space="preserve">from </w:t>
      </w:r>
      <w:r w:rsidR="0067147B">
        <w:t xml:space="preserve">16 </w:t>
      </w:r>
      <w:r w:rsidR="001349DF">
        <w:t>300 at the end of 2002</w:t>
      </w:r>
      <w:r w:rsidR="00FB5C7C">
        <w:t>,</w:t>
      </w:r>
      <w:r w:rsidR="003D0C6E">
        <w:t xml:space="preserve"> to </w:t>
      </w:r>
      <w:r w:rsidR="0067147B">
        <w:t xml:space="preserve">approximately 22 </w:t>
      </w:r>
      <w:r w:rsidR="001349DF">
        <w:t xml:space="preserve">500 </w:t>
      </w:r>
      <w:r w:rsidR="00502343">
        <w:t>at</w:t>
      </w:r>
      <w:r w:rsidR="001349DF">
        <w:t xml:space="preserve"> the end of 2012</w:t>
      </w:r>
      <w:r w:rsidR="003D0C6E">
        <w:t>.</w:t>
      </w:r>
      <w:r w:rsidR="00EA7226">
        <w:t xml:space="preserve"> </w:t>
      </w:r>
    </w:p>
    <w:p w:rsidR="00865B97" w:rsidRDefault="00001A09" w:rsidP="00001A09">
      <w:pPr>
        <w:pStyle w:val="Figuretitle"/>
      </w:pPr>
      <w:r>
        <w:rPr>
          <w:noProof/>
          <w:lang w:eastAsia="en-AU"/>
        </w:rPr>
        <w:drawing>
          <wp:anchor distT="0" distB="0" distL="114300" distR="114300" simplePos="0" relativeHeight="251676672" behindDoc="0" locked="0" layoutInCell="1" allowOverlap="1">
            <wp:simplePos x="0" y="0"/>
            <wp:positionH relativeFrom="column">
              <wp:posOffset>-48895</wp:posOffset>
            </wp:positionH>
            <wp:positionV relativeFrom="paragraph">
              <wp:posOffset>610870</wp:posOffset>
            </wp:positionV>
            <wp:extent cx="5761990" cy="2434590"/>
            <wp:effectExtent l="0" t="0" r="0" b="0"/>
            <wp:wrapTopAndBottom/>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r="3423" b="9730"/>
                    <a:stretch>
                      <a:fillRect/>
                    </a:stretch>
                  </pic:blipFill>
                  <pic:spPr bwMode="auto">
                    <a:xfrm>
                      <a:off x="0" y="0"/>
                      <a:ext cx="5761990" cy="2434590"/>
                    </a:xfrm>
                    <a:prstGeom prst="rect">
                      <a:avLst/>
                    </a:prstGeom>
                    <a:noFill/>
                    <a:ln w="9525">
                      <a:noFill/>
                      <a:miter lim="800000"/>
                      <a:headEnd/>
                      <a:tailEnd/>
                    </a:ln>
                  </pic:spPr>
                </pic:pic>
              </a:graphicData>
            </a:graphic>
          </wp:anchor>
        </w:drawing>
      </w:r>
      <w:bookmarkStart w:id="57" w:name="_Toc376874279"/>
      <w:r w:rsidR="00B10B5B" w:rsidRPr="000910AD">
        <w:t>Figure 1</w:t>
      </w:r>
      <w:r w:rsidR="00B10B5B" w:rsidRPr="000910AD">
        <w:tab/>
      </w:r>
      <w:r w:rsidR="007414FB" w:rsidRPr="00001A09">
        <w:t>Apprentice</w:t>
      </w:r>
      <w:r w:rsidR="00B10B5B" w:rsidRPr="000910AD">
        <w:t xml:space="preserve"> commencements, seasonally adjusted and smoothed, December 2002 – </w:t>
      </w:r>
      <w:r w:rsidR="002A16A4">
        <w:t>December 2012</w:t>
      </w:r>
      <w:bookmarkEnd w:id="57"/>
    </w:p>
    <w:p w:rsidR="00326D60" w:rsidRDefault="00326D60" w:rsidP="00001A09">
      <w:pPr>
        <w:pStyle w:val="Source"/>
        <w:rPr>
          <w:rFonts w:eastAsia="Calibri"/>
        </w:rPr>
      </w:pPr>
      <w:r>
        <w:rPr>
          <w:rFonts w:eastAsia="Calibri"/>
        </w:rPr>
        <w:t>Source:</w:t>
      </w:r>
      <w:r w:rsidR="00001A09">
        <w:rPr>
          <w:rFonts w:eastAsia="Calibri"/>
        </w:rPr>
        <w:tab/>
      </w:r>
      <w:r>
        <w:rPr>
          <w:rFonts w:eastAsia="Calibri"/>
        </w:rPr>
        <w:t>NCVER (2013b)</w:t>
      </w:r>
      <w:r w:rsidR="00FB5C7C">
        <w:rPr>
          <w:rFonts w:eastAsia="Calibri"/>
        </w:rPr>
        <w:t>.</w:t>
      </w:r>
    </w:p>
    <w:p w:rsidR="007F5849" w:rsidRDefault="00B9299E" w:rsidP="007F5849">
      <w:pPr>
        <w:pStyle w:val="Heading2"/>
      </w:pPr>
      <w:bookmarkStart w:id="58" w:name="_Toc377040296"/>
      <w:r>
        <w:lastRenderedPageBreak/>
        <w:t>Completion rates</w:t>
      </w:r>
      <w:bookmarkEnd w:id="58"/>
    </w:p>
    <w:p w:rsidR="007F5849" w:rsidRPr="00E947C9" w:rsidRDefault="007F5849" w:rsidP="00A220A0">
      <w:pPr>
        <w:pStyle w:val="Text"/>
        <w:rPr>
          <w:i/>
        </w:rPr>
      </w:pPr>
      <w:r w:rsidRPr="00E947C9">
        <w:t xml:space="preserve">Each apprentice has a contract of training with their employer. To determine completion rates, contracts of training </w:t>
      </w:r>
      <w:r w:rsidR="00C52E3C" w:rsidRPr="00E947C9">
        <w:t>are monitored to track</w:t>
      </w:r>
      <w:r w:rsidRPr="00E947C9">
        <w:t xml:space="preserve"> how </w:t>
      </w:r>
      <w:r w:rsidRPr="00A220A0">
        <w:t>many</w:t>
      </w:r>
      <w:r w:rsidRPr="00E947C9">
        <w:t xml:space="preserve"> contracts </w:t>
      </w:r>
      <w:r w:rsidR="00A27245">
        <w:t xml:space="preserve">that were </w:t>
      </w:r>
      <w:r w:rsidR="00B9299E">
        <w:t xml:space="preserve">commenced in a given time period </w:t>
      </w:r>
      <w:r w:rsidRPr="00E947C9">
        <w:t xml:space="preserve">are eventually completed. This </w:t>
      </w:r>
      <w:r w:rsidR="00B9299E">
        <w:t>gives us</w:t>
      </w:r>
      <w:r w:rsidR="00E947C9" w:rsidRPr="00E947C9">
        <w:t xml:space="preserve"> </w:t>
      </w:r>
      <w:r w:rsidR="00502343">
        <w:t>a</w:t>
      </w:r>
      <w:r w:rsidRPr="00E947C9">
        <w:t xml:space="preserve"> </w:t>
      </w:r>
      <w:r w:rsidR="00841F93">
        <w:t>‘</w:t>
      </w:r>
      <w:r w:rsidRPr="00E947C9">
        <w:t>contract completion rate</w:t>
      </w:r>
      <w:r w:rsidR="00841F93">
        <w:t>’</w:t>
      </w:r>
      <w:r w:rsidR="00B9299E">
        <w:t>.</w:t>
      </w:r>
    </w:p>
    <w:p w:rsidR="007F5849" w:rsidRPr="00C52E3C" w:rsidRDefault="007F5849" w:rsidP="00B9299E">
      <w:pPr>
        <w:pStyle w:val="Text"/>
        <w:rPr>
          <w:rFonts w:cs="Trebuchet MS"/>
          <w:i/>
          <w:color w:val="000000"/>
          <w:szCs w:val="19"/>
        </w:rPr>
      </w:pPr>
      <w:r w:rsidRPr="00E947C9">
        <w:t>There is an issue associated with tracking contracts of training: an apprentice might start a contract of training with one employer, but then later switch employers and begin a</w:t>
      </w:r>
      <w:r w:rsidR="009B67F6">
        <w:t xml:space="preserve"> new contract of training. </w:t>
      </w:r>
      <w:r w:rsidR="0067147B">
        <w:t>When</w:t>
      </w:r>
      <w:r w:rsidRPr="00E947C9">
        <w:t xml:space="preserve"> only contracts of training</w:t>
      </w:r>
      <w:r w:rsidR="00FB5C7C" w:rsidRPr="00E947C9">
        <w:t xml:space="preserve"> </w:t>
      </w:r>
      <w:r w:rsidR="00FB5C7C">
        <w:t xml:space="preserve">are </w:t>
      </w:r>
      <w:r w:rsidR="00FB5C7C" w:rsidRPr="00E947C9">
        <w:t>monitor</w:t>
      </w:r>
      <w:r w:rsidR="00FB5C7C">
        <w:t>ed</w:t>
      </w:r>
      <w:r w:rsidRPr="00E947C9">
        <w:t>, the original contract may be recorded as incomplete, even if the student goes on to finish their apprenticeship with the new employer. Approximately one-quarter of trade apprentices swap employers during their apprenticeship in this fashion (Karmel 2011). This leads us to consid</w:t>
      </w:r>
      <w:r w:rsidR="00B9299E">
        <w:t xml:space="preserve">er </w:t>
      </w:r>
      <w:r w:rsidR="00841F93">
        <w:t>‘</w:t>
      </w:r>
      <w:r w:rsidR="00B9299E">
        <w:t>individual completion rates</w:t>
      </w:r>
      <w:r w:rsidR="00841F93">
        <w:t>’</w:t>
      </w:r>
      <w:r w:rsidR="00B9299E">
        <w:t>. T</w:t>
      </w:r>
      <w:r w:rsidR="00B9299E" w:rsidRPr="00B9299E">
        <w:t xml:space="preserve">hese </w:t>
      </w:r>
      <w:r w:rsidR="00B9299E">
        <w:t>give</w:t>
      </w:r>
      <w:r w:rsidR="00B9299E" w:rsidRPr="00B9299E">
        <w:t xml:space="preserve"> an estimate of </w:t>
      </w:r>
      <w:r w:rsidRPr="00B9299E">
        <w:rPr>
          <w:rFonts w:cs="Trebuchet MS"/>
          <w:color w:val="000000"/>
          <w:szCs w:val="19"/>
        </w:rPr>
        <w:t xml:space="preserve">the proportion of </w:t>
      </w:r>
      <w:r w:rsidRPr="00B9299E">
        <w:rPr>
          <w:rFonts w:cs="Trebuchet MS"/>
          <w:iCs/>
          <w:color w:val="000000"/>
          <w:szCs w:val="19"/>
        </w:rPr>
        <w:t xml:space="preserve">apprentices </w:t>
      </w:r>
      <w:r w:rsidR="00B9299E" w:rsidRPr="00B9299E">
        <w:rPr>
          <w:rFonts w:cs="Trebuchet MS"/>
          <w:color w:val="000000"/>
          <w:szCs w:val="19"/>
        </w:rPr>
        <w:t xml:space="preserve">who started in a given year </w:t>
      </w:r>
      <w:r w:rsidR="00FB5C7C">
        <w:rPr>
          <w:rFonts w:cs="Trebuchet MS"/>
          <w:color w:val="000000"/>
          <w:szCs w:val="19"/>
        </w:rPr>
        <w:t xml:space="preserve">and </w:t>
      </w:r>
      <w:r w:rsidRPr="00B9299E">
        <w:rPr>
          <w:rFonts w:cs="Trebuchet MS"/>
          <w:color w:val="000000"/>
          <w:szCs w:val="19"/>
        </w:rPr>
        <w:t xml:space="preserve">who eventually completed their training in the same </w:t>
      </w:r>
      <w:r w:rsidRPr="00B9299E">
        <w:rPr>
          <w:rFonts w:cs="Trebuchet MS"/>
          <w:i/>
          <w:color w:val="000000"/>
          <w:szCs w:val="19"/>
        </w:rPr>
        <w:t>occupation</w:t>
      </w:r>
      <w:r w:rsidRPr="00B9299E">
        <w:rPr>
          <w:rFonts w:cs="Trebuchet MS"/>
          <w:color w:val="000000"/>
          <w:szCs w:val="19"/>
        </w:rPr>
        <w:t xml:space="preserve"> in which they began, but not necessarily with the same </w:t>
      </w:r>
      <w:r w:rsidRPr="00B9299E">
        <w:rPr>
          <w:rFonts w:cs="Trebuchet MS"/>
          <w:i/>
          <w:color w:val="000000"/>
          <w:szCs w:val="19"/>
        </w:rPr>
        <w:t>employer</w:t>
      </w:r>
      <w:r w:rsidRPr="00B9299E">
        <w:rPr>
          <w:rFonts w:cs="Trebuchet MS"/>
          <w:color w:val="000000"/>
          <w:szCs w:val="19"/>
        </w:rPr>
        <w:t>.</w:t>
      </w:r>
      <w:r w:rsidRPr="00C52E3C">
        <w:rPr>
          <w:rFonts w:cs="Trebuchet MS"/>
          <w:i/>
          <w:color w:val="000000"/>
          <w:szCs w:val="19"/>
        </w:rPr>
        <w:t xml:space="preserve"> </w:t>
      </w:r>
    </w:p>
    <w:p w:rsidR="007F5849" w:rsidRPr="007F5849" w:rsidRDefault="007F5849" w:rsidP="00C52E3C">
      <w:pPr>
        <w:pStyle w:val="Text"/>
      </w:pPr>
      <w:r w:rsidRPr="007F5849">
        <w:t xml:space="preserve">Ideally, </w:t>
      </w:r>
      <w:r w:rsidR="00B9299E">
        <w:t xml:space="preserve">to calculate completion rates, </w:t>
      </w:r>
      <w:r w:rsidRPr="007F5849">
        <w:t xml:space="preserve">we </w:t>
      </w:r>
      <w:r w:rsidR="00B9299E">
        <w:t>must</w:t>
      </w:r>
      <w:r w:rsidRPr="007F5849">
        <w:t xml:space="preserve"> wait for all </w:t>
      </w:r>
      <w:r w:rsidR="00C52E3C">
        <w:t xml:space="preserve">apprentices </w:t>
      </w:r>
      <w:r w:rsidRPr="007F5849">
        <w:t xml:space="preserve">who started at a given time to either complete or drop out of their </w:t>
      </w:r>
      <w:r w:rsidR="00C52E3C">
        <w:t>training</w:t>
      </w:r>
      <w:r w:rsidRPr="007F5849">
        <w:t xml:space="preserve">. Only when all </w:t>
      </w:r>
      <w:r w:rsidR="00C52E3C">
        <w:t>contracts</w:t>
      </w:r>
      <w:r w:rsidRPr="007F5849">
        <w:t xml:space="preserve"> are accounted for will we know the true rate. However, </w:t>
      </w:r>
      <w:r w:rsidR="00C52E3C">
        <w:t>a trade apprenticeship</w:t>
      </w:r>
      <w:r w:rsidRPr="007F5849">
        <w:t xml:space="preserve"> is generally </w:t>
      </w:r>
      <w:r w:rsidR="00C52E3C">
        <w:t>four</w:t>
      </w:r>
      <w:r w:rsidRPr="007F5849">
        <w:t xml:space="preserve"> years </w:t>
      </w:r>
      <w:r w:rsidR="00C52E3C">
        <w:t>in duration.</w:t>
      </w:r>
      <w:r w:rsidRPr="007F5849">
        <w:t xml:space="preserve"> </w:t>
      </w:r>
      <w:r w:rsidR="00FD2362">
        <w:t xml:space="preserve">To save having to wait for the full four years, an alternative is to track apprentices for a certain time period and then </w:t>
      </w:r>
      <w:r w:rsidR="00FD2362" w:rsidRPr="00AF0326">
        <w:rPr>
          <w:i/>
        </w:rPr>
        <w:t>estimate</w:t>
      </w:r>
      <w:r w:rsidR="00FD2362">
        <w:t xml:space="preserve"> the long-term behaviour.</w:t>
      </w:r>
    </w:p>
    <w:p w:rsidR="007F5849" w:rsidRDefault="00FD2362" w:rsidP="00286B68">
      <w:pPr>
        <w:pStyle w:val="Text"/>
      </w:pPr>
      <w:r>
        <w:t>Thus, f</w:t>
      </w:r>
      <w:r w:rsidR="007F5849" w:rsidRPr="007F5849">
        <w:t xml:space="preserve">or contract completion rates, NCVER uses two different methods. One method involves tracking a cohort of contracts for </w:t>
      </w:r>
      <w:r w:rsidR="00C52E3C">
        <w:t xml:space="preserve">the full </w:t>
      </w:r>
      <w:r w:rsidR="007F5849" w:rsidRPr="007F5849">
        <w:t>four years</w:t>
      </w:r>
      <w:r w:rsidR="00BF3C37">
        <w:t xml:space="preserve">, with some adjustments </w:t>
      </w:r>
      <w:r w:rsidR="007F5849" w:rsidRPr="007F5849">
        <w:t>made</w:t>
      </w:r>
      <w:r w:rsidR="00C52E3C">
        <w:t xml:space="preserve"> to account for reporting lags (Harvey 2010a).</w:t>
      </w:r>
      <w:r w:rsidR="00C52E3C" w:rsidRPr="007F5849">
        <w:t xml:space="preserve"> </w:t>
      </w:r>
      <w:r w:rsidR="007F5849" w:rsidRPr="007F5849">
        <w:t xml:space="preserve">The other method, used to find the </w:t>
      </w:r>
      <w:r w:rsidR="007F5849" w:rsidRPr="007F5849">
        <w:rPr>
          <w:i/>
        </w:rPr>
        <w:t>projected</w:t>
      </w:r>
      <w:r w:rsidR="007F5849" w:rsidRPr="007F5849">
        <w:t xml:space="preserve"> contract completion rates, involves tracking a cohort of contracts for one quarter and extrapolating the behaviour to </w:t>
      </w:r>
      <w:r w:rsidR="007F5849" w:rsidRPr="00FD2362">
        <w:rPr>
          <w:i/>
        </w:rPr>
        <w:t>predict</w:t>
      </w:r>
      <w:r w:rsidR="007F5849" w:rsidRPr="007F5849">
        <w:t xml:space="preserve"> the long-term trend</w:t>
      </w:r>
      <w:r w:rsidR="00CB229D">
        <w:t xml:space="preserve"> (see Karmel </w:t>
      </w:r>
      <w:r w:rsidR="00110AC7">
        <w:t>&amp;</w:t>
      </w:r>
      <w:r w:rsidR="00CB229D">
        <w:t xml:space="preserve"> Mlotkowski 2010a for details)</w:t>
      </w:r>
      <w:r w:rsidR="007F5849" w:rsidRPr="007F5849">
        <w:t>.</w:t>
      </w:r>
      <w:r w:rsidR="00BF3C37">
        <w:t xml:space="preserve"> </w:t>
      </w:r>
      <w:r w:rsidR="007F5849" w:rsidRPr="007F5849">
        <w:t xml:space="preserve">For individual completion rates, the contract completion rates </w:t>
      </w:r>
      <w:r w:rsidR="00CB229D">
        <w:t>are adjusted</w:t>
      </w:r>
      <w:r w:rsidR="007F5849" w:rsidRPr="007F5849">
        <w:t xml:space="preserve"> according to data</w:t>
      </w:r>
      <w:r w:rsidR="00F75E3F">
        <w:t xml:space="preserve"> </w:t>
      </w:r>
      <w:r w:rsidR="0067147B">
        <w:t xml:space="preserve">on the number of </w:t>
      </w:r>
      <w:r w:rsidR="00F75E3F">
        <w:t xml:space="preserve">apprentices </w:t>
      </w:r>
      <w:r w:rsidR="0067147B">
        <w:t xml:space="preserve">who </w:t>
      </w:r>
      <w:r w:rsidR="007F5849" w:rsidRPr="007F5849">
        <w:t>switch employ</w:t>
      </w:r>
      <w:r w:rsidR="00502343">
        <w:t>ers during their apprenticeship. See Karmel (2011) for details.</w:t>
      </w:r>
    </w:p>
    <w:p w:rsidR="007F5849" w:rsidRPr="007F5849" w:rsidRDefault="007F5849" w:rsidP="00286B68">
      <w:pPr>
        <w:pStyle w:val="Text"/>
      </w:pPr>
      <w:r w:rsidRPr="007F5849">
        <w:t xml:space="preserve">The latest completion rates for </w:t>
      </w:r>
      <w:r w:rsidR="00502343">
        <w:t xml:space="preserve">trade </w:t>
      </w:r>
      <w:r w:rsidRPr="007F5849">
        <w:t xml:space="preserve">apprentices </w:t>
      </w:r>
      <w:r w:rsidR="00C52E3C">
        <w:t xml:space="preserve">are shown in table </w:t>
      </w:r>
      <w:r w:rsidR="00502343">
        <w:t>1</w:t>
      </w:r>
      <w:r w:rsidRPr="007F5849">
        <w:t xml:space="preserve">. </w:t>
      </w:r>
      <w:r w:rsidR="0023752D">
        <w:t>We can see that approximately half of apprenticeship contracts are not completed</w:t>
      </w:r>
      <w:r w:rsidR="00110AC7">
        <w:t>.</w:t>
      </w:r>
      <w:r w:rsidR="007414FB">
        <w:rPr>
          <w:rStyle w:val="FootnoteReference"/>
        </w:rPr>
        <w:footnoteReference w:id="3"/>
      </w:r>
      <w:r w:rsidR="0023752D">
        <w:t xml:space="preserve"> The individual </w:t>
      </w:r>
      <w:r w:rsidR="00D151AD">
        <w:t xml:space="preserve">completion </w:t>
      </w:r>
      <w:r w:rsidR="0023752D">
        <w:t>rate is slightly higher, at 55%.</w:t>
      </w:r>
      <w:r w:rsidRPr="007F5849">
        <w:t xml:space="preserve"> </w:t>
      </w:r>
    </w:p>
    <w:p w:rsidR="007F5849" w:rsidRPr="007F5849" w:rsidRDefault="00C52E3C" w:rsidP="00A220A0">
      <w:pPr>
        <w:pStyle w:val="tabletitle"/>
      </w:pPr>
      <w:bookmarkStart w:id="59" w:name="_Toc311991634"/>
      <w:bookmarkStart w:id="60" w:name="_Toc376874266"/>
      <w:r>
        <w:t xml:space="preserve">Table </w:t>
      </w:r>
      <w:r w:rsidR="00502343">
        <w:t>1</w:t>
      </w:r>
      <w:r w:rsidR="007F5849" w:rsidRPr="007F5849">
        <w:tab/>
        <w:t xml:space="preserve">Latest completion rates for </w:t>
      </w:r>
      <w:r w:rsidR="00B9222C">
        <w:t xml:space="preserve">trade </w:t>
      </w:r>
      <w:r w:rsidR="007F5849" w:rsidRPr="007F5849">
        <w:t>apprentices</w:t>
      </w:r>
      <w:bookmarkEnd w:id="59"/>
      <w:r w:rsidR="00F00E4E">
        <w:t xml:space="preserve"> </w:t>
      </w:r>
      <w:r w:rsidR="00F00E4E" w:rsidRPr="00A220A0">
        <w:t>commencing</w:t>
      </w:r>
      <w:r w:rsidR="00F00E4E">
        <w:t xml:space="preserve"> in 2007</w:t>
      </w:r>
      <w:bookmarkEnd w:id="60"/>
    </w:p>
    <w:tbl>
      <w:tblPr>
        <w:tblW w:w="6521" w:type="dxa"/>
        <w:tblInd w:w="108" w:type="dxa"/>
        <w:tblBorders>
          <w:top w:val="single" w:sz="4" w:space="0" w:color="auto"/>
          <w:bottom w:val="single" w:sz="4" w:space="0" w:color="auto"/>
        </w:tblBorders>
        <w:tblLayout w:type="fixed"/>
        <w:tblLook w:val="0000" w:firstRow="0" w:lastRow="0" w:firstColumn="0" w:lastColumn="0" w:noHBand="0" w:noVBand="0"/>
      </w:tblPr>
      <w:tblGrid>
        <w:gridCol w:w="4537"/>
        <w:gridCol w:w="1984"/>
      </w:tblGrid>
      <w:tr w:rsidR="00F00E4E" w:rsidRPr="007F5849" w:rsidTr="00F73B7A">
        <w:trPr>
          <w:cantSplit/>
        </w:trPr>
        <w:tc>
          <w:tcPr>
            <w:tcW w:w="4537" w:type="dxa"/>
            <w:tcBorders>
              <w:top w:val="single" w:sz="4" w:space="0" w:color="auto"/>
              <w:right w:val="nil"/>
            </w:tcBorders>
          </w:tcPr>
          <w:p w:rsidR="00F00E4E" w:rsidRPr="007F5849" w:rsidRDefault="00F00E4E" w:rsidP="00A220A0">
            <w:pPr>
              <w:pStyle w:val="Tablehead1"/>
            </w:pPr>
            <w:r w:rsidRPr="007F5849">
              <w:t>Completion rate</w:t>
            </w:r>
          </w:p>
        </w:tc>
        <w:tc>
          <w:tcPr>
            <w:tcW w:w="1984" w:type="dxa"/>
            <w:tcBorders>
              <w:top w:val="single" w:sz="4" w:space="0" w:color="auto"/>
              <w:left w:val="nil"/>
              <w:bottom w:val="nil"/>
            </w:tcBorders>
          </w:tcPr>
          <w:p w:rsidR="00F00E4E" w:rsidRPr="007F5849" w:rsidRDefault="00F00E4E" w:rsidP="00A220A0">
            <w:pPr>
              <w:pStyle w:val="Tablehead1"/>
              <w:jc w:val="center"/>
            </w:pPr>
            <w:r w:rsidRPr="007F5849">
              <w:t>Completion rate</w:t>
            </w:r>
            <w:r>
              <w:t xml:space="preserve"> (%)</w:t>
            </w:r>
          </w:p>
        </w:tc>
      </w:tr>
      <w:tr w:rsidR="00F00E4E" w:rsidRPr="007F5849" w:rsidTr="00F73B7A">
        <w:trPr>
          <w:cantSplit/>
        </w:trPr>
        <w:tc>
          <w:tcPr>
            <w:tcW w:w="4537" w:type="dxa"/>
            <w:tcBorders>
              <w:top w:val="single" w:sz="4" w:space="0" w:color="auto"/>
              <w:bottom w:val="nil"/>
              <w:right w:val="nil"/>
            </w:tcBorders>
          </w:tcPr>
          <w:p w:rsidR="00F00E4E" w:rsidRPr="007F5849" w:rsidRDefault="00F00E4E" w:rsidP="00A220A0">
            <w:pPr>
              <w:pStyle w:val="Tabletext"/>
            </w:pPr>
            <w:r w:rsidRPr="007F5849">
              <w:t xml:space="preserve">Contract completion rate </w:t>
            </w:r>
          </w:p>
        </w:tc>
        <w:tc>
          <w:tcPr>
            <w:tcW w:w="1984" w:type="dxa"/>
            <w:tcBorders>
              <w:top w:val="single" w:sz="4" w:space="0" w:color="auto"/>
              <w:left w:val="nil"/>
              <w:bottom w:val="nil"/>
              <w:right w:val="nil"/>
            </w:tcBorders>
          </w:tcPr>
          <w:p w:rsidR="00F00E4E" w:rsidRPr="007F5849" w:rsidRDefault="00F00E4E" w:rsidP="00A220A0">
            <w:pPr>
              <w:pStyle w:val="Tabletext"/>
              <w:jc w:val="center"/>
            </w:pPr>
            <w:r w:rsidRPr="007F5849">
              <w:t>45</w:t>
            </w:r>
          </w:p>
        </w:tc>
      </w:tr>
      <w:tr w:rsidR="00F00E4E" w:rsidRPr="007F5849" w:rsidTr="00F73B7A">
        <w:trPr>
          <w:cantSplit/>
        </w:trPr>
        <w:tc>
          <w:tcPr>
            <w:tcW w:w="4537" w:type="dxa"/>
            <w:tcBorders>
              <w:top w:val="nil"/>
              <w:bottom w:val="single" w:sz="4" w:space="0" w:color="auto"/>
              <w:right w:val="nil"/>
            </w:tcBorders>
          </w:tcPr>
          <w:p w:rsidR="00F00E4E" w:rsidRPr="007F5849" w:rsidRDefault="00F00E4E" w:rsidP="00A220A0">
            <w:pPr>
              <w:pStyle w:val="Tabletext"/>
            </w:pPr>
            <w:bookmarkStart w:id="61" w:name="_Hlk309376994"/>
            <w:r w:rsidRPr="007F5849">
              <w:t>Individual completion rate</w:t>
            </w:r>
          </w:p>
        </w:tc>
        <w:tc>
          <w:tcPr>
            <w:tcW w:w="1984" w:type="dxa"/>
            <w:tcBorders>
              <w:top w:val="nil"/>
              <w:left w:val="nil"/>
              <w:bottom w:val="single" w:sz="4" w:space="0" w:color="auto"/>
              <w:right w:val="nil"/>
            </w:tcBorders>
          </w:tcPr>
          <w:p w:rsidR="00F00E4E" w:rsidRPr="007F5849" w:rsidRDefault="00F00E4E" w:rsidP="00A220A0">
            <w:pPr>
              <w:pStyle w:val="Tabletext"/>
              <w:jc w:val="center"/>
            </w:pPr>
            <w:r w:rsidRPr="007F5849">
              <w:t>5</w:t>
            </w:r>
            <w:r>
              <w:t>5</w:t>
            </w:r>
          </w:p>
        </w:tc>
      </w:tr>
    </w:tbl>
    <w:bookmarkEnd w:id="61"/>
    <w:p w:rsidR="007F5849" w:rsidRPr="007F5849" w:rsidRDefault="007F5849" w:rsidP="00A220A0">
      <w:pPr>
        <w:pStyle w:val="Source"/>
      </w:pPr>
      <w:r w:rsidRPr="007F5849">
        <w:t>Source:</w:t>
      </w:r>
      <w:r w:rsidRPr="007F5849">
        <w:tab/>
        <w:t>NCVER (201</w:t>
      </w:r>
      <w:r w:rsidR="009603F4">
        <w:t>2</w:t>
      </w:r>
      <w:r w:rsidRPr="007F5849">
        <w:t>a).</w:t>
      </w:r>
    </w:p>
    <w:p w:rsidR="00F159F6" w:rsidRDefault="00F159F6" w:rsidP="00A220A0">
      <w:pPr>
        <w:pStyle w:val="Textmorebefore"/>
      </w:pPr>
      <w:r>
        <w:t xml:space="preserve">Completion rates have not changed much over the last few </w:t>
      </w:r>
      <w:r w:rsidR="004C32DF">
        <w:t>years</w:t>
      </w:r>
      <w:r w:rsidR="000B23F9">
        <w:t xml:space="preserve">, as shown in figure </w:t>
      </w:r>
      <w:r w:rsidR="00502343">
        <w:t>2</w:t>
      </w:r>
      <w:r w:rsidR="004C32DF">
        <w:t xml:space="preserve">. Contract completion rates have </w:t>
      </w:r>
      <w:r w:rsidR="000B23F9">
        <w:t>hovered around</w:t>
      </w:r>
      <w:r w:rsidR="00110AC7">
        <w:t xml:space="preserve"> the 45% mark</w:t>
      </w:r>
      <w:r w:rsidR="004C32DF">
        <w:t xml:space="preserve"> and are projected to increase very slightly for the 2009, 2010 and 2011 cohorts of apprentices. </w:t>
      </w:r>
      <w:r w:rsidR="00F27D14">
        <w:t>Individual</w:t>
      </w:r>
      <w:r w:rsidR="004C32DF">
        <w:t xml:space="preserve"> completion rates</w:t>
      </w:r>
      <w:r w:rsidR="00C11ADF">
        <w:t xml:space="preserve"> </w:t>
      </w:r>
      <w:r w:rsidR="004C32DF">
        <w:t xml:space="preserve">are higher than contract completion rates by about </w:t>
      </w:r>
      <w:r w:rsidR="00110AC7">
        <w:t xml:space="preserve">ten </w:t>
      </w:r>
      <w:r w:rsidR="004C32DF">
        <w:t>percentage points</w:t>
      </w:r>
      <w:r w:rsidR="00F75E3F">
        <w:t xml:space="preserve">, </w:t>
      </w:r>
      <w:r w:rsidR="00B73070">
        <w:t>since they account</w:t>
      </w:r>
      <w:r w:rsidR="00F75E3F">
        <w:t xml:space="preserve"> for employer switching</w:t>
      </w:r>
      <w:r w:rsidR="004C32DF">
        <w:t>.</w:t>
      </w:r>
    </w:p>
    <w:p w:rsidR="00376477" w:rsidRDefault="00376477">
      <w:pPr>
        <w:rPr>
          <w:rFonts w:ascii="Tahoma" w:hAnsi="Tahoma"/>
          <w:b/>
          <w:sz w:val="17"/>
          <w:szCs w:val="20"/>
          <w:lang w:eastAsia="en-US"/>
        </w:rPr>
      </w:pPr>
      <w:r>
        <w:br w:type="page"/>
      </w:r>
    </w:p>
    <w:p w:rsidR="000B23F9" w:rsidRDefault="00A220A0" w:rsidP="00A220A0">
      <w:pPr>
        <w:pStyle w:val="Figuretitle"/>
      </w:pPr>
      <w:r>
        <w:rPr>
          <w:noProof/>
          <w:lang w:eastAsia="en-AU"/>
        </w:rPr>
        <w:lastRenderedPageBreak/>
        <w:drawing>
          <wp:anchor distT="0" distB="0" distL="114300" distR="114300" simplePos="0" relativeHeight="251677696" behindDoc="0" locked="0" layoutInCell="1" allowOverlap="1">
            <wp:simplePos x="0" y="0"/>
            <wp:positionH relativeFrom="column">
              <wp:posOffset>12700</wp:posOffset>
            </wp:positionH>
            <wp:positionV relativeFrom="paragraph">
              <wp:posOffset>220980</wp:posOffset>
            </wp:positionV>
            <wp:extent cx="5584190" cy="3093720"/>
            <wp:effectExtent l="19050" t="0" r="0" b="0"/>
            <wp:wrapTopAndBottom/>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584190" cy="3093720"/>
                    </a:xfrm>
                    <a:prstGeom prst="rect">
                      <a:avLst/>
                    </a:prstGeom>
                    <a:noFill/>
                    <a:ln w="9525">
                      <a:noFill/>
                      <a:miter lim="800000"/>
                      <a:headEnd/>
                      <a:tailEnd/>
                    </a:ln>
                  </pic:spPr>
                </pic:pic>
              </a:graphicData>
            </a:graphic>
          </wp:anchor>
        </w:drawing>
      </w:r>
      <w:bookmarkStart w:id="62" w:name="_Toc376874280"/>
      <w:r w:rsidR="000B23F9">
        <w:t xml:space="preserve">Figure </w:t>
      </w:r>
      <w:r w:rsidR="00502343">
        <w:t>2</w:t>
      </w:r>
      <w:r w:rsidR="000B23F9">
        <w:tab/>
        <w:t xml:space="preserve">Completion </w:t>
      </w:r>
      <w:r w:rsidR="000B23F9" w:rsidRPr="00A220A0">
        <w:t>rates</w:t>
      </w:r>
      <w:r w:rsidR="000B23F9">
        <w:t xml:space="preserve"> for trade apprentices over time</w:t>
      </w:r>
      <w:bookmarkEnd w:id="62"/>
    </w:p>
    <w:p w:rsidR="00185DDC" w:rsidRDefault="00185DDC" w:rsidP="00185DDC">
      <w:pPr>
        <w:pStyle w:val="Source"/>
        <w:spacing w:before="160"/>
      </w:pPr>
      <w:r>
        <w:t>Source:</w:t>
      </w:r>
      <w:r>
        <w:tab/>
      </w:r>
      <w:r w:rsidRPr="00A220A0">
        <w:t>NCVER</w:t>
      </w:r>
      <w:r>
        <w:t xml:space="preserve"> (2010c, 2012a).</w:t>
      </w:r>
    </w:p>
    <w:p w:rsidR="00185DDC" w:rsidRDefault="00354C72" w:rsidP="00185DDC">
      <w:pPr>
        <w:pStyle w:val="Source"/>
      </w:pPr>
      <w:r>
        <w:t>Note</w:t>
      </w:r>
      <w:r w:rsidR="000B23F9">
        <w:t>:</w:t>
      </w:r>
      <w:r w:rsidR="00A220A0">
        <w:tab/>
      </w:r>
      <w:r w:rsidR="00185DDC" w:rsidRPr="00185DDC">
        <w:rPr>
          <w:spacing w:val="-2"/>
        </w:rPr>
        <w:t>Contract completion rates refer to individuals completing an apprenticeship contract with the employer they commenced with.</w:t>
      </w:r>
    </w:p>
    <w:p w:rsidR="00185DDC" w:rsidRDefault="00185DDC" w:rsidP="00185DDC">
      <w:pPr>
        <w:pStyle w:val="Source"/>
        <w:ind w:firstLine="0"/>
      </w:pPr>
      <w:r>
        <w:t>Individual completion rates refer to individuals completing an apprenticeship contract with the employer they commenced with, or with a different employer in the same occupation.</w:t>
      </w:r>
    </w:p>
    <w:p w:rsidR="00185DDC" w:rsidRDefault="00185DDC" w:rsidP="00185DDC">
      <w:pPr>
        <w:pStyle w:val="Source"/>
        <w:ind w:firstLine="0"/>
      </w:pPr>
      <w:r>
        <w:t>Projected contract completion rates are projected rates based on a cross-sectional ‘life tables’ methodology (see Karmel and Mlotkowski 2010a). The projected rates are for contracts beginning in the December quarter of that year.</w:t>
      </w:r>
    </w:p>
    <w:p w:rsidR="007F5849" w:rsidRDefault="003153AA" w:rsidP="00185DDC">
      <w:pPr>
        <w:pStyle w:val="Heading3"/>
        <w:spacing w:before="240"/>
      </w:pPr>
      <w:bookmarkStart w:id="63" w:name="OLE_LINK22"/>
      <w:bookmarkStart w:id="64" w:name="OLE_LINK23"/>
      <w:r>
        <w:t>By</w:t>
      </w:r>
      <w:r w:rsidR="000C01A7">
        <w:t xml:space="preserve"> occupation</w:t>
      </w:r>
    </w:p>
    <w:p w:rsidR="005D4AD6" w:rsidRPr="00A220A0" w:rsidRDefault="00DC3EFE" w:rsidP="00A220A0">
      <w:pPr>
        <w:pStyle w:val="Textlessbefore"/>
      </w:pPr>
      <w:r w:rsidRPr="00A220A0">
        <w:t>Completion</w:t>
      </w:r>
      <w:r w:rsidR="005D4AD6" w:rsidRPr="00A220A0">
        <w:t xml:space="preserve"> rates vary considerably by occupation, as shown in table </w:t>
      </w:r>
      <w:r w:rsidR="00502343" w:rsidRPr="00A220A0">
        <w:t>2</w:t>
      </w:r>
      <w:r w:rsidR="005D4AD6" w:rsidRPr="00A220A0">
        <w:t xml:space="preserve">. For example, </w:t>
      </w:r>
      <w:r w:rsidR="00502343" w:rsidRPr="00A220A0">
        <w:t>i</w:t>
      </w:r>
      <w:r w:rsidRPr="00A220A0">
        <w:t>ndividual</w:t>
      </w:r>
      <w:r w:rsidR="005D4AD6" w:rsidRPr="00A220A0">
        <w:t xml:space="preserve"> completion rates range from </w:t>
      </w:r>
      <w:r w:rsidRPr="00A220A0">
        <w:t>roughly 40</w:t>
      </w:r>
      <w:r w:rsidR="005D4AD6" w:rsidRPr="00A220A0">
        <w:t xml:space="preserve">% for food trades workers, through to </w:t>
      </w:r>
      <w:r w:rsidR="001F2F7C" w:rsidRPr="00A220A0">
        <w:t xml:space="preserve">almost </w:t>
      </w:r>
      <w:r w:rsidRPr="00A220A0">
        <w:t>70</w:t>
      </w:r>
      <w:r w:rsidR="005D4AD6" w:rsidRPr="00A220A0">
        <w:t xml:space="preserve">% for </w:t>
      </w:r>
      <w:proofErr w:type="spellStart"/>
      <w:r w:rsidR="005D4AD6" w:rsidRPr="00A220A0">
        <w:t>electrotechnology</w:t>
      </w:r>
      <w:proofErr w:type="spellEnd"/>
      <w:r w:rsidR="005D4AD6" w:rsidRPr="00A220A0">
        <w:t xml:space="preserve"> and telecommunications trades workers. </w:t>
      </w:r>
      <w:r w:rsidR="00F27D14" w:rsidRPr="00A220A0">
        <w:t xml:space="preserve">Occupations with the highest adjustment factor, and hence the highest employee </w:t>
      </w:r>
      <w:r w:rsidR="00841F93">
        <w:t>‘</w:t>
      </w:r>
      <w:r w:rsidR="00F27D14" w:rsidRPr="00A220A0">
        <w:t>churn</w:t>
      </w:r>
      <w:r w:rsidR="00841F93">
        <w:t>’</w:t>
      </w:r>
      <w:r w:rsidR="00502343" w:rsidRPr="00A220A0">
        <w:t>,</w:t>
      </w:r>
      <w:r w:rsidR="00F27D14" w:rsidRPr="00A220A0">
        <w:t xml:space="preserve"> are hairdressers, food trades workers and construction trades workers.</w:t>
      </w:r>
    </w:p>
    <w:p w:rsidR="00D151AD" w:rsidRDefault="00B9299E" w:rsidP="00185DDC">
      <w:pPr>
        <w:pStyle w:val="tabletitle"/>
        <w:spacing w:before="240"/>
      </w:pPr>
      <w:bookmarkStart w:id="65" w:name="_Toc376874267"/>
      <w:r>
        <w:t>T</w:t>
      </w:r>
      <w:r w:rsidR="00D151AD">
        <w:t xml:space="preserve">able </w:t>
      </w:r>
      <w:r w:rsidR="00502343">
        <w:t>2</w:t>
      </w:r>
      <w:r w:rsidR="00D151AD">
        <w:tab/>
        <w:t xml:space="preserve">Contract and </w:t>
      </w:r>
      <w:r w:rsidR="00D151AD" w:rsidRPr="00A220A0">
        <w:t>individual</w:t>
      </w:r>
      <w:r w:rsidR="00D151AD">
        <w:t xml:space="preserve"> completion rates, based on a recommencement factor, for trade occupations commencing in 2007</w:t>
      </w:r>
      <w:bookmarkEnd w:id="65"/>
    </w:p>
    <w:tbl>
      <w:tblPr>
        <w:tblW w:w="8789" w:type="dxa"/>
        <w:tblInd w:w="96" w:type="dxa"/>
        <w:tblLayout w:type="fixed"/>
        <w:tblLook w:val="04A0" w:firstRow="1" w:lastRow="0" w:firstColumn="1" w:lastColumn="0" w:noHBand="0" w:noVBand="1"/>
      </w:tblPr>
      <w:tblGrid>
        <w:gridCol w:w="4950"/>
        <w:gridCol w:w="1279"/>
        <w:gridCol w:w="1280"/>
        <w:gridCol w:w="1280"/>
      </w:tblGrid>
      <w:tr w:rsidR="00D151AD" w:rsidRPr="00F73B7A" w:rsidTr="00F73B7A">
        <w:tc>
          <w:tcPr>
            <w:tcW w:w="4950" w:type="dxa"/>
            <w:tcBorders>
              <w:top w:val="single" w:sz="4" w:space="0" w:color="auto"/>
              <w:left w:val="nil"/>
              <w:bottom w:val="single" w:sz="4" w:space="0" w:color="auto"/>
              <w:right w:val="nil"/>
            </w:tcBorders>
            <w:shd w:val="clear" w:color="auto" w:fill="auto"/>
            <w:noWrap/>
            <w:hideMark/>
          </w:tcPr>
          <w:p w:rsidR="00D151AD" w:rsidRPr="00F73B7A" w:rsidRDefault="00D151AD" w:rsidP="00F73B7A">
            <w:pPr>
              <w:pStyle w:val="Tablehead1"/>
            </w:pPr>
            <w:r w:rsidRPr="00F73B7A">
              <w:t>Occupation</w:t>
            </w:r>
            <w:r w:rsidR="00F50758" w:rsidRPr="00F73B7A">
              <w:t xml:space="preserve"> (ANZSCO) group</w:t>
            </w:r>
          </w:p>
        </w:tc>
        <w:tc>
          <w:tcPr>
            <w:tcW w:w="1279" w:type="dxa"/>
            <w:tcBorders>
              <w:top w:val="single" w:sz="4" w:space="0" w:color="auto"/>
              <w:left w:val="nil"/>
              <w:bottom w:val="single" w:sz="4" w:space="0" w:color="auto"/>
              <w:right w:val="nil"/>
            </w:tcBorders>
            <w:shd w:val="clear" w:color="auto" w:fill="auto"/>
            <w:noWrap/>
            <w:tcMar>
              <w:left w:w="0" w:type="dxa"/>
              <w:right w:w="0" w:type="dxa"/>
            </w:tcMar>
            <w:hideMark/>
          </w:tcPr>
          <w:p w:rsidR="00D151AD" w:rsidRPr="00F73B7A" w:rsidRDefault="00D151AD" w:rsidP="00F73B7A">
            <w:pPr>
              <w:pStyle w:val="Tablehead1"/>
              <w:jc w:val="center"/>
            </w:pPr>
            <w:r w:rsidRPr="00F73B7A">
              <w:t>Average annual adjustment factor</w:t>
            </w:r>
          </w:p>
        </w:tc>
        <w:tc>
          <w:tcPr>
            <w:tcW w:w="1280" w:type="dxa"/>
            <w:tcBorders>
              <w:top w:val="single" w:sz="4" w:space="0" w:color="auto"/>
              <w:left w:val="nil"/>
              <w:bottom w:val="single" w:sz="4" w:space="0" w:color="auto"/>
              <w:right w:val="nil"/>
            </w:tcBorders>
          </w:tcPr>
          <w:p w:rsidR="00D151AD" w:rsidRPr="00F73B7A" w:rsidRDefault="00D151AD" w:rsidP="00F73B7A">
            <w:pPr>
              <w:pStyle w:val="Tablehead1"/>
              <w:jc w:val="center"/>
            </w:pPr>
            <w:r w:rsidRPr="00F73B7A">
              <w:t>Contract completion rate</w:t>
            </w:r>
            <w:r w:rsidR="00F50758" w:rsidRPr="00F73B7A">
              <w:t xml:space="preserve"> (%)</w:t>
            </w:r>
          </w:p>
        </w:tc>
        <w:tc>
          <w:tcPr>
            <w:tcW w:w="1280" w:type="dxa"/>
            <w:tcBorders>
              <w:top w:val="single" w:sz="4" w:space="0" w:color="auto"/>
              <w:left w:val="nil"/>
              <w:bottom w:val="single" w:sz="4" w:space="0" w:color="auto"/>
              <w:right w:val="nil"/>
            </w:tcBorders>
          </w:tcPr>
          <w:p w:rsidR="00D151AD" w:rsidRPr="00F73B7A" w:rsidRDefault="00D151AD" w:rsidP="00F73B7A">
            <w:pPr>
              <w:pStyle w:val="Tablehead1"/>
              <w:jc w:val="center"/>
            </w:pPr>
            <w:r w:rsidRPr="00F73B7A">
              <w:t>Individual completion rate</w:t>
            </w:r>
            <w:r w:rsidR="00F50758" w:rsidRPr="00F73B7A">
              <w:t xml:space="preserve"> (%)</w:t>
            </w:r>
          </w:p>
        </w:tc>
      </w:tr>
      <w:tr w:rsidR="00F50758" w:rsidRPr="003153AA" w:rsidTr="00F73B7A">
        <w:tc>
          <w:tcPr>
            <w:tcW w:w="4950" w:type="dxa"/>
            <w:tcBorders>
              <w:top w:val="single" w:sz="4" w:space="0" w:color="auto"/>
              <w:left w:val="nil"/>
              <w:bottom w:val="nil"/>
              <w:right w:val="nil"/>
            </w:tcBorders>
            <w:shd w:val="clear" w:color="auto" w:fill="auto"/>
            <w:noWrap/>
            <w:hideMark/>
          </w:tcPr>
          <w:p w:rsidR="00F50758" w:rsidRPr="00F73B7A" w:rsidRDefault="00F50758" w:rsidP="00F73B7A">
            <w:pPr>
              <w:pStyle w:val="Tabletext"/>
              <w:rPr>
                <w:b/>
              </w:rPr>
            </w:pPr>
            <w:r w:rsidRPr="00F73B7A">
              <w:rPr>
                <w:b/>
              </w:rPr>
              <w:t>Technicians and trades workers</w:t>
            </w:r>
          </w:p>
        </w:tc>
        <w:tc>
          <w:tcPr>
            <w:tcW w:w="1279" w:type="dxa"/>
            <w:tcBorders>
              <w:top w:val="single" w:sz="4" w:space="0" w:color="auto"/>
              <w:left w:val="nil"/>
              <w:right w:val="nil"/>
            </w:tcBorders>
            <w:shd w:val="clear" w:color="auto" w:fill="auto"/>
            <w:noWrap/>
            <w:hideMark/>
          </w:tcPr>
          <w:p w:rsidR="00F50758" w:rsidRDefault="00F50758" w:rsidP="00F73B7A">
            <w:pPr>
              <w:pStyle w:val="Tabletext"/>
              <w:tabs>
                <w:tab w:val="decimal" w:pos="454"/>
              </w:tabs>
            </w:pPr>
            <w:r>
              <w:t>1.24</w:t>
            </w:r>
          </w:p>
        </w:tc>
        <w:tc>
          <w:tcPr>
            <w:tcW w:w="1280" w:type="dxa"/>
            <w:tcBorders>
              <w:top w:val="single" w:sz="4" w:space="0" w:color="auto"/>
              <w:left w:val="nil"/>
              <w:right w:val="nil"/>
            </w:tcBorders>
          </w:tcPr>
          <w:p w:rsidR="00F50758" w:rsidRDefault="00F50758" w:rsidP="00F73B7A">
            <w:pPr>
              <w:pStyle w:val="Tabletext"/>
              <w:tabs>
                <w:tab w:val="decimal" w:pos="567"/>
              </w:tabs>
            </w:pPr>
            <w:r>
              <w:t>45</w:t>
            </w:r>
          </w:p>
        </w:tc>
        <w:tc>
          <w:tcPr>
            <w:tcW w:w="1280" w:type="dxa"/>
            <w:tcBorders>
              <w:top w:val="single" w:sz="4" w:space="0" w:color="auto"/>
              <w:left w:val="nil"/>
              <w:right w:val="nil"/>
            </w:tcBorders>
          </w:tcPr>
          <w:p w:rsidR="00F50758" w:rsidRDefault="00F50758" w:rsidP="00F73B7A">
            <w:pPr>
              <w:pStyle w:val="Tabletext"/>
              <w:tabs>
                <w:tab w:val="decimal" w:pos="567"/>
              </w:tabs>
            </w:pPr>
            <w:r>
              <w:t>55</w:t>
            </w:r>
          </w:p>
        </w:tc>
      </w:tr>
      <w:tr w:rsidR="00F50758" w:rsidRPr="003153AA" w:rsidTr="00F73B7A">
        <w:tc>
          <w:tcPr>
            <w:tcW w:w="4950" w:type="dxa"/>
            <w:tcBorders>
              <w:top w:val="nil"/>
              <w:left w:val="nil"/>
              <w:bottom w:val="nil"/>
              <w:right w:val="nil"/>
            </w:tcBorders>
            <w:shd w:val="clear" w:color="auto" w:fill="auto"/>
            <w:noWrap/>
            <w:hideMark/>
          </w:tcPr>
          <w:p w:rsidR="00F50758" w:rsidRDefault="00F50758" w:rsidP="00F73B7A">
            <w:pPr>
              <w:pStyle w:val="Tabletext"/>
              <w:tabs>
                <w:tab w:val="left" w:pos="284"/>
              </w:tabs>
            </w:pPr>
            <w:r>
              <w:t>31</w:t>
            </w:r>
            <w:r w:rsidR="00F73B7A">
              <w:tab/>
            </w:r>
            <w:r>
              <w:t>Engineering, ICT and science technicians</w:t>
            </w:r>
          </w:p>
        </w:tc>
        <w:tc>
          <w:tcPr>
            <w:tcW w:w="1279" w:type="dxa"/>
            <w:tcBorders>
              <w:top w:val="nil"/>
              <w:left w:val="nil"/>
              <w:right w:val="nil"/>
            </w:tcBorders>
            <w:shd w:val="clear" w:color="auto" w:fill="auto"/>
            <w:noWrap/>
            <w:hideMark/>
          </w:tcPr>
          <w:p w:rsidR="00F50758" w:rsidRDefault="00F50758" w:rsidP="00F73B7A">
            <w:pPr>
              <w:pStyle w:val="Tabletext"/>
              <w:tabs>
                <w:tab w:val="decimal" w:pos="454"/>
              </w:tabs>
            </w:pPr>
            <w:r>
              <w:t>1.03</w:t>
            </w:r>
          </w:p>
        </w:tc>
        <w:tc>
          <w:tcPr>
            <w:tcW w:w="1280" w:type="dxa"/>
            <w:tcBorders>
              <w:top w:val="nil"/>
              <w:left w:val="nil"/>
              <w:right w:val="nil"/>
            </w:tcBorders>
          </w:tcPr>
          <w:p w:rsidR="00F50758" w:rsidRDefault="00F50758" w:rsidP="00F73B7A">
            <w:pPr>
              <w:pStyle w:val="Tabletext"/>
              <w:tabs>
                <w:tab w:val="decimal" w:pos="567"/>
              </w:tabs>
            </w:pPr>
            <w:r>
              <w:t>59</w:t>
            </w:r>
          </w:p>
        </w:tc>
        <w:tc>
          <w:tcPr>
            <w:tcW w:w="1280" w:type="dxa"/>
            <w:tcBorders>
              <w:top w:val="nil"/>
              <w:left w:val="nil"/>
              <w:right w:val="nil"/>
            </w:tcBorders>
          </w:tcPr>
          <w:p w:rsidR="00F50758" w:rsidRDefault="00F50758" w:rsidP="00F73B7A">
            <w:pPr>
              <w:pStyle w:val="Tabletext"/>
              <w:tabs>
                <w:tab w:val="decimal" w:pos="567"/>
              </w:tabs>
            </w:pPr>
            <w:r>
              <w:t>61</w:t>
            </w:r>
          </w:p>
        </w:tc>
      </w:tr>
      <w:tr w:rsidR="00F50758" w:rsidRPr="003153AA" w:rsidTr="00F73B7A">
        <w:tc>
          <w:tcPr>
            <w:tcW w:w="4950" w:type="dxa"/>
            <w:tcBorders>
              <w:top w:val="nil"/>
              <w:left w:val="nil"/>
              <w:bottom w:val="nil"/>
              <w:right w:val="nil"/>
            </w:tcBorders>
            <w:shd w:val="clear" w:color="auto" w:fill="auto"/>
            <w:noWrap/>
            <w:hideMark/>
          </w:tcPr>
          <w:p w:rsidR="00F50758" w:rsidRDefault="00F50758" w:rsidP="00F73B7A">
            <w:pPr>
              <w:pStyle w:val="Tabletext"/>
              <w:tabs>
                <w:tab w:val="left" w:pos="284"/>
              </w:tabs>
            </w:pPr>
            <w:r>
              <w:t>32</w:t>
            </w:r>
            <w:r w:rsidR="00F73B7A">
              <w:tab/>
            </w:r>
            <w:r>
              <w:t>Automotive and engineering trades workers</w:t>
            </w:r>
          </w:p>
        </w:tc>
        <w:tc>
          <w:tcPr>
            <w:tcW w:w="1279" w:type="dxa"/>
            <w:tcBorders>
              <w:top w:val="nil"/>
              <w:left w:val="nil"/>
              <w:right w:val="nil"/>
            </w:tcBorders>
            <w:shd w:val="clear" w:color="auto" w:fill="auto"/>
            <w:noWrap/>
            <w:hideMark/>
          </w:tcPr>
          <w:p w:rsidR="00F50758" w:rsidRDefault="00F50758" w:rsidP="00F73B7A">
            <w:pPr>
              <w:pStyle w:val="Tabletext"/>
              <w:tabs>
                <w:tab w:val="decimal" w:pos="454"/>
              </w:tabs>
            </w:pPr>
            <w:r>
              <w:t>1.20</w:t>
            </w:r>
          </w:p>
        </w:tc>
        <w:tc>
          <w:tcPr>
            <w:tcW w:w="1280" w:type="dxa"/>
            <w:tcBorders>
              <w:top w:val="nil"/>
              <w:left w:val="nil"/>
              <w:right w:val="nil"/>
            </w:tcBorders>
          </w:tcPr>
          <w:p w:rsidR="00F50758" w:rsidRDefault="00F50758" w:rsidP="00F73B7A">
            <w:pPr>
              <w:pStyle w:val="Tabletext"/>
              <w:tabs>
                <w:tab w:val="decimal" w:pos="567"/>
              </w:tabs>
            </w:pPr>
            <w:r>
              <w:t>49</w:t>
            </w:r>
          </w:p>
        </w:tc>
        <w:tc>
          <w:tcPr>
            <w:tcW w:w="1280" w:type="dxa"/>
            <w:tcBorders>
              <w:top w:val="nil"/>
              <w:left w:val="nil"/>
              <w:right w:val="nil"/>
            </w:tcBorders>
          </w:tcPr>
          <w:p w:rsidR="00F50758" w:rsidRDefault="00F50758" w:rsidP="00F73B7A">
            <w:pPr>
              <w:pStyle w:val="Tabletext"/>
              <w:tabs>
                <w:tab w:val="decimal" w:pos="567"/>
              </w:tabs>
            </w:pPr>
            <w:r>
              <w:t>58</w:t>
            </w:r>
          </w:p>
        </w:tc>
      </w:tr>
      <w:tr w:rsidR="00F50758" w:rsidRPr="003153AA" w:rsidTr="00F73B7A">
        <w:tc>
          <w:tcPr>
            <w:tcW w:w="4950" w:type="dxa"/>
            <w:tcBorders>
              <w:top w:val="nil"/>
              <w:left w:val="nil"/>
              <w:bottom w:val="nil"/>
              <w:right w:val="nil"/>
            </w:tcBorders>
            <w:shd w:val="clear" w:color="auto" w:fill="auto"/>
            <w:noWrap/>
            <w:hideMark/>
          </w:tcPr>
          <w:p w:rsidR="00F50758" w:rsidRDefault="00F50758" w:rsidP="00F73B7A">
            <w:pPr>
              <w:pStyle w:val="Tabletext"/>
              <w:tabs>
                <w:tab w:val="left" w:pos="284"/>
              </w:tabs>
            </w:pPr>
            <w:r>
              <w:t>33</w:t>
            </w:r>
            <w:r w:rsidR="00F73B7A">
              <w:tab/>
            </w:r>
            <w:r>
              <w:t>Construction trades workers</w:t>
            </w:r>
          </w:p>
        </w:tc>
        <w:tc>
          <w:tcPr>
            <w:tcW w:w="1279" w:type="dxa"/>
            <w:tcBorders>
              <w:top w:val="nil"/>
              <w:left w:val="nil"/>
              <w:right w:val="nil"/>
            </w:tcBorders>
            <w:shd w:val="clear" w:color="auto" w:fill="auto"/>
            <w:noWrap/>
            <w:hideMark/>
          </w:tcPr>
          <w:p w:rsidR="00F50758" w:rsidRDefault="00F50758" w:rsidP="00F73B7A">
            <w:pPr>
              <w:pStyle w:val="Tabletext"/>
              <w:tabs>
                <w:tab w:val="decimal" w:pos="454"/>
              </w:tabs>
            </w:pPr>
            <w:r>
              <w:t>1.30</w:t>
            </w:r>
          </w:p>
        </w:tc>
        <w:tc>
          <w:tcPr>
            <w:tcW w:w="1280" w:type="dxa"/>
            <w:tcBorders>
              <w:top w:val="nil"/>
              <w:left w:val="nil"/>
              <w:right w:val="nil"/>
            </w:tcBorders>
          </w:tcPr>
          <w:p w:rsidR="00F50758" w:rsidRDefault="00F50758" w:rsidP="00F73B7A">
            <w:pPr>
              <w:pStyle w:val="Tabletext"/>
              <w:tabs>
                <w:tab w:val="decimal" w:pos="567"/>
              </w:tabs>
            </w:pPr>
            <w:r>
              <w:t>44</w:t>
            </w:r>
          </w:p>
        </w:tc>
        <w:tc>
          <w:tcPr>
            <w:tcW w:w="1280" w:type="dxa"/>
            <w:tcBorders>
              <w:top w:val="nil"/>
              <w:left w:val="nil"/>
              <w:right w:val="nil"/>
            </w:tcBorders>
          </w:tcPr>
          <w:p w:rsidR="00F50758" w:rsidRDefault="00F50758" w:rsidP="00F73B7A">
            <w:pPr>
              <w:pStyle w:val="Tabletext"/>
              <w:tabs>
                <w:tab w:val="decimal" w:pos="567"/>
              </w:tabs>
            </w:pPr>
            <w:r>
              <w:t>57</w:t>
            </w:r>
          </w:p>
        </w:tc>
      </w:tr>
      <w:tr w:rsidR="00F50758" w:rsidRPr="003153AA" w:rsidTr="00F73B7A">
        <w:tc>
          <w:tcPr>
            <w:tcW w:w="4950" w:type="dxa"/>
            <w:tcBorders>
              <w:top w:val="nil"/>
              <w:left w:val="nil"/>
              <w:bottom w:val="nil"/>
              <w:right w:val="nil"/>
            </w:tcBorders>
            <w:shd w:val="clear" w:color="auto" w:fill="auto"/>
            <w:noWrap/>
            <w:hideMark/>
          </w:tcPr>
          <w:p w:rsidR="00F50758" w:rsidRDefault="00F50758" w:rsidP="00F73B7A">
            <w:pPr>
              <w:pStyle w:val="Tabletext"/>
              <w:tabs>
                <w:tab w:val="left" w:pos="284"/>
              </w:tabs>
            </w:pPr>
            <w:r>
              <w:t>34</w:t>
            </w:r>
            <w:r w:rsidR="00F73B7A">
              <w:tab/>
            </w:r>
            <w:proofErr w:type="spellStart"/>
            <w:r>
              <w:t>Electrotechnology</w:t>
            </w:r>
            <w:proofErr w:type="spellEnd"/>
            <w:r>
              <w:t xml:space="preserve"> and telecommunications trades workers</w:t>
            </w:r>
          </w:p>
        </w:tc>
        <w:tc>
          <w:tcPr>
            <w:tcW w:w="1279" w:type="dxa"/>
            <w:tcBorders>
              <w:top w:val="nil"/>
              <w:left w:val="nil"/>
              <w:right w:val="nil"/>
            </w:tcBorders>
            <w:shd w:val="clear" w:color="auto" w:fill="auto"/>
            <w:noWrap/>
            <w:hideMark/>
          </w:tcPr>
          <w:p w:rsidR="00F50758" w:rsidRDefault="00F50758" w:rsidP="00F73B7A">
            <w:pPr>
              <w:pStyle w:val="Tabletext"/>
              <w:tabs>
                <w:tab w:val="decimal" w:pos="454"/>
              </w:tabs>
            </w:pPr>
            <w:r>
              <w:t>1.23</w:t>
            </w:r>
          </w:p>
        </w:tc>
        <w:tc>
          <w:tcPr>
            <w:tcW w:w="1280" w:type="dxa"/>
            <w:tcBorders>
              <w:top w:val="nil"/>
              <w:left w:val="nil"/>
              <w:right w:val="nil"/>
            </w:tcBorders>
          </w:tcPr>
          <w:p w:rsidR="00F50758" w:rsidRDefault="00F50758" w:rsidP="00F73B7A">
            <w:pPr>
              <w:pStyle w:val="Tabletext"/>
              <w:tabs>
                <w:tab w:val="decimal" w:pos="567"/>
              </w:tabs>
            </w:pPr>
            <w:r>
              <w:t>55</w:t>
            </w:r>
          </w:p>
        </w:tc>
        <w:tc>
          <w:tcPr>
            <w:tcW w:w="1280" w:type="dxa"/>
            <w:tcBorders>
              <w:top w:val="nil"/>
              <w:left w:val="nil"/>
              <w:right w:val="nil"/>
            </w:tcBorders>
          </w:tcPr>
          <w:p w:rsidR="00F50758" w:rsidRDefault="00F50758" w:rsidP="00F73B7A">
            <w:pPr>
              <w:pStyle w:val="Tabletext"/>
              <w:tabs>
                <w:tab w:val="decimal" w:pos="567"/>
              </w:tabs>
            </w:pPr>
            <w:r>
              <w:t>68</w:t>
            </w:r>
          </w:p>
        </w:tc>
      </w:tr>
      <w:tr w:rsidR="00F50758" w:rsidRPr="003153AA" w:rsidTr="00F73B7A">
        <w:tc>
          <w:tcPr>
            <w:tcW w:w="4950" w:type="dxa"/>
            <w:tcBorders>
              <w:top w:val="nil"/>
              <w:left w:val="nil"/>
              <w:bottom w:val="nil"/>
              <w:right w:val="nil"/>
            </w:tcBorders>
            <w:shd w:val="clear" w:color="auto" w:fill="auto"/>
            <w:noWrap/>
            <w:hideMark/>
          </w:tcPr>
          <w:p w:rsidR="00F50758" w:rsidRDefault="00F50758" w:rsidP="00F73B7A">
            <w:pPr>
              <w:pStyle w:val="Tabletext"/>
              <w:tabs>
                <w:tab w:val="left" w:pos="284"/>
              </w:tabs>
            </w:pPr>
            <w:r>
              <w:t>35</w:t>
            </w:r>
            <w:r w:rsidR="00F73B7A">
              <w:tab/>
            </w:r>
            <w:r>
              <w:t>Food trades workers</w:t>
            </w:r>
          </w:p>
        </w:tc>
        <w:tc>
          <w:tcPr>
            <w:tcW w:w="1279" w:type="dxa"/>
            <w:tcBorders>
              <w:top w:val="nil"/>
              <w:left w:val="nil"/>
              <w:right w:val="nil"/>
            </w:tcBorders>
            <w:shd w:val="clear" w:color="auto" w:fill="auto"/>
            <w:noWrap/>
            <w:hideMark/>
          </w:tcPr>
          <w:p w:rsidR="00F50758" w:rsidRDefault="00F50758" w:rsidP="00F73B7A">
            <w:pPr>
              <w:pStyle w:val="Tabletext"/>
              <w:tabs>
                <w:tab w:val="decimal" w:pos="454"/>
              </w:tabs>
            </w:pPr>
            <w:r>
              <w:t>1.40</w:t>
            </w:r>
          </w:p>
        </w:tc>
        <w:tc>
          <w:tcPr>
            <w:tcW w:w="1280" w:type="dxa"/>
            <w:tcBorders>
              <w:top w:val="nil"/>
              <w:left w:val="nil"/>
              <w:right w:val="nil"/>
            </w:tcBorders>
          </w:tcPr>
          <w:p w:rsidR="00F50758" w:rsidRDefault="00F50758" w:rsidP="00F73B7A">
            <w:pPr>
              <w:pStyle w:val="Tabletext"/>
              <w:tabs>
                <w:tab w:val="decimal" w:pos="567"/>
              </w:tabs>
            </w:pPr>
            <w:r>
              <w:t>28</w:t>
            </w:r>
          </w:p>
        </w:tc>
        <w:tc>
          <w:tcPr>
            <w:tcW w:w="1280" w:type="dxa"/>
            <w:tcBorders>
              <w:top w:val="nil"/>
              <w:left w:val="nil"/>
              <w:right w:val="nil"/>
            </w:tcBorders>
          </w:tcPr>
          <w:p w:rsidR="00F50758" w:rsidRDefault="00F50758" w:rsidP="00F73B7A">
            <w:pPr>
              <w:pStyle w:val="Tabletext"/>
              <w:tabs>
                <w:tab w:val="decimal" w:pos="567"/>
              </w:tabs>
            </w:pPr>
            <w:r>
              <w:t>39</w:t>
            </w:r>
          </w:p>
        </w:tc>
      </w:tr>
      <w:tr w:rsidR="00F50758" w:rsidRPr="003153AA" w:rsidTr="00F73B7A">
        <w:tc>
          <w:tcPr>
            <w:tcW w:w="4950" w:type="dxa"/>
            <w:tcBorders>
              <w:top w:val="nil"/>
              <w:left w:val="nil"/>
              <w:bottom w:val="nil"/>
              <w:right w:val="nil"/>
            </w:tcBorders>
            <w:shd w:val="clear" w:color="auto" w:fill="auto"/>
            <w:noWrap/>
            <w:hideMark/>
          </w:tcPr>
          <w:p w:rsidR="00F50758" w:rsidRDefault="00F50758" w:rsidP="00F73B7A">
            <w:pPr>
              <w:pStyle w:val="Tabletext"/>
              <w:tabs>
                <w:tab w:val="left" w:pos="284"/>
              </w:tabs>
            </w:pPr>
            <w:r>
              <w:t>36</w:t>
            </w:r>
            <w:r w:rsidR="00F73B7A">
              <w:tab/>
            </w:r>
            <w:r>
              <w:t>Skilled animal and horticultural workers</w:t>
            </w:r>
          </w:p>
        </w:tc>
        <w:tc>
          <w:tcPr>
            <w:tcW w:w="1279" w:type="dxa"/>
            <w:tcBorders>
              <w:top w:val="nil"/>
              <w:left w:val="nil"/>
              <w:right w:val="nil"/>
            </w:tcBorders>
            <w:shd w:val="clear" w:color="auto" w:fill="auto"/>
            <w:noWrap/>
            <w:hideMark/>
          </w:tcPr>
          <w:p w:rsidR="00F50758" w:rsidRDefault="00F50758" w:rsidP="00F73B7A">
            <w:pPr>
              <w:pStyle w:val="Tabletext"/>
              <w:tabs>
                <w:tab w:val="decimal" w:pos="454"/>
              </w:tabs>
            </w:pPr>
            <w:r>
              <w:t>1.09</w:t>
            </w:r>
          </w:p>
        </w:tc>
        <w:tc>
          <w:tcPr>
            <w:tcW w:w="1280" w:type="dxa"/>
            <w:tcBorders>
              <w:top w:val="nil"/>
              <w:left w:val="nil"/>
              <w:right w:val="nil"/>
            </w:tcBorders>
          </w:tcPr>
          <w:p w:rsidR="00F50758" w:rsidRDefault="00F50758" w:rsidP="00F73B7A">
            <w:pPr>
              <w:pStyle w:val="Tabletext"/>
              <w:tabs>
                <w:tab w:val="decimal" w:pos="567"/>
              </w:tabs>
            </w:pPr>
            <w:r>
              <w:t>45</w:t>
            </w:r>
          </w:p>
        </w:tc>
        <w:tc>
          <w:tcPr>
            <w:tcW w:w="1280" w:type="dxa"/>
            <w:tcBorders>
              <w:top w:val="nil"/>
              <w:left w:val="nil"/>
              <w:right w:val="nil"/>
            </w:tcBorders>
          </w:tcPr>
          <w:p w:rsidR="00F50758" w:rsidRDefault="00F50758" w:rsidP="00F73B7A">
            <w:pPr>
              <w:pStyle w:val="Tabletext"/>
              <w:tabs>
                <w:tab w:val="decimal" w:pos="567"/>
              </w:tabs>
            </w:pPr>
            <w:r>
              <w:t>49</w:t>
            </w:r>
          </w:p>
        </w:tc>
      </w:tr>
      <w:tr w:rsidR="00F50758" w:rsidRPr="003153AA" w:rsidTr="00F73B7A">
        <w:tc>
          <w:tcPr>
            <w:tcW w:w="4950" w:type="dxa"/>
            <w:tcBorders>
              <w:top w:val="nil"/>
              <w:left w:val="nil"/>
              <w:bottom w:val="nil"/>
              <w:right w:val="nil"/>
            </w:tcBorders>
            <w:shd w:val="clear" w:color="auto" w:fill="auto"/>
            <w:noWrap/>
            <w:hideMark/>
          </w:tcPr>
          <w:p w:rsidR="00F50758" w:rsidRDefault="00F50758" w:rsidP="00F73B7A">
            <w:pPr>
              <w:pStyle w:val="Tabletext"/>
              <w:tabs>
                <w:tab w:val="left" w:pos="284"/>
              </w:tabs>
            </w:pPr>
            <w:r>
              <w:t>39</w:t>
            </w:r>
            <w:r w:rsidR="00F73B7A">
              <w:tab/>
            </w:r>
            <w:r>
              <w:t>Other technicians and trades workers</w:t>
            </w:r>
          </w:p>
        </w:tc>
        <w:tc>
          <w:tcPr>
            <w:tcW w:w="1279" w:type="dxa"/>
            <w:tcBorders>
              <w:top w:val="nil"/>
              <w:left w:val="nil"/>
              <w:right w:val="nil"/>
            </w:tcBorders>
            <w:shd w:val="clear" w:color="auto" w:fill="auto"/>
            <w:noWrap/>
            <w:hideMark/>
          </w:tcPr>
          <w:p w:rsidR="00F50758" w:rsidRDefault="00F50758" w:rsidP="00F73B7A">
            <w:pPr>
              <w:pStyle w:val="Tabletext"/>
              <w:tabs>
                <w:tab w:val="decimal" w:pos="454"/>
              </w:tabs>
            </w:pPr>
            <w:r>
              <w:t>1.21</w:t>
            </w:r>
          </w:p>
        </w:tc>
        <w:tc>
          <w:tcPr>
            <w:tcW w:w="1280" w:type="dxa"/>
            <w:tcBorders>
              <w:top w:val="nil"/>
              <w:left w:val="nil"/>
              <w:right w:val="nil"/>
            </w:tcBorders>
          </w:tcPr>
          <w:p w:rsidR="00F50758" w:rsidRDefault="00F50758" w:rsidP="00F73B7A">
            <w:pPr>
              <w:pStyle w:val="Tabletext"/>
              <w:tabs>
                <w:tab w:val="decimal" w:pos="567"/>
              </w:tabs>
            </w:pPr>
            <w:r>
              <w:t>43</w:t>
            </w:r>
          </w:p>
        </w:tc>
        <w:tc>
          <w:tcPr>
            <w:tcW w:w="1280" w:type="dxa"/>
            <w:tcBorders>
              <w:top w:val="nil"/>
              <w:left w:val="nil"/>
              <w:right w:val="nil"/>
            </w:tcBorders>
          </w:tcPr>
          <w:p w:rsidR="00F50758" w:rsidRDefault="00F50758" w:rsidP="00F73B7A">
            <w:pPr>
              <w:pStyle w:val="Tabletext"/>
              <w:tabs>
                <w:tab w:val="decimal" w:pos="567"/>
              </w:tabs>
            </w:pPr>
            <w:r>
              <w:t>52</w:t>
            </w:r>
          </w:p>
        </w:tc>
      </w:tr>
      <w:tr w:rsidR="00F50758" w:rsidRPr="003153AA" w:rsidTr="00F73B7A">
        <w:tc>
          <w:tcPr>
            <w:tcW w:w="4950" w:type="dxa"/>
            <w:tcBorders>
              <w:top w:val="nil"/>
              <w:left w:val="nil"/>
              <w:right w:val="nil"/>
            </w:tcBorders>
            <w:shd w:val="clear" w:color="auto" w:fill="auto"/>
            <w:noWrap/>
            <w:hideMark/>
          </w:tcPr>
          <w:p w:rsidR="00F50758" w:rsidRDefault="00F50758" w:rsidP="00F73B7A">
            <w:pPr>
              <w:pStyle w:val="Tabletext"/>
              <w:tabs>
                <w:tab w:val="left" w:pos="397"/>
              </w:tabs>
              <w:ind w:left="284"/>
            </w:pPr>
            <w:r>
              <w:t>391</w:t>
            </w:r>
            <w:r w:rsidR="00F73B7A">
              <w:tab/>
            </w:r>
            <w:r>
              <w:t>Hairdressers</w:t>
            </w:r>
          </w:p>
        </w:tc>
        <w:tc>
          <w:tcPr>
            <w:tcW w:w="1279" w:type="dxa"/>
            <w:tcBorders>
              <w:top w:val="nil"/>
              <w:left w:val="nil"/>
              <w:right w:val="nil"/>
            </w:tcBorders>
            <w:shd w:val="clear" w:color="auto" w:fill="auto"/>
            <w:noWrap/>
            <w:hideMark/>
          </w:tcPr>
          <w:p w:rsidR="00F50758" w:rsidRDefault="00F50758" w:rsidP="00F73B7A">
            <w:pPr>
              <w:pStyle w:val="Tabletext"/>
              <w:tabs>
                <w:tab w:val="decimal" w:pos="454"/>
              </w:tabs>
            </w:pPr>
            <w:r>
              <w:t>1.43</w:t>
            </w:r>
          </w:p>
        </w:tc>
        <w:tc>
          <w:tcPr>
            <w:tcW w:w="1280" w:type="dxa"/>
            <w:tcBorders>
              <w:top w:val="nil"/>
              <w:left w:val="nil"/>
              <w:right w:val="nil"/>
            </w:tcBorders>
          </w:tcPr>
          <w:p w:rsidR="00F50758" w:rsidRDefault="00F50758" w:rsidP="00F73B7A">
            <w:pPr>
              <w:pStyle w:val="Tabletext"/>
              <w:tabs>
                <w:tab w:val="decimal" w:pos="567"/>
              </w:tabs>
            </w:pPr>
            <w:r>
              <w:t>39</w:t>
            </w:r>
          </w:p>
        </w:tc>
        <w:tc>
          <w:tcPr>
            <w:tcW w:w="1280" w:type="dxa"/>
            <w:tcBorders>
              <w:top w:val="nil"/>
              <w:left w:val="nil"/>
              <w:right w:val="nil"/>
            </w:tcBorders>
          </w:tcPr>
          <w:p w:rsidR="00F50758" w:rsidRDefault="00F50758" w:rsidP="00F73B7A">
            <w:pPr>
              <w:pStyle w:val="Tabletext"/>
              <w:tabs>
                <w:tab w:val="decimal" w:pos="567"/>
              </w:tabs>
            </w:pPr>
            <w:r>
              <w:t>55</w:t>
            </w:r>
          </w:p>
        </w:tc>
      </w:tr>
      <w:tr w:rsidR="00F50758" w:rsidRPr="003153AA" w:rsidTr="00F73B7A">
        <w:tc>
          <w:tcPr>
            <w:tcW w:w="4950" w:type="dxa"/>
            <w:tcBorders>
              <w:top w:val="nil"/>
              <w:left w:val="nil"/>
              <w:right w:val="nil"/>
            </w:tcBorders>
            <w:shd w:val="clear" w:color="auto" w:fill="auto"/>
            <w:noWrap/>
            <w:hideMark/>
          </w:tcPr>
          <w:p w:rsidR="00F50758" w:rsidRDefault="00F50758" w:rsidP="00F73B7A">
            <w:pPr>
              <w:pStyle w:val="Tabletext"/>
              <w:tabs>
                <w:tab w:val="left" w:pos="397"/>
              </w:tabs>
              <w:ind w:left="284"/>
            </w:pPr>
            <w:r>
              <w:t>392</w:t>
            </w:r>
            <w:r w:rsidR="00F73B7A">
              <w:tab/>
            </w:r>
            <w:r>
              <w:t>Printing trades workers</w:t>
            </w:r>
          </w:p>
        </w:tc>
        <w:tc>
          <w:tcPr>
            <w:tcW w:w="1279" w:type="dxa"/>
            <w:tcBorders>
              <w:top w:val="nil"/>
              <w:left w:val="nil"/>
              <w:right w:val="nil"/>
            </w:tcBorders>
            <w:shd w:val="clear" w:color="auto" w:fill="auto"/>
            <w:noWrap/>
            <w:hideMark/>
          </w:tcPr>
          <w:p w:rsidR="00F50758" w:rsidRDefault="00F50758" w:rsidP="00F73B7A">
            <w:pPr>
              <w:pStyle w:val="Tabletext"/>
              <w:tabs>
                <w:tab w:val="decimal" w:pos="454"/>
              </w:tabs>
            </w:pPr>
            <w:r>
              <w:t>1.06</w:t>
            </w:r>
          </w:p>
        </w:tc>
        <w:tc>
          <w:tcPr>
            <w:tcW w:w="1280" w:type="dxa"/>
            <w:tcBorders>
              <w:top w:val="nil"/>
              <w:left w:val="nil"/>
              <w:right w:val="nil"/>
            </w:tcBorders>
          </w:tcPr>
          <w:p w:rsidR="00F50758" w:rsidRDefault="00F50758" w:rsidP="00F73B7A">
            <w:pPr>
              <w:pStyle w:val="Tabletext"/>
              <w:tabs>
                <w:tab w:val="decimal" w:pos="567"/>
              </w:tabs>
            </w:pPr>
            <w:r>
              <w:t>58</w:t>
            </w:r>
          </w:p>
        </w:tc>
        <w:tc>
          <w:tcPr>
            <w:tcW w:w="1280" w:type="dxa"/>
            <w:tcBorders>
              <w:top w:val="nil"/>
              <w:left w:val="nil"/>
              <w:right w:val="nil"/>
            </w:tcBorders>
          </w:tcPr>
          <w:p w:rsidR="00F50758" w:rsidRDefault="00F50758" w:rsidP="00F73B7A">
            <w:pPr>
              <w:pStyle w:val="Tabletext"/>
              <w:tabs>
                <w:tab w:val="decimal" w:pos="567"/>
              </w:tabs>
            </w:pPr>
            <w:r>
              <w:t>62</w:t>
            </w:r>
          </w:p>
        </w:tc>
      </w:tr>
      <w:tr w:rsidR="00F50758" w:rsidRPr="003153AA" w:rsidTr="00F73B7A">
        <w:tc>
          <w:tcPr>
            <w:tcW w:w="4950" w:type="dxa"/>
            <w:tcBorders>
              <w:top w:val="nil"/>
              <w:left w:val="nil"/>
              <w:right w:val="nil"/>
            </w:tcBorders>
            <w:shd w:val="clear" w:color="auto" w:fill="auto"/>
            <w:noWrap/>
            <w:hideMark/>
          </w:tcPr>
          <w:p w:rsidR="00F50758" w:rsidRDefault="00F50758" w:rsidP="00F73B7A">
            <w:pPr>
              <w:pStyle w:val="Tabletext"/>
              <w:tabs>
                <w:tab w:val="left" w:pos="397"/>
              </w:tabs>
              <w:ind w:left="284"/>
            </w:pPr>
            <w:r>
              <w:t>393</w:t>
            </w:r>
            <w:r w:rsidR="00F73B7A">
              <w:tab/>
            </w:r>
            <w:r>
              <w:t>Textile, clothing and footwear trades workers</w:t>
            </w:r>
          </w:p>
        </w:tc>
        <w:tc>
          <w:tcPr>
            <w:tcW w:w="1279" w:type="dxa"/>
            <w:tcBorders>
              <w:top w:val="nil"/>
              <w:left w:val="nil"/>
              <w:right w:val="nil"/>
            </w:tcBorders>
            <w:shd w:val="clear" w:color="auto" w:fill="auto"/>
            <w:noWrap/>
            <w:hideMark/>
          </w:tcPr>
          <w:p w:rsidR="00F50758" w:rsidRDefault="00F50758" w:rsidP="00F73B7A">
            <w:pPr>
              <w:pStyle w:val="Tabletext"/>
              <w:tabs>
                <w:tab w:val="decimal" w:pos="454"/>
              </w:tabs>
            </w:pPr>
            <w:r>
              <w:t>1.11</w:t>
            </w:r>
          </w:p>
        </w:tc>
        <w:tc>
          <w:tcPr>
            <w:tcW w:w="1280" w:type="dxa"/>
            <w:tcBorders>
              <w:top w:val="nil"/>
              <w:left w:val="nil"/>
              <w:right w:val="nil"/>
            </w:tcBorders>
          </w:tcPr>
          <w:p w:rsidR="00F50758" w:rsidRDefault="00F50758" w:rsidP="00F73B7A">
            <w:pPr>
              <w:pStyle w:val="Tabletext"/>
              <w:tabs>
                <w:tab w:val="decimal" w:pos="567"/>
              </w:tabs>
            </w:pPr>
            <w:r>
              <w:t>45</w:t>
            </w:r>
          </w:p>
        </w:tc>
        <w:tc>
          <w:tcPr>
            <w:tcW w:w="1280" w:type="dxa"/>
            <w:tcBorders>
              <w:top w:val="nil"/>
              <w:left w:val="nil"/>
              <w:right w:val="nil"/>
            </w:tcBorders>
          </w:tcPr>
          <w:p w:rsidR="00F50758" w:rsidRDefault="00F50758" w:rsidP="00F73B7A">
            <w:pPr>
              <w:pStyle w:val="Tabletext"/>
              <w:tabs>
                <w:tab w:val="decimal" w:pos="567"/>
              </w:tabs>
            </w:pPr>
            <w:r>
              <w:t>50</w:t>
            </w:r>
          </w:p>
        </w:tc>
      </w:tr>
      <w:tr w:rsidR="00F50758" w:rsidRPr="003153AA" w:rsidTr="00F73B7A">
        <w:tc>
          <w:tcPr>
            <w:tcW w:w="4950" w:type="dxa"/>
            <w:tcBorders>
              <w:top w:val="nil"/>
              <w:left w:val="nil"/>
              <w:right w:val="nil"/>
            </w:tcBorders>
            <w:shd w:val="clear" w:color="auto" w:fill="auto"/>
            <w:noWrap/>
            <w:hideMark/>
          </w:tcPr>
          <w:p w:rsidR="00F50758" w:rsidRDefault="00F50758" w:rsidP="00F73B7A">
            <w:pPr>
              <w:pStyle w:val="Tabletext"/>
              <w:tabs>
                <w:tab w:val="left" w:pos="397"/>
              </w:tabs>
              <w:ind w:left="284"/>
            </w:pPr>
            <w:r>
              <w:t>394</w:t>
            </w:r>
            <w:r w:rsidR="00F73B7A">
              <w:tab/>
            </w:r>
            <w:r>
              <w:t>Wood trades workers</w:t>
            </w:r>
          </w:p>
        </w:tc>
        <w:tc>
          <w:tcPr>
            <w:tcW w:w="1279" w:type="dxa"/>
            <w:tcBorders>
              <w:top w:val="nil"/>
              <w:left w:val="nil"/>
              <w:right w:val="nil"/>
            </w:tcBorders>
            <w:shd w:val="clear" w:color="auto" w:fill="auto"/>
            <w:noWrap/>
            <w:hideMark/>
          </w:tcPr>
          <w:p w:rsidR="00F50758" w:rsidRDefault="00F50758" w:rsidP="00F73B7A">
            <w:pPr>
              <w:pStyle w:val="Tabletext"/>
              <w:tabs>
                <w:tab w:val="decimal" w:pos="454"/>
              </w:tabs>
            </w:pPr>
            <w:r>
              <w:t>1.21</w:t>
            </w:r>
          </w:p>
        </w:tc>
        <w:tc>
          <w:tcPr>
            <w:tcW w:w="1280" w:type="dxa"/>
            <w:tcBorders>
              <w:top w:val="nil"/>
              <w:left w:val="nil"/>
              <w:right w:val="nil"/>
            </w:tcBorders>
          </w:tcPr>
          <w:p w:rsidR="00F50758" w:rsidRDefault="00F50758" w:rsidP="00F73B7A">
            <w:pPr>
              <w:pStyle w:val="Tabletext"/>
              <w:tabs>
                <w:tab w:val="decimal" w:pos="567"/>
              </w:tabs>
            </w:pPr>
            <w:r>
              <w:t>40</w:t>
            </w:r>
          </w:p>
        </w:tc>
        <w:tc>
          <w:tcPr>
            <w:tcW w:w="1280" w:type="dxa"/>
            <w:tcBorders>
              <w:top w:val="nil"/>
              <w:left w:val="nil"/>
              <w:right w:val="nil"/>
            </w:tcBorders>
          </w:tcPr>
          <w:p w:rsidR="00F50758" w:rsidRDefault="00F50758" w:rsidP="00F73B7A">
            <w:pPr>
              <w:pStyle w:val="Tabletext"/>
              <w:tabs>
                <w:tab w:val="decimal" w:pos="567"/>
              </w:tabs>
            </w:pPr>
            <w:r>
              <w:t>48</w:t>
            </w:r>
          </w:p>
        </w:tc>
      </w:tr>
      <w:tr w:rsidR="00F50758" w:rsidRPr="003153AA" w:rsidTr="00F73B7A">
        <w:tc>
          <w:tcPr>
            <w:tcW w:w="4950" w:type="dxa"/>
            <w:tcBorders>
              <w:top w:val="nil"/>
              <w:left w:val="nil"/>
              <w:right w:val="nil"/>
            </w:tcBorders>
            <w:shd w:val="clear" w:color="auto" w:fill="auto"/>
            <w:noWrap/>
            <w:hideMark/>
          </w:tcPr>
          <w:p w:rsidR="00F50758" w:rsidRDefault="00F50758" w:rsidP="00F73B7A">
            <w:pPr>
              <w:pStyle w:val="Tabletext"/>
              <w:tabs>
                <w:tab w:val="left" w:pos="397"/>
              </w:tabs>
              <w:ind w:left="284"/>
            </w:pPr>
            <w:r>
              <w:t>399</w:t>
            </w:r>
            <w:r w:rsidR="00F73B7A">
              <w:tab/>
            </w:r>
            <w:r>
              <w:t>Miscellaneous technicians and trades workers</w:t>
            </w:r>
          </w:p>
        </w:tc>
        <w:tc>
          <w:tcPr>
            <w:tcW w:w="1279" w:type="dxa"/>
            <w:tcBorders>
              <w:top w:val="nil"/>
              <w:left w:val="nil"/>
              <w:right w:val="nil"/>
            </w:tcBorders>
            <w:shd w:val="clear" w:color="auto" w:fill="auto"/>
            <w:noWrap/>
            <w:hideMark/>
          </w:tcPr>
          <w:p w:rsidR="00F50758" w:rsidRDefault="00F50758" w:rsidP="00F73B7A">
            <w:pPr>
              <w:pStyle w:val="Tabletext"/>
              <w:tabs>
                <w:tab w:val="decimal" w:pos="454"/>
              </w:tabs>
            </w:pPr>
            <w:r>
              <w:t>1.03</w:t>
            </w:r>
          </w:p>
        </w:tc>
        <w:tc>
          <w:tcPr>
            <w:tcW w:w="1280" w:type="dxa"/>
            <w:tcBorders>
              <w:top w:val="nil"/>
              <w:left w:val="nil"/>
              <w:right w:val="nil"/>
            </w:tcBorders>
          </w:tcPr>
          <w:p w:rsidR="00F50758" w:rsidRDefault="00F50758" w:rsidP="00F73B7A">
            <w:pPr>
              <w:pStyle w:val="Tabletext"/>
              <w:tabs>
                <w:tab w:val="decimal" w:pos="567"/>
              </w:tabs>
            </w:pPr>
            <w:r>
              <w:t>57</w:t>
            </w:r>
          </w:p>
        </w:tc>
        <w:tc>
          <w:tcPr>
            <w:tcW w:w="1280" w:type="dxa"/>
            <w:tcBorders>
              <w:top w:val="nil"/>
              <w:left w:val="nil"/>
              <w:right w:val="nil"/>
            </w:tcBorders>
          </w:tcPr>
          <w:p w:rsidR="00F50758" w:rsidRDefault="00F50758" w:rsidP="00F73B7A">
            <w:pPr>
              <w:pStyle w:val="Tabletext"/>
              <w:tabs>
                <w:tab w:val="decimal" w:pos="567"/>
              </w:tabs>
            </w:pPr>
            <w:r>
              <w:t>59</w:t>
            </w:r>
          </w:p>
        </w:tc>
      </w:tr>
      <w:tr w:rsidR="00F50758" w:rsidRPr="00F73B7A" w:rsidTr="00F73B7A">
        <w:tc>
          <w:tcPr>
            <w:tcW w:w="4950" w:type="dxa"/>
            <w:tcBorders>
              <w:left w:val="nil"/>
              <w:bottom w:val="single" w:sz="4" w:space="0" w:color="auto"/>
              <w:right w:val="nil"/>
            </w:tcBorders>
            <w:shd w:val="clear" w:color="auto" w:fill="auto"/>
            <w:noWrap/>
            <w:hideMark/>
          </w:tcPr>
          <w:p w:rsidR="00F50758" w:rsidRPr="00F73B7A" w:rsidRDefault="00F50758" w:rsidP="00F73B7A">
            <w:pPr>
              <w:pStyle w:val="Tabletext"/>
              <w:rPr>
                <w:b/>
              </w:rPr>
            </w:pPr>
            <w:r w:rsidRPr="00F73B7A">
              <w:rPr>
                <w:b/>
              </w:rPr>
              <w:t>Total trade occupations</w:t>
            </w:r>
          </w:p>
        </w:tc>
        <w:tc>
          <w:tcPr>
            <w:tcW w:w="1279" w:type="dxa"/>
            <w:tcBorders>
              <w:left w:val="nil"/>
              <w:bottom w:val="single" w:sz="4" w:space="0" w:color="auto"/>
              <w:right w:val="nil"/>
            </w:tcBorders>
            <w:shd w:val="clear" w:color="auto" w:fill="auto"/>
            <w:noWrap/>
            <w:hideMark/>
          </w:tcPr>
          <w:p w:rsidR="00F50758" w:rsidRPr="00F73B7A" w:rsidRDefault="00F50758" w:rsidP="00F73B7A">
            <w:pPr>
              <w:pStyle w:val="Tabletext"/>
              <w:tabs>
                <w:tab w:val="decimal" w:pos="454"/>
              </w:tabs>
              <w:rPr>
                <w:b/>
              </w:rPr>
            </w:pPr>
            <w:r w:rsidRPr="00F73B7A">
              <w:rPr>
                <w:b/>
              </w:rPr>
              <w:t>1.24</w:t>
            </w:r>
          </w:p>
        </w:tc>
        <w:tc>
          <w:tcPr>
            <w:tcW w:w="1280" w:type="dxa"/>
            <w:tcBorders>
              <w:left w:val="nil"/>
              <w:bottom w:val="single" w:sz="4" w:space="0" w:color="auto"/>
              <w:right w:val="nil"/>
            </w:tcBorders>
          </w:tcPr>
          <w:p w:rsidR="00F50758" w:rsidRPr="00F73B7A" w:rsidRDefault="00F50758" w:rsidP="00F73B7A">
            <w:pPr>
              <w:pStyle w:val="Tabletext"/>
              <w:tabs>
                <w:tab w:val="decimal" w:pos="567"/>
              </w:tabs>
              <w:rPr>
                <w:b/>
              </w:rPr>
            </w:pPr>
            <w:r w:rsidRPr="00F73B7A">
              <w:rPr>
                <w:b/>
              </w:rPr>
              <w:t>45</w:t>
            </w:r>
          </w:p>
        </w:tc>
        <w:tc>
          <w:tcPr>
            <w:tcW w:w="1280" w:type="dxa"/>
            <w:tcBorders>
              <w:left w:val="nil"/>
              <w:bottom w:val="single" w:sz="4" w:space="0" w:color="auto"/>
              <w:right w:val="nil"/>
            </w:tcBorders>
          </w:tcPr>
          <w:p w:rsidR="00F50758" w:rsidRPr="00F73B7A" w:rsidRDefault="00F50758" w:rsidP="00F73B7A">
            <w:pPr>
              <w:pStyle w:val="Tabletext"/>
              <w:tabs>
                <w:tab w:val="decimal" w:pos="567"/>
              </w:tabs>
              <w:rPr>
                <w:b/>
              </w:rPr>
            </w:pPr>
            <w:r w:rsidRPr="00F73B7A">
              <w:rPr>
                <w:b/>
              </w:rPr>
              <w:t>55</w:t>
            </w:r>
          </w:p>
        </w:tc>
      </w:tr>
    </w:tbl>
    <w:p w:rsidR="00110AC7" w:rsidRPr="00F73B7A" w:rsidRDefault="00F73B7A" w:rsidP="00F73B7A">
      <w:pPr>
        <w:pStyle w:val="Source"/>
      </w:pPr>
      <w:r>
        <w:t>Note:</w:t>
      </w:r>
      <w:r>
        <w:tab/>
      </w:r>
      <w:r w:rsidR="00110AC7" w:rsidRPr="00F73B7A">
        <w:t>ANZSCO = Australian and New Zealand Standard Classification of Occupations.</w:t>
      </w:r>
    </w:p>
    <w:p w:rsidR="00D151AD" w:rsidRDefault="00D151AD" w:rsidP="00185DDC">
      <w:pPr>
        <w:pStyle w:val="Source"/>
        <w:spacing w:before="0"/>
      </w:pPr>
      <w:r w:rsidRPr="00F73B7A">
        <w:t>Source:</w:t>
      </w:r>
      <w:r w:rsidR="00F73B7A" w:rsidRPr="00F73B7A">
        <w:tab/>
      </w:r>
      <w:r w:rsidRPr="00F73B7A">
        <w:t>NCVE</w:t>
      </w:r>
      <w:r>
        <w:t xml:space="preserve">R </w:t>
      </w:r>
      <w:r w:rsidR="007414FB">
        <w:t>(</w:t>
      </w:r>
      <w:r w:rsidR="00F50758">
        <w:t>2012a</w:t>
      </w:r>
      <w:r w:rsidR="007414FB">
        <w:t>)</w:t>
      </w:r>
      <w:r w:rsidR="00110AC7">
        <w:t>.</w:t>
      </w:r>
    </w:p>
    <w:bookmarkEnd w:id="63"/>
    <w:bookmarkEnd w:id="64"/>
    <w:p w:rsidR="003153AA" w:rsidRDefault="00213CB1" w:rsidP="00110AC7">
      <w:pPr>
        <w:pStyle w:val="Heading3"/>
      </w:pPr>
      <w:r>
        <w:br w:type="page"/>
      </w:r>
      <w:r w:rsidR="003153AA" w:rsidRPr="005E5703">
        <w:lastRenderedPageBreak/>
        <w:t xml:space="preserve">By </w:t>
      </w:r>
      <w:r w:rsidR="008B0746">
        <w:t>jurisdiction</w:t>
      </w:r>
    </w:p>
    <w:p w:rsidR="00366B5F" w:rsidRDefault="0096014F" w:rsidP="00A063E0">
      <w:pPr>
        <w:pStyle w:val="Textlessbefore"/>
      </w:pPr>
      <w:r>
        <w:t>There is also considerable variation between states</w:t>
      </w:r>
      <w:r w:rsidR="00F32E6F">
        <w:t>/</w:t>
      </w:r>
      <w:r w:rsidR="008B0746">
        <w:t>territories</w:t>
      </w:r>
      <w:r>
        <w:t xml:space="preserve">, as seen in table </w:t>
      </w:r>
      <w:r w:rsidR="00502343">
        <w:t>3, with individual</w:t>
      </w:r>
      <w:r w:rsidR="00366B5F">
        <w:t xml:space="preserve"> </w:t>
      </w:r>
      <w:r w:rsidR="00DC3EFE">
        <w:t>completion rates vary</w:t>
      </w:r>
      <w:r w:rsidR="00502343">
        <w:t>ing</w:t>
      </w:r>
      <w:r w:rsidR="00DC3EFE">
        <w:t xml:space="preserve"> from about 5</w:t>
      </w:r>
      <w:r w:rsidR="00502343">
        <w:t>1</w:t>
      </w:r>
      <w:r w:rsidR="00DC3EFE">
        <w:t>% in Victoria to 67% in Tasmania.</w:t>
      </w:r>
    </w:p>
    <w:p w:rsidR="0096014F" w:rsidRDefault="002D07FB" w:rsidP="00A063E0">
      <w:pPr>
        <w:pStyle w:val="tabletitle"/>
      </w:pPr>
      <w:bookmarkStart w:id="66" w:name="_Toc376874268"/>
      <w:r>
        <w:t xml:space="preserve">Table </w:t>
      </w:r>
      <w:r w:rsidR="00502343">
        <w:t>3</w:t>
      </w:r>
      <w:r>
        <w:tab/>
      </w:r>
      <w:r w:rsidR="0096014F">
        <w:t>Individual completion rates, by state, for 2007 commencements</w:t>
      </w:r>
      <w:bookmarkEnd w:id="66"/>
    </w:p>
    <w:tbl>
      <w:tblPr>
        <w:tblW w:w="6391" w:type="dxa"/>
        <w:tblInd w:w="96" w:type="dxa"/>
        <w:tblLayout w:type="fixed"/>
        <w:tblLook w:val="04A0" w:firstRow="1" w:lastRow="0" w:firstColumn="1" w:lastColumn="0" w:noHBand="0" w:noVBand="1"/>
      </w:tblPr>
      <w:tblGrid>
        <w:gridCol w:w="3556"/>
        <w:gridCol w:w="2835"/>
      </w:tblGrid>
      <w:tr w:rsidR="005B3E60" w:rsidRPr="00A063E0" w:rsidTr="00A063E0">
        <w:tc>
          <w:tcPr>
            <w:tcW w:w="3556" w:type="dxa"/>
            <w:tcBorders>
              <w:top w:val="single" w:sz="4" w:space="0" w:color="auto"/>
              <w:left w:val="nil"/>
              <w:bottom w:val="single" w:sz="4" w:space="0" w:color="auto"/>
              <w:right w:val="nil"/>
            </w:tcBorders>
            <w:shd w:val="clear" w:color="auto" w:fill="auto"/>
            <w:noWrap/>
            <w:hideMark/>
          </w:tcPr>
          <w:p w:rsidR="005B3E60" w:rsidRPr="00A063E0" w:rsidRDefault="005B3E60" w:rsidP="00A063E0">
            <w:pPr>
              <w:pStyle w:val="Tablehead1"/>
            </w:pPr>
            <w:r w:rsidRPr="00A063E0">
              <w:t>State</w:t>
            </w:r>
            <w:r w:rsidR="008B0746" w:rsidRPr="00A063E0">
              <w:t>/territory</w:t>
            </w:r>
          </w:p>
        </w:tc>
        <w:tc>
          <w:tcPr>
            <w:tcW w:w="2835" w:type="dxa"/>
            <w:tcBorders>
              <w:top w:val="single" w:sz="4" w:space="0" w:color="auto"/>
              <w:left w:val="nil"/>
              <w:bottom w:val="single" w:sz="4" w:space="0" w:color="auto"/>
              <w:right w:val="nil"/>
            </w:tcBorders>
            <w:shd w:val="clear" w:color="auto" w:fill="auto"/>
            <w:noWrap/>
            <w:hideMark/>
          </w:tcPr>
          <w:p w:rsidR="005B3E60" w:rsidRPr="00A063E0" w:rsidRDefault="005B3E60" w:rsidP="00A063E0">
            <w:pPr>
              <w:pStyle w:val="Tablehead1"/>
              <w:jc w:val="center"/>
            </w:pPr>
            <w:r w:rsidRPr="00A063E0">
              <w:t>Total trade occupations</w:t>
            </w:r>
            <w:r w:rsidRPr="00A063E0">
              <w:rPr>
                <w:vertAlign w:val="superscript"/>
              </w:rPr>
              <w:t>1</w:t>
            </w:r>
          </w:p>
        </w:tc>
      </w:tr>
      <w:tr w:rsidR="005B3E60" w:rsidRPr="00A063E0" w:rsidTr="00A063E0">
        <w:tc>
          <w:tcPr>
            <w:tcW w:w="3556" w:type="dxa"/>
            <w:tcBorders>
              <w:top w:val="single" w:sz="4" w:space="0" w:color="auto"/>
              <w:left w:val="nil"/>
              <w:bottom w:val="nil"/>
              <w:right w:val="nil"/>
            </w:tcBorders>
            <w:shd w:val="clear" w:color="auto" w:fill="auto"/>
            <w:noWrap/>
            <w:hideMark/>
          </w:tcPr>
          <w:p w:rsidR="005B3E60" w:rsidRPr="00A063E0" w:rsidRDefault="005B3E60" w:rsidP="00A063E0">
            <w:pPr>
              <w:pStyle w:val="Tabletext"/>
            </w:pPr>
            <w:r w:rsidRPr="00A063E0">
              <w:t>T</w:t>
            </w:r>
            <w:r w:rsidR="00F32E6F" w:rsidRPr="00A063E0">
              <w:t>as.</w:t>
            </w:r>
          </w:p>
        </w:tc>
        <w:tc>
          <w:tcPr>
            <w:tcW w:w="2835" w:type="dxa"/>
            <w:tcBorders>
              <w:top w:val="single" w:sz="4" w:space="0" w:color="auto"/>
              <w:left w:val="nil"/>
              <w:right w:val="nil"/>
            </w:tcBorders>
            <w:shd w:val="clear" w:color="auto" w:fill="auto"/>
            <w:noWrap/>
            <w:hideMark/>
          </w:tcPr>
          <w:p w:rsidR="005B3E60" w:rsidRPr="00A063E0" w:rsidRDefault="005B3E60" w:rsidP="002074B9">
            <w:pPr>
              <w:pStyle w:val="Tabletext"/>
              <w:tabs>
                <w:tab w:val="decimal" w:pos="1304"/>
              </w:tabs>
              <w:rPr>
                <w:szCs w:val="16"/>
              </w:rPr>
            </w:pPr>
            <w:r w:rsidRPr="00A063E0">
              <w:rPr>
                <w:szCs w:val="16"/>
              </w:rPr>
              <w:t>66.7</w:t>
            </w:r>
          </w:p>
        </w:tc>
      </w:tr>
      <w:tr w:rsidR="005B3E60" w:rsidRPr="00A063E0" w:rsidTr="00A063E0">
        <w:tc>
          <w:tcPr>
            <w:tcW w:w="3556" w:type="dxa"/>
            <w:tcBorders>
              <w:top w:val="nil"/>
              <w:left w:val="nil"/>
              <w:bottom w:val="nil"/>
              <w:right w:val="nil"/>
            </w:tcBorders>
            <w:shd w:val="clear" w:color="auto" w:fill="auto"/>
            <w:noWrap/>
            <w:hideMark/>
          </w:tcPr>
          <w:p w:rsidR="005B3E60" w:rsidRPr="00A063E0" w:rsidRDefault="005B3E60" w:rsidP="00A063E0">
            <w:pPr>
              <w:pStyle w:val="Tabletext"/>
            </w:pPr>
            <w:r w:rsidRPr="00A063E0">
              <w:t>WA</w:t>
            </w:r>
          </w:p>
        </w:tc>
        <w:tc>
          <w:tcPr>
            <w:tcW w:w="2835" w:type="dxa"/>
            <w:tcBorders>
              <w:top w:val="nil"/>
              <w:left w:val="nil"/>
              <w:right w:val="nil"/>
            </w:tcBorders>
            <w:shd w:val="clear" w:color="auto" w:fill="auto"/>
            <w:noWrap/>
            <w:hideMark/>
          </w:tcPr>
          <w:p w:rsidR="005B3E60" w:rsidRPr="00A063E0" w:rsidRDefault="005B3E60" w:rsidP="002074B9">
            <w:pPr>
              <w:pStyle w:val="Tabletext"/>
              <w:tabs>
                <w:tab w:val="decimal" w:pos="1304"/>
              </w:tabs>
              <w:rPr>
                <w:szCs w:val="16"/>
              </w:rPr>
            </w:pPr>
            <w:r w:rsidRPr="00A063E0">
              <w:rPr>
                <w:szCs w:val="16"/>
              </w:rPr>
              <w:t>62.2</w:t>
            </w:r>
          </w:p>
        </w:tc>
      </w:tr>
      <w:tr w:rsidR="005B3E60" w:rsidRPr="00A063E0" w:rsidTr="00A063E0">
        <w:tc>
          <w:tcPr>
            <w:tcW w:w="3556" w:type="dxa"/>
            <w:tcBorders>
              <w:top w:val="nil"/>
              <w:left w:val="nil"/>
              <w:bottom w:val="nil"/>
              <w:right w:val="nil"/>
            </w:tcBorders>
            <w:shd w:val="clear" w:color="auto" w:fill="auto"/>
            <w:noWrap/>
            <w:hideMark/>
          </w:tcPr>
          <w:p w:rsidR="005B3E60" w:rsidRPr="00A063E0" w:rsidRDefault="005B3E60" w:rsidP="00A063E0">
            <w:pPr>
              <w:pStyle w:val="Tabletext"/>
            </w:pPr>
            <w:r w:rsidRPr="00A063E0">
              <w:t>SA</w:t>
            </w:r>
          </w:p>
        </w:tc>
        <w:tc>
          <w:tcPr>
            <w:tcW w:w="2835" w:type="dxa"/>
            <w:tcBorders>
              <w:top w:val="nil"/>
              <w:left w:val="nil"/>
              <w:right w:val="nil"/>
            </w:tcBorders>
            <w:shd w:val="clear" w:color="auto" w:fill="auto"/>
            <w:noWrap/>
            <w:hideMark/>
          </w:tcPr>
          <w:p w:rsidR="005B3E60" w:rsidRPr="00A063E0" w:rsidRDefault="005B3E60" w:rsidP="002074B9">
            <w:pPr>
              <w:pStyle w:val="Tabletext"/>
              <w:tabs>
                <w:tab w:val="decimal" w:pos="1304"/>
              </w:tabs>
              <w:rPr>
                <w:szCs w:val="16"/>
              </w:rPr>
            </w:pPr>
            <w:r w:rsidRPr="00A063E0">
              <w:rPr>
                <w:szCs w:val="16"/>
              </w:rPr>
              <w:t>59.0</w:t>
            </w:r>
          </w:p>
        </w:tc>
      </w:tr>
      <w:tr w:rsidR="005B3E60" w:rsidRPr="00A063E0" w:rsidTr="00A063E0">
        <w:tc>
          <w:tcPr>
            <w:tcW w:w="3556" w:type="dxa"/>
            <w:tcBorders>
              <w:top w:val="nil"/>
              <w:left w:val="nil"/>
              <w:bottom w:val="nil"/>
              <w:right w:val="nil"/>
            </w:tcBorders>
            <w:shd w:val="clear" w:color="auto" w:fill="auto"/>
            <w:noWrap/>
            <w:hideMark/>
          </w:tcPr>
          <w:p w:rsidR="005B3E60" w:rsidRPr="00A063E0" w:rsidRDefault="005B3E60" w:rsidP="00A063E0">
            <w:pPr>
              <w:pStyle w:val="Tabletext"/>
            </w:pPr>
            <w:r w:rsidRPr="00A063E0">
              <w:t>QLD</w:t>
            </w:r>
          </w:p>
        </w:tc>
        <w:tc>
          <w:tcPr>
            <w:tcW w:w="2835" w:type="dxa"/>
            <w:tcBorders>
              <w:top w:val="nil"/>
              <w:left w:val="nil"/>
              <w:right w:val="nil"/>
            </w:tcBorders>
            <w:shd w:val="clear" w:color="auto" w:fill="auto"/>
            <w:noWrap/>
            <w:hideMark/>
          </w:tcPr>
          <w:p w:rsidR="005B3E60" w:rsidRPr="00A063E0" w:rsidRDefault="005B3E60" w:rsidP="002074B9">
            <w:pPr>
              <w:pStyle w:val="Tabletext"/>
              <w:tabs>
                <w:tab w:val="decimal" w:pos="1304"/>
              </w:tabs>
              <w:rPr>
                <w:szCs w:val="16"/>
              </w:rPr>
            </w:pPr>
            <w:r w:rsidRPr="00A063E0">
              <w:rPr>
                <w:szCs w:val="16"/>
              </w:rPr>
              <w:t>55.8</w:t>
            </w:r>
          </w:p>
        </w:tc>
      </w:tr>
      <w:tr w:rsidR="005B3E60" w:rsidRPr="00A063E0" w:rsidTr="00A063E0">
        <w:tc>
          <w:tcPr>
            <w:tcW w:w="3556" w:type="dxa"/>
            <w:tcBorders>
              <w:top w:val="nil"/>
              <w:left w:val="nil"/>
              <w:bottom w:val="nil"/>
              <w:right w:val="nil"/>
            </w:tcBorders>
            <w:shd w:val="clear" w:color="auto" w:fill="auto"/>
            <w:noWrap/>
            <w:hideMark/>
          </w:tcPr>
          <w:p w:rsidR="005B3E60" w:rsidRPr="00A063E0" w:rsidRDefault="005B3E60" w:rsidP="00A063E0">
            <w:pPr>
              <w:pStyle w:val="Tabletext"/>
            </w:pPr>
            <w:r w:rsidRPr="00A063E0">
              <w:t>NSW</w:t>
            </w:r>
          </w:p>
        </w:tc>
        <w:tc>
          <w:tcPr>
            <w:tcW w:w="2835" w:type="dxa"/>
            <w:tcBorders>
              <w:top w:val="nil"/>
              <w:left w:val="nil"/>
              <w:right w:val="nil"/>
            </w:tcBorders>
            <w:shd w:val="clear" w:color="auto" w:fill="auto"/>
            <w:noWrap/>
            <w:hideMark/>
          </w:tcPr>
          <w:p w:rsidR="005B3E60" w:rsidRPr="00A063E0" w:rsidRDefault="005B3E60" w:rsidP="002074B9">
            <w:pPr>
              <w:pStyle w:val="Tabletext"/>
              <w:tabs>
                <w:tab w:val="decimal" w:pos="1304"/>
              </w:tabs>
              <w:rPr>
                <w:szCs w:val="16"/>
              </w:rPr>
            </w:pPr>
            <w:r w:rsidRPr="00A063E0">
              <w:rPr>
                <w:szCs w:val="16"/>
              </w:rPr>
              <w:t>55.3</w:t>
            </w:r>
          </w:p>
        </w:tc>
      </w:tr>
      <w:tr w:rsidR="005B3E60" w:rsidRPr="00A063E0" w:rsidTr="00A063E0">
        <w:tc>
          <w:tcPr>
            <w:tcW w:w="3556" w:type="dxa"/>
            <w:tcBorders>
              <w:top w:val="nil"/>
              <w:left w:val="nil"/>
              <w:right w:val="nil"/>
            </w:tcBorders>
            <w:shd w:val="clear" w:color="auto" w:fill="auto"/>
            <w:noWrap/>
            <w:hideMark/>
          </w:tcPr>
          <w:p w:rsidR="005B3E60" w:rsidRPr="00A063E0" w:rsidRDefault="005B3E60" w:rsidP="00A063E0">
            <w:pPr>
              <w:pStyle w:val="Tabletext"/>
            </w:pPr>
            <w:r w:rsidRPr="00A063E0">
              <w:t>NT</w:t>
            </w:r>
          </w:p>
        </w:tc>
        <w:tc>
          <w:tcPr>
            <w:tcW w:w="2835" w:type="dxa"/>
            <w:tcBorders>
              <w:top w:val="nil"/>
              <w:left w:val="nil"/>
              <w:right w:val="nil"/>
            </w:tcBorders>
            <w:shd w:val="clear" w:color="auto" w:fill="auto"/>
            <w:noWrap/>
            <w:hideMark/>
          </w:tcPr>
          <w:p w:rsidR="005B3E60" w:rsidRPr="00A063E0" w:rsidRDefault="005B3E60" w:rsidP="002074B9">
            <w:pPr>
              <w:pStyle w:val="Tabletext"/>
              <w:tabs>
                <w:tab w:val="decimal" w:pos="1304"/>
              </w:tabs>
              <w:rPr>
                <w:szCs w:val="16"/>
              </w:rPr>
            </w:pPr>
            <w:r w:rsidRPr="00A063E0">
              <w:rPr>
                <w:szCs w:val="16"/>
              </w:rPr>
              <w:t>51.6</w:t>
            </w:r>
          </w:p>
        </w:tc>
      </w:tr>
      <w:tr w:rsidR="005B3E60" w:rsidRPr="00A063E0" w:rsidTr="00A063E0">
        <w:tc>
          <w:tcPr>
            <w:tcW w:w="3556" w:type="dxa"/>
            <w:tcBorders>
              <w:top w:val="nil"/>
              <w:left w:val="nil"/>
              <w:right w:val="nil"/>
            </w:tcBorders>
            <w:shd w:val="clear" w:color="auto" w:fill="auto"/>
            <w:noWrap/>
            <w:hideMark/>
          </w:tcPr>
          <w:p w:rsidR="005B3E60" w:rsidRPr="00A063E0" w:rsidRDefault="005B3E60" w:rsidP="00A063E0">
            <w:pPr>
              <w:pStyle w:val="Tabletext"/>
            </w:pPr>
            <w:r w:rsidRPr="00A063E0">
              <w:t>ACT</w:t>
            </w:r>
          </w:p>
        </w:tc>
        <w:tc>
          <w:tcPr>
            <w:tcW w:w="2835" w:type="dxa"/>
            <w:tcBorders>
              <w:top w:val="nil"/>
              <w:left w:val="nil"/>
              <w:right w:val="nil"/>
            </w:tcBorders>
            <w:shd w:val="clear" w:color="auto" w:fill="auto"/>
            <w:noWrap/>
            <w:hideMark/>
          </w:tcPr>
          <w:p w:rsidR="005B3E60" w:rsidRPr="00A063E0" w:rsidRDefault="005B3E60" w:rsidP="002074B9">
            <w:pPr>
              <w:pStyle w:val="Tabletext"/>
              <w:tabs>
                <w:tab w:val="decimal" w:pos="1304"/>
              </w:tabs>
              <w:rPr>
                <w:szCs w:val="16"/>
              </w:rPr>
            </w:pPr>
            <w:r w:rsidRPr="00A063E0">
              <w:rPr>
                <w:szCs w:val="16"/>
              </w:rPr>
              <w:t>51.3</w:t>
            </w:r>
          </w:p>
        </w:tc>
      </w:tr>
      <w:tr w:rsidR="005B3E60" w:rsidRPr="00A063E0" w:rsidTr="00A063E0">
        <w:tc>
          <w:tcPr>
            <w:tcW w:w="3556" w:type="dxa"/>
            <w:tcBorders>
              <w:top w:val="nil"/>
              <w:left w:val="nil"/>
              <w:right w:val="nil"/>
            </w:tcBorders>
            <w:shd w:val="clear" w:color="auto" w:fill="auto"/>
            <w:noWrap/>
            <w:hideMark/>
          </w:tcPr>
          <w:p w:rsidR="005B3E60" w:rsidRPr="00A063E0" w:rsidRDefault="005B3E60" w:rsidP="00A063E0">
            <w:pPr>
              <w:pStyle w:val="Tabletext"/>
            </w:pPr>
            <w:r w:rsidRPr="00A063E0">
              <w:t>V</w:t>
            </w:r>
            <w:r w:rsidR="00F32E6F" w:rsidRPr="00A063E0">
              <w:t>ic.</w:t>
            </w:r>
          </w:p>
        </w:tc>
        <w:tc>
          <w:tcPr>
            <w:tcW w:w="2835" w:type="dxa"/>
            <w:tcBorders>
              <w:top w:val="nil"/>
              <w:left w:val="nil"/>
              <w:right w:val="nil"/>
            </w:tcBorders>
            <w:shd w:val="clear" w:color="auto" w:fill="auto"/>
            <w:noWrap/>
            <w:hideMark/>
          </w:tcPr>
          <w:p w:rsidR="005B3E60" w:rsidRPr="00A063E0" w:rsidRDefault="005B3E60" w:rsidP="002074B9">
            <w:pPr>
              <w:pStyle w:val="Tabletext"/>
              <w:tabs>
                <w:tab w:val="decimal" w:pos="1304"/>
              </w:tabs>
              <w:rPr>
                <w:szCs w:val="16"/>
              </w:rPr>
            </w:pPr>
            <w:r w:rsidRPr="00A063E0">
              <w:rPr>
                <w:szCs w:val="16"/>
              </w:rPr>
              <w:t>50.7</w:t>
            </w:r>
          </w:p>
        </w:tc>
      </w:tr>
      <w:tr w:rsidR="005B3E60" w:rsidRPr="00A063E0" w:rsidTr="00A063E0">
        <w:tc>
          <w:tcPr>
            <w:tcW w:w="3556" w:type="dxa"/>
            <w:tcBorders>
              <w:left w:val="nil"/>
              <w:bottom w:val="single" w:sz="4" w:space="0" w:color="auto"/>
              <w:right w:val="nil"/>
            </w:tcBorders>
            <w:shd w:val="clear" w:color="auto" w:fill="auto"/>
            <w:noWrap/>
            <w:hideMark/>
          </w:tcPr>
          <w:p w:rsidR="005B3E60" w:rsidRPr="00A063E0" w:rsidRDefault="005B3E60" w:rsidP="00A063E0">
            <w:pPr>
              <w:pStyle w:val="Tabletext"/>
              <w:rPr>
                <w:b/>
              </w:rPr>
            </w:pPr>
            <w:r w:rsidRPr="00A063E0">
              <w:rPr>
                <w:b/>
              </w:rPr>
              <w:t>Australia</w:t>
            </w:r>
          </w:p>
        </w:tc>
        <w:tc>
          <w:tcPr>
            <w:tcW w:w="2835" w:type="dxa"/>
            <w:tcBorders>
              <w:left w:val="nil"/>
              <w:bottom w:val="single" w:sz="4" w:space="0" w:color="auto"/>
              <w:right w:val="nil"/>
            </w:tcBorders>
            <w:shd w:val="clear" w:color="auto" w:fill="auto"/>
            <w:noWrap/>
            <w:hideMark/>
          </w:tcPr>
          <w:p w:rsidR="005B3E60" w:rsidRPr="00A063E0" w:rsidRDefault="005B3E60" w:rsidP="002074B9">
            <w:pPr>
              <w:pStyle w:val="Tabletext"/>
              <w:tabs>
                <w:tab w:val="decimal" w:pos="1304"/>
              </w:tabs>
              <w:rPr>
                <w:b/>
                <w:szCs w:val="16"/>
              </w:rPr>
            </w:pPr>
            <w:r w:rsidRPr="00A063E0">
              <w:rPr>
                <w:b/>
                <w:szCs w:val="16"/>
              </w:rPr>
              <w:t>55.0</w:t>
            </w:r>
          </w:p>
        </w:tc>
      </w:tr>
    </w:tbl>
    <w:p w:rsidR="00F32E6F" w:rsidRPr="00A063E0" w:rsidRDefault="00A063E0" w:rsidP="002074B9">
      <w:pPr>
        <w:pStyle w:val="Source"/>
        <w:tabs>
          <w:tab w:val="left" w:pos="567"/>
        </w:tabs>
        <w:ind w:left="709" w:hanging="709"/>
      </w:pPr>
      <w:r>
        <w:t>Note</w:t>
      </w:r>
      <w:r w:rsidR="00C6404D">
        <w:t>:</w:t>
      </w:r>
      <w:bookmarkStart w:id="67" w:name="_Toc296497273"/>
      <w:bookmarkEnd w:id="55"/>
      <w:r>
        <w:tab/>
      </w:r>
      <w:r w:rsidR="00C6404D">
        <w:t>1</w:t>
      </w:r>
      <w:r w:rsidR="002074B9">
        <w:tab/>
      </w:r>
      <w:r w:rsidR="00C6404D" w:rsidRPr="008C7C09">
        <w:t xml:space="preserve">Trade occupations are defined </w:t>
      </w:r>
      <w:r w:rsidR="00C6404D" w:rsidRPr="00A063E0">
        <w:t xml:space="preserve">as major occupation group 3 – Technicians and </w:t>
      </w:r>
      <w:r>
        <w:br/>
      </w:r>
      <w:r w:rsidR="00C6404D" w:rsidRPr="00A063E0">
        <w:t xml:space="preserve">trades workers (ANZSCO </w:t>
      </w:r>
      <w:r w:rsidR="0067147B" w:rsidRPr="00A063E0">
        <w:t xml:space="preserve">1st </w:t>
      </w:r>
      <w:proofErr w:type="spellStart"/>
      <w:r w:rsidR="0067147B" w:rsidRPr="00A063E0">
        <w:t>edn</w:t>
      </w:r>
      <w:proofErr w:type="spellEnd"/>
      <w:r w:rsidR="00944159" w:rsidRPr="00A063E0">
        <w:t>, revision 1</w:t>
      </w:r>
      <w:r w:rsidR="00C6404D" w:rsidRPr="00A063E0">
        <w:t>).</w:t>
      </w:r>
    </w:p>
    <w:p w:rsidR="00F32E6F" w:rsidRDefault="00F32E6F" w:rsidP="00A063E0">
      <w:pPr>
        <w:pStyle w:val="Source"/>
      </w:pPr>
      <w:r w:rsidRPr="00A063E0">
        <w:t>Source:</w:t>
      </w:r>
      <w:r w:rsidR="00A063E0">
        <w:tab/>
      </w:r>
      <w:r w:rsidRPr="00A063E0">
        <w:t xml:space="preserve">NCVER (2012a, </w:t>
      </w:r>
      <w:r w:rsidR="00A27245" w:rsidRPr="00A063E0">
        <w:t>s</w:t>
      </w:r>
      <w:r w:rsidRPr="00A063E0">
        <w:t>upporting data for</w:t>
      </w:r>
      <w:r>
        <w:t xml:space="preserve"> apprentice and trainee completion rates).</w:t>
      </w:r>
    </w:p>
    <w:p w:rsidR="00DC3EFE" w:rsidRDefault="00DC3EFE" w:rsidP="002074B9">
      <w:pPr>
        <w:pStyle w:val="Textmorebefore"/>
      </w:pPr>
      <w:r>
        <w:t xml:space="preserve">Research by Knight (2008) examined whether apparent </w:t>
      </w:r>
      <w:r w:rsidR="00F32E6F">
        <w:t xml:space="preserve">differences between states are </w:t>
      </w:r>
      <w:r w:rsidR="00841F93">
        <w:t>‘</w:t>
      </w:r>
      <w:r w:rsidR="00F32E6F">
        <w:t>real</w:t>
      </w:r>
      <w:r w:rsidR="00841F93">
        <w:t>’</w:t>
      </w:r>
      <w:r>
        <w:t xml:space="preserve"> or merely artefacts of the reporting practices in the different states.</w:t>
      </w:r>
      <w:r w:rsidRPr="00C6404D">
        <w:rPr>
          <w:lang w:val="en-US"/>
        </w:rPr>
        <w:t xml:space="preserve"> </w:t>
      </w:r>
      <w:r>
        <w:rPr>
          <w:lang w:val="en-US"/>
        </w:rPr>
        <w:t>Through consultations with state training authorities, staff at the Department of Education, Employment and Workplace Relations</w:t>
      </w:r>
      <w:r w:rsidR="00601CC6">
        <w:rPr>
          <w:lang w:val="en-US"/>
        </w:rPr>
        <w:t>,</w:t>
      </w:r>
      <w:r>
        <w:rPr>
          <w:lang w:val="en-US"/>
        </w:rPr>
        <w:t xml:space="preserve"> Au</w:t>
      </w:r>
      <w:r w:rsidR="00601CC6">
        <w:rPr>
          <w:lang w:val="en-US"/>
        </w:rPr>
        <w:t xml:space="preserve">stralian Apprenticeship </w:t>
      </w:r>
      <w:proofErr w:type="spellStart"/>
      <w:r w:rsidR="00601CC6">
        <w:rPr>
          <w:lang w:val="en-US"/>
        </w:rPr>
        <w:t>Centres</w:t>
      </w:r>
      <w:proofErr w:type="spellEnd"/>
      <w:r>
        <w:rPr>
          <w:lang w:val="en-US"/>
        </w:rPr>
        <w:t xml:space="preserve"> and group training associations,</w:t>
      </w:r>
      <w:r>
        <w:t xml:space="preserve"> Knight found that differences in the level of support provided to apprentices </w:t>
      </w:r>
      <w:r w:rsidR="00502343">
        <w:t xml:space="preserve">in each state </w:t>
      </w:r>
      <w:r>
        <w:t xml:space="preserve">appeared to be the key. </w:t>
      </w:r>
      <w:r w:rsidR="00F50135">
        <w:t xml:space="preserve">For example, the number of field officers who conduct site visits and provide support to apprentices varies substantially among states. Tasmania in particular </w:t>
      </w:r>
      <w:r w:rsidR="00F75E3F">
        <w:t>was found to have</w:t>
      </w:r>
      <w:r w:rsidR="00F50135">
        <w:t xml:space="preserve"> a strong culture of support for traditional apprenticeships. </w:t>
      </w:r>
      <w:r>
        <w:t>As well, Knight suggested that challenging youth labour markets in South Australia and Tasmania may partially explain the above-average completion rates in those states</w:t>
      </w:r>
      <w:r w:rsidR="00354C72">
        <w:t xml:space="preserve">. </w:t>
      </w:r>
      <w:r w:rsidR="00C11ADF">
        <w:t>In other words</w:t>
      </w:r>
      <w:r w:rsidR="00354C72">
        <w:t>, if young people</w:t>
      </w:r>
      <w:r w:rsidR="00841F93">
        <w:t>’</w:t>
      </w:r>
      <w:r w:rsidR="00354C72">
        <w:t>s employment options are limited</w:t>
      </w:r>
      <w:r w:rsidR="00F32E6F">
        <w:t>,</w:t>
      </w:r>
      <w:r w:rsidR="00354C72">
        <w:t xml:space="preserve"> they may be</w:t>
      </w:r>
      <w:r w:rsidR="00601CC6" w:rsidRPr="00354C72">
        <w:t xml:space="preserve"> more inclined to stick with their apprenticeship.</w:t>
      </w:r>
    </w:p>
    <w:p w:rsidR="00596C98" w:rsidRDefault="00596C98" w:rsidP="00596C98">
      <w:pPr>
        <w:pStyle w:val="Text"/>
      </w:pPr>
      <w:r w:rsidRPr="00F376F8">
        <w:t xml:space="preserve">Future research could examine </w:t>
      </w:r>
      <w:r w:rsidR="00F376F8" w:rsidRPr="00F376F8">
        <w:t xml:space="preserve">the differences </w:t>
      </w:r>
      <w:r w:rsidR="008B0746">
        <w:t xml:space="preserve">in completion rates </w:t>
      </w:r>
      <w:r w:rsidR="00F376F8" w:rsidRPr="00F376F8">
        <w:t>between the states</w:t>
      </w:r>
      <w:r w:rsidR="008B0746">
        <w:t>/territories</w:t>
      </w:r>
      <w:r w:rsidR="00F376F8" w:rsidRPr="00F376F8">
        <w:t xml:space="preserve"> in more detail. For example, </w:t>
      </w:r>
      <w:r w:rsidR="00F32E6F">
        <w:t xml:space="preserve">one area for examination might be </w:t>
      </w:r>
      <w:r w:rsidRPr="00F376F8">
        <w:t>whether there is a variation between the states in the proportion of apprentices employed by small and medium</w:t>
      </w:r>
      <w:r w:rsidR="00F376F8">
        <w:t xml:space="preserve"> enterprises</w:t>
      </w:r>
      <w:r w:rsidRPr="00F376F8">
        <w:t xml:space="preserve">, as this could affect completion rates, given that small businesses (those with fewer than 100 </w:t>
      </w:r>
      <w:r w:rsidR="00F376F8">
        <w:t>employees</w:t>
      </w:r>
      <w:r w:rsidRPr="00F376F8">
        <w:t xml:space="preserve">) tend to have lower completion rates. </w:t>
      </w:r>
    </w:p>
    <w:p w:rsidR="00B108E6" w:rsidRDefault="00C33E6A" w:rsidP="002074B9">
      <w:pPr>
        <w:pStyle w:val="Heading2"/>
      </w:pPr>
      <w:bookmarkStart w:id="68" w:name="_Toc377040297"/>
      <w:r>
        <w:t xml:space="preserve">Data issues in </w:t>
      </w:r>
      <w:r w:rsidR="00A742C9">
        <w:t xml:space="preserve">measuring and </w:t>
      </w:r>
      <w:r w:rsidR="00A742C9" w:rsidRPr="002074B9">
        <w:t>reporting</w:t>
      </w:r>
      <w:r>
        <w:t xml:space="preserve"> </w:t>
      </w:r>
      <w:r w:rsidR="009B3449">
        <w:t>completion rates</w:t>
      </w:r>
      <w:bookmarkEnd w:id="68"/>
    </w:p>
    <w:p w:rsidR="000A5CC6" w:rsidRPr="00A8078B" w:rsidRDefault="00AF0326" w:rsidP="00992296">
      <w:pPr>
        <w:pStyle w:val="Text"/>
        <w:rPr>
          <w:rFonts w:eastAsia="Calibri"/>
        </w:rPr>
      </w:pPr>
      <w:bookmarkStart w:id="69" w:name="OLE_LINK16"/>
      <w:bookmarkStart w:id="70" w:name="OLE_LINK17"/>
      <w:r>
        <w:t xml:space="preserve">There are several issues which complicate the calculation of completion rates, such as </w:t>
      </w:r>
      <w:r w:rsidR="00B72BB7">
        <w:t xml:space="preserve">time lags and </w:t>
      </w:r>
      <w:r w:rsidR="0067147B">
        <w:t>inconsistencies in data-</w:t>
      </w:r>
      <w:r>
        <w:t xml:space="preserve">recording practices among </w:t>
      </w:r>
      <w:r w:rsidR="00A27245">
        <w:t xml:space="preserve">the </w:t>
      </w:r>
      <w:r w:rsidR="00F32E6F">
        <w:t xml:space="preserve">states and territories </w:t>
      </w:r>
      <w:r w:rsidR="009C33B0">
        <w:t xml:space="preserve">(Snell </w:t>
      </w:r>
      <w:r w:rsidR="00F32E6F">
        <w:t>&amp;</w:t>
      </w:r>
      <w:r w:rsidR="009C33B0">
        <w:t xml:space="preserve"> Hart 2007,</w:t>
      </w:r>
      <w:r w:rsidR="00992296">
        <w:t xml:space="preserve"> </w:t>
      </w:r>
      <w:r>
        <w:t>2008</w:t>
      </w:r>
      <w:r w:rsidR="007C7B5B">
        <w:t>; Knight 2008</w:t>
      </w:r>
      <w:r w:rsidR="00CE0C65">
        <w:t>; MGET 2010</w:t>
      </w:r>
      <w:r w:rsidR="000A5CC6">
        <w:t>).</w:t>
      </w:r>
    </w:p>
    <w:p w:rsidR="00B9299E" w:rsidRDefault="007C7B5B" w:rsidP="00AF0326">
      <w:pPr>
        <w:pStyle w:val="Text"/>
      </w:pPr>
      <w:r>
        <w:t xml:space="preserve">In order to officially complete an apprenticeship </w:t>
      </w:r>
      <w:r w:rsidR="00C362F8">
        <w:t>two</w:t>
      </w:r>
      <w:r>
        <w:t xml:space="preserve"> conditions must be met.</w:t>
      </w:r>
      <w:r w:rsidR="00AF0326">
        <w:t xml:space="preserve"> First, the apprentice must complete both the off-the-job and on-the-job training requirements</w:t>
      </w:r>
      <w:r w:rsidR="00B9299E">
        <w:t xml:space="preserve"> </w:t>
      </w:r>
      <w:r w:rsidR="00AF0326">
        <w:t xml:space="preserve">of their contract. </w:t>
      </w:r>
      <w:r>
        <w:t>Second</w:t>
      </w:r>
      <w:r w:rsidR="00AF0326">
        <w:t xml:space="preserve">, evidence of this must be provided to the appropriate </w:t>
      </w:r>
      <w:r w:rsidR="00322176">
        <w:t xml:space="preserve">state </w:t>
      </w:r>
      <w:r w:rsidR="00AF0326">
        <w:t xml:space="preserve">training </w:t>
      </w:r>
      <w:r w:rsidR="00F32E6F">
        <w:t>authority (Ball &amp; John 2005, p.</w:t>
      </w:r>
      <w:r w:rsidR="00AF0326">
        <w:t>8).</w:t>
      </w:r>
      <w:r>
        <w:t xml:space="preserve"> </w:t>
      </w:r>
      <w:r w:rsidR="00AF0326">
        <w:t>F</w:t>
      </w:r>
      <w:r w:rsidR="00B9299E">
        <w:t xml:space="preserve">ailure </w:t>
      </w:r>
      <w:r w:rsidR="00AF0326">
        <w:t xml:space="preserve">to complete the </w:t>
      </w:r>
      <w:r>
        <w:t>second</w:t>
      </w:r>
      <w:r w:rsidR="00AF0326">
        <w:t xml:space="preserve"> step</w:t>
      </w:r>
      <w:r w:rsidR="00B9299E">
        <w:t xml:space="preserve"> can result in </w:t>
      </w:r>
      <w:r w:rsidR="00841F93">
        <w:t>‘</w:t>
      </w:r>
      <w:r w:rsidR="00B9299E">
        <w:t>ex</w:t>
      </w:r>
      <w:r w:rsidR="00AF0326">
        <w:t>pired</w:t>
      </w:r>
      <w:r w:rsidR="00841F93">
        <w:t>’</w:t>
      </w:r>
      <w:r w:rsidR="00AF0326">
        <w:t xml:space="preserve"> contracts</w:t>
      </w:r>
      <w:r>
        <w:t>,</w:t>
      </w:r>
      <w:r w:rsidR="00AF0326">
        <w:t xml:space="preserve"> </w:t>
      </w:r>
      <w:r>
        <w:t>which</w:t>
      </w:r>
      <w:r w:rsidR="00B9299E">
        <w:t xml:space="preserve"> may be either unreported completions or cancellations. </w:t>
      </w:r>
      <w:r w:rsidR="00AF0326">
        <w:rPr>
          <w:rFonts w:eastAsia="Calibri"/>
        </w:rPr>
        <w:t xml:space="preserve">Approximately 5% of </w:t>
      </w:r>
      <w:r w:rsidR="0067147B">
        <w:rPr>
          <w:rFonts w:eastAsia="Calibri"/>
        </w:rPr>
        <w:t xml:space="preserve">the </w:t>
      </w:r>
      <w:r w:rsidR="00AF0326">
        <w:rPr>
          <w:rFonts w:eastAsia="Calibri"/>
        </w:rPr>
        <w:t>contracts in NCVER</w:t>
      </w:r>
      <w:r w:rsidR="00841F93">
        <w:rPr>
          <w:rFonts w:eastAsia="Calibri"/>
        </w:rPr>
        <w:t>’</w:t>
      </w:r>
      <w:r w:rsidR="00AF0326">
        <w:rPr>
          <w:rFonts w:eastAsia="Calibri"/>
        </w:rPr>
        <w:t xml:space="preserve">s database are classified as </w:t>
      </w:r>
      <w:r w:rsidR="00841F93">
        <w:rPr>
          <w:rFonts w:eastAsia="Calibri"/>
        </w:rPr>
        <w:lastRenderedPageBreak/>
        <w:t>‘</w:t>
      </w:r>
      <w:r w:rsidR="00AF0326">
        <w:rPr>
          <w:rFonts w:eastAsia="Calibri"/>
        </w:rPr>
        <w:t>expired</w:t>
      </w:r>
      <w:r w:rsidR="00841F93">
        <w:rPr>
          <w:rFonts w:eastAsia="Calibri"/>
        </w:rPr>
        <w:t>’</w:t>
      </w:r>
      <w:r w:rsidR="00AF0326">
        <w:rPr>
          <w:rFonts w:eastAsia="Calibri"/>
        </w:rPr>
        <w:t>, meaning that their outcome is unknown (NCVER 2012a</w:t>
      </w:r>
      <w:r>
        <w:rPr>
          <w:rFonts w:eastAsia="Calibri"/>
        </w:rPr>
        <w:t>, supporting data</w:t>
      </w:r>
      <w:r w:rsidR="00AF0326">
        <w:rPr>
          <w:rFonts w:eastAsia="Calibri"/>
        </w:rPr>
        <w:t xml:space="preserve">). </w:t>
      </w:r>
      <w:r w:rsidR="00322176">
        <w:t xml:space="preserve">There is also often a time </w:t>
      </w:r>
      <w:r w:rsidR="00B9299E">
        <w:t>lag</w:t>
      </w:r>
      <w:r w:rsidR="00AF0326">
        <w:t xml:space="preserve"> </w:t>
      </w:r>
      <w:r w:rsidR="00B9299E">
        <w:t xml:space="preserve">involved in this reporting, sometimes up to two years </w:t>
      </w:r>
      <w:r>
        <w:t xml:space="preserve">(Harvey 2010a). </w:t>
      </w:r>
    </w:p>
    <w:bookmarkEnd w:id="69"/>
    <w:bookmarkEnd w:id="70"/>
    <w:p w:rsidR="002074B9" w:rsidRDefault="001C348B" w:rsidP="00992296">
      <w:pPr>
        <w:pStyle w:val="Text"/>
        <w:rPr>
          <w:rFonts w:eastAsia="Calibri"/>
        </w:rPr>
      </w:pPr>
      <w:r>
        <w:rPr>
          <w:rFonts w:eastAsia="Calibri"/>
        </w:rPr>
        <w:t>A further complication is</w:t>
      </w:r>
      <w:r w:rsidR="00DC461E">
        <w:rPr>
          <w:rFonts w:eastAsia="Calibri"/>
        </w:rPr>
        <w:t xml:space="preserve"> that</w:t>
      </w:r>
      <w:r w:rsidR="00ED2834" w:rsidRPr="00ED2834">
        <w:rPr>
          <w:rFonts w:eastAsia="Calibri"/>
        </w:rPr>
        <w:t xml:space="preserve"> </w:t>
      </w:r>
      <w:r w:rsidR="00D45930">
        <w:rPr>
          <w:rFonts w:eastAsia="Calibri"/>
        </w:rPr>
        <w:t>m</w:t>
      </w:r>
      <w:r w:rsidR="00D45930" w:rsidRPr="00ED2834">
        <w:rPr>
          <w:rFonts w:eastAsia="Calibri"/>
        </w:rPr>
        <w:t xml:space="preserve">any </w:t>
      </w:r>
      <w:r w:rsidR="00322176">
        <w:rPr>
          <w:rFonts w:eastAsia="Calibri"/>
        </w:rPr>
        <w:t>s</w:t>
      </w:r>
      <w:r w:rsidR="00D45930" w:rsidRPr="00ED2834">
        <w:rPr>
          <w:rFonts w:eastAsia="Calibri"/>
        </w:rPr>
        <w:t>tates have some form of trade recognition</w:t>
      </w:r>
      <w:r w:rsidR="00322176">
        <w:rPr>
          <w:rFonts w:eastAsia="Calibri"/>
        </w:rPr>
        <w:t>, which</w:t>
      </w:r>
      <w:r w:rsidR="00D45930" w:rsidRPr="00ED2834">
        <w:rPr>
          <w:rFonts w:eastAsia="Calibri"/>
        </w:rPr>
        <w:t xml:space="preserve"> allows people to </w:t>
      </w:r>
      <w:r w:rsidR="00322176">
        <w:rPr>
          <w:rFonts w:eastAsia="Calibri"/>
        </w:rPr>
        <w:t>become trade-</w:t>
      </w:r>
      <w:r w:rsidR="00D45930">
        <w:rPr>
          <w:rFonts w:eastAsia="Calibri"/>
        </w:rPr>
        <w:t>qualified</w:t>
      </w:r>
      <w:r w:rsidR="00D45930" w:rsidRPr="00ED2834">
        <w:rPr>
          <w:rFonts w:eastAsia="Calibri"/>
        </w:rPr>
        <w:t xml:space="preserve"> outside an apprenticeship arrangement</w:t>
      </w:r>
      <w:r>
        <w:rPr>
          <w:rFonts w:eastAsia="Calibri"/>
        </w:rPr>
        <w:t xml:space="preserve"> (Walker </w:t>
      </w:r>
      <w:r w:rsidR="00322176">
        <w:rPr>
          <w:rFonts w:eastAsia="Calibri"/>
        </w:rPr>
        <w:t>&amp;</w:t>
      </w:r>
      <w:r>
        <w:rPr>
          <w:rFonts w:eastAsia="Calibri"/>
        </w:rPr>
        <w:t xml:space="preserve"> Powers 2009b)</w:t>
      </w:r>
      <w:r w:rsidR="00ED2834" w:rsidRPr="00ED2834">
        <w:rPr>
          <w:rFonts w:eastAsia="Calibri"/>
        </w:rPr>
        <w:t>. These pathways are not currently tracked</w:t>
      </w:r>
      <w:r w:rsidR="00D45930">
        <w:rPr>
          <w:rFonts w:eastAsia="Calibri"/>
        </w:rPr>
        <w:t xml:space="preserve"> </w:t>
      </w:r>
      <w:r>
        <w:rPr>
          <w:rFonts w:eastAsia="Calibri"/>
        </w:rPr>
        <w:t xml:space="preserve">and represent </w:t>
      </w:r>
      <w:r w:rsidR="00DC461E">
        <w:rPr>
          <w:rFonts w:eastAsia="Calibri"/>
        </w:rPr>
        <w:t>a gap in the official statistics.</w:t>
      </w:r>
    </w:p>
    <w:p w:rsidR="00A8078B" w:rsidRPr="00A8078B" w:rsidRDefault="00C33E6A" w:rsidP="00992296">
      <w:pPr>
        <w:pStyle w:val="Text"/>
      </w:pPr>
      <w:r>
        <w:br w:type="page"/>
      </w:r>
    </w:p>
    <w:p w:rsidR="001C6553" w:rsidRDefault="00017F79" w:rsidP="001C6553">
      <w:pPr>
        <w:pStyle w:val="Heading1"/>
      </w:pPr>
      <w:bookmarkStart w:id="71" w:name="_Toc377040298"/>
      <w:bookmarkStart w:id="72" w:name="_Toc456000800"/>
      <w:bookmarkStart w:id="73" w:name="_Toc457122465"/>
      <w:bookmarkStart w:id="74" w:name="_Toc188077643"/>
      <w:bookmarkEnd w:id="67"/>
      <w:r>
        <w:lastRenderedPageBreak/>
        <w:t>Why apprentices do not complete</w:t>
      </w:r>
      <w:bookmarkEnd w:id="71"/>
    </w:p>
    <w:p w:rsidR="007C28B3" w:rsidRDefault="0013762E" w:rsidP="00BA2EA7">
      <w:pPr>
        <w:pStyle w:val="Text"/>
      </w:pPr>
      <w:r>
        <w:t xml:space="preserve">A great deal of research has been undertaken into the reasons </w:t>
      </w:r>
      <w:r w:rsidR="0067147B">
        <w:t xml:space="preserve">for </w:t>
      </w:r>
      <w:r>
        <w:t xml:space="preserve">apprentices </w:t>
      </w:r>
      <w:r w:rsidR="0067147B">
        <w:t>not completing</w:t>
      </w:r>
      <w:r>
        <w:t xml:space="preserve"> their training. </w:t>
      </w:r>
      <w:r w:rsidR="007C28B3">
        <w:t xml:space="preserve">The </w:t>
      </w:r>
      <w:r w:rsidR="00254089">
        <w:t>five</w:t>
      </w:r>
      <w:r w:rsidR="007C28B3">
        <w:t xml:space="preserve"> main </w:t>
      </w:r>
      <w:r w:rsidR="00772CAE">
        <w:t>reasons</w:t>
      </w:r>
      <w:r w:rsidR="007C28B3">
        <w:t xml:space="preserve"> that recur throughout apprenticeship attrition research include</w:t>
      </w:r>
      <w:r w:rsidR="00254089">
        <w:t>:</w:t>
      </w:r>
      <w:r w:rsidR="00BA2EA7">
        <w:t xml:space="preserve"> </w:t>
      </w:r>
      <w:r w:rsidR="00254089">
        <w:t xml:space="preserve">employment-related problems, </w:t>
      </w:r>
      <w:r w:rsidR="00BA2EA7">
        <w:t>primarily trouble with the boss or colleagues</w:t>
      </w:r>
      <w:r w:rsidR="00254089">
        <w:t>;</w:t>
      </w:r>
      <w:r w:rsidR="00BA2EA7">
        <w:t xml:space="preserve"> </w:t>
      </w:r>
      <w:r w:rsidR="001C348B">
        <w:t xml:space="preserve">not liking the work/not being suited to the work; </w:t>
      </w:r>
      <w:r w:rsidR="00254089">
        <w:t>low</w:t>
      </w:r>
      <w:r w:rsidR="00BA2EA7">
        <w:t xml:space="preserve"> wages</w:t>
      </w:r>
      <w:r w:rsidR="00254089">
        <w:t>;</w:t>
      </w:r>
      <w:r w:rsidR="00BA2EA7">
        <w:t xml:space="preserve"> </w:t>
      </w:r>
      <w:r w:rsidR="001C348B">
        <w:t xml:space="preserve">a lack of support; </w:t>
      </w:r>
      <w:r w:rsidR="00982B56">
        <w:t>and personal reasons,</w:t>
      </w:r>
      <w:r w:rsidR="00982B56" w:rsidRPr="00982B56">
        <w:rPr>
          <w:rFonts w:eastAsia="Calibri"/>
        </w:rPr>
        <w:t xml:space="preserve"> </w:t>
      </w:r>
      <w:r w:rsidR="00982B56" w:rsidRPr="00B844D5">
        <w:rPr>
          <w:rFonts w:eastAsia="Calibri"/>
        </w:rPr>
        <w:t xml:space="preserve">including </w:t>
      </w:r>
      <w:r w:rsidR="00982B56" w:rsidRPr="00B844D5">
        <w:t>family reas</w:t>
      </w:r>
      <w:r w:rsidR="00982B56">
        <w:t>ons and problems with transport</w:t>
      </w:r>
      <w:r w:rsidR="00982B56" w:rsidRPr="00B844D5">
        <w:t>.</w:t>
      </w:r>
    </w:p>
    <w:p w:rsidR="00300549" w:rsidRDefault="00E64EF5" w:rsidP="00300549">
      <w:pPr>
        <w:pStyle w:val="Heading2"/>
      </w:pPr>
      <w:bookmarkStart w:id="75" w:name="_Toc377040299"/>
      <w:r>
        <w:t>Reasons for not completing</w:t>
      </w:r>
      <w:bookmarkEnd w:id="75"/>
    </w:p>
    <w:p w:rsidR="00B55AAC" w:rsidRDefault="00B55AAC" w:rsidP="00B55AAC">
      <w:pPr>
        <w:pStyle w:val="Text"/>
      </w:pPr>
      <w:bookmarkStart w:id="76" w:name="OLE_LINK45"/>
      <w:bookmarkStart w:id="77" w:name="OLE_LINK46"/>
      <w:r>
        <w:t xml:space="preserve">The Apprentice and Trainee Destination Survey </w:t>
      </w:r>
      <w:r w:rsidR="00300549">
        <w:t xml:space="preserve">(NCVER </w:t>
      </w:r>
      <w:r w:rsidR="0070656B">
        <w:t>2009</w:t>
      </w:r>
      <w:r w:rsidR="00BF3C37">
        <w:t xml:space="preserve">, </w:t>
      </w:r>
      <w:r w:rsidR="00300549">
        <w:t>2010</w:t>
      </w:r>
      <w:r w:rsidR="00322176">
        <w:t>a</w:t>
      </w:r>
      <w:r w:rsidR="00300549">
        <w:t xml:space="preserve">) surveyed apprentices and trainees </w:t>
      </w:r>
      <w:r w:rsidR="003C134E">
        <w:t xml:space="preserve">across Australia </w:t>
      </w:r>
      <w:r w:rsidR="00300549">
        <w:t>approximately nine months after they ha</w:t>
      </w:r>
      <w:r w:rsidR="003C134E">
        <w:t>d</w:t>
      </w:r>
      <w:r w:rsidR="00300549">
        <w:t xml:space="preserve"> left their training.</w:t>
      </w:r>
      <w:r w:rsidR="00B9222C">
        <w:t xml:space="preserve"> </w:t>
      </w:r>
      <w:r w:rsidR="003C134E">
        <w:t>Both</w:t>
      </w:r>
      <w:r w:rsidR="00982B56">
        <w:t xml:space="preserve"> completers (</w:t>
      </w:r>
      <w:r w:rsidR="00300549">
        <w:t xml:space="preserve">those who finished their training) </w:t>
      </w:r>
      <w:r w:rsidRPr="00211ADF">
        <w:t>and non-completers</w:t>
      </w:r>
      <w:r w:rsidR="00300549">
        <w:t xml:space="preserve"> (those who cancelled </w:t>
      </w:r>
      <w:r w:rsidR="00982B56">
        <w:t>their training contract</w:t>
      </w:r>
      <w:r w:rsidR="00300549">
        <w:t>) were surveyed</w:t>
      </w:r>
      <w:r w:rsidR="00211ADF">
        <w:t>, across trades and non-trades</w:t>
      </w:r>
      <w:r w:rsidRPr="00211ADF">
        <w:t>.</w:t>
      </w:r>
      <w:r w:rsidR="00181FEC">
        <w:t xml:space="preserve"> </w:t>
      </w:r>
      <w:r w:rsidR="003D0C6E">
        <w:t xml:space="preserve">Here </w:t>
      </w:r>
      <w:r w:rsidR="009B67F6">
        <w:t>the</w:t>
      </w:r>
      <w:r w:rsidR="003C134E">
        <w:t xml:space="preserve"> focus </w:t>
      </w:r>
      <w:r w:rsidR="009B67F6">
        <w:t xml:space="preserve">is </w:t>
      </w:r>
      <w:r w:rsidR="003C134E">
        <w:t xml:space="preserve">only on </w:t>
      </w:r>
      <w:r w:rsidR="009B67F6">
        <w:t xml:space="preserve">the responses of </w:t>
      </w:r>
      <w:r w:rsidR="003C134E">
        <w:t xml:space="preserve">those doing a trade. </w:t>
      </w:r>
      <w:r w:rsidR="00982B56">
        <w:t xml:space="preserve">The survey was conducted in 2008 and 2010. </w:t>
      </w:r>
      <w:r w:rsidR="003C134E">
        <w:t>In 2008, approximately 600 trade completers and 400 trade non-completers were surveyed, while in 2010, about 1100 trade completers and 1100 trade non-completers were surveyed</w:t>
      </w:r>
      <w:r w:rsidR="0070656B">
        <w:t xml:space="preserve"> (NCVER 2009</w:t>
      </w:r>
      <w:r w:rsidR="003D0C6E">
        <w:t>, 2010</w:t>
      </w:r>
      <w:r w:rsidR="00322176">
        <w:t>a</w:t>
      </w:r>
      <w:r w:rsidR="003D0C6E">
        <w:t>)</w:t>
      </w:r>
      <w:r w:rsidR="003C134E">
        <w:t xml:space="preserve">. </w:t>
      </w:r>
    </w:p>
    <w:p w:rsidR="00377B1F" w:rsidRDefault="00377B1F" w:rsidP="005F27BB">
      <w:pPr>
        <w:pStyle w:val="Text"/>
      </w:pPr>
      <w:r>
        <w:t xml:space="preserve">Table </w:t>
      </w:r>
      <w:r w:rsidR="00BD2B91">
        <w:t>4</w:t>
      </w:r>
      <w:r>
        <w:t xml:space="preserve"> presents the main reason</w:t>
      </w:r>
      <w:r w:rsidR="00423E8C">
        <w:t>s</w:t>
      </w:r>
      <w:r>
        <w:t xml:space="preserve"> for </w:t>
      </w:r>
      <w:r w:rsidR="00300549">
        <w:t xml:space="preserve">not </w:t>
      </w:r>
      <w:r>
        <w:t>completing an apprenticeship</w:t>
      </w:r>
      <w:r w:rsidR="008B45AB">
        <w:t xml:space="preserve">. </w:t>
      </w:r>
      <w:r w:rsidR="008C6D73">
        <w:t xml:space="preserve">The two </w:t>
      </w:r>
      <w:r w:rsidR="0067147B">
        <w:t xml:space="preserve">survey </w:t>
      </w:r>
      <w:r w:rsidR="008C6D73">
        <w:t xml:space="preserve">years represent a buoyant labour market (2008) and one affected by the </w:t>
      </w:r>
      <w:r w:rsidR="00322176">
        <w:t xml:space="preserve">Global Financial Crisis </w:t>
      </w:r>
      <w:r w:rsidR="008C6D73">
        <w:t>(2010).</w:t>
      </w:r>
    </w:p>
    <w:p w:rsidR="00300549" w:rsidRPr="00865B97" w:rsidRDefault="00300549" w:rsidP="006A4575">
      <w:pPr>
        <w:pStyle w:val="tabletitle"/>
      </w:pPr>
      <w:bookmarkStart w:id="78" w:name="_Toc376874269"/>
      <w:bookmarkEnd w:id="76"/>
      <w:bookmarkEnd w:id="77"/>
      <w:r w:rsidRPr="00865B97">
        <w:t xml:space="preserve">Table </w:t>
      </w:r>
      <w:r w:rsidR="00BD2B91" w:rsidRPr="00865B97">
        <w:t>4</w:t>
      </w:r>
      <w:r w:rsidRPr="00865B97">
        <w:tab/>
        <w:t xml:space="preserve">Main </w:t>
      </w:r>
      <w:r w:rsidRPr="006A4575">
        <w:t>reason</w:t>
      </w:r>
      <w:r w:rsidRPr="00865B97">
        <w:t xml:space="preserve"> for no</w:t>
      </w:r>
      <w:r w:rsidR="00BC4194">
        <w:t xml:space="preserve">t completing an apprenticeship, </w:t>
      </w:r>
      <w:r w:rsidRPr="00865B97">
        <w:t>2008 and 2010</w:t>
      </w:r>
      <w:r w:rsidR="00354AC3">
        <w:t>, trade occupations</w:t>
      </w:r>
      <w:bookmarkEnd w:id="78"/>
    </w:p>
    <w:tbl>
      <w:tblPr>
        <w:tblW w:w="8789" w:type="dxa"/>
        <w:tblInd w:w="108" w:type="dxa"/>
        <w:tblBorders>
          <w:top w:val="single" w:sz="4" w:space="0" w:color="auto"/>
          <w:bottom w:val="single" w:sz="4" w:space="0" w:color="auto"/>
        </w:tblBorders>
        <w:tblLayout w:type="fixed"/>
        <w:tblLook w:val="0000" w:firstRow="0" w:lastRow="0" w:firstColumn="0" w:lastColumn="0" w:noHBand="0" w:noVBand="0"/>
      </w:tblPr>
      <w:tblGrid>
        <w:gridCol w:w="4964"/>
        <w:gridCol w:w="1912"/>
        <w:gridCol w:w="1913"/>
      </w:tblGrid>
      <w:tr w:rsidR="006A4575" w:rsidTr="006A4575">
        <w:trPr>
          <w:cantSplit/>
          <w:trHeight w:val="258"/>
        </w:trPr>
        <w:tc>
          <w:tcPr>
            <w:tcW w:w="4964" w:type="dxa"/>
            <w:vMerge w:val="restart"/>
            <w:tcBorders>
              <w:top w:val="single" w:sz="4" w:space="0" w:color="auto"/>
              <w:right w:val="nil"/>
            </w:tcBorders>
          </w:tcPr>
          <w:p w:rsidR="006A4575" w:rsidRDefault="006A4575" w:rsidP="006A4575">
            <w:pPr>
              <w:pStyle w:val="Tablehead1"/>
            </w:pPr>
            <w:r>
              <w:t>Main reason</w:t>
            </w:r>
          </w:p>
        </w:tc>
        <w:tc>
          <w:tcPr>
            <w:tcW w:w="1912" w:type="dxa"/>
            <w:tcBorders>
              <w:top w:val="single" w:sz="4" w:space="0" w:color="auto"/>
              <w:left w:val="nil"/>
              <w:bottom w:val="nil"/>
              <w:right w:val="nil"/>
            </w:tcBorders>
          </w:tcPr>
          <w:p w:rsidR="006A4575" w:rsidRDefault="006A4575" w:rsidP="006A4575">
            <w:pPr>
              <w:pStyle w:val="Tablehead1"/>
              <w:jc w:val="center"/>
            </w:pPr>
            <w:r>
              <w:t>2008</w:t>
            </w:r>
          </w:p>
        </w:tc>
        <w:tc>
          <w:tcPr>
            <w:tcW w:w="1913" w:type="dxa"/>
            <w:tcBorders>
              <w:top w:val="single" w:sz="4" w:space="0" w:color="auto"/>
              <w:left w:val="nil"/>
              <w:right w:val="nil"/>
            </w:tcBorders>
          </w:tcPr>
          <w:p w:rsidR="006A4575" w:rsidRDefault="006A4575" w:rsidP="006A4575">
            <w:pPr>
              <w:pStyle w:val="Tablehead1"/>
              <w:jc w:val="center"/>
            </w:pPr>
            <w:r>
              <w:t>2010</w:t>
            </w:r>
          </w:p>
        </w:tc>
      </w:tr>
      <w:tr w:rsidR="006A4575" w:rsidTr="006A4575">
        <w:trPr>
          <w:cantSplit/>
          <w:trHeight w:val="256"/>
        </w:trPr>
        <w:tc>
          <w:tcPr>
            <w:tcW w:w="4964" w:type="dxa"/>
            <w:vMerge/>
            <w:tcBorders>
              <w:right w:val="nil"/>
            </w:tcBorders>
          </w:tcPr>
          <w:p w:rsidR="006A4575" w:rsidRDefault="006A4575" w:rsidP="00BC4194">
            <w:pPr>
              <w:pStyle w:val="Tablehead3"/>
            </w:pPr>
          </w:p>
        </w:tc>
        <w:tc>
          <w:tcPr>
            <w:tcW w:w="1912" w:type="dxa"/>
            <w:tcBorders>
              <w:top w:val="nil"/>
              <w:left w:val="nil"/>
              <w:bottom w:val="nil"/>
              <w:right w:val="nil"/>
            </w:tcBorders>
          </w:tcPr>
          <w:p w:rsidR="006A4575" w:rsidRPr="006A4575" w:rsidRDefault="006A4575" w:rsidP="006A4575">
            <w:pPr>
              <w:pStyle w:val="Tablehead2"/>
              <w:jc w:val="center"/>
            </w:pPr>
            <w:r w:rsidRPr="006A4575">
              <w:t>(n = 429)</w:t>
            </w:r>
          </w:p>
        </w:tc>
        <w:tc>
          <w:tcPr>
            <w:tcW w:w="1913" w:type="dxa"/>
            <w:tcBorders>
              <w:left w:val="nil"/>
              <w:right w:val="nil"/>
            </w:tcBorders>
          </w:tcPr>
          <w:p w:rsidR="006A4575" w:rsidRPr="006A4575" w:rsidRDefault="006A4575" w:rsidP="006A4575">
            <w:pPr>
              <w:pStyle w:val="Tablehead2"/>
              <w:jc w:val="center"/>
            </w:pPr>
            <w:r w:rsidRPr="006A4575">
              <w:t>(n = 1154)</w:t>
            </w:r>
          </w:p>
        </w:tc>
      </w:tr>
      <w:tr w:rsidR="006A4575" w:rsidTr="00A27245">
        <w:trPr>
          <w:cantSplit/>
          <w:trHeight w:val="256"/>
        </w:trPr>
        <w:tc>
          <w:tcPr>
            <w:tcW w:w="4964" w:type="dxa"/>
            <w:vMerge/>
            <w:tcBorders>
              <w:bottom w:val="single" w:sz="4" w:space="0" w:color="auto"/>
              <w:right w:val="nil"/>
            </w:tcBorders>
          </w:tcPr>
          <w:p w:rsidR="006A4575" w:rsidRDefault="006A4575" w:rsidP="00BC4194">
            <w:pPr>
              <w:pStyle w:val="Tablehead3"/>
            </w:pPr>
          </w:p>
        </w:tc>
        <w:tc>
          <w:tcPr>
            <w:tcW w:w="1912" w:type="dxa"/>
            <w:tcBorders>
              <w:top w:val="nil"/>
              <w:left w:val="nil"/>
              <w:bottom w:val="single" w:sz="4" w:space="0" w:color="auto"/>
              <w:right w:val="nil"/>
            </w:tcBorders>
          </w:tcPr>
          <w:p w:rsidR="006A4575" w:rsidRDefault="006A4575" w:rsidP="00A27245">
            <w:pPr>
              <w:pStyle w:val="Tablehead2"/>
              <w:jc w:val="center"/>
            </w:pPr>
            <w:r>
              <w:t>(%)</w:t>
            </w:r>
          </w:p>
        </w:tc>
        <w:tc>
          <w:tcPr>
            <w:tcW w:w="1913" w:type="dxa"/>
            <w:tcBorders>
              <w:left w:val="nil"/>
              <w:bottom w:val="single" w:sz="4" w:space="0" w:color="auto"/>
              <w:right w:val="nil"/>
            </w:tcBorders>
          </w:tcPr>
          <w:p w:rsidR="006A4575" w:rsidRDefault="006A4575" w:rsidP="00A27245">
            <w:pPr>
              <w:pStyle w:val="Tablehead2"/>
              <w:jc w:val="center"/>
            </w:pPr>
            <w:r>
              <w:t>(%)</w:t>
            </w:r>
          </w:p>
        </w:tc>
      </w:tr>
      <w:tr w:rsidR="00A652B3" w:rsidRPr="006A4575" w:rsidTr="006A4575">
        <w:trPr>
          <w:cantSplit/>
        </w:trPr>
        <w:tc>
          <w:tcPr>
            <w:tcW w:w="4964" w:type="dxa"/>
            <w:tcBorders>
              <w:top w:val="nil"/>
              <w:bottom w:val="nil"/>
              <w:right w:val="nil"/>
            </w:tcBorders>
          </w:tcPr>
          <w:p w:rsidR="00A652B3" w:rsidRPr="006A4575" w:rsidRDefault="00A652B3" w:rsidP="006A4575">
            <w:pPr>
              <w:pStyle w:val="Tabletext"/>
            </w:pPr>
            <w:r w:rsidRPr="006A4575">
              <w:t xml:space="preserve">Did not get on with boss or other people at work </w:t>
            </w:r>
          </w:p>
        </w:tc>
        <w:tc>
          <w:tcPr>
            <w:tcW w:w="1912" w:type="dxa"/>
            <w:tcBorders>
              <w:top w:val="nil"/>
              <w:left w:val="nil"/>
              <w:bottom w:val="nil"/>
              <w:right w:val="nil"/>
            </w:tcBorders>
          </w:tcPr>
          <w:p w:rsidR="00A652B3" w:rsidRPr="006A4575" w:rsidRDefault="00A652B3" w:rsidP="00185DDC">
            <w:pPr>
              <w:pStyle w:val="Tabletext"/>
              <w:tabs>
                <w:tab w:val="decimal" w:pos="851"/>
              </w:tabs>
            </w:pPr>
            <w:r w:rsidRPr="006A4575">
              <w:t>16.2</w:t>
            </w:r>
          </w:p>
        </w:tc>
        <w:tc>
          <w:tcPr>
            <w:tcW w:w="1913" w:type="dxa"/>
            <w:tcBorders>
              <w:top w:val="nil"/>
              <w:left w:val="nil"/>
              <w:bottom w:val="nil"/>
              <w:right w:val="nil"/>
            </w:tcBorders>
          </w:tcPr>
          <w:p w:rsidR="00A652B3" w:rsidRPr="006A4575" w:rsidRDefault="00A652B3" w:rsidP="00185DDC">
            <w:pPr>
              <w:pStyle w:val="Tabletext"/>
              <w:tabs>
                <w:tab w:val="decimal" w:pos="851"/>
              </w:tabs>
            </w:pPr>
            <w:r w:rsidRPr="006A4575">
              <w:t xml:space="preserve">10.2 </w:t>
            </w:r>
          </w:p>
        </w:tc>
      </w:tr>
      <w:tr w:rsidR="00A652B3" w:rsidRPr="006A4575" w:rsidTr="006A4575">
        <w:trPr>
          <w:cantSplit/>
        </w:trPr>
        <w:tc>
          <w:tcPr>
            <w:tcW w:w="4964" w:type="dxa"/>
            <w:tcBorders>
              <w:top w:val="nil"/>
              <w:bottom w:val="nil"/>
              <w:right w:val="nil"/>
            </w:tcBorders>
          </w:tcPr>
          <w:p w:rsidR="00A652B3" w:rsidRPr="006A4575" w:rsidRDefault="00A652B3" w:rsidP="006A4575">
            <w:pPr>
              <w:pStyle w:val="Tabletext"/>
            </w:pPr>
            <w:r w:rsidRPr="006A4575">
              <w:t xml:space="preserve">Did not like the type of work </w:t>
            </w:r>
          </w:p>
        </w:tc>
        <w:tc>
          <w:tcPr>
            <w:tcW w:w="1912" w:type="dxa"/>
            <w:tcBorders>
              <w:top w:val="nil"/>
              <w:left w:val="nil"/>
              <w:bottom w:val="nil"/>
              <w:right w:val="nil"/>
            </w:tcBorders>
          </w:tcPr>
          <w:p w:rsidR="00A652B3" w:rsidRPr="006A4575" w:rsidRDefault="00A652B3" w:rsidP="00185DDC">
            <w:pPr>
              <w:pStyle w:val="Tabletext"/>
              <w:tabs>
                <w:tab w:val="decimal" w:pos="851"/>
              </w:tabs>
            </w:pPr>
            <w:r w:rsidRPr="006A4575">
              <w:t xml:space="preserve">10.2 </w:t>
            </w:r>
          </w:p>
        </w:tc>
        <w:tc>
          <w:tcPr>
            <w:tcW w:w="1913" w:type="dxa"/>
            <w:tcBorders>
              <w:top w:val="nil"/>
              <w:left w:val="nil"/>
              <w:bottom w:val="nil"/>
              <w:right w:val="nil"/>
            </w:tcBorders>
          </w:tcPr>
          <w:p w:rsidR="00A652B3" w:rsidRPr="006A4575" w:rsidRDefault="00A652B3" w:rsidP="00185DDC">
            <w:pPr>
              <w:pStyle w:val="Tabletext"/>
              <w:tabs>
                <w:tab w:val="decimal" w:pos="851"/>
              </w:tabs>
            </w:pPr>
            <w:r w:rsidRPr="006A4575">
              <w:t xml:space="preserve">8.3 </w:t>
            </w:r>
          </w:p>
        </w:tc>
      </w:tr>
      <w:tr w:rsidR="00A652B3" w:rsidRPr="006A4575" w:rsidTr="006A4575">
        <w:trPr>
          <w:cantSplit/>
        </w:trPr>
        <w:tc>
          <w:tcPr>
            <w:tcW w:w="4964" w:type="dxa"/>
            <w:tcBorders>
              <w:top w:val="nil"/>
              <w:bottom w:val="nil"/>
              <w:right w:val="nil"/>
            </w:tcBorders>
          </w:tcPr>
          <w:p w:rsidR="00A652B3" w:rsidRPr="006A4575" w:rsidRDefault="00A652B3" w:rsidP="006A4575">
            <w:pPr>
              <w:pStyle w:val="Tabletext"/>
            </w:pPr>
            <w:r w:rsidRPr="006A4575">
              <w:t xml:space="preserve">Other reasons </w:t>
            </w:r>
          </w:p>
        </w:tc>
        <w:tc>
          <w:tcPr>
            <w:tcW w:w="1912" w:type="dxa"/>
            <w:tcBorders>
              <w:top w:val="nil"/>
              <w:left w:val="nil"/>
              <w:bottom w:val="nil"/>
              <w:right w:val="nil"/>
            </w:tcBorders>
          </w:tcPr>
          <w:p w:rsidR="00A652B3" w:rsidRPr="006A4575" w:rsidRDefault="00A652B3" w:rsidP="00185DDC">
            <w:pPr>
              <w:pStyle w:val="Tabletext"/>
              <w:tabs>
                <w:tab w:val="decimal" w:pos="851"/>
              </w:tabs>
            </w:pPr>
            <w:r w:rsidRPr="006A4575">
              <w:t xml:space="preserve">10.2 </w:t>
            </w:r>
          </w:p>
        </w:tc>
        <w:tc>
          <w:tcPr>
            <w:tcW w:w="1913" w:type="dxa"/>
            <w:tcBorders>
              <w:top w:val="nil"/>
              <w:left w:val="nil"/>
              <w:bottom w:val="nil"/>
              <w:right w:val="nil"/>
            </w:tcBorders>
          </w:tcPr>
          <w:p w:rsidR="00A652B3" w:rsidRPr="006A4575" w:rsidRDefault="00A652B3" w:rsidP="006A4575">
            <w:pPr>
              <w:pStyle w:val="Tabletext"/>
              <w:tabs>
                <w:tab w:val="decimal" w:pos="851"/>
              </w:tabs>
            </w:pPr>
            <w:r w:rsidRPr="006A4575">
              <w:t xml:space="preserve">1.5* </w:t>
            </w:r>
          </w:p>
        </w:tc>
      </w:tr>
      <w:tr w:rsidR="00A652B3" w:rsidRPr="006A4575" w:rsidTr="006A4575">
        <w:trPr>
          <w:cantSplit/>
        </w:trPr>
        <w:tc>
          <w:tcPr>
            <w:tcW w:w="4964" w:type="dxa"/>
            <w:tcBorders>
              <w:top w:val="nil"/>
              <w:bottom w:val="nil"/>
              <w:right w:val="nil"/>
            </w:tcBorders>
          </w:tcPr>
          <w:p w:rsidR="00A652B3" w:rsidRPr="006A4575" w:rsidRDefault="00A652B3" w:rsidP="006A4575">
            <w:pPr>
              <w:pStyle w:val="Tabletext"/>
            </w:pPr>
            <w:r w:rsidRPr="006A4575">
              <w:t>Personal reasons</w:t>
            </w:r>
            <w:r w:rsidR="00322176" w:rsidRPr="004418FC">
              <w:rPr>
                <w:vertAlign w:val="superscript"/>
              </w:rPr>
              <w:t>1</w:t>
            </w:r>
          </w:p>
        </w:tc>
        <w:tc>
          <w:tcPr>
            <w:tcW w:w="1912" w:type="dxa"/>
            <w:tcBorders>
              <w:top w:val="nil"/>
              <w:left w:val="nil"/>
              <w:bottom w:val="nil"/>
              <w:right w:val="nil"/>
            </w:tcBorders>
          </w:tcPr>
          <w:p w:rsidR="00A652B3" w:rsidRPr="006A4575" w:rsidRDefault="00A652B3" w:rsidP="00185DDC">
            <w:pPr>
              <w:pStyle w:val="Tabletext"/>
              <w:tabs>
                <w:tab w:val="decimal" w:pos="851"/>
              </w:tabs>
            </w:pPr>
            <w:r w:rsidRPr="006A4575">
              <w:t xml:space="preserve">10.0 </w:t>
            </w:r>
          </w:p>
        </w:tc>
        <w:tc>
          <w:tcPr>
            <w:tcW w:w="1913" w:type="dxa"/>
            <w:tcBorders>
              <w:top w:val="nil"/>
              <w:left w:val="nil"/>
              <w:bottom w:val="nil"/>
              <w:right w:val="nil"/>
            </w:tcBorders>
          </w:tcPr>
          <w:p w:rsidR="00A652B3" w:rsidRPr="006A4575" w:rsidRDefault="00A652B3" w:rsidP="00185DDC">
            <w:pPr>
              <w:pStyle w:val="Tabletext"/>
              <w:tabs>
                <w:tab w:val="decimal" w:pos="851"/>
              </w:tabs>
            </w:pPr>
            <w:r w:rsidRPr="006A4575">
              <w:t xml:space="preserve">15.7 </w:t>
            </w:r>
          </w:p>
        </w:tc>
      </w:tr>
      <w:tr w:rsidR="00A652B3" w:rsidRPr="006A4575" w:rsidTr="006A4575">
        <w:trPr>
          <w:cantSplit/>
        </w:trPr>
        <w:tc>
          <w:tcPr>
            <w:tcW w:w="4964" w:type="dxa"/>
            <w:tcBorders>
              <w:top w:val="nil"/>
              <w:bottom w:val="nil"/>
              <w:right w:val="nil"/>
            </w:tcBorders>
          </w:tcPr>
          <w:p w:rsidR="00A652B3" w:rsidRPr="006A4575" w:rsidRDefault="00A652B3" w:rsidP="006A4575">
            <w:pPr>
              <w:pStyle w:val="Tabletext"/>
            </w:pPr>
            <w:r w:rsidRPr="006A4575">
              <w:t xml:space="preserve">Left job or changed career </w:t>
            </w:r>
          </w:p>
        </w:tc>
        <w:tc>
          <w:tcPr>
            <w:tcW w:w="1912" w:type="dxa"/>
            <w:tcBorders>
              <w:top w:val="nil"/>
              <w:left w:val="nil"/>
              <w:bottom w:val="nil"/>
              <w:right w:val="nil"/>
            </w:tcBorders>
          </w:tcPr>
          <w:p w:rsidR="00A652B3" w:rsidRPr="006A4575" w:rsidRDefault="00A652B3" w:rsidP="00185DDC">
            <w:pPr>
              <w:pStyle w:val="Tabletext"/>
              <w:tabs>
                <w:tab w:val="decimal" w:pos="851"/>
              </w:tabs>
            </w:pPr>
            <w:r w:rsidRPr="006A4575">
              <w:t>9.4</w:t>
            </w:r>
          </w:p>
        </w:tc>
        <w:tc>
          <w:tcPr>
            <w:tcW w:w="1913" w:type="dxa"/>
            <w:tcBorders>
              <w:top w:val="nil"/>
              <w:left w:val="nil"/>
              <w:bottom w:val="nil"/>
              <w:right w:val="nil"/>
            </w:tcBorders>
          </w:tcPr>
          <w:p w:rsidR="00A652B3" w:rsidRPr="006A4575" w:rsidRDefault="00A652B3" w:rsidP="00185DDC">
            <w:pPr>
              <w:pStyle w:val="Tabletext"/>
              <w:tabs>
                <w:tab w:val="decimal" w:pos="851"/>
              </w:tabs>
            </w:pPr>
            <w:r w:rsidRPr="006A4575">
              <w:t xml:space="preserve">12.5 </w:t>
            </w:r>
          </w:p>
        </w:tc>
      </w:tr>
      <w:tr w:rsidR="00A652B3" w:rsidRPr="006A4575" w:rsidTr="006A4575">
        <w:trPr>
          <w:cantSplit/>
        </w:trPr>
        <w:tc>
          <w:tcPr>
            <w:tcW w:w="4964" w:type="dxa"/>
            <w:tcBorders>
              <w:top w:val="nil"/>
              <w:bottom w:val="nil"/>
              <w:right w:val="nil"/>
            </w:tcBorders>
          </w:tcPr>
          <w:p w:rsidR="00A652B3" w:rsidRPr="006A4575" w:rsidRDefault="00A652B3" w:rsidP="006A4575">
            <w:pPr>
              <w:pStyle w:val="Tabletext"/>
            </w:pPr>
            <w:r w:rsidRPr="006A4575">
              <w:t xml:space="preserve">Lost job or made redundant </w:t>
            </w:r>
          </w:p>
        </w:tc>
        <w:tc>
          <w:tcPr>
            <w:tcW w:w="1912" w:type="dxa"/>
            <w:tcBorders>
              <w:top w:val="nil"/>
              <w:left w:val="nil"/>
              <w:bottom w:val="nil"/>
              <w:right w:val="nil"/>
            </w:tcBorders>
          </w:tcPr>
          <w:p w:rsidR="00A652B3" w:rsidRPr="006A4575" w:rsidRDefault="00A652B3" w:rsidP="00185DDC">
            <w:pPr>
              <w:pStyle w:val="Tabletext"/>
              <w:tabs>
                <w:tab w:val="decimal" w:pos="851"/>
              </w:tabs>
            </w:pPr>
            <w:r w:rsidRPr="006A4575">
              <w:t xml:space="preserve">8.9 </w:t>
            </w:r>
          </w:p>
        </w:tc>
        <w:tc>
          <w:tcPr>
            <w:tcW w:w="1913" w:type="dxa"/>
            <w:tcBorders>
              <w:top w:val="nil"/>
              <w:left w:val="nil"/>
              <w:bottom w:val="nil"/>
              <w:right w:val="nil"/>
            </w:tcBorders>
          </w:tcPr>
          <w:p w:rsidR="00A652B3" w:rsidRPr="006A4575" w:rsidRDefault="00A652B3" w:rsidP="00185DDC">
            <w:pPr>
              <w:pStyle w:val="Tabletext"/>
              <w:tabs>
                <w:tab w:val="decimal" w:pos="851"/>
              </w:tabs>
            </w:pPr>
            <w:r w:rsidRPr="006A4575">
              <w:t xml:space="preserve">26.8 </w:t>
            </w:r>
          </w:p>
        </w:tc>
      </w:tr>
      <w:tr w:rsidR="00A652B3" w:rsidRPr="006A4575" w:rsidTr="006A4575">
        <w:trPr>
          <w:cantSplit/>
        </w:trPr>
        <w:tc>
          <w:tcPr>
            <w:tcW w:w="4964" w:type="dxa"/>
            <w:tcBorders>
              <w:top w:val="nil"/>
              <w:bottom w:val="nil"/>
              <w:right w:val="nil"/>
            </w:tcBorders>
          </w:tcPr>
          <w:p w:rsidR="00A652B3" w:rsidRPr="006A4575" w:rsidRDefault="00A652B3" w:rsidP="006A4575">
            <w:pPr>
              <w:pStyle w:val="Tabletext"/>
            </w:pPr>
            <w:r w:rsidRPr="006A4575">
              <w:t xml:space="preserve">The pay was too low </w:t>
            </w:r>
          </w:p>
        </w:tc>
        <w:tc>
          <w:tcPr>
            <w:tcW w:w="1912" w:type="dxa"/>
            <w:tcBorders>
              <w:top w:val="nil"/>
              <w:left w:val="nil"/>
              <w:bottom w:val="nil"/>
              <w:right w:val="nil"/>
            </w:tcBorders>
          </w:tcPr>
          <w:p w:rsidR="00A652B3" w:rsidRPr="006A4575" w:rsidRDefault="00A652B3" w:rsidP="00185DDC">
            <w:pPr>
              <w:pStyle w:val="Tabletext"/>
              <w:tabs>
                <w:tab w:val="decimal" w:pos="851"/>
              </w:tabs>
            </w:pPr>
            <w:r w:rsidRPr="006A4575">
              <w:t xml:space="preserve">8.7 </w:t>
            </w:r>
          </w:p>
        </w:tc>
        <w:tc>
          <w:tcPr>
            <w:tcW w:w="1913" w:type="dxa"/>
            <w:tcBorders>
              <w:top w:val="nil"/>
              <w:left w:val="nil"/>
              <w:bottom w:val="nil"/>
              <w:right w:val="nil"/>
            </w:tcBorders>
          </w:tcPr>
          <w:p w:rsidR="00A652B3" w:rsidRPr="006A4575" w:rsidRDefault="00A652B3" w:rsidP="00185DDC">
            <w:pPr>
              <w:pStyle w:val="Tabletext"/>
              <w:tabs>
                <w:tab w:val="decimal" w:pos="851"/>
              </w:tabs>
            </w:pPr>
            <w:r w:rsidRPr="006A4575">
              <w:t xml:space="preserve">4.7 </w:t>
            </w:r>
          </w:p>
        </w:tc>
      </w:tr>
      <w:tr w:rsidR="004418B4" w:rsidRPr="006A4575" w:rsidTr="006A4575">
        <w:trPr>
          <w:cantSplit/>
        </w:trPr>
        <w:tc>
          <w:tcPr>
            <w:tcW w:w="4964" w:type="dxa"/>
            <w:tcBorders>
              <w:top w:val="nil"/>
              <w:bottom w:val="nil"/>
              <w:right w:val="nil"/>
            </w:tcBorders>
          </w:tcPr>
          <w:p w:rsidR="004418B4" w:rsidRPr="006A4575" w:rsidRDefault="004418B4" w:rsidP="006A4575">
            <w:pPr>
              <w:pStyle w:val="Tabletext"/>
            </w:pPr>
            <w:r w:rsidRPr="006A4575">
              <w:t xml:space="preserve">Was not happy with the on-the-job training </w:t>
            </w:r>
          </w:p>
        </w:tc>
        <w:tc>
          <w:tcPr>
            <w:tcW w:w="1912" w:type="dxa"/>
            <w:tcBorders>
              <w:top w:val="nil"/>
              <w:left w:val="nil"/>
              <w:bottom w:val="nil"/>
              <w:right w:val="nil"/>
            </w:tcBorders>
          </w:tcPr>
          <w:p w:rsidR="004418B4" w:rsidRPr="006A4575" w:rsidRDefault="004418B4" w:rsidP="00185DDC">
            <w:pPr>
              <w:pStyle w:val="Tabletext"/>
              <w:tabs>
                <w:tab w:val="decimal" w:pos="851"/>
              </w:tabs>
            </w:pPr>
            <w:r w:rsidRPr="006A4575">
              <w:t>5.4</w:t>
            </w:r>
            <w:r w:rsidR="00185DDC">
              <w:t>*</w:t>
            </w:r>
            <w:r w:rsidRPr="006A4575">
              <w:t xml:space="preserve"> </w:t>
            </w:r>
          </w:p>
        </w:tc>
        <w:tc>
          <w:tcPr>
            <w:tcW w:w="1913" w:type="dxa"/>
            <w:tcBorders>
              <w:top w:val="nil"/>
              <w:left w:val="nil"/>
              <w:bottom w:val="nil"/>
              <w:right w:val="nil"/>
            </w:tcBorders>
          </w:tcPr>
          <w:p w:rsidR="004418B4" w:rsidRPr="006A4575" w:rsidRDefault="004418B4" w:rsidP="00185DDC">
            <w:pPr>
              <w:pStyle w:val="Tabletext"/>
              <w:tabs>
                <w:tab w:val="decimal" w:pos="851"/>
              </w:tabs>
            </w:pPr>
            <w:r w:rsidRPr="006A4575">
              <w:t xml:space="preserve">1.9 </w:t>
            </w:r>
          </w:p>
        </w:tc>
      </w:tr>
      <w:tr w:rsidR="004418B4" w:rsidRPr="006A4575" w:rsidTr="006A4575">
        <w:trPr>
          <w:cantSplit/>
        </w:trPr>
        <w:tc>
          <w:tcPr>
            <w:tcW w:w="4964" w:type="dxa"/>
            <w:tcBorders>
              <w:top w:val="nil"/>
              <w:bottom w:val="nil"/>
              <w:right w:val="nil"/>
            </w:tcBorders>
          </w:tcPr>
          <w:p w:rsidR="004418B4" w:rsidRPr="006A4575" w:rsidRDefault="004418B4" w:rsidP="006A4575">
            <w:pPr>
              <w:pStyle w:val="Tabletext"/>
            </w:pPr>
            <w:r w:rsidRPr="006A4575">
              <w:t xml:space="preserve">Not happy with the job prospects in the industry </w:t>
            </w:r>
          </w:p>
        </w:tc>
        <w:tc>
          <w:tcPr>
            <w:tcW w:w="1912" w:type="dxa"/>
            <w:tcBorders>
              <w:top w:val="nil"/>
              <w:left w:val="nil"/>
              <w:bottom w:val="nil"/>
              <w:right w:val="nil"/>
            </w:tcBorders>
          </w:tcPr>
          <w:p w:rsidR="004418B4" w:rsidRPr="006A4575" w:rsidRDefault="004418B4" w:rsidP="006A4575">
            <w:pPr>
              <w:pStyle w:val="Tabletext"/>
              <w:tabs>
                <w:tab w:val="decimal" w:pos="851"/>
              </w:tabs>
            </w:pPr>
            <w:r w:rsidRPr="006A4575">
              <w:t xml:space="preserve">3.6* </w:t>
            </w:r>
          </w:p>
        </w:tc>
        <w:tc>
          <w:tcPr>
            <w:tcW w:w="1913" w:type="dxa"/>
            <w:tcBorders>
              <w:top w:val="nil"/>
              <w:left w:val="nil"/>
              <w:bottom w:val="nil"/>
              <w:right w:val="nil"/>
            </w:tcBorders>
          </w:tcPr>
          <w:p w:rsidR="004418B4" w:rsidRPr="006A4575" w:rsidRDefault="004418B4" w:rsidP="00185DDC">
            <w:pPr>
              <w:pStyle w:val="Tabletext"/>
              <w:tabs>
                <w:tab w:val="decimal" w:pos="851"/>
              </w:tabs>
            </w:pPr>
            <w:r w:rsidRPr="006A4575">
              <w:t xml:space="preserve">4.2 </w:t>
            </w:r>
          </w:p>
        </w:tc>
      </w:tr>
      <w:tr w:rsidR="004418B4" w:rsidRPr="006A4575" w:rsidTr="006A4575">
        <w:trPr>
          <w:cantSplit/>
        </w:trPr>
        <w:tc>
          <w:tcPr>
            <w:tcW w:w="4964" w:type="dxa"/>
            <w:tcBorders>
              <w:top w:val="nil"/>
              <w:bottom w:val="nil"/>
              <w:right w:val="nil"/>
            </w:tcBorders>
          </w:tcPr>
          <w:p w:rsidR="004418B4" w:rsidRPr="006A4575" w:rsidRDefault="004418B4" w:rsidP="006A4575">
            <w:pPr>
              <w:pStyle w:val="Tabletext"/>
            </w:pPr>
            <w:r w:rsidRPr="006A4575">
              <w:t xml:space="preserve">Got offered a better job </w:t>
            </w:r>
          </w:p>
        </w:tc>
        <w:tc>
          <w:tcPr>
            <w:tcW w:w="1912" w:type="dxa"/>
            <w:tcBorders>
              <w:top w:val="nil"/>
              <w:left w:val="nil"/>
              <w:bottom w:val="nil"/>
              <w:right w:val="nil"/>
            </w:tcBorders>
          </w:tcPr>
          <w:p w:rsidR="004418B4" w:rsidRPr="006A4575" w:rsidRDefault="004418B4" w:rsidP="006A4575">
            <w:pPr>
              <w:pStyle w:val="Tabletext"/>
              <w:tabs>
                <w:tab w:val="decimal" w:pos="851"/>
              </w:tabs>
            </w:pPr>
            <w:r w:rsidRPr="006A4575">
              <w:t xml:space="preserve">3.3* </w:t>
            </w:r>
          </w:p>
        </w:tc>
        <w:tc>
          <w:tcPr>
            <w:tcW w:w="1913" w:type="dxa"/>
            <w:tcBorders>
              <w:top w:val="nil"/>
              <w:left w:val="nil"/>
              <w:bottom w:val="nil"/>
              <w:right w:val="nil"/>
            </w:tcBorders>
          </w:tcPr>
          <w:p w:rsidR="004418B4" w:rsidRPr="006A4575" w:rsidRDefault="004418B4" w:rsidP="00185DDC">
            <w:pPr>
              <w:pStyle w:val="Tabletext"/>
              <w:tabs>
                <w:tab w:val="decimal" w:pos="851"/>
              </w:tabs>
            </w:pPr>
            <w:r w:rsidRPr="006A4575">
              <w:t xml:space="preserve">2.2 </w:t>
            </w:r>
          </w:p>
        </w:tc>
      </w:tr>
      <w:tr w:rsidR="004418B4" w:rsidRPr="006A4575" w:rsidTr="006A4575">
        <w:trPr>
          <w:cantSplit/>
        </w:trPr>
        <w:tc>
          <w:tcPr>
            <w:tcW w:w="4964" w:type="dxa"/>
            <w:tcBorders>
              <w:top w:val="nil"/>
              <w:bottom w:val="nil"/>
              <w:right w:val="nil"/>
            </w:tcBorders>
          </w:tcPr>
          <w:p w:rsidR="004418B4" w:rsidRPr="006A4575" w:rsidRDefault="004418B4" w:rsidP="006A4575">
            <w:pPr>
              <w:pStyle w:val="Tabletext"/>
            </w:pPr>
            <w:r w:rsidRPr="006A4575">
              <w:t xml:space="preserve">Apprenticeship/traineeship cancelled or discontinued </w:t>
            </w:r>
          </w:p>
        </w:tc>
        <w:tc>
          <w:tcPr>
            <w:tcW w:w="1912" w:type="dxa"/>
            <w:tcBorders>
              <w:top w:val="nil"/>
              <w:left w:val="nil"/>
              <w:bottom w:val="nil"/>
              <w:right w:val="nil"/>
            </w:tcBorders>
          </w:tcPr>
          <w:p w:rsidR="004418B4" w:rsidRPr="006A4575" w:rsidRDefault="004418B4" w:rsidP="006A4575">
            <w:pPr>
              <w:pStyle w:val="Tabletext"/>
              <w:tabs>
                <w:tab w:val="decimal" w:pos="851"/>
              </w:tabs>
            </w:pPr>
            <w:r w:rsidRPr="006A4575">
              <w:t xml:space="preserve">3.2* </w:t>
            </w:r>
          </w:p>
        </w:tc>
        <w:tc>
          <w:tcPr>
            <w:tcW w:w="1913" w:type="dxa"/>
            <w:tcBorders>
              <w:top w:val="nil"/>
              <w:left w:val="nil"/>
              <w:bottom w:val="nil"/>
              <w:right w:val="nil"/>
            </w:tcBorders>
          </w:tcPr>
          <w:p w:rsidR="004418B4" w:rsidRPr="006A4575" w:rsidRDefault="004418B4" w:rsidP="00185DDC">
            <w:pPr>
              <w:pStyle w:val="Tabletext"/>
              <w:tabs>
                <w:tab w:val="decimal" w:pos="851"/>
              </w:tabs>
            </w:pPr>
            <w:r w:rsidRPr="006A4575">
              <w:t xml:space="preserve">3.8 </w:t>
            </w:r>
          </w:p>
        </w:tc>
      </w:tr>
      <w:tr w:rsidR="004418B4" w:rsidRPr="006A4575" w:rsidTr="006A4575">
        <w:trPr>
          <w:cantSplit/>
        </w:trPr>
        <w:tc>
          <w:tcPr>
            <w:tcW w:w="4964" w:type="dxa"/>
            <w:tcBorders>
              <w:top w:val="nil"/>
              <w:bottom w:val="nil"/>
              <w:right w:val="nil"/>
            </w:tcBorders>
          </w:tcPr>
          <w:p w:rsidR="004418B4" w:rsidRPr="006A4575" w:rsidRDefault="004418B4" w:rsidP="006A4575">
            <w:pPr>
              <w:pStyle w:val="Tabletext"/>
            </w:pPr>
            <w:r w:rsidRPr="006A4575">
              <w:t xml:space="preserve">Poor working conditions </w:t>
            </w:r>
          </w:p>
        </w:tc>
        <w:tc>
          <w:tcPr>
            <w:tcW w:w="1912" w:type="dxa"/>
            <w:tcBorders>
              <w:top w:val="nil"/>
              <w:left w:val="nil"/>
              <w:bottom w:val="nil"/>
              <w:right w:val="nil"/>
            </w:tcBorders>
          </w:tcPr>
          <w:p w:rsidR="004418B4" w:rsidRPr="006A4575" w:rsidRDefault="004418B4" w:rsidP="006A4575">
            <w:pPr>
              <w:pStyle w:val="Tabletext"/>
              <w:tabs>
                <w:tab w:val="decimal" w:pos="851"/>
              </w:tabs>
            </w:pPr>
            <w:r w:rsidRPr="006A4575">
              <w:t xml:space="preserve">3.1* </w:t>
            </w:r>
          </w:p>
        </w:tc>
        <w:tc>
          <w:tcPr>
            <w:tcW w:w="1913" w:type="dxa"/>
            <w:tcBorders>
              <w:top w:val="nil"/>
              <w:left w:val="nil"/>
              <w:bottom w:val="nil"/>
              <w:right w:val="nil"/>
            </w:tcBorders>
          </w:tcPr>
          <w:p w:rsidR="004418B4" w:rsidRPr="006A4575" w:rsidRDefault="004418B4" w:rsidP="00185DDC">
            <w:pPr>
              <w:pStyle w:val="Tabletext"/>
              <w:tabs>
                <w:tab w:val="decimal" w:pos="851"/>
              </w:tabs>
            </w:pPr>
            <w:r w:rsidRPr="006A4575">
              <w:t xml:space="preserve">3.1 </w:t>
            </w:r>
          </w:p>
        </w:tc>
      </w:tr>
      <w:tr w:rsidR="004418B4" w:rsidRPr="006A4575" w:rsidTr="006A4575">
        <w:trPr>
          <w:cantSplit/>
        </w:trPr>
        <w:tc>
          <w:tcPr>
            <w:tcW w:w="4964" w:type="dxa"/>
            <w:tcBorders>
              <w:top w:val="nil"/>
              <w:bottom w:val="nil"/>
              <w:right w:val="nil"/>
            </w:tcBorders>
          </w:tcPr>
          <w:p w:rsidR="004418B4" w:rsidRPr="006A4575" w:rsidRDefault="004418B4" w:rsidP="006A4575">
            <w:pPr>
              <w:pStyle w:val="Tabletext"/>
            </w:pPr>
            <w:r w:rsidRPr="006A4575">
              <w:t xml:space="preserve">Changed to another apprenticeship/ traineeship </w:t>
            </w:r>
          </w:p>
        </w:tc>
        <w:tc>
          <w:tcPr>
            <w:tcW w:w="1912" w:type="dxa"/>
            <w:tcBorders>
              <w:top w:val="nil"/>
              <w:left w:val="nil"/>
              <w:bottom w:val="nil"/>
              <w:right w:val="nil"/>
            </w:tcBorders>
          </w:tcPr>
          <w:p w:rsidR="004418B4" w:rsidRPr="006A4575" w:rsidRDefault="004418B4" w:rsidP="006A4575">
            <w:pPr>
              <w:pStyle w:val="Tabletext"/>
              <w:tabs>
                <w:tab w:val="decimal" w:pos="851"/>
              </w:tabs>
            </w:pPr>
            <w:r w:rsidRPr="006A4575">
              <w:t xml:space="preserve">3.1* </w:t>
            </w:r>
          </w:p>
        </w:tc>
        <w:tc>
          <w:tcPr>
            <w:tcW w:w="1913" w:type="dxa"/>
            <w:tcBorders>
              <w:top w:val="nil"/>
              <w:left w:val="nil"/>
              <w:bottom w:val="nil"/>
              <w:right w:val="nil"/>
            </w:tcBorders>
          </w:tcPr>
          <w:p w:rsidR="004418B4" w:rsidRPr="006A4575" w:rsidRDefault="004418B4" w:rsidP="006A4575">
            <w:pPr>
              <w:pStyle w:val="Tabletext"/>
              <w:tabs>
                <w:tab w:val="decimal" w:pos="851"/>
              </w:tabs>
            </w:pPr>
            <w:r w:rsidRPr="006A4575">
              <w:t xml:space="preserve">1.1* </w:t>
            </w:r>
          </w:p>
        </w:tc>
      </w:tr>
      <w:tr w:rsidR="004418B4" w:rsidRPr="006A4575" w:rsidTr="006A4575">
        <w:trPr>
          <w:cantSplit/>
        </w:trPr>
        <w:tc>
          <w:tcPr>
            <w:tcW w:w="4964" w:type="dxa"/>
            <w:tcBorders>
              <w:top w:val="nil"/>
              <w:bottom w:val="nil"/>
              <w:right w:val="nil"/>
            </w:tcBorders>
          </w:tcPr>
          <w:p w:rsidR="004418B4" w:rsidRPr="006A4575" w:rsidRDefault="004418B4" w:rsidP="006A4575">
            <w:pPr>
              <w:pStyle w:val="Tabletext"/>
            </w:pPr>
            <w:r w:rsidRPr="006A4575">
              <w:t xml:space="preserve">Left to study elsewhere </w:t>
            </w:r>
          </w:p>
        </w:tc>
        <w:tc>
          <w:tcPr>
            <w:tcW w:w="1912" w:type="dxa"/>
            <w:tcBorders>
              <w:top w:val="nil"/>
              <w:left w:val="nil"/>
              <w:bottom w:val="nil"/>
              <w:right w:val="nil"/>
            </w:tcBorders>
          </w:tcPr>
          <w:p w:rsidR="004418B4" w:rsidRPr="006A4575" w:rsidRDefault="004418B4" w:rsidP="006A4575">
            <w:pPr>
              <w:pStyle w:val="Tabletext"/>
              <w:tabs>
                <w:tab w:val="decimal" w:pos="851"/>
              </w:tabs>
            </w:pPr>
            <w:r w:rsidRPr="006A4575">
              <w:t xml:space="preserve">1.9* </w:t>
            </w:r>
          </w:p>
        </w:tc>
        <w:tc>
          <w:tcPr>
            <w:tcW w:w="1913" w:type="dxa"/>
            <w:tcBorders>
              <w:top w:val="nil"/>
              <w:left w:val="nil"/>
              <w:bottom w:val="nil"/>
              <w:right w:val="nil"/>
            </w:tcBorders>
          </w:tcPr>
          <w:p w:rsidR="004418B4" w:rsidRPr="006A4575" w:rsidRDefault="004418B4" w:rsidP="006A4575">
            <w:pPr>
              <w:pStyle w:val="Tabletext"/>
              <w:tabs>
                <w:tab w:val="decimal" w:pos="851"/>
              </w:tabs>
            </w:pPr>
            <w:r w:rsidRPr="006A4575">
              <w:t xml:space="preserve">0.8* </w:t>
            </w:r>
          </w:p>
        </w:tc>
      </w:tr>
      <w:tr w:rsidR="004418B4" w:rsidRPr="006A4575" w:rsidTr="006A4575">
        <w:trPr>
          <w:cantSplit/>
        </w:trPr>
        <w:tc>
          <w:tcPr>
            <w:tcW w:w="4964" w:type="dxa"/>
            <w:tcBorders>
              <w:top w:val="nil"/>
              <w:bottom w:val="nil"/>
              <w:right w:val="nil"/>
            </w:tcBorders>
          </w:tcPr>
          <w:p w:rsidR="004418B4" w:rsidRPr="006A4575" w:rsidRDefault="004418B4" w:rsidP="006A4575">
            <w:pPr>
              <w:pStyle w:val="Tabletext"/>
            </w:pPr>
            <w:r w:rsidRPr="006A4575">
              <w:t xml:space="preserve">Found the study too difficult </w:t>
            </w:r>
          </w:p>
        </w:tc>
        <w:tc>
          <w:tcPr>
            <w:tcW w:w="1912" w:type="dxa"/>
            <w:tcBorders>
              <w:top w:val="nil"/>
              <w:left w:val="nil"/>
              <w:bottom w:val="nil"/>
              <w:right w:val="nil"/>
            </w:tcBorders>
          </w:tcPr>
          <w:p w:rsidR="004418B4" w:rsidRPr="006A4575" w:rsidRDefault="004418B4" w:rsidP="006A4575">
            <w:pPr>
              <w:pStyle w:val="Tabletext"/>
              <w:tabs>
                <w:tab w:val="decimal" w:pos="851"/>
              </w:tabs>
            </w:pPr>
            <w:r w:rsidRPr="006A4575">
              <w:t xml:space="preserve">1.4* </w:t>
            </w:r>
          </w:p>
        </w:tc>
        <w:tc>
          <w:tcPr>
            <w:tcW w:w="1913" w:type="dxa"/>
            <w:tcBorders>
              <w:top w:val="nil"/>
              <w:left w:val="nil"/>
              <w:bottom w:val="nil"/>
              <w:right w:val="nil"/>
            </w:tcBorders>
          </w:tcPr>
          <w:p w:rsidR="004418B4" w:rsidRPr="006A4575" w:rsidRDefault="004418B4" w:rsidP="00185DDC">
            <w:pPr>
              <w:pStyle w:val="Tabletext"/>
              <w:tabs>
                <w:tab w:val="decimal" w:pos="851"/>
              </w:tabs>
            </w:pPr>
            <w:r w:rsidRPr="006A4575">
              <w:t xml:space="preserve">1.6 </w:t>
            </w:r>
          </w:p>
        </w:tc>
      </w:tr>
      <w:tr w:rsidR="004418B4" w:rsidRPr="006A4575" w:rsidTr="006A4575">
        <w:trPr>
          <w:cantSplit/>
        </w:trPr>
        <w:tc>
          <w:tcPr>
            <w:tcW w:w="4964" w:type="dxa"/>
            <w:tcBorders>
              <w:top w:val="nil"/>
              <w:bottom w:val="nil"/>
              <w:right w:val="nil"/>
            </w:tcBorders>
          </w:tcPr>
          <w:p w:rsidR="004418B4" w:rsidRPr="006A4575" w:rsidRDefault="004418B4" w:rsidP="006A4575">
            <w:pPr>
              <w:pStyle w:val="Tabletext"/>
            </w:pPr>
            <w:r w:rsidRPr="006A4575">
              <w:t xml:space="preserve">Was not happy with the off-the-job training </w:t>
            </w:r>
          </w:p>
        </w:tc>
        <w:tc>
          <w:tcPr>
            <w:tcW w:w="1912" w:type="dxa"/>
            <w:tcBorders>
              <w:top w:val="nil"/>
              <w:left w:val="nil"/>
              <w:bottom w:val="nil"/>
              <w:right w:val="nil"/>
            </w:tcBorders>
          </w:tcPr>
          <w:p w:rsidR="004418B4" w:rsidRPr="006A4575" w:rsidRDefault="004418B4" w:rsidP="006A4575">
            <w:pPr>
              <w:pStyle w:val="Tabletext"/>
              <w:tabs>
                <w:tab w:val="decimal" w:pos="851"/>
              </w:tabs>
            </w:pPr>
            <w:r w:rsidRPr="006A4575">
              <w:t xml:space="preserve">1.4* </w:t>
            </w:r>
          </w:p>
        </w:tc>
        <w:tc>
          <w:tcPr>
            <w:tcW w:w="1913" w:type="dxa"/>
            <w:tcBorders>
              <w:top w:val="nil"/>
              <w:left w:val="nil"/>
              <w:bottom w:val="nil"/>
              <w:right w:val="nil"/>
            </w:tcBorders>
          </w:tcPr>
          <w:p w:rsidR="004418B4" w:rsidRPr="006A4575" w:rsidRDefault="004418B4" w:rsidP="006A4575">
            <w:pPr>
              <w:pStyle w:val="Tabletext"/>
              <w:tabs>
                <w:tab w:val="decimal" w:pos="851"/>
              </w:tabs>
            </w:pPr>
            <w:r w:rsidRPr="006A4575">
              <w:t xml:space="preserve">1.6* </w:t>
            </w:r>
          </w:p>
        </w:tc>
      </w:tr>
      <w:tr w:rsidR="004418B4" w:rsidRPr="006A4575" w:rsidTr="006A4575">
        <w:trPr>
          <w:cantSplit/>
        </w:trPr>
        <w:tc>
          <w:tcPr>
            <w:tcW w:w="4964" w:type="dxa"/>
            <w:tcBorders>
              <w:top w:val="nil"/>
              <w:bottom w:val="single" w:sz="4" w:space="0" w:color="auto"/>
              <w:right w:val="nil"/>
            </w:tcBorders>
          </w:tcPr>
          <w:p w:rsidR="004418B4" w:rsidRPr="006A4575" w:rsidRDefault="004418B4" w:rsidP="006A4575">
            <w:pPr>
              <w:pStyle w:val="Tabletext"/>
              <w:rPr>
                <w:b/>
              </w:rPr>
            </w:pPr>
            <w:r w:rsidRPr="006A4575">
              <w:rPr>
                <w:b/>
              </w:rPr>
              <w:t xml:space="preserve">Total </w:t>
            </w:r>
          </w:p>
        </w:tc>
        <w:tc>
          <w:tcPr>
            <w:tcW w:w="1912" w:type="dxa"/>
            <w:tcBorders>
              <w:top w:val="nil"/>
              <w:left w:val="nil"/>
              <w:bottom w:val="single" w:sz="4" w:space="0" w:color="auto"/>
              <w:right w:val="nil"/>
            </w:tcBorders>
          </w:tcPr>
          <w:p w:rsidR="004418B4" w:rsidRPr="006A4575" w:rsidRDefault="004418B4" w:rsidP="00185DDC">
            <w:pPr>
              <w:pStyle w:val="Tabletext"/>
              <w:tabs>
                <w:tab w:val="decimal" w:pos="851"/>
              </w:tabs>
              <w:rPr>
                <w:b/>
              </w:rPr>
            </w:pPr>
            <w:r w:rsidRPr="006A4575">
              <w:rPr>
                <w:b/>
              </w:rPr>
              <w:t xml:space="preserve">100.0 </w:t>
            </w:r>
          </w:p>
        </w:tc>
        <w:tc>
          <w:tcPr>
            <w:tcW w:w="1913" w:type="dxa"/>
            <w:tcBorders>
              <w:top w:val="nil"/>
              <w:left w:val="nil"/>
              <w:bottom w:val="single" w:sz="4" w:space="0" w:color="auto"/>
              <w:right w:val="nil"/>
            </w:tcBorders>
          </w:tcPr>
          <w:p w:rsidR="004418B4" w:rsidRPr="006A4575" w:rsidRDefault="004418B4" w:rsidP="00185DDC">
            <w:pPr>
              <w:pStyle w:val="Tabletext"/>
              <w:tabs>
                <w:tab w:val="decimal" w:pos="851"/>
              </w:tabs>
              <w:rPr>
                <w:b/>
              </w:rPr>
            </w:pPr>
            <w:r w:rsidRPr="006A4575">
              <w:rPr>
                <w:b/>
              </w:rPr>
              <w:t xml:space="preserve">100.0 </w:t>
            </w:r>
          </w:p>
        </w:tc>
      </w:tr>
    </w:tbl>
    <w:p w:rsidR="00BF5ED8" w:rsidRPr="006A4575" w:rsidRDefault="00BF5ED8" w:rsidP="006A4575">
      <w:pPr>
        <w:pStyle w:val="Source"/>
        <w:tabs>
          <w:tab w:val="left" w:pos="567"/>
        </w:tabs>
        <w:ind w:left="709" w:hanging="709"/>
      </w:pPr>
      <w:r>
        <w:t>Note</w:t>
      </w:r>
      <w:r w:rsidR="008C6D73">
        <w:t>s</w:t>
      </w:r>
      <w:r w:rsidR="006A4575">
        <w:t>:</w:t>
      </w:r>
      <w:r w:rsidR="006A4575">
        <w:tab/>
      </w:r>
      <w:r>
        <w:t>*</w:t>
      </w:r>
      <w:r w:rsidR="006A4575">
        <w:tab/>
      </w:r>
      <w:r w:rsidR="00181FEC">
        <w:t>indicates that</w:t>
      </w:r>
      <w:r>
        <w:t xml:space="preserve"> </w:t>
      </w:r>
      <w:r w:rsidRPr="006A4575">
        <w:t>the estimate has a relative standard error greater than 25% and therefore should be used with caution.</w:t>
      </w:r>
    </w:p>
    <w:p w:rsidR="00322176" w:rsidRPr="006A4575" w:rsidRDefault="008C6D73" w:rsidP="006A4575">
      <w:pPr>
        <w:pStyle w:val="Source"/>
        <w:tabs>
          <w:tab w:val="left" w:pos="567"/>
        </w:tabs>
        <w:ind w:left="709" w:hanging="709"/>
      </w:pPr>
      <w:r w:rsidRPr="006A4575">
        <w:tab/>
        <w:t>The table is sorted by the main reason in 2008.</w:t>
      </w:r>
    </w:p>
    <w:p w:rsidR="00322176" w:rsidRPr="006A4575" w:rsidRDefault="006A4575" w:rsidP="006A4575">
      <w:pPr>
        <w:pStyle w:val="Source"/>
        <w:tabs>
          <w:tab w:val="left" w:pos="567"/>
        </w:tabs>
        <w:ind w:left="709" w:hanging="709"/>
      </w:pPr>
      <w:r>
        <w:tab/>
      </w:r>
      <w:r w:rsidRPr="006A4575">
        <w:t>1</w:t>
      </w:r>
      <w:r w:rsidRPr="006A4575">
        <w:tab/>
      </w:r>
      <w:r w:rsidR="00841F93">
        <w:t>‘</w:t>
      </w:r>
      <w:r w:rsidR="00322176" w:rsidRPr="006A4575">
        <w:t>Personal reasons</w:t>
      </w:r>
      <w:r w:rsidR="00841F93">
        <w:t>’</w:t>
      </w:r>
      <w:r w:rsidR="00322176" w:rsidRPr="006A4575">
        <w:t xml:space="preserve"> includes the following: family reasons, illness, lack of time, moved, problems with travelling/transport.</w:t>
      </w:r>
    </w:p>
    <w:p w:rsidR="00322176" w:rsidRDefault="00322176" w:rsidP="006A4575">
      <w:pPr>
        <w:pStyle w:val="Source"/>
      </w:pPr>
      <w:r w:rsidRPr="006A4575">
        <w:t>Source:</w:t>
      </w:r>
      <w:r w:rsidRPr="006A4575">
        <w:tab/>
        <w:t xml:space="preserve">Apprentice </w:t>
      </w:r>
      <w:r w:rsidR="00FB1D36" w:rsidRPr="006A4575">
        <w:t>and T</w:t>
      </w:r>
      <w:r w:rsidR="00FB1D36">
        <w:t>rainee Destinations Survey</w:t>
      </w:r>
      <w:r>
        <w:t xml:space="preserve"> (NCVER 2010, p.10).</w:t>
      </w:r>
    </w:p>
    <w:p w:rsidR="00354AC3" w:rsidRDefault="00354AC3" w:rsidP="00471BDA">
      <w:pPr>
        <w:pStyle w:val="Textmorebefore"/>
      </w:pPr>
      <w:r>
        <w:t xml:space="preserve">Note that low pay does not top the list as the main reason for not completing. Only 9% of trade apprentices in 2008 cited </w:t>
      </w:r>
      <w:r w:rsidR="00841F93">
        <w:t>‘</w:t>
      </w:r>
      <w:r>
        <w:t>low pay</w:t>
      </w:r>
      <w:r w:rsidR="00841F93">
        <w:t>’</w:t>
      </w:r>
      <w:r>
        <w:t xml:space="preserve"> as their main reason for not completing, </w:t>
      </w:r>
      <w:r w:rsidR="009113C1">
        <w:t>with this figure dropping</w:t>
      </w:r>
      <w:r>
        <w:t xml:space="preserve"> </w:t>
      </w:r>
      <w:r>
        <w:lastRenderedPageBreak/>
        <w:t xml:space="preserve">to 5% in 2010. Instead, reasons related to the workplace or the </w:t>
      </w:r>
      <w:proofErr w:type="gramStart"/>
      <w:r>
        <w:t>work itself were</w:t>
      </w:r>
      <w:proofErr w:type="gramEnd"/>
      <w:r>
        <w:t xml:space="preserve"> more common. </w:t>
      </w:r>
      <w:r w:rsidR="00892D19">
        <w:t>In 2008, around</w:t>
      </w:r>
      <w:r>
        <w:t xml:space="preserve"> 16% left because they didn</w:t>
      </w:r>
      <w:r w:rsidR="00841F93">
        <w:t>’</w:t>
      </w:r>
      <w:r>
        <w:t>t get on with their boss or colleagues, while a further 10% left because they did not like the type of work.</w:t>
      </w:r>
    </w:p>
    <w:p w:rsidR="00354AC3" w:rsidRDefault="00354AC3" w:rsidP="00471BDA">
      <w:pPr>
        <w:pStyle w:val="Text"/>
        <w:ind w:right="141"/>
      </w:pPr>
      <w:r>
        <w:t xml:space="preserve">In 2010, due to the influence of the </w:t>
      </w:r>
      <w:r w:rsidR="009113C1">
        <w:t>Global Financial Crisis, approximately one-</w:t>
      </w:r>
      <w:r>
        <w:t xml:space="preserve">quarter of trade apprentices left because they </w:t>
      </w:r>
      <w:r w:rsidR="009113C1">
        <w:t xml:space="preserve">had </w:t>
      </w:r>
      <w:r>
        <w:t xml:space="preserve">lost their job or </w:t>
      </w:r>
      <w:r w:rsidR="009113C1">
        <w:t>had been</w:t>
      </w:r>
      <w:r w:rsidR="001D5FB1">
        <w:t xml:space="preserve"> made redundant. </w:t>
      </w:r>
      <w:r w:rsidR="00892D19">
        <w:t>Approximately 16</w:t>
      </w:r>
      <w:r>
        <w:t>% left because</w:t>
      </w:r>
      <w:r w:rsidR="001D5FB1">
        <w:t xml:space="preserve"> of personal reasons, another 1</w:t>
      </w:r>
      <w:r w:rsidR="00892D19">
        <w:t>3</w:t>
      </w:r>
      <w:r>
        <w:t xml:space="preserve">% left due to a career change, and 10% left because they did not get on with the boss or colleagues. An even smaller proportion than in 2008 left for pay-related reasons. </w:t>
      </w:r>
    </w:p>
    <w:p w:rsidR="00600957" w:rsidRDefault="00AA625B" w:rsidP="00213CB1">
      <w:pPr>
        <w:pStyle w:val="Text"/>
        <w:rPr>
          <w:rFonts w:ascii="Tahoma" w:hAnsi="Tahoma"/>
          <w:b/>
          <w:sz w:val="17"/>
        </w:rPr>
      </w:pPr>
      <w:r>
        <w:t>We can group the reasons</w:t>
      </w:r>
      <w:r w:rsidR="00226F5E">
        <w:t xml:space="preserve"> </w:t>
      </w:r>
      <w:r w:rsidR="00213CB1">
        <w:t xml:space="preserve">for non-completion </w:t>
      </w:r>
      <w:r>
        <w:t xml:space="preserve">into </w:t>
      </w:r>
      <w:r w:rsidR="00F432CB">
        <w:t>a number of themes</w:t>
      </w:r>
      <w:r w:rsidR="004856AF" w:rsidRPr="00600957">
        <w:t>, based on the approach of Karmel and Mlotkowski (2010</w:t>
      </w:r>
      <w:r w:rsidR="004914B7">
        <w:t>c</w:t>
      </w:r>
      <w:r w:rsidR="004856AF" w:rsidRPr="00600957">
        <w:t>).</w:t>
      </w:r>
      <w:r w:rsidR="004856AF">
        <w:t xml:space="preserve"> </w:t>
      </w:r>
      <w:r w:rsidR="002C7CCF">
        <w:t xml:space="preserve">These are shown in table 5. </w:t>
      </w:r>
    </w:p>
    <w:p w:rsidR="006077D8" w:rsidRPr="00865B97" w:rsidRDefault="006077D8" w:rsidP="00865B97">
      <w:pPr>
        <w:pStyle w:val="tabletitle"/>
      </w:pPr>
      <w:bookmarkStart w:id="79" w:name="_Toc376874270"/>
      <w:r w:rsidRPr="00865B97">
        <w:t xml:space="preserve">Table </w:t>
      </w:r>
      <w:r w:rsidR="00BD2B91" w:rsidRPr="00865B97">
        <w:t>5</w:t>
      </w:r>
      <w:r w:rsidRPr="00865B97">
        <w:tab/>
        <w:t>Grouping the reasons for non-completion, 2008</w:t>
      </w:r>
      <w:bookmarkEnd w:id="79"/>
    </w:p>
    <w:tbl>
      <w:tblPr>
        <w:tblW w:w="6804" w:type="dxa"/>
        <w:tblInd w:w="108" w:type="dxa"/>
        <w:tblLayout w:type="fixed"/>
        <w:tblLook w:val="01E0" w:firstRow="1" w:lastRow="1" w:firstColumn="1" w:lastColumn="1" w:noHBand="0" w:noVBand="0"/>
      </w:tblPr>
      <w:tblGrid>
        <w:gridCol w:w="4318"/>
        <w:gridCol w:w="2486"/>
      </w:tblGrid>
      <w:tr w:rsidR="007A270D" w:rsidRPr="00184FC9" w:rsidTr="00471BDA">
        <w:tc>
          <w:tcPr>
            <w:tcW w:w="4395" w:type="dxa"/>
            <w:vMerge w:val="restart"/>
            <w:tcBorders>
              <w:top w:val="single" w:sz="4" w:space="0" w:color="auto"/>
              <w:left w:val="nil"/>
              <w:right w:val="nil"/>
            </w:tcBorders>
            <w:shd w:val="clear" w:color="auto" w:fill="auto"/>
          </w:tcPr>
          <w:p w:rsidR="007A270D" w:rsidRPr="00283CE3" w:rsidRDefault="00600957" w:rsidP="00471BDA">
            <w:pPr>
              <w:pStyle w:val="Tablehead1"/>
            </w:pPr>
            <w:r>
              <w:t>Main reason</w:t>
            </w:r>
          </w:p>
        </w:tc>
        <w:tc>
          <w:tcPr>
            <w:tcW w:w="2529" w:type="dxa"/>
            <w:tcBorders>
              <w:top w:val="single" w:sz="4" w:space="0" w:color="auto"/>
              <w:left w:val="nil"/>
              <w:right w:val="nil"/>
            </w:tcBorders>
          </w:tcPr>
          <w:p w:rsidR="007A270D" w:rsidRPr="00184FC9" w:rsidRDefault="007A270D" w:rsidP="00471BDA">
            <w:pPr>
              <w:pStyle w:val="Tablehead1"/>
              <w:jc w:val="center"/>
            </w:pPr>
            <w:r w:rsidRPr="00184FC9">
              <w:t>In a trade occupation</w:t>
            </w:r>
          </w:p>
        </w:tc>
      </w:tr>
      <w:tr w:rsidR="007A270D" w:rsidRPr="00184FC9" w:rsidTr="00471BDA">
        <w:tc>
          <w:tcPr>
            <w:tcW w:w="4395" w:type="dxa"/>
            <w:vMerge/>
            <w:tcBorders>
              <w:left w:val="nil"/>
              <w:bottom w:val="single" w:sz="4" w:space="0" w:color="auto"/>
              <w:right w:val="nil"/>
            </w:tcBorders>
            <w:shd w:val="clear" w:color="auto" w:fill="auto"/>
          </w:tcPr>
          <w:p w:rsidR="007A270D" w:rsidRPr="00AF1392" w:rsidRDefault="007A270D" w:rsidP="007A270D">
            <w:pPr>
              <w:pStyle w:val="Tablehead3"/>
            </w:pPr>
          </w:p>
        </w:tc>
        <w:tc>
          <w:tcPr>
            <w:tcW w:w="2529" w:type="dxa"/>
            <w:tcBorders>
              <w:left w:val="nil"/>
              <w:bottom w:val="single" w:sz="4" w:space="0" w:color="auto"/>
              <w:right w:val="nil"/>
            </w:tcBorders>
          </w:tcPr>
          <w:p w:rsidR="007A270D" w:rsidRPr="00184FC9" w:rsidRDefault="007A270D" w:rsidP="00471BDA">
            <w:pPr>
              <w:pStyle w:val="Tablehead2"/>
              <w:jc w:val="center"/>
            </w:pPr>
            <w:r w:rsidRPr="00184FC9">
              <w:t>%</w:t>
            </w:r>
          </w:p>
        </w:tc>
      </w:tr>
      <w:tr w:rsidR="007A270D" w:rsidTr="00471BDA">
        <w:tc>
          <w:tcPr>
            <w:tcW w:w="4395" w:type="dxa"/>
            <w:tcBorders>
              <w:left w:val="nil"/>
              <w:right w:val="nil"/>
            </w:tcBorders>
          </w:tcPr>
          <w:p w:rsidR="007A270D" w:rsidRPr="008C6D73" w:rsidRDefault="009540C1" w:rsidP="008C6D73">
            <w:pPr>
              <w:pStyle w:val="TableRowBold"/>
              <w:ind w:firstLine="34"/>
            </w:pPr>
            <w:r w:rsidRPr="008C6D73">
              <w:t>Problems with the employment experience</w:t>
            </w:r>
          </w:p>
        </w:tc>
        <w:tc>
          <w:tcPr>
            <w:tcW w:w="2529" w:type="dxa"/>
            <w:tcBorders>
              <w:left w:val="nil"/>
              <w:right w:val="nil"/>
            </w:tcBorders>
          </w:tcPr>
          <w:p w:rsidR="007A270D" w:rsidRPr="008C6D73" w:rsidRDefault="00600957" w:rsidP="00471BDA">
            <w:pPr>
              <w:pStyle w:val="TableRowBold"/>
              <w:tabs>
                <w:tab w:val="decimal" w:pos="1134"/>
              </w:tabs>
            </w:pPr>
            <w:r w:rsidRPr="008C6D73">
              <w:t>33.4</w:t>
            </w:r>
          </w:p>
        </w:tc>
      </w:tr>
      <w:tr w:rsidR="007A270D" w:rsidTr="00471BDA">
        <w:tc>
          <w:tcPr>
            <w:tcW w:w="4395" w:type="dxa"/>
            <w:tcBorders>
              <w:left w:val="nil"/>
              <w:right w:val="nil"/>
            </w:tcBorders>
          </w:tcPr>
          <w:p w:rsidR="007A270D" w:rsidRDefault="007A270D" w:rsidP="00471BDA">
            <w:pPr>
              <w:pStyle w:val="Tabletext"/>
              <w:ind w:left="284"/>
            </w:pPr>
            <w:r>
              <w:t>Did not get on with boss or other people at work</w:t>
            </w:r>
          </w:p>
        </w:tc>
        <w:tc>
          <w:tcPr>
            <w:tcW w:w="2529" w:type="dxa"/>
            <w:tcBorders>
              <w:left w:val="nil"/>
              <w:right w:val="nil"/>
            </w:tcBorders>
          </w:tcPr>
          <w:p w:rsidR="007A270D" w:rsidRDefault="007A270D" w:rsidP="00471BDA">
            <w:pPr>
              <w:pStyle w:val="Tabletext"/>
              <w:tabs>
                <w:tab w:val="decimal" w:pos="1134"/>
              </w:tabs>
            </w:pPr>
            <w:r>
              <w:t>16.2</w:t>
            </w:r>
          </w:p>
        </w:tc>
      </w:tr>
      <w:tr w:rsidR="007A270D" w:rsidTr="00471BDA">
        <w:tc>
          <w:tcPr>
            <w:tcW w:w="4395" w:type="dxa"/>
            <w:tcBorders>
              <w:left w:val="nil"/>
              <w:bottom w:val="nil"/>
              <w:right w:val="nil"/>
            </w:tcBorders>
          </w:tcPr>
          <w:p w:rsidR="007A270D" w:rsidRDefault="007A270D" w:rsidP="00471BDA">
            <w:pPr>
              <w:pStyle w:val="Tabletext"/>
              <w:ind w:left="284"/>
            </w:pPr>
            <w:r>
              <w:t>Poor working conditions</w:t>
            </w:r>
          </w:p>
        </w:tc>
        <w:tc>
          <w:tcPr>
            <w:tcW w:w="2529" w:type="dxa"/>
            <w:tcBorders>
              <w:left w:val="nil"/>
              <w:bottom w:val="nil"/>
              <w:right w:val="nil"/>
            </w:tcBorders>
          </w:tcPr>
          <w:p w:rsidR="007A270D" w:rsidRDefault="007A270D" w:rsidP="00471BDA">
            <w:pPr>
              <w:pStyle w:val="Tabletext"/>
              <w:tabs>
                <w:tab w:val="decimal" w:pos="1134"/>
              </w:tabs>
            </w:pPr>
            <w:r>
              <w:t xml:space="preserve">3.1 </w:t>
            </w:r>
          </w:p>
        </w:tc>
      </w:tr>
      <w:tr w:rsidR="007A270D" w:rsidTr="00471BDA">
        <w:tc>
          <w:tcPr>
            <w:tcW w:w="4395" w:type="dxa"/>
            <w:tcBorders>
              <w:left w:val="nil"/>
              <w:bottom w:val="nil"/>
              <w:right w:val="nil"/>
            </w:tcBorders>
          </w:tcPr>
          <w:p w:rsidR="007A270D" w:rsidRDefault="007A270D" w:rsidP="00471BDA">
            <w:pPr>
              <w:pStyle w:val="Tabletext"/>
              <w:ind w:left="284"/>
            </w:pPr>
            <w:r>
              <w:t>The pay was too low</w:t>
            </w:r>
          </w:p>
        </w:tc>
        <w:tc>
          <w:tcPr>
            <w:tcW w:w="2529" w:type="dxa"/>
            <w:tcBorders>
              <w:left w:val="nil"/>
              <w:bottom w:val="nil"/>
              <w:right w:val="nil"/>
            </w:tcBorders>
          </w:tcPr>
          <w:p w:rsidR="007A270D" w:rsidRDefault="007A270D" w:rsidP="00471BDA">
            <w:pPr>
              <w:pStyle w:val="Tabletext"/>
              <w:tabs>
                <w:tab w:val="decimal" w:pos="1134"/>
              </w:tabs>
            </w:pPr>
            <w:r>
              <w:t>8.7</w:t>
            </w:r>
          </w:p>
        </w:tc>
      </w:tr>
      <w:tr w:rsidR="00132C2C" w:rsidTr="00471BDA">
        <w:tc>
          <w:tcPr>
            <w:tcW w:w="4395" w:type="dxa"/>
            <w:tcBorders>
              <w:left w:val="nil"/>
              <w:bottom w:val="nil"/>
              <w:right w:val="nil"/>
            </w:tcBorders>
          </w:tcPr>
          <w:p w:rsidR="00132C2C" w:rsidRDefault="00132C2C" w:rsidP="00471BDA">
            <w:pPr>
              <w:pStyle w:val="Tabletext"/>
              <w:ind w:left="284"/>
            </w:pPr>
            <w:r>
              <w:t>Was not happy with the on-the-job training</w:t>
            </w:r>
          </w:p>
        </w:tc>
        <w:tc>
          <w:tcPr>
            <w:tcW w:w="2529" w:type="dxa"/>
            <w:tcBorders>
              <w:left w:val="nil"/>
              <w:bottom w:val="nil"/>
              <w:right w:val="nil"/>
            </w:tcBorders>
          </w:tcPr>
          <w:p w:rsidR="00132C2C" w:rsidRDefault="00132C2C" w:rsidP="00471BDA">
            <w:pPr>
              <w:pStyle w:val="Tabletext"/>
              <w:tabs>
                <w:tab w:val="decimal" w:pos="1134"/>
              </w:tabs>
            </w:pPr>
            <w:r>
              <w:t xml:space="preserve">5.4 </w:t>
            </w:r>
          </w:p>
        </w:tc>
      </w:tr>
      <w:tr w:rsidR="00132C2C" w:rsidTr="00471BDA">
        <w:tc>
          <w:tcPr>
            <w:tcW w:w="4395" w:type="dxa"/>
            <w:tcBorders>
              <w:left w:val="nil"/>
              <w:bottom w:val="nil"/>
              <w:right w:val="nil"/>
            </w:tcBorders>
          </w:tcPr>
          <w:p w:rsidR="00132C2C" w:rsidRPr="008C6D73" w:rsidRDefault="00132C2C" w:rsidP="008C6D73">
            <w:pPr>
              <w:pStyle w:val="TableRowBold"/>
              <w:ind w:firstLine="34"/>
            </w:pPr>
            <w:r w:rsidRPr="008C6D73">
              <w:t>Didn</w:t>
            </w:r>
            <w:r w:rsidR="00841F93">
              <w:t>’</w:t>
            </w:r>
            <w:r w:rsidRPr="008C6D73">
              <w:t>t like the type of work or industry</w:t>
            </w:r>
          </w:p>
        </w:tc>
        <w:tc>
          <w:tcPr>
            <w:tcW w:w="2529" w:type="dxa"/>
            <w:tcBorders>
              <w:left w:val="nil"/>
              <w:bottom w:val="nil"/>
              <w:right w:val="nil"/>
            </w:tcBorders>
          </w:tcPr>
          <w:p w:rsidR="00132C2C" w:rsidRPr="008C6D73" w:rsidRDefault="00132C2C" w:rsidP="00471BDA">
            <w:pPr>
              <w:pStyle w:val="TableRowBold"/>
              <w:tabs>
                <w:tab w:val="decimal" w:pos="1134"/>
              </w:tabs>
            </w:pPr>
            <w:r w:rsidRPr="008C6D73">
              <w:t>16.9</w:t>
            </w:r>
          </w:p>
        </w:tc>
      </w:tr>
      <w:tr w:rsidR="00132C2C" w:rsidTr="00471BDA">
        <w:tc>
          <w:tcPr>
            <w:tcW w:w="4395" w:type="dxa"/>
            <w:tcBorders>
              <w:left w:val="nil"/>
              <w:bottom w:val="nil"/>
              <w:right w:val="nil"/>
            </w:tcBorders>
          </w:tcPr>
          <w:p w:rsidR="00132C2C" w:rsidRDefault="00132C2C" w:rsidP="00471BDA">
            <w:pPr>
              <w:pStyle w:val="Tabletext"/>
              <w:ind w:left="284"/>
            </w:pPr>
            <w:r>
              <w:t>Did not like the type of work</w:t>
            </w:r>
          </w:p>
        </w:tc>
        <w:tc>
          <w:tcPr>
            <w:tcW w:w="2529" w:type="dxa"/>
            <w:tcBorders>
              <w:left w:val="nil"/>
              <w:bottom w:val="nil"/>
              <w:right w:val="nil"/>
            </w:tcBorders>
          </w:tcPr>
          <w:p w:rsidR="00132C2C" w:rsidRDefault="00132C2C" w:rsidP="00471BDA">
            <w:pPr>
              <w:pStyle w:val="Tabletext"/>
              <w:tabs>
                <w:tab w:val="decimal" w:pos="1134"/>
              </w:tabs>
            </w:pPr>
            <w:r>
              <w:t>10.2</w:t>
            </w:r>
          </w:p>
        </w:tc>
      </w:tr>
      <w:tr w:rsidR="00132C2C" w:rsidTr="00471BDA">
        <w:tc>
          <w:tcPr>
            <w:tcW w:w="4395" w:type="dxa"/>
            <w:tcBorders>
              <w:left w:val="nil"/>
              <w:bottom w:val="nil"/>
              <w:right w:val="nil"/>
            </w:tcBorders>
          </w:tcPr>
          <w:p w:rsidR="00132C2C" w:rsidRDefault="00132C2C" w:rsidP="00471BDA">
            <w:pPr>
              <w:pStyle w:val="Tabletext"/>
              <w:ind w:left="284"/>
            </w:pPr>
            <w:r>
              <w:t>Not happy with the job prospects in the industry</w:t>
            </w:r>
          </w:p>
        </w:tc>
        <w:tc>
          <w:tcPr>
            <w:tcW w:w="2529" w:type="dxa"/>
            <w:tcBorders>
              <w:left w:val="nil"/>
              <w:bottom w:val="nil"/>
              <w:right w:val="nil"/>
            </w:tcBorders>
          </w:tcPr>
          <w:p w:rsidR="00132C2C" w:rsidRDefault="00132C2C" w:rsidP="00471BDA">
            <w:pPr>
              <w:pStyle w:val="Tabletext"/>
              <w:tabs>
                <w:tab w:val="decimal" w:pos="1134"/>
              </w:tabs>
            </w:pPr>
            <w:r>
              <w:t xml:space="preserve">3.6 </w:t>
            </w:r>
          </w:p>
        </w:tc>
      </w:tr>
      <w:tr w:rsidR="00132C2C" w:rsidTr="00471BDA">
        <w:tc>
          <w:tcPr>
            <w:tcW w:w="4395" w:type="dxa"/>
            <w:tcBorders>
              <w:left w:val="nil"/>
              <w:bottom w:val="nil"/>
              <w:right w:val="nil"/>
            </w:tcBorders>
          </w:tcPr>
          <w:p w:rsidR="00132C2C" w:rsidRDefault="00132C2C" w:rsidP="00471BDA">
            <w:pPr>
              <w:pStyle w:val="Tabletext"/>
              <w:ind w:left="284"/>
            </w:pPr>
            <w:r>
              <w:t>Transfe</w:t>
            </w:r>
            <w:r w:rsidR="009540C1">
              <w:t>rred to another apprenticeship/</w:t>
            </w:r>
            <w:r>
              <w:t>traineeship</w:t>
            </w:r>
          </w:p>
        </w:tc>
        <w:tc>
          <w:tcPr>
            <w:tcW w:w="2529" w:type="dxa"/>
            <w:tcBorders>
              <w:left w:val="nil"/>
              <w:bottom w:val="nil"/>
              <w:right w:val="nil"/>
            </w:tcBorders>
          </w:tcPr>
          <w:p w:rsidR="00132C2C" w:rsidRDefault="00132C2C" w:rsidP="00471BDA">
            <w:pPr>
              <w:pStyle w:val="Tabletext"/>
              <w:tabs>
                <w:tab w:val="decimal" w:pos="1134"/>
              </w:tabs>
            </w:pPr>
            <w:r>
              <w:t xml:space="preserve">3.1 </w:t>
            </w:r>
          </w:p>
        </w:tc>
      </w:tr>
      <w:tr w:rsidR="00F432CB" w:rsidTr="00471BDA">
        <w:tc>
          <w:tcPr>
            <w:tcW w:w="4395" w:type="dxa"/>
            <w:tcBorders>
              <w:left w:val="nil"/>
              <w:bottom w:val="nil"/>
              <w:right w:val="nil"/>
            </w:tcBorders>
          </w:tcPr>
          <w:p w:rsidR="00F432CB" w:rsidRPr="008C6D73" w:rsidRDefault="00F432CB" w:rsidP="008C6D73">
            <w:pPr>
              <w:pStyle w:val="TableRowBold"/>
              <w:ind w:firstLine="34"/>
            </w:pPr>
            <w:r w:rsidRPr="008C6D73">
              <w:t>Doing something different/better</w:t>
            </w:r>
          </w:p>
        </w:tc>
        <w:tc>
          <w:tcPr>
            <w:tcW w:w="2529" w:type="dxa"/>
            <w:tcBorders>
              <w:left w:val="nil"/>
              <w:bottom w:val="nil"/>
              <w:right w:val="nil"/>
            </w:tcBorders>
          </w:tcPr>
          <w:p w:rsidR="00F432CB" w:rsidRPr="008C6D73" w:rsidRDefault="00F432CB" w:rsidP="00471BDA">
            <w:pPr>
              <w:pStyle w:val="TableRowBold"/>
              <w:tabs>
                <w:tab w:val="decimal" w:pos="1134"/>
              </w:tabs>
            </w:pPr>
            <w:r w:rsidRPr="008C6D73">
              <w:t>14.6</w:t>
            </w:r>
          </w:p>
        </w:tc>
      </w:tr>
      <w:tr w:rsidR="00F432CB" w:rsidTr="00471BDA">
        <w:tc>
          <w:tcPr>
            <w:tcW w:w="4395" w:type="dxa"/>
            <w:tcBorders>
              <w:left w:val="nil"/>
              <w:bottom w:val="nil"/>
              <w:right w:val="nil"/>
            </w:tcBorders>
          </w:tcPr>
          <w:p w:rsidR="00F432CB" w:rsidRDefault="00F432CB" w:rsidP="00471BDA">
            <w:pPr>
              <w:pStyle w:val="Tabletext"/>
              <w:ind w:left="284"/>
            </w:pPr>
            <w:r>
              <w:t>Left job or changed career</w:t>
            </w:r>
          </w:p>
        </w:tc>
        <w:tc>
          <w:tcPr>
            <w:tcW w:w="2529" w:type="dxa"/>
            <w:tcBorders>
              <w:left w:val="nil"/>
              <w:bottom w:val="nil"/>
              <w:right w:val="nil"/>
            </w:tcBorders>
          </w:tcPr>
          <w:p w:rsidR="00F432CB" w:rsidRDefault="00F432CB" w:rsidP="00471BDA">
            <w:pPr>
              <w:pStyle w:val="Tabletext"/>
              <w:tabs>
                <w:tab w:val="decimal" w:pos="1134"/>
              </w:tabs>
            </w:pPr>
            <w:r>
              <w:t>9.4</w:t>
            </w:r>
          </w:p>
        </w:tc>
      </w:tr>
      <w:tr w:rsidR="00F432CB" w:rsidTr="00471BDA">
        <w:tc>
          <w:tcPr>
            <w:tcW w:w="4395" w:type="dxa"/>
            <w:tcBorders>
              <w:left w:val="nil"/>
              <w:bottom w:val="nil"/>
              <w:right w:val="nil"/>
            </w:tcBorders>
          </w:tcPr>
          <w:p w:rsidR="00F432CB" w:rsidRDefault="00F432CB" w:rsidP="00471BDA">
            <w:pPr>
              <w:pStyle w:val="Tabletext"/>
              <w:ind w:left="284"/>
            </w:pPr>
            <w:r>
              <w:t>Got offered a better job</w:t>
            </w:r>
          </w:p>
        </w:tc>
        <w:tc>
          <w:tcPr>
            <w:tcW w:w="2529" w:type="dxa"/>
            <w:tcBorders>
              <w:left w:val="nil"/>
              <w:bottom w:val="nil"/>
              <w:right w:val="nil"/>
            </w:tcBorders>
          </w:tcPr>
          <w:p w:rsidR="00F432CB" w:rsidRDefault="00F432CB" w:rsidP="00471BDA">
            <w:pPr>
              <w:pStyle w:val="Tabletext"/>
              <w:tabs>
                <w:tab w:val="decimal" w:pos="1134"/>
              </w:tabs>
            </w:pPr>
            <w:r>
              <w:t xml:space="preserve">3.3 </w:t>
            </w:r>
          </w:p>
        </w:tc>
      </w:tr>
      <w:tr w:rsidR="00F432CB" w:rsidTr="00471BDA">
        <w:tc>
          <w:tcPr>
            <w:tcW w:w="4395" w:type="dxa"/>
            <w:tcBorders>
              <w:left w:val="nil"/>
              <w:bottom w:val="nil"/>
              <w:right w:val="nil"/>
            </w:tcBorders>
          </w:tcPr>
          <w:p w:rsidR="00F432CB" w:rsidRDefault="00F432CB" w:rsidP="00471BDA">
            <w:pPr>
              <w:pStyle w:val="Tabletext"/>
              <w:ind w:left="284"/>
            </w:pPr>
            <w:r>
              <w:t>Left to study elsewhere</w:t>
            </w:r>
          </w:p>
        </w:tc>
        <w:tc>
          <w:tcPr>
            <w:tcW w:w="2529" w:type="dxa"/>
            <w:tcBorders>
              <w:left w:val="nil"/>
              <w:bottom w:val="nil"/>
              <w:right w:val="nil"/>
            </w:tcBorders>
          </w:tcPr>
          <w:p w:rsidR="00F432CB" w:rsidRDefault="00F432CB" w:rsidP="00471BDA">
            <w:pPr>
              <w:pStyle w:val="Tabletext"/>
              <w:tabs>
                <w:tab w:val="decimal" w:pos="1134"/>
              </w:tabs>
            </w:pPr>
            <w:r>
              <w:t xml:space="preserve">1.9 </w:t>
            </w:r>
          </w:p>
        </w:tc>
      </w:tr>
      <w:tr w:rsidR="00F432CB" w:rsidTr="00471BDA">
        <w:tc>
          <w:tcPr>
            <w:tcW w:w="4395" w:type="dxa"/>
            <w:tcBorders>
              <w:left w:val="nil"/>
              <w:bottom w:val="nil"/>
              <w:right w:val="nil"/>
            </w:tcBorders>
          </w:tcPr>
          <w:p w:rsidR="00F432CB" w:rsidRPr="00132C2C" w:rsidRDefault="00F432CB" w:rsidP="009540C1">
            <w:pPr>
              <w:pStyle w:val="TableRowBold"/>
              <w:rPr>
                <w:b w:val="0"/>
              </w:rPr>
            </w:pPr>
            <w:r>
              <w:t>Lost job</w:t>
            </w:r>
            <w:r w:rsidRPr="00132C2C">
              <w:t>/discontinued</w:t>
            </w:r>
          </w:p>
        </w:tc>
        <w:tc>
          <w:tcPr>
            <w:tcW w:w="2529" w:type="dxa"/>
            <w:tcBorders>
              <w:left w:val="nil"/>
              <w:bottom w:val="nil"/>
              <w:right w:val="nil"/>
            </w:tcBorders>
          </w:tcPr>
          <w:p w:rsidR="00F432CB" w:rsidRPr="00132C2C" w:rsidRDefault="00F432CB" w:rsidP="00471BDA">
            <w:pPr>
              <w:pStyle w:val="Tabletext"/>
              <w:tabs>
                <w:tab w:val="decimal" w:pos="1134"/>
              </w:tabs>
              <w:rPr>
                <w:b/>
              </w:rPr>
            </w:pPr>
            <w:r w:rsidRPr="00132C2C">
              <w:rPr>
                <w:rFonts w:ascii="Arial" w:hAnsi="Arial"/>
                <w:b/>
                <w:color w:val="000000"/>
                <w:szCs w:val="15"/>
              </w:rPr>
              <w:t>12.1</w:t>
            </w:r>
          </w:p>
        </w:tc>
      </w:tr>
      <w:tr w:rsidR="00F432CB" w:rsidTr="00471BDA">
        <w:tc>
          <w:tcPr>
            <w:tcW w:w="4395" w:type="dxa"/>
            <w:tcBorders>
              <w:left w:val="nil"/>
              <w:bottom w:val="nil"/>
              <w:right w:val="nil"/>
            </w:tcBorders>
          </w:tcPr>
          <w:p w:rsidR="00F432CB" w:rsidRDefault="00F432CB" w:rsidP="00471BDA">
            <w:pPr>
              <w:pStyle w:val="Tabletext"/>
              <w:ind w:left="284"/>
            </w:pPr>
            <w:r>
              <w:t>Lost job or made redundant</w:t>
            </w:r>
          </w:p>
        </w:tc>
        <w:tc>
          <w:tcPr>
            <w:tcW w:w="2529" w:type="dxa"/>
            <w:tcBorders>
              <w:left w:val="nil"/>
              <w:bottom w:val="nil"/>
              <w:right w:val="nil"/>
            </w:tcBorders>
          </w:tcPr>
          <w:p w:rsidR="00F432CB" w:rsidRDefault="00F432CB" w:rsidP="00471BDA">
            <w:pPr>
              <w:pStyle w:val="Tabletext"/>
              <w:tabs>
                <w:tab w:val="decimal" w:pos="1134"/>
              </w:tabs>
            </w:pPr>
            <w:r>
              <w:t>8.9</w:t>
            </w:r>
          </w:p>
        </w:tc>
      </w:tr>
      <w:tr w:rsidR="00F432CB" w:rsidTr="00471BDA">
        <w:tc>
          <w:tcPr>
            <w:tcW w:w="4395" w:type="dxa"/>
            <w:tcBorders>
              <w:left w:val="nil"/>
              <w:bottom w:val="nil"/>
              <w:right w:val="nil"/>
            </w:tcBorders>
          </w:tcPr>
          <w:p w:rsidR="00F432CB" w:rsidRDefault="00F432CB" w:rsidP="00471BDA">
            <w:pPr>
              <w:pStyle w:val="Tabletext"/>
              <w:ind w:left="284"/>
            </w:pPr>
            <w:r>
              <w:t>Apprenticeship cancelled or discontinued</w:t>
            </w:r>
          </w:p>
        </w:tc>
        <w:tc>
          <w:tcPr>
            <w:tcW w:w="2529" w:type="dxa"/>
            <w:tcBorders>
              <w:left w:val="nil"/>
              <w:bottom w:val="nil"/>
              <w:right w:val="nil"/>
            </w:tcBorders>
          </w:tcPr>
          <w:p w:rsidR="00F432CB" w:rsidRDefault="00F432CB" w:rsidP="00471BDA">
            <w:pPr>
              <w:pStyle w:val="Tabletext"/>
              <w:tabs>
                <w:tab w:val="decimal" w:pos="1134"/>
              </w:tabs>
            </w:pPr>
            <w:r>
              <w:t xml:space="preserve">3.2 </w:t>
            </w:r>
          </w:p>
        </w:tc>
      </w:tr>
      <w:tr w:rsidR="00FA05A7" w:rsidTr="00471BDA">
        <w:tc>
          <w:tcPr>
            <w:tcW w:w="4395" w:type="dxa"/>
          </w:tcPr>
          <w:p w:rsidR="00FA05A7" w:rsidRDefault="00FA05A7" w:rsidP="00FA05A7">
            <w:pPr>
              <w:pStyle w:val="TableRowBold"/>
            </w:pPr>
            <w:r>
              <w:t>Off-the-job training problems</w:t>
            </w:r>
          </w:p>
        </w:tc>
        <w:tc>
          <w:tcPr>
            <w:tcW w:w="2529" w:type="dxa"/>
          </w:tcPr>
          <w:p w:rsidR="00FA05A7" w:rsidRDefault="00FA05A7" w:rsidP="00471BDA">
            <w:pPr>
              <w:pStyle w:val="TableRowBold"/>
              <w:tabs>
                <w:tab w:val="decimal" w:pos="1134"/>
              </w:tabs>
            </w:pPr>
            <w:r>
              <w:t>2.8</w:t>
            </w:r>
          </w:p>
        </w:tc>
      </w:tr>
      <w:tr w:rsidR="00FA05A7" w:rsidTr="00471BDA">
        <w:tc>
          <w:tcPr>
            <w:tcW w:w="4395" w:type="dxa"/>
          </w:tcPr>
          <w:p w:rsidR="00FA05A7" w:rsidRDefault="00FA05A7" w:rsidP="00471BDA">
            <w:pPr>
              <w:pStyle w:val="Tabletext"/>
              <w:ind w:left="284"/>
            </w:pPr>
            <w:r>
              <w:t>Was not happy with the off-the-job training</w:t>
            </w:r>
          </w:p>
        </w:tc>
        <w:tc>
          <w:tcPr>
            <w:tcW w:w="2529" w:type="dxa"/>
          </w:tcPr>
          <w:p w:rsidR="00FA05A7" w:rsidRDefault="00FA05A7" w:rsidP="00471BDA">
            <w:pPr>
              <w:pStyle w:val="Tabletext"/>
              <w:tabs>
                <w:tab w:val="decimal" w:pos="1134"/>
              </w:tabs>
            </w:pPr>
            <w:r>
              <w:t xml:space="preserve">1.4 </w:t>
            </w:r>
          </w:p>
        </w:tc>
      </w:tr>
      <w:tr w:rsidR="00FA05A7" w:rsidTr="00471BDA">
        <w:tc>
          <w:tcPr>
            <w:tcW w:w="4395" w:type="dxa"/>
          </w:tcPr>
          <w:p w:rsidR="00FA05A7" w:rsidRDefault="00FA05A7" w:rsidP="00471BDA">
            <w:pPr>
              <w:pStyle w:val="Tabletext"/>
              <w:ind w:left="284"/>
            </w:pPr>
            <w:r>
              <w:t>Found the study too difficult</w:t>
            </w:r>
          </w:p>
        </w:tc>
        <w:tc>
          <w:tcPr>
            <w:tcW w:w="2529" w:type="dxa"/>
          </w:tcPr>
          <w:p w:rsidR="00FA05A7" w:rsidRDefault="00FA05A7" w:rsidP="00471BDA">
            <w:pPr>
              <w:pStyle w:val="Tabletext"/>
              <w:tabs>
                <w:tab w:val="decimal" w:pos="1134"/>
              </w:tabs>
            </w:pPr>
            <w:r>
              <w:t xml:space="preserve">1.4 </w:t>
            </w:r>
          </w:p>
        </w:tc>
      </w:tr>
      <w:tr w:rsidR="00FA05A7" w:rsidTr="00471BDA">
        <w:tc>
          <w:tcPr>
            <w:tcW w:w="4395" w:type="dxa"/>
          </w:tcPr>
          <w:p w:rsidR="00FA05A7" w:rsidRPr="009540C1" w:rsidRDefault="00FA05A7" w:rsidP="00FA05A7">
            <w:pPr>
              <w:pStyle w:val="TableRowBold"/>
            </w:pPr>
            <w:r w:rsidRPr="009540C1">
              <w:t>Other reasons</w:t>
            </w:r>
          </w:p>
        </w:tc>
        <w:tc>
          <w:tcPr>
            <w:tcW w:w="2529" w:type="dxa"/>
          </w:tcPr>
          <w:p w:rsidR="00FA05A7" w:rsidRPr="009540C1" w:rsidRDefault="00FA05A7" w:rsidP="00471BDA">
            <w:pPr>
              <w:pStyle w:val="TableRowBold"/>
              <w:tabs>
                <w:tab w:val="decimal" w:pos="1134"/>
              </w:tabs>
            </w:pPr>
            <w:r w:rsidRPr="009540C1">
              <w:t>20.2</w:t>
            </w:r>
          </w:p>
        </w:tc>
      </w:tr>
      <w:tr w:rsidR="00FA05A7" w:rsidTr="00471BDA">
        <w:tc>
          <w:tcPr>
            <w:tcW w:w="4395" w:type="dxa"/>
          </w:tcPr>
          <w:p w:rsidR="00FA05A7" w:rsidRPr="00600957" w:rsidRDefault="00FA05A7" w:rsidP="00471BDA">
            <w:pPr>
              <w:pStyle w:val="TableRowBold"/>
              <w:spacing w:before="40"/>
              <w:ind w:left="284"/>
              <w:rPr>
                <w:b w:val="0"/>
              </w:rPr>
            </w:pPr>
            <w:r w:rsidRPr="00600957">
              <w:rPr>
                <w:b w:val="0"/>
              </w:rPr>
              <w:t>Personal reasons</w:t>
            </w:r>
          </w:p>
        </w:tc>
        <w:tc>
          <w:tcPr>
            <w:tcW w:w="2529" w:type="dxa"/>
          </w:tcPr>
          <w:p w:rsidR="00FA05A7" w:rsidRPr="00600957" w:rsidRDefault="00FA05A7" w:rsidP="00471BDA">
            <w:pPr>
              <w:pStyle w:val="TableRowBold"/>
              <w:tabs>
                <w:tab w:val="decimal" w:pos="1134"/>
              </w:tabs>
              <w:rPr>
                <w:b w:val="0"/>
              </w:rPr>
            </w:pPr>
            <w:r w:rsidRPr="00600957">
              <w:rPr>
                <w:b w:val="0"/>
              </w:rPr>
              <w:t>10.0</w:t>
            </w:r>
          </w:p>
        </w:tc>
      </w:tr>
      <w:tr w:rsidR="00FA05A7" w:rsidTr="00471BDA">
        <w:tc>
          <w:tcPr>
            <w:tcW w:w="4395" w:type="dxa"/>
          </w:tcPr>
          <w:p w:rsidR="00FA05A7" w:rsidRPr="00600957" w:rsidRDefault="00FA05A7" w:rsidP="00471BDA">
            <w:pPr>
              <w:pStyle w:val="TableRowBold"/>
              <w:spacing w:before="40"/>
              <w:ind w:left="284"/>
              <w:rPr>
                <w:b w:val="0"/>
              </w:rPr>
            </w:pPr>
            <w:r w:rsidRPr="00600957">
              <w:rPr>
                <w:b w:val="0"/>
              </w:rPr>
              <w:t>Other reasons</w:t>
            </w:r>
          </w:p>
        </w:tc>
        <w:tc>
          <w:tcPr>
            <w:tcW w:w="2529" w:type="dxa"/>
          </w:tcPr>
          <w:p w:rsidR="00FA05A7" w:rsidRPr="00600957" w:rsidRDefault="00FA05A7" w:rsidP="00471BDA">
            <w:pPr>
              <w:pStyle w:val="TableRowBold"/>
              <w:tabs>
                <w:tab w:val="decimal" w:pos="1134"/>
              </w:tabs>
              <w:rPr>
                <w:b w:val="0"/>
              </w:rPr>
            </w:pPr>
            <w:r w:rsidRPr="00600957">
              <w:rPr>
                <w:b w:val="0"/>
              </w:rPr>
              <w:t>10.2</w:t>
            </w:r>
          </w:p>
        </w:tc>
      </w:tr>
      <w:tr w:rsidR="00FA05A7" w:rsidTr="00471BDA">
        <w:tc>
          <w:tcPr>
            <w:tcW w:w="4395" w:type="dxa"/>
            <w:tcBorders>
              <w:bottom w:val="single" w:sz="4" w:space="0" w:color="auto"/>
            </w:tcBorders>
          </w:tcPr>
          <w:p w:rsidR="00FA05A7" w:rsidRDefault="00FA05A7" w:rsidP="007A270D">
            <w:pPr>
              <w:pStyle w:val="TableRowBold"/>
            </w:pPr>
            <w:r>
              <w:t>Total</w:t>
            </w:r>
          </w:p>
        </w:tc>
        <w:tc>
          <w:tcPr>
            <w:tcW w:w="2529" w:type="dxa"/>
            <w:tcBorders>
              <w:bottom w:val="single" w:sz="4" w:space="0" w:color="auto"/>
            </w:tcBorders>
          </w:tcPr>
          <w:p w:rsidR="00FA05A7" w:rsidRDefault="00FA05A7" w:rsidP="00471BDA">
            <w:pPr>
              <w:pStyle w:val="TableRowBold"/>
              <w:tabs>
                <w:tab w:val="decimal" w:pos="1134"/>
              </w:tabs>
            </w:pPr>
            <w:r>
              <w:t>100.0</w:t>
            </w:r>
          </w:p>
        </w:tc>
      </w:tr>
    </w:tbl>
    <w:p w:rsidR="009113C1" w:rsidRDefault="00226F5E" w:rsidP="00471BDA">
      <w:pPr>
        <w:pStyle w:val="Source"/>
        <w:tabs>
          <w:tab w:val="left" w:pos="567"/>
        </w:tabs>
        <w:ind w:left="709" w:hanging="709"/>
      </w:pPr>
      <w:r>
        <w:t>Note:</w:t>
      </w:r>
      <w:r w:rsidR="00471BDA">
        <w:tab/>
      </w:r>
      <w:r>
        <w:t>*</w:t>
      </w:r>
      <w:r w:rsidR="00471BDA">
        <w:tab/>
      </w:r>
      <w:r>
        <w:t xml:space="preserve">indicates that the estimate has a relative standard error greater than 25% and therefore </w:t>
      </w:r>
      <w:r w:rsidR="00471BDA">
        <w:br/>
      </w:r>
      <w:r>
        <w:t>should be used with caution.</w:t>
      </w:r>
    </w:p>
    <w:p w:rsidR="009113C1" w:rsidRDefault="00471BDA" w:rsidP="009113C1">
      <w:pPr>
        <w:pStyle w:val="Source"/>
      </w:pPr>
      <w:r>
        <w:t>Source:</w:t>
      </w:r>
      <w:r>
        <w:tab/>
      </w:r>
      <w:r w:rsidR="009113C1">
        <w:t>NCVER (2009).</w:t>
      </w:r>
    </w:p>
    <w:p w:rsidR="00213CB1" w:rsidRDefault="00213CB1" w:rsidP="00471BDA">
      <w:pPr>
        <w:pStyle w:val="Textmorebefore"/>
      </w:pPr>
      <w:r>
        <w:t xml:space="preserve">It is clear that </w:t>
      </w:r>
      <w:r w:rsidR="008C6D73">
        <w:t>reasons relating to the employment experience are the most common</w:t>
      </w:r>
      <w:r w:rsidR="009113C1">
        <w:t>, being</w:t>
      </w:r>
      <w:r w:rsidR="008C6D73">
        <w:t xml:space="preserve"> the main factor in 33% of cases. </w:t>
      </w:r>
      <w:r>
        <w:t xml:space="preserve">By contrast, only 3% of apprentices left primarily due to issues with off-the-job training. </w:t>
      </w:r>
      <w:r w:rsidR="008C6D73">
        <w:t xml:space="preserve">Not liking the industry or the type of work, or leaving to do something different or better were the next most common reasons. </w:t>
      </w:r>
      <w:r w:rsidR="0067147B">
        <w:t>Arguably,</w:t>
      </w:r>
      <w:r w:rsidR="008C6D73">
        <w:t xml:space="preserve"> these reasons are also employment-related, making employment-related reasons a factor in 65% of cases</w:t>
      </w:r>
      <w:r w:rsidR="00F023E8">
        <w:t xml:space="preserve"> overall</w:t>
      </w:r>
      <w:r w:rsidR="008C6D73">
        <w:t xml:space="preserve">. </w:t>
      </w:r>
      <w:r>
        <w:t xml:space="preserve">Although personal reasons are the cause of a fairly large proportion of non-completions, these are not considered further, as they cannot easily be influenced by policy. </w:t>
      </w:r>
    </w:p>
    <w:p w:rsidR="007E63B6" w:rsidRDefault="008B45AB" w:rsidP="007E63B6">
      <w:pPr>
        <w:pStyle w:val="Text"/>
      </w:pPr>
      <w:r>
        <w:lastRenderedPageBreak/>
        <w:t xml:space="preserve">Another national study, by </w:t>
      </w:r>
      <w:r w:rsidR="007E63B6">
        <w:t>Cully and Curt</w:t>
      </w:r>
      <w:r w:rsidR="009113C1">
        <w:t>a</w:t>
      </w:r>
      <w:r w:rsidR="007E63B6">
        <w:t>in (2001)</w:t>
      </w:r>
      <w:r>
        <w:t>,</w:t>
      </w:r>
      <w:r w:rsidR="007E63B6">
        <w:t xml:space="preserve"> s</w:t>
      </w:r>
      <w:r w:rsidR="007E63B6" w:rsidRPr="0013762E">
        <w:t>urveyed approx</w:t>
      </w:r>
      <w:r w:rsidR="007E63B6">
        <w:t>imately</w:t>
      </w:r>
      <w:r w:rsidR="007E63B6" w:rsidRPr="0013762E">
        <w:t xml:space="preserve"> 800 non-completers across Australia, </w:t>
      </w:r>
      <w:r w:rsidR="00423E8C">
        <w:t>including approximately</w:t>
      </w:r>
      <w:r>
        <w:t xml:space="preserve"> </w:t>
      </w:r>
      <w:r w:rsidR="00B45518">
        <w:t>260</w:t>
      </w:r>
      <w:r w:rsidR="00423E8C">
        <w:t xml:space="preserve"> </w:t>
      </w:r>
      <w:r>
        <w:t xml:space="preserve">apprentices. </w:t>
      </w:r>
      <w:r w:rsidR="001C348B">
        <w:t xml:space="preserve">Table </w:t>
      </w:r>
      <w:r w:rsidR="00BD2B91">
        <w:t>6</w:t>
      </w:r>
      <w:r w:rsidR="001C348B">
        <w:t xml:space="preserve"> summarises the top five reasons</w:t>
      </w:r>
      <w:r>
        <w:t xml:space="preserve"> </w:t>
      </w:r>
      <w:r w:rsidR="006077D8">
        <w:t>apprentices</w:t>
      </w:r>
      <w:r>
        <w:t xml:space="preserve"> gave</w:t>
      </w:r>
      <w:r w:rsidR="001C348B">
        <w:t xml:space="preserve"> for </w:t>
      </w:r>
      <w:r w:rsidR="009113C1">
        <w:t>terminating</w:t>
      </w:r>
      <w:r w:rsidR="001C348B">
        <w:t xml:space="preserve"> </w:t>
      </w:r>
      <w:r w:rsidR="006077D8">
        <w:t>their</w:t>
      </w:r>
      <w:r w:rsidR="001C348B">
        <w:t xml:space="preserve"> apprenticeship. </w:t>
      </w:r>
      <w:r w:rsidR="00423E8C">
        <w:t>Again, i</w:t>
      </w:r>
      <w:r>
        <w:t xml:space="preserve">t can be seen that </w:t>
      </w:r>
      <w:r w:rsidR="00423E8C">
        <w:t xml:space="preserve">the reasons for leaving </w:t>
      </w:r>
      <w:r w:rsidR="009540C1">
        <w:t>more commonly involve issues with the</w:t>
      </w:r>
      <w:r w:rsidR="00423E8C">
        <w:t xml:space="preserve"> employ</w:t>
      </w:r>
      <w:r w:rsidR="009540C1">
        <w:t>er or not liking the industry</w:t>
      </w:r>
      <w:r w:rsidR="001C348B">
        <w:t>, rather than a</w:t>
      </w:r>
      <w:r w:rsidR="00BB76EB">
        <w:t xml:space="preserve">nything </w:t>
      </w:r>
      <w:r w:rsidR="009113C1">
        <w:t>related to</w:t>
      </w:r>
      <w:r w:rsidR="00BB76EB">
        <w:t xml:space="preserve"> the training.</w:t>
      </w:r>
    </w:p>
    <w:p w:rsidR="007E63B6" w:rsidRPr="00865B97" w:rsidRDefault="007E63B6" w:rsidP="00981EAF">
      <w:pPr>
        <w:pStyle w:val="tabletitle"/>
      </w:pPr>
      <w:bookmarkStart w:id="80" w:name="_Toc376874271"/>
      <w:r w:rsidRPr="00865B97">
        <w:t xml:space="preserve">Table </w:t>
      </w:r>
      <w:r w:rsidR="00BD2B91" w:rsidRPr="00865B97">
        <w:t>6</w:t>
      </w:r>
      <w:r w:rsidRPr="00865B97">
        <w:tab/>
        <w:t xml:space="preserve">Top five reasons for stopping an </w:t>
      </w:r>
      <w:r w:rsidRPr="00981EAF">
        <w:t>apprenticeship</w:t>
      </w:r>
      <w:r w:rsidR="00B73070">
        <w:t>, 2001</w:t>
      </w:r>
      <w:bookmarkEnd w:id="80"/>
    </w:p>
    <w:tbl>
      <w:tblPr>
        <w:tblW w:w="5670" w:type="dxa"/>
        <w:tblInd w:w="108" w:type="dxa"/>
        <w:tblBorders>
          <w:top w:val="single" w:sz="4" w:space="0" w:color="auto"/>
          <w:bottom w:val="single" w:sz="4" w:space="0" w:color="auto"/>
        </w:tblBorders>
        <w:tblLayout w:type="fixed"/>
        <w:tblLook w:val="0000" w:firstRow="0" w:lastRow="0" w:firstColumn="0" w:lastColumn="0" w:noHBand="0" w:noVBand="0"/>
      </w:tblPr>
      <w:tblGrid>
        <w:gridCol w:w="4111"/>
        <w:gridCol w:w="1559"/>
      </w:tblGrid>
      <w:tr w:rsidR="00981EAF" w:rsidRPr="00981EAF" w:rsidTr="00981EAF">
        <w:trPr>
          <w:cantSplit/>
          <w:trHeight w:val="352"/>
        </w:trPr>
        <w:tc>
          <w:tcPr>
            <w:tcW w:w="4111" w:type="dxa"/>
            <w:vMerge w:val="restart"/>
            <w:tcBorders>
              <w:top w:val="single" w:sz="4" w:space="0" w:color="auto"/>
              <w:right w:val="nil"/>
            </w:tcBorders>
          </w:tcPr>
          <w:p w:rsidR="00981EAF" w:rsidRPr="00981EAF" w:rsidRDefault="00981EAF" w:rsidP="00981EAF">
            <w:pPr>
              <w:pStyle w:val="Tablehead1"/>
            </w:pPr>
            <w:r w:rsidRPr="00981EAF">
              <w:t>Main reason</w:t>
            </w:r>
          </w:p>
        </w:tc>
        <w:tc>
          <w:tcPr>
            <w:tcW w:w="1559" w:type="dxa"/>
            <w:tcBorders>
              <w:top w:val="single" w:sz="4" w:space="0" w:color="auto"/>
              <w:left w:val="nil"/>
              <w:bottom w:val="nil"/>
              <w:right w:val="nil"/>
            </w:tcBorders>
          </w:tcPr>
          <w:p w:rsidR="00981EAF" w:rsidRPr="00981EAF" w:rsidRDefault="00981EAF" w:rsidP="00981EAF">
            <w:pPr>
              <w:pStyle w:val="Tablehead1"/>
              <w:jc w:val="center"/>
            </w:pPr>
            <w:r w:rsidRPr="00981EAF">
              <w:t>%</w:t>
            </w:r>
          </w:p>
        </w:tc>
      </w:tr>
      <w:tr w:rsidR="00981EAF" w:rsidTr="00981EAF">
        <w:trPr>
          <w:cantSplit/>
          <w:trHeight w:val="351"/>
        </w:trPr>
        <w:tc>
          <w:tcPr>
            <w:tcW w:w="4111" w:type="dxa"/>
            <w:vMerge/>
            <w:tcBorders>
              <w:bottom w:val="single" w:sz="4" w:space="0" w:color="auto"/>
              <w:right w:val="nil"/>
            </w:tcBorders>
          </w:tcPr>
          <w:p w:rsidR="00981EAF" w:rsidRDefault="00981EAF" w:rsidP="007A270D">
            <w:pPr>
              <w:pStyle w:val="Tablehead1"/>
            </w:pPr>
          </w:p>
        </w:tc>
        <w:tc>
          <w:tcPr>
            <w:tcW w:w="1559" w:type="dxa"/>
            <w:tcBorders>
              <w:top w:val="nil"/>
              <w:left w:val="nil"/>
              <w:bottom w:val="single" w:sz="4" w:space="0" w:color="auto"/>
              <w:right w:val="nil"/>
            </w:tcBorders>
          </w:tcPr>
          <w:p w:rsidR="00981EAF" w:rsidRDefault="00981EAF" w:rsidP="00981EAF">
            <w:pPr>
              <w:pStyle w:val="Tablehead2"/>
              <w:jc w:val="center"/>
            </w:pPr>
            <w:r w:rsidRPr="00601CC6">
              <w:t>(n = 264)</w:t>
            </w:r>
          </w:p>
        </w:tc>
      </w:tr>
      <w:tr w:rsidR="00601CC6" w:rsidRPr="00981EAF" w:rsidTr="00981EAF">
        <w:trPr>
          <w:cantSplit/>
        </w:trPr>
        <w:tc>
          <w:tcPr>
            <w:tcW w:w="4111" w:type="dxa"/>
            <w:tcBorders>
              <w:top w:val="nil"/>
              <w:bottom w:val="nil"/>
              <w:right w:val="nil"/>
            </w:tcBorders>
          </w:tcPr>
          <w:p w:rsidR="00601CC6" w:rsidRPr="00981EAF" w:rsidRDefault="00601CC6" w:rsidP="00981EAF">
            <w:pPr>
              <w:pStyle w:val="Tabletext"/>
              <w:rPr>
                <w:rFonts w:eastAsia="Calibri"/>
              </w:rPr>
            </w:pPr>
            <w:r w:rsidRPr="00981EAF">
              <w:rPr>
                <w:rFonts w:eastAsia="Calibri"/>
              </w:rPr>
              <w:t xml:space="preserve">No longer wanted to work in that job </w:t>
            </w:r>
          </w:p>
        </w:tc>
        <w:tc>
          <w:tcPr>
            <w:tcW w:w="1559" w:type="dxa"/>
            <w:tcBorders>
              <w:top w:val="nil"/>
              <w:left w:val="nil"/>
              <w:bottom w:val="nil"/>
              <w:right w:val="nil"/>
            </w:tcBorders>
          </w:tcPr>
          <w:p w:rsidR="00601CC6" w:rsidRPr="00981EAF" w:rsidRDefault="00601CC6" w:rsidP="00981EAF">
            <w:pPr>
              <w:pStyle w:val="Tabletext"/>
              <w:tabs>
                <w:tab w:val="decimal" w:pos="737"/>
              </w:tabs>
            </w:pPr>
            <w:r w:rsidRPr="00981EAF">
              <w:t>14</w:t>
            </w:r>
          </w:p>
        </w:tc>
      </w:tr>
      <w:tr w:rsidR="00601CC6" w:rsidRPr="00981EAF" w:rsidTr="00981EAF">
        <w:trPr>
          <w:cantSplit/>
        </w:trPr>
        <w:tc>
          <w:tcPr>
            <w:tcW w:w="4111" w:type="dxa"/>
            <w:tcBorders>
              <w:top w:val="nil"/>
              <w:bottom w:val="nil"/>
              <w:right w:val="nil"/>
            </w:tcBorders>
          </w:tcPr>
          <w:p w:rsidR="00601CC6" w:rsidRPr="00981EAF" w:rsidRDefault="00601CC6" w:rsidP="00981EAF">
            <w:pPr>
              <w:pStyle w:val="Tabletext"/>
              <w:rPr>
                <w:rFonts w:eastAsia="Calibri"/>
              </w:rPr>
            </w:pPr>
            <w:r w:rsidRPr="00981EAF">
              <w:rPr>
                <w:rFonts w:eastAsia="Calibri"/>
              </w:rPr>
              <w:t>Bad management/boss</w:t>
            </w:r>
          </w:p>
        </w:tc>
        <w:tc>
          <w:tcPr>
            <w:tcW w:w="1559" w:type="dxa"/>
            <w:tcBorders>
              <w:top w:val="nil"/>
              <w:left w:val="nil"/>
              <w:bottom w:val="nil"/>
              <w:right w:val="nil"/>
            </w:tcBorders>
          </w:tcPr>
          <w:p w:rsidR="00601CC6" w:rsidRPr="00981EAF" w:rsidRDefault="00601CC6" w:rsidP="00981EAF">
            <w:pPr>
              <w:pStyle w:val="Tabletext"/>
              <w:tabs>
                <w:tab w:val="decimal" w:pos="737"/>
              </w:tabs>
            </w:pPr>
            <w:r w:rsidRPr="00981EAF">
              <w:t>13</w:t>
            </w:r>
          </w:p>
        </w:tc>
      </w:tr>
      <w:tr w:rsidR="00601CC6" w:rsidRPr="00981EAF" w:rsidTr="00981EAF">
        <w:trPr>
          <w:cantSplit/>
        </w:trPr>
        <w:tc>
          <w:tcPr>
            <w:tcW w:w="4111" w:type="dxa"/>
            <w:tcBorders>
              <w:top w:val="nil"/>
              <w:bottom w:val="nil"/>
              <w:right w:val="nil"/>
            </w:tcBorders>
          </w:tcPr>
          <w:p w:rsidR="00601CC6" w:rsidRPr="00981EAF" w:rsidRDefault="00601CC6" w:rsidP="00981EAF">
            <w:pPr>
              <w:pStyle w:val="Tabletext"/>
              <w:rPr>
                <w:rFonts w:eastAsia="Calibri"/>
              </w:rPr>
            </w:pPr>
            <w:r w:rsidRPr="00981EAF">
              <w:rPr>
                <w:rFonts w:eastAsia="Calibri"/>
              </w:rPr>
              <w:t xml:space="preserve">Dismissed by the employer </w:t>
            </w:r>
          </w:p>
        </w:tc>
        <w:tc>
          <w:tcPr>
            <w:tcW w:w="1559" w:type="dxa"/>
            <w:tcBorders>
              <w:top w:val="nil"/>
              <w:left w:val="nil"/>
              <w:bottom w:val="nil"/>
              <w:right w:val="nil"/>
            </w:tcBorders>
          </w:tcPr>
          <w:p w:rsidR="00601CC6" w:rsidRPr="00981EAF" w:rsidRDefault="00601CC6" w:rsidP="00981EAF">
            <w:pPr>
              <w:pStyle w:val="Tabletext"/>
              <w:tabs>
                <w:tab w:val="decimal" w:pos="737"/>
              </w:tabs>
            </w:pPr>
            <w:r w:rsidRPr="00981EAF">
              <w:t>10</w:t>
            </w:r>
          </w:p>
        </w:tc>
      </w:tr>
      <w:tr w:rsidR="00601CC6" w:rsidRPr="00981EAF" w:rsidTr="00981EAF">
        <w:trPr>
          <w:cantSplit/>
        </w:trPr>
        <w:tc>
          <w:tcPr>
            <w:tcW w:w="4111" w:type="dxa"/>
            <w:tcBorders>
              <w:top w:val="nil"/>
              <w:bottom w:val="nil"/>
              <w:right w:val="nil"/>
            </w:tcBorders>
          </w:tcPr>
          <w:p w:rsidR="00601CC6" w:rsidRPr="00981EAF" w:rsidRDefault="00601CC6" w:rsidP="00981EAF">
            <w:pPr>
              <w:pStyle w:val="Tabletext"/>
              <w:rPr>
                <w:rFonts w:eastAsia="Calibri"/>
              </w:rPr>
            </w:pPr>
            <w:r w:rsidRPr="00981EAF">
              <w:rPr>
                <w:rFonts w:eastAsia="Calibri"/>
              </w:rPr>
              <w:t xml:space="preserve">Made redundant </w:t>
            </w:r>
          </w:p>
        </w:tc>
        <w:tc>
          <w:tcPr>
            <w:tcW w:w="1559" w:type="dxa"/>
            <w:tcBorders>
              <w:top w:val="nil"/>
              <w:left w:val="nil"/>
              <w:bottom w:val="nil"/>
              <w:right w:val="nil"/>
            </w:tcBorders>
          </w:tcPr>
          <w:p w:rsidR="00601CC6" w:rsidRPr="00981EAF" w:rsidRDefault="00601CC6" w:rsidP="00981EAF">
            <w:pPr>
              <w:pStyle w:val="Tabletext"/>
              <w:tabs>
                <w:tab w:val="decimal" w:pos="737"/>
              </w:tabs>
            </w:pPr>
            <w:r w:rsidRPr="00981EAF">
              <w:t>10</w:t>
            </w:r>
          </w:p>
        </w:tc>
      </w:tr>
      <w:tr w:rsidR="00601CC6" w:rsidRPr="00981EAF" w:rsidTr="00981EAF">
        <w:trPr>
          <w:cantSplit/>
        </w:trPr>
        <w:tc>
          <w:tcPr>
            <w:tcW w:w="4111" w:type="dxa"/>
            <w:tcBorders>
              <w:top w:val="nil"/>
              <w:bottom w:val="single" w:sz="4" w:space="0" w:color="auto"/>
              <w:right w:val="nil"/>
            </w:tcBorders>
          </w:tcPr>
          <w:p w:rsidR="00601CC6" w:rsidRPr="00981EAF" w:rsidRDefault="00601CC6" w:rsidP="00981EAF">
            <w:pPr>
              <w:pStyle w:val="Tabletext"/>
              <w:rPr>
                <w:rFonts w:eastAsia="Calibri"/>
              </w:rPr>
            </w:pPr>
            <w:r w:rsidRPr="00981EAF">
              <w:rPr>
                <w:rFonts w:eastAsia="Calibri"/>
              </w:rPr>
              <w:t>To transfer to another apprenticeship</w:t>
            </w:r>
          </w:p>
        </w:tc>
        <w:tc>
          <w:tcPr>
            <w:tcW w:w="1559" w:type="dxa"/>
            <w:tcBorders>
              <w:top w:val="nil"/>
              <w:left w:val="nil"/>
              <w:bottom w:val="single" w:sz="4" w:space="0" w:color="auto"/>
              <w:right w:val="nil"/>
            </w:tcBorders>
          </w:tcPr>
          <w:p w:rsidR="00601CC6" w:rsidRPr="00981EAF" w:rsidRDefault="00601CC6" w:rsidP="00981EAF">
            <w:pPr>
              <w:pStyle w:val="Tabletext"/>
              <w:tabs>
                <w:tab w:val="decimal" w:pos="737"/>
              </w:tabs>
            </w:pPr>
            <w:r w:rsidRPr="00981EAF">
              <w:t>8</w:t>
            </w:r>
          </w:p>
        </w:tc>
      </w:tr>
    </w:tbl>
    <w:p w:rsidR="007E63B6" w:rsidRPr="003C6D1C" w:rsidRDefault="007E63B6" w:rsidP="00981EAF">
      <w:pPr>
        <w:pStyle w:val="Source"/>
      </w:pPr>
      <w:r>
        <w:t>Source:</w:t>
      </w:r>
      <w:r>
        <w:tab/>
        <w:t xml:space="preserve">Cully </w:t>
      </w:r>
      <w:r w:rsidR="0067147B">
        <w:t>&amp;</w:t>
      </w:r>
      <w:r>
        <w:t xml:space="preserve"> Curtain (2001)</w:t>
      </w:r>
      <w:r w:rsidR="009113C1">
        <w:t>.</w:t>
      </w:r>
    </w:p>
    <w:p w:rsidR="00EF2EE2" w:rsidRDefault="008B45AB" w:rsidP="00981EAF">
      <w:pPr>
        <w:pStyle w:val="Textmorebefore"/>
      </w:pPr>
      <w:r>
        <w:t>Patterson Market Research (2004</w:t>
      </w:r>
      <w:r w:rsidR="00F27D14">
        <w:t xml:space="preserve">) interviewed </w:t>
      </w:r>
      <w:r w:rsidR="00C70922">
        <w:t xml:space="preserve">approximately </w:t>
      </w:r>
      <w:r w:rsidR="00F27D14">
        <w:t>380 apprentices</w:t>
      </w:r>
      <w:r w:rsidR="00B45518">
        <w:t xml:space="preserve"> in the building industry in Western Australia</w:t>
      </w:r>
      <w:r w:rsidR="00F27D14">
        <w:t xml:space="preserve">, both current and discontinued. Approximately </w:t>
      </w:r>
      <w:r w:rsidR="00445B7E">
        <w:t>20% of discontinued apprentices said that they</w:t>
      </w:r>
      <w:r w:rsidR="0067147B">
        <w:t xml:space="preserve"> had</w:t>
      </w:r>
      <w:r w:rsidR="00445B7E">
        <w:t xml:space="preserve"> left </w:t>
      </w:r>
      <w:r w:rsidR="006077D8">
        <w:t xml:space="preserve">because the apprenticeship was </w:t>
      </w:r>
      <w:r w:rsidR="00841F93">
        <w:t>‘</w:t>
      </w:r>
      <w:r w:rsidR="006077D8">
        <w:t>boring</w:t>
      </w:r>
      <w:r w:rsidR="00841F93">
        <w:t>’</w:t>
      </w:r>
      <w:r w:rsidR="006077D8">
        <w:t>, wasn</w:t>
      </w:r>
      <w:r w:rsidR="00841F93">
        <w:t>’</w:t>
      </w:r>
      <w:r w:rsidR="006077D8">
        <w:t xml:space="preserve">t what they thought it would be, or because they </w:t>
      </w:r>
      <w:r w:rsidR="00841F93">
        <w:t>‘</w:t>
      </w:r>
      <w:r w:rsidR="006077D8">
        <w:t>ju</w:t>
      </w:r>
      <w:r w:rsidR="00423E8C">
        <w:t>st wanted to do something else</w:t>
      </w:r>
      <w:r w:rsidR="00841F93">
        <w:t>’</w:t>
      </w:r>
      <w:r w:rsidR="00423E8C">
        <w:t>, while</w:t>
      </w:r>
      <w:r w:rsidR="006077D8">
        <w:t xml:space="preserve"> </w:t>
      </w:r>
      <w:r w:rsidR="00F27D14">
        <w:t>17%</w:t>
      </w:r>
      <w:r>
        <w:t xml:space="preserve"> indi</w:t>
      </w:r>
      <w:r w:rsidR="009113C1">
        <w:t>cated that some form of falling-</w:t>
      </w:r>
      <w:r>
        <w:t xml:space="preserve">out with their employer or </w:t>
      </w:r>
      <w:r w:rsidR="00F27D14">
        <w:t xml:space="preserve">poor </w:t>
      </w:r>
      <w:r>
        <w:t xml:space="preserve">working conditions </w:t>
      </w:r>
      <w:r w:rsidR="00F27D14">
        <w:t>were</w:t>
      </w:r>
      <w:r>
        <w:t xml:space="preserve"> </w:t>
      </w:r>
      <w:r w:rsidR="00423E8C">
        <w:t xml:space="preserve">to blame. </w:t>
      </w:r>
      <w:r w:rsidR="00F75E3F">
        <w:t>Approximately</w:t>
      </w:r>
      <w:r>
        <w:t xml:space="preserve"> 14% cited low pay</w:t>
      </w:r>
      <w:r w:rsidR="006077D8">
        <w:t xml:space="preserve">. </w:t>
      </w:r>
      <w:r w:rsidR="00445B7E">
        <w:t>Again, low pay is not the top reason, but it is one of the top reasons.</w:t>
      </w:r>
    </w:p>
    <w:p w:rsidR="00211ADF" w:rsidRDefault="00FC18A0" w:rsidP="00211ADF">
      <w:pPr>
        <w:pStyle w:val="Text"/>
      </w:pPr>
      <w:r>
        <w:t xml:space="preserve">Looking within a particular </w:t>
      </w:r>
      <w:r w:rsidR="00423E8C">
        <w:t>occupation</w:t>
      </w:r>
      <w:r>
        <w:t>, d</w:t>
      </w:r>
      <w:r w:rsidR="00211ADF">
        <w:t>iscontinued</w:t>
      </w:r>
      <w:r w:rsidR="006077D8">
        <w:t xml:space="preserve"> </w:t>
      </w:r>
      <w:proofErr w:type="spellStart"/>
      <w:r w:rsidR="006077D8">
        <w:t>electrotechnology</w:t>
      </w:r>
      <w:proofErr w:type="spellEnd"/>
      <w:r w:rsidR="006077D8">
        <w:t xml:space="preserve"> apprentices </w:t>
      </w:r>
      <w:r w:rsidR="00211ADF">
        <w:t>gave the</w:t>
      </w:r>
      <w:r>
        <w:t xml:space="preserve"> reasons listed in table </w:t>
      </w:r>
      <w:r w:rsidR="00BD2B91">
        <w:t>7</w:t>
      </w:r>
      <w:r>
        <w:t xml:space="preserve"> </w:t>
      </w:r>
      <w:r w:rsidR="00211ADF">
        <w:t>as their top five reasons for cancell</w:t>
      </w:r>
      <w:r>
        <w:t>ing (Energy Skills Queensland 2009)</w:t>
      </w:r>
      <w:r w:rsidR="00211ADF">
        <w:t xml:space="preserve">. </w:t>
      </w:r>
      <w:r w:rsidR="00A809C3">
        <w:t>The high proportion of employer-</w:t>
      </w:r>
      <w:r w:rsidR="003C6D1C">
        <w:t xml:space="preserve">terminated contracts is likely </w:t>
      </w:r>
      <w:r w:rsidR="0067147B">
        <w:t xml:space="preserve">to be </w:t>
      </w:r>
      <w:r w:rsidR="003C6D1C">
        <w:t>a result of the global economic downturn.</w:t>
      </w:r>
      <w:r w:rsidR="008B45AB">
        <w:t xml:space="preserve"> Aside from this, low pay, insufficient support in the workplace, another job offer and unmet expectations were </w:t>
      </w:r>
      <w:r w:rsidR="00423E8C">
        <w:t xml:space="preserve">equally common as </w:t>
      </w:r>
      <w:r w:rsidR="008B45AB">
        <w:t xml:space="preserve">the main reasons </w:t>
      </w:r>
      <w:r w:rsidR="00423E8C">
        <w:t>for leaving</w:t>
      </w:r>
      <w:r w:rsidR="008B45AB">
        <w:t>.</w:t>
      </w:r>
      <w:r w:rsidR="00174C09">
        <w:t xml:space="preserve"> As with the NCVER surveys, low pay is only cited by around 10% of apprentices as their main reason for leaving.</w:t>
      </w:r>
      <w:r w:rsidR="00FA05A7">
        <w:t xml:space="preserve"> However, </w:t>
      </w:r>
      <w:r w:rsidR="00A809C3">
        <w:t>it</w:t>
      </w:r>
      <w:r w:rsidR="00FA05A7">
        <w:t xml:space="preserve"> could </w:t>
      </w:r>
      <w:r w:rsidR="00A809C3">
        <w:t xml:space="preserve">be </w:t>
      </w:r>
      <w:r w:rsidR="00FA05A7">
        <w:t>argue</w:t>
      </w:r>
      <w:r w:rsidR="00A809C3">
        <w:t>d</w:t>
      </w:r>
      <w:r w:rsidR="00FA05A7">
        <w:t xml:space="preserve"> that </w:t>
      </w:r>
      <w:r w:rsidR="00841F93">
        <w:t>‘</w:t>
      </w:r>
      <w:r w:rsidR="00FA05A7">
        <w:t xml:space="preserve">Received a better job offer </w:t>
      </w:r>
      <w:r w:rsidR="008C6D73">
        <w:t xml:space="preserve">— </w:t>
      </w:r>
      <w:r w:rsidR="00FA05A7">
        <w:t>more money</w:t>
      </w:r>
      <w:r w:rsidR="00841F93">
        <w:t>’</w:t>
      </w:r>
      <w:r w:rsidR="00FA05A7">
        <w:t xml:space="preserve"> is also related to low pay, making low pay a factor for 21% of respondents overall.</w:t>
      </w:r>
    </w:p>
    <w:p w:rsidR="00211ADF" w:rsidRPr="00865B97" w:rsidRDefault="00211ADF" w:rsidP="00981EAF">
      <w:pPr>
        <w:pStyle w:val="tabletitle"/>
      </w:pPr>
      <w:bookmarkStart w:id="81" w:name="_Toc376874272"/>
      <w:bookmarkStart w:id="82" w:name="OLE_LINK5"/>
      <w:bookmarkStart w:id="83" w:name="OLE_LINK6"/>
      <w:bookmarkStart w:id="84" w:name="OLE_LINK7"/>
      <w:r w:rsidRPr="00865B97">
        <w:t xml:space="preserve">Table </w:t>
      </w:r>
      <w:r w:rsidR="00BD2B91" w:rsidRPr="00865B97">
        <w:t>7</w:t>
      </w:r>
      <w:r w:rsidRPr="00865B97">
        <w:tab/>
        <w:t xml:space="preserve">Top five reasons for cancellations identified by </w:t>
      </w:r>
      <w:r w:rsidR="00981EAF">
        <w:br/>
      </w:r>
      <w:r w:rsidRPr="00865B97">
        <w:t xml:space="preserve">discontinued </w:t>
      </w:r>
      <w:proofErr w:type="spellStart"/>
      <w:r w:rsidRPr="00981EAF">
        <w:t>electrotechnology</w:t>
      </w:r>
      <w:proofErr w:type="spellEnd"/>
      <w:r w:rsidRPr="00865B97">
        <w:t xml:space="preserve"> respondents</w:t>
      </w:r>
      <w:bookmarkEnd w:id="81"/>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4111"/>
        <w:gridCol w:w="1559"/>
      </w:tblGrid>
      <w:tr w:rsidR="00981EAF" w:rsidTr="00981EAF">
        <w:trPr>
          <w:cantSplit/>
          <w:trHeight w:val="260"/>
        </w:trPr>
        <w:tc>
          <w:tcPr>
            <w:tcW w:w="4111" w:type="dxa"/>
            <w:vMerge w:val="restart"/>
            <w:tcBorders>
              <w:top w:val="single" w:sz="4" w:space="0" w:color="auto"/>
              <w:right w:val="nil"/>
            </w:tcBorders>
          </w:tcPr>
          <w:p w:rsidR="00981EAF" w:rsidRDefault="00981EAF" w:rsidP="00981EAF">
            <w:pPr>
              <w:pStyle w:val="Tablehead1"/>
            </w:pPr>
            <w:r>
              <w:t>Main reason</w:t>
            </w:r>
          </w:p>
        </w:tc>
        <w:tc>
          <w:tcPr>
            <w:tcW w:w="1559" w:type="dxa"/>
            <w:tcBorders>
              <w:top w:val="single" w:sz="4" w:space="0" w:color="auto"/>
              <w:left w:val="nil"/>
              <w:bottom w:val="nil"/>
              <w:right w:val="nil"/>
            </w:tcBorders>
          </w:tcPr>
          <w:p w:rsidR="00981EAF" w:rsidRDefault="00981EAF" w:rsidP="00981EAF">
            <w:pPr>
              <w:pStyle w:val="Tablehead1"/>
              <w:jc w:val="center"/>
            </w:pPr>
            <w:r>
              <w:t>%</w:t>
            </w:r>
          </w:p>
        </w:tc>
      </w:tr>
      <w:tr w:rsidR="00981EAF" w:rsidTr="00981EAF">
        <w:trPr>
          <w:cantSplit/>
          <w:trHeight w:val="259"/>
        </w:trPr>
        <w:tc>
          <w:tcPr>
            <w:tcW w:w="4111" w:type="dxa"/>
            <w:vMerge/>
            <w:tcBorders>
              <w:bottom w:val="single" w:sz="4" w:space="0" w:color="auto"/>
              <w:right w:val="nil"/>
            </w:tcBorders>
          </w:tcPr>
          <w:p w:rsidR="00981EAF" w:rsidRDefault="00981EAF" w:rsidP="00174C09">
            <w:pPr>
              <w:pStyle w:val="Tablehead3"/>
            </w:pPr>
          </w:p>
        </w:tc>
        <w:tc>
          <w:tcPr>
            <w:tcW w:w="1559" w:type="dxa"/>
            <w:tcBorders>
              <w:top w:val="nil"/>
              <w:left w:val="nil"/>
              <w:bottom w:val="single" w:sz="4" w:space="0" w:color="auto"/>
              <w:right w:val="nil"/>
            </w:tcBorders>
          </w:tcPr>
          <w:p w:rsidR="00981EAF" w:rsidRPr="00981EAF" w:rsidRDefault="00981EAF" w:rsidP="00981EAF">
            <w:pPr>
              <w:pStyle w:val="Tablehead2"/>
              <w:jc w:val="center"/>
            </w:pPr>
            <w:r>
              <w:t>(n = 104)</w:t>
            </w:r>
          </w:p>
        </w:tc>
      </w:tr>
      <w:tr w:rsidR="00211ADF" w:rsidRPr="00981EAF" w:rsidTr="00981EAF">
        <w:trPr>
          <w:cantSplit/>
        </w:trPr>
        <w:tc>
          <w:tcPr>
            <w:tcW w:w="4111" w:type="dxa"/>
            <w:tcBorders>
              <w:top w:val="nil"/>
              <w:bottom w:val="nil"/>
              <w:right w:val="nil"/>
            </w:tcBorders>
          </w:tcPr>
          <w:p w:rsidR="00211ADF" w:rsidRPr="00981EAF" w:rsidRDefault="00211ADF" w:rsidP="00981EAF">
            <w:pPr>
              <w:pStyle w:val="Tabletext"/>
            </w:pPr>
            <w:r w:rsidRPr="00981EAF">
              <w:t>Employer terminated</w:t>
            </w:r>
          </w:p>
        </w:tc>
        <w:tc>
          <w:tcPr>
            <w:tcW w:w="1559" w:type="dxa"/>
            <w:tcBorders>
              <w:top w:val="nil"/>
              <w:left w:val="nil"/>
              <w:bottom w:val="nil"/>
              <w:right w:val="nil"/>
            </w:tcBorders>
          </w:tcPr>
          <w:p w:rsidR="00211ADF" w:rsidRPr="00981EAF" w:rsidRDefault="00211ADF" w:rsidP="00981EAF">
            <w:pPr>
              <w:pStyle w:val="Tabletext"/>
              <w:tabs>
                <w:tab w:val="decimal" w:pos="737"/>
              </w:tabs>
            </w:pPr>
            <w:r w:rsidRPr="00981EAF">
              <w:t>22</w:t>
            </w:r>
          </w:p>
        </w:tc>
      </w:tr>
      <w:tr w:rsidR="00211ADF" w:rsidRPr="00981EAF" w:rsidTr="00981EAF">
        <w:trPr>
          <w:cantSplit/>
        </w:trPr>
        <w:tc>
          <w:tcPr>
            <w:tcW w:w="4111" w:type="dxa"/>
            <w:tcBorders>
              <w:top w:val="nil"/>
              <w:bottom w:val="nil"/>
              <w:right w:val="nil"/>
            </w:tcBorders>
          </w:tcPr>
          <w:p w:rsidR="00211ADF" w:rsidRPr="00981EAF" w:rsidRDefault="00211ADF" w:rsidP="00981EAF">
            <w:pPr>
              <w:pStyle w:val="Tabletext"/>
            </w:pPr>
            <w:r w:rsidRPr="00981EAF">
              <w:t>Low pay</w:t>
            </w:r>
          </w:p>
        </w:tc>
        <w:tc>
          <w:tcPr>
            <w:tcW w:w="1559" w:type="dxa"/>
            <w:tcBorders>
              <w:top w:val="nil"/>
              <w:left w:val="nil"/>
              <w:bottom w:val="nil"/>
              <w:right w:val="nil"/>
            </w:tcBorders>
          </w:tcPr>
          <w:p w:rsidR="00211ADF" w:rsidRPr="00981EAF" w:rsidRDefault="00211ADF" w:rsidP="00981EAF">
            <w:pPr>
              <w:pStyle w:val="Tabletext"/>
              <w:tabs>
                <w:tab w:val="decimal" w:pos="737"/>
              </w:tabs>
            </w:pPr>
            <w:r w:rsidRPr="00981EAF">
              <w:t>11</w:t>
            </w:r>
          </w:p>
        </w:tc>
      </w:tr>
      <w:tr w:rsidR="00211ADF" w:rsidRPr="00981EAF" w:rsidTr="00981EAF">
        <w:trPr>
          <w:cantSplit/>
        </w:trPr>
        <w:tc>
          <w:tcPr>
            <w:tcW w:w="4111" w:type="dxa"/>
            <w:tcBorders>
              <w:top w:val="nil"/>
              <w:bottom w:val="nil"/>
              <w:right w:val="nil"/>
            </w:tcBorders>
          </w:tcPr>
          <w:p w:rsidR="00211ADF" w:rsidRPr="00981EAF" w:rsidRDefault="00211ADF" w:rsidP="00981EAF">
            <w:pPr>
              <w:pStyle w:val="Tabletext"/>
            </w:pPr>
            <w:r w:rsidRPr="00981EAF">
              <w:t>Poor access to training and mentoring in the workplace</w:t>
            </w:r>
          </w:p>
        </w:tc>
        <w:tc>
          <w:tcPr>
            <w:tcW w:w="1559" w:type="dxa"/>
            <w:tcBorders>
              <w:top w:val="nil"/>
              <w:left w:val="nil"/>
              <w:bottom w:val="nil"/>
              <w:right w:val="nil"/>
            </w:tcBorders>
          </w:tcPr>
          <w:p w:rsidR="00211ADF" w:rsidRPr="00981EAF" w:rsidRDefault="00211ADF" w:rsidP="00981EAF">
            <w:pPr>
              <w:pStyle w:val="Tabletext"/>
              <w:tabs>
                <w:tab w:val="decimal" w:pos="737"/>
              </w:tabs>
            </w:pPr>
            <w:r w:rsidRPr="00981EAF">
              <w:t>10</w:t>
            </w:r>
          </w:p>
        </w:tc>
      </w:tr>
      <w:tr w:rsidR="00211ADF" w:rsidRPr="00981EAF" w:rsidTr="00981EAF">
        <w:trPr>
          <w:cantSplit/>
        </w:trPr>
        <w:tc>
          <w:tcPr>
            <w:tcW w:w="4111" w:type="dxa"/>
            <w:tcBorders>
              <w:top w:val="nil"/>
              <w:bottom w:val="nil"/>
              <w:right w:val="nil"/>
            </w:tcBorders>
          </w:tcPr>
          <w:p w:rsidR="00211ADF" w:rsidRPr="00981EAF" w:rsidRDefault="00211ADF" w:rsidP="00981EAF">
            <w:pPr>
              <w:pStyle w:val="Tabletext"/>
            </w:pPr>
            <w:r w:rsidRPr="00981EAF">
              <w:t>Received a better job offer – more money</w:t>
            </w:r>
          </w:p>
        </w:tc>
        <w:tc>
          <w:tcPr>
            <w:tcW w:w="1559" w:type="dxa"/>
            <w:tcBorders>
              <w:top w:val="nil"/>
              <w:left w:val="nil"/>
              <w:bottom w:val="nil"/>
              <w:right w:val="nil"/>
            </w:tcBorders>
          </w:tcPr>
          <w:p w:rsidR="00211ADF" w:rsidRPr="00981EAF" w:rsidRDefault="00211ADF" w:rsidP="00981EAF">
            <w:pPr>
              <w:pStyle w:val="Tabletext"/>
              <w:tabs>
                <w:tab w:val="decimal" w:pos="737"/>
              </w:tabs>
            </w:pPr>
            <w:r w:rsidRPr="00981EAF">
              <w:t>10</w:t>
            </w:r>
          </w:p>
        </w:tc>
      </w:tr>
      <w:tr w:rsidR="00211ADF" w:rsidRPr="00981EAF" w:rsidTr="00981EAF">
        <w:trPr>
          <w:cantSplit/>
        </w:trPr>
        <w:tc>
          <w:tcPr>
            <w:tcW w:w="4111" w:type="dxa"/>
            <w:tcBorders>
              <w:top w:val="nil"/>
              <w:bottom w:val="single" w:sz="4" w:space="0" w:color="auto"/>
              <w:right w:val="nil"/>
            </w:tcBorders>
          </w:tcPr>
          <w:p w:rsidR="00211ADF" w:rsidRPr="00981EAF" w:rsidRDefault="00211ADF" w:rsidP="00981EAF">
            <w:pPr>
              <w:pStyle w:val="Tabletext"/>
            </w:pPr>
            <w:r w:rsidRPr="00981EAF">
              <w:t>Did not meet my expectations</w:t>
            </w:r>
          </w:p>
        </w:tc>
        <w:tc>
          <w:tcPr>
            <w:tcW w:w="1559" w:type="dxa"/>
            <w:tcBorders>
              <w:top w:val="nil"/>
              <w:left w:val="nil"/>
              <w:bottom w:val="single" w:sz="4" w:space="0" w:color="auto"/>
              <w:right w:val="nil"/>
            </w:tcBorders>
          </w:tcPr>
          <w:p w:rsidR="00211ADF" w:rsidRPr="00981EAF" w:rsidRDefault="00211ADF" w:rsidP="00981EAF">
            <w:pPr>
              <w:pStyle w:val="Tabletext"/>
              <w:tabs>
                <w:tab w:val="decimal" w:pos="737"/>
              </w:tabs>
            </w:pPr>
            <w:r w:rsidRPr="00981EAF">
              <w:t>8</w:t>
            </w:r>
          </w:p>
        </w:tc>
      </w:tr>
    </w:tbl>
    <w:p w:rsidR="00211ADF" w:rsidRDefault="00211ADF" w:rsidP="00981EAF">
      <w:pPr>
        <w:pStyle w:val="Source"/>
      </w:pPr>
      <w:r>
        <w:t>Source:</w:t>
      </w:r>
      <w:r>
        <w:tab/>
        <w:t xml:space="preserve">Energy Skills </w:t>
      </w:r>
      <w:r w:rsidRPr="00981EAF">
        <w:t>Queensland</w:t>
      </w:r>
      <w:r>
        <w:t xml:space="preserve"> (2009)</w:t>
      </w:r>
      <w:r w:rsidR="00A809C3">
        <w:t>.</w:t>
      </w:r>
    </w:p>
    <w:bookmarkEnd w:id="82"/>
    <w:bookmarkEnd w:id="83"/>
    <w:bookmarkEnd w:id="84"/>
    <w:p w:rsidR="008B45AB" w:rsidRDefault="00BB76EB" w:rsidP="00981EAF">
      <w:pPr>
        <w:pStyle w:val="Textmorebefore"/>
        <w:ind w:right="141"/>
      </w:pPr>
      <w:r>
        <w:t>Overall</w:t>
      </w:r>
      <w:r w:rsidR="008B45AB">
        <w:t>, issues</w:t>
      </w:r>
      <w:r w:rsidR="00F432CB">
        <w:t xml:space="preserve"> with the employment experience, not liking the work and pursuing other opportunities appear to be</w:t>
      </w:r>
      <w:r w:rsidR="008B45AB">
        <w:t xml:space="preserve"> the dominant reason</w:t>
      </w:r>
      <w:r w:rsidR="00F432CB">
        <w:t>s</w:t>
      </w:r>
      <w:r w:rsidR="008B45AB">
        <w:t xml:space="preserve"> for leaving</w:t>
      </w:r>
      <w:r w:rsidR="00B73070">
        <w:t xml:space="preserve">. </w:t>
      </w:r>
      <w:r w:rsidR="00FA05A7">
        <w:t xml:space="preserve">The next chapter </w:t>
      </w:r>
      <w:r w:rsidR="00423E8C">
        <w:t>examine</w:t>
      </w:r>
      <w:r w:rsidR="00FA05A7">
        <w:t>s</w:t>
      </w:r>
      <w:r w:rsidR="00423E8C">
        <w:t xml:space="preserve"> the employer</w:t>
      </w:r>
      <w:r w:rsidR="00841F93">
        <w:t>’</w:t>
      </w:r>
      <w:r w:rsidR="00423E8C">
        <w:t>s role more fully.</w:t>
      </w:r>
    </w:p>
    <w:p w:rsidR="00CB229D" w:rsidRPr="00300549" w:rsidRDefault="00CB229D" w:rsidP="00CB229D">
      <w:pPr>
        <w:pStyle w:val="Heading2"/>
      </w:pPr>
      <w:bookmarkStart w:id="85" w:name="_Toc377040300"/>
      <w:r w:rsidRPr="00300549">
        <w:lastRenderedPageBreak/>
        <w:t xml:space="preserve">When do apprentices </w:t>
      </w:r>
      <w:r w:rsidR="00B844D5">
        <w:t>leave</w:t>
      </w:r>
      <w:r w:rsidRPr="00300549">
        <w:t>?</w:t>
      </w:r>
      <w:bookmarkEnd w:id="85"/>
    </w:p>
    <w:p w:rsidR="00CB229D" w:rsidRDefault="00770ED3" w:rsidP="00CB229D">
      <w:pPr>
        <w:pStyle w:val="Text"/>
      </w:pPr>
      <w:r>
        <w:t>Recognising when c</w:t>
      </w:r>
      <w:r w:rsidR="00423E8C">
        <w:t xml:space="preserve">ancellations </w:t>
      </w:r>
      <w:r>
        <w:t xml:space="preserve">occur </w:t>
      </w:r>
      <w:r w:rsidR="00423E8C">
        <w:t>can</w:t>
      </w:r>
      <w:r w:rsidR="00587F74">
        <w:t xml:space="preserve"> </w:t>
      </w:r>
      <w:r w:rsidR="00CB229D">
        <w:t xml:space="preserve">help </w:t>
      </w:r>
      <w:r w:rsidR="00A809C3">
        <w:t xml:space="preserve">to </w:t>
      </w:r>
      <w:r w:rsidR="00CB229D">
        <w:t xml:space="preserve">inform our understanding of </w:t>
      </w:r>
      <w:r w:rsidR="00CB229D" w:rsidRPr="00FC18A0">
        <w:t>why</w:t>
      </w:r>
      <w:r w:rsidR="00CB229D">
        <w:t xml:space="preserve"> </w:t>
      </w:r>
      <w:r w:rsidR="00BF3C37">
        <w:t>apprentices</w:t>
      </w:r>
      <w:r w:rsidR="00CB229D">
        <w:t xml:space="preserve"> quit. For example, drop-out rates tend to be higher at the beginning of the contract</w:t>
      </w:r>
      <w:r w:rsidR="00F159F6">
        <w:t>.</w:t>
      </w:r>
      <w:r w:rsidR="00A652B3">
        <w:t xml:space="preserve"> </w:t>
      </w:r>
      <w:r w:rsidR="00423E8C">
        <w:t>Approximately</w:t>
      </w:r>
      <w:r w:rsidR="00A809C3">
        <w:t xml:space="preserve"> one-</w:t>
      </w:r>
      <w:r w:rsidR="00CB229D">
        <w:t>third of contracts are cancelled within the first year</w:t>
      </w:r>
      <w:r w:rsidR="000973C9">
        <w:t>, and 20% within the first six months</w:t>
      </w:r>
      <w:r w:rsidR="00C0304D">
        <w:t xml:space="preserve">, as shown in table 8. </w:t>
      </w:r>
      <w:r w:rsidR="00F27D14">
        <w:t xml:space="preserve">Overall, </w:t>
      </w:r>
      <w:r w:rsidR="00A809C3">
        <w:t>five</w:t>
      </w:r>
      <w:r w:rsidR="00F27D14">
        <w:t xml:space="preserve"> in </w:t>
      </w:r>
      <w:r w:rsidR="00A809C3">
        <w:t>ten</w:t>
      </w:r>
      <w:r w:rsidR="00F27D14">
        <w:t xml:space="preserve"> contracts are cancelled</w:t>
      </w:r>
      <w:r w:rsidR="00423E8C">
        <w:t xml:space="preserve"> (NCVER 2012a)</w:t>
      </w:r>
      <w:r w:rsidR="00F27D14">
        <w:t>.</w:t>
      </w:r>
      <w:r w:rsidR="000973C9">
        <w:t xml:space="preserve"> In real terms, </w:t>
      </w:r>
      <w:r w:rsidR="00C0304D">
        <w:t xml:space="preserve">this means that </w:t>
      </w:r>
      <w:r w:rsidR="00A809C3">
        <w:t>47</w:t>
      </w:r>
      <w:r w:rsidR="00981EAF">
        <w:t> </w:t>
      </w:r>
      <w:r w:rsidR="000973C9">
        <w:t xml:space="preserve">500 </w:t>
      </w:r>
      <w:r w:rsidR="00C0304D">
        <w:t>contracts commencing in 2006 were cancelled.</w:t>
      </w:r>
    </w:p>
    <w:p w:rsidR="00CB229D" w:rsidRDefault="00CB229D" w:rsidP="00981EAF">
      <w:pPr>
        <w:pStyle w:val="tabletitle"/>
      </w:pPr>
      <w:bookmarkStart w:id="86" w:name="_Toc376874273"/>
      <w:r w:rsidRPr="00101213">
        <w:t xml:space="preserve">Table </w:t>
      </w:r>
      <w:r w:rsidR="00BD2B91">
        <w:t>8</w:t>
      </w:r>
      <w:r w:rsidR="007E1396">
        <w:tab/>
      </w:r>
      <w:r w:rsidRPr="00101213">
        <w:t>Contract attrition rates by occupation and time of cancellation/withdrawal, for contracts commencing in 2006</w:t>
      </w:r>
      <w:bookmarkEnd w:id="86"/>
    </w:p>
    <w:tbl>
      <w:tblPr>
        <w:tblW w:w="8789" w:type="dxa"/>
        <w:tblInd w:w="108" w:type="dxa"/>
        <w:tblLayout w:type="fixed"/>
        <w:tblLook w:val="04A0" w:firstRow="1" w:lastRow="0" w:firstColumn="1" w:lastColumn="0" w:noHBand="0" w:noVBand="1"/>
      </w:tblPr>
      <w:tblGrid>
        <w:gridCol w:w="2483"/>
        <w:gridCol w:w="759"/>
        <w:gridCol w:w="759"/>
        <w:gridCol w:w="759"/>
        <w:gridCol w:w="759"/>
        <w:gridCol w:w="759"/>
        <w:gridCol w:w="759"/>
        <w:gridCol w:w="760"/>
        <w:gridCol w:w="992"/>
      </w:tblGrid>
      <w:tr w:rsidR="00CB229D" w:rsidRPr="00981EAF" w:rsidTr="004418FC">
        <w:tc>
          <w:tcPr>
            <w:tcW w:w="2483" w:type="dxa"/>
            <w:vMerge w:val="restart"/>
            <w:tcBorders>
              <w:top w:val="single" w:sz="4" w:space="0" w:color="auto"/>
              <w:left w:val="nil"/>
              <w:bottom w:val="single" w:sz="4" w:space="0" w:color="000000"/>
              <w:right w:val="nil"/>
            </w:tcBorders>
            <w:shd w:val="clear" w:color="auto" w:fill="auto"/>
            <w:noWrap/>
            <w:hideMark/>
          </w:tcPr>
          <w:p w:rsidR="00CB229D" w:rsidRPr="00981EAF" w:rsidRDefault="00CB229D" w:rsidP="00981EAF">
            <w:pPr>
              <w:pStyle w:val="Tablehead1"/>
            </w:pPr>
            <w:r w:rsidRPr="00981EAF">
              <w:t>Occupation (ANZSCO) group</w:t>
            </w:r>
          </w:p>
        </w:tc>
        <w:tc>
          <w:tcPr>
            <w:tcW w:w="5314" w:type="dxa"/>
            <w:gridSpan w:val="7"/>
            <w:tcBorders>
              <w:top w:val="single" w:sz="4" w:space="0" w:color="auto"/>
              <w:left w:val="nil"/>
              <w:bottom w:val="nil"/>
              <w:right w:val="nil"/>
            </w:tcBorders>
            <w:shd w:val="clear" w:color="auto" w:fill="auto"/>
            <w:noWrap/>
            <w:hideMark/>
          </w:tcPr>
          <w:p w:rsidR="00CB229D" w:rsidRPr="00981EAF" w:rsidRDefault="00CB229D" w:rsidP="004418FC">
            <w:pPr>
              <w:pStyle w:val="Tablehead1"/>
              <w:jc w:val="center"/>
            </w:pPr>
            <w:r w:rsidRPr="00981EAF">
              <w:t>Contract attrition rates (%)</w:t>
            </w:r>
            <w:r w:rsidR="00770ED3" w:rsidRPr="00981EAF">
              <w:t>,</w:t>
            </w:r>
            <w:r w:rsidRPr="004418FC">
              <w:rPr>
                <w:vertAlign w:val="superscript"/>
              </w:rPr>
              <w:t>1</w:t>
            </w:r>
            <w:r w:rsidRPr="00981EAF">
              <w:t xml:space="preserve"> withdrawing within:</w:t>
            </w:r>
          </w:p>
        </w:tc>
        <w:tc>
          <w:tcPr>
            <w:tcW w:w="992" w:type="dxa"/>
            <w:tcBorders>
              <w:top w:val="single" w:sz="4" w:space="0" w:color="auto"/>
              <w:left w:val="nil"/>
              <w:bottom w:val="nil"/>
              <w:right w:val="nil"/>
            </w:tcBorders>
            <w:shd w:val="clear" w:color="auto" w:fill="auto"/>
            <w:noWrap/>
            <w:hideMark/>
          </w:tcPr>
          <w:p w:rsidR="00CB229D" w:rsidRPr="00981EAF" w:rsidRDefault="00CB229D" w:rsidP="004418FC">
            <w:pPr>
              <w:pStyle w:val="Tablehead1"/>
              <w:jc w:val="center"/>
            </w:pPr>
          </w:p>
        </w:tc>
      </w:tr>
      <w:tr w:rsidR="00CB229D" w:rsidRPr="00101213" w:rsidTr="004418FC">
        <w:tc>
          <w:tcPr>
            <w:tcW w:w="2483" w:type="dxa"/>
            <w:vMerge/>
            <w:tcBorders>
              <w:top w:val="single" w:sz="4" w:space="0" w:color="000000"/>
              <w:left w:val="nil"/>
              <w:bottom w:val="single" w:sz="4" w:space="0" w:color="000000"/>
              <w:right w:val="nil"/>
            </w:tcBorders>
            <w:hideMark/>
          </w:tcPr>
          <w:p w:rsidR="00CB229D" w:rsidRPr="00101213" w:rsidRDefault="00CB229D" w:rsidP="002572DC">
            <w:pPr>
              <w:pStyle w:val="Tablehead1"/>
            </w:pPr>
          </w:p>
        </w:tc>
        <w:tc>
          <w:tcPr>
            <w:tcW w:w="759" w:type="dxa"/>
            <w:tcBorders>
              <w:top w:val="nil"/>
              <w:left w:val="nil"/>
              <w:bottom w:val="single" w:sz="4" w:space="0" w:color="auto"/>
              <w:right w:val="nil"/>
            </w:tcBorders>
            <w:shd w:val="clear" w:color="auto" w:fill="auto"/>
            <w:noWrap/>
            <w:tcMar>
              <w:left w:w="57" w:type="dxa"/>
              <w:right w:w="57" w:type="dxa"/>
            </w:tcMar>
            <w:hideMark/>
          </w:tcPr>
          <w:p w:rsidR="00CB229D" w:rsidRPr="00101213" w:rsidRDefault="00CB229D" w:rsidP="004418FC">
            <w:pPr>
              <w:pStyle w:val="Tablehead2"/>
              <w:jc w:val="center"/>
            </w:pPr>
            <w:r w:rsidRPr="00101213">
              <w:t>Same quarter</w:t>
            </w:r>
          </w:p>
        </w:tc>
        <w:tc>
          <w:tcPr>
            <w:tcW w:w="759" w:type="dxa"/>
            <w:tcBorders>
              <w:top w:val="nil"/>
              <w:left w:val="nil"/>
              <w:bottom w:val="single" w:sz="4" w:space="0" w:color="auto"/>
              <w:right w:val="nil"/>
            </w:tcBorders>
            <w:shd w:val="clear" w:color="auto" w:fill="auto"/>
            <w:noWrap/>
            <w:tcMar>
              <w:left w:w="57" w:type="dxa"/>
              <w:right w:w="57" w:type="dxa"/>
            </w:tcMar>
            <w:hideMark/>
          </w:tcPr>
          <w:p w:rsidR="00CB229D" w:rsidRPr="00101213" w:rsidRDefault="00CB229D" w:rsidP="004418FC">
            <w:pPr>
              <w:pStyle w:val="Tablehead2"/>
              <w:jc w:val="center"/>
            </w:pPr>
            <w:r w:rsidRPr="00101213">
              <w:t>1 quarter</w:t>
            </w:r>
          </w:p>
        </w:tc>
        <w:tc>
          <w:tcPr>
            <w:tcW w:w="759" w:type="dxa"/>
            <w:tcBorders>
              <w:top w:val="nil"/>
              <w:left w:val="nil"/>
              <w:bottom w:val="single" w:sz="4" w:space="0" w:color="auto"/>
              <w:right w:val="nil"/>
            </w:tcBorders>
            <w:shd w:val="clear" w:color="auto" w:fill="auto"/>
            <w:noWrap/>
            <w:tcMar>
              <w:left w:w="57" w:type="dxa"/>
              <w:right w:w="57" w:type="dxa"/>
            </w:tcMar>
            <w:hideMark/>
          </w:tcPr>
          <w:p w:rsidR="00CB229D" w:rsidRPr="00101213" w:rsidRDefault="00CB229D" w:rsidP="004418FC">
            <w:pPr>
              <w:pStyle w:val="Tablehead2"/>
              <w:jc w:val="center"/>
            </w:pPr>
            <w:r w:rsidRPr="00101213">
              <w:t>2 quarters</w:t>
            </w:r>
          </w:p>
        </w:tc>
        <w:tc>
          <w:tcPr>
            <w:tcW w:w="759" w:type="dxa"/>
            <w:tcBorders>
              <w:top w:val="nil"/>
              <w:left w:val="nil"/>
              <w:bottom w:val="single" w:sz="4" w:space="0" w:color="auto"/>
              <w:right w:val="nil"/>
            </w:tcBorders>
            <w:shd w:val="clear" w:color="auto" w:fill="auto"/>
            <w:noWrap/>
            <w:tcMar>
              <w:left w:w="57" w:type="dxa"/>
              <w:right w:w="57" w:type="dxa"/>
            </w:tcMar>
            <w:hideMark/>
          </w:tcPr>
          <w:p w:rsidR="00CB229D" w:rsidRPr="00101213" w:rsidRDefault="00CB229D" w:rsidP="004418FC">
            <w:pPr>
              <w:pStyle w:val="Tablehead2"/>
              <w:jc w:val="center"/>
            </w:pPr>
            <w:r w:rsidRPr="00101213">
              <w:t>1 year</w:t>
            </w:r>
          </w:p>
        </w:tc>
        <w:tc>
          <w:tcPr>
            <w:tcW w:w="759" w:type="dxa"/>
            <w:tcBorders>
              <w:top w:val="nil"/>
              <w:left w:val="nil"/>
              <w:bottom w:val="single" w:sz="4" w:space="0" w:color="auto"/>
              <w:right w:val="nil"/>
            </w:tcBorders>
            <w:shd w:val="clear" w:color="auto" w:fill="auto"/>
            <w:noWrap/>
            <w:tcMar>
              <w:left w:w="57" w:type="dxa"/>
              <w:right w:w="57" w:type="dxa"/>
            </w:tcMar>
            <w:hideMark/>
          </w:tcPr>
          <w:p w:rsidR="00CB229D" w:rsidRPr="00101213" w:rsidRDefault="00CB229D" w:rsidP="004418FC">
            <w:pPr>
              <w:pStyle w:val="Tablehead2"/>
              <w:jc w:val="center"/>
            </w:pPr>
            <w:r w:rsidRPr="00101213">
              <w:t>2 years</w:t>
            </w:r>
          </w:p>
        </w:tc>
        <w:tc>
          <w:tcPr>
            <w:tcW w:w="759" w:type="dxa"/>
            <w:tcBorders>
              <w:top w:val="nil"/>
              <w:left w:val="nil"/>
              <w:bottom w:val="single" w:sz="4" w:space="0" w:color="auto"/>
              <w:right w:val="nil"/>
            </w:tcBorders>
            <w:shd w:val="clear" w:color="auto" w:fill="auto"/>
            <w:noWrap/>
            <w:tcMar>
              <w:left w:w="57" w:type="dxa"/>
              <w:right w:w="57" w:type="dxa"/>
            </w:tcMar>
            <w:hideMark/>
          </w:tcPr>
          <w:p w:rsidR="00CB229D" w:rsidRPr="00101213" w:rsidRDefault="00CB229D" w:rsidP="004418FC">
            <w:pPr>
              <w:pStyle w:val="Tablehead2"/>
              <w:jc w:val="center"/>
            </w:pPr>
            <w:r w:rsidRPr="00101213">
              <w:t>3 years</w:t>
            </w:r>
          </w:p>
        </w:tc>
        <w:tc>
          <w:tcPr>
            <w:tcW w:w="760" w:type="dxa"/>
            <w:tcBorders>
              <w:top w:val="nil"/>
              <w:left w:val="nil"/>
              <w:bottom w:val="single" w:sz="4" w:space="0" w:color="auto"/>
              <w:right w:val="nil"/>
            </w:tcBorders>
            <w:shd w:val="clear" w:color="auto" w:fill="auto"/>
            <w:tcMar>
              <w:left w:w="57" w:type="dxa"/>
              <w:right w:w="57" w:type="dxa"/>
            </w:tcMar>
            <w:hideMark/>
          </w:tcPr>
          <w:p w:rsidR="00CB229D" w:rsidRPr="00101213" w:rsidRDefault="00CB229D" w:rsidP="004418FC">
            <w:pPr>
              <w:pStyle w:val="Tablehead2"/>
              <w:jc w:val="center"/>
            </w:pPr>
            <w:r w:rsidRPr="00101213">
              <w:t xml:space="preserve">More than </w:t>
            </w:r>
            <w:r w:rsidR="004418FC">
              <w:br/>
            </w:r>
            <w:r w:rsidRPr="00101213">
              <w:t>3 years</w:t>
            </w:r>
          </w:p>
        </w:tc>
        <w:tc>
          <w:tcPr>
            <w:tcW w:w="992" w:type="dxa"/>
            <w:tcBorders>
              <w:top w:val="nil"/>
              <w:left w:val="nil"/>
              <w:bottom w:val="single" w:sz="4" w:space="0" w:color="auto"/>
              <w:right w:val="nil"/>
            </w:tcBorders>
            <w:shd w:val="clear" w:color="auto" w:fill="auto"/>
            <w:tcMar>
              <w:left w:w="57" w:type="dxa"/>
              <w:right w:w="57" w:type="dxa"/>
            </w:tcMar>
            <w:hideMark/>
          </w:tcPr>
          <w:p w:rsidR="00CB229D" w:rsidRPr="00101213" w:rsidRDefault="00CB229D" w:rsidP="0077238F">
            <w:pPr>
              <w:pStyle w:val="Tablehead2"/>
              <w:jc w:val="center"/>
            </w:pPr>
            <w:r w:rsidRPr="00101213">
              <w:t xml:space="preserve">Number of contracts </w:t>
            </w:r>
            <w:r w:rsidRPr="00101213">
              <w:br/>
              <w:t>(</w:t>
            </w:r>
            <w:r w:rsidR="0077238F">
              <w:t>’</w:t>
            </w:r>
            <w:r w:rsidRPr="00101213">
              <w:t>000)</w:t>
            </w:r>
          </w:p>
        </w:tc>
      </w:tr>
      <w:tr w:rsidR="00CB229D" w:rsidRPr="00981EAF" w:rsidTr="004418FC">
        <w:tc>
          <w:tcPr>
            <w:tcW w:w="2483" w:type="dxa"/>
            <w:tcBorders>
              <w:top w:val="single" w:sz="4" w:space="0" w:color="auto"/>
              <w:left w:val="nil"/>
              <w:bottom w:val="single" w:sz="4" w:space="0" w:color="auto"/>
              <w:right w:val="nil"/>
            </w:tcBorders>
            <w:shd w:val="clear" w:color="auto" w:fill="auto"/>
            <w:noWrap/>
            <w:hideMark/>
          </w:tcPr>
          <w:p w:rsidR="00CB229D" w:rsidRPr="00981EAF" w:rsidRDefault="00CB229D" w:rsidP="00981EAF">
            <w:pPr>
              <w:pStyle w:val="Tabletext"/>
            </w:pPr>
            <w:r w:rsidRPr="00981EAF">
              <w:t>Total trade occupations</w:t>
            </w:r>
            <w:r w:rsidRPr="004418FC">
              <w:rPr>
                <w:vertAlign w:val="superscript"/>
              </w:rPr>
              <w:t>2</w:t>
            </w:r>
          </w:p>
        </w:tc>
        <w:tc>
          <w:tcPr>
            <w:tcW w:w="759" w:type="dxa"/>
            <w:tcBorders>
              <w:top w:val="single" w:sz="4" w:space="0" w:color="auto"/>
              <w:left w:val="nil"/>
              <w:bottom w:val="single" w:sz="4" w:space="0" w:color="auto"/>
              <w:right w:val="nil"/>
            </w:tcBorders>
            <w:shd w:val="clear" w:color="auto" w:fill="auto"/>
            <w:noWrap/>
            <w:hideMark/>
          </w:tcPr>
          <w:p w:rsidR="00CB229D" w:rsidRPr="00981EAF" w:rsidRDefault="00CB229D" w:rsidP="004418FC">
            <w:pPr>
              <w:pStyle w:val="Tabletext"/>
              <w:tabs>
                <w:tab w:val="decimal" w:pos="227"/>
              </w:tabs>
            </w:pPr>
            <w:r w:rsidRPr="00981EAF">
              <w:t>4.0</w:t>
            </w:r>
          </w:p>
        </w:tc>
        <w:tc>
          <w:tcPr>
            <w:tcW w:w="759" w:type="dxa"/>
            <w:tcBorders>
              <w:top w:val="single" w:sz="4" w:space="0" w:color="auto"/>
              <w:left w:val="nil"/>
              <w:bottom w:val="single" w:sz="4" w:space="0" w:color="auto"/>
              <w:right w:val="nil"/>
            </w:tcBorders>
            <w:shd w:val="clear" w:color="auto" w:fill="auto"/>
            <w:noWrap/>
            <w:hideMark/>
          </w:tcPr>
          <w:p w:rsidR="00CB229D" w:rsidRPr="00981EAF" w:rsidRDefault="00CB229D" w:rsidP="004418FC">
            <w:pPr>
              <w:pStyle w:val="Tabletext"/>
              <w:tabs>
                <w:tab w:val="decimal" w:pos="284"/>
              </w:tabs>
            </w:pPr>
            <w:r w:rsidRPr="00981EAF">
              <w:t>12.7</w:t>
            </w:r>
          </w:p>
        </w:tc>
        <w:tc>
          <w:tcPr>
            <w:tcW w:w="759" w:type="dxa"/>
            <w:tcBorders>
              <w:top w:val="single" w:sz="4" w:space="0" w:color="auto"/>
              <w:left w:val="nil"/>
              <w:bottom w:val="single" w:sz="4" w:space="0" w:color="auto"/>
              <w:right w:val="nil"/>
            </w:tcBorders>
            <w:shd w:val="clear" w:color="auto" w:fill="auto"/>
            <w:noWrap/>
            <w:hideMark/>
          </w:tcPr>
          <w:p w:rsidR="00CB229D" w:rsidRPr="00981EAF" w:rsidRDefault="00CB229D" w:rsidP="004418FC">
            <w:pPr>
              <w:pStyle w:val="Tabletext"/>
              <w:tabs>
                <w:tab w:val="decimal" w:pos="284"/>
              </w:tabs>
            </w:pPr>
            <w:r w:rsidRPr="00981EAF">
              <w:t>19.5</w:t>
            </w:r>
          </w:p>
        </w:tc>
        <w:tc>
          <w:tcPr>
            <w:tcW w:w="759" w:type="dxa"/>
            <w:tcBorders>
              <w:top w:val="single" w:sz="4" w:space="0" w:color="auto"/>
              <w:left w:val="nil"/>
              <w:bottom w:val="single" w:sz="4" w:space="0" w:color="auto"/>
              <w:right w:val="nil"/>
            </w:tcBorders>
            <w:shd w:val="clear" w:color="auto" w:fill="auto"/>
            <w:noWrap/>
            <w:hideMark/>
          </w:tcPr>
          <w:p w:rsidR="00CB229D" w:rsidRPr="00981EAF" w:rsidRDefault="00CB229D" w:rsidP="004418FC">
            <w:pPr>
              <w:pStyle w:val="Tabletext"/>
              <w:tabs>
                <w:tab w:val="decimal" w:pos="284"/>
              </w:tabs>
            </w:pPr>
            <w:r w:rsidRPr="00981EAF">
              <w:t>30.4</w:t>
            </w:r>
          </w:p>
        </w:tc>
        <w:tc>
          <w:tcPr>
            <w:tcW w:w="759" w:type="dxa"/>
            <w:tcBorders>
              <w:top w:val="single" w:sz="4" w:space="0" w:color="auto"/>
              <w:left w:val="nil"/>
              <w:bottom w:val="single" w:sz="4" w:space="0" w:color="auto"/>
              <w:right w:val="nil"/>
            </w:tcBorders>
            <w:shd w:val="clear" w:color="auto" w:fill="auto"/>
            <w:noWrap/>
            <w:hideMark/>
          </w:tcPr>
          <w:p w:rsidR="00CB229D" w:rsidRPr="00981EAF" w:rsidRDefault="00CB229D" w:rsidP="004418FC">
            <w:pPr>
              <w:pStyle w:val="Tabletext"/>
              <w:tabs>
                <w:tab w:val="decimal" w:pos="284"/>
              </w:tabs>
            </w:pPr>
            <w:r w:rsidRPr="00981EAF">
              <w:t>42.9</w:t>
            </w:r>
          </w:p>
        </w:tc>
        <w:tc>
          <w:tcPr>
            <w:tcW w:w="759" w:type="dxa"/>
            <w:tcBorders>
              <w:top w:val="single" w:sz="4" w:space="0" w:color="auto"/>
              <w:left w:val="nil"/>
              <w:bottom w:val="single" w:sz="4" w:space="0" w:color="auto"/>
              <w:right w:val="nil"/>
            </w:tcBorders>
            <w:shd w:val="clear" w:color="auto" w:fill="auto"/>
            <w:noWrap/>
            <w:hideMark/>
          </w:tcPr>
          <w:p w:rsidR="00CB229D" w:rsidRPr="00981EAF" w:rsidRDefault="00CB229D" w:rsidP="004418FC">
            <w:pPr>
              <w:pStyle w:val="Tabletext"/>
              <w:tabs>
                <w:tab w:val="decimal" w:pos="284"/>
              </w:tabs>
            </w:pPr>
            <w:r w:rsidRPr="00981EAF">
              <w:t>48.2</w:t>
            </w:r>
          </w:p>
        </w:tc>
        <w:tc>
          <w:tcPr>
            <w:tcW w:w="760" w:type="dxa"/>
            <w:tcBorders>
              <w:top w:val="single" w:sz="4" w:space="0" w:color="auto"/>
              <w:left w:val="nil"/>
              <w:bottom w:val="single" w:sz="4" w:space="0" w:color="auto"/>
              <w:right w:val="nil"/>
            </w:tcBorders>
            <w:shd w:val="clear" w:color="auto" w:fill="auto"/>
            <w:noWrap/>
            <w:hideMark/>
          </w:tcPr>
          <w:p w:rsidR="00CB229D" w:rsidRPr="00981EAF" w:rsidRDefault="00CB229D" w:rsidP="004418FC">
            <w:pPr>
              <w:pStyle w:val="Tabletext"/>
              <w:tabs>
                <w:tab w:val="decimal" w:pos="284"/>
              </w:tabs>
            </w:pPr>
            <w:r w:rsidRPr="00981EAF">
              <w:t>49.7</w:t>
            </w:r>
          </w:p>
        </w:tc>
        <w:tc>
          <w:tcPr>
            <w:tcW w:w="992" w:type="dxa"/>
            <w:tcBorders>
              <w:top w:val="single" w:sz="4" w:space="0" w:color="auto"/>
              <w:left w:val="nil"/>
              <w:bottom w:val="single" w:sz="4" w:space="0" w:color="auto"/>
              <w:right w:val="nil"/>
            </w:tcBorders>
            <w:shd w:val="clear" w:color="auto" w:fill="auto"/>
            <w:noWrap/>
            <w:hideMark/>
          </w:tcPr>
          <w:p w:rsidR="00CB229D" w:rsidRPr="00981EAF" w:rsidRDefault="00CB229D" w:rsidP="004418FC">
            <w:pPr>
              <w:pStyle w:val="Tabletext"/>
              <w:tabs>
                <w:tab w:val="decimal" w:pos="397"/>
              </w:tabs>
            </w:pPr>
            <w:r w:rsidRPr="00981EAF">
              <w:t>94.7</w:t>
            </w:r>
          </w:p>
        </w:tc>
      </w:tr>
    </w:tbl>
    <w:p w:rsidR="00CB229D" w:rsidRPr="00981EAF" w:rsidRDefault="00CB229D" w:rsidP="00981EAF">
      <w:pPr>
        <w:pStyle w:val="Source"/>
        <w:tabs>
          <w:tab w:val="left" w:pos="567"/>
        </w:tabs>
        <w:ind w:left="709" w:hanging="709"/>
      </w:pPr>
      <w:r>
        <w:t>Notes:</w:t>
      </w:r>
      <w:r w:rsidR="00981EAF">
        <w:tab/>
      </w:r>
      <w:r>
        <w:t>1</w:t>
      </w:r>
      <w:r w:rsidR="00981EAF">
        <w:tab/>
      </w:r>
      <w:r w:rsidRPr="00981EAF">
        <w:t xml:space="preserve">Contract attrition rates are derived for contracts of training for apprentices and trainees. If an individual commenced two or more contracts in the same year, each is counted separately. Contract attrition rates do not take into account continuing contracts or </w:t>
      </w:r>
      <w:proofErr w:type="gramStart"/>
      <w:r w:rsidRPr="00981EAF">
        <w:t>expired</w:t>
      </w:r>
      <w:proofErr w:type="gramEnd"/>
      <w:r w:rsidRPr="00981EAF">
        <w:t xml:space="preserve"> contracts</w:t>
      </w:r>
      <w:r w:rsidR="00A809C3" w:rsidRPr="00981EAF">
        <w:t>,</w:t>
      </w:r>
      <w:r w:rsidRPr="00981EAF">
        <w:t xml:space="preserve"> where the outcome is unknown.</w:t>
      </w:r>
    </w:p>
    <w:p w:rsidR="00A809C3" w:rsidRPr="00981EAF" w:rsidRDefault="00981EAF" w:rsidP="00981EAF">
      <w:pPr>
        <w:pStyle w:val="Source"/>
        <w:tabs>
          <w:tab w:val="left" w:pos="567"/>
        </w:tabs>
        <w:ind w:left="709" w:hanging="709"/>
      </w:pPr>
      <w:r>
        <w:tab/>
      </w:r>
      <w:r w:rsidR="00CB229D" w:rsidRPr="00981EAF">
        <w:t>2</w:t>
      </w:r>
      <w:r>
        <w:tab/>
      </w:r>
      <w:r w:rsidR="00CB229D" w:rsidRPr="00981EAF">
        <w:t>Trade occupations are defined as major occupation group 3 – Technicians and trades workers (ANZ</w:t>
      </w:r>
      <w:r w:rsidR="00944159" w:rsidRPr="00981EAF">
        <w:t xml:space="preserve">SCO </w:t>
      </w:r>
      <w:r w:rsidR="00770ED3" w:rsidRPr="00981EAF">
        <w:t xml:space="preserve">1st </w:t>
      </w:r>
      <w:proofErr w:type="spellStart"/>
      <w:r w:rsidR="00770ED3" w:rsidRPr="00981EAF">
        <w:t>edn</w:t>
      </w:r>
      <w:proofErr w:type="spellEnd"/>
      <w:r w:rsidR="00944159" w:rsidRPr="00981EAF">
        <w:t>, revision 1</w:t>
      </w:r>
      <w:r w:rsidR="00CB229D" w:rsidRPr="00981EAF">
        <w:t>).</w:t>
      </w:r>
    </w:p>
    <w:p w:rsidR="00A809C3" w:rsidRDefault="00A809C3" w:rsidP="00981EAF">
      <w:pPr>
        <w:pStyle w:val="Source"/>
      </w:pPr>
      <w:r w:rsidRPr="00981EAF">
        <w:t>Source:</w:t>
      </w:r>
      <w:r w:rsidR="00981EAF">
        <w:tab/>
      </w:r>
      <w:r w:rsidRPr="00981EAF">
        <w:t>NCVER</w:t>
      </w:r>
      <w:r>
        <w:t xml:space="preserve"> (2012a).</w:t>
      </w:r>
    </w:p>
    <w:p w:rsidR="00BB76EB" w:rsidRDefault="005E3262" w:rsidP="00981EAF">
      <w:pPr>
        <w:pStyle w:val="Textmorebefore"/>
      </w:pPr>
      <w:r>
        <w:t xml:space="preserve">The pattern of attrition can be seen more clearly by plotting these proportions in a graph, as </w:t>
      </w:r>
      <w:r w:rsidR="00035089">
        <w:t>shown in figure 3</w:t>
      </w:r>
      <w:r>
        <w:t>.</w:t>
      </w:r>
      <w:r w:rsidR="00423E8C">
        <w:t xml:space="preserve"> </w:t>
      </w:r>
      <w:r w:rsidR="00BB76EB">
        <w:t xml:space="preserve">It is far more common to leave in the first two years of an apprenticeship than in the later years. We can see that two-fifths of the total cancellations occur within the first </w:t>
      </w:r>
      <w:r w:rsidR="00A809C3">
        <w:t>six</w:t>
      </w:r>
      <w:r w:rsidR="00BB76EB">
        <w:t xml:space="preserve"> months, while three-fifths, or 60%, occur within the first year, and 80% occur within the first two years.</w:t>
      </w:r>
    </w:p>
    <w:p w:rsidR="00E64CD6" w:rsidRPr="00865B97" w:rsidRDefault="004418FC" w:rsidP="00865B97">
      <w:pPr>
        <w:pStyle w:val="Figuretitle"/>
      </w:pPr>
      <w:r>
        <w:rPr>
          <w:noProof/>
          <w:lang w:eastAsia="en-AU"/>
        </w:rPr>
        <w:drawing>
          <wp:anchor distT="0" distB="0" distL="114300" distR="114300" simplePos="0" relativeHeight="251678720" behindDoc="0" locked="0" layoutInCell="1" allowOverlap="1">
            <wp:simplePos x="0" y="0"/>
            <wp:positionH relativeFrom="column">
              <wp:posOffset>5715</wp:posOffset>
            </wp:positionH>
            <wp:positionV relativeFrom="paragraph">
              <wp:posOffset>588645</wp:posOffset>
            </wp:positionV>
            <wp:extent cx="4895850" cy="2943225"/>
            <wp:effectExtent l="19050" t="0" r="0" b="0"/>
            <wp:wrapTopAndBottom/>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895850" cy="2943225"/>
                    </a:xfrm>
                    <a:prstGeom prst="rect">
                      <a:avLst/>
                    </a:prstGeom>
                    <a:noFill/>
                    <a:ln w="9525">
                      <a:noFill/>
                      <a:miter lim="800000"/>
                      <a:headEnd/>
                      <a:tailEnd/>
                    </a:ln>
                  </pic:spPr>
                </pic:pic>
              </a:graphicData>
            </a:graphic>
          </wp:anchor>
        </w:drawing>
      </w:r>
      <w:bookmarkStart w:id="87" w:name="_Toc376874281"/>
      <w:r w:rsidR="00035089">
        <w:t>Figure 3</w:t>
      </w:r>
      <w:r w:rsidR="00E64CD6" w:rsidRPr="00865B97">
        <w:tab/>
        <w:t>Contract attrition rate</w:t>
      </w:r>
      <w:r w:rsidR="00E64CD6" w:rsidRPr="00865B97">
        <w:rPr>
          <w:vertAlign w:val="superscript"/>
        </w:rPr>
        <w:t>1</w:t>
      </w:r>
      <w:r w:rsidR="00E64CD6" w:rsidRPr="00865B97">
        <w:t xml:space="preserve"> by time of cancellation/withdrawal, for contracts commencing in</w:t>
      </w:r>
      <w:r>
        <w:t> </w:t>
      </w:r>
      <w:r w:rsidR="00E64CD6" w:rsidRPr="00865B97">
        <w:t>2006 (trade occupations</w:t>
      </w:r>
      <w:r w:rsidR="00E64CD6" w:rsidRPr="00865B97">
        <w:rPr>
          <w:vertAlign w:val="superscript"/>
        </w:rPr>
        <w:t>2</w:t>
      </w:r>
      <w:r w:rsidR="00E64CD6" w:rsidRPr="00865B97">
        <w:t>)</w:t>
      </w:r>
      <w:bookmarkEnd w:id="87"/>
    </w:p>
    <w:p w:rsidR="00A809C3" w:rsidRPr="004418FC" w:rsidRDefault="00A809C3" w:rsidP="004418FC">
      <w:pPr>
        <w:pStyle w:val="Source"/>
        <w:tabs>
          <w:tab w:val="left" w:pos="567"/>
        </w:tabs>
        <w:spacing w:before="160"/>
        <w:ind w:left="709" w:hanging="709"/>
      </w:pPr>
      <w:r>
        <w:t>Notes:</w:t>
      </w:r>
      <w:r w:rsidR="004418FC">
        <w:tab/>
      </w:r>
      <w:r>
        <w:t>1</w:t>
      </w:r>
      <w:r w:rsidR="004418FC">
        <w:tab/>
      </w:r>
      <w:r w:rsidRPr="008C7C09">
        <w:t>Contract attrition rates are derived for contracts of training for apprentices and trainees. If an individual commenced two</w:t>
      </w:r>
      <w:r w:rsidR="004418FC">
        <w:t> </w:t>
      </w:r>
      <w:r w:rsidRPr="008C7C09">
        <w:t xml:space="preserve">or more </w:t>
      </w:r>
      <w:r w:rsidRPr="004418FC">
        <w:t xml:space="preserve">contracts in the same year, each is counted separately. Contract attrition rates do not take into account continuing contracts or </w:t>
      </w:r>
      <w:proofErr w:type="gramStart"/>
      <w:r w:rsidRPr="004418FC">
        <w:t>expired</w:t>
      </w:r>
      <w:proofErr w:type="gramEnd"/>
      <w:r w:rsidRPr="004418FC">
        <w:t xml:space="preserve"> contracts, where the outcome is unknown.</w:t>
      </w:r>
    </w:p>
    <w:p w:rsidR="00A809C3" w:rsidRPr="004418FC" w:rsidRDefault="004418FC" w:rsidP="004418FC">
      <w:pPr>
        <w:pStyle w:val="Source"/>
        <w:tabs>
          <w:tab w:val="left" w:pos="567"/>
        </w:tabs>
        <w:ind w:left="709" w:hanging="709"/>
      </w:pPr>
      <w:r>
        <w:tab/>
      </w:r>
      <w:r w:rsidRPr="004418FC">
        <w:t>2</w:t>
      </w:r>
      <w:r w:rsidRPr="004418FC">
        <w:tab/>
      </w:r>
      <w:r w:rsidR="00A809C3" w:rsidRPr="004418FC">
        <w:t xml:space="preserve">Trade occupations are defined as major occupation group 3 – Technicians and trades workers (ANZSCO </w:t>
      </w:r>
      <w:r w:rsidR="00770ED3" w:rsidRPr="004418FC">
        <w:t xml:space="preserve">1st </w:t>
      </w:r>
      <w:proofErr w:type="spellStart"/>
      <w:r w:rsidR="00770ED3" w:rsidRPr="004418FC">
        <w:t>edn</w:t>
      </w:r>
      <w:proofErr w:type="spellEnd"/>
      <w:r w:rsidR="00A809C3" w:rsidRPr="004418FC">
        <w:t>, revision 1).</w:t>
      </w:r>
    </w:p>
    <w:p w:rsidR="00E64CD6" w:rsidRDefault="004418FC" w:rsidP="004418FC">
      <w:pPr>
        <w:pStyle w:val="Source"/>
      </w:pPr>
      <w:r w:rsidRPr="004418FC">
        <w:t>Source:</w:t>
      </w:r>
      <w:r w:rsidRPr="004418FC">
        <w:tab/>
      </w:r>
      <w:r w:rsidR="00E64CD6" w:rsidRPr="004418FC">
        <w:t>NCVE</w:t>
      </w:r>
      <w:r w:rsidR="00E64CD6">
        <w:t>R (2012a)</w:t>
      </w:r>
      <w:r w:rsidR="00A27245">
        <w:t>.</w:t>
      </w:r>
    </w:p>
    <w:p w:rsidR="00F159F6" w:rsidRDefault="00CB229D" w:rsidP="00F159F6">
      <w:pPr>
        <w:pStyle w:val="Text"/>
      </w:pPr>
      <w:r>
        <w:lastRenderedPageBreak/>
        <w:t>These findi</w:t>
      </w:r>
      <w:r w:rsidR="00587F74">
        <w:t xml:space="preserve">ngs are </w:t>
      </w:r>
      <w:r w:rsidR="00F159F6">
        <w:t xml:space="preserve">broadly </w:t>
      </w:r>
      <w:r w:rsidR="00587F74">
        <w:t xml:space="preserve">consistent </w:t>
      </w:r>
      <w:r w:rsidR="000D4332">
        <w:t xml:space="preserve">with </w:t>
      </w:r>
      <w:r w:rsidR="005D10AC">
        <w:t xml:space="preserve">those from </w:t>
      </w:r>
      <w:r w:rsidR="00587F74">
        <w:t xml:space="preserve">other studies. For example, </w:t>
      </w:r>
      <w:r w:rsidR="00F159F6">
        <w:t xml:space="preserve">Jones and </w:t>
      </w:r>
      <w:proofErr w:type="spellStart"/>
      <w:r w:rsidR="00F159F6">
        <w:t>M</w:t>
      </w:r>
      <w:r w:rsidR="005E2BDC">
        <w:t>uthaya</w:t>
      </w:r>
      <w:proofErr w:type="spellEnd"/>
      <w:r w:rsidR="005E2BDC">
        <w:t xml:space="preserve"> (2011),</w:t>
      </w:r>
      <w:r w:rsidR="00F159F6">
        <w:t xml:space="preserve"> in their study of Tasmanian building and construction industry apprentices, </w:t>
      </w:r>
      <w:r w:rsidR="00C0304D">
        <w:t>find</w:t>
      </w:r>
      <w:r w:rsidR="00F159F6">
        <w:t xml:space="preserve"> that the</w:t>
      </w:r>
      <w:r w:rsidR="005E2BDC">
        <w:t xml:space="preserve"> first year of training is the </w:t>
      </w:r>
      <w:r w:rsidR="00841F93">
        <w:t>‘</w:t>
      </w:r>
      <w:r w:rsidR="005E2BDC">
        <w:t>critical period</w:t>
      </w:r>
      <w:r w:rsidR="00841F93">
        <w:t>’</w:t>
      </w:r>
      <w:r w:rsidR="00F159F6">
        <w:t xml:space="preserve"> </w:t>
      </w:r>
      <w:r w:rsidR="00770ED3">
        <w:t>during</w:t>
      </w:r>
      <w:r w:rsidR="00F159F6">
        <w:t xml:space="preserve"> which apprentices are most likely to leave their training contract. Approximately 52% of cancellations occurred in the first 12 months, while almost 80% of cancellations occurred within the first </w:t>
      </w:r>
      <w:r w:rsidR="005E2BDC">
        <w:t>two</w:t>
      </w:r>
      <w:r w:rsidR="00F159F6">
        <w:t xml:space="preserve"> years. </w:t>
      </w:r>
      <w:r w:rsidR="00587F74">
        <w:t xml:space="preserve">Similarly, </w:t>
      </w:r>
      <w:r w:rsidR="00F159F6">
        <w:t xml:space="preserve">a survey of discontinued </w:t>
      </w:r>
      <w:proofErr w:type="spellStart"/>
      <w:r w:rsidR="00F159F6">
        <w:t>electrotechnology</w:t>
      </w:r>
      <w:proofErr w:type="spellEnd"/>
      <w:r w:rsidR="00F159F6">
        <w:t xml:space="preserve"> apprentices found that 40% of the sample had cancelled during the first year (Energy Skills Queensland 2009</w:t>
      </w:r>
      <w:r w:rsidR="000973C9">
        <w:t xml:space="preserve">), while only </w:t>
      </w:r>
      <w:r w:rsidR="00F159F6">
        <w:t>2% had cancelled during their fourth year.</w:t>
      </w:r>
    </w:p>
    <w:p w:rsidR="00F50135" w:rsidRDefault="00F50135" w:rsidP="00F159F6">
      <w:pPr>
        <w:pStyle w:val="Text"/>
      </w:pPr>
      <w:r>
        <w:t xml:space="preserve">Results </w:t>
      </w:r>
      <w:r w:rsidR="00770ED3">
        <w:t>relating to</w:t>
      </w:r>
      <w:r>
        <w:t xml:space="preserve"> the timing of cancellations suggest that most attrition occurs in the first t</w:t>
      </w:r>
      <w:r w:rsidR="005D10AC">
        <w:t xml:space="preserve">wo years of the apprenticeship. </w:t>
      </w:r>
      <w:proofErr w:type="gramStart"/>
      <w:r w:rsidR="005D10AC">
        <w:t xml:space="preserve">As such, </w:t>
      </w:r>
      <w:r>
        <w:t>early completion policies</w:t>
      </w:r>
      <w:r w:rsidR="005D10AC">
        <w:t>, which allow apprentices to complete in a shorter time period (</w:t>
      </w:r>
      <w:r w:rsidR="005E2BDC">
        <w:t>for example,</w:t>
      </w:r>
      <w:r w:rsidR="005D10AC">
        <w:t xml:space="preserve"> </w:t>
      </w:r>
      <w:r w:rsidR="005E2BDC">
        <w:t>two to three</w:t>
      </w:r>
      <w:r w:rsidR="005D10AC">
        <w:t xml:space="preserve"> years rather than </w:t>
      </w:r>
      <w:r w:rsidR="005E2BDC">
        <w:t>th</w:t>
      </w:r>
      <w:r w:rsidR="003F6D45">
        <w:t>ree</w:t>
      </w:r>
      <w:r w:rsidR="005E2BDC">
        <w:t xml:space="preserve"> to four</w:t>
      </w:r>
      <w:r w:rsidR="005D10AC">
        <w:t xml:space="preserve"> </w:t>
      </w:r>
      <w:r w:rsidR="00C43D11">
        <w:t>years),</w:t>
      </w:r>
      <w:r>
        <w:t xml:space="preserve"> are likely to have only a marginal effect on completion rates (Knight 2008).</w:t>
      </w:r>
      <w:proofErr w:type="gramEnd"/>
    </w:p>
    <w:p w:rsidR="00741F46" w:rsidRDefault="00741F46" w:rsidP="00741F46">
      <w:pPr>
        <w:pStyle w:val="Heading2"/>
      </w:pPr>
      <w:bookmarkStart w:id="88" w:name="_Toc377040301"/>
      <w:r>
        <w:t xml:space="preserve">Do the reasons for not completing change with </w:t>
      </w:r>
      <w:r w:rsidRPr="00185DDC">
        <w:t>duration</w:t>
      </w:r>
      <w:r>
        <w:t>?</w:t>
      </w:r>
      <w:bookmarkEnd w:id="88"/>
    </w:p>
    <w:p w:rsidR="00741F46" w:rsidRDefault="00741F46" w:rsidP="00741F46">
      <w:pPr>
        <w:pStyle w:val="Text"/>
      </w:pPr>
      <w:r>
        <w:t>Karmel and Mlotkowski (2010</w:t>
      </w:r>
      <w:r w:rsidR="004914B7">
        <w:t>c</w:t>
      </w:r>
      <w:r>
        <w:t>) used data from the Apprentice and Trainee Destinations Survey (NCVER 2009; 2010</w:t>
      </w:r>
      <w:r w:rsidR="005E2BDC">
        <w:t>a</w:t>
      </w:r>
      <w:r>
        <w:t xml:space="preserve">) to </w:t>
      </w:r>
      <w:r w:rsidR="00770ED3">
        <w:t>investigate</w:t>
      </w:r>
      <w:r>
        <w:t xml:space="preserve"> whether the reasons for not completing change </w:t>
      </w:r>
      <w:r w:rsidR="00770ED3">
        <w:t>according to how far the individual wa</w:t>
      </w:r>
      <w:r>
        <w:t>s into their contract of training. They found that many</w:t>
      </w:r>
      <w:r w:rsidR="00A550E8">
        <w:t xml:space="preserve">, </w:t>
      </w:r>
      <w:r w:rsidR="005E2BDC">
        <w:t>although</w:t>
      </w:r>
      <w:r w:rsidR="00A550E8">
        <w:t xml:space="preserve"> not all,</w:t>
      </w:r>
      <w:r>
        <w:t xml:space="preserve"> of the reasons increase or decrease in importance depending on </w:t>
      </w:r>
      <w:r w:rsidR="00185DDC">
        <w:t>duration</w:t>
      </w:r>
      <w:r>
        <w:t>.</w:t>
      </w:r>
    </w:p>
    <w:p w:rsidR="00741F46" w:rsidRDefault="00BD2B91" w:rsidP="00741F46">
      <w:pPr>
        <w:pStyle w:val="Text"/>
      </w:pPr>
      <w:bookmarkStart w:id="89" w:name="OLE_LINK8"/>
      <w:bookmarkStart w:id="90" w:name="OLE_LINK9"/>
      <w:r>
        <w:t>One reason which maintained its importance irrespective of duration</w:t>
      </w:r>
      <w:r w:rsidR="00741F46" w:rsidRPr="00892488">
        <w:t xml:space="preserve"> </w:t>
      </w:r>
      <w:r>
        <w:t xml:space="preserve">was the desire </w:t>
      </w:r>
      <w:r w:rsidR="00741F46" w:rsidRPr="00892488">
        <w:t>to do something different</w:t>
      </w:r>
      <w:r>
        <w:t xml:space="preserve">, </w:t>
      </w:r>
      <w:r w:rsidR="00A550E8" w:rsidRPr="00892488">
        <w:t>such as being offered a better job</w:t>
      </w:r>
      <w:r w:rsidR="00892488">
        <w:t xml:space="preserve"> or studying at university</w:t>
      </w:r>
      <w:r>
        <w:t>. This remained the top reason for leaving</w:t>
      </w:r>
      <w:r w:rsidR="005E2BDC">
        <w:t>,</w:t>
      </w:r>
      <w:r>
        <w:t xml:space="preserve"> regardless of duration. </w:t>
      </w:r>
      <w:r w:rsidR="00A550E8" w:rsidRPr="00892488">
        <w:t xml:space="preserve">This </w:t>
      </w:r>
      <w:r w:rsidR="00892488" w:rsidRPr="00892488">
        <w:t>suggest</w:t>
      </w:r>
      <w:r w:rsidR="00892488">
        <w:t>s</w:t>
      </w:r>
      <w:r w:rsidR="00741F46" w:rsidRPr="00892488">
        <w:t xml:space="preserve"> that app</w:t>
      </w:r>
      <w:r w:rsidR="005E2BDC">
        <w:t>rentices are always on the look</w:t>
      </w:r>
      <w:r w:rsidR="00741F46" w:rsidRPr="00892488">
        <w:t xml:space="preserve">out for </w:t>
      </w:r>
      <w:r w:rsidR="009A7508">
        <w:t>other</w:t>
      </w:r>
      <w:r w:rsidR="00741F46" w:rsidRPr="00892488">
        <w:t xml:space="preserve"> opportuniti</w:t>
      </w:r>
      <w:r w:rsidR="00A550E8" w:rsidRPr="00892488">
        <w:t xml:space="preserve">es (Karmel </w:t>
      </w:r>
      <w:r w:rsidR="004914B7">
        <w:t>&amp;</w:t>
      </w:r>
      <w:r w:rsidR="00A550E8" w:rsidRPr="00892488">
        <w:t xml:space="preserve"> Mlotkowski 2010</w:t>
      </w:r>
      <w:r w:rsidR="004914B7">
        <w:t>c</w:t>
      </w:r>
      <w:r w:rsidR="00A550E8" w:rsidRPr="00892488">
        <w:t>), an idea we will return to later.</w:t>
      </w:r>
    </w:p>
    <w:p w:rsidR="00741F46" w:rsidRDefault="005E2BDC" w:rsidP="004418FC">
      <w:pPr>
        <w:pStyle w:val="Text"/>
        <w:ind w:right="141"/>
      </w:pPr>
      <w:r>
        <w:t>Investigating</w:t>
      </w:r>
      <w:r w:rsidR="00A550E8">
        <w:t xml:space="preserve"> the other reasons</w:t>
      </w:r>
      <w:r w:rsidR="00741F46">
        <w:t xml:space="preserve">, </w:t>
      </w:r>
      <w:r w:rsidR="00770ED3">
        <w:t>the authors fou</w:t>
      </w:r>
      <w:r w:rsidR="00BD2B91">
        <w:t>nd that</w:t>
      </w:r>
      <w:r w:rsidR="00741F46">
        <w:t xml:space="preserve"> those trade apprentices who leave early</w:t>
      </w:r>
      <w:r w:rsidR="00BD2B91">
        <w:t xml:space="preserve"> </w:t>
      </w:r>
      <w:r w:rsidR="00770ED3">
        <w:t>in their apprenticeship</w:t>
      </w:r>
      <w:r w:rsidR="00741F46">
        <w:t xml:space="preserve"> </w:t>
      </w:r>
      <w:r w:rsidR="00892488">
        <w:t xml:space="preserve">often </w:t>
      </w:r>
      <w:r w:rsidR="00741F46">
        <w:t xml:space="preserve">do so because of poor working conditions or </w:t>
      </w:r>
      <w:r w:rsidR="00892488">
        <w:t>trouble with the boss</w:t>
      </w:r>
      <w:bookmarkEnd w:id="89"/>
      <w:bookmarkEnd w:id="90"/>
      <w:r w:rsidR="00BD2B91">
        <w:t>, whereas t</w:t>
      </w:r>
      <w:r w:rsidR="00892488">
        <w:t xml:space="preserve">hose who leave after the two-year mark </w:t>
      </w:r>
      <w:r w:rsidR="00C0304D">
        <w:t>are more likely to do so</w:t>
      </w:r>
      <w:r w:rsidR="00892488">
        <w:t xml:space="preserve"> for personal reasons. </w:t>
      </w:r>
      <w:r w:rsidR="00741F46">
        <w:t>Given that</w:t>
      </w:r>
      <w:r w:rsidR="00741F46" w:rsidRPr="002040C6">
        <w:t xml:space="preserve"> </w:t>
      </w:r>
      <w:r w:rsidR="00B73070">
        <w:t xml:space="preserve">workplace problems </w:t>
      </w:r>
      <w:r w:rsidR="00741F46">
        <w:t xml:space="preserve">are </w:t>
      </w:r>
      <w:r>
        <w:t>among</w:t>
      </w:r>
      <w:r w:rsidR="00B73070">
        <w:t xml:space="preserve"> </w:t>
      </w:r>
      <w:r w:rsidR="00741F46">
        <w:t xml:space="preserve">the top reasons cited amongst apprentices who withdraw early </w:t>
      </w:r>
      <w:r w:rsidR="00770ED3">
        <w:t>from</w:t>
      </w:r>
      <w:r w:rsidR="00741F46">
        <w:t xml:space="preserve"> their contract, the authors conclude that improving the matching of apprentices to workplaces may help </w:t>
      </w:r>
      <w:r>
        <w:t xml:space="preserve">to </w:t>
      </w:r>
      <w:r w:rsidR="00741F46">
        <w:t xml:space="preserve">reduce early attrition (Karmel </w:t>
      </w:r>
      <w:r w:rsidR="004914B7">
        <w:t>&amp;</w:t>
      </w:r>
      <w:r w:rsidR="00741F46">
        <w:t xml:space="preserve"> </w:t>
      </w:r>
      <w:r w:rsidR="00C0304D">
        <w:t>Mlotkowski 2010</w:t>
      </w:r>
      <w:r w:rsidR="004914B7">
        <w:t>c</w:t>
      </w:r>
      <w:r w:rsidR="00C0304D">
        <w:t>). More broadly, the results suggest that early attrition can be stemmed by directing more attention to improving apprentices</w:t>
      </w:r>
      <w:r w:rsidR="00841F93">
        <w:t>’</w:t>
      </w:r>
      <w:r w:rsidR="00C0304D">
        <w:t xml:space="preserve"> workplace experience.</w:t>
      </w:r>
    </w:p>
    <w:p w:rsidR="00A652B3" w:rsidRDefault="00A652B3" w:rsidP="00A652B3">
      <w:pPr>
        <w:pStyle w:val="Heading2"/>
      </w:pPr>
      <w:bookmarkStart w:id="91" w:name="_Toc377040302"/>
      <w:r>
        <w:t>What happens to those who quit?</w:t>
      </w:r>
      <w:bookmarkEnd w:id="91"/>
    </w:p>
    <w:p w:rsidR="00B72BB7" w:rsidRDefault="005D4AD6" w:rsidP="00B72BB7">
      <w:pPr>
        <w:pStyle w:val="Text"/>
      </w:pPr>
      <w:r>
        <w:t xml:space="preserve">The NCVER Apprentice and Trainee Destinations </w:t>
      </w:r>
      <w:r w:rsidR="0070656B">
        <w:t>Survey</w:t>
      </w:r>
      <w:r w:rsidR="00046248">
        <w:t>s</w:t>
      </w:r>
      <w:r w:rsidR="0070656B">
        <w:t xml:space="preserve"> </w:t>
      </w:r>
      <w:r>
        <w:t xml:space="preserve">followed </w:t>
      </w:r>
      <w:r w:rsidR="00606D1E">
        <w:t xml:space="preserve">non-completing </w:t>
      </w:r>
      <w:r>
        <w:t>apprentices nine mont</w:t>
      </w:r>
      <w:r w:rsidR="00A84929">
        <w:t xml:space="preserve">hs after leaving their training. Approximately </w:t>
      </w:r>
      <w:r w:rsidR="00BD2B91">
        <w:t xml:space="preserve">75% of non-completers were employed, with </w:t>
      </w:r>
      <w:r w:rsidR="00A84929">
        <w:t xml:space="preserve">60% </w:t>
      </w:r>
      <w:r w:rsidR="00BD2B91">
        <w:t xml:space="preserve">employed </w:t>
      </w:r>
      <w:r w:rsidR="00A84929">
        <w:t>full-time</w:t>
      </w:r>
      <w:r w:rsidR="00BD2B91">
        <w:t xml:space="preserve"> and 15% </w:t>
      </w:r>
      <w:r w:rsidR="00A84929">
        <w:t>part-time</w:t>
      </w:r>
      <w:r w:rsidR="00B73070">
        <w:t xml:space="preserve">. </w:t>
      </w:r>
      <w:r>
        <w:t xml:space="preserve">In a similar study, Cully and Curtain (2001) </w:t>
      </w:r>
      <w:r w:rsidR="007E2E27">
        <w:t>found that 80%</w:t>
      </w:r>
      <w:r w:rsidR="00892488">
        <w:t xml:space="preserve"> of non-completers were employed, mostly full-time</w:t>
      </w:r>
      <w:r w:rsidR="00BD2B91">
        <w:t>.</w:t>
      </w:r>
      <w:r w:rsidR="00B72BB7">
        <w:t xml:space="preserve"> Only a small proportion of apprentices go on to further study. About 17% of non-completers were studying at TAFE </w:t>
      </w:r>
      <w:r w:rsidR="005E2BDC">
        <w:t xml:space="preserve">(technical and further education) </w:t>
      </w:r>
      <w:r w:rsidR="00B72BB7">
        <w:t>or another training provider, while 2% were studying at university (NCVER 2009).</w:t>
      </w:r>
    </w:p>
    <w:p w:rsidR="008A74AF" w:rsidRDefault="002F4AA0" w:rsidP="005D4AD6">
      <w:pPr>
        <w:pStyle w:val="Text"/>
      </w:pPr>
      <w:r w:rsidRPr="00AD223C">
        <w:t>Although a large proportion of non-completers are employed, only 25%</w:t>
      </w:r>
      <w:r w:rsidR="008A74AF" w:rsidRPr="00AD223C">
        <w:t xml:space="preserve"> are employed in the same occupation as their apprenticeship</w:t>
      </w:r>
      <w:r w:rsidR="00AD223C">
        <w:t xml:space="preserve"> (NCVER 2009</w:t>
      </w:r>
      <w:r w:rsidR="008A74AF" w:rsidRPr="00AD223C">
        <w:t xml:space="preserve">). This is compared </w:t>
      </w:r>
      <w:r w:rsidR="005E2BDC">
        <w:t>with</w:t>
      </w:r>
      <w:r w:rsidR="008A74AF" w:rsidRPr="00AD223C">
        <w:t xml:space="preserve"> 77% of completers. This suggests that </w:t>
      </w:r>
      <w:r w:rsidR="009B67F6">
        <w:t>the fit between the occupation and the apprentices may have been poor</w:t>
      </w:r>
      <w:r w:rsidR="008A74AF" w:rsidRPr="00AD223C">
        <w:t>.</w:t>
      </w:r>
      <w:r w:rsidR="00B72BB7">
        <w:t xml:space="preserve"> </w:t>
      </w:r>
      <w:r w:rsidR="008A74AF" w:rsidRPr="00AD223C">
        <w:t xml:space="preserve">More importantly, </w:t>
      </w:r>
      <w:r w:rsidR="00AD223C" w:rsidRPr="00AD223C">
        <w:t>just 7%</w:t>
      </w:r>
      <w:r w:rsidR="008A74AF" w:rsidRPr="00AD223C">
        <w:t xml:space="preserve"> of </w:t>
      </w:r>
      <w:r w:rsidR="00AD223C" w:rsidRPr="00AD223C">
        <w:t>non-</w:t>
      </w:r>
      <w:r w:rsidR="008A74AF" w:rsidRPr="00AD223C">
        <w:t xml:space="preserve">completers are employed with the same employer as their apprenticeship, compared </w:t>
      </w:r>
      <w:r w:rsidR="005E2BDC">
        <w:t>with</w:t>
      </w:r>
      <w:r w:rsidR="008A74AF" w:rsidRPr="00AD223C">
        <w:t xml:space="preserve"> </w:t>
      </w:r>
      <w:r w:rsidR="00AD223C" w:rsidRPr="00AD223C">
        <w:t xml:space="preserve">50% of </w:t>
      </w:r>
      <w:r w:rsidR="008A74AF" w:rsidRPr="00AD223C">
        <w:t>completers. This suggests</w:t>
      </w:r>
      <w:r w:rsidR="00770ED3">
        <w:t xml:space="preserve"> that non-completers had a less </w:t>
      </w:r>
      <w:r w:rsidR="008A74AF" w:rsidRPr="00AD223C">
        <w:t>favourable relationship with their employer than completers.</w:t>
      </w:r>
    </w:p>
    <w:p w:rsidR="00A36BCE" w:rsidRDefault="00B72BB7" w:rsidP="004418FC">
      <w:pPr>
        <w:pStyle w:val="Text"/>
        <w:ind w:right="-143"/>
      </w:pPr>
      <w:r>
        <w:lastRenderedPageBreak/>
        <w:t xml:space="preserve">It appears that </w:t>
      </w:r>
      <w:r w:rsidR="00046248">
        <w:t xml:space="preserve">many of </w:t>
      </w:r>
      <w:r>
        <w:t>t</w:t>
      </w:r>
      <w:r w:rsidR="00AD223C">
        <w:t>hose</w:t>
      </w:r>
      <w:r w:rsidR="00A84929">
        <w:t xml:space="preserve"> who quit do not give up on the idea of an apprenticeship altogether. The NCVER survey found that approximately 22% of non-completing apprentices in a trade occupation had commenced another apprenticeship</w:t>
      </w:r>
      <w:r w:rsidR="00B73070">
        <w:t xml:space="preserve"> (NCVER 2009)</w:t>
      </w:r>
      <w:r w:rsidR="00A84929">
        <w:t>.</w:t>
      </w:r>
      <w:r w:rsidR="009247A2" w:rsidRPr="009247A2">
        <w:t xml:space="preserve"> </w:t>
      </w:r>
      <w:r w:rsidR="009247A2">
        <w:t>Cully and Curtain (2001) also found that 44% of non-completing apprentices had recommence</w:t>
      </w:r>
      <w:r w:rsidR="00770ED3">
        <w:t>d</w:t>
      </w:r>
      <w:r w:rsidR="009247A2">
        <w:t xml:space="preserve"> their apprenticeship with a different employer. Two-thirds of those who recommenced did so in the same occupational area as their apprenticeship or traineeship.</w:t>
      </w:r>
    </w:p>
    <w:p w:rsidR="00A652B3" w:rsidRDefault="00445B7E" w:rsidP="00A652B3">
      <w:pPr>
        <w:pStyle w:val="Text"/>
      </w:pPr>
      <w:r>
        <w:t>Even for those who do not recommence an apprenticeship</w:t>
      </w:r>
      <w:r w:rsidR="00A36BCE">
        <w:t xml:space="preserve">, there is evidence that </w:t>
      </w:r>
      <w:r w:rsidR="00046248">
        <w:t xml:space="preserve">some </w:t>
      </w:r>
      <w:r w:rsidR="00A36BCE">
        <w:t xml:space="preserve">cancelled apprentices remain in the industry. For example, </w:t>
      </w:r>
      <w:r w:rsidR="00A652B3">
        <w:t xml:space="preserve">Patterson Market Research (2004) reported that approximately </w:t>
      </w:r>
      <w:r>
        <w:t>25%</w:t>
      </w:r>
      <w:r w:rsidR="00A652B3">
        <w:t xml:space="preserve"> </w:t>
      </w:r>
      <w:r w:rsidR="00A84929">
        <w:t xml:space="preserve">of the cancelled building and construction apprentices in their sample </w:t>
      </w:r>
      <w:r w:rsidR="00A652B3">
        <w:t xml:space="preserve">stayed in the trade without </w:t>
      </w:r>
      <w:r w:rsidR="009A7508">
        <w:t>completing</w:t>
      </w:r>
      <w:r w:rsidR="00A652B3">
        <w:t xml:space="preserve"> their apprenticeship</w:t>
      </w:r>
      <w:r>
        <w:t>.</w:t>
      </w:r>
      <w:r w:rsidR="00A84929">
        <w:t xml:space="preserve"> This issue about the perceived value of a qualification will be addressed when we consider the value of completion.</w:t>
      </w:r>
    </w:p>
    <w:p w:rsidR="00E64BDA" w:rsidRDefault="005F27BB" w:rsidP="005F27BB">
      <w:pPr>
        <w:pStyle w:val="Heading2"/>
      </w:pPr>
      <w:bookmarkStart w:id="92" w:name="_Toc377040303"/>
      <w:r>
        <w:t>The impact of wages</w:t>
      </w:r>
      <w:bookmarkEnd w:id="92"/>
    </w:p>
    <w:p w:rsidR="00C421CA" w:rsidRDefault="00B844D5" w:rsidP="00C421CA">
      <w:pPr>
        <w:pStyle w:val="Text"/>
      </w:pPr>
      <w:r>
        <w:t xml:space="preserve">There is conflicting evidence </w:t>
      </w:r>
      <w:r w:rsidR="004E57D7">
        <w:t>on</w:t>
      </w:r>
      <w:r>
        <w:t xml:space="preserve"> the importance of wages. Most studies find that </w:t>
      </w:r>
      <w:r w:rsidR="007318E5">
        <w:t xml:space="preserve">apprentice </w:t>
      </w:r>
      <w:r>
        <w:t xml:space="preserve">wages are not the most common reason for non-completion, </w:t>
      </w:r>
      <w:r w:rsidR="00463769">
        <w:t>although low wages</w:t>
      </w:r>
      <w:r>
        <w:t xml:space="preserve"> are nevertheless </w:t>
      </w:r>
      <w:r w:rsidR="004E57D7">
        <w:t>amongst the most frequently cited</w:t>
      </w:r>
      <w:r>
        <w:t xml:space="preserve"> factors. </w:t>
      </w:r>
      <w:r w:rsidR="00C421CA">
        <w:t xml:space="preserve">Snell and Hart </w:t>
      </w:r>
      <w:r w:rsidR="00445B7E">
        <w:t>(</w:t>
      </w:r>
      <w:r w:rsidR="00C421CA">
        <w:t>2008) argue that a</w:t>
      </w:r>
      <w:r w:rsidR="004E57D7">
        <w:t xml:space="preserve"> wage increase can only go part of the </w:t>
      </w:r>
      <w:r w:rsidR="00C421CA">
        <w:t>way to improving training outcomes, since there are often multiple contributing factors related to the employment experience to blame.</w:t>
      </w:r>
    </w:p>
    <w:p w:rsidR="004C7E70" w:rsidRDefault="00254089" w:rsidP="004C7E70">
      <w:pPr>
        <w:pStyle w:val="Text"/>
      </w:pPr>
      <w:r>
        <w:t>Although low wages did not rank particularly highly in the NCVER survey</w:t>
      </w:r>
      <w:r w:rsidR="00046248">
        <w:t>s,</w:t>
      </w:r>
      <w:r>
        <w:t xml:space="preserve"> </w:t>
      </w:r>
      <w:r w:rsidR="004E57D7">
        <w:t xml:space="preserve">Dickie, McDonald and </w:t>
      </w:r>
      <w:proofErr w:type="spellStart"/>
      <w:r w:rsidR="004E57D7">
        <w:t>Pedic</w:t>
      </w:r>
      <w:proofErr w:type="spellEnd"/>
      <w:r w:rsidR="001610FA">
        <w:t xml:space="preserve"> (2011) fou</w:t>
      </w:r>
      <w:r w:rsidR="004C7E70">
        <w:t xml:space="preserve">nd that </w:t>
      </w:r>
      <w:r w:rsidR="00463769">
        <w:t>poor</w:t>
      </w:r>
      <w:r w:rsidR="000C5FC7" w:rsidRPr="0058325F">
        <w:t xml:space="preserve"> pay is one of the top two reasons </w:t>
      </w:r>
      <w:r w:rsidR="00702716">
        <w:t>given by</w:t>
      </w:r>
      <w:r w:rsidR="000C5FC7" w:rsidRPr="0058325F">
        <w:t xml:space="preserve"> discontinued apprentices for term</w:t>
      </w:r>
      <w:r w:rsidR="00463769">
        <w:t xml:space="preserve">inating their apprenticeship. </w:t>
      </w:r>
      <w:r>
        <w:t>Similarly,</w:t>
      </w:r>
      <w:r w:rsidR="004C7E70" w:rsidRPr="0058325F">
        <w:t xml:space="preserve"> </w:t>
      </w:r>
      <w:r w:rsidR="00561D5E">
        <w:t xml:space="preserve">a </w:t>
      </w:r>
      <w:r w:rsidR="004C7E70" w:rsidRPr="0058325F">
        <w:t xml:space="preserve">study by </w:t>
      </w:r>
      <w:r w:rsidR="00BA2D09">
        <w:t>Huntly</w:t>
      </w:r>
      <w:r w:rsidR="004C7E70" w:rsidRPr="0058325F">
        <w:t xml:space="preserve"> Consulting Group (2008) found that</w:t>
      </w:r>
      <w:r w:rsidR="00336791">
        <w:t xml:space="preserve"> wages and the cost of living were the two </w:t>
      </w:r>
      <w:r w:rsidR="004C7E70">
        <w:t>biggest</w:t>
      </w:r>
      <w:r w:rsidR="00336791">
        <w:t xml:space="preserve"> concerns </w:t>
      </w:r>
      <w:r>
        <w:t>amongst</w:t>
      </w:r>
      <w:r w:rsidR="00336791">
        <w:t xml:space="preserve"> </w:t>
      </w:r>
      <w:r w:rsidR="004C7E70">
        <w:t xml:space="preserve">interviewed apprentices. </w:t>
      </w:r>
      <w:r>
        <w:t xml:space="preserve">Apprentices were concerned about the cost of </w:t>
      </w:r>
      <w:r w:rsidR="00336791">
        <w:t xml:space="preserve">travel to and from the various sites assigned to them by their employer. </w:t>
      </w:r>
      <w:r>
        <w:t>In addition, w</w:t>
      </w:r>
      <w:r w:rsidR="00336791">
        <w:t xml:space="preserve">ages were considered the single </w:t>
      </w:r>
      <w:r w:rsidR="00702716">
        <w:t>lar</w:t>
      </w:r>
      <w:r w:rsidR="00336791">
        <w:t xml:space="preserve">gest disincentive to taking up or completing an apprenticeship. </w:t>
      </w:r>
    </w:p>
    <w:p w:rsidR="001F62DA" w:rsidRDefault="00BF3C37" w:rsidP="002D6E00">
      <w:pPr>
        <w:pStyle w:val="Text"/>
        <w:ind w:right="141"/>
      </w:pPr>
      <w:r>
        <w:t xml:space="preserve">By contrast, </w:t>
      </w:r>
      <w:r w:rsidRPr="0058325F">
        <w:t>Karmel a</w:t>
      </w:r>
      <w:r w:rsidR="00463769">
        <w:t>nd Mlotkowski (2011) found that in the trades</w:t>
      </w:r>
      <w:r w:rsidRPr="0058325F">
        <w:t xml:space="preserve"> it was the premium associated with becoming a tradesperson which mattered, </w:t>
      </w:r>
      <w:r w:rsidR="007318E5">
        <w:t>rather than</w:t>
      </w:r>
      <w:r w:rsidRPr="0058325F">
        <w:t xml:space="preserve"> training wages. </w:t>
      </w:r>
      <w:r w:rsidR="00892488">
        <w:t>Indeed, m</w:t>
      </w:r>
      <w:r w:rsidR="001F62DA">
        <w:t>ore than 8</w:t>
      </w:r>
      <w:r w:rsidR="00463769">
        <w:t xml:space="preserve">5% of apprentices in the Dickie, McDonald and </w:t>
      </w:r>
      <w:proofErr w:type="spellStart"/>
      <w:r w:rsidR="00463769">
        <w:t>Pedic</w:t>
      </w:r>
      <w:proofErr w:type="spellEnd"/>
      <w:r w:rsidR="00463769">
        <w:t xml:space="preserve"> </w:t>
      </w:r>
      <w:r w:rsidR="001F62DA">
        <w:t xml:space="preserve">(2011) study believed that the apprenticeship was a </w:t>
      </w:r>
      <w:r w:rsidR="00841F93">
        <w:t>‘</w:t>
      </w:r>
      <w:r w:rsidR="001F62DA">
        <w:t>ticket to a well</w:t>
      </w:r>
      <w:r w:rsidR="00702716">
        <w:t>-</w:t>
      </w:r>
      <w:r w:rsidR="001F62DA">
        <w:t>paid job</w:t>
      </w:r>
      <w:r w:rsidR="00841F93">
        <w:t>’</w:t>
      </w:r>
      <w:r w:rsidR="001F62DA">
        <w:t>, which suggests that apprentices are aware of the premium attached to</w:t>
      </w:r>
      <w:r w:rsidR="002D6E00">
        <w:t> </w:t>
      </w:r>
      <w:r w:rsidR="001F62DA">
        <w:t>completing.</w:t>
      </w:r>
    </w:p>
    <w:p w:rsidR="001F62DA" w:rsidRDefault="001F62DA" w:rsidP="001F62DA">
      <w:pPr>
        <w:pStyle w:val="Text"/>
      </w:pPr>
      <w:r>
        <w:t>Some apprentices sa</w:t>
      </w:r>
      <w:r w:rsidR="00892488">
        <w:t>w the low wages as a fair trade-</w:t>
      </w:r>
      <w:r>
        <w:t>off for receiving training, while others did not</w:t>
      </w:r>
      <w:r w:rsidR="009D0E0A">
        <w:t xml:space="preserve"> (see Cully &amp; Curtain 2001).</w:t>
      </w:r>
      <w:r>
        <w:t xml:space="preserve"> One employer in the Cully and Curtain (2001) study commented on the low-pay-in-return-for</w:t>
      </w:r>
      <w:r w:rsidR="00463769">
        <w:t>-training pay-</w:t>
      </w:r>
      <w:r w:rsidR="001610FA">
        <w:t xml:space="preserve">off, saying that </w:t>
      </w:r>
      <w:r w:rsidR="00841F93">
        <w:t>‘</w:t>
      </w:r>
      <w:r>
        <w:t>the kids also want more money in the job, but I am training them. If you are going to school or to university you don</w:t>
      </w:r>
      <w:r w:rsidR="00841F93">
        <w:t>’</w:t>
      </w:r>
      <w:r>
        <w:t>t get paid anything</w:t>
      </w:r>
      <w:r w:rsidR="00841F93">
        <w:t>’</w:t>
      </w:r>
      <w:r>
        <w:t xml:space="preserve"> (Cully </w:t>
      </w:r>
      <w:r w:rsidR="001610FA">
        <w:t>&amp; Curtain 2001, p.</w:t>
      </w:r>
      <w:r>
        <w:t>12)</w:t>
      </w:r>
      <w:r w:rsidR="001610FA">
        <w:t>.</w:t>
      </w:r>
    </w:p>
    <w:p w:rsidR="00C079B8" w:rsidRDefault="00C079B8" w:rsidP="004C7E70">
      <w:pPr>
        <w:pStyle w:val="Text"/>
      </w:pPr>
      <w:r>
        <w:t xml:space="preserve">Although wages are not always cited by apprentices as their top reason for leaving, they do appear to play a role in </w:t>
      </w:r>
      <w:r w:rsidRPr="00BF3C37">
        <w:rPr>
          <w:i/>
        </w:rPr>
        <w:t>retaining</w:t>
      </w:r>
      <w:r>
        <w:t xml:space="preserve"> apprentices</w:t>
      </w:r>
      <w:r w:rsidR="001F62DA">
        <w:t>, as companies with high retention rates often pay their apprentices above the required rates</w:t>
      </w:r>
      <w:r>
        <w:t>. This i</w:t>
      </w:r>
      <w:r w:rsidR="00463769">
        <w:t>s discussed in more detail</w:t>
      </w:r>
      <w:r>
        <w:t xml:space="preserve"> when the retention strategies used by employers with high </w:t>
      </w:r>
      <w:r w:rsidR="007318E5">
        <w:t xml:space="preserve">apprentice </w:t>
      </w:r>
      <w:r>
        <w:t>retention rates</w:t>
      </w:r>
      <w:r w:rsidR="007318E5">
        <w:t xml:space="preserve"> are examined</w:t>
      </w:r>
      <w:r>
        <w:t>.</w:t>
      </w:r>
    </w:p>
    <w:p w:rsidR="009D0E0A" w:rsidRDefault="009D0E0A" w:rsidP="004C7E70">
      <w:pPr>
        <w:pStyle w:val="Text"/>
      </w:pPr>
      <w:r>
        <w:t>Some employers felt that apprentice wages were so low as to make other options (such as becoming a labourer or gaining alternativ</w:t>
      </w:r>
      <w:r w:rsidR="001610FA">
        <w:t xml:space="preserve">e employment) more attractive: </w:t>
      </w:r>
      <w:r w:rsidR="00841F93">
        <w:t>‘</w:t>
      </w:r>
      <w:r w:rsidR="00D84B76">
        <w:t>You can earn</w:t>
      </w:r>
      <w:r w:rsidR="001610FA">
        <w:t xml:space="preserve"> $32 </w:t>
      </w:r>
      <w:r>
        <w:t>000 as a sales assi</w:t>
      </w:r>
      <w:r w:rsidR="001610FA">
        <w:t xml:space="preserve">stant at Bunnings, why take $14 </w:t>
      </w:r>
      <w:r>
        <w:t>000 to do an apprenticeshi</w:t>
      </w:r>
      <w:r w:rsidR="001610FA">
        <w:t>p?</w:t>
      </w:r>
      <w:r w:rsidR="00841F93">
        <w:t>’</w:t>
      </w:r>
      <w:r w:rsidR="001610FA">
        <w:t xml:space="preserve"> (TNS Social Research 2007, p.</w:t>
      </w:r>
      <w:r>
        <w:t xml:space="preserve">41). </w:t>
      </w:r>
      <w:r w:rsidR="007318E5">
        <w:t xml:space="preserve">We consider the </w:t>
      </w:r>
      <w:r>
        <w:t>opportunity cost of undertaking an apprenticeship</w:t>
      </w:r>
      <w:r w:rsidR="007318E5">
        <w:t xml:space="preserve"> </w:t>
      </w:r>
      <w:r w:rsidR="00463769">
        <w:t xml:space="preserve">in more detail in the section </w:t>
      </w:r>
      <w:r w:rsidR="001610FA">
        <w:t>on the value of completing</w:t>
      </w:r>
      <w:r>
        <w:t>.</w:t>
      </w:r>
    </w:p>
    <w:p w:rsidR="00EF2EE2" w:rsidRDefault="00EF2EE2" w:rsidP="0058325F">
      <w:pPr>
        <w:pStyle w:val="Heading2"/>
      </w:pPr>
      <w:bookmarkStart w:id="93" w:name="_Toc377040304"/>
      <w:r>
        <w:lastRenderedPageBreak/>
        <w:t xml:space="preserve">Fairness </w:t>
      </w:r>
      <w:r w:rsidR="00B844D5">
        <w:t>and respect</w:t>
      </w:r>
      <w:bookmarkEnd w:id="93"/>
    </w:p>
    <w:p w:rsidR="00A84929" w:rsidRDefault="00B844D5" w:rsidP="00A84929">
      <w:pPr>
        <w:pStyle w:val="Text"/>
      </w:pPr>
      <w:r>
        <w:t xml:space="preserve">Apprentices and trainees often cited a lack of respect, being treated as </w:t>
      </w:r>
      <w:r w:rsidR="00841F93">
        <w:t>‘</w:t>
      </w:r>
      <w:r w:rsidR="001610FA">
        <w:t>cheap labour</w:t>
      </w:r>
      <w:r w:rsidR="00841F93">
        <w:t>’</w:t>
      </w:r>
      <w:r>
        <w:t xml:space="preserve"> and feeling like an inferior worker as contributing factors </w:t>
      </w:r>
      <w:r w:rsidR="001F62DA">
        <w:t>in</w:t>
      </w:r>
      <w:r>
        <w:t xml:space="preserve"> their decision to leave</w:t>
      </w:r>
      <w:r w:rsidR="007E63B6">
        <w:t xml:space="preserve"> (Snell </w:t>
      </w:r>
      <w:r w:rsidR="001610FA">
        <w:t>&amp;</w:t>
      </w:r>
      <w:r w:rsidR="007E63B6">
        <w:t xml:space="preserve"> Hart 2008</w:t>
      </w:r>
      <w:r w:rsidR="001C6FD7">
        <w:t>;</w:t>
      </w:r>
      <w:r w:rsidR="007E63B6">
        <w:t xml:space="preserve"> </w:t>
      </w:r>
      <w:r w:rsidR="0082769B">
        <w:t xml:space="preserve">Cully </w:t>
      </w:r>
      <w:r w:rsidR="001610FA">
        <w:t>&amp;</w:t>
      </w:r>
      <w:r w:rsidR="0082769B">
        <w:t xml:space="preserve"> Curtain 2001</w:t>
      </w:r>
      <w:r w:rsidR="001C6FD7">
        <w:t>;</w:t>
      </w:r>
      <w:r w:rsidR="0082769B">
        <w:t xml:space="preserve"> </w:t>
      </w:r>
      <w:r w:rsidR="001610FA">
        <w:t>Manufacturing Industry Skills Advisory Council</w:t>
      </w:r>
      <w:r w:rsidR="00713CA2">
        <w:t xml:space="preserve"> 2009</w:t>
      </w:r>
      <w:r w:rsidR="007E63B6">
        <w:t>)</w:t>
      </w:r>
      <w:r>
        <w:t xml:space="preserve">. </w:t>
      </w:r>
      <w:r w:rsidR="00A84929">
        <w:t xml:space="preserve">For example, half of </w:t>
      </w:r>
      <w:r w:rsidR="00463769">
        <w:t xml:space="preserve">the </w:t>
      </w:r>
      <w:r w:rsidR="00A84929">
        <w:t>non-completing apprentices and trainees in the Cully and Curtain (2001) su</w:t>
      </w:r>
      <w:r w:rsidR="001610FA">
        <w:t xml:space="preserve">rvey agreed that </w:t>
      </w:r>
      <w:r w:rsidR="00841F93">
        <w:t>‘</w:t>
      </w:r>
      <w:r w:rsidR="001610FA">
        <w:t>being treated as cheap labour</w:t>
      </w:r>
      <w:r w:rsidR="00841F93">
        <w:t>’</w:t>
      </w:r>
      <w:r w:rsidR="00A84929">
        <w:t xml:space="preserve"> was a factor in </w:t>
      </w:r>
      <w:r w:rsidR="00CB3A4A">
        <w:t>their discontinuing</w:t>
      </w:r>
      <w:r w:rsidR="00A84929">
        <w:t xml:space="preserve"> their training.</w:t>
      </w:r>
    </w:p>
    <w:p w:rsidR="00A84929" w:rsidRDefault="00A84929" w:rsidP="00A84929">
      <w:pPr>
        <w:pStyle w:val="Text"/>
      </w:pPr>
      <w:r>
        <w:t xml:space="preserve">Some may argue that apprentices </w:t>
      </w:r>
      <w:r w:rsidR="002C3EC5">
        <w:t>go into their training with</w:t>
      </w:r>
      <w:r>
        <w:t xml:space="preserve"> unrealistic expectations. Ho</w:t>
      </w:r>
      <w:r w:rsidR="00892488">
        <w:t>we</w:t>
      </w:r>
      <w:r>
        <w:t xml:space="preserve">ver, there is evidence that apprentices are largely aware of what the apprenticeship will involve. </w:t>
      </w:r>
      <w:r w:rsidR="00892488">
        <w:t>For example, a</w:t>
      </w:r>
      <w:r>
        <w:t>pproximately 7</w:t>
      </w:r>
      <w:r w:rsidR="00CB3A4A">
        <w:t xml:space="preserve">5% of apprentices in the Dickie, McDonald and </w:t>
      </w:r>
      <w:proofErr w:type="spellStart"/>
      <w:r w:rsidR="00CB3A4A">
        <w:t>Pedic</w:t>
      </w:r>
      <w:proofErr w:type="spellEnd"/>
      <w:r w:rsidR="00CB3A4A">
        <w:t xml:space="preserve"> </w:t>
      </w:r>
      <w:r>
        <w:t xml:space="preserve">(2011) study said that they knew the apprenticeship would involve </w:t>
      </w:r>
      <w:r w:rsidR="00841F93">
        <w:t>‘</w:t>
      </w:r>
      <w:r>
        <w:t>hard work, low pay and bad conditions</w:t>
      </w:r>
      <w:r w:rsidR="00841F93">
        <w:t>’</w:t>
      </w:r>
      <w:r>
        <w:t xml:space="preserve">. </w:t>
      </w:r>
    </w:p>
    <w:p w:rsidR="00A84929" w:rsidRPr="00DE10B5" w:rsidRDefault="00A84929" w:rsidP="00A84929">
      <w:pPr>
        <w:pStyle w:val="Text"/>
        <w:rPr>
          <w:rFonts w:eastAsia="Calibri"/>
        </w:rPr>
      </w:pPr>
      <w:r>
        <w:rPr>
          <w:rFonts w:eastAsia="Calibri"/>
        </w:rPr>
        <w:t>S</w:t>
      </w:r>
      <w:r w:rsidR="00892488">
        <w:rPr>
          <w:rFonts w:eastAsia="Calibri"/>
        </w:rPr>
        <w:t>imilarly, S</w:t>
      </w:r>
      <w:r w:rsidR="00CB3A4A">
        <w:rPr>
          <w:rFonts w:eastAsia="Calibri"/>
        </w:rPr>
        <w:t xml:space="preserve">mith, Walker and Brennan </w:t>
      </w:r>
      <w:proofErr w:type="spellStart"/>
      <w:r w:rsidR="00CB3A4A">
        <w:rPr>
          <w:rFonts w:eastAsia="Calibri"/>
        </w:rPr>
        <w:t>Kemmis</w:t>
      </w:r>
      <w:proofErr w:type="spellEnd"/>
      <w:r>
        <w:rPr>
          <w:rFonts w:eastAsia="Calibri"/>
        </w:rPr>
        <w:t xml:space="preserve"> (2011) explore</w:t>
      </w:r>
      <w:r w:rsidR="002C3EC5">
        <w:rPr>
          <w:rFonts w:eastAsia="Calibri"/>
        </w:rPr>
        <w:t>d</w:t>
      </w:r>
      <w:r>
        <w:rPr>
          <w:rFonts w:eastAsia="Calibri"/>
        </w:rPr>
        <w:t xml:space="preserve"> the </w:t>
      </w:r>
      <w:r w:rsidR="00841F93">
        <w:rPr>
          <w:rFonts w:eastAsia="Calibri"/>
        </w:rPr>
        <w:t>‘</w:t>
      </w:r>
      <w:r>
        <w:rPr>
          <w:rFonts w:eastAsia="Calibri"/>
        </w:rPr>
        <w:t>psychological contract</w:t>
      </w:r>
      <w:r w:rsidR="00841F93">
        <w:rPr>
          <w:rFonts w:eastAsia="Calibri"/>
        </w:rPr>
        <w:t>’</w:t>
      </w:r>
      <w:r>
        <w:rPr>
          <w:rFonts w:eastAsia="Calibri"/>
        </w:rPr>
        <w:t xml:space="preserve"> that exists between employers and apprentices; in other words, what each party expects of the other. They find that there is a high level </w:t>
      </w:r>
      <w:r w:rsidR="002C3EC5">
        <w:rPr>
          <w:rFonts w:eastAsia="Calibri"/>
        </w:rPr>
        <w:t xml:space="preserve">of </w:t>
      </w:r>
      <w:r>
        <w:rPr>
          <w:rFonts w:eastAsia="Calibri"/>
        </w:rPr>
        <w:t xml:space="preserve">agreement between employers and apprentices </w:t>
      </w:r>
      <w:r w:rsidR="00CB3A4A">
        <w:rPr>
          <w:rFonts w:eastAsia="Calibri"/>
        </w:rPr>
        <w:t>over</w:t>
      </w:r>
      <w:r>
        <w:rPr>
          <w:rFonts w:eastAsia="Calibri"/>
        </w:rPr>
        <w:t xml:space="preserve"> each party</w:t>
      </w:r>
      <w:r w:rsidR="00841F93">
        <w:rPr>
          <w:rFonts w:eastAsia="Calibri"/>
        </w:rPr>
        <w:t>’</w:t>
      </w:r>
      <w:r>
        <w:rPr>
          <w:rFonts w:eastAsia="Calibri"/>
        </w:rPr>
        <w:t xml:space="preserve">s obligations. </w:t>
      </w:r>
      <w:r w:rsidR="00CB3A4A">
        <w:rPr>
          <w:rFonts w:eastAsia="Calibri"/>
        </w:rPr>
        <w:t xml:space="preserve">Therefore </w:t>
      </w:r>
      <w:r>
        <w:rPr>
          <w:rFonts w:eastAsia="Calibri"/>
        </w:rPr>
        <w:t xml:space="preserve">a mismatch in expectations is not </w:t>
      </w:r>
      <w:r w:rsidR="00046248">
        <w:rPr>
          <w:rFonts w:eastAsia="Calibri"/>
        </w:rPr>
        <w:t>the problem</w:t>
      </w:r>
      <w:r w:rsidR="002C3EC5">
        <w:rPr>
          <w:rFonts w:eastAsia="Calibri"/>
        </w:rPr>
        <w:t>.</w:t>
      </w:r>
    </w:p>
    <w:p w:rsidR="00F75E3F" w:rsidRDefault="00A84929" w:rsidP="00F75E3F">
      <w:pPr>
        <w:pStyle w:val="Text"/>
        <w:rPr>
          <w:rFonts w:eastAsia="Calibri"/>
        </w:rPr>
      </w:pPr>
      <w:r>
        <w:t>Dickie</w:t>
      </w:r>
      <w:r w:rsidR="00CB3A4A">
        <w:t>,</w:t>
      </w:r>
      <w:r>
        <w:t xml:space="preserve"> </w:t>
      </w:r>
      <w:r w:rsidR="00CB3A4A">
        <w:t xml:space="preserve">McDonald and </w:t>
      </w:r>
      <w:proofErr w:type="spellStart"/>
      <w:r w:rsidR="00CB3A4A">
        <w:t>Pedic</w:t>
      </w:r>
      <w:proofErr w:type="spellEnd"/>
      <w:r w:rsidR="00CB3A4A">
        <w:t xml:space="preserve"> </w:t>
      </w:r>
      <w:r>
        <w:t>(2011) suggest that fairness,</w:t>
      </w:r>
      <w:r w:rsidR="001F62DA">
        <w:t xml:space="preserve"> </w:t>
      </w:r>
      <w:r w:rsidR="00B844D5">
        <w:t>in the sense of the apprenticeship being</w:t>
      </w:r>
      <w:r w:rsidR="00CB3A4A">
        <w:t xml:space="preserve"> seen as </w:t>
      </w:r>
      <w:r w:rsidR="00841F93">
        <w:t>‘</w:t>
      </w:r>
      <w:r w:rsidR="00CB3A4A">
        <w:t>a fair deal</w:t>
      </w:r>
      <w:r w:rsidR="00841F93">
        <w:t>’</w:t>
      </w:r>
      <w:r w:rsidR="001F62DA">
        <w:t>,</w:t>
      </w:r>
      <w:r w:rsidR="00B844D5">
        <w:t xml:space="preserve"> </w:t>
      </w:r>
      <w:r>
        <w:t>is</w:t>
      </w:r>
      <w:r w:rsidR="00B844D5">
        <w:t xml:space="preserve"> the tipping point for apprentices in terms of whether they stay or go.</w:t>
      </w:r>
      <w:r>
        <w:t xml:space="preserve"> </w:t>
      </w:r>
      <w:r w:rsidR="00892488">
        <w:t xml:space="preserve">In particular, fairness with regards to the employment experience </w:t>
      </w:r>
      <w:r w:rsidR="00B72BB7">
        <w:t>is seen as</w:t>
      </w:r>
      <w:r w:rsidR="00892488">
        <w:t xml:space="preserve"> the key.</w:t>
      </w:r>
      <w:r w:rsidR="00F75E3F">
        <w:t xml:space="preserve"> </w:t>
      </w:r>
      <w:r>
        <w:rPr>
          <w:rFonts w:eastAsia="Calibri"/>
        </w:rPr>
        <w:t>For the deal to be considered fair, apprentices expect varied work; good supervision, with on-the-job training provided by a skilled tradesperson with coaching and mentoring skills; a good boss; and a safe, contemporary workplace free from bullying (Dickie</w:t>
      </w:r>
      <w:r w:rsidR="00CB3A4A">
        <w:rPr>
          <w:rFonts w:eastAsia="Calibri"/>
        </w:rPr>
        <w:t>,</w:t>
      </w:r>
      <w:r>
        <w:rPr>
          <w:rFonts w:eastAsia="Calibri"/>
        </w:rPr>
        <w:t xml:space="preserve"> </w:t>
      </w:r>
      <w:r w:rsidR="00CB3A4A">
        <w:t xml:space="preserve">McDonald </w:t>
      </w:r>
      <w:r w:rsidR="00463769">
        <w:t>&amp;</w:t>
      </w:r>
      <w:r w:rsidR="00CB3A4A">
        <w:t xml:space="preserve"> </w:t>
      </w:r>
      <w:proofErr w:type="spellStart"/>
      <w:r w:rsidR="00CB3A4A">
        <w:t>Pedic</w:t>
      </w:r>
      <w:proofErr w:type="spellEnd"/>
      <w:r w:rsidR="00CB3A4A">
        <w:t xml:space="preserve"> </w:t>
      </w:r>
      <w:r>
        <w:rPr>
          <w:rFonts w:eastAsia="Calibri"/>
        </w:rPr>
        <w:t>2011).</w:t>
      </w:r>
      <w:r w:rsidR="00F75E3F">
        <w:rPr>
          <w:rFonts w:eastAsia="Calibri"/>
        </w:rPr>
        <w:t xml:space="preserve"> </w:t>
      </w:r>
      <w:r w:rsidR="00D823F7">
        <w:rPr>
          <w:rFonts w:eastAsia="Calibri"/>
        </w:rPr>
        <w:t>The authors</w:t>
      </w:r>
      <w:r w:rsidR="00F75E3F">
        <w:rPr>
          <w:rFonts w:eastAsia="Calibri"/>
        </w:rPr>
        <w:t xml:space="preserve"> propose that if an apprentice does not feel they are receiving a fair deal, other factors start to matter more: </w:t>
      </w:r>
    </w:p>
    <w:p w:rsidR="00A84929" w:rsidRDefault="00A84929" w:rsidP="002D6E00">
      <w:pPr>
        <w:pStyle w:val="Quote"/>
        <w:rPr>
          <w:rFonts w:eastAsia="Calibri"/>
        </w:rPr>
      </w:pPr>
      <w:r>
        <w:rPr>
          <w:rFonts w:eastAsia="Calibri"/>
        </w:rPr>
        <w:t>Apprentices will put up with a lot, including low wages, if what they get in return is fair</w:t>
      </w:r>
      <w:r w:rsidR="00CB3A4A">
        <w:rPr>
          <w:rFonts w:eastAsia="Calibri"/>
        </w:rPr>
        <w:t xml:space="preserve"> …</w:t>
      </w:r>
      <w:r w:rsidR="00F75E3F">
        <w:rPr>
          <w:rFonts w:eastAsia="Calibri"/>
        </w:rPr>
        <w:t xml:space="preserve"> </w:t>
      </w:r>
      <w:r>
        <w:rPr>
          <w:rFonts w:eastAsia="Calibri"/>
        </w:rPr>
        <w:t>If they don</w:t>
      </w:r>
      <w:r w:rsidR="00841F93">
        <w:rPr>
          <w:rFonts w:eastAsia="Calibri"/>
        </w:rPr>
        <w:t>’</w:t>
      </w:r>
      <w:r>
        <w:rPr>
          <w:rFonts w:eastAsia="Calibri"/>
        </w:rPr>
        <w:t>t get a fair deal, then any aspect of the apprenticeship</w:t>
      </w:r>
      <w:r w:rsidR="00F75E3F">
        <w:rPr>
          <w:rFonts w:eastAsia="Calibri"/>
        </w:rPr>
        <w:t xml:space="preserve"> </w:t>
      </w:r>
      <w:bookmarkStart w:id="94" w:name="OLE_LINK3"/>
      <w:bookmarkStart w:id="95" w:name="OLE_LINK4"/>
      <w:r w:rsidR="00F75E3F">
        <w:rPr>
          <w:rFonts w:eastAsia="Calibri"/>
        </w:rPr>
        <w:t>—</w:t>
      </w:r>
      <w:bookmarkEnd w:id="94"/>
      <w:bookmarkEnd w:id="95"/>
      <w:r w:rsidR="00F75E3F">
        <w:rPr>
          <w:rFonts w:eastAsia="Calibri"/>
        </w:rPr>
        <w:t xml:space="preserve"> </w:t>
      </w:r>
      <w:r>
        <w:rPr>
          <w:rFonts w:eastAsia="Calibri"/>
        </w:rPr>
        <w:t xml:space="preserve">like pay, repetitive work or a lack of workmates </w:t>
      </w:r>
      <w:r w:rsidR="00F75E3F">
        <w:rPr>
          <w:rFonts w:eastAsia="Calibri"/>
        </w:rPr>
        <w:t>—</w:t>
      </w:r>
      <w:r>
        <w:rPr>
          <w:rFonts w:eastAsia="Calibri"/>
        </w:rPr>
        <w:t xml:space="preserve"> can become a source of dissatisfaction and restlessness and impact on their commitment and likelih</w:t>
      </w:r>
      <w:r w:rsidR="00CB3A4A">
        <w:rPr>
          <w:rFonts w:eastAsia="Calibri"/>
        </w:rPr>
        <w:t>ood of completion.</w:t>
      </w:r>
      <w:r w:rsidR="00CB3A4A">
        <w:rPr>
          <w:rFonts w:eastAsia="Calibri"/>
        </w:rPr>
        <w:tab/>
      </w:r>
      <w:r>
        <w:rPr>
          <w:rFonts w:eastAsia="Calibri"/>
        </w:rPr>
        <w:t>(Dickie</w:t>
      </w:r>
      <w:r w:rsidR="00CB3A4A">
        <w:rPr>
          <w:rFonts w:eastAsia="Calibri"/>
        </w:rPr>
        <w:t>,</w:t>
      </w:r>
      <w:r>
        <w:rPr>
          <w:rFonts w:eastAsia="Calibri"/>
        </w:rPr>
        <w:t xml:space="preserve"> </w:t>
      </w:r>
      <w:r w:rsidR="00CB3A4A">
        <w:t xml:space="preserve">McDonald </w:t>
      </w:r>
      <w:r w:rsidR="00BB5797">
        <w:t>&amp;</w:t>
      </w:r>
      <w:r w:rsidR="00CB3A4A">
        <w:t xml:space="preserve"> </w:t>
      </w:r>
      <w:proofErr w:type="spellStart"/>
      <w:r w:rsidR="00CB3A4A">
        <w:t>Pedic</w:t>
      </w:r>
      <w:proofErr w:type="spellEnd"/>
      <w:r w:rsidR="00CB3A4A">
        <w:t xml:space="preserve"> 2011, </w:t>
      </w:r>
      <w:r w:rsidR="00CB3A4A">
        <w:rPr>
          <w:rFonts w:eastAsia="Calibri"/>
        </w:rPr>
        <w:t>p.</w:t>
      </w:r>
      <w:r>
        <w:rPr>
          <w:rFonts w:eastAsia="Calibri"/>
        </w:rPr>
        <w:t>13)</w:t>
      </w:r>
    </w:p>
    <w:p w:rsidR="00F75E3F" w:rsidRDefault="009A7508" w:rsidP="00F75E3F">
      <w:pPr>
        <w:pStyle w:val="Text"/>
        <w:rPr>
          <w:rFonts w:eastAsia="Calibri"/>
        </w:rPr>
      </w:pPr>
      <w:r>
        <w:rPr>
          <w:rFonts w:eastAsia="Calibri"/>
        </w:rPr>
        <w:t>In other words,</w:t>
      </w:r>
      <w:r w:rsidR="00F75E3F">
        <w:rPr>
          <w:rFonts w:eastAsia="Calibri"/>
        </w:rPr>
        <w:t xml:space="preserve"> apprentices </w:t>
      </w:r>
      <w:r>
        <w:rPr>
          <w:rFonts w:eastAsia="Calibri"/>
        </w:rPr>
        <w:t>are</w:t>
      </w:r>
      <w:r w:rsidR="00F75E3F">
        <w:rPr>
          <w:rFonts w:eastAsia="Calibri"/>
        </w:rPr>
        <w:t xml:space="preserve"> willing to </w:t>
      </w:r>
      <w:r w:rsidR="00841F93">
        <w:rPr>
          <w:rFonts w:eastAsia="Calibri"/>
        </w:rPr>
        <w:t>‘</w:t>
      </w:r>
      <w:r w:rsidR="00F75E3F">
        <w:rPr>
          <w:rFonts w:eastAsia="Calibri"/>
        </w:rPr>
        <w:t>wear</w:t>
      </w:r>
      <w:r w:rsidR="00841F93">
        <w:rPr>
          <w:rFonts w:eastAsia="Calibri"/>
        </w:rPr>
        <w:t>’</w:t>
      </w:r>
      <w:r w:rsidR="00F75E3F">
        <w:rPr>
          <w:rFonts w:eastAsia="Calibri"/>
        </w:rPr>
        <w:t xml:space="preserve"> the low pay if the training and experience they receive in return is deemed to be a fair trade-off.</w:t>
      </w:r>
    </w:p>
    <w:p w:rsidR="0088105C" w:rsidRDefault="0088105C" w:rsidP="000C5FC7">
      <w:pPr>
        <w:pStyle w:val="Heading2"/>
      </w:pPr>
      <w:bookmarkStart w:id="96" w:name="_Toc377040305"/>
      <w:r>
        <w:t>Lack of support</w:t>
      </w:r>
      <w:bookmarkEnd w:id="96"/>
    </w:p>
    <w:p w:rsidR="0088105C" w:rsidRPr="0088105C" w:rsidRDefault="0088105C" w:rsidP="0088105C">
      <w:pPr>
        <w:pStyle w:val="Text"/>
      </w:pPr>
      <w:r>
        <w:t>Snell and Hart (2008) found that many apprentice</w:t>
      </w:r>
      <w:r w:rsidR="00CB3A4A">
        <w:t xml:space="preserve">s felt </w:t>
      </w:r>
      <w:r w:rsidR="00841F93">
        <w:t>‘</w:t>
      </w:r>
      <w:r>
        <w:t>left on their own</w:t>
      </w:r>
      <w:r w:rsidR="00841F93">
        <w:t>’</w:t>
      </w:r>
      <w:r>
        <w:t>, and didn</w:t>
      </w:r>
      <w:r w:rsidR="00841F93">
        <w:t>’</w:t>
      </w:r>
      <w:r>
        <w:t xml:space="preserve">t know where to turn to for assistance. A case study given in the </w:t>
      </w:r>
      <w:r w:rsidRPr="00561D5E">
        <w:rPr>
          <w:i/>
        </w:rPr>
        <w:t>Apprenticeships for the 21</w:t>
      </w:r>
      <w:r w:rsidRPr="00561D5E">
        <w:rPr>
          <w:i/>
          <w:vertAlign w:val="superscript"/>
        </w:rPr>
        <w:t>st</w:t>
      </w:r>
      <w:r w:rsidRPr="00561D5E">
        <w:rPr>
          <w:i/>
        </w:rPr>
        <w:t xml:space="preserve"> </w:t>
      </w:r>
      <w:r w:rsidR="006B0783" w:rsidRPr="00561D5E">
        <w:rPr>
          <w:i/>
        </w:rPr>
        <w:t>century report</w:t>
      </w:r>
      <w:r w:rsidR="006B0783">
        <w:t xml:space="preserve"> </w:t>
      </w:r>
      <w:r>
        <w:t>explains that a</w:t>
      </w:r>
      <w:r w:rsidR="004A42C7">
        <w:t>n</w:t>
      </w:r>
      <w:r>
        <w:t xml:space="preserve"> apprentice has to talk to an unnecessarily complicated web of people</w:t>
      </w:r>
      <w:r w:rsidR="004A42C7">
        <w:t xml:space="preserve"> and organisations</w:t>
      </w:r>
      <w:r>
        <w:t xml:space="preserve"> to </w:t>
      </w:r>
      <w:r w:rsidR="00702716">
        <w:t>gain</w:t>
      </w:r>
      <w:r>
        <w:t xml:space="preserve"> information (</w:t>
      </w:r>
      <w:r w:rsidR="00BB5797">
        <w:t>Apprenticeships for the 21</w:t>
      </w:r>
      <w:r w:rsidR="00BB5797" w:rsidRPr="00BB5797">
        <w:t>st</w:t>
      </w:r>
      <w:r w:rsidR="00BB5797">
        <w:t xml:space="preserve"> Century Expert Panel </w:t>
      </w:r>
      <w:r>
        <w:t xml:space="preserve">2011). Given that many apprentices drop out in their first year, </w:t>
      </w:r>
      <w:r w:rsidR="00BB5797">
        <w:t>it</w:t>
      </w:r>
      <w:r w:rsidR="00F75E3F">
        <w:t xml:space="preserve"> could </w:t>
      </w:r>
      <w:r w:rsidR="00BB5797">
        <w:t xml:space="preserve">be </w:t>
      </w:r>
      <w:r w:rsidR="00F75E3F">
        <w:t>argue</w:t>
      </w:r>
      <w:r w:rsidR="00BB5797">
        <w:t>d</w:t>
      </w:r>
      <w:r>
        <w:t xml:space="preserve"> </w:t>
      </w:r>
      <w:r w:rsidR="001C6FD7">
        <w:t xml:space="preserve">that if they </w:t>
      </w:r>
      <w:r>
        <w:t xml:space="preserve">had </w:t>
      </w:r>
      <w:r w:rsidR="00463769">
        <w:t xml:space="preserve">received </w:t>
      </w:r>
      <w:r>
        <w:t>more support, or kn</w:t>
      </w:r>
      <w:r w:rsidR="00463769">
        <w:t>own</w:t>
      </w:r>
      <w:r>
        <w:t xml:space="preserve"> who to call for assistance, some may have stayed.</w:t>
      </w:r>
    </w:p>
    <w:p w:rsidR="00336791" w:rsidRDefault="004A42C7" w:rsidP="000C5FC7">
      <w:pPr>
        <w:pStyle w:val="Heading2"/>
      </w:pPr>
      <w:bookmarkStart w:id="97" w:name="_Toc377040306"/>
      <w:r>
        <w:t>Characteristics of successful apprentices</w:t>
      </w:r>
      <w:bookmarkEnd w:id="97"/>
    </w:p>
    <w:p w:rsidR="004A42C7" w:rsidRDefault="002C3EC5" w:rsidP="000C5FC7">
      <w:pPr>
        <w:pStyle w:val="Text"/>
      </w:pPr>
      <w:r>
        <w:t>Individual</w:t>
      </w:r>
      <w:r w:rsidR="0019757F">
        <w:t xml:space="preserve"> characteristics are also correlated with completing apprenticeships</w:t>
      </w:r>
      <w:r w:rsidR="002A5E98">
        <w:t xml:space="preserve">. </w:t>
      </w:r>
      <w:r w:rsidR="00E864ED">
        <w:t xml:space="preserve">Ball and John (2005) </w:t>
      </w:r>
      <w:r w:rsidR="00BB5797">
        <w:t>fou</w:t>
      </w:r>
      <w:r w:rsidR="00D84B76">
        <w:t>nd</w:t>
      </w:r>
      <w:r w:rsidR="00E864ED">
        <w:t xml:space="preserve"> that </w:t>
      </w:r>
      <w:r w:rsidR="002A5E98">
        <w:t xml:space="preserve">those </w:t>
      </w:r>
      <w:r w:rsidR="00E864ED">
        <w:t xml:space="preserve">apprentices in the </w:t>
      </w:r>
      <w:r w:rsidR="00841F93">
        <w:t>‘</w:t>
      </w:r>
      <w:r w:rsidR="00CF1AD3">
        <w:t>under 19</w:t>
      </w:r>
      <w:r w:rsidR="00841F93">
        <w:t>’</w:t>
      </w:r>
      <w:r w:rsidR="00CF1AD3">
        <w:t xml:space="preserve"> and </w:t>
      </w:r>
      <w:r w:rsidR="00BB5797">
        <w:t>20 to 24-</w:t>
      </w:r>
      <w:r w:rsidR="00E864ED">
        <w:t>year age group</w:t>
      </w:r>
      <w:r w:rsidR="00CF1AD3">
        <w:t>s</w:t>
      </w:r>
      <w:r w:rsidR="00E864ED">
        <w:t xml:space="preserve"> </w:t>
      </w:r>
      <w:r w:rsidR="00D84B76">
        <w:t>are</w:t>
      </w:r>
      <w:r w:rsidR="00E864ED">
        <w:t xml:space="preserve"> least likely to complete</w:t>
      </w:r>
      <w:r w:rsidR="00C079B8">
        <w:t>, while t</w:t>
      </w:r>
      <w:r w:rsidR="00E864ED">
        <w:t xml:space="preserve">hose 45 years and over </w:t>
      </w:r>
      <w:r w:rsidR="00D84B76">
        <w:t>are</w:t>
      </w:r>
      <w:r w:rsidR="00E864ED">
        <w:t xml:space="preserve"> most likely to complete. </w:t>
      </w:r>
      <w:r w:rsidR="00C079B8">
        <w:t>As well, t</w:t>
      </w:r>
      <w:r w:rsidR="00E864ED">
        <w:t>he probability of completion increase</w:t>
      </w:r>
      <w:r w:rsidR="00D84B76">
        <w:t>s</w:t>
      </w:r>
      <w:r w:rsidR="00E864ED">
        <w:t xml:space="preserve"> with </w:t>
      </w:r>
      <w:r w:rsidR="00463769">
        <w:t>higher levels of schooling</w:t>
      </w:r>
      <w:r w:rsidR="00E864ED">
        <w:t>.</w:t>
      </w:r>
      <w:r w:rsidR="002A5E98">
        <w:t xml:space="preserve"> </w:t>
      </w:r>
    </w:p>
    <w:p w:rsidR="0019757F" w:rsidRDefault="004A42C7" w:rsidP="000C5FC7">
      <w:pPr>
        <w:pStyle w:val="Text"/>
      </w:pPr>
      <w:r>
        <w:lastRenderedPageBreak/>
        <w:t xml:space="preserve">Location also plays a role. </w:t>
      </w:r>
      <w:r w:rsidR="00E864ED">
        <w:t xml:space="preserve">Apprentices and trainees in rural areas </w:t>
      </w:r>
      <w:r w:rsidR="002A5E98">
        <w:t xml:space="preserve">were </w:t>
      </w:r>
      <w:r w:rsidR="00E864ED">
        <w:t>more likely to comple</w:t>
      </w:r>
      <w:r w:rsidR="00463769">
        <w:t>te than those in capital cities;</w:t>
      </w:r>
      <w:r w:rsidR="00E864ED">
        <w:t xml:space="preserve"> however</w:t>
      </w:r>
      <w:r w:rsidR="00702716">
        <w:t>,</w:t>
      </w:r>
      <w:r w:rsidR="00E864ED">
        <w:t xml:space="preserve"> this could be because apprentices in rural areas have fewer </w:t>
      </w:r>
      <w:r w:rsidR="00C079B8">
        <w:t>options than those in the city (Ball &amp; John 2005</w:t>
      </w:r>
      <w:r w:rsidR="001C6FD7">
        <w:t>;</w:t>
      </w:r>
      <w:r w:rsidR="002A5E98">
        <w:t xml:space="preserve"> Snell </w:t>
      </w:r>
      <w:r w:rsidR="00BB5797">
        <w:t>&amp;</w:t>
      </w:r>
      <w:r w:rsidR="002A5E98">
        <w:t xml:space="preserve"> Hart 2008</w:t>
      </w:r>
      <w:r w:rsidR="00C079B8">
        <w:t>).</w:t>
      </w:r>
    </w:p>
    <w:p w:rsidR="00E864ED" w:rsidRDefault="00702716" w:rsidP="00E864ED">
      <w:pPr>
        <w:pStyle w:val="Text"/>
        <w:rPr>
          <w:rFonts w:eastAsia="Calibri"/>
        </w:rPr>
      </w:pPr>
      <w:r>
        <w:rPr>
          <w:rFonts w:eastAsia="Calibri"/>
        </w:rPr>
        <w:t>The</w:t>
      </w:r>
      <w:r w:rsidR="00CF1AD3">
        <w:rPr>
          <w:rFonts w:eastAsia="Calibri"/>
        </w:rPr>
        <w:t xml:space="preserve"> recent national study</w:t>
      </w:r>
      <w:r w:rsidR="00E864ED">
        <w:rPr>
          <w:rFonts w:eastAsia="Calibri"/>
        </w:rPr>
        <w:t xml:space="preserve"> of </w:t>
      </w:r>
      <w:r w:rsidR="00783E5A">
        <w:rPr>
          <w:rFonts w:eastAsia="Calibri"/>
        </w:rPr>
        <w:t xml:space="preserve">1200 </w:t>
      </w:r>
      <w:r w:rsidR="00CF1AD3">
        <w:rPr>
          <w:rFonts w:eastAsia="Calibri"/>
        </w:rPr>
        <w:t xml:space="preserve">trade apprentices in </w:t>
      </w:r>
      <w:r w:rsidR="00BB5797">
        <w:rPr>
          <w:rFonts w:eastAsia="Calibri"/>
        </w:rPr>
        <w:t xml:space="preserve">New South Wales </w:t>
      </w:r>
      <w:r w:rsidR="00CF1AD3">
        <w:rPr>
          <w:rFonts w:eastAsia="Calibri"/>
        </w:rPr>
        <w:t>by</w:t>
      </w:r>
      <w:r w:rsidR="00E864ED">
        <w:rPr>
          <w:rFonts w:eastAsia="Calibri"/>
        </w:rPr>
        <w:t xml:space="preserve"> </w:t>
      </w:r>
      <w:r w:rsidR="00BB5797">
        <w:rPr>
          <w:rFonts w:eastAsia="Calibri"/>
        </w:rPr>
        <w:t xml:space="preserve">Dickie, McDonald and </w:t>
      </w:r>
      <w:proofErr w:type="spellStart"/>
      <w:r w:rsidR="00BB5797">
        <w:rPr>
          <w:rFonts w:eastAsia="Calibri"/>
        </w:rPr>
        <w:t>Pedic</w:t>
      </w:r>
      <w:proofErr w:type="spellEnd"/>
      <w:r w:rsidR="00BB5797">
        <w:rPr>
          <w:rFonts w:eastAsia="Calibri"/>
        </w:rPr>
        <w:t xml:space="preserve"> </w:t>
      </w:r>
      <w:r w:rsidR="00A550E8">
        <w:rPr>
          <w:rFonts w:eastAsia="Calibri"/>
        </w:rPr>
        <w:t xml:space="preserve">(2011) </w:t>
      </w:r>
      <w:r w:rsidR="002C7E59">
        <w:rPr>
          <w:rFonts w:eastAsia="Calibri"/>
        </w:rPr>
        <w:t xml:space="preserve">classified apprentices into three </w:t>
      </w:r>
      <w:r w:rsidR="00A550E8">
        <w:rPr>
          <w:rFonts w:eastAsia="Calibri"/>
        </w:rPr>
        <w:t>groups</w:t>
      </w:r>
      <w:r w:rsidR="00CF1AD3">
        <w:rPr>
          <w:rFonts w:eastAsia="Calibri"/>
        </w:rPr>
        <w:t>,</w:t>
      </w:r>
      <w:r w:rsidR="002C7E59">
        <w:rPr>
          <w:rFonts w:eastAsia="Calibri"/>
        </w:rPr>
        <w:t xml:space="preserve"> based on their answer to the following question: </w:t>
      </w:r>
      <w:r w:rsidR="00841F93">
        <w:rPr>
          <w:rFonts w:eastAsia="Calibri"/>
        </w:rPr>
        <w:t>‘</w:t>
      </w:r>
      <w:r w:rsidR="002C7E59">
        <w:rPr>
          <w:rFonts w:eastAsia="Calibri"/>
        </w:rPr>
        <w:t>How likely are you to finish your apprenticeship?</w:t>
      </w:r>
      <w:r w:rsidR="00841F93">
        <w:rPr>
          <w:rFonts w:eastAsia="Calibri"/>
        </w:rPr>
        <w:t>’</w:t>
      </w:r>
      <w:r w:rsidR="002C7E59">
        <w:rPr>
          <w:rFonts w:eastAsia="Calibri"/>
        </w:rPr>
        <w:t xml:space="preserve"> Those who answered </w:t>
      </w:r>
      <w:r w:rsidR="00BB5797">
        <w:rPr>
          <w:rFonts w:eastAsia="Calibri"/>
        </w:rPr>
        <w:t>eight</w:t>
      </w:r>
      <w:r w:rsidR="002C7E59">
        <w:rPr>
          <w:rFonts w:eastAsia="Calibri"/>
        </w:rPr>
        <w:t xml:space="preserve"> or more were classi</w:t>
      </w:r>
      <w:r w:rsidR="00CF1AD3">
        <w:rPr>
          <w:rFonts w:eastAsia="Calibri"/>
        </w:rPr>
        <w:t xml:space="preserve">fied as </w:t>
      </w:r>
      <w:r w:rsidR="00841F93">
        <w:rPr>
          <w:rFonts w:eastAsia="Calibri"/>
        </w:rPr>
        <w:t>‘</w:t>
      </w:r>
      <w:r w:rsidR="00CF1AD3">
        <w:rPr>
          <w:rFonts w:eastAsia="Calibri"/>
        </w:rPr>
        <w:t>committed apprentices</w:t>
      </w:r>
      <w:r w:rsidR="00841F93">
        <w:rPr>
          <w:rFonts w:eastAsia="Calibri"/>
        </w:rPr>
        <w:t>’</w:t>
      </w:r>
      <w:r w:rsidR="00CF1AD3">
        <w:rPr>
          <w:rFonts w:eastAsia="Calibri"/>
        </w:rPr>
        <w:t>;</w:t>
      </w:r>
      <w:r w:rsidR="002C7E59">
        <w:rPr>
          <w:rFonts w:eastAsia="Calibri"/>
        </w:rPr>
        <w:t xml:space="preserve"> those who answered </w:t>
      </w:r>
      <w:r w:rsidR="00BB5797">
        <w:rPr>
          <w:rFonts w:eastAsia="Calibri"/>
        </w:rPr>
        <w:t>seven</w:t>
      </w:r>
      <w:r w:rsidR="00783E5A">
        <w:rPr>
          <w:rFonts w:eastAsia="Calibri"/>
        </w:rPr>
        <w:t xml:space="preserve"> or </w:t>
      </w:r>
      <w:r w:rsidR="00BB5797">
        <w:rPr>
          <w:rFonts w:eastAsia="Calibri"/>
        </w:rPr>
        <w:t>fewer</w:t>
      </w:r>
      <w:r w:rsidR="00783E5A">
        <w:rPr>
          <w:rFonts w:eastAsia="Calibri"/>
        </w:rPr>
        <w:t xml:space="preserve"> were</w:t>
      </w:r>
      <w:r w:rsidR="00CF1AD3">
        <w:rPr>
          <w:rFonts w:eastAsia="Calibri"/>
        </w:rPr>
        <w:t xml:space="preserve"> classified as </w:t>
      </w:r>
      <w:r w:rsidR="00841F93">
        <w:rPr>
          <w:rFonts w:eastAsia="Calibri"/>
        </w:rPr>
        <w:t>‘</w:t>
      </w:r>
      <w:r w:rsidR="00CF1AD3">
        <w:rPr>
          <w:rFonts w:eastAsia="Calibri"/>
        </w:rPr>
        <w:t>ambivalent</w:t>
      </w:r>
      <w:r w:rsidR="00841F93">
        <w:rPr>
          <w:rFonts w:eastAsia="Calibri"/>
        </w:rPr>
        <w:t>’</w:t>
      </w:r>
      <w:r w:rsidR="00CF1AD3">
        <w:rPr>
          <w:rFonts w:eastAsia="Calibri"/>
        </w:rPr>
        <w:t xml:space="preserve">; and </w:t>
      </w:r>
      <w:r w:rsidR="002C7E59">
        <w:rPr>
          <w:rFonts w:eastAsia="Calibri"/>
        </w:rPr>
        <w:t>the remaining group had already discontinued their apprenticeship at the time of the survey.</w:t>
      </w:r>
      <w:r w:rsidR="00783E5A">
        <w:rPr>
          <w:rFonts w:eastAsia="Calibri"/>
        </w:rPr>
        <w:t xml:space="preserve"> Overall, 62% of the </w:t>
      </w:r>
      <w:proofErr w:type="gramStart"/>
      <w:r w:rsidR="00783E5A">
        <w:rPr>
          <w:rFonts w:eastAsia="Calibri"/>
        </w:rPr>
        <w:t>sample were</w:t>
      </w:r>
      <w:proofErr w:type="gramEnd"/>
      <w:r w:rsidR="00783E5A">
        <w:rPr>
          <w:rFonts w:eastAsia="Calibri"/>
        </w:rPr>
        <w:t xml:space="preserve"> classified as </w:t>
      </w:r>
      <w:r w:rsidR="00841F93">
        <w:rPr>
          <w:rFonts w:eastAsia="Calibri"/>
        </w:rPr>
        <w:t>‘</w:t>
      </w:r>
      <w:r w:rsidR="00783E5A">
        <w:rPr>
          <w:rFonts w:eastAsia="Calibri"/>
        </w:rPr>
        <w:t>committed</w:t>
      </w:r>
      <w:r w:rsidR="00841F93">
        <w:rPr>
          <w:rFonts w:eastAsia="Calibri"/>
        </w:rPr>
        <w:t>’</w:t>
      </w:r>
      <w:r w:rsidR="00783E5A">
        <w:rPr>
          <w:rFonts w:eastAsia="Calibri"/>
        </w:rPr>
        <w:t xml:space="preserve">, 12% as </w:t>
      </w:r>
      <w:r w:rsidR="00841F93">
        <w:rPr>
          <w:rFonts w:eastAsia="Calibri"/>
        </w:rPr>
        <w:t>‘</w:t>
      </w:r>
      <w:r w:rsidR="00783E5A">
        <w:rPr>
          <w:rFonts w:eastAsia="Calibri"/>
        </w:rPr>
        <w:t>ambivalent</w:t>
      </w:r>
      <w:r w:rsidR="00841F93">
        <w:rPr>
          <w:rFonts w:eastAsia="Calibri"/>
        </w:rPr>
        <w:t>’</w:t>
      </w:r>
      <w:r w:rsidR="00783E5A">
        <w:rPr>
          <w:rFonts w:eastAsia="Calibri"/>
        </w:rPr>
        <w:t xml:space="preserve"> and 26% </w:t>
      </w:r>
      <w:r w:rsidR="00BB5797">
        <w:rPr>
          <w:rFonts w:eastAsia="Calibri"/>
        </w:rPr>
        <w:t>as</w:t>
      </w:r>
      <w:r w:rsidR="00783E5A">
        <w:rPr>
          <w:rFonts w:eastAsia="Calibri"/>
        </w:rPr>
        <w:t xml:space="preserve"> discontinued.</w:t>
      </w:r>
    </w:p>
    <w:p w:rsidR="00233C7D" w:rsidRDefault="00233C7D" w:rsidP="00233C7D">
      <w:pPr>
        <w:pStyle w:val="Text"/>
        <w:rPr>
          <w:rFonts w:eastAsia="Calibri"/>
        </w:rPr>
      </w:pPr>
      <w:r w:rsidRPr="000C5FC7">
        <w:rPr>
          <w:rFonts w:eastAsia="Calibri"/>
        </w:rPr>
        <w:t>Committed apprentices tend</w:t>
      </w:r>
      <w:r w:rsidR="00A550E8">
        <w:rPr>
          <w:rFonts w:eastAsia="Calibri"/>
        </w:rPr>
        <w:t>ed</w:t>
      </w:r>
      <w:r w:rsidRPr="000C5FC7">
        <w:rPr>
          <w:rFonts w:eastAsia="Calibri"/>
        </w:rPr>
        <w:t xml:space="preserve"> to</w:t>
      </w:r>
      <w:r w:rsidR="00081234">
        <w:rPr>
          <w:rFonts w:eastAsia="Calibri"/>
        </w:rPr>
        <w:t xml:space="preserve"> have the following characteristics</w:t>
      </w:r>
      <w:r w:rsidRPr="000C5FC7">
        <w:rPr>
          <w:rFonts w:eastAsia="Calibri"/>
        </w:rPr>
        <w:t>:</w:t>
      </w:r>
    </w:p>
    <w:p w:rsidR="00233C7D" w:rsidRPr="000C5FC7" w:rsidRDefault="00BB5797" w:rsidP="00233C7D">
      <w:pPr>
        <w:pStyle w:val="Dotpoint1"/>
        <w:rPr>
          <w:rFonts w:eastAsia="Calibri"/>
        </w:rPr>
      </w:pPr>
      <w:r>
        <w:rPr>
          <w:rFonts w:eastAsia="Calibri"/>
        </w:rPr>
        <w:t>h</w:t>
      </w:r>
      <w:r w:rsidR="00233C7D" w:rsidRPr="000C5FC7">
        <w:rPr>
          <w:rFonts w:eastAsia="Calibri"/>
        </w:rPr>
        <w:t>ave a strong interest in the trade</w:t>
      </w:r>
      <w:r w:rsidR="00F75E3F">
        <w:rPr>
          <w:rFonts w:eastAsia="Calibri"/>
        </w:rPr>
        <w:t>, and often have family or friends in the trades</w:t>
      </w:r>
    </w:p>
    <w:p w:rsidR="00233C7D" w:rsidRPr="000C5FC7" w:rsidRDefault="00BB5797" w:rsidP="00233C7D">
      <w:pPr>
        <w:pStyle w:val="Dotpoint1"/>
        <w:rPr>
          <w:rFonts w:eastAsia="Calibri"/>
        </w:rPr>
      </w:pPr>
      <w:r>
        <w:rPr>
          <w:rFonts w:eastAsia="Calibri"/>
        </w:rPr>
        <w:t>w</w:t>
      </w:r>
      <w:r w:rsidR="00233C7D" w:rsidRPr="000C5FC7">
        <w:rPr>
          <w:rFonts w:eastAsia="Calibri"/>
        </w:rPr>
        <w:t xml:space="preserve">ant to work with </w:t>
      </w:r>
      <w:r w:rsidR="00233C7D">
        <w:rPr>
          <w:rFonts w:eastAsia="Calibri"/>
        </w:rPr>
        <w:t xml:space="preserve">their </w:t>
      </w:r>
      <w:r w:rsidR="00233C7D" w:rsidRPr="000C5FC7">
        <w:rPr>
          <w:rFonts w:eastAsia="Calibri"/>
        </w:rPr>
        <w:t>hands, out of doors</w:t>
      </w:r>
    </w:p>
    <w:p w:rsidR="00233C7D" w:rsidRPr="000C5FC7" w:rsidRDefault="00BB5797" w:rsidP="00233C7D">
      <w:pPr>
        <w:pStyle w:val="Dotpoint1"/>
        <w:rPr>
          <w:rFonts w:eastAsia="Calibri"/>
        </w:rPr>
      </w:pPr>
      <w:r>
        <w:rPr>
          <w:rFonts w:eastAsia="Calibri"/>
        </w:rPr>
        <w:t>believe in the long-</w:t>
      </w:r>
      <w:r w:rsidR="00233C7D" w:rsidRPr="000C5FC7">
        <w:rPr>
          <w:rFonts w:eastAsia="Calibri"/>
        </w:rPr>
        <w:t>term gain of completing their apprenticeship</w:t>
      </w:r>
    </w:p>
    <w:p w:rsidR="00233C7D" w:rsidRPr="000C5FC7" w:rsidRDefault="00BB5797" w:rsidP="00233C7D">
      <w:pPr>
        <w:pStyle w:val="Dotpoint1"/>
        <w:rPr>
          <w:rFonts w:eastAsia="Calibri"/>
        </w:rPr>
      </w:pPr>
      <w:r>
        <w:rPr>
          <w:rFonts w:eastAsia="Calibri"/>
        </w:rPr>
        <w:t>e</w:t>
      </w:r>
      <w:r w:rsidR="00233C7D" w:rsidRPr="000C5FC7">
        <w:rPr>
          <w:rFonts w:eastAsia="Calibri"/>
        </w:rPr>
        <w:t>xpect hard work, low pay and bad conditions and see them as part of the deal</w:t>
      </w:r>
    </w:p>
    <w:p w:rsidR="00233C7D" w:rsidRDefault="00BB5797" w:rsidP="00233C7D">
      <w:pPr>
        <w:pStyle w:val="Dotpoint1"/>
        <w:rPr>
          <w:rFonts w:eastAsia="Calibri"/>
        </w:rPr>
      </w:pPr>
      <w:proofErr w:type="gramStart"/>
      <w:r>
        <w:rPr>
          <w:rFonts w:eastAsia="Calibri"/>
        </w:rPr>
        <w:t>c</w:t>
      </w:r>
      <w:r w:rsidR="00233C7D" w:rsidRPr="000C5FC7">
        <w:rPr>
          <w:rFonts w:eastAsia="Calibri"/>
        </w:rPr>
        <w:t>onsider</w:t>
      </w:r>
      <w:proofErr w:type="gramEnd"/>
      <w:r w:rsidR="00233C7D" w:rsidRPr="000C5FC7">
        <w:rPr>
          <w:rFonts w:eastAsia="Calibri"/>
        </w:rPr>
        <w:t xml:space="preserve"> the apprenticeship contract as fair, given the rewards they get at the end.</w:t>
      </w:r>
    </w:p>
    <w:p w:rsidR="00892488" w:rsidRDefault="00CF1AD3" w:rsidP="00892488">
      <w:pPr>
        <w:pStyle w:val="Text"/>
        <w:rPr>
          <w:rFonts w:eastAsia="Calibri"/>
        </w:rPr>
      </w:pPr>
      <w:r>
        <w:rPr>
          <w:rFonts w:eastAsia="Calibri"/>
        </w:rPr>
        <w:t xml:space="preserve">By contrast, those who said that they </w:t>
      </w:r>
      <w:r w:rsidR="00841F93">
        <w:rPr>
          <w:rFonts w:eastAsia="Calibri"/>
        </w:rPr>
        <w:t>‘</w:t>
      </w:r>
      <w:r>
        <w:rPr>
          <w:rFonts w:eastAsia="Calibri"/>
        </w:rPr>
        <w:t>fell into</w:t>
      </w:r>
      <w:r w:rsidR="00841F93">
        <w:rPr>
          <w:rFonts w:eastAsia="Calibri"/>
        </w:rPr>
        <w:t>’</w:t>
      </w:r>
      <w:r>
        <w:rPr>
          <w:rFonts w:eastAsia="Calibri"/>
        </w:rPr>
        <w:t xml:space="preserve"> an apprenticeship were more likely to be ambivalent or </w:t>
      </w:r>
      <w:r w:rsidR="00BB5797">
        <w:rPr>
          <w:rFonts w:eastAsia="Calibri"/>
        </w:rPr>
        <w:t xml:space="preserve">have </w:t>
      </w:r>
      <w:r>
        <w:rPr>
          <w:rFonts w:eastAsia="Calibri"/>
        </w:rPr>
        <w:t xml:space="preserve">discontinued than those who </w:t>
      </w:r>
      <w:r w:rsidR="00463769">
        <w:rPr>
          <w:rFonts w:eastAsia="Calibri"/>
        </w:rPr>
        <w:t xml:space="preserve">had </w:t>
      </w:r>
      <w:r>
        <w:rPr>
          <w:rFonts w:eastAsia="Calibri"/>
        </w:rPr>
        <w:t xml:space="preserve">always wanted to learn the trade. </w:t>
      </w:r>
      <w:r w:rsidR="002C7E59">
        <w:rPr>
          <w:rFonts w:eastAsia="Calibri"/>
        </w:rPr>
        <w:t>Dickie</w:t>
      </w:r>
      <w:r w:rsidR="00BB5797">
        <w:rPr>
          <w:rFonts w:eastAsia="Calibri"/>
        </w:rPr>
        <w:t>,</w:t>
      </w:r>
      <w:r w:rsidR="002C7E59">
        <w:rPr>
          <w:rFonts w:eastAsia="Calibri"/>
        </w:rPr>
        <w:t xml:space="preserve"> </w:t>
      </w:r>
      <w:r w:rsidR="00BB5797">
        <w:rPr>
          <w:rFonts w:eastAsia="Calibri"/>
        </w:rPr>
        <w:t xml:space="preserve">McDonald and </w:t>
      </w:r>
      <w:proofErr w:type="spellStart"/>
      <w:r w:rsidR="00BB5797">
        <w:rPr>
          <w:rFonts w:eastAsia="Calibri"/>
        </w:rPr>
        <w:t>Pedic</w:t>
      </w:r>
      <w:proofErr w:type="spellEnd"/>
      <w:r w:rsidR="00BB5797">
        <w:rPr>
          <w:rFonts w:eastAsia="Calibri"/>
        </w:rPr>
        <w:t xml:space="preserve"> </w:t>
      </w:r>
      <w:r w:rsidR="00D84B76">
        <w:rPr>
          <w:rFonts w:eastAsia="Calibri"/>
        </w:rPr>
        <w:t xml:space="preserve">(2011) </w:t>
      </w:r>
      <w:r w:rsidR="002C7E59">
        <w:rPr>
          <w:rFonts w:eastAsia="Calibri"/>
        </w:rPr>
        <w:t xml:space="preserve">suggest </w:t>
      </w:r>
      <w:r w:rsidR="00702716">
        <w:rPr>
          <w:rFonts w:eastAsia="Calibri"/>
        </w:rPr>
        <w:t xml:space="preserve">the </w:t>
      </w:r>
      <w:r w:rsidR="002C7E59">
        <w:rPr>
          <w:rFonts w:eastAsia="Calibri"/>
        </w:rPr>
        <w:t xml:space="preserve">screening </w:t>
      </w:r>
      <w:r w:rsidR="00702716">
        <w:rPr>
          <w:rFonts w:eastAsia="Calibri"/>
        </w:rPr>
        <w:t xml:space="preserve">of </w:t>
      </w:r>
      <w:r w:rsidR="002C7E59">
        <w:rPr>
          <w:rFonts w:eastAsia="Calibri"/>
        </w:rPr>
        <w:t xml:space="preserve">would-be apprentices based on the </w:t>
      </w:r>
      <w:r w:rsidR="001A1617">
        <w:rPr>
          <w:rFonts w:eastAsia="Calibri"/>
        </w:rPr>
        <w:t>above criteria.</w:t>
      </w:r>
      <w:r w:rsidR="002C7E59">
        <w:rPr>
          <w:rFonts w:eastAsia="Calibri"/>
        </w:rPr>
        <w:t xml:space="preserve"> </w:t>
      </w:r>
    </w:p>
    <w:p w:rsidR="004A42C7" w:rsidRDefault="00463769" w:rsidP="00233C7D">
      <w:pPr>
        <w:pStyle w:val="Text"/>
        <w:rPr>
          <w:rFonts w:eastAsia="Calibri"/>
        </w:rPr>
      </w:pPr>
      <w:r>
        <w:t>Bardon (2010) also classified</w:t>
      </w:r>
      <w:r w:rsidR="004A42C7">
        <w:t xml:space="preserve"> apprent</w:t>
      </w:r>
      <w:r>
        <w:t xml:space="preserve">ices into several </w:t>
      </w:r>
      <w:r w:rsidR="00841F93">
        <w:t>‘</w:t>
      </w:r>
      <w:r>
        <w:t>tiers</w:t>
      </w:r>
      <w:r w:rsidR="00841F93">
        <w:t>’</w:t>
      </w:r>
      <w:r>
        <w:t>, which</w:t>
      </w:r>
      <w:r w:rsidR="004A42C7">
        <w:t xml:space="preserve"> align closely with those of Dickie</w:t>
      </w:r>
      <w:r w:rsidR="00BB5797">
        <w:t>,</w:t>
      </w:r>
      <w:r w:rsidR="004A42C7">
        <w:t xml:space="preserve"> </w:t>
      </w:r>
      <w:r w:rsidR="00BB5797">
        <w:rPr>
          <w:rFonts w:eastAsia="Calibri"/>
        </w:rPr>
        <w:t xml:space="preserve">McDonald and </w:t>
      </w:r>
      <w:proofErr w:type="spellStart"/>
      <w:r w:rsidR="00BB5797">
        <w:rPr>
          <w:rFonts w:eastAsia="Calibri"/>
        </w:rPr>
        <w:t>Pedic</w:t>
      </w:r>
      <w:proofErr w:type="spellEnd"/>
      <w:r w:rsidR="00BB5797">
        <w:rPr>
          <w:rFonts w:eastAsia="Calibri"/>
        </w:rPr>
        <w:t xml:space="preserve"> </w:t>
      </w:r>
      <w:r w:rsidR="004A42C7">
        <w:t xml:space="preserve">(2011). Tier 1 apprentices are </w:t>
      </w:r>
      <w:r w:rsidR="00841F93">
        <w:t>‘</w:t>
      </w:r>
      <w:r w:rsidR="004A42C7">
        <w:t>aspirational apprentices</w:t>
      </w:r>
      <w:r w:rsidR="00841F93">
        <w:t>’</w:t>
      </w:r>
      <w:r w:rsidR="004A42C7">
        <w:t>, who are committed and motivated. Often these apprentices have a social network th</w:t>
      </w:r>
      <w:r w:rsidR="000C40D9">
        <w:t>at includes other trade workers</w:t>
      </w:r>
      <w:r w:rsidR="004A42C7">
        <w:t xml:space="preserve"> and a passion or aptitude for the trade. Tier 3 apprentices, on the other hand, tend to be disengaged and have </w:t>
      </w:r>
      <w:r w:rsidR="00702716">
        <w:t>little association with a</w:t>
      </w:r>
      <w:r w:rsidR="004A42C7">
        <w:t xml:space="preserve"> trade culture.</w:t>
      </w:r>
    </w:p>
    <w:p w:rsidR="00274E2F" w:rsidRDefault="00A550E8" w:rsidP="00233C7D">
      <w:pPr>
        <w:pStyle w:val="Text"/>
        <w:rPr>
          <w:rFonts w:eastAsia="Calibri"/>
        </w:rPr>
      </w:pPr>
      <w:r>
        <w:rPr>
          <w:rFonts w:eastAsia="Calibri"/>
        </w:rPr>
        <w:t>The influence of social background is also highlighted by Karmel and Roberts (2012)</w:t>
      </w:r>
      <w:r w:rsidR="00A22804">
        <w:rPr>
          <w:rFonts w:eastAsia="Calibri"/>
        </w:rPr>
        <w:t xml:space="preserve">. </w:t>
      </w:r>
      <w:r w:rsidR="004A42C7">
        <w:rPr>
          <w:rFonts w:eastAsia="Calibri"/>
        </w:rPr>
        <w:t>They show that a</w:t>
      </w:r>
      <w:r w:rsidR="001C6FD7">
        <w:rPr>
          <w:rFonts w:eastAsia="Calibri"/>
        </w:rPr>
        <w:t>pprentices</w:t>
      </w:r>
      <w:r w:rsidR="00274E2F">
        <w:rPr>
          <w:rFonts w:eastAsia="Calibri"/>
        </w:rPr>
        <w:t xml:space="preserve"> who live in areas with a high concentration of trade employment have </w:t>
      </w:r>
      <w:r w:rsidR="00A22804">
        <w:rPr>
          <w:rFonts w:eastAsia="Calibri"/>
        </w:rPr>
        <w:t xml:space="preserve">completion rates that are about </w:t>
      </w:r>
      <w:r w:rsidR="000C40D9">
        <w:rPr>
          <w:rFonts w:eastAsia="Calibri"/>
        </w:rPr>
        <w:t>five</w:t>
      </w:r>
      <w:r w:rsidR="00A22804">
        <w:rPr>
          <w:rFonts w:eastAsia="Calibri"/>
        </w:rPr>
        <w:t xml:space="preserve"> percentage points higher</w:t>
      </w:r>
      <w:r w:rsidR="00274E2F">
        <w:rPr>
          <w:rFonts w:eastAsia="Calibri"/>
        </w:rPr>
        <w:t xml:space="preserve"> than those who live in areas with a low concentration of trade employment. </w:t>
      </w:r>
    </w:p>
    <w:p w:rsidR="00892488" w:rsidRDefault="00F75E3F" w:rsidP="00892488">
      <w:pPr>
        <w:pStyle w:val="Text"/>
        <w:rPr>
          <w:rFonts w:eastAsia="Calibri"/>
        </w:rPr>
      </w:pPr>
      <w:r>
        <w:rPr>
          <w:rFonts w:eastAsia="Calibri"/>
        </w:rPr>
        <w:t xml:space="preserve">Occupation </w:t>
      </w:r>
      <w:r w:rsidR="00B61A49">
        <w:rPr>
          <w:rFonts w:eastAsia="Calibri"/>
        </w:rPr>
        <w:t>has an impact as well</w:t>
      </w:r>
      <w:r w:rsidR="00892488">
        <w:rPr>
          <w:rFonts w:eastAsia="Calibri"/>
        </w:rPr>
        <w:t>, with discontented apprentices</w:t>
      </w:r>
      <w:r w:rsidR="00892488" w:rsidRPr="000C5FC7">
        <w:rPr>
          <w:rFonts w:eastAsia="Calibri"/>
        </w:rPr>
        <w:t xml:space="preserve"> more likely to be work</w:t>
      </w:r>
      <w:r w:rsidR="000C40D9">
        <w:rPr>
          <w:rFonts w:eastAsia="Calibri"/>
        </w:rPr>
        <w:t>ing in automotive, hairdressing</w:t>
      </w:r>
      <w:r w:rsidR="00892488" w:rsidRPr="000C5FC7">
        <w:rPr>
          <w:rFonts w:eastAsia="Calibri"/>
        </w:rPr>
        <w:t xml:space="preserve"> and hospitality</w:t>
      </w:r>
      <w:r w:rsidR="000C40D9">
        <w:rPr>
          <w:rFonts w:eastAsia="Calibri"/>
        </w:rPr>
        <w:t>,</w:t>
      </w:r>
      <w:r w:rsidR="00892488">
        <w:rPr>
          <w:rFonts w:eastAsia="Calibri"/>
        </w:rPr>
        <w:t xml:space="preserve"> industries which</w:t>
      </w:r>
      <w:r w:rsidR="00892488" w:rsidRPr="000C5FC7">
        <w:rPr>
          <w:rFonts w:eastAsia="Calibri"/>
        </w:rPr>
        <w:t xml:space="preserve"> are known </w:t>
      </w:r>
      <w:r w:rsidR="00892488">
        <w:rPr>
          <w:rFonts w:eastAsia="Calibri"/>
        </w:rPr>
        <w:t xml:space="preserve">to have </w:t>
      </w:r>
      <w:r w:rsidR="00892488" w:rsidRPr="000C5FC7">
        <w:rPr>
          <w:rFonts w:eastAsia="Calibri"/>
        </w:rPr>
        <w:t>low success rates and high rates of staff and apprentice turnover</w:t>
      </w:r>
      <w:r w:rsidR="00892488">
        <w:rPr>
          <w:rFonts w:eastAsia="Calibri"/>
        </w:rPr>
        <w:t xml:space="preserve"> (Dickie</w:t>
      </w:r>
      <w:r w:rsidR="000C40D9">
        <w:rPr>
          <w:rFonts w:eastAsia="Calibri"/>
        </w:rPr>
        <w:t>,</w:t>
      </w:r>
      <w:r w:rsidR="00892488">
        <w:rPr>
          <w:rFonts w:eastAsia="Calibri"/>
        </w:rPr>
        <w:t xml:space="preserve"> </w:t>
      </w:r>
      <w:r w:rsidR="000C40D9">
        <w:rPr>
          <w:rFonts w:eastAsia="Calibri"/>
        </w:rPr>
        <w:t xml:space="preserve">McDonald </w:t>
      </w:r>
      <w:r w:rsidR="003F6D45">
        <w:rPr>
          <w:rFonts w:eastAsia="Calibri"/>
        </w:rPr>
        <w:t>&amp;</w:t>
      </w:r>
      <w:r w:rsidR="000C40D9">
        <w:rPr>
          <w:rFonts w:eastAsia="Calibri"/>
        </w:rPr>
        <w:t xml:space="preserve"> </w:t>
      </w:r>
      <w:proofErr w:type="spellStart"/>
      <w:r w:rsidR="000C40D9">
        <w:rPr>
          <w:rFonts w:eastAsia="Calibri"/>
        </w:rPr>
        <w:t>Pedic</w:t>
      </w:r>
      <w:proofErr w:type="spellEnd"/>
      <w:r w:rsidR="000C40D9">
        <w:rPr>
          <w:rFonts w:eastAsia="Calibri"/>
        </w:rPr>
        <w:t xml:space="preserve"> </w:t>
      </w:r>
      <w:r w:rsidR="00892488">
        <w:rPr>
          <w:rFonts w:eastAsia="Calibri"/>
        </w:rPr>
        <w:t>2011)</w:t>
      </w:r>
      <w:r w:rsidR="00892488" w:rsidRPr="000C5FC7">
        <w:rPr>
          <w:rFonts w:eastAsia="Calibri"/>
        </w:rPr>
        <w:t>.</w:t>
      </w:r>
      <w:r w:rsidR="005509E9">
        <w:rPr>
          <w:rFonts w:eastAsia="Calibri"/>
        </w:rPr>
        <w:t xml:space="preserve"> </w:t>
      </w:r>
    </w:p>
    <w:p w:rsidR="00C76B58" w:rsidRDefault="00C76B58" w:rsidP="0027514A">
      <w:pPr>
        <w:pStyle w:val="Heading2"/>
        <w:rPr>
          <w:rFonts w:eastAsia="Calibri"/>
        </w:rPr>
      </w:pPr>
      <w:bookmarkStart w:id="98" w:name="_Toc377040307"/>
      <w:r>
        <w:rPr>
          <w:rFonts w:eastAsia="Calibri"/>
        </w:rPr>
        <w:t>Satisfaction with apprenticeship</w:t>
      </w:r>
      <w:r w:rsidR="00E409CD">
        <w:rPr>
          <w:rFonts w:eastAsia="Calibri"/>
        </w:rPr>
        <w:t>: completers versus non-completers</w:t>
      </w:r>
      <w:bookmarkEnd w:id="98"/>
    </w:p>
    <w:p w:rsidR="00C76B58" w:rsidRDefault="004A42C7" w:rsidP="009247A2">
      <w:pPr>
        <w:pStyle w:val="Text"/>
      </w:pPr>
      <w:r>
        <w:t>Satisfaction results from the</w:t>
      </w:r>
      <w:r w:rsidR="00C76B58">
        <w:t xml:space="preserve"> Apprentice and Trainee Destinations Survey</w:t>
      </w:r>
      <w:r w:rsidR="0070656B">
        <w:t xml:space="preserve"> (</w:t>
      </w:r>
      <w:r>
        <w:t xml:space="preserve">NCVER </w:t>
      </w:r>
      <w:r w:rsidR="0070656B">
        <w:t>2009</w:t>
      </w:r>
      <w:r w:rsidR="00C76B58">
        <w:t>)</w:t>
      </w:r>
      <w:r w:rsidR="00947AD4">
        <w:t>, presented in table 9,</w:t>
      </w:r>
      <w:r w:rsidR="00C76B58">
        <w:t xml:space="preserve"> </w:t>
      </w:r>
      <w:r w:rsidR="009247A2">
        <w:t xml:space="preserve">offer further insight into </w:t>
      </w:r>
      <w:r w:rsidR="00947AD4">
        <w:t>why apprentices do not complete</w:t>
      </w:r>
      <w:r>
        <w:t xml:space="preserve">. </w:t>
      </w:r>
    </w:p>
    <w:p w:rsidR="002D6E00" w:rsidRDefault="002D6E00" w:rsidP="002D6E00">
      <w:pPr>
        <w:pStyle w:val="Text"/>
      </w:pPr>
      <w:r>
        <w:t xml:space="preserve">In particular, there is a </w:t>
      </w:r>
      <w:r w:rsidR="00702716">
        <w:t>large</w:t>
      </w:r>
      <w:r>
        <w:t xml:space="preserve"> difference in completers</w:t>
      </w:r>
      <w:r w:rsidR="00841F93">
        <w:t>’</w:t>
      </w:r>
      <w:r>
        <w:t xml:space="preserve"> and non-completers</w:t>
      </w:r>
      <w:r w:rsidR="00841F93">
        <w:t>’</w:t>
      </w:r>
      <w:r>
        <w:t xml:space="preserve"> satisfaction with their employment overall. The majority of completers (80%) were satisfied with the employment experience overall, compared with just 42% of non-completers. Non-completers</w:t>
      </w:r>
      <w:r w:rsidR="00841F93">
        <w:t>’</w:t>
      </w:r>
      <w:r>
        <w:t xml:space="preserve"> satisfaction with every aspect of the employment experience, including working conditions, supervision, relationship with co-workers and training provided by the employer, was about 20—30 percentage points lower across the board.</w:t>
      </w:r>
    </w:p>
    <w:p w:rsidR="002F36AF" w:rsidRPr="007F5849" w:rsidRDefault="002F36AF" w:rsidP="002D6E00">
      <w:pPr>
        <w:pStyle w:val="tabletitle"/>
      </w:pPr>
      <w:bookmarkStart w:id="99" w:name="_Toc376874274"/>
      <w:r>
        <w:lastRenderedPageBreak/>
        <w:t xml:space="preserve">Table </w:t>
      </w:r>
      <w:r w:rsidR="00BD2B91">
        <w:t>9</w:t>
      </w:r>
      <w:r w:rsidRPr="007F5849">
        <w:tab/>
      </w:r>
      <w:r>
        <w:t>Satisfaction with the apprenticeship for completers and non-completers in a trade occupation, 2008</w:t>
      </w:r>
      <w:bookmarkEnd w:id="99"/>
    </w:p>
    <w:tbl>
      <w:tblPr>
        <w:tblW w:w="8789" w:type="dxa"/>
        <w:tblInd w:w="108" w:type="dxa"/>
        <w:tblBorders>
          <w:top w:val="single" w:sz="4" w:space="0" w:color="auto"/>
          <w:bottom w:val="single" w:sz="4" w:space="0" w:color="auto"/>
        </w:tblBorders>
        <w:tblLayout w:type="fixed"/>
        <w:tblLook w:val="0000" w:firstRow="0" w:lastRow="0" w:firstColumn="0" w:lastColumn="0" w:noHBand="0" w:noVBand="0"/>
      </w:tblPr>
      <w:tblGrid>
        <w:gridCol w:w="3955"/>
        <w:gridCol w:w="1611"/>
        <w:gridCol w:w="1611"/>
        <w:gridCol w:w="1612"/>
      </w:tblGrid>
      <w:tr w:rsidR="00B61F38" w:rsidRPr="002D6E00" w:rsidTr="002D6E00">
        <w:trPr>
          <w:cantSplit/>
        </w:trPr>
        <w:tc>
          <w:tcPr>
            <w:tcW w:w="3955" w:type="dxa"/>
            <w:tcBorders>
              <w:top w:val="single" w:sz="4" w:space="0" w:color="auto"/>
              <w:bottom w:val="nil"/>
              <w:right w:val="nil"/>
            </w:tcBorders>
          </w:tcPr>
          <w:p w:rsidR="00B61F38" w:rsidRPr="002D6E00" w:rsidRDefault="00B61F38" w:rsidP="002D6E00">
            <w:pPr>
              <w:pStyle w:val="Tablehead1"/>
            </w:pPr>
            <w:r w:rsidRPr="002D6E00">
              <w:t>Satisfaction</w:t>
            </w:r>
          </w:p>
        </w:tc>
        <w:tc>
          <w:tcPr>
            <w:tcW w:w="1611" w:type="dxa"/>
            <w:tcBorders>
              <w:top w:val="single" w:sz="4" w:space="0" w:color="auto"/>
              <w:left w:val="nil"/>
              <w:bottom w:val="nil"/>
            </w:tcBorders>
          </w:tcPr>
          <w:p w:rsidR="00B61F38" w:rsidRPr="002D6E00" w:rsidRDefault="00B61F38" w:rsidP="002D6E00">
            <w:pPr>
              <w:pStyle w:val="Tablehead1"/>
              <w:jc w:val="center"/>
            </w:pPr>
            <w:r w:rsidRPr="002D6E00">
              <w:t>Completers</w:t>
            </w:r>
          </w:p>
        </w:tc>
        <w:tc>
          <w:tcPr>
            <w:tcW w:w="1611" w:type="dxa"/>
            <w:tcBorders>
              <w:top w:val="single" w:sz="4" w:space="0" w:color="auto"/>
              <w:left w:val="nil"/>
              <w:bottom w:val="nil"/>
            </w:tcBorders>
          </w:tcPr>
          <w:p w:rsidR="00B61F38" w:rsidRPr="002D6E00" w:rsidRDefault="00B61F38" w:rsidP="002D6E00">
            <w:pPr>
              <w:pStyle w:val="Tablehead1"/>
              <w:jc w:val="center"/>
            </w:pPr>
            <w:r w:rsidRPr="002D6E00">
              <w:t>Non-completers</w:t>
            </w:r>
          </w:p>
        </w:tc>
        <w:tc>
          <w:tcPr>
            <w:tcW w:w="1612" w:type="dxa"/>
            <w:tcBorders>
              <w:top w:val="single" w:sz="4" w:space="0" w:color="auto"/>
              <w:left w:val="nil"/>
              <w:bottom w:val="nil"/>
            </w:tcBorders>
          </w:tcPr>
          <w:p w:rsidR="00B61F38" w:rsidRPr="002D6E00" w:rsidRDefault="00B61F38" w:rsidP="002D6E00">
            <w:pPr>
              <w:pStyle w:val="Tablehead1"/>
              <w:jc w:val="center"/>
            </w:pPr>
            <w:r w:rsidRPr="002D6E00">
              <w:t>Difference</w:t>
            </w:r>
          </w:p>
        </w:tc>
      </w:tr>
      <w:tr w:rsidR="00B61F38" w:rsidRPr="007F5849" w:rsidTr="002D6E00">
        <w:trPr>
          <w:cantSplit/>
        </w:trPr>
        <w:tc>
          <w:tcPr>
            <w:tcW w:w="3955" w:type="dxa"/>
            <w:tcBorders>
              <w:top w:val="nil"/>
              <w:bottom w:val="single" w:sz="4" w:space="0" w:color="auto"/>
              <w:right w:val="nil"/>
            </w:tcBorders>
          </w:tcPr>
          <w:p w:rsidR="00B61F38" w:rsidRDefault="00B61F38" w:rsidP="002D6E00">
            <w:pPr>
              <w:pStyle w:val="Tablehead2"/>
            </w:pPr>
          </w:p>
        </w:tc>
        <w:tc>
          <w:tcPr>
            <w:tcW w:w="1611" w:type="dxa"/>
            <w:tcBorders>
              <w:top w:val="nil"/>
              <w:left w:val="nil"/>
              <w:bottom w:val="single" w:sz="4" w:space="0" w:color="auto"/>
            </w:tcBorders>
          </w:tcPr>
          <w:p w:rsidR="00B61F38" w:rsidRDefault="00B61F38" w:rsidP="002D6E00">
            <w:pPr>
              <w:pStyle w:val="Tablehead2"/>
              <w:jc w:val="center"/>
            </w:pPr>
            <w:r>
              <w:t>Satisfied (%)</w:t>
            </w:r>
          </w:p>
        </w:tc>
        <w:tc>
          <w:tcPr>
            <w:tcW w:w="1611" w:type="dxa"/>
            <w:tcBorders>
              <w:top w:val="nil"/>
              <w:left w:val="nil"/>
              <w:bottom w:val="single" w:sz="4" w:space="0" w:color="auto"/>
            </w:tcBorders>
          </w:tcPr>
          <w:p w:rsidR="00B61F38" w:rsidRDefault="00B61F38" w:rsidP="002D6E00">
            <w:pPr>
              <w:pStyle w:val="Tablehead2"/>
              <w:jc w:val="center"/>
            </w:pPr>
            <w:r>
              <w:t>Satisfied (%)</w:t>
            </w:r>
          </w:p>
        </w:tc>
        <w:tc>
          <w:tcPr>
            <w:tcW w:w="1612" w:type="dxa"/>
            <w:tcBorders>
              <w:top w:val="nil"/>
              <w:left w:val="nil"/>
              <w:bottom w:val="single" w:sz="4" w:space="0" w:color="auto"/>
            </w:tcBorders>
          </w:tcPr>
          <w:p w:rsidR="00B61F38" w:rsidRDefault="000C40D9" w:rsidP="002D6E00">
            <w:pPr>
              <w:pStyle w:val="Tablehead2"/>
              <w:jc w:val="center"/>
            </w:pPr>
            <w:r>
              <w:t xml:space="preserve">(% </w:t>
            </w:r>
            <w:r w:rsidR="00B61F38">
              <w:t>points)</w:t>
            </w:r>
          </w:p>
        </w:tc>
      </w:tr>
      <w:tr w:rsidR="003E39AE" w:rsidRPr="007F5849" w:rsidTr="002D6E00">
        <w:trPr>
          <w:cantSplit/>
        </w:trPr>
        <w:tc>
          <w:tcPr>
            <w:tcW w:w="3955" w:type="dxa"/>
            <w:tcBorders>
              <w:top w:val="single" w:sz="4" w:space="0" w:color="auto"/>
              <w:bottom w:val="nil"/>
              <w:right w:val="nil"/>
            </w:tcBorders>
          </w:tcPr>
          <w:p w:rsidR="003E39AE" w:rsidRPr="00B61F38" w:rsidRDefault="003E39AE" w:rsidP="002F36AF">
            <w:pPr>
              <w:pStyle w:val="Tabletext"/>
              <w:rPr>
                <w:b/>
              </w:rPr>
            </w:pPr>
            <w:r>
              <w:rPr>
                <w:b/>
              </w:rPr>
              <w:t>Overall</w:t>
            </w:r>
          </w:p>
        </w:tc>
        <w:tc>
          <w:tcPr>
            <w:tcW w:w="1611" w:type="dxa"/>
            <w:tcBorders>
              <w:top w:val="single" w:sz="4" w:space="0" w:color="auto"/>
              <w:left w:val="nil"/>
              <w:bottom w:val="nil"/>
              <w:right w:val="nil"/>
            </w:tcBorders>
          </w:tcPr>
          <w:p w:rsidR="003E39AE" w:rsidRDefault="003E39AE" w:rsidP="002D6E00">
            <w:pPr>
              <w:tabs>
                <w:tab w:val="decimal" w:pos="822"/>
              </w:tabs>
              <w:spacing w:before="40" w:after="40"/>
              <w:rPr>
                <w:rFonts w:ascii="Tahoma" w:hAnsi="Tahoma" w:cs="Tahoma"/>
                <w:b/>
                <w:bCs/>
                <w:color w:val="000000"/>
                <w:sz w:val="16"/>
                <w:szCs w:val="16"/>
              </w:rPr>
            </w:pPr>
            <w:r>
              <w:rPr>
                <w:rFonts w:ascii="Tahoma" w:hAnsi="Tahoma" w:cs="Tahoma"/>
                <w:b/>
                <w:bCs/>
                <w:color w:val="000000"/>
                <w:sz w:val="16"/>
                <w:szCs w:val="16"/>
              </w:rPr>
              <w:t>83</w:t>
            </w:r>
          </w:p>
        </w:tc>
        <w:tc>
          <w:tcPr>
            <w:tcW w:w="1611" w:type="dxa"/>
            <w:tcBorders>
              <w:top w:val="single" w:sz="4" w:space="0" w:color="auto"/>
              <w:left w:val="nil"/>
              <w:bottom w:val="nil"/>
              <w:right w:val="nil"/>
            </w:tcBorders>
          </w:tcPr>
          <w:p w:rsidR="003E39AE" w:rsidRDefault="003E39AE" w:rsidP="002D6E00">
            <w:pPr>
              <w:tabs>
                <w:tab w:val="decimal" w:pos="822"/>
              </w:tabs>
              <w:spacing w:before="40" w:after="40"/>
              <w:rPr>
                <w:rFonts w:ascii="Tahoma" w:hAnsi="Tahoma" w:cs="Tahoma"/>
                <w:b/>
                <w:bCs/>
                <w:color w:val="000000"/>
                <w:sz w:val="16"/>
                <w:szCs w:val="16"/>
              </w:rPr>
            </w:pPr>
            <w:r>
              <w:rPr>
                <w:rFonts w:ascii="Tahoma" w:hAnsi="Tahoma" w:cs="Tahoma"/>
                <w:b/>
                <w:bCs/>
                <w:color w:val="000000"/>
                <w:sz w:val="16"/>
                <w:szCs w:val="16"/>
              </w:rPr>
              <w:t>45</w:t>
            </w:r>
          </w:p>
        </w:tc>
        <w:tc>
          <w:tcPr>
            <w:tcW w:w="1612" w:type="dxa"/>
            <w:tcBorders>
              <w:top w:val="single" w:sz="4" w:space="0" w:color="auto"/>
              <w:left w:val="nil"/>
              <w:bottom w:val="nil"/>
              <w:right w:val="nil"/>
            </w:tcBorders>
          </w:tcPr>
          <w:p w:rsidR="003E39AE" w:rsidRDefault="003E39AE" w:rsidP="002D6E00">
            <w:pPr>
              <w:tabs>
                <w:tab w:val="decimal" w:pos="822"/>
              </w:tabs>
              <w:spacing w:before="40" w:after="40"/>
              <w:rPr>
                <w:rFonts w:ascii="Tahoma" w:hAnsi="Tahoma" w:cs="Tahoma"/>
                <w:b/>
                <w:bCs/>
                <w:color w:val="000000"/>
                <w:sz w:val="16"/>
                <w:szCs w:val="16"/>
              </w:rPr>
            </w:pPr>
            <w:r>
              <w:rPr>
                <w:rFonts w:ascii="Tahoma" w:hAnsi="Tahoma" w:cs="Tahoma"/>
                <w:b/>
                <w:bCs/>
                <w:color w:val="000000"/>
                <w:sz w:val="16"/>
                <w:szCs w:val="16"/>
              </w:rPr>
              <w:t>38</w:t>
            </w:r>
          </w:p>
        </w:tc>
      </w:tr>
      <w:tr w:rsidR="003E39AE" w:rsidRPr="007F5849" w:rsidTr="002D6E00">
        <w:trPr>
          <w:cantSplit/>
        </w:trPr>
        <w:tc>
          <w:tcPr>
            <w:tcW w:w="3955" w:type="dxa"/>
            <w:tcBorders>
              <w:top w:val="nil"/>
              <w:bottom w:val="nil"/>
              <w:right w:val="nil"/>
            </w:tcBorders>
          </w:tcPr>
          <w:p w:rsidR="003E39AE" w:rsidRPr="00B61F38" w:rsidRDefault="003E39AE" w:rsidP="002F36AF">
            <w:pPr>
              <w:pStyle w:val="Tabletext"/>
              <w:rPr>
                <w:b/>
              </w:rPr>
            </w:pPr>
            <w:r>
              <w:rPr>
                <w:b/>
              </w:rPr>
              <w:t>Quality of off-the-job training</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b/>
                <w:bCs/>
                <w:color w:val="000000"/>
                <w:sz w:val="16"/>
                <w:szCs w:val="16"/>
              </w:rPr>
            </w:pPr>
            <w:r>
              <w:rPr>
                <w:rFonts w:ascii="Tahoma" w:hAnsi="Tahoma" w:cs="Tahoma"/>
                <w:b/>
                <w:bCs/>
                <w:color w:val="000000"/>
                <w:sz w:val="16"/>
                <w:szCs w:val="16"/>
              </w:rPr>
              <w:t>77</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b/>
                <w:bCs/>
                <w:color w:val="000000"/>
                <w:sz w:val="16"/>
                <w:szCs w:val="16"/>
              </w:rPr>
            </w:pPr>
            <w:r>
              <w:rPr>
                <w:rFonts w:ascii="Tahoma" w:hAnsi="Tahoma" w:cs="Tahoma"/>
                <w:b/>
                <w:bCs/>
                <w:color w:val="000000"/>
                <w:sz w:val="16"/>
                <w:szCs w:val="16"/>
              </w:rPr>
              <w:t>62</w:t>
            </w:r>
          </w:p>
        </w:tc>
        <w:tc>
          <w:tcPr>
            <w:tcW w:w="1612" w:type="dxa"/>
            <w:tcBorders>
              <w:top w:val="nil"/>
              <w:left w:val="nil"/>
              <w:bottom w:val="nil"/>
              <w:right w:val="nil"/>
            </w:tcBorders>
          </w:tcPr>
          <w:p w:rsidR="003E39AE" w:rsidRDefault="003E39AE" w:rsidP="002D6E00">
            <w:pPr>
              <w:tabs>
                <w:tab w:val="decimal" w:pos="822"/>
              </w:tabs>
              <w:spacing w:before="40" w:after="40"/>
              <w:rPr>
                <w:rFonts w:ascii="Tahoma" w:hAnsi="Tahoma" w:cs="Tahoma"/>
                <w:b/>
                <w:bCs/>
                <w:color w:val="000000"/>
                <w:sz w:val="16"/>
                <w:szCs w:val="16"/>
              </w:rPr>
            </w:pPr>
            <w:r>
              <w:rPr>
                <w:rFonts w:ascii="Tahoma" w:hAnsi="Tahoma" w:cs="Tahoma"/>
                <w:b/>
                <w:bCs/>
                <w:color w:val="000000"/>
                <w:sz w:val="16"/>
                <w:szCs w:val="16"/>
              </w:rPr>
              <w:t>1</w:t>
            </w:r>
            <w:r w:rsidR="00601CC6">
              <w:rPr>
                <w:rFonts w:ascii="Tahoma" w:hAnsi="Tahoma" w:cs="Tahoma"/>
                <w:b/>
                <w:bCs/>
                <w:color w:val="000000"/>
                <w:sz w:val="16"/>
                <w:szCs w:val="16"/>
              </w:rPr>
              <w:t>5</w:t>
            </w:r>
          </w:p>
        </w:tc>
      </w:tr>
      <w:tr w:rsidR="007C286B" w:rsidRPr="007F5849" w:rsidTr="002D6E00">
        <w:trPr>
          <w:cantSplit/>
        </w:trPr>
        <w:tc>
          <w:tcPr>
            <w:tcW w:w="3955" w:type="dxa"/>
            <w:tcBorders>
              <w:top w:val="nil"/>
              <w:bottom w:val="nil"/>
              <w:right w:val="nil"/>
            </w:tcBorders>
          </w:tcPr>
          <w:p w:rsidR="007C286B" w:rsidRPr="007C286B" w:rsidRDefault="007C286B" w:rsidP="002D6E00">
            <w:pPr>
              <w:pStyle w:val="Tabletext"/>
              <w:ind w:left="284"/>
            </w:pPr>
            <w:r w:rsidRPr="007C286B">
              <w:t>Frequency of training</w:t>
            </w:r>
          </w:p>
        </w:tc>
        <w:tc>
          <w:tcPr>
            <w:tcW w:w="1611" w:type="dxa"/>
            <w:tcBorders>
              <w:top w:val="nil"/>
              <w:left w:val="nil"/>
              <w:bottom w:val="nil"/>
              <w:right w:val="nil"/>
            </w:tcBorders>
          </w:tcPr>
          <w:p w:rsidR="007C286B" w:rsidRPr="007C286B" w:rsidRDefault="007C286B" w:rsidP="002D6E00">
            <w:pPr>
              <w:tabs>
                <w:tab w:val="decimal" w:pos="822"/>
              </w:tabs>
              <w:spacing w:before="40" w:after="40"/>
              <w:rPr>
                <w:rFonts w:ascii="Tahoma" w:hAnsi="Tahoma" w:cs="Tahoma"/>
                <w:bCs/>
                <w:color w:val="000000"/>
                <w:sz w:val="16"/>
                <w:szCs w:val="16"/>
              </w:rPr>
            </w:pPr>
            <w:r w:rsidRPr="007C286B">
              <w:rPr>
                <w:rFonts w:ascii="Tahoma" w:hAnsi="Tahoma" w:cs="Tahoma"/>
                <w:bCs/>
                <w:color w:val="000000"/>
                <w:sz w:val="16"/>
                <w:szCs w:val="16"/>
              </w:rPr>
              <w:t>75</w:t>
            </w:r>
          </w:p>
        </w:tc>
        <w:tc>
          <w:tcPr>
            <w:tcW w:w="1611" w:type="dxa"/>
            <w:tcBorders>
              <w:top w:val="nil"/>
              <w:left w:val="nil"/>
              <w:bottom w:val="nil"/>
              <w:right w:val="nil"/>
            </w:tcBorders>
          </w:tcPr>
          <w:p w:rsidR="007C286B" w:rsidRPr="007C286B" w:rsidRDefault="007C286B" w:rsidP="002D6E00">
            <w:pPr>
              <w:tabs>
                <w:tab w:val="decimal" w:pos="822"/>
              </w:tabs>
              <w:spacing w:before="40" w:after="40"/>
              <w:rPr>
                <w:rFonts w:ascii="Tahoma" w:hAnsi="Tahoma" w:cs="Tahoma"/>
                <w:bCs/>
                <w:color w:val="000000"/>
                <w:sz w:val="16"/>
                <w:szCs w:val="16"/>
              </w:rPr>
            </w:pPr>
            <w:r w:rsidRPr="007C286B">
              <w:rPr>
                <w:rFonts w:ascii="Tahoma" w:hAnsi="Tahoma" w:cs="Tahoma"/>
                <w:bCs/>
                <w:color w:val="000000"/>
                <w:sz w:val="16"/>
                <w:szCs w:val="16"/>
              </w:rPr>
              <w:t>57</w:t>
            </w:r>
          </w:p>
        </w:tc>
        <w:tc>
          <w:tcPr>
            <w:tcW w:w="1612" w:type="dxa"/>
            <w:tcBorders>
              <w:top w:val="nil"/>
              <w:left w:val="nil"/>
              <w:bottom w:val="nil"/>
              <w:right w:val="nil"/>
            </w:tcBorders>
          </w:tcPr>
          <w:p w:rsidR="007C286B" w:rsidRPr="007C286B" w:rsidRDefault="007C286B" w:rsidP="002D6E00">
            <w:pPr>
              <w:tabs>
                <w:tab w:val="decimal" w:pos="822"/>
              </w:tabs>
              <w:spacing w:before="40" w:after="40"/>
              <w:rPr>
                <w:rFonts w:ascii="Tahoma" w:hAnsi="Tahoma" w:cs="Tahoma"/>
                <w:bCs/>
                <w:color w:val="000000"/>
                <w:sz w:val="16"/>
                <w:szCs w:val="16"/>
              </w:rPr>
            </w:pPr>
            <w:r w:rsidRPr="007C286B">
              <w:rPr>
                <w:rFonts w:ascii="Tahoma" w:hAnsi="Tahoma" w:cs="Tahoma"/>
                <w:bCs/>
                <w:color w:val="000000"/>
                <w:sz w:val="16"/>
                <w:szCs w:val="16"/>
              </w:rPr>
              <w:t>18</w:t>
            </w:r>
          </w:p>
        </w:tc>
      </w:tr>
      <w:tr w:rsidR="007C286B" w:rsidRPr="007F5849" w:rsidTr="002D6E00">
        <w:trPr>
          <w:cantSplit/>
        </w:trPr>
        <w:tc>
          <w:tcPr>
            <w:tcW w:w="3955" w:type="dxa"/>
            <w:tcBorders>
              <w:top w:val="nil"/>
              <w:bottom w:val="nil"/>
              <w:right w:val="nil"/>
            </w:tcBorders>
          </w:tcPr>
          <w:p w:rsidR="007C286B" w:rsidRPr="007C286B" w:rsidRDefault="007C286B" w:rsidP="002D6E00">
            <w:pPr>
              <w:pStyle w:val="Tabletext"/>
              <w:ind w:left="284"/>
            </w:pPr>
            <w:r w:rsidRPr="007C286B">
              <w:t>Relevance of skills to workplace</w:t>
            </w:r>
          </w:p>
        </w:tc>
        <w:tc>
          <w:tcPr>
            <w:tcW w:w="1611" w:type="dxa"/>
            <w:tcBorders>
              <w:top w:val="nil"/>
              <w:left w:val="nil"/>
              <w:bottom w:val="nil"/>
              <w:right w:val="nil"/>
            </w:tcBorders>
          </w:tcPr>
          <w:p w:rsidR="007C286B" w:rsidRPr="007C286B" w:rsidRDefault="007C286B" w:rsidP="002D6E00">
            <w:pPr>
              <w:tabs>
                <w:tab w:val="decimal" w:pos="822"/>
              </w:tabs>
              <w:spacing w:before="40" w:after="40"/>
              <w:rPr>
                <w:rFonts w:ascii="Tahoma" w:hAnsi="Tahoma" w:cs="Tahoma"/>
                <w:bCs/>
                <w:color w:val="000000"/>
                <w:sz w:val="16"/>
                <w:szCs w:val="16"/>
              </w:rPr>
            </w:pPr>
            <w:r w:rsidRPr="007C286B">
              <w:rPr>
                <w:rFonts w:ascii="Tahoma" w:hAnsi="Tahoma" w:cs="Tahoma"/>
                <w:bCs/>
                <w:color w:val="000000"/>
                <w:sz w:val="16"/>
                <w:szCs w:val="16"/>
              </w:rPr>
              <w:t>78</w:t>
            </w:r>
          </w:p>
        </w:tc>
        <w:tc>
          <w:tcPr>
            <w:tcW w:w="1611" w:type="dxa"/>
            <w:tcBorders>
              <w:top w:val="nil"/>
              <w:left w:val="nil"/>
              <w:bottom w:val="nil"/>
              <w:right w:val="nil"/>
            </w:tcBorders>
          </w:tcPr>
          <w:p w:rsidR="007C286B" w:rsidRPr="007C286B" w:rsidRDefault="007C286B" w:rsidP="002D6E00">
            <w:pPr>
              <w:tabs>
                <w:tab w:val="decimal" w:pos="822"/>
              </w:tabs>
              <w:spacing w:before="40" w:after="40"/>
              <w:rPr>
                <w:rFonts w:ascii="Tahoma" w:hAnsi="Tahoma" w:cs="Tahoma"/>
                <w:bCs/>
                <w:color w:val="000000"/>
                <w:sz w:val="16"/>
                <w:szCs w:val="16"/>
              </w:rPr>
            </w:pPr>
            <w:r w:rsidRPr="007C286B">
              <w:rPr>
                <w:rFonts w:ascii="Tahoma" w:hAnsi="Tahoma" w:cs="Tahoma"/>
                <w:bCs/>
                <w:color w:val="000000"/>
                <w:sz w:val="16"/>
                <w:szCs w:val="16"/>
              </w:rPr>
              <w:t>62</w:t>
            </w:r>
          </w:p>
        </w:tc>
        <w:tc>
          <w:tcPr>
            <w:tcW w:w="1612" w:type="dxa"/>
            <w:tcBorders>
              <w:top w:val="nil"/>
              <w:left w:val="nil"/>
              <w:bottom w:val="nil"/>
              <w:right w:val="nil"/>
            </w:tcBorders>
          </w:tcPr>
          <w:p w:rsidR="007C286B" w:rsidRPr="007C286B" w:rsidRDefault="007C286B" w:rsidP="002D6E00">
            <w:pPr>
              <w:tabs>
                <w:tab w:val="decimal" w:pos="822"/>
              </w:tabs>
              <w:spacing w:before="40" w:after="40"/>
              <w:rPr>
                <w:rFonts w:ascii="Tahoma" w:hAnsi="Tahoma" w:cs="Tahoma"/>
                <w:bCs/>
                <w:color w:val="000000"/>
                <w:sz w:val="16"/>
                <w:szCs w:val="16"/>
              </w:rPr>
            </w:pPr>
            <w:r w:rsidRPr="007C286B">
              <w:rPr>
                <w:rFonts w:ascii="Tahoma" w:hAnsi="Tahoma" w:cs="Tahoma"/>
                <w:bCs/>
                <w:color w:val="000000"/>
                <w:sz w:val="16"/>
                <w:szCs w:val="16"/>
              </w:rPr>
              <w:t>16</w:t>
            </w:r>
          </w:p>
        </w:tc>
      </w:tr>
      <w:tr w:rsidR="007C286B" w:rsidRPr="007F5849" w:rsidTr="002D6E00">
        <w:trPr>
          <w:cantSplit/>
        </w:trPr>
        <w:tc>
          <w:tcPr>
            <w:tcW w:w="3955" w:type="dxa"/>
            <w:tcBorders>
              <w:top w:val="nil"/>
              <w:bottom w:val="nil"/>
              <w:right w:val="nil"/>
            </w:tcBorders>
          </w:tcPr>
          <w:p w:rsidR="007C286B" w:rsidRPr="007C286B" w:rsidRDefault="007C286B" w:rsidP="002D6E00">
            <w:pPr>
              <w:pStyle w:val="Tabletext"/>
              <w:ind w:left="284"/>
            </w:pPr>
            <w:r w:rsidRPr="007C286B">
              <w:t>Fairness of the assessments</w:t>
            </w:r>
          </w:p>
        </w:tc>
        <w:tc>
          <w:tcPr>
            <w:tcW w:w="1611" w:type="dxa"/>
            <w:tcBorders>
              <w:top w:val="nil"/>
              <w:left w:val="nil"/>
              <w:bottom w:val="nil"/>
              <w:right w:val="nil"/>
            </w:tcBorders>
          </w:tcPr>
          <w:p w:rsidR="007C286B" w:rsidRPr="007C286B" w:rsidRDefault="007C286B" w:rsidP="002D6E00">
            <w:pPr>
              <w:tabs>
                <w:tab w:val="decimal" w:pos="822"/>
              </w:tabs>
              <w:spacing w:before="40" w:after="40"/>
              <w:rPr>
                <w:rFonts w:ascii="Tahoma" w:hAnsi="Tahoma" w:cs="Tahoma"/>
                <w:bCs/>
                <w:color w:val="000000"/>
                <w:sz w:val="16"/>
                <w:szCs w:val="16"/>
              </w:rPr>
            </w:pPr>
            <w:r w:rsidRPr="007C286B">
              <w:rPr>
                <w:rFonts w:ascii="Tahoma" w:hAnsi="Tahoma" w:cs="Tahoma"/>
                <w:bCs/>
                <w:color w:val="000000"/>
                <w:sz w:val="16"/>
                <w:szCs w:val="16"/>
              </w:rPr>
              <w:t>85</w:t>
            </w:r>
          </w:p>
        </w:tc>
        <w:tc>
          <w:tcPr>
            <w:tcW w:w="1611" w:type="dxa"/>
            <w:tcBorders>
              <w:top w:val="nil"/>
              <w:left w:val="nil"/>
              <w:bottom w:val="nil"/>
              <w:right w:val="nil"/>
            </w:tcBorders>
          </w:tcPr>
          <w:p w:rsidR="007C286B" w:rsidRPr="007C286B" w:rsidRDefault="007C286B" w:rsidP="002D6E00">
            <w:pPr>
              <w:tabs>
                <w:tab w:val="decimal" w:pos="822"/>
              </w:tabs>
              <w:spacing w:before="40" w:after="40"/>
              <w:rPr>
                <w:rFonts w:ascii="Tahoma" w:hAnsi="Tahoma" w:cs="Tahoma"/>
                <w:bCs/>
                <w:color w:val="000000"/>
                <w:sz w:val="16"/>
                <w:szCs w:val="16"/>
              </w:rPr>
            </w:pPr>
            <w:r w:rsidRPr="007C286B">
              <w:rPr>
                <w:rFonts w:ascii="Tahoma" w:hAnsi="Tahoma" w:cs="Tahoma"/>
                <w:bCs/>
                <w:color w:val="000000"/>
                <w:sz w:val="16"/>
                <w:szCs w:val="16"/>
              </w:rPr>
              <w:t>73</w:t>
            </w:r>
          </w:p>
        </w:tc>
        <w:tc>
          <w:tcPr>
            <w:tcW w:w="1612" w:type="dxa"/>
            <w:tcBorders>
              <w:top w:val="nil"/>
              <w:left w:val="nil"/>
              <w:bottom w:val="nil"/>
              <w:right w:val="nil"/>
            </w:tcBorders>
          </w:tcPr>
          <w:p w:rsidR="007C286B" w:rsidRPr="007C286B" w:rsidRDefault="007C286B" w:rsidP="002D6E00">
            <w:pPr>
              <w:tabs>
                <w:tab w:val="decimal" w:pos="822"/>
              </w:tabs>
              <w:spacing w:before="40" w:after="40"/>
              <w:rPr>
                <w:rFonts w:ascii="Tahoma" w:hAnsi="Tahoma" w:cs="Tahoma"/>
                <w:bCs/>
                <w:color w:val="000000"/>
                <w:sz w:val="16"/>
                <w:szCs w:val="16"/>
              </w:rPr>
            </w:pPr>
            <w:r w:rsidRPr="007C286B">
              <w:rPr>
                <w:rFonts w:ascii="Tahoma" w:hAnsi="Tahoma" w:cs="Tahoma"/>
                <w:bCs/>
                <w:color w:val="000000"/>
                <w:sz w:val="16"/>
                <w:szCs w:val="16"/>
              </w:rPr>
              <w:t>12</w:t>
            </w:r>
          </w:p>
        </w:tc>
      </w:tr>
      <w:tr w:rsidR="007C286B" w:rsidRPr="007F5849" w:rsidTr="002D6E00">
        <w:trPr>
          <w:cantSplit/>
        </w:trPr>
        <w:tc>
          <w:tcPr>
            <w:tcW w:w="3955" w:type="dxa"/>
            <w:tcBorders>
              <w:top w:val="nil"/>
              <w:bottom w:val="nil"/>
              <w:right w:val="nil"/>
            </w:tcBorders>
          </w:tcPr>
          <w:p w:rsidR="007C286B" w:rsidRPr="007C286B" w:rsidRDefault="007C286B" w:rsidP="002D6E00">
            <w:pPr>
              <w:pStyle w:val="Tabletext"/>
              <w:ind w:left="284"/>
            </w:pPr>
            <w:r w:rsidRPr="007C286B">
              <w:t>Relevance of the assessment tasks</w:t>
            </w:r>
          </w:p>
        </w:tc>
        <w:tc>
          <w:tcPr>
            <w:tcW w:w="1611" w:type="dxa"/>
            <w:tcBorders>
              <w:top w:val="nil"/>
              <w:left w:val="nil"/>
              <w:bottom w:val="nil"/>
              <w:right w:val="nil"/>
            </w:tcBorders>
          </w:tcPr>
          <w:p w:rsidR="007C286B" w:rsidRPr="007C286B" w:rsidRDefault="007C286B" w:rsidP="002D6E00">
            <w:pPr>
              <w:tabs>
                <w:tab w:val="decimal" w:pos="822"/>
              </w:tabs>
              <w:spacing w:before="40" w:after="40"/>
              <w:rPr>
                <w:rFonts w:ascii="Tahoma" w:hAnsi="Tahoma" w:cs="Tahoma"/>
                <w:bCs/>
                <w:color w:val="000000"/>
                <w:sz w:val="16"/>
                <w:szCs w:val="16"/>
              </w:rPr>
            </w:pPr>
            <w:r w:rsidRPr="007C286B">
              <w:rPr>
                <w:rFonts w:ascii="Tahoma" w:hAnsi="Tahoma" w:cs="Tahoma"/>
                <w:bCs/>
                <w:color w:val="000000"/>
                <w:sz w:val="16"/>
                <w:szCs w:val="16"/>
              </w:rPr>
              <w:t>76</w:t>
            </w:r>
          </w:p>
        </w:tc>
        <w:tc>
          <w:tcPr>
            <w:tcW w:w="1611" w:type="dxa"/>
            <w:tcBorders>
              <w:top w:val="nil"/>
              <w:left w:val="nil"/>
              <w:bottom w:val="nil"/>
              <w:right w:val="nil"/>
            </w:tcBorders>
          </w:tcPr>
          <w:p w:rsidR="007C286B" w:rsidRPr="007C286B" w:rsidRDefault="007C286B" w:rsidP="002D6E00">
            <w:pPr>
              <w:tabs>
                <w:tab w:val="decimal" w:pos="822"/>
              </w:tabs>
              <w:spacing w:before="40" w:after="40"/>
              <w:rPr>
                <w:rFonts w:ascii="Tahoma" w:hAnsi="Tahoma" w:cs="Tahoma"/>
                <w:bCs/>
                <w:color w:val="000000"/>
                <w:sz w:val="16"/>
                <w:szCs w:val="16"/>
              </w:rPr>
            </w:pPr>
            <w:r w:rsidRPr="007C286B">
              <w:rPr>
                <w:rFonts w:ascii="Tahoma" w:hAnsi="Tahoma" w:cs="Tahoma"/>
                <w:bCs/>
                <w:color w:val="000000"/>
                <w:sz w:val="16"/>
                <w:szCs w:val="16"/>
              </w:rPr>
              <w:t>64</w:t>
            </w:r>
          </w:p>
        </w:tc>
        <w:tc>
          <w:tcPr>
            <w:tcW w:w="1612" w:type="dxa"/>
            <w:tcBorders>
              <w:top w:val="nil"/>
              <w:left w:val="nil"/>
              <w:bottom w:val="nil"/>
              <w:right w:val="nil"/>
            </w:tcBorders>
          </w:tcPr>
          <w:p w:rsidR="007C286B" w:rsidRPr="007C286B" w:rsidRDefault="007C286B" w:rsidP="002D6E00">
            <w:pPr>
              <w:tabs>
                <w:tab w:val="decimal" w:pos="822"/>
              </w:tabs>
              <w:spacing w:before="40" w:after="40"/>
              <w:rPr>
                <w:rFonts w:ascii="Tahoma" w:hAnsi="Tahoma" w:cs="Tahoma"/>
                <w:bCs/>
                <w:color w:val="000000"/>
                <w:sz w:val="16"/>
                <w:szCs w:val="16"/>
              </w:rPr>
            </w:pPr>
            <w:r w:rsidRPr="007C286B">
              <w:rPr>
                <w:rFonts w:ascii="Tahoma" w:hAnsi="Tahoma" w:cs="Tahoma"/>
                <w:bCs/>
                <w:color w:val="000000"/>
                <w:sz w:val="16"/>
                <w:szCs w:val="16"/>
              </w:rPr>
              <w:t>12</w:t>
            </w:r>
          </w:p>
        </w:tc>
      </w:tr>
      <w:tr w:rsidR="007C286B" w:rsidRPr="007F5849" w:rsidTr="002D6E00">
        <w:trPr>
          <w:cantSplit/>
        </w:trPr>
        <w:tc>
          <w:tcPr>
            <w:tcW w:w="3955" w:type="dxa"/>
            <w:tcBorders>
              <w:top w:val="nil"/>
              <w:bottom w:val="nil"/>
              <w:right w:val="nil"/>
            </w:tcBorders>
          </w:tcPr>
          <w:p w:rsidR="007C286B" w:rsidRPr="007C286B" w:rsidRDefault="007C286B" w:rsidP="002D6E00">
            <w:pPr>
              <w:pStyle w:val="Tabletext"/>
              <w:ind w:left="284"/>
            </w:pPr>
            <w:r w:rsidRPr="007C286B">
              <w:t>Quality of the training facilities and equipment</w:t>
            </w:r>
          </w:p>
        </w:tc>
        <w:tc>
          <w:tcPr>
            <w:tcW w:w="1611" w:type="dxa"/>
            <w:tcBorders>
              <w:top w:val="nil"/>
              <w:left w:val="nil"/>
              <w:bottom w:val="nil"/>
              <w:right w:val="nil"/>
            </w:tcBorders>
          </w:tcPr>
          <w:p w:rsidR="007C286B" w:rsidRPr="007C286B" w:rsidRDefault="007C286B" w:rsidP="002D6E00">
            <w:pPr>
              <w:tabs>
                <w:tab w:val="decimal" w:pos="822"/>
              </w:tabs>
              <w:spacing w:before="40" w:after="40"/>
              <w:rPr>
                <w:rFonts w:ascii="Tahoma" w:hAnsi="Tahoma" w:cs="Tahoma"/>
                <w:bCs/>
                <w:color w:val="000000"/>
                <w:sz w:val="16"/>
                <w:szCs w:val="16"/>
              </w:rPr>
            </w:pPr>
            <w:r w:rsidRPr="007C286B">
              <w:rPr>
                <w:rFonts w:ascii="Tahoma" w:hAnsi="Tahoma" w:cs="Tahoma"/>
                <w:bCs/>
                <w:color w:val="000000"/>
                <w:sz w:val="16"/>
                <w:szCs w:val="16"/>
              </w:rPr>
              <w:t>70</w:t>
            </w:r>
          </w:p>
        </w:tc>
        <w:tc>
          <w:tcPr>
            <w:tcW w:w="1611" w:type="dxa"/>
            <w:tcBorders>
              <w:top w:val="nil"/>
              <w:left w:val="nil"/>
              <w:bottom w:val="nil"/>
              <w:right w:val="nil"/>
            </w:tcBorders>
          </w:tcPr>
          <w:p w:rsidR="007C286B" w:rsidRPr="007C286B" w:rsidRDefault="007C286B" w:rsidP="002D6E00">
            <w:pPr>
              <w:tabs>
                <w:tab w:val="decimal" w:pos="822"/>
              </w:tabs>
              <w:spacing w:before="40" w:after="40"/>
              <w:rPr>
                <w:rFonts w:ascii="Tahoma" w:hAnsi="Tahoma" w:cs="Tahoma"/>
                <w:bCs/>
                <w:color w:val="000000"/>
                <w:sz w:val="16"/>
                <w:szCs w:val="16"/>
              </w:rPr>
            </w:pPr>
            <w:r w:rsidRPr="007C286B">
              <w:rPr>
                <w:rFonts w:ascii="Tahoma" w:hAnsi="Tahoma" w:cs="Tahoma"/>
                <w:bCs/>
                <w:color w:val="000000"/>
                <w:sz w:val="16"/>
                <w:szCs w:val="16"/>
              </w:rPr>
              <w:t>65</w:t>
            </w:r>
          </w:p>
        </w:tc>
        <w:tc>
          <w:tcPr>
            <w:tcW w:w="1612" w:type="dxa"/>
            <w:tcBorders>
              <w:top w:val="nil"/>
              <w:left w:val="nil"/>
              <w:bottom w:val="nil"/>
              <w:right w:val="nil"/>
            </w:tcBorders>
          </w:tcPr>
          <w:p w:rsidR="007C286B" w:rsidRPr="007C286B" w:rsidRDefault="007C286B" w:rsidP="002D6E00">
            <w:pPr>
              <w:tabs>
                <w:tab w:val="decimal" w:pos="822"/>
              </w:tabs>
              <w:spacing w:before="40" w:after="40"/>
              <w:rPr>
                <w:rFonts w:ascii="Tahoma" w:hAnsi="Tahoma" w:cs="Tahoma"/>
                <w:bCs/>
                <w:color w:val="000000"/>
                <w:sz w:val="16"/>
                <w:szCs w:val="16"/>
              </w:rPr>
            </w:pPr>
            <w:r w:rsidRPr="007C286B">
              <w:rPr>
                <w:rFonts w:ascii="Tahoma" w:hAnsi="Tahoma" w:cs="Tahoma"/>
                <w:bCs/>
                <w:color w:val="000000"/>
                <w:sz w:val="16"/>
                <w:szCs w:val="16"/>
              </w:rPr>
              <w:t>5</w:t>
            </w:r>
          </w:p>
        </w:tc>
      </w:tr>
      <w:tr w:rsidR="003E39AE" w:rsidRPr="007F5849" w:rsidTr="002D6E00">
        <w:trPr>
          <w:cantSplit/>
        </w:trPr>
        <w:tc>
          <w:tcPr>
            <w:tcW w:w="3955" w:type="dxa"/>
            <w:tcBorders>
              <w:top w:val="nil"/>
              <w:bottom w:val="nil"/>
              <w:right w:val="nil"/>
            </w:tcBorders>
          </w:tcPr>
          <w:p w:rsidR="003E39AE" w:rsidRPr="00B61F38" w:rsidRDefault="003E39AE" w:rsidP="002F36AF">
            <w:pPr>
              <w:pStyle w:val="Tabletext"/>
              <w:rPr>
                <w:b/>
              </w:rPr>
            </w:pPr>
            <w:r w:rsidRPr="00B61F38">
              <w:rPr>
                <w:b/>
              </w:rPr>
              <w:t>Employment overall</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b/>
                <w:bCs/>
                <w:color w:val="000000"/>
                <w:sz w:val="16"/>
                <w:szCs w:val="16"/>
              </w:rPr>
            </w:pPr>
            <w:r>
              <w:rPr>
                <w:rFonts w:ascii="Tahoma" w:hAnsi="Tahoma" w:cs="Tahoma"/>
                <w:b/>
                <w:bCs/>
                <w:color w:val="000000"/>
                <w:sz w:val="16"/>
                <w:szCs w:val="16"/>
              </w:rPr>
              <w:t>80</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b/>
                <w:bCs/>
                <w:color w:val="000000"/>
                <w:sz w:val="16"/>
                <w:szCs w:val="16"/>
              </w:rPr>
            </w:pPr>
            <w:r>
              <w:rPr>
                <w:rFonts w:ascii="Tahoma" w:hAnsi="Tahoma" w:cs="Tahoma"/>
                <w:b/>
                <w:bCs/>
                <w:color w:val="000000"/>
                <w:sz w:val="16"/>
                <w:szCs w:val="16"/>
              </w:rPr>
              <w:t>42</w:t>
            </w:r>
          </w:p>
        </w:tc>
        <w:tc>
          <w:tcPr>
            <w:tcW w:w="1612" w:type="dxa"/>
            <w:tcBorders>
              <w:top w:val="nil"/>
              <w:left w:val="nil"/>
              <w:bottom w:val="nil"/>
              <w:right w:val="nil"/>
            </w:tcBorders>
          </w:tcPr>
          <w:p w:rsidR="003E39AE" w:rsidRDefault="003E39AE" w:rsidP="002D6E00">
            <w:pPr>
              <w:tabs>
                <w:tab w:val="decimal" w:pos="822"/>
              </w:tabs>
              <w:spacing w:before="40" w:after="40"/>
              <w:rPr>
                <w:rFonts w:ascii="Tahoma" w:hAnsi="Tahoma" w:cs="Tahoma"/>
                <w:b/>
                <w:bCs/>
                <w:color w:val="000000"/>
                <w:sz w:val="16"/>
                <w:szCs w:val="16"/>
              </w:rPr>
            </w:pPr>
            <w:r>
              <w:rPr>
                <w:rFonts w:ascii="Tahoma" w:hAnsi="Tahoma" w:cs="Tahoma"/>
                <w:b/>
                <w:bCs/>
                <w:color w:val="000000"/>
                <w:sz w:val="16"/>
                <w:szCs w:val="16"/>
              </w:rPr>
              <w:t>38</w:t>
            </w:r>
          </w:p>
        </w:tc>
      </w:tr>
      <w:tr w:rsidR="003E39AE" w:rsidRPr="007F5849" w:rsidTr="002D6E00">
        <w:trPr>
          <w:cantSplit/>
        </w:trPr>
        <w:tc>
          <w:tcPr>
            <w:tcW w:w="3955" w:type="dxa"/>
            <w:tcBorders>
              <w:top w:val="nil"/>
              <w:bottom w:val="nil"/>
              <w:right w:val="nil"/>
            </w:tcBorders>
          </w:tcPr>
          <w:p w:rsidR="003E39AE" w:rsidRPr="007F5849" w:rsidRDefault="003E39AE" w:rsidP="002D6E00">
            <w:pPr>
              <w:pStyle w:val="Tabletext"/>
              <w:ind w:left="284"/>
            </w:pPr>
            <w:r>
              <w:t>Training provided by employer</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77</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49</w:t>
            </w:r>
          </w:p>
        </w:tc>
        <w:tc>
          <w:tcPr>
            <w:tcW w:w="1612"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28</w:t>
            </w:r>
          </w:p>
        </w:tc>
      </w:tr>
      <w:tr w:rsidR="003E39AE" w:rsidRPr="007F5849" w:rsidTr="002D6E00">
        <w:trPr>
          <w:cantSplit/>
        </w:trPr>
        <w:tc>
          <w:tcPr>
            <w:tcW w:w="3955" w:type="dxa"/>
            <w:tcBorders>
              <w:top w:val="nil"/>
              <w:bottom w:val="nil"/>
              <w:right w:val="nil"/>
            </w:tcBorders>
          </w:tcPr>
          <w:p w:rsidR="003E39AE" w:rsidRPr="007F5849" w:rsidRDefault="003E39AE" w:rsidP="002D6E00">
            <w:pPr>
              <w:pStyle w:val="Tabletext"/>
              <w:ind w:left="284"/>
            </w:pPr>
            <w:r>
              <w:t>Relationship with co-workers</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89</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63</w:t>
            </w:r>
          </w:p>
        </w:tc>
        <w:tc>
          <w:tcPr>
            <w:tcW w:w="1612"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26</w:t>
            </w:r>
          </w:p>
        </w:tc>
      </w:tr>
      <w:tr w:rsidR="003E39AE" w:rsidRPr="007F5849" w:rsidTr="002D6E00">
        <w:trPr>
          <w:cantSplit/>
        </w:trPr>
        <w:tc>
          <w:tcPr>
            <w:tcW w:w="3955" w:type="dxa"/>
            <w:tcBorders>
              <w:top w:val="nil"/>
              <w:bottom w:val="nil"/>
              <w:right w:val="nil"/>
            </w:tcBorders>
          </w:tcPr>
          <w:p w:rsidR="003E39AE" w:rsidRPr="007F5849" w:rsidRDefault="003E39AE" w:rsidP="002D6E00">
            <w:pPr>
              <w:pStyle w:val="Tabletext"/>
              <w:ind w:left="284"/>
            </w:pPr>
            <w:r>
              <w:t>Working conditions</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79</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53</w:t>
            </w:r>
          </w:p>
        </w:tc>
        <w:tc>
          <w:tcPr>
            <w:tcW w:w="1612"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26</w:t>
            </w:r>
          </w:p>
        </w:tc>
      </w:tr>
      <w:tr w:rsidR="003E39AE" w:rsidRPr="007F5849" w:rsidTr="002D6E00">
        <w:trPr>
          <w:cantSplit/>
        </w:trPr>
        <w:tc>
          <w:tcPr>
            <w:tcW w:w="3955" w:type="dxa"/>
            <w:tcBorders>
              <w:top w:val="nil"/>
              <w:bottom w:val="nil"/>
              <w:right w:val="nil"/>
            </w:tcBorders>
          </w:tcPr>
          <w:p w:rsidR="003E39AE" w:rsidRPr="007F5849" w:rsidRDefault="003E39AE" w:rsidP="002D6E00">
            <w:pPr>
              <w:pStyle w:val="Tabletext"/>
              <w:ind w:left="284"/>
            </w:pPr>
            <w:r>
              <w:t>Skills learnt on the job</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86</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60</w:t>
            </w:r>
          </w:p>
        </w:tc>
        <w:tc>
          <w:tcPr>
            <w:tcW w:w="1612"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26</w:t>
            </w:r>
          </w:p>
        </w:tc>
      </w:tr>
      <w:tr w:rsidR="003E39AE" w:rsidRPr="007F5849" w:rsidTr="002D6E00">
        <w:trPr>
          <w:cantSplit/>
        </w:trPr>
        <w:tc>
          <w:tcPr>
            <w:tcW w:w="3955" w:type="dxa"/>
            <w:tcBorders>
              <w:top w:val="nil"/>
              <w:bottom w:val="nil"/>
              <w:right w:val="nil"/>
            </w:tcBorders>
          </w:tcPr>
          <w:p w:rsidR="003E39AE" w:rsidRPr="007F5849" w:rsidRDefault="003E39AE" w:rsidP="002D6E00">
            <w:pPr>
              <w:pStyle w:val="Tabletext"/>
              <w:ind w:left="284"/>
            </w:pPr>
            <w:r>
              <w:t>Type of work</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82</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58</w:t>
            </w:r>
          </w:p>
        </w:tc>
        <w:tc>
          <w:tcPr>
            <w:tcW w:w="1612"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24</w:t>
            </w:r>
          </w:p>
        </w:tc>
      </w:tr>
      <w:tr w:rsidR="003E39AE" w:rsidRPr="007F5849" w:rsidTr="002D6E00">
        <w:trPr>
          <w:cantSplit/>
        </w:trPr>
        <w:tc>
          <w:tcPr>
            <w:tcW w:w="3955" w:type="dxa"/>
            <w:tcBorders>
              <w:top w:val="nil"/>
              <w:bottom w:val="nil"/>
              <w:right w:val="nil"/>
            </w:tcBorders>
          </w:tcPr>
          <w:p w:rsidR="003E39AE" w:rsidRPr="007F5849" w:rsidRDefault="003E39AE" w:rsidP="002D6E00">
            <w:pPr>
              <w:pStyle w:val="Tabletext"/>
              <w:ind w:left="284"/>
            </w:pPr>
            <w:r>
              <w:t>Supervision</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76</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53</w:t>
            </w:r>
          </w:p>
        </w:tc>
        <w:tc>
          <w:tcPr>
            <w:tcW w:w="1612"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23</w:t>
            </w:r>
          </w:p>
        </w:tc>
      </w:tr>
      <w:tr w:rsidR="003E39AE" w:rsidRPr="007F5849" w:rsidTr="002D6E00">
        <w:trPr>
          <w:cantSplit/>
        </w:trPr>
        <w:tc>
          <w:tcPr>
            <w:tcW w:w="3955" w:type="dxa"/>
            <w:tcBorders>
              <w:top w:val="nil"/>
              <w:bottom w:val="nil"/>
              <w:right w:val="nil"/>
            </w:tcBorders>
          </w:tcPr>
          <w:p w:rsidR="003E39AE" w:rsidRPr="007F5849" w:rsidRDefault="003E39AE" w:rsidP="002D6E00">
            <w:pPr>
              <w:pStyle w:val="Tabletext"/>
              <w:ind w:left="284"/>
            </w:pPr>
            <w:r>
              <w:t>Hours of work</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79</w:t>
            </w:r>
          </w:p>
        </w:tc>
        <w:tc>
          <w:tcPr>
            <w:tcW w:w="1611"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60</w:t>
            </w:r>
          </w:p>
        </w:tc>
        <w:tc>
          <w:tcPr>
            <w:tcW w:w="1612" w:type="dxa"/>
            <w:tcBorders>
              <w:top w:val="nil"/>
              <w:left w:val="nil"/>
              <w:bottom w:val="nil"/>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19</w:t>
            </w:r>
          </w:p>
        </w:tc>
      </w:tr>
      <w:tr w:rsidR="003E39AE" w:rsidRPr="007F5849" w:rsidTr="002D6E00">
        <w:trPr>
          <w:cantSplit/>
        </w:trPr>
        <w:tc>
          <w:tcPr>
            <w:tcW w:w="3955" w:type="dxa"/>
            <w:tcBorders>
              <w:top w:val="nil"/>
              <w:bottom w:val="single" w:sz="4" w:space="0" w:color="auto"/>
              <w:right w:val="nil"/>
            </w:tcBorders>
          </w:tcPr>
          <w:p w:rsidR="003E39AE" w:rsidRPr="007F5849" w:rsidRDefault="003E39AE" w:rsidP="002D6E00">
            <w:pPr>
              <w:pStyle w:val="Tabletext"/>
              <w:ind w:left="284"/>
            </w:pPr>
            <w:r>
              <w:t>Pay</w:t>
            </w:r>
          </w:p>
        </w:tc>
        <w:tc>
          <w:tcPr>
            <w:tcW w:w="1611" w:type="dxa"/>
            <w:tcBorders>
              <w:top w:val="nil"/>
              <w:left w:val="nil"/>
              <w:bottom w:val="single" w:sz="4" w:space="0" w:color="auto"/>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47</w:t>
            </w:r>
          </w:p>
        </w:tc>
        <w:tc>
          <w:tcPr>
            <w:tcW w:w="1611" w:type="dxa"/>
            <w:tcBorders>
              <w:top w:val="nil"/>
              <w:left w:val="nil"/>
              <w:bottom w:val="single" w:sz="4" w:space="0" w:color="auto"/>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31</w:t>
            </w:r>
          </w:p>
        </w:tc>
        <w:tc>
          <w:tcPr>
            <w:tcW w:w="1612" w:type="dxa"/>
            <w:tcBorders>
              <w:top w:val="nil"/>
              <w:left w:val="nil"/>
              <w:bottom w:val="single" w:sz="4" w:space="0" w:color="auto"/>
              <w:right w:val="nil"/>
            </w:tcBorders>
          </w:tcPr>
          <w:p w:rsidR="003E39AE" w:rsidRDefault="003E39AE" w:rsidP="002D6E00">
            <w:pPr>
              <w:tabs>
                <w:tab w:val="decimal" w:pos="822"/>
              </w:tabs>
              <w:spacing w:before="40" w:after="40"/>
              <w:rPr>
                <w:rFonts w:ascii="Tahoma" w:hAnsi="Tahoma" w:cs="Tahoma"/>
                <w:color w:val="000000"/>
                <w:sz w:val="16"/>
                <w:szCs w:val="16"/>
              </w:rPr>
            </w:pPr>
            <w:r>
              <w:rPr>
                <w:rFonts w:ascii="Tahoma" w:hAnsi="Tahoma" w:cs="Tahoma"/>
                <w:color w:val="000000"/>
                <w:sz w:val="16"/>
                <w:szCs w:val="16"/>
              </w:rPr>
              <w:t>1</w:t>
            </w:r>
            <w:r w:rsidR="00601CC6">
              <w:rPr>
                <w:rFonts w:ascii="Tahoma" w:hAnsi="Tahoma" w:cs="Tahoma"/>
                <w:color w:val="000000"/>
                <w:sz w:val="16"/>
                <w:szCs w:val="16"/>
              </w:rPr>
              <w:t>6</w:t>
            </w:r>
          </w:p>
        </w:tc>
      </w:tr>
    </w:tbl>
    <w:p w:rsidR="002F36AF" w:rsidRPr="007F5849" w:rsidRDefault="002F36AF" w:rsidP="002F36AF">
      <w:pPr>
        <w:spacing w:before="40"/>
        <w:ind w:left="567" w:hanging="567"/>
        <w:rPr>
          <w:rFonts w:ascii="Arial" w:hAnsi="Arial"/>
          <w:sz w:val="15"/>
        </w:rPr>
      </w:pPr>
      <w:r w:rsidRPr="007F5849">
        <w:rPr>
          <w:rFonts w:ascii="Arial" w:hAnsi="Arial"/>
          <w:sz w:val="15"/>
        </w:rPr>
        <w:t>Source:</w:t>
      </w:r>
      <w:r w:rsidRPr="007F5849">
        <w:rPr>
          <w:rFonts w:ascii="Arial" w:hAnsi="Arial"/>
          <w:sz w:val="15"/>
        </w:rPr>
        <w:tab/>
        <w:t>NCVER (20</w:t>
      </w:r>
      <w:r w:rsidR="0070656B">
        <w:rPr>
          <w:rFonts w:ascii="Arial" w:hAnsi="Arial"/>
          <w:sz w:val="15"/>
        </w:rPr>
        <w:t>09</w:t>
      </w:r>
      <w:r>
        <w:rPr>
          <w:rFonts w:ascii="Arial" w:hAnsi="Arial"/>
          <w:sz w:val="15"/>
        </w:rPr>
        <w:t>), selected results</w:t>
      </w:r>
      <w:r w:rsidR="000C40D9">
        <w:rPr>
          <w:rFonts w:ascii="Arial" w:hAnsi="Arial"/>
          <w:sz w:val="15"/>
        </w:rPr>
        <w:t>.</w:t>
      </w:r>
    </w:p>
    <w:p w:rsidR="009247A2" w:rsidRDefault="009247A2" w:rsidP="002D6E00">
      <w:pPr>
        <w:pStyle w:val="Textmorebefore"/>
      </w:pPr>
      <w:r>
        <w:t xml:space="preserve">Although there </w:t>
      </w:r>
      <w:r w:rsidR="00A550E8">
        <w:t>is</w:t>
      </w:r>
      <w:r>
        <w:t xml:space="preserve"> some difference in completers</w:t>
      </w:r>
      <w:r w:rsidR="00841F93">
        <w:t>’</w:t>
      </w:r>
      <w:r>
        <w:t xml:space="preserve"> and non-completers</w:t>
      </w:r>
      <w:r w:rsidR="00841F93">
        <w:t>’</w:t>
      </w:r>
      <w:r>
        <w:t xml:space="preserve"> satisfaction with the quality of the off-the-job training (7</w:t>
      </w:r>
      <w:r w:rsidR="00463769">
        <w:t>7% of completers were satisfied</w:t>
      </w:r>
      <w:r>
        <w:t xml:space="preserve"> versus 62% of non-completers), this </w:t>
      </w:r>
      <w:r w:rsidR="00A550E8">
        <w:t>is</w:t>
      </w:r>
      <w:r>
        <w:t xml:space="preserve"> nowhere near as large as the difference in satisfaction with the employment overall. This provides further evidence </w:t>
      </w:r>
      <w:r w:rsidR="00D84B76">
        <w:t>that</w:t>
      </w:r>
      <w:r>
        <w:t xml:space="preserve"> the employment experience, rather than the off-the-job-training experience, </w:t>
      </w:r>
      <w:r w:rsidR="00D84B76">
        <w:t>carries</w:t>
      </w:r>
      <w:r>
        <w:t xml:space="preserve"> </w:t>
      </w:r>
      <w:r w:rsidR="00947AD4">
        <w:t>greater weight</w:t>
      </w:r>
      <w:r>
        <w:t xml:space="preserve"> in </w:t>
      </w:r>
      <w:r w:rsidR="00463769">
        <w:t xml:space="preserve">determining </w:t>
      </w:r>
      <w:r>
        <w:t>whether an apprentice stays or goes.</w:t>
      </w:r>
    </w:p>
    <w:p w:rsidR="0027514A" w:rsidRDefault="0027514A" w:rsidP="0027514A">
      <w:pPr>
        <w:pStyle w:val="Heading2"/>
        <w:rPr>
          <w:rFonts w:eastAsia="Calibri"/>
        </w:rPr>
      </w:pPr>
      <w:bookmarkStart w:id="100" w:name="_Toc377040308"/>
      <w:r w:rsidRPr="00D763AC">
        <w:rPr>
          <w:rFonts w:eastAsia="Calibri"/>
        </w:rPr>
        <w:t>Change in young people</w:t>
      </w:r>
      <w:r w:rsidR="00841F93">
        <w:rPr>
          <w:rFonts w:eastAsia="Calibri"/>
        </w:rPr>
        <w:t>’</w:t>
      </w:r>
      <w:r w:rsidRPr="00D763AC">
        <w:rPr>
          <w:rFonts w:eastAsia="Calibri"/>
        </w:rPr>
        <w:t>s expectations</w:t>
      </w:r>
      <w:bookmarkEnd w:id="100"/>
    </w:p>
    <w:p w:rsidR="007C286B" w:rsidRDefault="00463769" w:rsidP="0027514A">
      <w:pPr>
        <w:pStyle w:val="Text"/>
      </w:pPr>
      <w:r>
        <w:t>The l</w:t>
      </w:r>
      <w:r w:rsidR="00DE1E0B">
        <w:t>iterature</w:t>
      </w:r>
      <w:r w:rsidR="00561D5E">
        <w:t xml:space="preserve"> </w:t>
      </w:r>
      <w:r>
        <w:t>on</w:t>
      </w:r>
      <w:r w:rsidR="00561D5E">
        <w:t xml:space="preserve"> non-completion often </w:t>
      </w:r>
      <w:r w:rsidR="00DE1E0B">
        <w:t>makes</w:t>
      </w:r>
      <w:r w:rsidR="00561D5E">
        <w:t xml:space="preserve"> mention of the characteristics of today</w:t>
      </w:r>
      <w:r w:rsidR="00841F93">
        <w:t>’</w:t>
      </w:r>
      <w:r w:rsidR="00561D5E">
        <w:t xml:space="preserve">s generation of young people, </w:t>
      </w:r>
      <w:r w:rsidR="0090448B">
        <w:t xml:space="preserve">typically </w:t>
      </w:r>
      <w:r w:rsidR="00561D5E">
        <w:t xml:space="preserve">referred to as </w:t>
      </w:r>
      <w:r w:rsidR="00841F93">
        <w:t>‘</w:t>
      </w:r>
      <w:r w:rsidR="00561D5E">
        <w:t>Generation Y</w:t>
      </w:r>
      <w:r w:rsidR="00841F93">
        <w:t>’</w:t>
      </w:r>
      <w:r w:rsidR="00081234">
        <w:rPr>
          <w:rStyle w:val="FootnoteReference"/>
        </w:rPr>
        <w:footnoteReference w:id="4"/>
      </w:r>
      <w:r w:rsidR="00A550E8">
        <w:t xml:space="preserve"> (</w:t>
      </w:r>
      <w:r w:rsidR="000C40D9">
        <w:t>for example,</w:t>
      </w:r>
      <w:r w:rsidR="00A550E8">
        <w:t xml:space="preserve"> </w:t>
      </w:r>
      <w:r w:rsidR="00B308FA">
        <w:t>Dickie</w:t>
      </w:r>
      <w:r w:rsidR="000C40D9">
        <w:t>,</w:t>
      </w:r>
      <w:r w:rsidR="00B308FA">
        <w:t xml:space="preserve"> </w:t>
      </w:r>
      <w:r w:rsidR="000C40D9">
        <w:rPr>
          <w:rFonts w:eastAsia="Calibri"/>
        </w:rPr>
        <w:t xml:space="preserve">McDonald &amp; </w:t>
      </w:r>
      <w:proofErr w:type="spellStart"/>
      <w:r w:rsidR="000C40D9">
        <w:rPr>
          <w:rFonts w:eastAsia="Calibri"/>
        </w:rPr>
        <w:t>Pedic</w:t>
      </w:r>
      <w:proofErr w:type="spellEnd"/>
      <w:r w:rsidR="000C40D9">
        <w:rPr>
          <w:rFonts w:eastAsia="Calibri"/>
        </w:rPr>
        <w:t xml:space="preserve"> </w:t>
      </w:r>
      <w:r w:rsidR="00B308FA">
        <w:t>2011</w:t>
      </w:r>
      <w:r w:rsidR="00A550E8">
        <w:t>;</w:t>
      </w:r>
      <w:r w:rsidR="00B308FA">
        <w:t xml:space="preserve"> Huntly Consulting 2008</w:t>
      </w:r>
      <w:r w:rsidR="000C40D9">
        <w:t xml:space="preserve">; Smith, Walker &amp; Brennan </w:t>
      </w:r>
      <w:proofErr w:type="spellStart"/>
      <w:r w:rsidR="000C40D9">
        <w:t>Kemmis</w:t>
      </w:r>
      <w:proofErr w:type="spellEnd"/>
      <w:r w:rsidR="000C347D">
        <w:t xml:space="preserve"> 2011</w:t>
      </w:r>
      <w:r w:rsidR="00B308FA">
        <w:t>)</w:t>
      </w:r>
      <w:r w:rsidR="00561D5E">
        <w:t xml:space="preserve">. </w:t>
      </w:r>
      <w:r w:rsidR="0090448B">
        <w:t>For instance, i</w:t>
      </w:r>
      <w:r w:rsidR="0027514A" w:rsidRPr="0027514A">
        <w:t xml:space="preserve">n their interviews with industry stakeholders, Huntly Consulting (2008) noted that almost every stakeholder was of the view that </w:t>
      </w:r>
      <w:r w:rsidR="00A550E8">
        <w:t>the</w:t>
      </w:r>
      <w:r w:rsidR="0027514A" w:rsidRPr="0027514A">
        <w:t xml:space="preserve"> apprenticeship system </w:t>
      </w:r>
      <w:r w:rsidR="00F44E09">
        <w:t xml:space="preserve">was </w:t>
      </w:r>
      <w:r w:rsidR="00841F93">
        <w:t>‘</w:t>
      </w:r>
      <w:r w:rsidR="00F44E09">
        <w:t>out of touch</w:t>
      </w:r>
      <w:r w:rsidR="00841F93">
        <w:t>’</w:t>
      </w:r>
      <w:r w:rsidR="00F44E09">
        <w:t xml:space="preserve"> with young people</w:t>
      </w:r>
      <w:r w:rsidR="0027514A" w:rsidRPr="0027514A">
        <w:t xml:space="preserve">. </w:t>
      </w:r>
      <w:r w:rsidR="00955453">
        <w:t>As shown in table 10</w:t>
      </w:r>
      <w:r w:rsidR="00D84B76">
        <w:t xml:space="preserve">, the majority of </w:t>
      </w:r>
      <w:r w:rsidR="00860471">
        <w:t xml:space="preserve">commencing </w:t>
      </w:r>
      <w:r w:rsidR="00D84B76">
        <w:t>apprentices (</w:t>
      </w:r>
      <w:r w:rsidR="00860471">
        <w:t>64</w:t>
      </w:r>
      <w:r w:rsidR="00D84B76">
        <w:t xml:space="preserve">%) </w:t>
      </w:r>
      <w:r w:rsidR="009F2D57">
        <w:t>are</w:t>
      </w:r>
      <w:r w:rsidR="00D84B76">
        <w:t xml:space="preserve"> under 25 years of age.</w:t>
      </w:r>
    </w:p>
    <w:p w:rsidR="00AB7DE9" w:rsidRPr="00860471" w:rsidRDefault="00381D89" w:rsidP="003F76FA">
      <w:pPr>
        <w:pStyle w:val="tabletitle"/>
        <w:rPr>
          <w:rFonts w:eastAsia="Calibri"/>
        </w:rPr>
      </w:pPr>
      <w:bookmarkStart w:id="101" w:name="_Toc376874275"/>
      <w:r w:rsidRPr="00860471">
        <w:rPr>
          <w:rFonts w:eastAsia="Calibri"/>
        </w:rPr>
        <w:t>Table</w:t>
      </w:r>
      <w:r w:rsidR="00AB7DE9" w:rsidRPr="00860471">
        <w:rPr>
          <w:rFonts w:eastAsia="Calibri"/>
        </w:rPr>
        <w:t xml:space="preserve"> </w:t>
      </w:r>
      <w:r w:rsidR="00955453" w:rsidRPr="00860471">
        <w:rPr>
          <w:rFonts w:eastAsia="Calibri"/>
        </w:rPr>
        <w:t>10</w:t>
      </w:r>
      <w:r w:rsidR="00AB7DE9" w:rsidRPr="00860471">
        <w:rPr>
          <w:rFonts w:eastAsia="Calibri"/>
        </w:rPr>
        <w:tab/>
        <w:t xml:space="preserve">Age profile of </w:t>
      </w:r>
      <w:r w:rsidR="00860471" w:rsidRPr="00860471">
        <w:rPr>
          <w:rFonts w:eastAsia="Calibri"/>
        </w:rPr>
        <w:t xml:space="preserve">commencing </w:t>
      </w:r>
      <w:r w:rsidRPr="00860471">
        <w:rPr>
          <w:rFonts w:eastAsia="Calibri"/>
        </w:rPr>
        <w:t>trade</w:t>
      </w:r>
      <w:r w:rsidR="00860471" w:rsidRPr="00860471">
        <w:rPr>
          <w:rFonts w:eastAsia="Calibri"/>
          <w:vertAlign w:val="superscript"/>
        </w:rPr>
        <w:t>1</w:t>
      </w:r>
      <w:r w:rsidRPr="00860471">
        <w:rPr>
          <w:rFonts w:eastAsia="Calibri"/>
        </w:rPr>
        <w:t xml:space="preserve"> </w:t>
      </w:r>
      <w:r w:rsidR="00AB7DE9" w:rsidRPr="00860471">
        <w:rPr>
          <w:rFonts w:eastAsia="Calibri"/>
        </w:rPr>
        <w:t>apprentice</w:t>
      </w:r>
      <w:r w:rsidRPr="00860471">
        <w:rPr>
          <w:rFonts w:eastAsia="Calibri"/>
        </w:rPr>
        <w:t>s, 2012</w:t>
      </w:r>
      <w:bookmarkEnd w:id="101"/>
    </w:p>
    <w:tbl>
      <w:tblPr>
        <w:tblStyle w:val="TableGrid"/>
        <w:tblW w:w="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1701"/>
      </w:tblGrid>
      <w:tr w:rsidR="00381D89" w:rsidRPr="00860471" w:rsidTr="000A527A">
        <w:tc>
          <w:tcPr>
            <w:tcW w:w="3686" w:type="dxa"/>
            <w:tcBorders>
              <w:top w:val="single" w:sz="4" w:space="0" w:color="auto"/>
              <w:bottom w:val="single" w:sz="4" w:space="0" w:color="auto"/>
            </w:tcBorders>
          </w:tcPr>
          <w:p w:rsidR="00381D89" w:rsidRPr="00860471" w:rsidRDefault="00381D89" w:rsidP="000A527A">
            <w:pPr>
              <w:pStyle w:val="Tablehead1"/>
              <w:rPr>
                <w:lang w:val="en-US"/>
              </w:rPr>
            </w:pPr>
            <w:r w:rsidRPr="00860471">
              <w:rPr>
                <w:lang w:val="en-US"/>
              </w:rPr>
              <w:t>Age group</w:t>
            </w:r>
          </w:p>
        </w:tc>
        <w:tc>
          <w:tcPr>
            <w:tcW w:w="1701" w:type="dxa"/>
            <w:tcBorders>
              <w:top w:val="single" w:sz="4" w:space="0" w:color="auto"/>
              <w:bottom w:val="single" w:sz="4" w:space="0" w:color="auto"/>
            </w:tcBorders>
          </w:tcPr>
          <w:p w:rsidR="00381D89" w:rsidRPr="00860471" w:rsidRDefault="00381D89" w:rsidP="000A527A">
            <w:pPr>
              <w:pStyle w:val="Tablehead1"/>
              <w:jc w:val="center"/>
              <w:rPr>
                <w:lang w:val="en-US"/>
              </w:rPr>
            </w:pPr>
            <w:r w:rsidRPr="00860471">
              <w:rPr>
                <w:lang w:val="en-US"/>
              </w:rPr>
              <w:t>(%)</w:t>
            </w:r>
          </w:p>
        </w:tc>
      </w:tr>
      <w:tr w:rsidR="00860471" w:rsidRPr="00860471" w:rsidTr="000A527A">
        <w:tc>
          <w:tcPr>
            <w:tcW w:w="3686" w:type="dxa"/>
            <w:tcBorders>
              <w:top w:val="single" w:sz="4" w:space="0" w:color="auto"/>
            </w:tcBorders>
          </w:tcPr>
          <w:p w:rsidR="00860471" w:rsidRPr="00860471" w:rsidRDefault="00860471" w:rsidP="000A527A">
            <w:pPr>
              <w:pStyle w:val="Tabletext"/>
            </w:pPr>
            <w:r w:rsidRPr="00860471">
              <w:t>19 years and under</w:t>
            </w:r>
          </w:p>
        </w:tc>
        <w:tc>
          <w:tcPr>
            <w:tcW w:w="1701" w:type="dxa"/>
            <w:tcBorders>
              <w:top w:val="single" w:sz="4" w:space="0" w:color="auto"/>
            </w:tcBorders>
            <w:shd w:val="clear" w:color="auto" w:fill="auto"/>
          </w:tcPr>
          <w:p w:rsidR="00860471" w:rsidRPr="00860471" w:rsidRDefault="00860471" w:rsidP="000A527A">
            <w:pPr>
              <w:pStyle w:val="Tabletext"/>
              <w:tabs>
                <w:tab w:val="decimal" w:pos="794"/>
              </w:tabs>
            </w:pPr>
            <w:r w:rsidRPr="00860471">
              <w:t>47</w:t>
            </w:r>
          </w:p>
        </w:tc>
      </w:tr>
      <w:tr w:rsidR="00860471" w:rsidRPr="00860471" w:rsidTr="000A527A">
        <w:tc>
          <w:tcPr>
            <w:tcW w:w="3686" w:type="dxa"/>
          </w:tcPr>
          <w:p w:rsidR="00860471" w:rsidRPr="00860471" w:rsidRDefault="007C3C82" w:rsidP="000A527A">
            <w:pPr>
              <w:pStyle w:val="Tabletext"/>
            </w:pPr>
            <w:r>
              <w:t>20–</w:t>
            </w:r>
            <w:r w:rsidR="00860471" w:rsidRPr="00860471">
              <w:t>24 years</w:t>
            </w:r>
          </w:p>
        </w:tc>
        <w:tc>
          <w:tcPr>
            <w:tcW w:w="1701" w:type="dxa"/>
            <w:shd w:val="clear" w:color="auto" w:fill="auto"/>
          </w:tcPr>
          <w:p w:rsidR="00860471" w:rsidRPr="00860471" w:rsidRDefault="00860471" w:rsidP="000A527A">
            <w:pPr>
              <w:pStyle w:val="Tabletext"/>
              <w:tabs>
                <w:tab w:val="decimal" w:pos="794"/>
              </w:tabs>
            </w:pPr>
            <w:r w:rsidRPr="00860471">
              <w:t>17</w:t>
            </w:r>
          </w:p>
        </w:tc>
      </w:tr>
      <w:tr w:rsidR="00860471" w:rsidRPr="00860471" w:rsidTr="000A527A">
        <w:tc>
          <w:tcPr>
            <w:tcW w:w="3686" w:type="dxa"/>
          </w:tcPr>
          <w:p w:rsidR="00860471" w:rsidRPr="00860471" w:rsidRDefault="007C3C82" w:rsidP="000A527A">
            <w:pPr>
              <w:pStyle w:val="Tabletext"/>
            </w:pPr>
            <w:r>
              <w:t>25–</w:t>
            </w:r>
            <w:r w:rsidR="00860471" w:rsidRPr="00860471">
              <w:t>44 years</w:t>
            </w:r>
          </w:p>
        </w:tc>
        <w:tc>
          <w:tcPr>
            <w:tcW w:w="1701" w:type="dxa"/>
            <w:shd w:val="clear" w:color="auto" w:fill="auto"/>
          </w:tcPr>
          <w:p w:rsidR="00860471" w:rsidRPr="00860471" w:rsidRDefault="00860471" w:rsidP="000A527A">
            <w:pPr>
              <w:pStyle w:val="Tabletext"/>
              <w:tabs>
                <w:tab w:val="decimal" w:pos="794"/>
              </w:tabs>
            </w:pPr>
            <w:r w:rsidRPr="00860471">
              <w:t>26</w:t>
            </w:r>
          </w:p>
        </w:tc>
      </w:tr>
      <w:tr w:rsidR="00860471" w:rsidRPr="00860471" w:rsidTr="000A527A">
        <w:tc>
          <w:tcPr>
            <w:tcW w:w="3686" w:type="dxa"/>
          </w:tcPr>
          <w:p w:rsidR="00860471" w:rsidRPr="00860471" w:rsidRDefault="00860471" w:rsidP="000A527A">
            <w:pPr>
              <w:pStyle w:val="Tabletext"/>
            </w:pPr>
            <w:r w:rsidRPr="00860471">
              <w:t>45 years and over</w:t>
            </w:r>
          </w:p>
        </w:tc>
        <w:tc>
          <w:tcPr>
            <w:tcW w:w="1701" w:type="dxa"/>
            <w:shd w:val="clear" w:color="auto" w:fill="auto"/>
          </w:tcPr>
          <w:p w:rsidR="00860471" w:rsidRPr="00860471" w:rsidRDefault="00860471" w:rsidP="000A527A">
            <w:pPr>
              <w:pStyle w:val="Tabletext"/>
              <w:tabs>
                <w:tab w:val="decimal" w:pos="794"/>
              </w:tabs>
            </w:pPr>
            <w:r w:rsidRPr="00860471">
              <w:t>10</w:t>
            </w:r>
          </w:p>
        </w:tc>
      </w:tr>
      <w:tr w:rsidR="00381D89" w:rsidRPr="000A527A" w:rsidTr="000A527A">
        <w:tc>
          <w:tcPr>
            <w:tcW w:w="3686" w:type="dxa"/>
            <w:tcBorders>
              <w:bottom w:val="single" w:sz="4" w:space="0" w:color="auto"/>
            </w:tcBorders>
          </w:tcPr>
          <w:p w:rsidR="00381D89" w:rsidRPr="000A527A" w:rsidRDefault="00381D89" w:rsidP="000A527A">
            <w:pPr>
              <w:pStyle w:val="Tabletext"/>
              <w:rPr>
                <w:b/>
              </w:rPr>
            </w:pPr>
            <w:r w:rsidRPr="000A527A">
              <w:rPr>
                <w:b/>
              </w:rPr>
              <w:t>Total</w:t>
            </w:r>
          </w:p>
        </w:tc>
        <w:tc>
          <w:tcPr>
            <w:tcW w:w="1701" w:type="dxa"/>
            <w:tcBorders>
              <w:bottom w:val="single" w:sz="4" w:space="0" w:color="auto"/>
            </w:tcBorders>
            <w:shd w:val="clear" w:color="auto" w:fill="auto"/>
          </w:tcPr>
          <w:p w:rsidR="00381D89" w:rsidRPr="000A527A" w:rsidRDefault="00381D89" w:rsidP="000A527A">
            <w:pPr>
              <w:pStyle w:val="Tabletext"/>
              <w:tabs>
                <w:tab w:val="decimal" w:pos="794"/>
              </w:tabs>
              <w:rPr>
                <w:b/>
              </w:rPr>
            </w:pPr>
            <w:r w:rsidRPr="000A527A">
              <w:rPr>
                <w:b/>
              </w:rPr>
              <w:t>100</w:t>
            </w:r>
          </w:p>
        </w:tc>
      </w:tr>
    </w:tbl>
    <w:p w:rsidR="00860471" w:rsidRPr="002D6E00" w:rsidRDefault="002D6E00" w:rsidP="002D6E00">
      <w:pPr>
        <w:pStyle w:val="Source"/>
        <w:tabs>
          <w:tab w:val="left" w:pos="567"/>
        </w:tabs>
        <w:ind w:left="709" w:hanging="709"/>
      </w:pPr>
      <w:r>
        <w:t>Note:</w:t>
      </w:r>
      <w:r>
        <w:tab/>
        <w:t>1</w:t>
      </w:r>
      <w:r>
        <w:tab/>
      </w:r>
      <w:r w:rsidR="00860471" w:rsidRPr="008C7C09">
        <w:t xml:space="preserve">Trade </w:t>
      </w:r>
      <w:r w:rsidR="00860471" w:rsidRPr="002D6E00">
        <w:t>occupations are def</w:t>
      </w:r>
      <w:r w:rsidR="003F6D45" w:rsidRPr="002D6E00">
        <w:t>ined as major occupation group 3</w:t>
      </w:r>
      <w:r w:rsidR="00463769" w:rsidRPr="002D6E00">
        <w:t xml:space="preserve"> </w:t>
      </w:r>
      <w:r w:rsidR="00860471" w:rsidRPr="002D6E00">
        <w:t xml:space="preserve">– </w:t>
      </w:r>
      <w:r w:rsidR="006C5BBA">
        <w:br/>
      </w:r>
      <w:r w:rsidR="00860471" w:rsidRPr="002D6E00">
        <w:t xml:space="preserve">Technicians and trades workers (ANZSCO </w:t>
      </w:r>
      <w:r w:rsidR="007C3C82" w:rsidRPr="002D6E00">
        <w:t xml:space="preserve">1st </w:t>
      </w:r>
      <w:proofErr w:type="spellStart"/>
      <w:r w:rsidR="007C3C82" w:rsidRPr="002D6E00">
        <w:t>edn</w:t>
      </w:r>
      <w:proofErr w:type="spellEnd"/>
      <w:r w:rsidR="00BA599D" w:rsidRPr="002D6E00">
        <w:t xml:space="preserve">, revision </w:t>
      </w:r>
      <w:r w:rsidR="00944159" w:rsidRPr="002D6E00">
        <w:t>1</w:t>
      </w:r>
      <w:r w:rsidR="00860471" w:rsidRPr="002D6E00">
        <w:t>).</w:t>
      </w:r>
    </w:p>
    <w:p w:rsidR="000C40D9" w:rsidRDefault="000C40D9" w:rsidP="002D6E00">
      <w:pPr>
        <w:pStyle w:val="Source"/>
        <w:rPr>
          <w:rFonts w:eastAsia="Calibri"/>
        </w:rPr>
      </w:pPr>
      <w:r w:rsidRPr="002D6E00">
        <w:rPr>
          <w:rFonts w:eastAsia="Calibri"/>
        </w:rPr>
        <w:t>Source:</w:t>
      </w:r>
      <w:r w:rsidR="002D6E00">
        <w:rPr>
          <w:rFonts w:eastAsia="Calibri"/>
        </w:rPr>
        <w:tab/>
      </w:r>
      <w:r w:rsidRPr="002D6E00">
        <w:rPr>
          <w:rFonts w:eastAsia="Calibri"/>
        </w:rPr>
        <w:t>NCVER Apprentice</w:t>
      </w:r>
      <w:r w:rsidRPr="00860471">
        <w:rPr>
          <w:rFonts w:eastAsia="Calibri"/>
        </w:rPr>
        <w:t xml:space="preserve"> and</w:t>
      </w:r>
      <w:r>
        <w:rPr>
          <w:rFonts w:eastAsia="Calibri"/>
        </w:rPr>
        <w:t xml:space="preserve"> Trainee Collection</w:t>
      </w:r>
      <w:r w:rsidRPr="00860471">
        <w:rPr>
          <w:rFonts w:eastAsia="Calibri"/>
        </w:rPr>
        <w:t>, March 2013 estimates</w:t>
      </w:r>
      <w:r>
        <w:rPr>
          <w:rFonts w:eastAsia="Calibri"/>
        </w:rPr>
        <w:t>.</w:t>
      </w:r>
    </w:p>
    <w:p w:rsidR="007C286B" w:rsidRDefault="00AB7DE9" w:rsidP="002D6E00">
      <w:pPr>
        <w:pStyle w:val="Textmorebefore"/>
        <w:rPr>
          <w:rFonts w:eastAsia="Calibri"/>
        </w:rPr>
      </w:pPr>
      <w:r>
        <w:rPr>
          <w:rFonts w:eastAsia="Calibri"/>
        </w:rPr>
        <w:lastRenderedPageBreak/>
        <w:t xml:space="preserve">According to demographer Bernard Salt (2007), </w:t>
      </w:r>
      <w:r w:rsidR="00081234">
        <w:rPr>
          <w:rFonts w:eastAsia="Calibri"/>
        </w:rPr>
        <w:t>mem</w:t>
      </w:r>
      <w:r w:rsidR="00947AD4">
        <w:rPr>
          <w:rFonts w:eastAsia="Calibri"/>
        </w:rPr>
        <w:t>bers of Generation Y are</w:t>
      </w:r>
      <w:r w:rsidR="007C286B">
        <w:rPr>
          <w:rFonts w:eastAsia="Calibri"/>
        </w:rPr>
        <w:t xml:space="preserve"> opt</w:t>
      </w:r>
      <w:r w:rsidR="006D1F94">
        <w:rPr>
          <w:rFonts w:eastAsia="Calibri"/>
        </w:rPr>
        <w:t>imistic, fearless of the future</w:t>
      </w:r>
      <w:r w:rsidR="007C286B">
        <w:rPr>
          <w:rFonts w:eastAsia="Calibri"/>
        </w:rPr>
        <w:t xml:space="preserve"> and feel that they have plenty of options</w:t>
      </w:r>
      <w:r>
        <w:rPr>
          <w:rFonts w:eastAsia="Calibri"/>
        </w:rPr>
        <w:t xml:space="preserve">. </w:t>
      </w:r>
      <w:r w:rsidR="0027514A" w:rsidRPr="0088105C">
        <w:rPr>
          <w:rFonts w:eastAsia="Calibri"/>
        </w:rPr>
        <w:t>Dickie</w:t>
      </w:r>
      <w:r w:rsidR="006D1F94">
        <w:rPr>
          <w:rFonts w:eastAsia="Calibri"/>
        </w:rPr>
        <w:t>,</w:t>
      </w:r>
      <w:r w:rsidR="0027514A" w:rsidRPr="0088105C">
        <w:rPr>
          <w:rFonts w:eastAsia="Calibri"/>
        </w:rPr>
        <w:t xml:space="preserve"> </w:t>
      </w:r>
      <w:r w:rsidR="006D1F94">
        <w:rPr>
          <w:rFonts w:eastAsia="Calibri"/>
        </w:rPr>
        <w:t xml:space="preserve">McDonald and </w:t>
      </w:r>
      <w:proofErr w:type="spellStart"/>
      <w:r w:rsidR="006D1F94">
        <w:rPr>
          <w:rFonts w:eastAsia="Calibri"/>
        </w:rPr>
        <w:t>Pedic</w:t>
      </w:r>
      <w:proofErr w:type="spellEnd"/>
      <w:r w:rsidR="006D1F94">
        <w:rPr>
          <w:rFonts w:eastAsia="Calibri"/>
        </w:rPr>
        <w:t xml:space="preserve"> </w:t>
      </w:r>
      <w:r w:rsidR="0027514A" w:rsidRPr="0088105C">
        <w:rPr>
          <w:rFonts w:eastAsia="Calibri"/>
        </w:rPr>
        <w:t>(2011) suggest that the</w:t>
      </w:r>
      <w:r>
        <w:rPr>
          <w:rFonts w:eastAsia="Calibri"/>
        </w:rPr>
        <w:t>se</w:t>
      </w:r>
      <w:r w:rsidR="0027514A" w:rsidRPr="0088105C">
        <w:rPr>
          <w:rFonts w:eastAsia="Calibri"/>
        </w:rPr>
        <w:t xml:space="preserve"> characterist</w:t>
      </w:r>
      <w:r w:rsidR="00F44E09" w:rsidRPr="0088105C">
        <w:rPr>
          <w:rFonts w:eastAsia="Calibri"/>
        </w:rPr>
        <w:t>ics mean that they will a</w:t>
      </w:r>
      <w:r w:rsidR="0027514A" w:rsidRPr="0088105C">
        <w:rPr>
          <w:rFonts w:eastAsia="Calibri"/>
        </w:rPr>
        <w:t>lways be on the lo</w:t>
      </w:r>
      <w:r w:rsidR="006D1F94">
        <w:rPr>
          <w:rFonts w:eastAsia="Calibri"/>
        </w:rPr>
        <w:t>ok</w:t>
      </w:r>
      <w:r w:rsidR="00F44E09" w:rsidRPr="0088105C">
        <w:rPr>
          <w:rFonts w:eastAsia="Calibri"/>
        </w:rPr>
        <w:t>out for better opportunities</w:t>
      </w:r>
      <w:r w:rsidR="00947AD4">
        <w:rPr>
          <w:rFonts w:eastAsia="Calibri"/>
        </w:rPr>
        <w:t xml:space="preserve">, will not </w:t>
      </w:r>
      <w:r w:rsidR="00947AD4" w:rsidRPr="0088105C">
        <w:rPr>
          <w:rFonts w:eastAsia="Calibri"/>
        </w:rPr>
        <w:t xml:space="preserve">hesitate to quit unrewarding work and will be optimistic </w:t>
      </w:r>
      <w:r w:rsidR="007318E5">
        <w:rPr>
          <w:rFonts w:eastAsia="Calibri"/>
        </w:rPr>
        <w:t xml:space="preserve">about </w:t>
      </w:r>
      <w:r w:rsidR="00955453">
        <w:rPr>
          <w:rFonts w:eastAsia="Calibri"/>
        </w:rPr>
        <w:t>finding</w:t>
      </w:r>
      <w:r w:rsidR="00947AD4" w:rsidRPr="0088105C">
        <w:rPr>
          <w:rFonts w:eastAsia="Calibri"/>
        </w:rPr>
        <w:t xml:space="preserve"> another job</w:t>
      </w:r>
      <w:r w:rsidR="00947AD4">
        <w:rPr>
          <w:rFonts w:eastAsia="Calibri"/>
        </w:rPr>
        <w:t>. Young p</w:t>
      </w:r>
      <w:r w:rsidR="00947AD4" w:rsidRPr="000C5FC7">
        <w:rPr>
          <w:rFonts w:eastAsia="Calibri"/>
        </w:rPr>
        <w:t>eople expect to have several careers over their working life</w:t>
      </w:r>
      <w:r w:rsidR="00947AD4">
        <w:rPr>
          <w:rFonts w:eastAsia="Calibri"/>
        </w:rPr>
        <w:t xml:space="preserve"> and a</w:t>
      </w:r>
      <w:r w:rsidR="00947AD4" w:rsidRPr="00D763AC">
        <w:rPr>
          <w:rFonts w:eastAsia="Calibri"/>
        </w:rPr>
        <w:t xml:space="preserve">pprenticeships </w:t>
      </w:r>
      <w:r w:rsidR="00955453">
        <w:rPr>
          <w:rFonts w:eastAsia="Calibri"/>
        </w:rPr>
        <w:t>must</w:t>
      </w:r>
      <w:r w:rsidR="00947AD4" w:rsidRPr="00D763AC">
        <w:rPr>
          <w:rFonts w:eastAsia="Calibri"/>
        </w:rPr>
        <w:t xml:space="preserve"> compete with </w:t>
      </w:r>
      <w:r w:rsidR="00947AD4">
        <w:rPr>
          <w:rFonts w:eastAsia="Calibri"/>
        </w:rPr>
        <w:t xml:space="preserve">a host of </w:t>
      </w:r>
      <w:r w:rsidR="00947AD4" w:rsidRPr="00D763AC">
        <w:rPr>
          <w:rFonts w:eastAsia="Calibri"/>
        </w:rPr>
        <w:t>other options</w:t>
      </w:r>
      <w:r w:rsidR="00947AD4">
        <w:rPr>
          <w:rFonts w:eastAsia="Calibri"/>
        </w:rPr>
        <w:t xml:space="preserve"> (Dickie</w:t>
      </w:r>
      <w:r w:rsidR="006D1F94">
        <w:rPr>
          <w:rFonts w:eastAsia="Calibri"/>
        </w:rPr>
        <w:t>,</w:t>
      </w:r>
      <w:r w:rsidR="00947AD4">
        <w:rPr>
          <w:rFonts w:eastAsia="Calibri"/>
        </w:rPr>
        <w:t xml:space="preserve"> </w:t>
      </w:r>
      <w:r w:rsidR="006D1F94">
        <w:rPr>
          <w:rFonts w:eastAsia="Calibri"/>
        </w:rPr>
        <w:t xml:space="preserve">McDonald </w:t>
      </w:r>
      <w:r w:rsidR="007C3C82">
        <w:rPr>
          <w:rFonts w:eastAsia="Calibri"/>
        </w:rPr>
        <w:t>&amp;</w:t>
      </w:r>
      <w:r w:rsidR="006D1F94">
        <w:rPr>
          <w:rFonts w:eastAsia="Calibri"/>
        </w:rPr>
        <w:t xml:space="preserve"> </w:t>
      </w:r>
      <w:proofErr w:type="spellStart"/>
      <w:r w:rsidR="006D1F94">
        <w:rPr>
          <w:rFonts w:eastAsia="Calibri"/>
        </w:rPr>
        <w:t>Pedic</w:t>
      </w:r>
      <w:proofErr w:type="spellEnd"/>
      <w:r w:rsidR="006D1F94">
        <w:rPr>
          <w:rFonts w:eastAsia="Calibri"/>
        </w:rPr>
        <w:t xml:space="preserve"> </w:t>
      </w:r>
      <w:r w:rsidR="00947AD4">
        <w:rPr>
          <w:rFonts w:eastAsia="Calibri"/>
        </w:rPr>
        <w:t xml:space="preserve">2011). </w:t>
      </w:r>
      <w:r w:rsidR="00081234">
        <w:rPr>
          <w:rFonts w:eastAsia="Calibri"/>
        </w:rPr>
        <w:t>In short,</w:t>
      </w:r>
      <w:r w:rsidR="00947AD4" w:rsidRPr="0088105C">
        <w:rPr>
          <w:rFonts w:eastAsia="Calibri"/>
        </w:rPr>
        <w:t xml:space="preserve"> Gen</w:t>
      </w:r>
      <w:r w:rsidR="00947AD4">
        <w:rPr>
          <w:rFonts w:eastAsia="Calibri"/>
        </w:rPr>
        <w:t xml:space="preserve">eration </w:t>
      </w:r>
      <w:r w:rsidR="00947AD4" w:rsidRPr="0088105C">
        <w:rPr>
          <w:rFonts w:eastAsia="Calibri"/>
        </w:rPr>
        <w:t xml:space="preserve">Y </w:t>
      </w:r>
      <w:r w:rsidR="006D1F94">
        <w:rPr>
          <w:rFonts w:eastAsia="Calibri"/>
        </w:rPr>
        <w:t>constitutes</w:t>
      </w:r>
      <w:r w:rsidR="00947AD4" w:rsidRPr="0088105C">
        <w:rPr>
          <w:rFonts w:eastAsia="Calibri"/>
        </w:rPr>
        <w:t xml:space="preserve"> a highly mobile workforce</w:t>
      </w:r>
      <w:r w:rsidR="00947AD4">
        <w:rPr>
          <w:rFonts w:eastAsia="Calibri"/>
        </w:rPr>
        <w:t>. Indeed, Karmel and Mlotkowski (2010</w:t>
      </w:r>
      <w:r w:rsidR="004914B7">
        <w:rPr>
          <w:rFonts w:eastAsia="Calibri"/>
        </w:rPr>
        <w:t>c</w:t>
      </w:r>
      <w:r w:rsidR="00947AD4">
        <w:rPr>
          <w:rFonts w:eastAsia="Calibri"/>
        </w:rPr>
        <w:t xml:space="preserve">) found that leaving to do something different or better remained the most common reason for </w:t>
      </w:r>
      <w:r w:rsidR="007C3C82">
        <w:rPr>
          <w:rFonts w:eastAsia="Calibri"/>
        </w:rPr>
        <w:t>cancelling,</w:t>
      </w:r>
      <w:r w:rsidR="00947AD4">
        <w:rPr>
          <w:rFonts w:eastAsia="Calibri"/>
        </w:rPr>
        <w:t xml:space="preserve"> irrespective of how long an apprentice had been in training. </w:t>
      </w:r>
      <w:r w:rsidR="00EF415B">
        <w:t>The traits of Generation Y present particular challenges for employers. Several of these are discussed in the next section.</w:t>
      </w:r>
    </w:p>
    <w:p w:rsidR="00EF415B" w:rsidRDefault="0088105C" w:rsidP="00EF415B">
      <w:pPr>
        <w:pStyle w:val="Text"/>
      </w:pPr>
      <w:r>
        <w:rPr>
          <w:rFonts w:eastAsia="Calibri"/>
        </w:rPr>
        <w:t>O</w:t>
      </w:r>
      <w:r w:rsidR="007C286B">
        <w:rPr>
          <w:rFonts w:eastAsia="Calibri"/>
        </w:rPr>
        <w:t>ther studies confirm that it is o</w:t>
      </w:r>
      <w:r>
        <w:rPr>
          <w:rFonts w:eastAsia="Calibri"/>
        </w:rPr>
        <w:t xml:space="preserve">pportunity, rather than money, </w:t>
      </w:r>
      <w:r w:rsidR="007C286B">
        <w:rPr>
          <w:rFonts w:eastAsia="Calibri"/>
        </w:rPr>
        <w:t>that</w:t>
      </w:r>
      <w:r>
        <w:rPr>
          <w:rFonts w:eastAsia="Calibri"/>
        </w:rPr>
        <w:t xml:space="preserve"> motivates </w:t>
      </w:r>
      <w:r w:rsidR="007C286B">
        <w:rPr>
          <w:rFonts w:eastAsia="Calibri"/>
        </w:rPr>
        <w:t>Gen</w:t>
      </w:r>
      <w:r w:rsidR="00A550E8">
        <w:rPr>
          <w:rFonts w:eastAsia="Calibri"/>
        </w:rPr>
        <w:t>eration</w:t>
      </w:r>
      <w:r w:rsidR="007C286B">
        <w:rPr>
          <w:rFonts w:eastAsia="Calibri"/>
        </w:rPr>
        <w:t xml:space="preserve"> Y</w:t>
      </w:r>
      <w:r>
        <w:rPr>
          <w:rFonts w:eastAsia="Calibri"/>
        </w:rPr>
        <w:t xml:space="preserve"> when looking for work (</w:t>
      </w:r>
      <w:proofErr w:type="spellStart"/>
      <w:r>
        <w:rPr>
          <w:rFonts w:eastAsia="Calibri"/>
        </w:rPr>
        <w:t>McCrindle</w:t>
      </w:r>
      <w:proofErr w:type="spellEnd"/>
      <w:r>
        <w:rPr>
          <w:rFonts w:eastAsia="Calibri"/>
        </w:rPr>
        <w:t xml:space="preserve"> 2006). </w:t>
      </w:r>
      <w:r w:rsidR="00427C11">
        <w:t>Money is not one of the t</w:t>
      </w:r>
      <w:r w:rsidR="00081234">
        <w:t>op five</w:t>
      </w:r>
      <w:r w:rsidR="00427C11">
        <w:t xml:space="preserve"> factors </w:t>
      </w:r>
      <w:r w:rsidR="00081234">
        <w:t xml:space="preserve">this generation looks for when </w:t>
      </w:r>
      <w:r w:rsidR="00427C11">
        <w:t>applying for jobs</w:t>
      </w:r>
      <w:r w:rsidR="00A550E8">
        <w:t xml:space="preserve">, with </w:t>
      </w:r>
      <w:r w:rsidR="007C3C82">
        <w:t>aspects such as work—</w:t>
      </w:r>
      <w:r w:rsidR="00955453">
        <w:t>life balance and</w:t>
      </w:r>
      <w:r w:rsidR="00A550E8">
        <w:t xml:space="preserve"> workplace culture being considered more important (</w:t>
      </w:r>
      <w:proofErr w:type="spellStart"/>
      <w:r w:rsidR="00A550E8">
        <w:t>McCrindle</w:t>
      </w:r>
      <w:proofErr w:type="spellEnd"/>
      <w:r w:rsidR="00A550E8">
        <w:t xml:space="preserve"> 2006)</w:t>
      </w:r>
      <w:r w:rsidR="00427C11">
        <w:t>.</w:t>
      </w:r>
      <w:r w:rsidR="00AB7DE9">
        <w:t xml:space="preserve"> This </w:t>
      </w:r>
      <w:r w:rsidR="007318E5">
        <w:t>suggests</w:t>
      </w:r>
      <w:r w:rsidR="00AB7DE9">
        <w:t xml:space="preserve"> that increasing the training wage would not automatically improve completion rates.</w:t>
      </w:r>
      <w:r w:rsidR="00EF415B">
        <w:t xml:space="preserve"> </w:t>
      </w:r>
    </w:p>
    <w:p w:rsidR="00EF415B" w:rsidRPr="00550DB2" w:rsidRDefault="00046248" w:rsidP="00EF415B">
      <w:pPr>
        <w:pStyle w:val="Text"/>
        <w:rPr>
          <w:color w:val="000000"/>
        </w:rPr>
      </w:pPr>
      <w:r w:rsidRPr="009F2D57">
        <w:t xml:space="preserve">It is worth noting that completion rates </w:t>
      </w:r>
      <w:r w:rsidR="00EF415B" w:rsidRPr="009F2D57">
        <w:t>changed little during</w:t>
      </w:r>
      <w:r w:rsidRPr="009F2D57">
        <w:t xml:space="preserve"> the economic downturn, despite an increase in </w:t>
      </w:r>
      <w:r w:rsidR="00EF415B" w:rsidRPr="009F2D57">
        <w:t xml:space="preserve">apprentice </w:t>
      </w:r>
      <w:r w:rsidRPr="009F2D57">
        <w:t xml:space="preserve">redundancies. </w:t>
      </w:r>
      <w:r w:rsidR="00EF415B" w:rsidRPr="009F2D57">
        <w:t xml:space="preserve">Research by Karmel and Mlotkowski (2011) found that the economic downturn significantly increased the attractiveness of undertaking an apprenticeship relative to </w:t>
      </w:r>
      <w:r w:rsidR="0001092B" w:rsidRPr="009F2D57">
        <w:t>alternative employment.</w:t>
      </w:r>
      <w:r w:rsidR="00EF415B" w:rsidRPr="009F2D57">
        <w:t xml:space="preserve"> This suggests that</w:t>
      </w:r>
      <w:r w:rsidR="007C3C82">
        <w:t>,</w:t>
      </w:r>
      <w:r w:rsidR="00EF415B" w:rsidRPr="009F2D57">
        <w:t xml:space="preserve"> when other opportunities are less readily available, individuals </w:t>
      </w:r>
      <w:r w:rsidR="0001092B" w:rsidRPr="009F2D57">
        <w:t>are</w:t>
      </w:r>
      <w:r w:rsidR="00EF415B" w:rsidRPr="009F2D57">
        <w:t xml:space="preserve"> more inclined to stick with their apprenticeship.</w:t>
      </w:r>
    </w:p>
    <w:p w:rsidR="00601CC6" w:rsidRDefault="00601CC6">
      <w:pPr>
        <w:rPr>
          <w:rFonts w:ascii="Tahoma" w:hAnsi="Tahoma" w:cs="Tahoma"/>
          <w:color w:val="000000"/>
          <w:kern w:val="28"/>
          <w:sz w:val="56"/>
          <w:szCs w:val="56"/>
          <w:lang w:eastAsia="en-US"/>
        </w:rPr>
      </w:pPr>
      <w:r>
        <w:br w:type="page"/>
      </w:r>
    </w:p>
    <w:p w:rsidR="00091A56" w:rsidRDefault="00017F79" w:rsidP="00091A56">
      <w:pPr>
        <w:pStyle w:val="Heading1"/>
      </w:pPr>
      <w:bookmarkStart w:id="102" w:name="_Toc377040309"/>
      <w:r>
        <w:lastRenderedPageBreak/>
        <w:t>Employer influences</w:t>
      </w:r>
      <w:bookmarkEnd w:id="102"/>
    </w:p>
    <w:p w:rsidR="00B844D5" w:rsidRDefault="007C3C82" w:rsidP="00B844D5">
      <w:pPr>
        <w:pStyle w:val="Text"/>
      </w:pPr>
      <w:r>
        <w:t>In the previous section</w:t>
      </w:r>
      <w:r w:rsidR="00B844D5">
        <w:t xml:space="preserve"> we saw that </w:t>
      </w:r>
      <w:r w:rsidR="00E32140">
        <w:t>issues</w:t>
      </w:r>
      <w:r w:rsidR="000C347D">
        <w:t xml:space="preserve"> </w:t>
      </w:r>
      <w:r w:rsidR="002C3EC5">
        <w:t>related to</w:t>
      </w:r>
      <w:r w:rsidR="000C347D">
        <w:t xml:space="preserve"> the employment experience </w:t>
      </w:r>
      <w:r w:rsidR="00E32140">
        <w:t>are</w:t>
      </w:r>
      <w:r w:rsidR="002C3EC5">
        <w:t xml:space="preserve"> the most common reasons</w:t>
      </w:r>
      <w:r w:rsidR="000C347D">
        <w:t xml:space="preserve"> for not completing an apprenticeship. In this section we consider the employer</w:t>
      </w:r>
      <w:r w:rsidR="00841F93">
        <w:t>’</w:t>
      </w:r>
      <w:r w:rsidR="000C347D">
        <w:t>s influence more closely. There</w:t>
      </w:r>
      <w:r w:rsidR="00B844D5">
        <w:t xml:space="preserve"> is evidence that completion rates are highe</w:t>
      </w:r>
      <w:r w:rsidR="002C3EC5">
        <w:t>st</w:t>
      </w:r>
      <w:r w:rsidR="00B844D5">
        <w:t xml:space="preserve"> </w:t>
      </w:r>
      <w:r>
        <w:t>with</w:t>
      </w:r>
      <w:r w:rsidR="00B844D5">
        <w:t xml:space="preserve"> larger employers</w:t>
      </w:r>
      <w:r w:rsidR="00702716">
        <w:t>, those</w:t>
      </w:r>
      <w:r w:rsidR="00B844D5">
        <w:t xml:space="preserve"> who employ </w:t>
      </w:r>
      <w:r w:rsidR="00046248">
        <w:t>many apprentices</w:t>
      </w:r>
      <w:r w:rsidR="00702716">
        <w:t>,</w:t>
      </w:r>
      <w:r w:rsidR="00046248">
        <w:t xml:space="preserve"> </w:t>
      </w:r>
      <w:r w:rsidR="00B844D5">
        <w:t xml:space="preserve">and lowest for those employers with only </w:t>
      </w:r>
      <w:r w:rsidR="00233C7D">
        <w:t>one</w:t>
      </w:r>
      <w:r w:rsidR="00B844D5">
        <w:t xml:space="preserve"> apprentice. Part of the reason that larger employers enjoy better completion rates is that they are more likely to have a </w:t>
      </w:r>
      <w:r w:rsidR="006D1F94">
        <w:t xml:space="preserve">human resources </w:t>
      </w:r>
      <w:r w:rsidR="007318E5">
        <w:t>(HR)</w:t>
      </w:r>
      <w:r w:rsidR="00B844D5">
        <w:t xml:space="preserve"> department, </w:t>
      </w:r>
      <w:r w:rsidR="006D1F94">
        <w:t xml:space="preserve">are </w:t>
      </w:r>
      <w:r w:rsidR="00B844D5">
        <w:t xml:space="preserve">more likely to </w:t>
      </w:r>
      <w:r w:rsidR="006D1F94">
        <w:t>have modern workplace practices</w:t>
      </w:r>
      <w:r w:rsidR="00B844D5">
        <w:t xml:space="preserve"> and are </w:t>
      </w:r>
      <w:r w:rsidR="00233C7D">
        <w:t xml:space="preserve">better </w:t>
      </w:r>
      <w:r w:rsidR="00B844D5">
        <w:t xml:space="preserve">able to provide apprentices with </w:t>
      </w:r>
      <w:r w:rsidR="00233C7D">
        <w:t xml:space="preserve">structured </w:t>
      </w:r>
      <w:r w:rsidR="000C347D">
        <w:t>training</w:t>
      </w:r>
      <w:r w:rsidR="00233C7D">
        <w:t xml:space="preserve">, mentoring support and </w:t>
      </w:r>
      <w:r w:rsidR="00B844D5">
        <w:t>a social network at work.</w:t>
      </w:r>
      <w:r w:rsidR="000C347D">
        <w:t xml:space="preserve"> These factors are considered in more detail below.</w:t>
      </w:r>
    </w:p>
    <w:p w:rsidR="00C11B23" w:rsidRDefault="00C11B23" w:rsidP="00783315">
      <w:pPr>
        <w:pStyle w:val="Heading2"/>
      </w:pPr>
      <w:bookmarkStart w:id="103" w:name="_Toc377040310"/>
      <w:r>
        <w:t>Employer size</w:t>
      </w:r>
      <w:r w:rsidR="00197483">
        <w:t xml:space="preserve"> and type</w:t>
      </w:r>
      <w:bookmarkEnd w:id="103"/>
    </w:p>
    <w:p w:rsidR="00B1630A" w:rsidRDefault="00233C7D" w:rsidP="00B1630A">
      <w:pPr>
        <w:pStyle w:val="Text"/>
      </w:pPr>
      <w:r>
        <w:t>A</w:t>
      </w:r>
      <w:r w:rsidR="006D1F94">
        <w:t>s noted, a</w:t>
      </w:r>
      <w:r>
        <w:t xml:space="preserve"> consistent finding is that larger employers have higher completion rates</w:t>
      </w:r>
      <w:r w:rsidR="00BD2B91">
        <w:t xml:space="preserve">. </w:t>
      </w:r>
      <w:r>
        <w:t xml:space="preserve">For example, </w:t>
      </w:r>
      <w:r w:rsidR="00A32273">
        <w:t>Karmel and Roberts (2012) fou</w:t>
      </w:r>
      <w:r w:rsidR="00B1630A">
        <w:t xml:space="preserve">nd that employers with at least 25 apprentices have higher apprenticeship completion rates than smaller employers. </w:t>
      </w:r>
      <w:r w:rsidR="00C11B23">
        <w:t xml:space="preserve">As shown in table </w:t>
      </w:r>
      <w:r w:rsidR="00035089">
        <w:t>11</w:t>
      </w:r>
      <w:r w:rsidR="00C11B23">
        <w:t xml:space="preserve">, employers with more than </w:t>
      </w:r>
      <w:r w:rsidR="00D04EA4">
        <w:t>ten</w:t>
      </w:r>
      <w:r w:rsidR="00C11B23">
        <w:t xml:space="preserve"> apprentices have completion rates that are up to 14 percentage points higher than those with </w:t>
      </w:r>
      <w:r w:rsidR="00D04EA4">
        <w:t>ten</w:t>
      </w:r>
      <w:r w:rsidR="00C11B23">
        <w:t xml:space="preserve"> or fewer apprent</w:t>
      </w:r>
      <w:r w:rsidR="007C3C82">
        <w:t xml:space="preserve">ices. Companies with between 26 and </w:t>
      </w:r>
      <w:r w:rsidR="00C11B23">
        <w:t xml:space="preserve">100 apprentices enjoy the highest completion rates, of around 60%. </w:t>
      </w:r>
    </w:p>
    <w:p w:rsidR="00C11B23" w:rsidRPr="00C11B23" w:rsidRDefault="00C11B23" w:rsidP="00B02BF4">
      <w:pPr>
        <w:pStyle w:val="tabletitle"/>
      </w:pPr>
      <w:bookmarkStart w:id="104" w:name="_Toc322014751"/>
      <w:bookmarkStart w:id="105" w:name="_Toc376874276"/>
      <w:r w:rsidRPr="00C11B23">
        <w:t xml:space="preserve">Table </w:t>
      </w:r>
      <w:r w:rsidR="00035089">
        <w:t>11</w:t>
      </w:r>
      <w:r w:rsidR="007E1396">
        <w:tab/>
      </w:r>
      <w:r w:rsidRPr="00C11B23">
        <w:t xml:space="preserve">Estimated </w:t>
      </w:r>
      <w:r w:rsidRPr="00B02BF4">
        <w:t>completion</w:t>
      </w:r>
      <w:r w:rsidRPr="00C11B23">
        <w:t xml:space="preserve"> rates by selected </w:t>
      </w:r>
      <w:r>
        <w:t xml:space="preserve">employer </w:t>
      </w:r>
      <w:r w:rsidRPr="00C11B23">
        <w:t>characteristics and number of contracts in category</w:t>
      </w:r>
      <w:bookmarkEnd w:id="104"/>
      <w:bookmarkEnd w:id="105"/>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2"/>
        <w:gridCol w:w="2883"/>
        <w:gridCol w:w="1856"/>
        <w:gridCol w:w="1688"/>
      </w:tblGrid>
      <w:tr w:rsidR="00C11B23" w:rsidRPr="00C11B23" w:rsidTr="00B02BF4">
        <w:tc>
          <w:tcPr>
            <w:tcW w:w="1985" w:type="dxa"/>
            <w:tcBorders>
              <w:top w:val="single" w:sz="4" w:space="0" w:color="auto"/>
              <w:bottom w:val="single" w:sz="4" w:space="0" w:color="auto"/>
            </w:tcBorders>
          </w:tcPr>
          <w:p w:rsidR="00C11B23" w:rsidRPr="00C11B23" w:rsidRDefault="00C11B23" w:rsidP="00B02BF4">
            <w:pPr>
              <w:pStyle w:val="Tablehead1"/>
              <w:rPr>
                <w:lang w:val="en-US"/>
              </w:rPr>
            </w:pPr>
          </w:p>
        </w:tc>
        <w:tc>
          <w:tcPr>
            <w:tcW w:w="2422" w:type="dxa"/>
            <w:tcBorders>
              <w:top w:val="single" w:sz="4" w:space="0" w:color="auto"/>
              <w:bottom w:val="single" w:sz="4" w:space="0" w:color="auto"/>
            </w:tcBorders>
          </w:tcPr>
          <w:p w:rsidR="00C11B23" w:rsidRPr="00C11B23" w:rsidRDefault="00C11B23" w:rsidP="00B02BF4">
            <w:pPr>
              <w:pStyle w:val="Tablehead1"/>
              <w:rPr>
                <w:lang w:val="en-US"/>
              </w:rPr>
            </w:pPr>
          </w:p>
        </w:tc>
        <w:tc>
          <w:tcPr>
            <w:tcW w:w="1559" w:type="dxa"/>
            <w:tcBorders>
              <w:top w:val="single" w:sz="4" w:space="0" w:color="auto"/>
              <w:bottom w:val="single" w:sz="4" w:space="0" w:color="auto"/>
            </w:tcBorders>
          </w:tcPr>
          <w:p w:rsidR="00C11B23" w:rsidRPr="00C11B23" w:rsidRDefault="00C11B23" w:rsidP="00B02BF4">
            <w:pPr>
              <w:pStyle w:val="Tablehead1"/>
              <w:jc w:val="center"/>
              <w:rPr>
                <w:lang w:val="en-US"/>
              </w:rPr>
            </w:pPr>
            <w:r w:rsidRPr="00C11B23">
              <w:rPr>
                <w:lang w:val="en-US"/>
              </w:rPr>
              <w:t>Complete (%)</w:t>
            </w:r>
          </w:p>
        </w:tc>
        <w:tc>
          <w:tcPr>
            <w:tcW w:w="1418" w:type="dxa"/>
            <w:tcBorders>
              <w:top w:val="single" w:sz="4" w:space="0" w:color="auto"/>
              <w:bottom w:val="single" w:sz="4" w:space="0" w:color="auto"/>
            </w:tcBorders>
          </w:tcPr>
          <w:p w:rsidR="00C11B23" w:rsidRPr="00C11B23" w:rsidRDefault="00C11B23" w:rsidP="00B02BF4">
            <w:pPr>
              <w:pStyle w:val="Tablehead1"/>
              <w:jc w:val="center"/>
              <w:rPr>
                <w:lang w:val="en-US"/>
              </w:rPr>
            </w:pPr>
            <w:r w:rsidRPr="00C11B23">
              <w:rPr>
                <w:lang w:val="en-US"/>
              </w:rPr>
              <w:t>N</w:t>
            </w:r>
          </w:p>
        </w:tc>
      </w:tr>
      <w:tr w:rsidR="00C11B23" w:rsidRPr="00C11B23" w:rsidTr="00B02BF4">
        <w:tc>
          <w:tcPr>
            <w:tcW w:w="1985" w:type="dxa"/>
            <w:tcBorders>
              <w:top w:val="single" w:sz="4" w:space="0" w:color="auto"/>
            </w:tcBorders>
          </w:tcPr>
          <w:p w:rsidR="00C11B23" w:rsidRPr="00C11B23" w:rsidRDefault="00C11B23" w:rsidP="00B02BF4">
            <w:pPr>
              <w:pStyle w:val="Tabletext"/>
              <w:rPr>
                <w:lang w:val="en-US"/>
              </w:rPr>
            </w:pPr>
            <w:r w:rsidRPr="00C11B23">
              <w:rPr>
                <w:lang w:val="en-US"/>
              </w:rPr>
              <w:t>Employer type</w:t>
            </w:r>
          </w:p>
        </w:tc>
        <w:tc>
          <w:tcPr>
            <w:tcW w:w="2422" w:type="dxa"/>
            <w:tcBorders>
              <w:top w:val="single" w:sz="4" w:space="0" w:color="auto"/>
            </w:tcBorders>
          </w:tcPr>
          <w:p w:rsidR="00C11B23" w:rsidRPr="00C11B23" w:rsidRDefault="00C11B23" w:rsidP="00B02BF4">
            <w:pPr>
              <w:pStyle w:val="Tabletext"/>
              <w:rPr>
                <w:lang w:val="en-US"/>
              </w:rPr>
            </w:pPr>
            <w:r w:rsidRPr="00C11B23">
              <w:rPr>
                <w:lang w:val="en-US"/>
              </w:rPr>
              <w:t>Private</w:t>
            </w:r>
          </w:p>
        </w:tc>
        <w:tc>
          <w:tcPr>
            <w:tcW w:w="1559" w:type="dxa"/>
            <w:tcBorders>
              <w:top w:val="single" w:sz="4" w:space="0" w:color="auto"/>
            </w:tcBorders>
            <w:shd w:val="clear" w:color="auto" w:fill="auto"/>
          </w:tcPr>
          <w:p w:rsidR="00C11B23" w:rsidRPr="00C11B23" w:rsidRDefault="00C11B23" w:rsidP="00B02BF4">
            <w:pPr>
              <w:pStyle w:val="Tabletext"/>
              <w:tabs>
                <w:tab w:val="decimal" w:pos="851"/>
              </w:tabs>
              <w:rPr>
                <w:rFonts w:ascii="Arial" w:hAnsi="Arial"/>
                <w:lang w:val="en-US"/>
              </w:rPr>
            </w:pPr>
            <w:r w:rsidRPr="00C11B23">
              <w:rPr>
                <w:rFonts w:ascii="Arial" w:hAnsi="Arial"/>
                <w:lang w:val="en-US"/>
              </w:rPr>
              <w:t>49.1</w:t>
            </w:r>
          </w:p>
        </w:tc>
        <w:tc>
          <w:tcPr>
            <w:tcW w:w="1418" w:type="dxa"/>
            <w:tcBorders>
              <w:top w:val="single" w:sz="4" w:space="0" w:color="auto"/>
            </w:tcBorders>
            <w:shd w:val="clear" w:color="auto" w:fill="auto"/>
          </w:tcPr>
          <w:p w:rsidR="00C11B23" w:rsidRPr="00C11B23" w:rsidRDefault="00C11B23" w:rsidP="00B02BF4">
            <w:pPr>
              <w:pStyle w:val="Tabletext"/>
              <w:ind w:right="454"/>
              <w:jc w:val="right"/>
              <w:rPr>
                <w:rFonts w:ascii="Arial" w:hAnsi="Arial"/>
                <w:lang w:val="en-US"/>
              </w:rPr>
            </w:pPr>
            <w:r w:rsidRPr="00C11B23">
              <w:rPr>
                <w:rFonts w:ascii="Arial" w:hAnsi="Arial"/>
                <w:lang w:val="en-US"/>
              </w:rPr>
              <w:t>160 270</w:t>
            </w:r>
          </w:p>
        </w:tc>
      </w:tr>
      <w:tr w:rsidR="00C11B23" w:rsidRPr="00C11B23" w:rsidTr="00B02BF4">
        <w:tc>
          <w:tcPr>
            <w:tcW w:w="1985" w:type="dxa"/>
          </w:tcPr>
          <w:p w:rsidR="00C11B23" w:rsidRPr="00C11B23" w:rsidRDefault="00C11B23" w:rsidP="00B02BF4">
            <w:pPr>
              <w:pStyle w:val="Tabletext"/>
              <w:rPr>
                <w:lang w:val="en-US"/>
              </w:rPr>
            </w:pPr>
          </w:p>
        </w:tc>
        <w:tc>
          <w:tcPr>
            <w:tcW w:w="2422" w:type="dxa"/>
          </w:tcPr>
          <w:p w:rsidR="00C11B23" w:rsidRPr="00C11B23" w:rsidRDefault="00C11B23" w:rsidP="00B02BF4">
            <w:pPr>
              <w:pStyle w:val="Tabletext"/>
              <w:rPr>
                <w:lang w:val="en-US"/>
              </w:rPr>
            </w:pPr>
            <w:r w:rsidRPr="00C11B23">
              <w:rPr>
                <w:lang w:val="en-US"/>
              </w:rPr>
              <w:t>Group training</w:t>
            </w:r>
          </w:p>
        </w:tc>
        <w:tc>
          <w:tcPr>
            <w:tcW w:w="1559" w:type="dxa"/>
            <w:shd w:val="clear" w:color="auto" w:fill="auto"/>
          </w:tcPr>
          <w:p w:rsidR="00C11B23" w:rsidRPr="00C11B23" w:rsidRDefault="00C11B23" w:rsidP="00B02BF4">
            <w:pPr>
              <w:pStyle w:val="Tabletext"/>
              <w:tabs>
                <w:tab w:val="decimal" w:pos="851"/>
              </w:tabs>
              <w:rPr>
                <w:rFonts w:ascii="Arial" w:hAnsi="Arial"/>
                <w:lang w:val="en-US"/>
              </w:rPr>
            </w:pPr>
            <w:r w:rsidRPr="00C11B23">
              <w:rPr>
                <w:rFonts w:ascii="Arial" w:hAnsi="Arial"/>
                <w:lang w:val="en-US"/>
              </w:rPr>
              <w:t>52.0</w:t>
            </w:r>
          </w:p>
        </w:tc>
        <w:tc>
          <w:tcPr>
            <w:tcW w:w="1418" w:type="dxa"/>
            <w:shd w:val="clear" w:color="auto" w:fill="auto"/>
          </w:tcPr>
          <w:p w:rsidR="00C11B23" w:rsidRPr="00C11B23" w:rsidRDefault="00C11B23" w:rsidP="00B02BF4">
            <w:pPr>
              <w:pStyle w:val="Tabletext"/>
              <w:ind w:right="454"/>
              <w:jc w:val="right"/>
              <w:rPr>
                <w:rFonts w:ascii="Arial" w:hAnsi="Arial"/>
                <w:lang w:val="en-US"/>
              </w:rPr>
            </w:pPr>
            <w:r w:rsidRPr="00C11B23">
              <w:rPr>
                <w:rFonts w:ascii="Arial" w:hAnsi="Arial"/>
                <w:lang w:val="en-US"/>
              </w:rPr>
              <w:t>28 417</w:t>
            </w:r>
          </w:p>
        </w:tc>
      </w:tr>
      <w:tr w:rsidR="00C11B23" w:rsidRPr="00C11B23" w:rsidTr="00B02BF4">
        <w:tc>
          <w:tcPr>
            <w:tcW w:w="1985" w:type="dxa"/>
          </w:tcPr>
          <w:p w:rsidR="00C11B23" w:rsidRPr="00C11B23" w:rsidRDefault="00C11B23" w:rsidP="00B02BF4">
            <w:pPr>
              <w:pStyle w:val="Tabletext"/>
              <w:rPr>
                <w:lang w:val="en-US"/>
              </w:rPr>
            </w:pPr>
          </w:p>
        </w:tc>
        <w:tc>
          <w:tcPr>
            <w:tcW w:w="2422" w:type="dxa"/>
          </w:tcPr>
          <w:p w:rsidR="00C11B23" w:rsidRPr="00C11B23" w:rsidRDefault="00C11B23" w:rsidP="00B02BF4">
            <w:pPr>
              <w:pStyle w:val="Tabletext"/>
              <w:rPr>
                <w:lang w:val="en-US"/>
              </w:rPr>
            </w:pPr>
            <w:r w:rsidRPr="00C11B23">
              <w:rPr>
                <w:lang w:val="en-US"/>
              </w:rPr>
              <w:t>Government (ex</w:t>
            </w:r>
            <w:r>
              <w:rPr>
                <w:lang w:val="en-US"/>
              </w:rPr>
              <w:t>cl</w:t>
            </w:r>
            <w:r w:rsidRPr="00C11B23">
              <w:rPr>
                <w:lang w:val="en-US"/>
              </w:rPr>
              <w:t xml:space="preserve">. </w:t>
            </w:r>
            <w:proofErr w:type="spellStart"/>
            <w:r w:rsidRPr="00C11B23">
              <w:rPr>
                <w:lang w:val="en-US"/>
              </w:rPr>
              <w:t>defence</w:t>
            </w:r>
            <w:proofErr w:type="spellEnd"/>
            <w:r w:rsidRPr="00C11B23">
              <w:rPr>
                <w:lang w:val="en-US"/>
              </w:rPr>
              <w:t>)</w:t>
            </w:r>
          </w:p>
        </w:tc>
        <w:tc>
          <w:tcPr>
            <w:tcW w:w="1559" w:type="dxa"/>
            <w:shd w:val="clear" w:color="auto" w:fill="auto"/>
          </w:tcPr>
          <w:p w:rsidR="00C11B23" w:rsidRPr="00C11B23" w:rsidRDefault="00C11B23" w:rsidP="00B02BF4">
            <w:pPr>
              <w:pStyle w:val="Tabletext"/>
              <w:tabs>
                <w:tab w:val="decimal" w:pos="851"/>
              </w:tabs>
              <w:rPr>
                <w:rFonts w:ascii="Arial" w:hAnsi="Arial"/>
                <w:lang w:val="en-US"/>
              </w:rPr>
            </w:pPr>
            <w:r w:rsidRPr="00C11B23">
              <w:rPr>
                <w:rFonts w:ascii="Arial" w:hAnsi="Arial"/>
                <w:lang w:val="en-US"/>
              </w:rPr>
              <w:t>77.6</w:t>
            </w:r>
          </w:p>
        </w:tc>
        <w:tc>
          <w:tcPr>
            <w:tcW w:w="1418" w:type="dxa"/>
            <w:shd w:val="clear" w:color="auto" w:fill="auto"/>
          </w:tcPr>
          <w:p w:rsidR="00C11B23" w:rsidRPr="00C11B23" w:rsidRDefault="00C11B23" w:rsidP="00B02BF4">
            <w:pPr>
              <w:pStyle w:val="Tabletext"/>
              <w:ind w:right="454"/>
              <w:jc w:val="right"/>
              <w:rPr>
                <w:rFonts w:ascii="Arial" w:hAnsi="Arial"/>
                <w:lang w:val="en-US"/>
              </w:rPr>
            </w:pPr>
            <w:r w:rsidRPr="00C11B23">
              <w:rPr>
                <w:rFonts w:ascii="Arial" w:hAnsi="Arial"/>
                <w:lang w:val="en-US"/>
              </w:rPr>
              <w:t>5625</w:t>
            </w:r>
          </w:p>
        </w:tc>
      </w:tr>
      <w:tr w:rsidR="00C11B23" w:rsidRPr="00C11B23" w:rsidTr="00B02BF4">
        <w:tc>
          <w:tcPr>
            <w:tcW w:w="1985" w:type="dxa"/>
            <w:tcBorders>
              <w:bottom w:val="single" w:sz="4" w:space="0" w:color="auto"/>
            </w:tcBorders>
          </w:tcPr>
          <w:p w:rsidR="00C11B23" w:rsidRPr="00C11B23" w:rsidRDefault="00C11B23" w:rsidP="00B02BF4">
            <w:pPr>
              <w:pStyle w:val="Tabletext"/>
              <w:rPr>
                <w:lang w:val="en-US"/>
              </w:rPr>
            </w:pPr>
          </w:p>
        </w:tc>
        <w:tc>
          <w:tcPr>
            <w:tcW w:w="2422" w:type="dxa"/>
            <w:tcBorders>
              <w:bottom w:val="single" w:sz="4" w:space="0" w:color="auto"/>
            </w:tcBorders>
          </w:tcPr>
          <w:p w:rsidR="00C11B23" w:rsidRPr="00C11B23" w:rsidRDefault="00C11B23" w:rsidP="00B02BF4">
            <w:pPr>
              <w:pStyle w:val="Tabletext"/>
              <w:rPr>
                <w:lang w:val="en-US"/>
              </w:rPr>
            </w:pPr>
            <w:r w:rsidRPr="00C11B23">
              <w:rPr>
                <w:lang w:val="en-US"/>
              </w:rPr>
              <w:t xml:space="preserve">Government (incl. </w:t>
            </w:r>
            <w:proofErr w:type="spellStart"/>
            <w:r w:rsidRPr="00C11B23">
              <w:rPr>
                <w:lang w:val="en-US"/>
              </w:rPr>
              <w:t>defence</w:t>
            </w:r>
            <w:proofErr w:type="spellEnd"/>
            <w:r w:rsidRPr="00C11B23">
              <w:rPr>
                <w:lang w:val="en-US"/>
              </w:rPr>
              <w:t>)</w:t>
            </w:r>
          </w:p>
        </w:tc>
        <w:tc>
          <w:tcPr>
            <w:tcW w:w="1559" w:type="dxa"/>
            <w:tcBorders>
              <w:bottom w:val="single" w:sz="4" w:space="0" w:color="auto"/>
            </w:tcBorders>
            <w:shd w:val="clear" w:color="auto" w:fill="auto"/>
          </w:tcPr>
          <w:p w:rsidR="00C11B23" w:rsidRPr="00C11B23" w:rsidRDefault="00C11B23" w:rsidP="00B02BF4">
            <w:pPr>
              <w:pStyle w:val="Tabletext"/>
              <w:tabs>
                <w:tab w:val="decimal" w:pos="851"/>
              </w:tabs>
              <w:rPr>
                <w:rFonts w:ascii="Arial" w:hAnsi="Arial"/>
                <w:lang w:val="en-US"/>
              </w:rPr>
            </w:pPr>
            <w:r w:rsidRPr="00C11B23">
              <w:rPr>
                <w:rFonts w:ascii="Arial" w:hAnsi="Arial"/>
                <w:lang w:val="en-US"/>
              </w:rPr>
              <w:t>80.3</w:t>
            </w:r>
          </w:p>
        </w:tc>
        <w:tc>
          <w:tcPr>
            <w:tcW w:w="1418" w:type="dxa"/>
            <w:tcBorders>
              <w:bottom w:val="single" w:sz="4" w:space="0" w:color="auto"/>
            </w:tcBorders>
            <w:shd w:val="clear" w:color="auto" w:fill="auto"/>
          </w:tcPr>
          <w:p w:rsidR="00C11B23" w:rsidRPr="00C11B23" w:rsidRDefault="00C11B23" w:rsidP="00B02BF4">
            <w:pPr>
              <w:pStyle w:val="Tabletext"/>
              <w:ind w:right="454"/>
              <w:jc w:val="right"/>
              <w:rPr>
                <w:rFonts w:ascii="Arial" w:hAnsi="Arial"/>
                <w:lang w:val="en-US"/>
              </w:rPr>
            </w:pPr>
            <w:r w:rsidRPr="00C11B23">
              <w:rPr>
                <w:rFonts w:ascii="Arial" w:hAnsi="Arial"/>
                <w:lang w:val="en-US"/>
              </w:rPr>
              <w:t>7925</w:t>
            </w:r>
          </w:p>
        </w:tc>
      </w:tr>
      <w:tr w:rsidR="00C11B23" w:rsidRPr="00C11B23" w:rsidTr="00B02BF4">
        <w:tc>
          <w:tcPr>
            <w:tcW w:w="1985" w:type="dxa"/>
            <w:tcBorders>
              <w:top w:val="single" w:sz="4" w:space="0" w:color="auto"/>
            </w:tcBorders>
          </w:tcPr>
          <w:p w:rsidR="00C11B23" w:rsidRPr="00C11B23" w:rsidRDefault="00C11B23" w:rsidP="00B02BF4">
            <w:pPr>
              <w:pStyle w:val="Tabletext"/>
              <w:rPr>
                <w:lang w:val="en-US"/>
              </w:rPr>
            </w:pPr>
            <w:r w:rsidRPr="00C11B23">
              <w:rPr>
                <w:lang w:val="en-US"/>
              </w:rPr>
              <w:t xml:space="preserve">Employer size </w:t>
            </w:r>
          </w:p>
        </w:tc>
        <w:tc>
          <w:tcPr>
            <w:tcW w:w="2422" w:type="dxa"/>
            <w:tcBorders>
              <w:top w:val="single" w:sz="4" w:space="0" w:color="auto"/>
            </w:tcBorders>
          </w:tcPr>
          <w:p w:rsidR="00C11B23" w:rsidRPr="00C11B23" w:rsidRDefault="00C11B23" w:rsidP="00B02BF4">
            <w:pPr>
              <w:pStyle w:val="Tabletext"/>
              <w:rPr>
                <w:rFonts w:cs="Arial"/>
                <w:color w:val="000000"/>
                <w:szCs w:val="16"/>
                <w:lang w:val="en-US"/>
              </w:rPr>
            </w:pPr>
            <w:r w:rsidRPr="00C11B23">
              <w:rPr>
                <w:lang w:val="en-US"/>
              </w:rPr>
              <w:t>1</w:t>
            </w:r>
          </w:p>
        </w:tc>
        <w:tc>
          <w:tcPr>
            <w:tcW w:w="1559" w:type="dxa"/>
            <w:tcBorders>
              <w:top w:val="single" w:sz="4" w:space="0" w:color="auto"/>
            </w:tcBorders>
            <w:shd w:val="clear" w:color="auto" w:fill="auto"/>
          </w:tcPr>
          <w:p w:rsidR="00C11B23" w:rsidRPr="00C11B23" w:rsidRDefault="00C11B23" w:rsidP="00B02BF4">
            <w:pPr>
              <w:pStyle w:val="Tabletext"/>
              <w:tabs>
                <w:tab w:val="decimal" w:pos="851"/>
              </w:tabs>
              <w:rPr>
                <w:rFonts w:ascii="Arial" w:hAnsi="Arial" w:cs="Arial"/>
                <w:color w:val="000000"/>
                <w:szCs w:val="16"/>
                <w:lang w:val="en-US"/>
              </w:rPr>
            </w:pPr>
            <w:r w:rsidRPr="00C11B23">
              <w:rPr>
                <w:rFonts w:ascii="Arial" w:hAnsi="Arial" w:cs="Arial"/>
                <w:color w:val="000000"/>
                <w:szCs w:val="16"/>
                <w:lang w:val="en-US"/>
              </w:rPr>
              <w:t>46.8</w:t>
            </w:r>
          </w:p>
        </w:tc>
        <w:tc>
          <w:tcPr>
            <w:tcW w:w="1418" w:type="dxa"/>
            <w:tcBorders>
              <w:top w:val="single" w:sz="4" w:space="0" w:color="auto"/>
            </w:tcBorders>
            <w:shd w:val="clear" w:color="auto" w:fill="auto"/>
          </w:tcPr>
          <w:p w:rsidR="00C11B23" w:rsidRPr="00C11B23" w:rsidRDefault="00C11B23" w:rsidP="00B02BF4">
            <w:pPr>
              <w:pStyle w:val="Tabletext"/>
              <w:ind w:right="454"/>
              <w:jc w:val="right"/>
              <w:rPr>
                <w:rFonts w:ascii="Arial" w:hAnsi="Arial"/>
                <w:lang w:val="en-US"/>
              </w:rPr>
            </w:pPr>
            <w:r w:rsidRPr="00C11B23">
              <w:rPr>
                <w:rFonts w:ascii="Arial" w:hAnsi="Arial"/>
                <w:lang w:val="en-US"/>
              </w:rPr>
              <w:t>50 253</w:t>
            </w:r>
          </w:p>
        </w:tc>
      </w:tr>
      <w:tr w:rsidR="00C11B23" w:rsidRPr="00C11B23" w:rsidTr="00B02BF4">
        <w:tc>
          <w:tcPr>
            <w:tcW w:w="1985" w:type="dxa"/>
          </w:tcPr>
          <w:p w:rsidR="00C11B23" w:rsidRPr="00C11B23" w:rsidRDefault="00C11B23" w:rsidP="00B02BF4">
            <w:pPr>
              <w:pStyle w:val="Tabletext"/>
              <w:rPr>
                <w:lang w:val="en-US"/>
              </w:rPr>
            </w:pPr>
            <w:r w:rsidRPr="00C11B23">
              <w:rPr>
                <w:lang w:val="en-US"/>
              </w:rPr>
              <w:t>(number of apprentices)</w:t>
            </w:r>
          </w:p>
        </w:tc>
        <w:tc>
          <w:tcPr>
            <w:tcW w:w="2422" w:type="dxa"/>
          </w:tcPr>
          <w:p w:rsidR="008B0746" w:rsidRPr="008B0746" w:rsidRDefault="00F47B6D" w:rsidP="00B02BF4">
            <w:pPr>
              <w:pStyle w:val="Tabletext"/>
              <w:rPr>
                <w:lang w:val="en-US"/>
              </w:rPr>
            </w:pPr>
            <w:r>
              <w:rPr>
                <w:lang w:val="en-US"/>
              </w:rPr>
              <w:t>2–</w:t>
            </w:r>
            <w:r w:rsidR="00C11B23" w:rsidRPr="00C11B23">
              <w:rPr>
                <w:lang w:val="en-US"/>
              </w:rPr>
              <w:t>10</w:t>
            </w:r>
          </w:p>
        </w:tc>
        <w:tc>
          <w:tcPr>
            <w:tcW w:w="1559" w:type="dxa"/>
            <w:shd w:val="clear" w:color="auto" w:fill="auto"/>
          </w:tcPr>
          <w:p w:rsidR="00C11B23" w:rsidRPr="00C11B23" w:rsidRDefault="00C11B23" w:rsidP="00B02BF4">
            <w:pPr>
              <w:pStyle w:val="Tabletext"/>
              <w:tabs>
                <w:tab w:val="decimal" w:pos="851"/>
              </w:tabs>
              <w:rPr>
                <w:rFonts w:ascii="Arial" w:hAnsi="Arial" w:cs="Arial"/>
                <w:color w:val="000000"/>
                <w:szCs w:val="16"/>
                <w:lang w:val="en-US"/>
              </w:rPr>
            </w:pPr>
            <w:r w:rsidRPr="00C11B23">
              <w:rPr>
                <w:rFonts w:ascii="Arial" w:hAnsi="Arial" w:cs="Arial"/>
                <w:color w:val="000000"/>
                <w:szCs w:val="16"/>
                <w:lang w:val="en-US"/>
              </w:rPr>
              <w:t>48.1</w:t>
            </w:r>
          </w:p>
        </w:tc>
        <w:tc>
          <w:tcPr>
            <w:tcW w:w="1418" w:type="dxa"/>
            <w:shd w:val="clear" w:color="auto" w:fill="auto"/>
          </w:tcPr>
          <w:p w:rsidR="00C11B23" w:rsidRPr="00C11B23" w:rsidRDefault="00C11B23" w:rsidP="00B02BF4">
            <w:pPr>
              <w:pStyle w:val="Tabletext"/>
              <w:ind w:right="454"/>
              <w:jc w:val="right"/>
              <w:rPr>
                <w:rFonts w:ascii="Arial" w:hAnsi="Arial"/>
                <w:lang w:val="en-US"/>
              </w:rPr>
            </w:pPr>
            <w:r w:rsidRPr="00C11B23">
              <w:rPr>
                <w:rFonts w:ascii="Arial" w:hAnsi="Arial"/>
                <w:lang w:val="en-US"/>
              </w:rPr>
              <w:t>83 142</w:t>
            </w:r>
          </w:p>
        </w:tc>
      </w:tr>
      <w:tr w:rsidR="00C11B23" w:rsidRPr="00C11B23" w:rsidTr="00B02BF4">
        <w:tc>
          <w:tcPr>
            <w:tcW w:w="1985" w:type="dxa"/>
          </w:tcPr>
          <w:p w:rsidR="00C11B23" w:rsidRPr="00C11B23" w:rsidRDefault="00C11B23" w:rsidP="00B02BF4">
            <w:pPr>
              <w:pStyle w:val="Tabletext"/>
              <w:rPr>
                <w:lang w:val="en-US"/>
              </w:rPr>
            </w:pPr>
          </w:p>
        </w:tc>
        <w:tc>
          <w:tcPr>
            <w:tcW w:w="2422" w:type="dxa"/>
          </w:tcPr>
          <w:p w:rsidR="00C11B23" w:rsidRPr="00C11B23" w:rsidRDefault="00F47B6D" w:rsidP="00B02BF4">
            <w:pPr>
              <w:pStyle w:val="Tabletext"/>
              <w:rPr>
                <w:rFonts w:cs="Arial"/>
                <w:color w:val="000000"/>
                <w:szCs w:val="16"/>
                <w:lang w:val="en-US"/>
              </w:rPr>
            </w:pPr>
            <w:r>
              <w:rPr>
                <w:lang w:val="en-US"/>
              </w:rPr>
              <w:t>11–</w:t>
            </w:r>
            <w:r w:rsidR="00C11B23" w:rsidRPr="00C11B23">
              <w:rPr>
                <w:lang w:val="en-US"/>
              </w:rPr>
              <w:t>25</w:t>
            </w:r>
          </w:p>
        </w:tc>
        <w:tc>
          <w:tcPr>
            <w:tcW w:w="1559" w:type="dxa"/>
            <w:shd w:val="clear" w:color="auto" w:fill="auto"/>
          </w:tcPr>
          <w:p w:rsidR="00C11B23" w:rsidRPr="00C11B23" w:rsidRDefault="00C11B23" w:rsidP="00B02BF4">
            <w:pPr>
              <w:pStyle w:val="Tabletext"/>
              <w:tabs>
                <w:tab w:val="decimal" w:pos="851"/>
              </w:tabs>
              <w:rPr>
                <w:rFonts w:ascii="Arial" w:hAnsi="Arial" w:cs="Arial"/>
                <w:color w:val="000000"/>
                <w:szCs w:val="16"/>
                <w:lang w:val="en-US"/>
              </w:rPr>
            </w:pPr>
            <w:r w:rsidRPr="00C11B23">
              <w:rPr>
                <w:rFonts w:ascii="Arial" w:hAnsi="Arial" w:cs="Arial"/>
                <w:color w:val="000000"/>
                <w:szCs w:val="16"/>
                <w:lang w:val="en-US"/>
              </w:rPr>
              <w:t>56.9</w:t>
            </w:r>
          </w:p>
        </w:tc>
        <w:tc>
          <w:tcPr>
            <w:tcW w:w="1418" w:type="dxa"/>
            <w:shd w:val="clear" w:color="auto" w:fill="auto"/>
          </w:tcPr>
          <w:p w:rsidR="00C11B23" w:rsidRPr="00C11B23" w:rsidRDefault="00C11B23" w:rsidP="00B02BF4">
            <w:pPr>
              <w:pStyle w:val="Tabletext"/>
              <w:ind w:right="454"/>
              <w:jc w:val="right"/>
              <w:rPr>
                <w:rFonts w:ascii="Arial" w:hAnsi="Arial"/>
                <w:lang w:val="en-US"/>
              </w:rPr>
            </w:pPr>
            <w:r w:rsidRPr="00C11B23">
              <w:rPr>
                <w:rFonts w:ascii="Arial" w:hAnsi="Arial"/>
                <w:lang w:val="en-US"/>
              </w:rPr>
              <w:t>12 973</w:t>
            </w:r>
          </w:p>
        </w:tc>
      </w:tr>
      <w:tr w:rsidR="00C11B23" w:rsidRPr="00C11B23" w:rsidTr="00B02BF4">
        <w:tc>
          <w:tcPr>
            <w:tcW w:w="1985" w:type="dxa"/>
          </w:tcPr>
          <w:p w:rsidR="00C11B23" w:rsidRPr="00C11B23" w:rsidRDefault="00C11B23" w:rsidP="00B02BF4">
            <w:pPr>
              <w:pStyle w:val="Tabletext"/>
              <w:rPr>
                <w:lang w:val="en-US"/>
              </w:rPr>
            </w:pPr>
          </w:p>
        </w:tc>
        <w:tc>
          <w:tcPr>
            <w:tcW w:w="2422" w:type="dxa"/>
          </w:tcPr>
          <w:p w:rsidR="00C11B23" w:rsidRPr="00C11B23" w:rsidRDefault="00F47B6D" w:rsidP="00B02BF4">
            <w:pPr>
              <w:pStyle w:val="Tabletext"/>
              <w:rPr>
                <w:rFonts w:cs="Arial"/>
                <w:color w:val="000000"/>
                <w:szCs w:val="16"/>
                <w:lang w:val="en-US"/>
              </w:rPr>
            </w:pPr>
            <w:r>
              <w:rPr>
                <w:lang w:val="en-US"/>
              </w:rPr>
              <w:t>26–</w:t>
            </w:r>
            <w:r w:rsidR="00C11B23" w:rsidRPr="00C11B23">
              <w:rPr>
                <w:lang w:val="en-US"/>
              </w:rPr>
              <w:t>50</w:t>
            </w:r>
          </w:p>
        </w:tc>
        <w:tc>
          <w:tcPr>
            <w:tcW w:w="1559" w:type="dxa"/>
            <w:shd w:val="clear" w:color="auto" w:fill="auto"/>
          </w:tcPr>
          <w:p w:rsidR="00C11B23" w:rsidRPr="00C11B23" w:rsidRDefault="00C11B23" w:rsidP="00B02BF4">
            <w:pPr>
              <w:pStyle w:val="Tabletext"/>
              <w:tabs>
                <w:tab w:val="decimal" w:pos="851"/>
              </w:tabs>
              <w:rPr>
                <w:rFonts w:ascii="Arial" w:hAnsi="Arial" w:cs="Arial"/>
                <w:color w:val="000000"/>
                <w:szCs w:val="16"/>
                <w:lang w:val="en-US"/>
              </w:rPr>
            </w:pPr>
            <w:r w:rsidRPr="00C11B23">
              <w:rPr>
                <w:rFonts w:ascii="Arial" w:hAnsi="Arial" w:cs="Arial"/>
                <w:color w:val="000000"/>
                <w:szCs w:val="16"/>
                <w:lang w:val="en-US"/>
              </w:rPr>
              <w:t>61.4</w:t>
            </w:r>
          </w:p>
        </w:tc>
        <w:tc>
          <w:tcPr>
            <w:tcW w:w="1418" w:type="dxa"/>
            <w:shd w:val="clear" w:color="auto" w:fill="auto"/>
          </w:tcPr>
          <w:p w:rsidR="00C11B23" w:rsidRPr="00C11B23" w:rsidRDefault="00C11B23" w:rsidP="00B02BF4">
            <w:pPr>
              <w:pStyle w:val="Tabletext"/>
              <w:ind w:right="454"/>
              <w:jc w:val="right"/>
              <w:rPr>
                <w:rFonts w:ascii="Arial" w:hAnsi="Arial"/>
                <w:lang w:val="en-US"/>
              </w:rPr>
            </w:pPr>
            <w:r w:rsidRPr="00C11B23">
              <w:rPr>
                <w:rFonts w:ascii="Arial" w:hAnsi="Arial"/>
                <w:lang w:val="en-US"/>
              </w:rPr>
              <w:t>6825</w:t>
            </w:r>
          </w:p>
        </w:tc>
      </w:tr>
      <w:tr w:rsidR="00C11B23" w:rsidRPr="00C11B23" w:rsidTr="00B02BF4">
        <w:tc>
          <w:tcPr>
            <w:tcW w:w="1985" w:type="dxa"/>
          </w:tcPr>
          <w:p w:rsidR="00C11B23" w:rsidRPr="00C11B23" w:rsidRDefault="00C11B23" w:rsidP="00B02BF4">
            <w:pPr>
              <w:pStyle w:val="Tabletext"/>
              <w:rPr>
                <w:lang w:val="en-US"/>
              </w:rPr>
            </w:pPr>
          </w:p>
        </w:tc>
        <w:tc>
          <w:tcPr>
            <w:tcW w:w="2422" w:type="dxa"/>
          </w:tcPr>
          <w:p w:rsidR="00C11B23" w:rsidRPr="00C11B23" w:rsidRDefault="00F47B6D" w:rsidP="00B02BF4">
            <w:pPr>
              <w:pStyle w:val="Tabletext"/>
              <w:rPr>
                <w:rFonts w:cs="Arial"/>
                <w:color w:val="000000"/>
                <w:szCs w:val="16"/>
                <w:lang w:val="en-US"/>
              </w:rPr>
            </w:pPr>
            <w:r>
              <w:rPr>
                <w:lang w:val="en-US"/>
              </w:rPr>
              <w:t>51–</w:t>
            </w:r>
            <w:r w:rsidR="00C11B23" w:rsidRPr="00C11B23">
              <w:rPr>
                <w:lang w:val="en-US"/>
              </w:rPr>
              <w:t>100</w:t>
            </w:r>
          </w:p>
        </w:tc>
        <w:tc>
          <w:tcPr>
            <w:tcW w:w="1559" w:type="dxa"/>
            <w:shd w:val="clear" w:color="auto" w:fill="auto"/>
          </w:tcPr>
          <w:p w:rsidR="00C11B23" w:rsidRPr="00C11B23" w:rsidRDefault="00C11B23" w:rsidP="00B02BF4">
            <w:pPr>
              <w:pStyle w:val="Tabletext"/>
              <w:tabs>
                <w:tab w:val="decimal" w:pos="851"/>
              </w:tabs>
              <w:rPr>
                <w:rFonts w:ascii="Arial" w:hAnsi="Arial" w:cs="Arial"/>
                <w:color w:val="000000"/>
                <w:szCs w:val="16"/>
                <w:lang w:val="en-US"/>
              </w:rPr>
            </w:pPr>
            <w:r w:rsidRPr="00C11B23">
              <w:rPr>
                <w:rFonts w:ascii="Arial" w:hAnsi="Arial" w:cs="Arial"/>
                <w:color w:val="000000"/>
                <w:szCs w:val="16"/>
                <w:lang w:val="en-US"/>
              </w:rPr>
              <w:t>60.5</w:t>
            </w:r>
          </w:p>
        </w:tc>
        <w:tc>
          <w:tcPr>
            <w:tcW w:w="1418" w:type="dxa"/>
            <w:shd w:val="clear" w:color="auto" w:fill="auto"/>
          </w:tcPr>
          <w:p w:rsidR="00C11B23" w:rsidRPr="00C11B23" w:rsidRDefault="00C11B23" w:rsidP="00B02BF4">
            <w:pPr>
              <w:pStyle w:val="Tabletext"/>
              <w:ind w:right="454"/>
              <w:jc w:val="right"/>
              <w:rPr>
                <w:rFonts w:ascii="Arial" w:hAnsi="Arial"/>
                <w:lang w:val="en-US"/>
              </w:rPr>
            </w:pPr>
            <w:r w:rsidRPr="00C11B23">
              <w:rPr>
                <w:rFonts w:ascii="Arial" w:hAnsi="Arial"/>
                <w:lang w:val="en-US"/>
              </w:rPr>
              <w:t>5089</w:t>
            </w:r>
          </w:p>
        </w:tc>
      </w:tr>
      <w:tr w:rsidR="00C11B23" w:rsidRPr="00C11B23" w:rsidTr="00B02BF4">
        <w:tc>
          <w:tcPr>
            <w:tcW w:w="1985" w:type="dxa"/>
          </w:tcPr>
          <w:p w:rsidR="00C11B23" w:rsidRPr="00C11B23" w:rsidRDefault="00C11B23" w:rsidP="00B02BF4">
            <w:pPr>
              <w:pStyle w:val="Tabletext"/>
              <w:rPr>
                <w:lang w:val="en-US"/>
              </w:rPr>
            </w:pPr>
          </w:p>
        </w:tc>
        <w:tc>
          <w:tcPr>
            <w:tcW w:w="2422" w:type="dxa"/>
          </w:tcPr>
          <w:p w:rsidR="00C11B23" w:rsidRPr="00C11B23" w:rsidRDefault="00C11B23" w:rsidP="00B02BF4">
            <w:pPr>
              <w:pStyle w:val="Tabletext"/>
              <w:rPr>
                <w:rFonts w:cs="Arial"/>
                <w:color w:val="000000"/>
                <w:szCs w:val="16"/>
                <w:lang w:val="en-US"/>
              </w:rPr>
            </w:pPr>
            <w:r w:rsidRPr="00C11B23">
              <w:rPr>
                <w:lang w:val="en-US"/>
              </w:rPr>
              <w:t>100 +</w:t>
            </w:r>
          </w:p>
        </w:tc>
        <w:tc>
          <w:tcPr>
            <w:tcW w:w="1559" w:type="dxa"/>
            <w:shd w:val="clear" w:color="auto" w:fill="auto"/>
          </w:tcPr>
          <w:p w:rsidR="00C11B23" w:rsidRPr="00C11B23" w:rsidRDefault="00C11B23" w:rsidP="00B02BF4">
            <w:pPr>
              <w:pStyle w:val="Tabletext"/>
              <w:tabs>
                <w:tab w:val="decimal" w:pos="851"/>
              </w:tabs>
              <w:rPr>
                <w:rFonts w:ascii="Arial" w:hAnsi="Arial" w:cs="Arial"/>
                <w:color w:val="000000"/>
                <w:szCs w:val="16"/>
                <w:lang w:val="en-US"/>
              </w:rPr>
            </w:pPr>
            <w:r w:rsidRPr="00C11B23">
              <w:rPr>
                <w:rFonts w:ascii="Arial" w:hAnsi="Arial" w:cs="Arial"/>
                <w:color w:val="000000"/>
                <w:szCs w:val="16"/>
                <w:lang w:val="en-US"/>
              </w:rPr>
              <w:t>56.2</w:t>
            </w:r>
          </w:p>
        </w:tc>
        <w:tc>
          <w:tcPr>
            <w:tcW w:w="1418" w:type="dxa"/>
            <w:shd w:val="clear" w:color="auto" w:fill="auto"/>
          </w:tcPr>
          <w:p w:rsidR="00C11B23" w:rsidRPr="00C11B23" w:rsidRDefault="00C11B23" w:rsidP="00B02BF4">
            <w:pPr>
              <w:pStyle w:val="Tabletext"/>
              <w:ind w:right="454"/>
              <w:jc w:val="right"/>
              <w:rPr>
                <w:rFonts w:ascii="Arial" w:hAnsi="Arial"/>
                <w:lang w:val="en-US"/>
              </w:rPr>
            </w:pPr>
            <w:r w:rsidRPr="00C11B23">
              <w:rPr>
                <w:rFonts w:ascii="Arial" w:hAnsi="Arial"/>
                <w:lang w:val="en-US"/>
              </w:rPr>
              <w:t>38 330</w:t>
            </w:r>
          </w:p>
        </w:tc>
      </w:tr>
      <w:tr w:rsidR="00C11B23" w:rsidRPr="00C11B23" w:rsidTr="00B02BF4">
        <w:tc>
          <w:tcPr>
            <w:tcW w:w="1985" w:type="dxa"/>
            <w:tcBorders>
              <w:bottom w:val="single" w:sz="4" w:space="0" w:color="auto"/>
            </w:tcBorders>
          </w:tcPr>
          <w:p w:rsidR="00C11B23" w:rsidRPr="00C11B23" w:rsidRDefault="00C11B23" w:rsidP="00B02BF4">
            <w:pPr>
              <w:pStyle w:val="Tabletext"/>
              <w:rPr>
                <w:b/>
                <w:lang w:val="en-US"/>
              </w:rPr>
            </w:pPr>
            <w:r w:rsidRPr="00C11B23">
              <w:rPr>
                <w:b/>
                <w:lang w:val="en-US"/>
              </w:rPr>
              <w:t>Total</w:t>
            </w:r>
          </w:p>
        </w:tc>
        <w:tc>
          <w:tcPr>
            <w:tcW w:w="2422" w:type="dxa"/>
            <w:tcBorders>
              <w:bottom w:val="single" w:sz="4" w:space="0" w:color="auto"/>
            </w:tcBorders>
          </w:tcPr>
          <w:p w:rsidR="00C11B23" w:rsidRPr="00C11B23" w:rsidRDefault="00C11B23" w:rsidP="00B02BF4">
            <w:pPr>
              <w:pStyle w:val="Tabletext"/>
              <w:rPr>
                <w:rFonts w:cs="Arial"/>
                <w:b/>
                <w:color w:val="000000"/>
                <w:szCs w:val="16"/>
                <w:lang w:val="en-US"/>
              </w:rPr>
            </w:pPr>
          </w:p>
        </w:tc>
        <w:tc>
          <w:tcPr>
            <w:tcW w:w="1559" w:type="dxa"/>
            <w:tcBorders>
              <w:bottom w:val="single" w:sz="4" w:space="0" w:color="auto"/>
            </w:tcBorders>
            <w:shd w:val="clear" w:color="auto" w:fill="auto"/>
          </w:tcPr>
          <w:p w:rsidR="00C11B23" w:rsidRPr="00C11B23" w:rsidRDefault="00C11B23" w:rsidP="00B02BF4">
            <w:pPr>
              <w:pStyle w:val="Tabletext"/>
              <w:tabs>
                <w:tab w:val="decimal" w:pos="851"/>
              </w:tabs>
              <w:rPr>
                <w:rFonts w:ascii="Arial" w:hAnsi="Arial" w:cs="Arial"/>
                <w:b/>
                <w:color w:val="000000"/>
                <w:szCs w:val="16"/>
                <w:lang w:val="en-US"/>
              </w:rPr>
            </w:pPr>
            <w:r w:rsidRPr="00C11B23">
              <w:rPr>
                <w:rFonts w:ascii="Arial" w:hAnsi="Arial" w:cs="Arial"/>
                <w:b/>
                <w:color w:val="000000"/>
                <w:szCs w:val="16"/>
                <w:lang w:val="en-US"/>
              </w:rPr>
              <w:t>50.4</w:t>
            </w:r>
          </w:p>
        </w:tc>
        <w:tc>
          <w:tcPr>
            <w:tcW w:w="1418" w:type="dxa"/>
            <w:tcBorders>
              <w:bottom w:val="single" w:sz="4" w:space="0" w:color="auto"/>
            </w:tcBorders>
          </w:tcPr>
          <w:p w:rsidR="00C11B23" w:rsidRPr="00C11B23" w:rsidRDefault="00C11B23" w:rsidP="00B02BF4">
            <w:pPr>
              <w:pStyle w:val="Tabletext"/>
              <w:ind w:right="454"/>
              <w:jc w:val="right"/>
              <w:rPr>
                <w:rFonts w:ascii="Arial" w:hAnsi="Arial"/>
                <w:b/>
                <w:lang w:val="en-US"/>
              </w:rPr>
            </w:pPr>
            <w:r w:rsidRPr="00C11B23">
              <w:rPr>
                <w:rFonts w:ascii="Arial" w:hAnsi="Arial"/>
                <w:b/>
                <w:lang w:val="en-US"/>
              </w:rPr>
              <w:t>196 612</w:t>
            </w:r>
          </w:p>
        </w:tc>
      </w:tr>
    </w:tbl>
    <w:p w:rsidR="00B1630A" w:rsidRDefault="00C11B23" w:rsidP="00C11B23">
      <w:pPr>
        <w:pStyle w:val="Source"/>
      </w:pPr>
      <w:r>
        <w:t>Source:</w:t>
      </w:r>
      <w:r w:rsidR="00B02BF4">
        <w:tab/>
      </w:r>
      <w:r>
        <w:t xml:space="preserve">Karmel </w:t>
      </w:r>
      <w:r w:rsidR="003F6D45">
        <w:t>&amp;</w:t>
      </w:r>
      <w:r w:rsidR="00463769">
        <w:t xml:space="preserve"> </w:t>
      </w:r>
      <w:r>
        <w:t>Roberts (2012)</w:t>
      </w:r>
      <w:r w:rsidR="007C3C82">
        <w:t>.</w:t>
      </w:r>
    </w:p>
    <w:p w:rsidR="00C11B23" w:rsidRDefault="00AB7DE9" w:rsidP="00B02BF4">
      <w:pPr>
        <w:pStyle w:val="Textmorebefore"/>
      </w:pPr>
      <w:r>
        <w:rPr>
          <w:rFonts w:eastAsia="Calibri"/>
        </w:rPr>
        <w:t xml:space="preserve">Although larger employers experience higher completion rates, most apprentice employers are not large. </w:t>
      </w:r>
      <w:r w:rsidR="00C11B23">
        <w:t xml:space="preserve">Karmel and Roberts </w:t>
      </w:r>
      <w:r w:rsidR="005A1F26">
        <w:t xml:space="preserve">(2012) </w:t>
      </w:r>
      <w:r w:rsidR="00F47B6D">
        <w:t>fou</w:t>
      </w:r>
      <w:r w:rsidR="00C11B23">
        <w:t xml:space="preserve">nd </w:t>
      </w:r>
      <w:r w:rsidR="0090448B">
        <w:t>that 6</w:t>
      </w:r>
      <w:r w:rsidR="00A5067A">
        <w:t>3</w:t>
      </w:r>
      <w:r w:rsidR="0090448B">
        <w:t>%</w:t>
      </w:r>
      <w:r w:rsidR="0052542E">
        <w:t xml:space="preserve"> of employers have only one apprentice; 20% ha</w:t>
      </w:r>
      <w:r w:rsidR="00F47B6D">
        <w:t xml:space="preserve">d </w:t>
      </w:r>
      <w:r w:rsidR="0052542E">
        <w:t xml:space="preserve">two apprentices, and </w:t>
      </w:r>
      <w:r w:rsidR="0090448B">
        <w:t>just</w:t>
      </w:r>
      <w:r w:rsidR="0052542E">
        <w:t xml:space="preserve"> </w:t>
      </w:r>
      <w:r w:rsidR="002F2A96">
        <w:t>1</w:t>
      </w:r>
      <w:r w:rsidR="00F47B6D">
        <w:t>7% had three</w:t>
      </w:r>
      <w:r w:rsidR="00D84B76">
        <w:t xml:space="preserve"> or more apprentices. Further, e</w:t>
      </w:r>
      <w:r w:rsidR="00FC7D5E">
        <w:t>mployers with one apprentice account</w:t>
      </w:r>
      <w:r w:rsidR="00F47B6D">
        <w:t>ed</w:t>
      </w:r>
      <w:r w:rsidR="00FC7D5E">
        <w:t xml:space="preserve"> for 25% of all apprentices, and employers with up to </w:t>
      </w:r>
      <w:r w:rsidR="00F47B6D">
        <w:t>three</w:t>
      </w:r>
      <w:r w:rsidR="00FC7D5E">
        <w:t xml:space="preserve"> apprentices account</w:t>
      </w:r>
      <w:r w:rsidR="00F47B6D">
        <w:t>ed</w:t>
      </w:r>
      <w:r w:rsidR="00FC7D5E">
        <w:t xml:space="preserve"> for 50% of apprentices. So if small employers were discouraged from taking on apprentices, potentially half of the apprenticeship places would be lost. </w:t>
      </w:r>
    </w:p>
    <w:p w:rsidR="00CF67DA" w:rsidRDefault="00B55AAC" w:rsidP="00CF67DA">
      <w:pPr>
        <w:pStyle w:val="Text"/>
      </w:pPr>
      <w:r>
        <w:t xml:space="preserve">The findings of Karmel and Roberts </w:t>
      </w:r>
      <w:r w:rsidR="00F558FA">
        <w:t xml:space="preserve">(2012) </w:t>
      </w:r>
      <w:r>
        <w:t>are supported by other studies.</w:t>
      </w:r>
      <w:r w:rsidR="00197483">
        <w:t xml:space="preserve"> </w:t>
      </w:r>
      <w:r w:rsidR="00955453">
        <w:t xml:space="preserve">Cully and Curtain </w:t>
      </w:r>
      <w:r w:rsidR="00982819">
        <w:t>(2001)</w:t>
      </w:r>
      <w:r w:rsidR="00E32140">
        <w:t xml:space="preserve"> </w:t>
      </w:r>
      <w:r w:rsidR="00982819">
        <w:t xml:space="preserve">revealed that 90% of non-completing apprentices </w:t>
      </w:r>
      <w:r w:rsidR="00955453">
        <w:t xml:space="preserve">surveyed </w:t>
      </w:r>
      <w:r w:rsidR="00982819">
        <w:t>worked for organisations with</w:t>
      </w:r>
      <w:r w:rsidR="00F47B6D">
        <w:t xml:space="preserve"> fewer</w:t>
      </w:r>
      <w:r w:rsidR="00982819">
        <w:t xml:space="preserve"> than 100 employees. Similarly, in their study of Tasmanian building and construction apprentices, Jones </w:t>
      </w:r>
      <w:r w:rsidR="00982819">
        <w:lastRenderedPageBreak/>
        <w:t xml:space="preserve">and </w:t>
      </w:r>
      <w:proofErr w:type="spellStart"/>
      <w:r w:rsidR="00982819">
        <w:t>Muthaya</w:t>
      </w:r>
      <w:proofErr w:type="spellEnd"/>
      <w:r w:rsidR="00982819">
        <w:t xml:space="preserve"> (2011) found that </w:t>
      </w:r>
      <w:r w:rsidR="00955453">
        <w:t xml:space="preserve">only </w:t>
      </w:r>
      <w:r w:rsidR="00A663A3">
        <w:t xml:space="preserve">15% of non-completing apprentices </w:t>
      </w:r>
      <w:r w:rsidR="00955453">
        <w:t>had been</w:t>
      </w:r>
      <w:r w:rsidR="00A663A3">
        <w:t xml:space="preserve"> employed by businesses with over 100 employees.</w:t>
      </w:r>
    </w:p>
    <w:p w:rsidR="000273B6" w:rsidRDefault="000C347D" w:rsidP="00F558FA">
      <w:pPr>
        <w:pStyle w:val="Text"/>
      </w:pPr>
      <w:r>
        <w:t>Little difference is found between</w:t>
      </w:r>
      <w:r w:rsidR="00F558FA">
        <w:t xml:space="preserve"> </w:t>
      </w:r>
      <w:r w:rsidR="007C3C82">
        <w:t xml:space="preserve">the </w:t>
      </w:r>
      <w:r w:rsidR="00F558FA">
        <w:t xml:space="preserve">completion rates </w:t>
      </w:r>
      <w:r>
        <w:t>of</w:t>
      </w:r>
      <w:r w:rsidR="00F558FA">
        <w:t xml:space="preserve"> apprentices </w:t>
      </w:r>
      <w:r w:rsidR="007C3C82">
        <w:t>with</w:t>
      </w:r>
      <w:r w:rsidR="00F558FA">
        <w:t xml:space="preserve"> group training organisations and </w:t>
      </w:r>
      <w:r w:rsidR="00702716">
        <w:t xml:space="preserve">of </w:t>
      </w:r>
      <w:r w:rsidR="00F558FA">
        <w:t xml:space="preserve">those in direct employment. </w:t>
      </w:r>
      <w:r w:rsidR="002878C7">
        <w:t>Approximately 10</w:t>
      </w:r>
      <w:r w:rsidR="008D416D" w:rsidRPr="000273B6">
        <w:t xml:space="preserve">% of </w:t>
      </w:r>
      <w:r w:rsidR="002878C7">
        <w:t xml:space="preserve">commencing </w:t>
      </w:r>
      <w:r w:rsidR="008D416D" w:rsidRPr="000273B6">
        <w:t xml:space="preserve">apprentices are employed </w:t>
      </w:r>
      <w:r w:rsidR="007C3C82">
        <w:t>with</w:t>
      </w:r>
      <w:r w:rsidR="008D416D" w:rsidRPr="000273B6">
        <w:t xml:space="preserve"> group training organisations, while the majority (8</w:t>
      </w:r>
      <w:r w:rsidR="002878C7">
        <w:t>6</w:t>
      </w:r>
      <w:r w:rsidR="008D416D" w:rsidRPr="000273B6">
        <w:t>%) are employed in the private sector</w:t>
      </w:r>
      <w:r w:rsidR="008D416D">
        <w:t>, as shown in table</w:t>
      </w:r>
      <w:r w:rsidR="007E1396">
        <w:t xml:space="preserve"> 1</w:t>
      </w:r>
      <w:r w:rsidR="00035089">
        <w:t>2</w:t>
      </w:r>
      <w:r w:rsidR="008D416D" w:rsidRPr="000273B6">
        <w:t>.</w:t>
      </w:r>
      <w:r w:rsidR="008D416D">
        <w:t xml:space="preserve"> </w:t>
      </w:r>
      <w:r w:rsidR="00F47B6D">
        <w:t>Karmel and Roberts (2012) fou</w:t>
      </w:r>
      <w:r w:rsidR="00F558FA">
        <w:t>nd that group training organisations have slightly higher completion rates</w:t>
      </w:r>
      <w:r w:rsidR="00D04EA4">
        <w:t xml:space="preserve"> than private employers</w:t>
      </w:r>
      <w:r w:rsidR="00F558FA">
        <w:t xml:space="preserve">, </w:t>
      </w:r>
      <w:r w:rsidR="00982819">
        <w:t xml:space="preserve">as </w:t>
      </w:r>
      <w:r w:rsidR="00D84B76">
        <w:t>shown</w:t>
      </w:r>
      <w:r w:rsidR="00982819">
        <w:t xml:space="preserve"> in table </w:t>
      </w:r>
      <w:r w:rsidR="00D04EA4">
        <w:t>10</w:t>
      </w:r>
      <w:r w:rsidR="00982819">
        <w:t xml:space="preserve">, </w:t>
      </w:r>
      <w:r w:rsidR="00F558FA">
        <w:t>but the difference is marginal.</w:t>
      </w:r>
      <w:r w:rsidR="00982819">
        <w:t xml:space="preserve"> The </w:t>
      </w:r>
      <w:r>
        <w:t>most</w:t>
      </w:r>
      <w:r w:rsidR="00982819">
        <w:t xml:space="preserve"> notable difference between types of employers is between government employers and </w:t>
      </w:r>
      <w:r w:rsidR="00841F93">
        <w:t>‘</w:t>
      </w:r>
      <w:r w:rsidR="00982819">
        <w:t>everyone else</w:t>
      </w:r>
      <w:r w:rsidR="00841F93">
        <w:t>’</w:t>
      </w:r>
      <w:r w:rsidR="00982819">
        <w:t xml:space="preserve">. </w:t>
      </w:r>
      <w:r w:rsidR="00702716">
        <w:t>The c</w:t>
      </w:r>
      <w:r w:rsidR="008B0746">
        <w:t>ompletion</w:t>
      </w:r>
      <w:r w:rsidR="00982819">
        <w:t xml:space="preserve"> rates </w:t>
      </w:r>
      <w:r w:rsidR="007C3C82">
        <w:t>with</w:t>
      </w:r>
      <w:r w:rsidR="00982819">
        <w:t xml:space="preserve"> government employers are </w:t>
      </w:r>
      <w:r w:rsidR="00F47B6D">
        <w:t>about 25—</w:t>
      </w:r>
      <w:r w:rsidR="00982819">
        <w:t>30</w:t>
      </w:r>
      <w:r w:rsidR="0036674F">
        <w:t xml:space="preserve"> percentage points</w:t>
      </w:r>
      <w:r w:rsidR="00982819">
        <w:t xml:space="preserve"> higher than </w:t>
      </w:r>
      <w:r w:rsidR="00702716">
        <w:t xml:space="preserve">those </w:t>
      </w:r>
      <w:r w:rsidR="00F47B6D">
        <w:t>with</w:t>
      </w:r>
      <w:r w:rsidR="00982819">
        <w:t xml:space="preserve"> private </w:t>
      </w:r>
      <w:r w:rsidR="008B0746">
        <w:t xml:space="preserve">employers </w:t>
      </w:r>
      <w:r w:rsidR="00982819">
        <w:t>or group training organisations.</w:t>
      </w:r>
    </w:p>
    <w:p w:rsidR="00AF0F69" w:rsidRPr="0036674F" w:rsidRDefault="00AF0F69" w:rsidP="00B02BF4">
      <w:pPr>
        <w:pStyle w:val="tabletitle"/>
      </w:pPr>
      <w:bookmarkStart w:id="106" w:name="_Toc376874277"/>
      <w:r w:rsidRPr="0036674F">
        <w:t xml:space="preserve">Table </w:t>
      </w:r>
      <w:r w:rsidR="00035089" w:rsidRPr="0036674F">
        <w:t>12</w:t>
      </w:r>
      <w:r w:rsidR="007E1396" w:rsidRPr="0036674F">
        <w:tab/>
      </w:r>
      <w:r w:rsidR="00C74CDC" w:rsidRPr="00B02BF4">
        <w:t>Commencing</w:t>
      </w:r>
      <w:r w:rsidR="00C74CDC" w:rsidRPr="0036674F">
        <w:t xml:space="preserve"> apprenticeship contracts</w:t>
      </w:r>
      <w:r w:rsidRPr="0036674F">
        <w:t xml:space="preserve"> by employer type</w:t>
      </w:r>
      <w:r w:rsidR="00C74CDC" w:rsidRPr="0036674F">
        <w:t>, 2012</w:t>
      </w:r>
      <w:bookmarkEnd w:id="10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3119"/>
      </w:tblGrid>
      <w:tr w:rsidR="00B02BF4" w:rsidRPr="0036674F" w:rsidTr="00B02BF4">
        <w:trPr>
          <w:trHeight w:val="390"/>
        </w:trPr>
        <w:tc>
          <w:tcPr>
            <w:tcW w:w="3118" w:type="dxa"/>
            <w:vMerge w:val="restart"/>
            <w:tcBorders>
              <w:top w:val="single" w:sz="4" w:space="0" w:color="auto"/>
            </w:tcBorders>
          </w:tcPr>
          <w:p w:rsidR="00B02BF4" w:rsidRPr="0036674F" w:rsidRDefault="00B02BF4" w:rsidP="000273B6">
            <w:pPr>
              <w:pStyle w:val="Tablehead1"/>
              <w:rPr>
                <w:lang w:val="en-US"/>
              </w:rPr>
            </w:pPr>
            <w:r>
              <w:rPr>
                <w:lang w:val="en-US"/>
              </w:rPr>
              <w:t>Employer t</w:t>
            </w:r>
            <w:r w:rsidRPr="0036674F">
              <w:rPr>
                <w:lang w:val="en-US"/>
              </w:rPr>
              <w:t>ype</w:t>
            </w:r>
          </w:p>
        </w:tc>
        <w:tc>
          <w:tcPr>
            <w:tcW w:w="3119" w:type="dxa"/>
            <w:tcBorders>
              <w:top w:val="single" w:sz="4" w:space="0" w:color="auto"/>
            </w:tcBorders>
          </w:tcPr>
          <w:p w:rsidR="00B02BF4" w:rsidRPr="0036674F" w:rsidRDefault="00B02BF4" w:rsidP="00B02BF4">
            <w:pPr>
              <w:pStyle w:val="Tablehead1"/>
              <w:jc w:val="center"/>
              <w:rPr>
                <w:lang w:val="en-US"/>
              </w:rPr>
            </w:pPr>
            <w:r w:rsidRPr="0036674F">
              <w:rPr>
                <w:lang w:val="en-US"/>
              </w:rPr>
              <w:t>Proportion of commencing</w:t>
            </w:r>
            <w:r w:rsidRPr="0036674F">
              <w:rPr>
                <w:lang w:val="en-US"/>
              </w:rPr>
              <w:br/>
              <w:t>apprenticeship contracts</w:t>
            </w:r>
            <w:r w:rsidRPr="0036674F">
              <w:rPr>
                <w:vertAlign w:val="superscript"/>
                <w:lang w:val="en-US"/>
              </w:rPr>
              <w:t>1</w:t>
            </w:r>
          </w:p>
        </w:tc>
      </w:tr>
      <w:tr w:rsidR="00B02BF4" w:rsidRPr="0036674F" w:rsidTr="00B02BF4">
        <w:trPr>
          <w:trHeight w:val="390"/>
        </w:trPr>
        <w:tc>
          <w:tcPr>
            <w:tcW w:w="3118" w:type="dxa"/>
            <w:vMerge/>
            <w:tcBorders>
              <w:bottom w:val="single" w:sz="4" w:space="0" w:color="auto"/>
            </w:tcBorders>
          </w:tcPr>
          <w:p w:rsidR="00B02BF4" w:rsidRDefault="00B02BF4" w:rsidP="000273B6">
            <w:pPr>
              <w:pStyle w:val="Tablehead1"/>
              <w:rPr>
                <w:lang w:val="en-US"/>
              </w:rPr>
            </w:pPr>
          </w:p>
        </w:tc>
        <w:tc>
          <w:tcPr>
            <w:tcW w:w="3119" w:type="dxa"/>
            <w:tcBorders>
              <w:bottom w:val="single" w:sz="4" w:space="0" w:color="auto"/>
            </w:tcBorders>
          </w:tcPr>
          <w:p w:rsidR="00B02BF4" w:rsidRPr="0036674F" w:rsidRDefault="00B02BF4" w:rsidP="00B02BF4">
            <w:pPr>
              <w:pStyle w:val="Tablehead2"/>
              <w:jc w:val="center"/>
              <w:rPr>
                <w:lang w:val="en-US"/>
              </w:rPr>
            </w:pPr>
            <w:r w:rsidRPr="0036674F">
              <w:rPr>
                <w:lang w:val="en-US"/>
              </w:rPr>
              <w:t>(%)</w:t>
            </w:r>
          </w:p>
        </w:tc>
      </w:tr>
      <w:tr w:rsidR="00C74CDC" w:rsidRPr="0036674F" w:rsidTr="00B02BF4">
        <w:tc>
          <w:tcPr>
            <w:tcW w:w="3118" w:type="dxa"/>
            <w:tcBorders>
              <w:top w:val="single" w:sz="4" w:space="0" w:color="auto"/>
            </w:tcBorders>
          </w:tcPr>
          <w:p w:rsidR="00C74CDC" w:rsidRPr="0036674F" w:rsidRDefault="00C74CDC" w:rsidP="00B02BF4">
            <w:pPr>
              <w:pStyle w:val="Tabletext"/>
              <w:rPr>
                <w:lang w:val="en-US"/>
              </w:rPr>
            </w:pPr>
            <w:r w:rsidRPr="0036674F">
              <w:rPr>
                <w:lang w:val="en-US"/>
              </w:rPr>
              <w:t>Government</w:t>
            </w:r>
          </w:p>
        </w:tc>
        <w:tc>
          <w:tcPr>
            <w:tcW w:w="3119" w:type="dxa"/>
            <w:tcBorders>
              <w:top w:val="single" w:sz="4" w:space="0" w:color="auto"/>
            </w:tcBorders>
            <w:shd w:val="clear" w:color="auto" w:fill="auto"/>
          </w:tcPr>
          <w:p w:rsidR="00C74CDC" w:rsidRPr="0036674F" w:rsidRDefault="00C74CDC" w:rsidP="00BE769D">
            <w:pPr>
              <w:pStyle w:val="Tabletext"/>
              <w:tabs>
                <w:tab w:val="decimal" w:pos="1389"/>
              </w:tabs>
              <w:rPr>
                <w:rFonts w:ascii="Arial" w:hAnsi="Arial" w:cs="Arial"/>
                <w:color w:val="000000"/>
                <w:szCs w:val="16"/>
                <w:lang w:val="en-US"/>
              </w:rPr>
            </w:pPr>
            <w:r w:rsidRPr="0036674F">
              <w:rPr>
                <w:rFonts w:ascii="Arial" w:hAnsi="Arial" w:cs="Arial"/>
                <w:color w:val="000000"/>
                <w:szCs w:val="16"/>
                <w:lang w:val="en-US"/>
              </w:rPr>
              <w:t>4.4</w:t>
            </w:r>
          </w:p>
        </w:tc>
      </w:tr>
      <w:tr w:rsidR="00C74CDC" w:rsidRPr="0036674F" w:rsidTr="00B02BF4">
        <w:tc>
          <w:tcPr>
            <w:tcW w:w="3118" w:type="dxa"/>
          </w:tcPr>
          <w:p w:rsidR="00C74CDC" w:rsidRPr="0036674F" w:rsidRDefault="00C74CDC" w:rsidP="00B02BF4">
            <w:pPr>
              <w:pStyle w:val="Tabletext"/>
              <w:rPr>
                <w:lang w:val="en-US"/>
              </w:rPr>
            </w:pPr>
            <w:r w:rsidRPr="0036674F">
              <w:rPr>
                <w:lang w:val="en-US"/>
              </w:rPr>
              <w:t>Private sector</w:t>
            </w:r>
          </w:p>
        </w:tc>
        <w:tc>
          <w:tcPr>
            <w:tcW w:w="3119" w:type="dxa"/>
            <w:shd w:val="clear" w:color="auto" w:fill="auto"/>
          </w:tcPr>
          <w:p w:rsidR="00C74CDC" w:rsidRPr="0036674F" w:rsidRDefault="00C74CDC" w:rsidP="00BE769D">
            <w:pPr>
              <w:pStyle w:val="Tabletext"/>
              <w:tabs>
                <w:tab w:val="decimal" w:pos="1389"/>
              </w:tabs>
              <w:rPr>
                <w:rFonts w:ascii="Arial" w:hAnsi="Arial" w:cs="Arial"/>
                <w:color w:val="000000"/>
                <w:szCs w:val="16"/>
                <w:lang w:val="en-US"/>
              </w:rPr>
            </w:pPr>
            <w:r w:rsidRPr="0036674F">
              <w:rPr>
                <w:rFonts w:ascii="Arial" w:hAnsi="Arial" w:cs="Arial"/>
                <w:color w:val="000000"/>
                <w:szCs w:val="16"/>
                <w:lang w:val="en-US"/>
              </w:rPr>
              <w:t>85.5</w:t>
            </w:r>
          </w:p>
        </w:tc>
      </w:tr>
      <w:tr w:rsidR="00C74CDC" w:rsidRPr="0036674F" w:rsidTr="00B02BF4">
        <w:tc>
          <w:tcPr>
            <w:tcW w:w="3118" w:type="dxa"/>
          </w:tcPr>
          <w:p w:rsidR="00C74CDC" w:rsidRPr="0036674F" w:rsidRDefault="00C74CDC" w:rsidP="00B02BF4">
            <w:pPr>
              <w:pStyle w:val="Tabletext"/>
              <w:rPr>
                <w:lang w:val="en-US"/>
              </w:rPr>
            </w:pPr>
            <w:r w:rsidRPr="0036674F">
              <w:rPr>
                <w:lang w:val="en-US"/>
              </w:rPr>
              <w:t>Group training scheme</w:t>
            </w:r>
          </w:p>
        </w:tc>
        <w:tc>
          <w:tcPr>
            <w:tcW w:w="3119" w:type="dxa"/>
            <w:shd w:val="clear" w:color="auto" w:fill="auto"/>
          </w:tcPr>
          <w:p w:rsidR="00C74CDC" w:rsidRPr="0036674F" w:rsidRDefault="00C74CDC" w:rsidP="00BE769D">
            <w:pPr>
              <w:pStyle w:val="Tabletext"/>
              <w:tabs>
                <w:tab w:val="decimal" w:pos="1389"/>
              </w:tabs>
              <w:rPr>
                <w:rFonts w:ascii="Arial" w:hAnsi="Arial" w:cs="Arial"/>
                <w:color w:val="000000"/>
                <w:szCs w:val="16"/>
                <w:lang w:val="en-US"/>
              </w:rPr>
            </w:pPr>
            <w:r w:rsidRPr="0036674F">
              <w:rPr>
                <w:rFonts w:ascii="Arial" w:hAnsi="Arial" w:cs="Arial"/>
                <w:color w:val="000000"/>
                <w:szCs w:val="16"/>
                <w:lang w:val="en-US"/>
              </w:rPr>
              <w:t>10.1</w:t>
            </w:r>
          </w:p>
        </w:tc>
      </w:tr>
      <w:tr w:rsidR="00766117" w:rsidRPr="0036674F" w:rsidTr="00B02BF4">
        <w:tc>
          <w:tcPr>
            <w:tcW w:w="3118" w:type="dxa"/>
            <w:tcBorders>
              <w:bottom w:val="single" w:sz="4" w:space="0" w:color="auto"/>
            </w:tcBorders>
          </w:tcPr>
          <w:p w:rsidR="00766117" w:rsidRPr="0036674F" w:rsidRDefault="00766117" w:rsidP="00B02BF4">
            <w:pPr>
              <w:pStyle w:val="Tabletext"/>
              <w:rPr>
                <w:rFonts w:cs="Arial"/>
                <w:b/>
                <w:color w:val="000000"/>
                <w:szCs w:val="16"/>
                <w:lang w:val="en-US"/>
              </w:rPr>
            </w:pPr>
            <w:r w:rsidRPr="0036674F">
              <w:rPr>
                <w:rFonts w:cs="Arial"/>
                <w:b/>
                <w:color w:val="000000"/>
                <w:szCs w:val="16"/>
                <w:lang w:val="en-US"/>
              </w:rPr>
              <w:t>Total</w:t>
            </w:r>
          </w:p>
        </w:tc>
        <w:tc>
          <w:tcPr>
            <w:tcW w:w="3119" w:type="dxa"/>
            <w:tcBorders>
              <w:bottom w:val="single" w:sz="4" w:space="0" w:color="auto"/>
            </w:tcBorders>
            <w:shd w:val="clear" w:color="auto" w:fill="auto"/>
          </w:tcPr>
          <w:p w:rsidR="00766117" w:rsidRPr="0036674F" w:rsidRDefault="00766117" w:rsidP="00BE769D">
            <w:pPr>
              <w:pStyle w:val="Tabletext"/>
              <w:tabs>
                <w:tab w:val="decimal" w:pos="1389"/>
              </w:tabs>
              <w:rPr>
                <w:rFonts w:ascii="Arial" w:hAnsi="Arial" w:cs="Arial"/>
                <w:b/>
                <w:color w:val="000000"/>
                <w:szCs w:val="16"/>
                <w:lang w:val="en-US"/>
              </w:rPr>
            </w:pPr>
            <w:r w:rsidRPr="0036674F">
              <w:rPr>
                <w:rFonts w:ascii="Arial" w:hAnsi="Arial" w:cs="Arial"/>
                <w:b/>
                <w:color w:val="000000"/>
                <w:szCs w:val="16"/>
                <w:lang w:val="en-US"/>
              </w:rPr>
              <w:t>100</w:t>
            </w:r>
          </w:p>
        </w:tc>
      </w:tr>
    </w:tbl>
    <w:p w:rsidR="001D33A5" w:rsidRDefault="001D33A5" w:rsidP="00BE769D">
      <w:pPr>
        <w:pStyle w:val="Source"/>
        <w:tabs>
          <w:tab w:val="left" w:pos="567"/>
        </w:tabs>
        <w:ind w:left="709" w:hanging="709"/>
      </w:pPr>
      <w:r w:rsidRPr="0036674F">
        <w:t>Notes:</w:t>
      </w:r>
      <w:r w:rsidR="00BE769D">
        <w:tab/>
      </w:r>
      <w:r w:rsidRPr="0036674F">
        <w:t>1</w:t>
      </w:r>
      <w:r w:rsidR="00BE769D">
        <w:tab/>
      </w:r>
      <w:r w:rsidRPr="0036674F">
        <w:t xml:space="preserve">Includes trade occupations only, which are defined as major occupation group 3 – </w:t>
      </w:r>
      <w:r w:rsidR="00BE769D">
        <w:br/>
      </w:r>
      <w:r w:rsidRPr="0036674F">
        <w:t xml:space="preserve">Technicians and trades workers (ANZSCO </w:t>
      </w:r>
      <w:r w:rsidR="00944159" w:rsidRPr="0036674F">
        <w:t>First</w:t>
      </w:r>
      <w:r w:rsidRPr="0036674F">
        <w:t xml:space="preserve"> edition</w:t>
      </w:r>
      <w:r w:rsidR="00944159" w:rsidRPr="0036674F">
        <w:t>, revision 1</w:t>
      </w:r>
      <w:r w:rsidRPr="0036674F">
        <w:t>).</w:t>
      </w:r>
    </w:p>
    <w:p w:rsidR="00F47B6D" w:rsidRPr="0036674F" w:rsidRDefault="00BE769D" w:rsidP="00F47B6D">
      <w:pPr>
        <w:pStyle w:val="Source"/>
      </w:pPr>
      <w:r>
        <w:t>Source:</w:t>
      </w:r>
      <w:r>
        <w:tab/>
      </w:r>
      <w:r w:rsidR="00F47B6D" w:rsidRPr="0036674F">
        <w:t>NCVER Apprentice and Trainee Collection, March 2013 estimates</w:t>
      </w:r>
      <w:r w:rsidR="00F47B6D">
        <w:t>.</w:t>
      </w:r>
    </w:p>
    <w:p w:rsidR="00596C98" w:rsidRDefault="00BA599D" w:rsidP="00B02BF4">
      <w:pPr>
        <w:pStyle w:val="Textmorebefore"/>
      </w:pPr>
      <w:r w:rsidRPr="00BA599D">
        <w:t>It is perhaps surprising</w:t>
      </w:r>
      <w:r w:rsidR="002A161D" w:rsidRPr="00BA599D">
        <w:t xml:space="preserve"> that </w:t>
      </w:r>
      <w:r w:rsidR="007C3C82">
        <w:t xml:space="preserve">the </w:t>
      </w:r>
      <w:r w:rsidR="002A161D" w:rsidRPr="00BA599D">
        <w:t>completion</w:t>
      </w:r>
      <w:r w:rsidR="00596C98" w:rsidRPr="00BA599D">
        <w:t xml:space="preserve"> rates </w:t>
      </w:r>
      <w:r w:rsidR="007C3C82">
        <w:t>with</w:t>
      </w:r>
      <w:r w:rsidR="00596C98" w:rsidRPr="00BA599D">
        <w:t xml:space="preserve"> group training organisations are only fractionally higher than</w:t>
      </w:r>
      <w:r w:rsidR="00702716">
        <w:t xml:space="preserve"> those</w:t>
      </w:r>
      <w:r w:rsidR="00596C98" w:rsidRPr="00BA599D">
        <w:t xml:space="preserve"> </w:t>
      </w:r>
      <w:r w:rsidR="007C3C82">
        <w:t>with</w:t>
      </w:r>
      <w:r w:rsidR="00596C98" w:rsidRPr="00BA599D">
        <w:t xml:space="preserve"> private employers, </w:t>
      </w:r>
      <w:r w:rsidRPr="00BA599D">
        <w:t>given</w:t>
      </w:r>
      <w:r w:rsidR="00596C98" w:rsidRPr="00BA599D">
        <w:t xml:space="preserve"> that group training organisations possess many of the characteristi</w:t>
      </w:r>
      <w:r w:rsidRPr="00BA599D">
        <w:t xml:space="preserve">cs associated with higher </w:t>
      </w:r>
      <w:r w:rsidR="00596C98" w:rsidRPr="00BA599D">
        <w:t xml:space="preserve">completion rates. </w:t>
      </w:r>
      <w:r w:rsidRPr="00BA599D">
        <w:t>These characteristics are discussed in more detail in the following sections</w:t>
      </w:r>
      <w:r w:rsidR="00596C98" w:rsidRPr="00BA599D">
        <w:t xml:space="preserve"> </w:t>
      </w:r>
      <w:r w:rsidRPr="00BA599D">
        <w:t xml:space="preserve">and include </w:t>
      </w:r>
      <w:r w:rsidR="00596C98" w:rsidRPr="00BA599D">
        <w:t xml:space="preserve">rigorous recruitment practices, structured programs, </w:t>
      </w:r>
      <w:r w:rsidR="00F47B6D">
        <w:t>the provision of</w:t>
      </w:r>
      <w:r w:rsidR="00596C98" w:rsidRPr="00BA599D">
        <w:t xml:space="preserve"> varied work and </w:t>
      </w:r>
      <w:r w:rsidRPr="00BA599D">
        <w:t>support and mentoring</w:t>
      </w:r>
      <w:r w:rsidR="00596C98" w:rsidRPr="00BA599D">
        <w:t xml:space="preserve">. Future research could investigate why group training organisations do not seem to experience higher completion rates than private employers, despite possessing </w:t>
      </w:r>
      <w:r w:rsidRPr="00BA599D">
        <w:t xml:space="preserve">many of </w:t>
      </w:r>
      <w:r w:rsidR="00596C98" w:rsidRPr="00BA599D">
        <w:t>these characteristics.</w:t>
      </w:r>
    </w:p>
    <w:p w:rsidR="00E132E5" w:rsidRDefault="00E132E5" w:rsidP="00E132E5">
      <w:pPr>
        <w:pStyle w:val="Heading2"/>
      </w:pPr>
      <w:bookmarkStart w:id="107" w:name="_Toc377040311"/>
      <w:r>
        <w:t>Other employer characteristics</w:t>
      </w:r>
      <w:bookmarkEnd w:id="107"/>
    </w:p>
    <w:p w:rsidR="004F79E0" w:rsidRDefault="00713BFD" w:rsidP="00AB7DE9">
      <w:pPr>
        <w:pStyle w:val="Text"/>
        <w:rPr>
          <w:rFonts w:eastAsia="Calibri"/>
        </w:rPr>
      </w:pPr>
      <w:r>
        <w:t xml:space="preserve">Dickie, McDonald and </w:t>
      </w:r>
      <w:proofErr w:type="spellStart"/>
      <w:r>
        <w:t>Pedic</w:t>
      </w:r>
      <w:r w:rsidR="00841F93">
        <w:t>’</w:t>
      </w:r>
      <w:r>
        <w:t>s</w:t>
      </w:r>
      <w:proofErr w:type="spellEnd"/>
      <w:r>
        <w:t xml:space="preserve"> (2011) </w:t>
      </w:r>
      <w:r w:rsidR="004F79E0">
        <w:t>extensive</w:t>
      </w:r>
      <w:r w:rsidR="00F47B6D">
        <w:t xml:space="preserve"> NSW study </w:t>
      </w:r>
      <w:r w:rsidR="004F79E0">
        <w:t xml:space="preserve">interviewed 500 employers of apprentices. The focus was </w:t>
      </w:r>
      <w:r w:rsidR="004F79E0" w:rsidRPr="00197483">
        <w:t>on industries with skills shortages</w:t>
      </w:r>
      <w:r w:rsidR="00D84B76">
        <w:t>, including</w:t>
      </w:r>
      <w:r w:rsidR="004F79E0">
        <w:t xml:space="preserve"> </w:t>
      </w:r>
      <w:r w:rsidR="004F79E0" w:rsidRPr="00197483">
        <w:t>building and construction, engine</w:t>
      </w:r>
      <w:r w:rsidR="00354AC3">
        <w:t>ering, electrical</w:t>
      </w:r>
      <w:r w:rsidR="007C3C82">
        <w:t>,</w:t>
      </w:r>
      <w:r w:rsidR="00354AC3">
        <w:t xml:space="preserve"> automotive and</w:t>
      </w:r>
      <w:r w:rsidR="004F79E0" w:rsidRPr="00197483">
        <w:t xml:space="preserve"> cookery. </w:t>
      </w:r>
      <w:r w:rsidR="004F79E0">
        <w:t xml:space="preserve">In addition to business size, </w:t>
      </w:r>
      <w:r w:rsidR="00FC7D5E">
        <w:t>the authors</w:t>
      </w:r>
      <w:r w:rsidR="004F79E0">
        <w:rPr>
          <w:rFonts w:eastAsia="Calibri"/>
        </w:rPr>
        <w:t xml:space="preserve"> identified several other</w:t>
      </w:r>
      <w:r w:rsidR="00BE769D">
        <w:rPr>
          <w:rFonts w:eastAsia="Calibri"/>
        </w:rPr>
        <w:t> </w:t>
      </w:r>
      <w:r w:rsidR="004F79E0">
        <w:rPr>
          <w:rFonts w:eastAsia="Calibri"/>
        </w:rPr>
        <w:t>employer factors influencing apprenticeship outcomes</w:t>
      </w:r>
      <w:r w:rsidR="00702716">
        <w:rPr>
          <w:rFonts w:eastAsia="Calibri"/>
        </w:rPr>
        <w:t>,</w:t>
      </w:r>
      <w:r w:rsidR="00AB7DE9">
        <w:rPr>
          <w:rFonts w:eastAsia="Calibri"/>
        </w:rPr>
        <w:t xml:space="preserve"> categoris</w:t>
      </w:r>
      <w:r w:rsidR="00702716">
        <w:rPr>
          <w:rFonts w:eastAsia="Calibri"/>
        </w:rPr>
        <w:t>ing</w:t>
      </w:r>
      <w:r w:rsidR="00AB7DE9">
        <w:rPr>
          <w:rFonts w:eastAsia="Calibri"/>
        </w:rPr>
        <w:t xml:space="preserve"> emplo</w:t>
      </w:r>
      <w:r w:rsidR="00FC7D5E">
        <w:rPr>
          <w:rFonts w:eastAsia="Calibri"/>
        </w:rPr>
        <w:t>yers into three distinct groups.</w:t>
      </w:r>
    </w:p>
    <w:p w:rsidR="00EF2EE2" w:rsidRDefault="004F79E0" w:rsidP="002040C6">
      <w:pPr>
        <w:pStyle w:val="Text"/>
      </w:pPr>
      <w:r>
        <w:t xml:space="preserve">Employers with </w:t>
      </w:r>
      <w:r w:rsidR="00AB7DE9">
        <w:t>the lowest retention rates (</w:t>
      </w:r>
      <w:r>
        <w:t>50% or less</w:t>
      </w:r>
      <w:r w:rsidR="00AB7DE9">
        <w:t>)</w:t>
      </w:r>
      <w:r w:rsidR="00713BFD">
        <w:t xml:space="preserve"> tended to employ between one and </w:t>
      </w:r>
      <w:r>
        <w:t xml:space="preserve">15 people and to have been in operation for </w:t>
      </w:r>
      <w:r w:rsidR="00FC7D5E">
        <w:t>under</w:t>
      </w:r>
      <w:r w:rsidR="00713BFD">
        <w:t xml:space="preserve"> five years;</w:t>
      </w:r>
      <w:r>
        <w:t xml:space="preserve"> they usually </w:t>
      </w:r>
      <w:r w:rsidR="00713BFD">
        <w:t xml:space="preserve">also </w:t>
      </w:r>
      <w:r>
        <w:t xml:space="preserve">only employed one apprentice at a time. These employers did not have a </w:t>
      </w:r>
      <w:r w:rsidR="00713BFD">
        <w:t>human resources</w:t>
      </w:r>
      <w:r>
        <w:t xml:space="preserve"> department, and the business was not influenced by industry associations. Financial incentives mattered to them. </w:t>
      </w:r>
      <w:r w:rsidR="007318E5">
        <w:t>Employer</w:t>
      </w:r>
      <w:r>
        <w:t xml:space="preserve"> views on</w:t>
      </w:r>
      <w:r w:rsidR="007318E5">
        <w:t xml:space="preserve"> financial</w:t>
      </w:r>
      <w:r>
        <w:t xml:space="preserve"> incentives</w:t>
      </w:r>
      <w:r w:rsidR="007318E5">
        <w:t xml:space="preserve"> are discussed</w:t>
      </w:r>
      <w:r>
        <w:t xml:space="preserve"> in more detail later.</w:t>
      </w:r>
    </w:p>
    <w:p w:rsidR="000C2D35" w:rsidRDefault="000C2D35">
      <w:pPr>
        <w:rPr>
          <w:rFonts w:ascii="Trebuchet MS" w:eastAsia="Calibri" w:hAnsi="Trebuchet MS"/>
          <w:sz w:val="19"/>
          <w:szCs w:val="20"/>
          <w:lang w:eastAsia="en-US"/>
        </w:rPr>
      </w:pPr>
      <w:r>
        <w:rPr>
          <w:rFonts w:eastAsia="Calibri"/>
        </w:rPr>
        <w:br w:type="page"/>
      </w:r>
    </w:p>
    <w:p w:rsidR="004F79E0" w:rsidRPr="004F79E0" w:rsidRDefault="004F79E0" w:rsidP="00E22552">
      <w:pPr>
        <w:pStyle w:val="Text"/>
        <w:rPr>
          <w:rFonts w:eastAsia="Calibri"/>
        </w:rPr>
      </w:pPr>
      <w:r>
        <w:rPr>
          <w:rFonts w:eastAsia="Calibri"/>
        </w:rPr>
        <w:lastRenderedPageBreak/>
        <w:t>Employers</w:t>
      </w:r>
      <w:r w:rsidR="00EF2EE2" w:rsidRPr="00D50FD5">
        <w:rPr>
          <w:rFonts w:eastAsia="Calibri"/>
        </w:rPr>
        <w:t xml:space="preserve"> </w:t>
      </w:r>
      <w:r w:rsidR="00713BFD">
        <w:rPr>
          <w:rFonts w:eastAsia="Calibri"/>
        </w:rPr>
        <w:t>with medium retention rates (50—</w:t>
      </w:r>
      <w:r w:rsidR="00EF2EE2" w:rsidRPr="00D50FD5">
        <w:rPr>
          <w:rFonts w:eastAsia="Calibri"/>
        </w:rPr>
        <w:t>69%</w:t>
      </w:r>
      <w:r>
        <w:rPr>
          <w:rFonts w:eastAsia="Calibri"/>
        </w:rPr>
        <w:t xml:space="preserve">) tended to have more structure and management than those with the lowest retention rates. Of note was that they tended to have someone who assisted with </w:t>
      </w:r>
      <w:r w:rsidR="00713BFD">
        <w:t xml:space="preserve">human resources </w:t>
      </w:r>
      <w:r w:rsidR="007C3C82">
        <w:rPr>
          <w:rFonts w:eastAsia="Calibri"/>
        </w:rPr>
        <w:t>matters</w:t>
      </w:r>
      <w:r>
        <w:rPr>
          <w:rFonts w:eastAsia="Calibri"/>
        </w:rPr>
        <w:t xml:space="preserve"> and to employ </w:t>
      </w:r>
      <w:r w:rsidR="00713BFD">
        <w:rPr>
          <w:rFonts w:eastAsia="Calibri"/>
        </w:rPr>
        <w:t>two to three</w:t>
      </w:r>
      <w:r>
        <w:rPr>
          <w:rFonts w:eastAsia="Calibri"/>
        </w:rPr>
        <w:t xml:space="preserve"> apprentices at a time, rather than only one.</w:t>
      </w:r>
    </w:p>
    <w:p w:rsidR="00955453" w:rsidRPr="00275CA0" w:rsidRDefault="00FC7D5E" w:rsidP="00BA599D">
      <w:pPr>
        <w:pStyle w:val="Text"/>
      </w:pPr>
      <w:r w:rsidRPr="00275CA0">
        <w:t>Employers</w:t>
      </w:r>
      <w:r w:rsidR="004F79E0" w:rsidRPr="00275CA0">
        <w:t xml:space="preserve"> with </w:t>
      </w:r>
      <w:r w:rsidR="00713BFD">
        <w:t>the highest retention rates (70—</w:t>
      </w:r>
      <w:proofErr w:type="gramStart"/>
      <w:r w:rsidR="004F79E0" w:rsidRPr="00275CA0">
        <w:t>90%</w:t>
      </w:r>
      <w:proofErr w:type="gramEnd"/>
      <w:r w:rsidR="004F79E0" w:rsidRPr="00275CA0">
        <w:t>+) tended to be larger businesses</w:t>
      </w:r>
      <w:r w:rsidR="000C2D35">
        <w:t>,</w:t>
      </w:r>
      <w:r w:rsidR="004F79E0" w:rsidRPr="00275CA0">
        <w:t xml:space="preserve"> employing 50 or more employees. H</w:t>
      </w:r>
      <w:r w:rsidR="00E22552" w:rsidRPr="00275CA0">
        <w:t>owever</w:t>
      </w:r>
      <w:r w:rsidR="00713BFD">
        <w:t>, the exception was small</w:t>
      </w:r>
      <w:r w:rsidR="00E22552" w:rsidRPr="00275CA0">
        <w:t xml:space="preserve"> </w:t>
      </w:r>
      <w:r w:rsidR="004F79E0" w:rsidRPr="00275CA0">
        <w:t xml:space="preserve">experienced employers who had been in operation for over </w:t>
      </w:r>
      <w:r w:rsidR="00713BFD">
        <w:t>ten</w:t>
      </w:r>
      <w:r w:rsidR="004F79E0" w:rsidRPr="00275CA0">
        <w:t xml:space="preserve"> years, who also enjoyed high completion rates. Financial incentives were seen as less important for </w:t>
      </w:r>
      <w:r w:rsidR="00E22552" w:rsidRPr="00275CA0">
        <w:t>the employers with medium and high retention rates.</w:t>
      </w:r>
      <w:r w:rsidR="008932F1" w:rsidRPr="00275CA0">
        <w:t xml:space="preserve"> The characteristics of the three groups of empl</w:t>
      </w:r>
      <w:r w:rsidR="00035089" w:rsidRPr="00275CA0">
        <w:t>oyers are summarised in table 13</w:t>
      </w:r>
      <w:r w:rsidR="008932F1" w:rsidRPr="00275CA0">
        <w:t>.</w:t>
      </w:r>
    </w:p>
    <w:p w:rsidR="00CF67DA" w:rsidRPr="00C11B23" w:rsidRDefault="00CF67DA" w:rsidP="00865B97">
      <w:pPr>
        <w:pStyle w:val="tabletitle"/>
      </w:pPr>
      <w:bookmarkStart w:id="108" w:name="_Toc376874278"/>
      <w:bookmarkStart w:id="109" w:name="OLE_LINK39"/>
      <w:bookmarkStart w:id="110" w:name="OLE_LINK40"/>
      <w:r w:rsidRPr="00C11B23">
        <w:t xml:space="preserve">Table </w:t>
      </w:r>
      <w:r w:rsidR="00035089">
        <w:t>13</w:t>
      </w:r>
      <w:r w:rsidR="007E1396">
        <w:tab/>
      </w:r>
      <w:r>
        <w:t xml:space="preserve">Summary of the characteristics of employers with </w:t>
      </w:r>
      <w:r w:rsidR="00BD7040">
        <w:t>low, medium and high</w:t>
      </w:r>
      <w:r>
        <w:t xml:space="preserve"> retention rates</w:t>
      </w:r>
      <w:bookmarkEnd w:id="108"/>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1"/>
        <w:gridCol w:w="2432"/>
        <w:gridCol w:w="2433"/>
        <w:gridCol w:w="2433"/>
      </w:tblGrid>
      <w:tr w:rsidR="004856AF" w:rsidRPr="00BE769D" w:rsidTr="00BE769D">
        <w:tc>
          <w:tcPr>
            <w:tcW w:w="1491" w:type="dxa"/>
            <w:tcBorders>
              <w:top w:val="single" w:sz="4" w:space="0" w:color="auto"/>
            </w:tcBorders>
          </w:tcPr>
          <w:p w:rsidR="004856AF" w:rsidRPr="00BE769D" w:rsidRDefault="004856AF" w:rsidP="00BE769D">
            <w:pPr>
              <w:pStyle w:val="Tablehead1"/>
            </w:pPr>
          </w:p>
        </w:tc>
        <w:tc>
          <w:tcPr>
            <w:tcW w:w="7298" w:type="dxa"/>
            <w:gridSpan w:val="3"/>
            <w:tcBorders>
              <w:top w:val="single" w:sz="4" w:space="0" w:color="auto"/>
            </w:tcBorders>
          </w:tcPr>
          <w:p w:rsidR="004856AF" w:rsidRPr="00BE769D" w:rsidRDefault="004856AF" w:rsidP="00BE769D">
            <w:pPr>
              <w:pStyle w:val="Tablehead1"/>
              <w:jc w:val="center"/>
            </w:pPr>
            <w:r w:rsidRPr="00BE769D">
              <w:t>Completion rate</w:t>
            </w:r>
          </w:p>
        </w:tc>
      </w:tr>
      <w:tr w:rsidR="00E22552" w:rsidTr="00BE769D">
        <w:tc>
          <w:tcPr>
            <w:tcW w:w="1491" w:type="dxa"/>
            <w:tcBorders>
              <w:bottom w:val="single" w:sz="4" w:space="0" w:color="auto"/>
            </w:tcBorders>
          </w:tcPr>
          <w:p w:rsidR="00E22552" w:rsidRPr="00F23363" w:rsidRDefault="00E22552" w:rsidP="00BE769D">
            <w:pPr>
              <w:pStyle w:val="Tablehead2"/>
            </w:pPr>
          </w:p>
        </w:tc>
        <w:tc>
          <w:tcPr>
            <w:tcW w:w="2432" w:type="dxa"/>
            <w:tcBorders>
              <w:bottom w:val="single" w:sz="4" w:space="0" w:color="auto"/>
            </w:tcBorders>
          </w:tcPr>
          <w:p w:rsidR="00E22552" w:rsidRPr="00F23363" w:rsidRDefault="00E22552" w:rsidP="008577D0">
            <w:pPr>
              <w:pStyle w:val="Tablehead2"/>
              <w:jc w:val="center"/>
            </w:pPr>
            <w:r>
              <w:t>Low (&lt;50%)</w:t>
            </w:r>
          </w:p>
        </w:tc>
        <w:tc>
          <w:tcPr>
            <w:tcW w:w="2433" w:type="dxa"/>
            <w:tcBorders>
              <w:bottom w:val="single" w:sz="4" w:space="0" w:color="auto"/>
            </w:tcBorders>
          </w:tcPr>
          <w:p w:rsidR="00E22552" w:rsidRDefault="00713BFD" w:rsidP="00BE769D">
            <w:pPr>
              <w:pStyle w:val="Tablehead2"/>
              <w:jc w:val="center"/>
            </w:pPr>
            <w:r>
              <w:t>Medium (50–</w:t>
            </w:r>
            <w:r w:rsidR="00E22552">
              <w:t>69%)</w:t>
            </w:r>
          </w:p>
        </w:tc>
        <w:tc>
          <w:tcPr>
            <w:tcW w:w="2433" w:type="dxa"/>
            <w:tcBorders>
              <w:bottom w:val="single" w:sz="4" w:space="0" w:color="auto"/>
            </w:tcBorders>
          </w:tcPr>
          <w:p w:rsidR="00E22552" w:rsidRDefault="00E22552" w:rsidP="00BE769D">
            <w:pPr>
              <w:pStyle w:val="Tablehead2"/>
              <w:jc w:val="center"/>
            </w:pPr>
            <w:r>
              <w:t>High (70%+)</w:t>
            </w:r>
          </w:p>
        </w:tc>
      </w:tr>
      <w:tr w:rsidR="00E22552" w:rsidRPr="00E22552" w:rsidTr="00BE769D">
        <w:tc>
          <w:tcPr>
            <w:tcW w:w="1491" w:type="dxa"/>
            <w:tcBorders>
              <w:top w:val="single" w:sz="4" w:space="0" w:color="auto"/>
              <w:bottom w:val="single" w:sz="4" w:space="0" w:color="auto"/>
            </w:tcBorders>
          </w:tcPr>
          <w:p w:rsidR="00E22552" w:rsidRPr="00BE769D" w:rsidRDefault="00E22552" w:rsidP="00BE769D">
            <w:pPr>
              <w:pStyle w:val="Tabletext"/>
              <w:rPr>
                <w:b/>
              </w:rPr>
            </w:pPr>
            <w:r w:rsidRPr="00BE769D">
              <w:rPr>
                <w:b/>
              </w:rPr>
              <w:t>Business characteristics</w:t>
            </w:r>
          </w:p>
        </w:tc>
        <w:tc>
          <w:tcPr>
            <w:tcW w:w="2432" w:type="dxa"/>
            <w:tcBorders>
              <w:top w:val="single" w:sz="4" w:space="0" w:color="auto"/>
              <w:bottom w:val="single" w:sz="4" w:space="0" w:color="auto"/>
            </w:tcBorders>
          </w:tcPr>
          <w:p w:rsidR="00E22552" w:rsidRDefault="00713BFD" w:rsidP="00BE769D">
            <w:pPr>
              <w:pStyle w:val="Tabletext"/>
            </w:pPr>
            <w:r>
              <w:t>Generally have 1–15 employees</w:t>
            </w:r>
          </w:p>
          <w:p w:rsidR="00E22552" w:rsidRDefault="00E22552" w:rsidP="00BE769D">
            <w:pPr>
              <w:pStyle w:val="Tabletext"/>
            </w:pPr>
            <w:r>
              <w:t>In operation for under 5 years</w:t>
            </w:r>
          </w:p>
          <w:p w:rsidR="00E22552" w:rsidRDefault="00E22552" w:rsidP="00BE769D">
            <w:pPr>
              <w:pStyle w:val="Tabletext"/>
            </w:pPr>
            <w:r>
              <w:t>No HR department</w:t>
            </w:r>
          </w:p>
          <w:p w:rsidR="00E22552" w:rsidRDefault="00E22552" w:rsidP="00BE769D">
            <w:pPr>
              <w:pStyle w:val="Tabletext"/>
            </w:pPr>
            <w:r>
              <w:t>Financial incentives are seen as important</w:t>
            </w:r>
          </w:p>
          <w:p w:rsidR="00E22552" w:rsidRDefault="00E22552" w:rsidP="00BE769D">
            <w:pPr>
              <w:pStyle w:val="Tabletext"/>
            </w:pPr>
            <w:r>
              <w:t xml:space="preserve">Usually </w:t>
            </w:r>
            <w:r w:rsidR="00713BFD">
              <w:t>employ one apprentice at a time</w:t>
            </w:r>
          </w:p>
          <w:p w:rsidR="00E22552" w:rsidRPr="00E22552" w:rsidRDefault="007318E5" w:rsidP="00BE769D">
            <w:pPr>
              <w:pStyle w:val="Tabletext"/>
            </w:pPr>
            <w:r>
              <w:t xml:space="preserve">Tend </w:t>
            </w:r>
            <w:r w:rsidR="00E22552" w:rsidRPr="00E22552">
              <w:t xml:space="preserve">not </w:t>
            </w:r>
            <w:r>
              <w:t xml:space="preserve">to </w:t>
            </w:r>
            <w:r w:rsidR="00E22552" w:rsidRPr="00E22552">
              <w:t>be influenced by industry bodies and do not seek outside advice</w:t>
            </w:r>
          </w:p>
        </w:tc>
        <w:tc>
          <w:tcPr>
            <w:tcW w:w="2433" w:type="dxa"/>
            <w:tcBorders>
              <w:top w:val="single" w:sz="4" w:space="0" w:color="auto"/>
              <w:bottom w:val="single" w:sz="4" w:space="0" w:color="auto"/>
            </w:tcBorders>
          </w:tcPr>
          <w:p w:rsidR="00E22552" w:rsidRDefault="00713BFD" w:rsidP="00BE769D">
            <w:pPr>
              <w:pStyle w:val="Tabletext"/>
            </w:pPr>
            <w:r>
              <w:t>Generally have 1–</w:t>
            </w:r>
            <w:r w:rsidR="00E22552">
              <w:t>15 employees</w:t>
            </w:r>
          </w:p>
          <w:p w:rsidR="00E22552" w:rsidRDefault="00AA0973" w:rsidP="00BE769D">
            <w:pPr>
              <w:pStyle w:val="Tabletext"/>
            </w:pPr>
            <w:r>
              <w:t>Have someone to help out with</w:t>
            </w:r>
            <w:r w:rsidR="00E22552">
              <w:t xml:space="preserve"> HR matters</w:t>
            </w:r>
          </w:p>
          <w:p w:rsidR="00E22552" w:rsidRDefault="00E22552" w:rsidP="00BE769D">
            <w:pPr>
              <w:pStyle w:val="Tabletext"/>
            </w:pPr>
            <w:r w:rsidRPr="00E22552">
              <w:t>Financial incentives are seen as less important</w:t>
            </w:r>
          </w:p>
          <w:p w:rsidR="00E22552" w:rsidRDefault="00E22552" w:rsidP="00BE769D">
            <w:pPr>
              <w:pStyle w:val="Tabletext"/>
            </w:pPr>
            <w:r w:rsidRPr="00E22552">
              <w:t xml:space="preserve">Usually employ </w:t>
            </w:r>
            <w:r w:rsidR="00713BFD">
              <w:t>2–</w:t>
            </w:r>
            <w:r>
              <w:t xml:space="preserve">3 apprentices </w:t>
            </w:r>
            <w:r w:rsidR="00713BFD">
              <w:t>at one time</w:t>
            </w:r>
          </w:p>
          <w:p w:rsidR="00E22552" w:rsidRPr="00E22552" w:rsidRDefault="00E22552" w:rsidP="00BE769D">
            <w:pPr>
              <w:pStyle w:val="Tabletext"/>
            </w:pPr>
            <w:r>
              <w:t>More likely to be influenced by industry bod</w:t>
            </w:r>
            <w:r w:rsidR="005B68DA">
              <w:t>i</w:t>
            </w:r>
            <w:r>
              <w:t>es and outside advice</w:t>
            </w:r>
          </w:p>
        </w:tc>
        <w:tc>
          <w:tcPr>
            <w:tcW w:w="2433" w:type="dxa"/>
            <w:tcBorders>
              <w:top w:val="single" w:sz="4" w:space="0" w:color="auto"/>
              <w:bottom w:val="single" w:sz="4" w:space="0" w:color="auto"/>
            </w:tcBorders>
          </w:tcPr>
          <w:p w:rsidR="00E22552" w:rsidRDefault="00AA0973" w:rsidP="00BE769D">
            <w:pPr>
              <w:pStyle w:val="Tabletext"/>
            </w:pPr>
            <w:r>
              <w:t xml:space="preserve">Generally have 50+ </w:t>
            </w:r>
            <w:r w:rsidR="00E22552">
              <w:t>employees</w:t>
            </w:r>
          </w:p>
          <w:p w:rsidR="00E22552" w:rsidRPr="00E22552" w:rsidRDefault="00E22552" w:rsidP="00BE769D">
            <w:pPr>
              <w:pStyle w:val="Tabletext"/>
            </w:pPr>
            <w:r w:rsidRPr="00E22552">
              <w:t>In operation for 10 years</w:t>
            </w:r>
            <w:r w:rsidR="00AA0973">
              <w:t xml:space="preserve"> or more</w:t>
            </w:r>
          </w:p>
          <w:p w:rsidR="00E22552" w:rsidRPr="00E22552" w:rsidRDefault="00AA0973" w:rsidP="00BE769D">
            <w:pPr>
              <w:pStyle w:val="Tabletext"/>
            </w:pPr>
            <w:r>
              <w:t xml:space="preserve">Have a </w:t>
            </w:r>
            <w:r w:rsidR="00E22552" w:rsidRPr="00E22552">
              <w:t>HR department</w:t>
            </w:r>
          </w:p>
          <w:p w:rsidR="00E22552" w:rsidRPr="00E22552" w:rsidRDefault="00E22552" w:rsidP="00BE769D">
            <w:pPr>
              <w:pStyle w:val="Tabletext"/>
            </w:pPr>
            <w:r w:rsidRPr="00E22552">
              <w:t>Financial incentives are seen as less important</w:t>
            </w:r>
          </w:p>
          <w:p w:rsidR="00E22552" w:rsidRDefault="00E22552" w:rsidP="00BE769D">
            <w:pPr>
              <w:pStyle w:val="Tabletext"/>
            </w:pPr>
            <w:r w:rsidRPr="00E22552">
              <w:t xml:space="preserve">Usually employ several </w:t>
            </w:r>
            <w:r w:rsidR="00713BFD">
              <w:t>apprentices at one time</w:t>
            </w:r>
          </w:p>
          <w:p w:rsidR="00E22552" w:rsidRPr="00E22552" w:rsidRDefault="00E22552" w:rsidP="00BE769D">
            <w:pPr>
              <w:pStyle w:val="Tabletext"/>
            </w:pPr>
            <w:r>
              <w:t>More likely to be influenced by industry bod</w:t>
            </w:r>
            <w:r w:rsidR="005B68DA">
              <w:t>i</w:t>
            </w:r>
            <w:r>
              <w:t>es and outside advice</w:t>
            </w:r>
          </w:p>
        </w:tc>
      </w:tr>
    </w:tbl>
    <w:p w:rsidR="004856AF" w:rsidRDefault="007C3C82" w:rsidP="004856AF">
      <w:pPr>
        <w:pStyle w:val="Source"/>
        <w:rPr>
          <w:rFonts w:eastAsia="Calibri"/>
        </w:rPr>
      </w:pPr>
      <w:r>
        <w:rPr>
          <w:rFonts w:eastAsia="Calibri"/>
        </w:rPr>
        <w:t>Source:</w:t>
      </w:r>
      <w:r w:rsidR="00BE769D">
        <w:rPr>
          <w:rFonts w:eastAsia="Calibri"/>
        </w:rPr>
        <w:tab/>
      </w:r>
      <w:r>
        <w:rPr>
          <w:rFonts w:eastAsia="Calibri"/>
        </w:rPr>
        <w:t xml:space="preserve">Dickie, McDonald &amp; </w:t>
      </w:r>
      <w:proofErr w:type="spellStart"/>
      <w:r>
        <w:rPr>
          <w:rFonts w:eastAsia="Calibri"/>
        </w:rPr>
        <w:t>Pedic</w:t>
      </w:r>
      <w:proofErr w:type="spellEnd"/>
      <w:r w:rsidR="004856AF">
        <w:rPr>
          <w:rFonts w:eastAsia="Calibri"/>
        </w:rPr>
        <w:t xml:space="preserve"> (2011)</w:t>
      </w:r>
      <w:r>
        <w:rPr>
          <w:rFonts w:eastAsia="Calibri"/>
        </w:rPr>
        <w:t>.</w:t>
      </w:r>
    </w:p>
    <w:bookmarkEnd w:id="109"/>
    <w:bookmarkEnd w:id="110"/>
    <w:p w:rsidR="005D574E" w:rsidRDefault="005D574E" w:rsidP="00BE769D">
      <w:pPr>
        <w:pStyle w:val="Textmorebefore"/>
      </w:pPr>
      <w:r>
        <w:rPr>
          <w:rFonts w:eastAsia="Calibri"/>
        </w:rPr>
        <w:t>Overall, Dickie</w:t>
      </w:r>
      <w:r w:rsidR="00713BFD">
        <w:rPr>
          <w:rFonts w:eastAsia="Calibri"/>
        </w:rPr>
        <w:t>,</w:t>
      </w:r>
      <w:r>
        <w:rPr>
          <w:rFonts w:eastAsia="Calibri"/>
        </w:rPr>
        <w:t xml:space="preserve"> </w:t>
      </w:r>
      <w:r w:rsidR="00713BFD">
        <w:t xml:space="preserve">McDonald and </w:t>
      </w:r>
      <w:proofErr w:type="spellStart"/>
      <w:r w:rsidR="00713BFD">
        <w:t>Pedic</w:t>
      </w:r>
      <w:proofErr w:type="spellEnd"/>
      <w:r w:rsidR="00713BFD">
        <w:t xml:space="preserve"> </w:t>
      </w:r>
      <w:r>
        <w:rPr>
          <w:rFonts w:eastAsia="Calibri"/>
        </w:rPr>
        <w:t xml:space="preserve">(2011) identified three distinct segments among employers: </w:t>
      </w:r>
      <w:r w:rsidR="00AB7DE9">
        <w:rPr>
          <w:rFonts w:eastAsia="Calibri"/>
        </w:rPr>
        <w:t>(</w:t>
      </w:r>
      <w:proofErr w:type="spellStart"/>
      <w:r w:rsidR="00AB7DE9">
        <w:rPr>
          <w:rFonts w:eastAsia="Calibri"/>
        </w:rPr>
        <w:t>i</w:t>
      </w:r>
      <w:proofErr w:type="spellEnd"/>
      <w:r w:rsidR="00AB7DE9">
        <w:rPr>
          <w:rFonts w:eastAsia="Calibri"/>
        </w:rPr>
        <w:t xml:space="preserve">) </w:t>
      </w:r>
      <w:r>
        <w:rPr>
          <w:rFonts w:eastAsia="Calibri"/>
        </w:rPr>
        <w:t xml:space="preserve">highly experienced and adept at managing apprentices; </w:t>
      </w:r>
      <w:r w:rsidR="00AB7DE9">
        <w:rPr>
          <w:rFonts w:eastAsia="Calibri"/>
        </w:rPr>
        <w:t xml:space="preserve">(ii) </w:t>
      </w:r>
      <w:r>
        <w:rPr>
          <w:rFonts w:eastAsia="Calibri"/>
        </w:rPr>
        <w:t>less experienced and requiring assistance to manage apprentice</w:t>
      </w:r>
      <w:r w:rsidR="008577D0">
        <w:rPr>
          <w:rFonts w:eastAsia="Calibri"/>
        </w:rPr>
        <w:t>s</w:t>
      </w:r>
      <w:r>
        <w:rPr>
          <w:rFonts w:eastAsia="Calibri"/>
        </w:rPr>
        <w:t xml:space="preserve">; </w:t>
      </w:r>
      <w:r w:rsidR="00AB7DE9">
        <w:rPr>
          <w:rFonts w:eastAsia="Calibri"/>
        </w:rPr>
        <w:t xml:space="preserve">(iii) </w:t>
      </w:r>
      <w:r>
        <w:rPr>
          <w:rFonts w:eastAsia="Calibri"/>
        </w:rPr>
        <w:t>unable to provide either appropriate training or an appropriate work environment.</w:t>
      </w:r>
      <w:r w:rsidR="00D04EA4">
        <w:rPr>
          <w:rFonts w:eastAsia="Calibri"/>
        </w:rPr>
        <w:t xml:space="preserve"> </w:t>
      </w:r>
      <w:r>
        <w:t>In a simila</w:t>
      </w:r>
      <w:r w:rsidR="008932F1">
        <w:t>r vein, Bardon (2010) classifies</w:t>
      </w:r>
      <w:r>
        <w:t xml:space="preserve"> employers into </w:t>
      </w:r>
      <w:r w:rsidR="00841F93">
        <w:t>‘</w:t>
      </w:r>
      <w:r>
        <w:t>tiers</w:t>
      </w:r>
      <w:r w:rsidR="00841F93">
        <w:t>’</w:t>
      </w:r>
      <w:r>
        <w:t xml:space="preserve">. Tier 1 employers are large employers who support their apprentices well </w:t>
      </w:r>
      <w:r w:rsidR="008577D0">
        <w:t>with</w:t>
      </w:r>
      <w:r>
        <w:t xml:space="preserve"> wages and other benefits, while tier 3 employers tend to be start-up businesses, who may be motivated to take on app</w:t>
      </w:r>
      <w:r w:rsidR="00D04EA4">
        <w:t>rentices because of their lower</w:t>
      </w:r>
      <w:r>
        <w:t xml:space="preserve"> wages and the attraction of government incentives. </w:t>
      </w:r>
    </w:p>
    <w:p w:rsidR="009139E7" w:rsidRDefault="009139E7" w:rsidP="009139E7">
      <w:pPr>
        <w:pStyle w:val="Text"/>
        <w:rPr>
          <w:rFonts w:eastAsia="Calibri"/>
        </w:rPr>
      </w:pPr>
      <w:r>
        <w:rPr>
          <w:rFonts w:eastAsia="Calibri"/>
        </w:rPr>
        <w:t xml:space="preserve">In addition, </w:t>
      </w:r>
      <w:r w:rsidR="00713BFD">
        <w:rPr>
          <w:rFonts w:eastAsia="Calibri"/>
        </w:rPr>
        <w:t xml:space="preserve">Dickie, </w:t>
      </w:r>
      <w:r w:rsidR="00713BFD">
        <w:t xml:space="preserve">McDonald and </w:t>
      </w:r>
      <w:proofErr w:type="spellStart"/>
      <w:r w:rsidR="00713BFD">
        <w:t>Pedic</w:t>
      </w:r>
      <w:proofErr w:type="spellEnd"/>
      <w:r w:rsidR="00713BFD">
        <w:t xml:space="preserve"> </w:t>
      </w:r>
      <w:r w:rsidR="008932F1">
        <w:rPr>
          <w:rFonts w:eastAsia="Calibri"/>
        </w:rPr>
        <w:t xml:space="preserve">(2011) found </w:t>
      </w:r>
      <w:r w:rsidR="002F4AA0">
        <w:rPr>
          <w:rFonts w:eastAsia="Calibri"/>
        </w:rPr>
        <w:t xml:space="preserve">that </w:t>
      </w:r>
      <w:r>
        <w:rPr>
          <w:rFonts w:eastAsia="Calibri"/>
        </w:rPr>
        <w:t xml:space="preserve">committed apprentices (those who rated their likelihood of completing at </w:t>
      </w:r>
      <w:r w:rsidR="00713BFD">
        <w:rPr>
          <w:rFonts w:eastAsia="Calibri"/>
        </w:rPr>
        <w:t>eight</w:t>
      </w:r>
      <w:r>
        <w:rPr>
          <w:rFonts w:eastAsia="Calibri"/>
        </w:rPr>
        <w:t xml:space="preserve"> out of </w:t>
      </w:r>
      <w:r w:rsidR="00713BFD">
        <w:rPr>
          <w:rFonts w:eastAsia="Calibri"/>
        </w:rPr>
        <w:t>ten</w:t>
      </w:r>
      <w:r>
        <w:rPr>
          <w:rFonts w:eastAsia="Calibri"/>
        </w:rPr>
        <w:t xml:space="preserve"> or more) generally had a favourable workplace experience, and:</w:t>
      </w:r>
    </w:p>
    <w:p w:rsidR="009139E7" w:rsidRDefault="00227ACD" w:rsidP="009139E7">
      <w:pPr>
        <w:pStyle w:val="Dotpoint1"/>
        <w:rPr>
          <w:rFonts w:eastAsia="Calibri"/>
        </w:rPr>
      </w:pPr>
      <w:r>
        <w:rPr>
          <w:rFonts w:eastAsia="Calibri"/>
        </w:rPr>
        <w:t>h</w:t>
      </w:r>
      <w:r w:rsidR="009139E7">
        <w:rPr>
          <w:rFonts w:eastAsia="Calibri"/>
        </w:rPr>
        <w:t>a</w:t>
      </w:r>
      <w:r w:rsidR="00D3346E">
        <w:rPr>
          <w:rFonts w:eastAsia="Calibri"/>
        </w:rPr>
        <w:t>d</w:t>
      </w:r>
      <w:r w:rsidR="009139E7">
        <w:rPr>
          <w:rFonts w:eastAsia="Calibri"/>
        </w:rPr>
        <w:t xml:space="preserve"> a very good boss</w:t>
      </w:r>
    </w:p>
    <w:p w:rsidR="009139E7" w:rsidRDefault="00227ACD" w:rsidP="009139E7">
      <w:pPr>
        <w:pStyle w:val="Dotpoint1"/>
        <w:rPr>
          <w:rFonts w:eastAsia="Calibri"/>
        </w:rPr>
      </w:pPr>
      <w:r>
        <w:rPr>
          <w:rFonts w:eastAsia="Calibri"/>
        </w:rPr>
        <w:t>w</w:t>
      </w:r>
      <w:r w:rsidR="00D3346E">
        <w:rPr>
          <w:rFonts w:eastAsia="Calibri"/>
        </w:rPr>
        <w:t>ere</w:t>
      </w:r>
      <w:r w:rsidR="009139E7">
        <w:rPr>
          <w:rFonts w:eastAsia="Calibri"/>
        </w:rPr>
        <w:t xml:space="preserve"> treated fairly</w:t>
      </w:r>
    </w:p>
    <w:p w:rsidR="009139E7" w:rsidRDefault="00227ACD" w:rsidP="009139E7">
      <w:pPr>
        <w:pStyle w:val="Dotpoint1"/>
        <w:rPr>
          <w:rFonts w:eastAsia="Calibri"/>
        </w:rPr>
      </w:pPr>
      <w:r>
        <w:rPr>
          <w:rFonts w:eastAsia="Calibri"/>
        </w:rPr>
        <w:t>h</w:t>
      </w:r>
      <w:r w:rsidR="00D3346E">
        <w:rPr>
          <w:rFonts w:eastAsia="Calibri"/>
        </w:rPr>
        <w:t>ad</w:t>
      </w:r>
      <w:r w:rsidR="009139E7">
        <w:rPr>
          <w:rFonts w:eastAsia="Calibri"/>
        </w:rPr>
        <w:t xml:space="preserve"> a social network at work</w:t>
      </w:r>
    </w:p>
    <w:p w:rsidR="009139E7" w:rsidRDefault="00227ACD" w:rsidP="009139E7">
      <w:pPr>
        <w:pStyle w:val="Dotpoint1"/>
        <w:rPr>
          <w:rFonts w:eastAsia="Calibri"/>
        </w:rPr>
      </w:pPr>
      <w:proofErr w:type="gramStart"/>
      <w:r>
        <w:rPr>
          <w:rFonts w:eastAsia="Calibri"/>
        </w:rPr>
        <w:t>w</w:t>
      </w:r>
      <w:r w:rsidR="00D3346E">
        <w:rPr>
          <w:rFonts w:eastAsia="Calibri"/>
        </w:rPr>
        <w:t>ere</w:t>
      </w:r>
      <w:proofErr w:type="gramEnd"/>
      <w:r w:rsidR="009139E7">
        <w:rPr>
          <w:rFonts w:eastAsia="Calibri"/>
        </w:rPr>
        <w:t xml:space="preserve"> trusted and given responsibility.</w:t>
      </w:r>
    </w:p>
    <w:p w:rsidR="009139E7" w:rsidRDefault="009139E7" w:rsidP="009139E7">
      <w:pPr>
        <w:pStyle w:val="Text"/>
        <w:rPr>
          <w:rFonts w:eastAsia="Calibri"/>
        </w:rPr>
      </w:pPr>
      <w:r>
        <w:rPr>
          <w:rFonts w:eastAsia="Calibri"/>
        </w:rPr>
        <w:t xml:space="preserve">We now examine </w:t>
      </w:r>
      <w:r w:rsidR="00D3346E">
        <w:rPr>
          <w:rFonts w:eastAsia="Calibri"/>
        </w:rPr>
        <w:t>the impact of employers</w:t>
      </w:r>
      <w:r w:rsidR="00841F93">
        <w:rPr>
          <w:rFonts w:eastAsia="Calibri"/>
        </w:rPr>
        <w:t>’</w:t>
      </w:r>
      <w:r w:rsidR="00D3346E">
        <w:rPr>
          <w:rFonts w:eastAsia="Calibri"/>
        </w:rPr>
        <w:t xml:space="preserve"> views of financial incentives and management practices</w:t>
      </w:r>
      <w:r>
        <w:rPr>
          <w:rFonts w:eastAsia="Calibri"/>
        </w:rPr>
        <w:t xml:space="preserve"> in more detail.</w:t>
      </w:r>
    </w:p>
    <w:p w:rsidR="00197483" w:rsidRDefault="00EF2EE2" w:rsidP="00197483">
      <w:pPr>
        <w:pStyle w:val="Heading3"/>
        <w:rPr>
          <w:rFonts w:ascii="Calibri" w:eastAsia="Calibri" w:hAnsi="Calibri"/>
          <w:sz w:val="22"/>
          <w:szCs w:val="22"/>
        </w:rPr>
      </w:pPr>
      <w:r>
        <w:rPr>
          <w:rFonts w:eastAsia="Calibri"/>
        </w:rPr>
        <w:t xml:space="preserve">Views on financial incentives </w:t>
      </w:r>
    </w:p>
    <w:p w:rsidR="00EF2EE2" w:rsidRPr="00EF2EE2" w:rsidRDefault="00CF67DA" w:rsidP="00BE769D">
      <w:pPr>
        <w:pStyle w:val="Textlessbefore"/>
        <w:rPr>
          <w:rFonts w:eastAsia="Calibri"/>
        </w:rPr>
      </w:pPr>
      <w:r>
        <w:rPr>
          <w:rFonts w:eastAsia="Calibri"/>
        </w:rPr>
        <w:t xml:space="preserve">An interesting finding to emerge from the </w:t>
      </w:r>
      <w:r w:rsidR="00227ACD">
        <w:rPr>
          <w:rFonts w:eastAsia="Calibri"/>
        </w:rPr>
        <w:t xml:space="preserve">Dickie, </w:t>
      </w:r>
      <w:r w:rsidR="00227ACD">
        <w:t xml:space="preserve">McDonald and </w:t>
      </w:r>
      <w:proofErr w:type="spellStart"/>
      <w:r w:rsidR="00227ACD">
        <w:t>Pedic</w:t>
      </w:r>
      <w:proofErr w:type="spellEnd"/>
      <w:r w:rsidR="00227ACD">
        <w:t xml:space="preserve"> </w:t>
      </w:r>
      <w:r>
        <w:rPr>
          <w:rFonts w:eastAsia="Calibri"/>
        </w:rPr>
        <w:t xml:space="preserve">(2011) </w:t>
      </w:r>
      <w:r w:rsidR="00427C11">
        <w:rPr>
          <w:rFonts w:eastAsia="Calibri"/>
        </w:rPr>
        <w:t>study</w:t>
      </w:r>
      <w:r>
        <w:rPr>
          <w:rFonts w:eastAsia="Calibri"/>
        </w:rPr>
        <w:t xml:space="preserve"> is that e</w:t>
      </w:r>
      <w:r w:rsidR="00EF2EE2" w:rsidRPr="00EF2EE2">
        <w:rPr>
          <w:rFonts w:eastAsia="Calibri"/>
        </w:rPr>
        <w:t>mplo</w:t>
      </w:r>
      <w:r>
        <w:rPr>
          <w:rFonts w:eastAsia="Calibri"/>
        </w:rPr>
        <w:t>yers with high retention rates are</w:t>
      </w:r>
      <w:r w:rsidR="00EF2EE2" w:rsidRPr="00EF2EE2">
        <w:rPr>
          <w:rFonts w:eastAsia="Calibri"/>
        </w:rPr>
        <w:t xml:space="preserve"> </w:t>
      </w:r>
      <w:r w:rsidR="00EF2EE2" w:rsidRPr="00CF67DA">
        <w:rPr>
          <w:rFonts w:eastAsia="Calibri"/>
          <w:i/>
        </w:rPr>
        <w:t>less</w:t>
      </w:r>
      <w:r w:rsidR="00EF2EE2" w:rsidRPr="00EF2EE2">
        <w:rPr>
          <w:rFonts w:eastAsia="Calibri"/>
        </w:rPr>
        <w:t xml:space="preserve"> likely to say that financi</w:t>
      </w:r>
      <w:r>
        <w:rPr>
          <w:rFonts w:eastAsia="Calibri"/>
        </w:rPr>
        <w:t>al in</w:t>
      </w:r>
      <w:r w:rsidR="00427C11">
        <w:rPr>
          <w:rFonts w:eastAsia="Calibri"/>
        </w:rPr>
        <w:t xml:space="preserve">centives are important to them, </w:t>
      </w:r>
      <w:r>
        <w:rPr>
          <w:rFonts w:eastAsia="Calibri"/>
        </w:rPr>
        <w:t xml:space="preserve">compared </w:t>
      </w:r>
      <w:r w:rsidR="00227ACD">
        <w:rPr>
          <w:rFonts w:eastAsia="Calibri"/>
        </w:rPr>
        <w:t>with</w:t>
      </w:r>
      <w:r>
        <w:rPr>
          <w:rFonts w:eastAsia="Calibri"/>
        </w:rPr>
        <w:t xml:space="preserve"> emp</w:t>
      </w:r>
      <w:r w:rsidR="00427C11">
        <w:rPr>
          <w:rFonts w:eastAsia="Calibri"/>
        </w:rPr>
        <w:t>loyers with low retention rates</w:t>
      </w:r>
      <w:r>
        <w:rPr>
          <w:rFonts w:eastAsia="Calibri"/>
        </w:rPr>
        <w:t>.</w:t>
      </w:r>
      <w:r w:rsidR="00427C11">
        <w:rPr>
          <w:rFonts w:eastAsia="Calibri"/>
        </w:rPr>
        <w:t xml:space="preserve"> Those employers</w:t>
      </w:r>
      <w:r w:rsidR="00EF2EE2" w:rsidRPr="00EF2EE2">
        <w:rPr>
          <w:rFonts w:eastAsia="Calibri"/>
        </w:rPr>
        <w:t xml:space="preserve"> with</w:t>
      </w:r>
      <w:r>
        <w:rPr>
          <w:rFonts w:eastAsia="Calibri"/>
        </w:rPr>
        <w:t xml:space="preserve"> the</w:t>
      </w:r>
      <w:r w:rsidR="00EF2EE2" w:rsidRPr="00EF2EE2">
        <w:rPr>
          <w:rFonts w:eastAsia="Calibri"/>
        </w:rPr>
        <w:t xml:space="preserve"> lowest retention rates </w:t>
      </w:r>
      <w:r w:rsidR="00427C11">
        <w:rPr>
          <w:rFonts w:eastAsia="Calibri"/>
        </w:rPr>
        <w:lastRenderedPageBreak/>
        <w:t>said</w:t>
      </w:r>
      <w:r>
        <w:rPr>
          <w:rFonts w:eastAsia="Calibri"/>
        </w:rPr>
        <w:t xml:space="preserve"> that the</w:t>
      </w:r>
      <w:r w:rsidR="008932F1">
        <w:rPr>
          <w:rFonts w:eastAsia="Calibri"/>
        </w:rPr>
        <w:t xml:space="preserve"> money mattered</w:t>
      </w:r>
      <w:r w:rsidR="00EF2EE2" w:rsidRPr="00EF2EE2">
        <w:rPr>
          <w:rFonts w:eastAsia="Calibri"/>
        </w:rPr>
        <w:t xml:space="preserve"> to them, and </w:t>
      </w:r>
      <w:r w:rsidR="00427C11">
        <w:rPr>
          <w:rFonts w:eastAsia="Calibri"/>
        </w:rPr>
        <w:t>called for</w:t>
      </w:r>
      <w:r w:rsidR="00EF2EE2" w:rsidRPr="00EF2EE2">
        <w:rPr>
          <w:rFonts w:eastAsia="Calibri"/>
        </w:rPr>
        <w:t xml:space="preserve"> </w:t>
      </w:r>
      <w:r w:rsidR="00427C11">
        <w:rPr>
          <w:rFonts w:eastAsia="Calibri"/>
        </w:rPr>
        <w:t>employer incentives to be increased</w:t>
      </w:r>
      <w:r w:rsidR="00EF2EE2" w:rsidRPr="00EF2EE2">
        <w:rPr>
          <w:rFonts w:eastAsia="Calibri"/>
        </w:rPr>
        <w:t xml:space="preserve">. </w:t>
      </w:r>
      <w:r>
        <w:rPr>
          <w:rFonts w:eastAsia="Calibri"/>
        </w:rPr>
        <w:t xml:space="preserve">In addition, they </w:t>
      </w:r>
      <w:r w:rsidR="00427C11">
        <w:rPr>
          <w:rFonts w:eastAsia="Calibri"/>
        </w:rPr>
        <w:t>wanted</w:t>
      </w:r>
      <w:r>
        <w:rPr>
          <w:rFonts w:eastAsia="Calibri"/>
        </w:rPr>
        <w:t xml:space="preserve"> </w:t>
      </w:r>
      <w:r w:rsidR="00EF2EE2" w:rsidRPr="00EF2EE2">
        <w:rPr>
          <w:rFonts w:eastAsia="Calibri"/>
        </w:rPr>
        <w:t>wage subsidies for unprofitable apprentices and compensation for the cost of their time</w:t>
      </w:r>
      <w:r w:rsidR="00427C11">
        <w:rPr>
          <w:rFonts w:eastAsia="Calibri"/>
        </w:rPr>
        <w:t xml:space="preserve"> in training them</w:t>
      </w:r>
      <w:r w:rsidR="00EF2EE2" w:rsidRPr="00EF2EE2">
        <w:rPr>
          <w:rFonts w:eastAsia="Calibri"/>
        </w:rPr>
        <w:t>.</w:t>
      </w:r>
    </w:p>
    <w:p w:rsidR="00BF3C37" w:rsidRDefault="00046248" w:rsidP="00BF3C37">
      <w:pPr>
        <w:pStyle w:val="Text"/>
        <w:rPr>
          <w:rFonts w:eastAsia="Calibri"/>
        </w:rPr>
      </w:pPr>
      <w:r>
        <w:rPr>
          <w:rFonts w:eastAsia="Calibri"/>
        </w:rPr>
        <w:t>The</w:t>
      </w:r>
      <w:r w:rsidR="00BF3C37">
        <w:rPr>
          <w:rFonts w:eastAsia="Calibri"/>
        </w:rPr>
        <w:t xml:space="preserve"> Chamber of Commerce and Industry, Q</w:t>
      </w:r>
      <w:r w:rsidR="00227ACD">
        <w:rPr>
          <w:rFonts w:eastAsia="Calibri"/>
        </w:rPr>
        <w:t>ueensland</w:t>
      </w:r>
      <w:r w:rsidR="00BF3C37">
        <w:rPr>
          <w:rFonts w:eastAsia="Calibri"/>
        </w:rPr>
        <w:t xml:space="preserve"> (</w:t>
      </w:r>
      <w:r w:rsidR="001E42A8">
        <w:rPr>
          <w:rFonts w:eastAsia="Calibri"/>
        </w:rPr>
        <w:t xml:space="preserve">as cited in </w:t>
      </w:r>
      <w:r w:rsidR="00227ACD">
        <w:rPr>
          <w:rFonts w:eastAsia="Calibri"/>
        </w:rPr>
        <w:t>Apprenticeships for the 21</w:t>
      </w:r>
      <w:r w:rsidR="00227ACD" w:rsidRPr="00227ACD">
        <w:rPr>
          <w:rFonts w:eastAsia="Calibri"/>
        </w:rPr>
        <w:t>st</w:t>
      </w:r>
      <w:r w:rsidR="00227ACD">
        <w:rPr>
          <w:rFonts w:eastAsia="Calibri"/>
        </w:rPr>
        <w:t xml:space="preserve"> Century Expert Panel</w:t>
      </w:r>
      <w:r w:rsidR="001E42A8">
        <w:rPr>
          <w:rFonts w:eastAsia="Calibri"/>
        </w:rPr>
        <w:t xml:space="preserve"> 2011</w:t>
      </w:r>
      <w:r w:rsidR="00227ACD">
        <w:rPr>
          <w:rFonts w:eastAsia="Calibri"/>
        </w:rPr>
        <w:t>, p.26</w:t>
      </w:r>
      <w:r w:rsidR="00BF3C37">
        <w:rPr>
          <w:rFonts w:eastAsia="Calibri"/>
        </w:rPr>
        <w:t>) warns against increasing incentives for employers</w:t>
      </w:r>
      <w:r w:rsidR="00427C11">
        <w:rPr>
          <w:rFonts w:eastAsia="Calibri"/>
        </w:rPr>
        <w:t>, as it shifts the responsibility for training onto the government</w:t>
      </w:r>
      <w:r w:rsidR="00BF3C37">
        <w:rPr>
          <w:rFonts w:eastAsia="Calibri"/>
        </w:rPr>
        <w:t>:</w:t>
      </w:r>
    </w:p>
    <w:p w:rsidR="00BF3C37" w:rsidRPr="00BD7040" w:rsidRDefault="00BF3C37" w:rsidP="00BE769D">
      <w:pPr>
        <w:pStyle w:val="Quote"/>
        <w:rPr>
          <w:rFonts w:eastAsia="Calibri"/>
          <w:szCs w:val="22"/>
        </w:rPr>
      </w:pPr>
      <w:r w:rsidRPr="00BD7040">
        <w:rPr>
          <w:rFonts w:eastAsia="Calibri"/>
        </w:rPr>
        <w:t xml:space="preserve">Increasing incentives for employers may add to a culture in which the development of skills is a national responsibility to be exercised by </w:t>
      </w:r>
      <w:r w:rsidRPr="00BE769D">
        <w:rPr>
          <w:rFonts w:eastAsia="Calibri"/>
        </w:rPr>
        <w:t>governments</w:t>
      </w:r>
      <w:r w:rsidRPr="00BD7040">
        <w:rPr>
          <w:rFonts w:eastAsia="Calibri"/>
        </w:rPr>
        <w:t xml:space="preserve"> (and funded by the taxpayer), much more than the enterprises that employ skilled workers and rely on them for their continuity and profitability.</w:t>
      </w:r>
      <w:r w:rsidR="00227ACD">
        <w:rPr>
          <w:rFonts w:eastAsia="Calibri"/>
        </w:rPr>
        <w:t xml:space="preserve"> </w:t>
      </w:r>
    </w:p>
    <w:p w:rsidR="00CF67DA" w:rsidRPr="00033DAE" w:rsidRDefault="00E43741" w:rsidP="00E43741">
      <w:pPr>
        <w:pStyle w:val="Text"/>
        <w:rPr>
          <w:rFonts w:eastAsia="Calibri"/>
        </w:rPr>
      </w:pPr>
      <w:r>
        <w:rPr>
          <w:rFonts w:eastAsia="Calibri"/>
        </w:rPr>
        <w:t xml:space="preserve">For the </w:t>
      </w:r>
      <w:r w:rsidR="00D3346E">
        <w:rPr>
          <w:rFonts w:eastAsia="Calibri"/>
        </w:rPr>
        <w:t xml:space="preserve">current </w:t>
      </w:r>
      <w:r>
        <w:rPr>
          <w:rFonts w:eastAsia="Calibri"/>
        </w:rPr>
        <w:t xml:space="preserve">apprenticeship system to be successful, </w:t>
      </w:r>
      <w:r w:rsidR="007C3C82">
        <w:rPr>
          <w:rFonts w:eastAsia="Calibri"/>
        </w:rPr>
        <w:t>it</w:t>
      </w:r>
      <w:r>
        <w:rPr>
          <w:rFonts w:eastAsia="Calibri"/>
        </w:rPr>
        <w:t xml:space="preserve"> could </w:t>
      </w:r>
      <w:r w:rsidR="007C3C82">
        <w:rPr>
          <w:rFonts w:eastAsia="Calibri"/>
        </w:rPr>
        <w:t xml:space="preserve">be </w:t>
      </w:r>
      <w:r>
        <w:rPr>
          <w:rFonts w:eastAsia="Calibri"/>
        </w:rPr>
        <w:t>argue</w:t>
      </w:r>
      <w:r w:rsidR="007C3C82">
        <w:rPr>
          <w:rFonts w:eastAsia="Calibri"/>
        </w:rPr>
        <w:t>d</w:t>
      </w:r>
      <w:r>
        <w:rPr>
          <w:rFonts w:eastAsia="Calibri"/>
        </w:rPr>
        <w:t xml:space="preserve"> that employers</w:t>
      </w:r>
      <w:r w:rsidR="00CF67DA" w:rsidRPr="00033DAE">
        <w:rPr>
          <w:rFonts w:eastAsia="Calibri"/>
        </w:rPr>
        <w:t xml:space="preserve"> need to be </w:t>
      </w:r>
      <w:r w:rsidR="007318E5">
        <w:rPr>
          <w:rFonts w:eastAsia="Calibri"/>
          <w:i/>
        </w:rPr>
        <w:t>intrinsically</w:t>
      </w:r>
      <w:r w:rsidR="00CF67DA" w:rsidRPr="00033DAE">
        <w:rPr>
          <w:rFonts w:eastAsia="Calibri"/>
        </w:rPr>
        <w:t xml:space="preserve"> motivated to take on apprentices, </w:t>
      </w:r>
      <w:r w:rsidR="00BD7040">
        <w:rPr>
          <w:rFonts w:eastAsia="Calibri"/>
        </w:rPr>
        <w:t>rather than</w:t>
      </w:r>
      <w:r w:rsidR="00CF67DA" w:rsidRPr="00033DAE">
        <w:rPr>
          <w:rFonts w:eastAsia="Calibri"/>
        </w:rPr>
        <w:t xml:space="preserve"> motivated by external monetary rewards.</w:t>
      </w:r>
      <w:r w:rsidR="00BD7040">
        <w:rPr>
          <w:rFonts w:eastAsia="Calibri"/>
        </w:rPr>
        <w:t xml:space="preserve"> </w:t>
      </w:r>
      <w:r w:rsidR="00046248">
        <w:rPr>
          <w:rFonts w:eastAsia="Calibri"/>
        </w:rPr>
        <w:t xml:space="preserve">Perhaps one way of ensuring </w:t>
      </w:r>
      <w:r w:rsidR="007C3C82">
        <w:rPr>
          <w:rFonts w:eastAsia="Calibri"/>
        </w:rPr>
        <w:t xml:space="preserve">that </w:t>
      </w:r>
      <w:r w:rsidR="00046248">
        <w:rPr>
          <w:rFonts w:eastAsia="Calibri"/>
        </w:rPr>
        <w:t>only employers with adequate training capacity take on apprentices is to cease the incentive payments, since these seem to attract those employers who are least able to support an apprentice.</w:t>
      </w:r>
      <w:r w:rsidR="007318E5">
        <w:rPr>
          <w:rFonts w:eastAsia="Calibri"/>
        </w:rPr>
        <w:t xml:space="preserve"> </w:t>
      </w:r>
      <w:r w:rsidR="00427C11">
        <w:rPr>
          <w:rFonts w:eastAsia="Calibri"/>
        </w:rPr>
        <w:t>We return to this idea in the final chapter.</w:t>
      </w:r>
    </w:p>
    <w:p w:rsidR="00EF2EE2" w:rsidRDefault="00EF2EE2" w:rsidP="00EF2EE2">
      <w:pPr>
        <w:pStyle w:val="Heading3"/>
        <w:rPr>
          <w:rFonts w:eastAsia="Calibri"/>
        </w:rPr>
      </w:pPr>
      <w:r>
        <w:rPr>
          <w:rFonts w:eastAsia="Calibri"/>
        </w:rPr>
        <w:t>Management practices</w:t>
      </w:r>
    </w:p>
    <w:p w:rsidR="00EF2EE2" w:rsidRPr="00EF2EE2" w:rsidRDefault="00227ACD" w:rsidP="00BE769D">
      <w:pPr>
        <w:pStyle w:val="Textlessbefore"/>
        <w:rPr>
          <w:rFonts w:eastAsia="Calibri"/>
        </w:rPr>
      </w:pPr>
      <w:r>
        <w:rPr>
          <w:rFonts w:eastAsia="Calibri"/>
        </w:rPr>
        <w:t xml:space="preserve">Dickie, </w:t>
      </w:r>
      <w:r>
        <w:t xml:space="preserve">McDonald and </w:t>
      </w:r>
      <w:proofErr w:type="spellStart"/>
      <w:r>
        <w:t>Pedic</w:t>
      </w:r>
      <w:proofErr w:type="spellEnd"/>
      <w:r>
        <w:t xml:space="preserve"> </w:t>
      </w:r>
      <w:r>
        <w:rPr>
          <w:rFonts w:eastAsia="Calibri"/>
        </w:rPr>
        <w:t>(2011) fou</w:t>
      </w:r>
      <w:r w:rsidR="00427C11">
        <w:rPr>
          <w:rFonts w:eastAsia="Calibri"/>
        </w:rPr>
        <w:t xml:space="preserve">nd that </w:t>
      </w:r>
      <w:r w:rsidR="00EF2EE2" w:rsidRPr="00EF2EE2">
        <w:rPr>
          <w:rFonts w:eastAsia="Calibri"/>
        </w:rPr>
        <w:t xml:space="preserve">employers with good retention rates tend to have </w:t>
      </w:r>
      <w:r w:rsidR="00046248">
        <w:rPr>
          <w:rFonts w:eastAsia="Calibri"/>
        </w:rPr>
        <w:t>someone taking responsibility for</w:t>
      </w:r>
      <w:r w:rsidR="00EF2EE2" w:rsidRPr="00EF2EE2">
        <w:rPr>
          <w:rFonts w:eastAsia="Calibri"/>
        </w:rPr>
        <w:t xml:space="preserve"> </w:t>
      </w:r>
      <w:r>
        <w:rPr>
          <w:rFonts w:eastAsia="Calibri"/>
        </w:rPr>
        <w:t>human resources</w:t>
      </w:r>
      <w:r w:rsidR="00EF2EE2" w:rsidRPr="00EF2EE2">
        <w:rPr>
          <w:rFonts w:eastAsia="Calibri"/>
        </w:rPr>
        <w:t xml:space="preserve"> matters</w:t>
      </w:r>
      <w:r w:rsidR="00427C11">
        <w:rPr>
          <w:rFonts w:eastAsia="Calibri"/>
        </w:rPr>
        <w:t>. Given that</w:t>
      </w:r>
      <w:r w:rsidR="00427C11" w:rsidRPr="00EF2EE2">
        <w:rPr>
          <w:rFonts w:eastAsia="Calibri"/>
        </w:rPr>
        <w:t xml:space="preserve"> most businesses that employ apprentices are small, </w:t>
      </w:r>
      <w:r w:rsidR="00427C11">
        <w:rPr>
          <w:rFonts w:eastAsia="Calibri"/>
        </w:rPr>
        <w:t>many</w:t>
      </w:r>
      <w:r w:rsidR="00427C11" w:rsidRPr="00EF2EE2">
        <w:rPr>
          <w:rFonts w:eastAsia="Calibri"/>
        </w:rPr>
        <w:t xml:space="preserve"> do</w:t>
      </w:r>
      <w:r w:rsidR="00427C11">
        <w:rPr>
          <w:rFonts w:eastAsia="Calibri"/>
        </w:rPr>
        <w:t xml:space="preserve"> not</w:t>
      </w:r>
      <w:r w:rsidR="00427C11" w:rsidRPr="00EF2EE2">
        <w:rPr>
          <w:rFonts w:eastAsia="Calibri"/>
        </w:rPr>
        <w:t xml:space="preserve"> have a de</w:t>
      </w:r>
      <w:r w:rsidR="00D3346E">
        <w:rPr>
          <w:rFonts w:eastAsia="Calibri"/>
        </w:rPr>
        <w:t xml:space="preserve">dicated </w:t>
      </w:r>
      <w:r>
        <w:rPr>
          <w:rFonts w:eastAsia="Calibri"/>
        </w:rPr>
        <w:t>human resources</w:t>
      </w:r>
      <w:r w:rsidR="00D3346E">
        <w:rPr>
          <w:rFonts w:eastAsia="Calibri"/>
        </w:rPr>
        <w:t xml:space="preserve"> department; normally</w:t>
      </w:r>
      <w:r w:rsidR="00427C11" w:rsidRPr="00EF2EE2">
        <w:rPr>
          <w:rFonts w:eastAsia="Calibri"/>
        </w:rPr>
        <w:t xml:space="preserve"> the boss </w:t>
      </w:r>
      <w:r w:rsidR="00427C11" w:rsidRPr="00AA0973">
        <w:rPr>
          <w:rFonts w:eastAsia="Calibri"/>
          <w:i/>
        </w:rPr>
        <w:t>is</w:t>
      </w:r>
      <w:r w:rsidR="00427C11" w:rsidRPr="00EF2EE2">
        <w:rPr>
          <w:rFonts w:eastAsia="Calibri"/>
        </w:rPr>
        <w:t xml:space="preserve"> the HR department. This is a problem, because if apprentices need to discuss a grievance with someone</w:t>
      </w:r>
      <w:r w:rsidR="008577D0">
        <w:rPr>
          <w:rFonts w:eastAsia="Calibri"/>
        </w:rPr>
        <w:t>,</w:t>
      </w:r>
      <w:r w:rsidR="00427C11" w:rsidRPr="00EF2EE2">
        <w:rPr>
          <w:rFonts w:eastAsia="Calibri"/>
        </w:rPr>
        <w:t xml:space="preserve"> </w:t>
      </w:r>
      <w:r w:rsidR="00841F93">
        <w:rPr>
          <w:rFonts w:eastAsia="Calibri"/>
        </w:rPr>
        <w:t>‘</w:t>
      </w:r>
      <w:r w:rsidR="00427C11" w:rsidRPr="00EF2EE2">
        <w:rPr>
          <w:rFonts w:eastAsia="Calibri"/>
        </w:rPr>
        <w:t>it</w:t>
      </w:r>
      <w:r w:rsidR="00841F93">
        <w:rPr>
          <w:rFonts w:eastAsia="Calibri"/>
        </w:rPr>
        <w:t>’</w:t>
      </w:r>
      <w:r w:rsidR="00427C11" w:rsidRPr="00EF2EE2">
        <w:rPr>
          <w:rFonts w:eastAsia="Calibri"/>
        </w:rPr>
        <w:t>s the boss or no one</w:t>
      </w:r>
      <w:r w:rsidR="00841F93">
        <w:rPr>
          <w:rFonts w:eastAsia="Calibri"/>
        </w:rPr>
        <w:t>’</w:t>
      </w:r>
      <w:r w:rsidR="00427C11" w:rsidRPr="00EF2EE2">
        <w:rPr>
          <w:rFonts w:eastAsia="Calibri"/>
        </w:rPr>
        <w:t xml:space="preserve"> (</w:t>
      </w:r>
      <w:r>
        <w:rPr>
          <w:rFonts w:eastAsia="Calibri"/>
        </w:rPr>
        <w:t xml:space="preserve">Dickie, </w:t>
      </w:r>
      <w:r>
        <w:t>McDonald &amp;</w:t>
      </w:r>
      <w:r w:rsidR="007C3C82">
        <w:t xml:space="preserve"> </w:t>
      </w:r>
      <w:proofErr w:type="spellStart"/>
      <w:r>
        <w:t>Pedic</w:t>
      </w:r>
      <w:proofErr w:type="spellEnd"/>
      <w:r>
        <w:t xml:space="preserve"> </w:t>
      </w:r>
      <w:r w:rsidR="00427C11">
        <w:rPr>
          <w:rFonts w:eastAsia="Calibri"/>
        </w:rPr>
        <w:t xml:space="preserve">2011, </w:t>
      </w:r>
      <w:r>
        <w:rPr>
          <w:rFonts w:eastAsia="Calibri"/>
        </w:rPr>
        <w:t>p.</w:t>
      </w:r>
      <w:r w:rsidR="00427C11" w:rsidRPr="00EF2EE2">
        <w:rPr>
          <w:rFonts w:eastAsia="Calibri"/>
        </w:rPr>
        <w:t>40).</w:t>
      </w:r>
      <w:r w:rsidR="00A5067A">
        <w:rPr>
          <w:rFonts w:eastAsia="Calibri"/>
        </w:rPr>
        <w:t xml:space="preserve"> </w:t>
      </w:r>
      <w:r w:rsidR="00E43741">
        <w:rPr>
          <w:rFonts w:eastAsia="Calibri"/>
        </w:rPr>
        <w:t xml:space="preserve">As well, larger businesses are </w:t>
      </w:r>
      <w:r w:rsidR="00EF2EE2" w:rsidRPr="00EF2EE2">
        <w:rPr>
          <w:rFonts w:eastAsia="Calibri"/>
        </w:rPr>
        <w:t>more likely to take advice</w:t>
      </w:r>
      <w:r w:rsidR="00E43741">
        <w:rPr>
          <w:rFonts w:eastAsia="Calibri"/>
        </w:rPr>
        <w:t xml:space="preserve"> and are the most likely to say</w:t>
      </w:r>
      <w:r w:rsidR="00EF2EE2" w:rsidRPr="00EF2EE2">
        <w:rPr>
          <w:rFonts w:eastAsia="Calibri"/>
        </w:rPr>
        <w:t xml:space="preserve"> they</w:t>
      </w:r>
      <w:r w:rsidR="00841F93">
        <w:rPr>
          <w:rFonts w:eastAsia="Calibri"/>
        </w:rPr>
        <w:t>’</w:t>
      </w:r>
      <w:r w:rsidR="00EF2EE2" w:rsidRPr="00EF2EE2">
        <w:rPr>
          <w:rFonts w:eastAsia="Calibri"/>
        </w:rPr>
        <w:t>ve been in</w:t>
      </w:r>
      <w:r w:rsidR="00D3346E">
        <w:rPr>
          <w:rFonts w:eastAsia="Calibri"/>
        </w:rPr>
        <w:t>fluenced by their industry body, which may partly explain their higher completion rates.</w:t>
      </w:r>
    </w:p>
    <w:p w:rsidR="00EF2EE2" w:rsidRDefault="00427C11" w:rsidP="00BD7040">
      <w:pPr>
        <w:pStyle w:val="Text"/>
        <w:rPr>
          <w:rFonts w:eastAsia="Calibri"/>
        </w:rPr>
      </w:pPr>
      <w:r>
        <w:rPr>
          <w:rFonts w:eastAsia="Calibri"/>
        </w:rPr>
        <w:t xml:space="preserve">Management </w:t>
      </w:r>
      <w:r w:rsidRPr="002F4AA0">
        <w:rPr>
          <w:rFonts w:eastAsia="Calibri"/>
        </w:rPr>
        <w:t>style</w:t>
      </w:r>
      <w:r>
        <w:rPr>
          <w:rFonts w:eastAsia="Calibri"/>
        </w:rPr>
        <w:t xml:space="preserve"> was </w:t>
      </w:r>
      <w:r w:rsidR="00D3346E">
        <w:rPr>
          <w:rFonts w:eastAsia="Calibri"/>
        </w:rPr>
        <w:t xml:space="preserve">also </w:t>
      </w:r>
      <w:r>
        <w:rPr>
          <w:rFonts w:eastAsia="Calibri"/>
        </w:rPr>
        <w:t>found to affect apprentices</w:t>
      </w:r>
      <w:r w:rsidR="00841F93">
        <w:rPr>
          <w:rFonts w:eastAsia="Calibri"/>
        </w:rPr>
        <w:t>’</w:t>
      </w:r>
      <w:r>
        <w:rPr>
          <w:rFonts w:eastAsia="Calibri"/>
        </w:rPr>
        <w:t xml:space="preserve"> experiences at work. </w:t>
      </w:r>
      <w:r w:rsidR="00227ACD">
        <w:rPr>
          <w:rFonts w:eastAsia="Calibri"/>
        </w:rPr>
        <w:t xml:space="preserve">Dickie, </w:t>
      </w:r>
      <w:r w:rsidR="00227ACD">
        <w:t xml:space="preserve">McDonald and </w:t>
      </w:r>
      <w:proofErr w:type="spellStart"/>
      <w:r w:rsidR="00227ACD">
        <w:t>Pedic</w:t>
      </w:r>
      <w:proofErr w:type="spellEnd"/>
      <w:r w:rsidR="00227ACD">
        <w:t xml:space="preserve"> </w:t>
      </w:r>
      <w:r w:rsidR="00BD7040">
        <w:rPr>
          <w:rFonts w:eastAsia="Calibri"/>
        </w:rPr>
        <w:t>(2011) suggest</w:t>
      </w:r>
      <w:r w:rsidR="00A5067A">
        <w:rPr>
          <w:rFonts w:eastAsia="Calibri"/>
        </w:rPr>
        <w:t>ed</w:t>
      </w:r>
      <w:r w:rsidR="00BD7040">
        <w:rPr>
          <w:rFonts w:eastAsia="Calibri"/>
        </w:rPr>
        <w:t xml:space="preserve"> that i</w:t>
      </w:r>
      <w:r w:rsidR="00A5067A">
        <w:rPr>
          <w:rFonts w:eastAsia="Calibri"/>
        </w:rPr>
        <w:t>f employers had</w:t>
      </w:r>
      <w:r w:rsidR="00EF2EE2" w:rsidRPr="00EF2EE2">
        <w:rPr>
          <w:rFonts w:eastAsia="Calibri"/>
        </w:rPr>
        <w:t xml:space="preserve"> a positive attitude towards their apprentices, they</w:t>
      </w:r>
      <w:r w:rsidR="00BD7040">
        <w:rPr>
          <w:rFonts w:eastAsia="Calibri"/>
        </w:rPr>
        <w:t xml:space="preserve"> </w:t>
      </w:r>
      <w:r w:rsidR="00A5067A">
        <w:rPr>
          <w:rFonts w:eastAsia="Calibri"/>
        </w:rPr>
        <w:t>were</w:t>
      </w:r>
      <w:r w:rsidR="00BD7040">
        <w:rPr>
          <w:rFonts w:eastAsia="Calibri"/>
        </w:rPr>
        <w:t xml:space="preserve"> more likely to retain them, noting that </w:t>
      </w:r>
      <w:r w:rsidR="00BD7040" w:rsidRPr="00EF2EE2">
        <w:rPr>
          <w:rFonts w:eastAsia="Calibri"/>
        </w:rPr>
        <w:t>Gen</w:t>
      </w:r>
      <w:r w:rsidR="00A5067A">
        <w:rPr>
          <w:rFonts w:eastAsia="Calibri"/>
        </w:rPr>
        <w:t>eration</w:t>
      </w:r>
      <w:r w:rsidR="00B9222C">
        <w:rPr>
          <w:rFonts w:eastAsia="Calibri"/>
        </w:rPr>
        <w:t xml:space="preserve"> </w:t>
      </w:r>
      <w:r w:rsidR="00BD7040" w:rsidRPr="00EF2EE2">
        <w:rPr>
          <w:rFonts w:eastAsia="Calibri"/>
        </w:rPr>
        <w:t>Y apprentices prefer</w:t>
      </w:r>
      <w:r w:rsidR="00A5067A">
        <w:rPr>
          <w:rFonts w:eastAsia="Calibri"/>
        </w:rPr>
        <w:t>red</w:t>
      </w:r>
      <w:r w:rsidR="00BD7040" w:rsidRPr="00EF2EE2">
        <w:rPr>
          <w:rFonts w:eastAsia="Calibri"/>
        </w:rPr>
        <w:t xml:space="preserve"> a mentor-style boss to an authoritarian-style boss.</w:t>
      </w:r>
    </w:p>
    <w:p w:rsidR="009F7EC2" w:rsidRDefault="00557E43" w:rsidP="00D763AC">
      <w:pPr>
        <w:pStyle w:val="Heading2"/>
        <w:rPr>
          <w:kern w:val="28"/>
        </w:rPr>
      </w:pPr>
      <w:bookmarkStart w:id="111" w:name="_Toc377040312"/>
      <w:r>
        <w:rPr>
          <w:kern w:val="28"/>
        </w:rPr>
        <w:t xml:space="preserve">Employer </w:t>
      </w:r>
      <w:r w:rsidR="00BF3C37">
        <w:rPr>
          <w:kern w:val="28"/>
        </w:rPr>
        <w:t>challenges</w:t>
      </w:r>
      <w:bookmarkEnd w:id="111"/>
    </w:p>
    <w:p w:rsidR="00F558FA" w:rsidRDefault="00F558FA" w:rsidP="00BE769D">
      <w:pPr>
        <w:pStyle w:val="Text"/>
        <w:ind w:right="-143"/>
      </w:pPr>
      <w:r>
        <w:t xml:space="preserve">Employers of apprentices experience a number of </w:t>
      </w:r>
      <w:r w:rsidR="00BF3C37">
        <w:t>challenges</w:t>
      </w:r>
      <w:r>
        <w:t xml:space="preserve">. These chiefly concern </w:t>
      </w:r>
      <w:r w:rsidR="00427C11">
        <w:t xml:space="preserve">the </w:t>
      </w:r>
      <w:r>
        <w:t>recruitment</w:t>
      </w:r>
      <w:r w:rsidR="00427C11">
        <w:t xml:space="preserve"> of suitable apprentices</w:t>
      </w:r>
      <w:r>
        <w:t xml:space="preserve">, </w:t>
      </w:r>
      <w:r w:rsidR="008577D0">
        <w:t>the</w:t>
      </w:r>
      <w:r>
        <w:t xml:space="preserve"> ab</w:t>
      </w:r>
      <w:r w:rsidR="008577D0">
        <w:t>i</w:t>
      </w:r>
      <w:r>
        <w:t>l</w:t>
      </w:r>
      <w:r w:rsidR="008577D0">
        <w:t>ity</w:t>
      </w:r>
      <w:r>
        <w:t xml:space="preserve"> to offer apprentices a variety of work</w:t>
      </w:r>
      <w:r w:rsidR="008932F1">
        <w:t>,</w:t>
      </w:r>
      <w:r>
        <w:t xml:space="preserve"> and </w:t>
      </w:r>
      <w:r w:rsidR="00A5067A">
        <w:t>supervision requirements.</w:t>
      </w:r>
      <w:r>
        <w:t xml:space="preserve"> </w:t>
      </w:r>
    </w:p>
    <w:p w:rsidR="00113BFC" w:rsidRDefault="001709AE" w:rsidP="009F7EC2">
      <w:pPr>
        <w:pStyle w:val="Text"/>
      </w:pPr>
      <w:r>
        <w:t>National</w:t>
      </w:r>
      <w:r w:rsidR="00D3346E">
        <w:t xml:space="preserve"> stud</w:t>
      </w:r>
      <w:r>
        <w:t>ies</w:t>
      </w:r>
      <w:r w:rsidR="00D3346E">
        <w:t xml:space="preserve"> of</w:t>
      </w:r>
      <w:r w:rsidR="00F558FA">
        <w:t xml:space="preserve"> e</w:t>
      </w:r>
      <w:r w:rsidR="00113BFC">
        <w:t>mployers</w:t>
      </w:r>
      <w:r w:rsidR="00557E43">
        <w:t xml:space="preserve"> of plumbing </w:t>
      </w:r>
      <w:r>
        <w:t xml:space="preserve">and bricklaying </w:t>
      </w:r>
      <w:r w:rsidR="00557E43">
        <w:t>apprentices</w:t>
      </w:r>
      <w:r w:rsidR="00113BFC">
        <w:t xml:space="preserve"> </w:t>
      </w:r>
      <w:r w:rsidR="00F558FA">
        <w:t xml:space="preserve">(Walker </w:t>
      </w:r>
      <w:r w:rsidR="00227ACD">
        <w:t>&amp;</w:t>
      </w:r>
      <w:r w:rsidR="00F558FA">
        <w:t xml:space="preserve"> Powers 2008</w:t>
      </w:r>
      <w:r w:rsidR="00A132E3">
        <w:t>,</w:t>
      </w:r>
      <w:r>
        <w:t xml:space="preserve"> 2009a</w:t>
      </w:r>
      <w:r w:rsidR="00F558FA">
        <w:t xml:space="preserve">) </w:t>
      </w:r>
      <w:r w:rsidR="00557E43">
        <w:t>highlighted</w:t>
      </w:r>
      <w:r w:rsidR="00113BFC">
        <w:t xml:space="preserve"> that finding the right </w:t>
      </w:r>
      <w:r w:rsidR="00E10EE5">
        <w:t>apprentice can be a challenge: t</w:t>
      </w:r>
      <w:r w:rsidR="00113BFC">
        <w:t>here is no shortage of apprentices, but there is a shortage of suitable apprentices.</w:t>
      </w:r>
      <w:r w:rsidR="00557E43">
        <w:t xml:space="preserve"> </w:t>
      </w:r>
      <w:r w:rsidR="00E10EE5">
        <w:t xml:space="preserve">As one respondent explained, </w:t>
      </w:r>
      <w:r w:rsidR="00841F93">
        <w:t>‘</w:t>
      </w:r>
      <w:r w:rsidR="00557E43">
        <w:t xml:space="preserve">Finding an apprentice is easy. </w:t>
      </w:r>
      <w:proofErr w:type="gramStart"/>
      <w:r w:rsidR="00557E43">
        <w:t>Finding a go</w:t>
      </w:r>
      <w:r w:rsidR="00A132E3">
        <w:t>od apprentice is very difficult</w:t>
      </w:r>
      <w:r w:rsidR="00841F93">
        <w:t>’</w:t>
      </w:r>
      <w:r w:rsidR="00557E43">
        <w:t xml:space="preserve"> (</w:t>
      </w:r>
      <w:r w:rsidR="007A67E5">
        <w:t xml:space="preserve">Walker </w:t>
      </w:r>
      <w:r w:rsidR="007C3C82">
        <w:t>&amp;</w:t>
      </w:r>
      <w:r w:rsidR="007A67E5">
        <w:t xml:space="preserve"> Powers</w:t>
      </w:r>
      <w:r w:rsidR="00E10EE5">
        <w:t xml:space="preserve"> </w:t>
      </w:r>
      <w:r w:rsidR="00A132E3">
        <w:t>2008, p.</w:t>
      </w:r>
      <w:r w:rsidR="00557E43">
        <w:t>63).</w:t>
      </w:r>
      <w:proofErr w:type="gramEnd"/>
    </w:p>
    <w:p w:rsidR="009F7EC2" w:rsidRDefault="009E09F1" w:rsidP="009F7EC2">
      <w:pPr>
        <w:pStyle w:val="Text"/>
      </w:pPr>
      <w:r>
        <w:t xml:space="preserve">When employers were asked about the greatest challenges in </w:t>
      </w:r>
      <w:r w:rsidRPr="00D3346E">
        <w:rPr>
          <w:i/>
        </w:rPr>
        <w:t>keeping</w:t>
      </w:r>
      <w:r w:rsidR="001709AE">
        <w:t xml:space="preserve"> an </w:t>
      </w:r>
      <w:r>
        <w:t xml:space="preserve">apprentice </w:t>
      </w:r>
      <w:r w:rsidR="00A132E3">
        <w:t>for the duration of</w:t>
      </w:r>
      <w:r>
        <w:t xml:space="preserve"> the</w:t>
      </w:r>
      <w:r w:rsidR="00427C11">
        <w:t>ir</w:t>
      </w:r>
      <w:r>
        <w:t xml:space="preserve"> training, the following </w:t>
      </w:r>
      <w:r w:rsidR="00A132E3">
        <w:t>issues</w:t>
      </w:r>
      <w:r>
        <w:t xml:space="preserve"> emerged</w:t>
      </w:r>
      <w:r w:rsidR="00E10EE5">
        <w:t xml:space="preserve"> (</w:t>
      </w:r>
      <w:r w:rsidR="007A67E5">
        <w:t xml:space="preserve">Walker </w:t>
      </w:r>
      <w:r w:rsidR="00A132E3">
        <w:t>&amp;</w:t>
      </w:r>
      <w:r w:rsidR="007A67E5">
        <w:t xml:space="preserve"> Powers</w:t>
      </w:r>
      <w:r w:rsidR="00E10EE5">
        <w:t xml:space="preserve"> 2008</w:t>
      </w:r>
      <w:r w:rsidR="001709AE">
        <w:t>; 2009a</w:t>
      </w:r>
      <w:r w:rsidR="00E10EE5">
        <w:t>)</w:t>
      </w:r>
      <w:r>
        <w:t>:</w:t>
      </w:r>
    </w:p>
    <w:p w:rsidR="009E09F1" w:rsidRDefault="00A132E3" w:rsidP="009E09F1">
      <w:pPr>
        <w:pStyle w:val="Dotpoint1"/>
      </w:pPr>
      <w:r>
        <w:t>G</w:t>
      </w:r>
      <w:r w:rsidR="009E09F1">
        <w:t>enerating the variety of work needed</w:t>
      </w:r>
      <w:r w:rsidR="00113BFC">
        <w:t xml:space="preserve"> </w:t>
      </w:r>
      <w:r w:rsidR="00BF3C37">
        <w:t>in order to cover everything the ap</w:t>
      </w:r>
      <w:r>
        <w:t>prentice learns at trade school was sometimes a problem.</w:t>
      </w:r>
    </w:p>
    <w:p w:rsidR="009E09F1" w:rsidRDefault="00A132E3" w:rsidP="009E09F1">
      <w:pPr>
        <w:pStyle w:val="Dotpoint1"/>
      </w:pPr>
      <w:r>
        <w:t>W</w:t>
      </w:r>
      <w:r w:rsidR="00557E43">
        <w:t xml:space="preserve">hile employers acknowledged that </w:t>
      </w:r>
      <w:r>
        <w:t>apprentices</w:t>
      </w:r>
      <w:r w:rsidR="00841F93">
        <w:t>’</w:t>
      </w:r>
      <w:r>
        <w:t xml:space="preserve"> </w:t>
      </w:r>
      <w:r w:rsidR="00557E43">
        <w:t>wages were low, some felt that apprentices needed</w:t>
      </w:r>
      <w:r>
        <w:t xml:space="preserve"> more assistance with budgeting.</w:t>
      </w:r>
    </w:p>
    <w:p w:rsidR="001709AE" w:rsidRDefault="001709AE" w:rsidP="009E09F1">
      <w:pPr>
        <w:pStyle w:val="Dotpoint1"/>
      </w:pPr>
      <w:r>
        <w:lastRenderedPageBreak/>
        <w:t>Providing training and supervision</w:t>
      </w:r>
      <w:r w:rsidR="00A132E3">
        <w:t xml:space="preserve"> was often difficult to organise</w:t>
      </w:r>
      <w:r>
        <w:t xml:space="preserve">. </w:t>
      </w:r>
      <w:r w:rsidR="008932F1">
        <w:t>Employers</w:t>
      </w:r>
      <w:r>
        <w:t xml:space="preserve"> running a small business found it challenging to juggle the day-to-day running of the business with overseeing the apprentice.</w:t>
      </w:r>
    </w:p>
    <w:p w:rsidR="009E09F1" w:rsidRDefault="009E09F1" w:rsidP="009E09F1">
      <w:pPr>
        <w:pStyle w:val="Dotpoint1"/>
      </w:pPr>
      <w:r>
        <w:t xml:space="preserve">Keeping </w:t>
      </w:r>
      <w:r w:rsidR="00113BFC">
        <w:t>apprentices motivated</w:t>
      </w:r>
      <w:r w:rsidR="002C2214">
        <w:t xml:space="preserve"> in the midst of other distractions</w:t>
      </w:r>
      <w:r w:rsidR="00A132E3">
        <w:t xml:space="preserve"> was often hard</w:t>
      </w:r>
      <w:r w:rsidR="00427C11">
        <w:t>. As one employer explained:</w:t>
      </w:r>
    </w:p>
    <w:p w:rsidR="00113BFC" w:rsidRDefault="00113BFC" w:rsidP="00BE769D">
      <w:pPr>
        <w:pStyle w:val="Quote"/>
      </w:pPr>
      <w:r>
        <w:t>Keeping the</w:t>
      </w:r>
      <w:r w:rsidR="00A132E3">
        <w:t xml:space="preserve"> kids on track for the entire 4-</w:t>
      </w:r>
      <w:r>
        <w:t xml:space="preserve">year term is the hardest challenge we find. It seems difficult for many of them to </w:t>
      </w:r>
      <w:r w:rsidR="008932F1">
        <w:t xml:space="preserve">keep up the effort and attitude </w:t>
      </w:r>
      <w:r>
        <w:t xml:space="preserve">required to get them </w:t>
      </w:r>
      <w:r w:rsidRPr="00BE769D">
        <w:t>through</w:t>
      </w:r>
      <w:r>
        <w:t xml:space="preserve"> a</w:t>
      </w:r>
      <w:r w:rsidR="00BF3C37">
        <w:t>ll the site and school training.</w:t>
      </w:r>
      <w:r w:rsidR="00A132E3">
        <w:tab/>
      </w:r>
      <w:r>
        <w:t>(</w:t>
      </w:r>
      <w:r w:rsidR="007A67E5">
        <w:t xml:space="preserve">Walker </w:t>
      </w:r>
      <w:r w:rsidR="00A132E3">
        <w:t>&amp;</w:t>
      </w:r>
      <w:r w:rsidR="007A67E5">
        <w:t xml:space="preserve"> Powers</w:t>
      </w:r>
      <w:r w:rsidR="00A132E3">
        <w:t xml:space="preserve"> 2008, p.</w:t>
      </w:r>
      <w:r>
        <w:t>64)</w:t>
      </w:r>
    </w:p>
    <w:p w:rsidR="008E4746" w:rsidRDefault="00E32140" w:rsidP="00113BFC">
      <w:pPr>
        <w:pStyle w:val="Text"/>
      </w:pPr>
      <w:r>
        <w:t xml:space="preserve">In another study, </w:t>
      </w:r>
      <w:r w:rsidR="00BF3C37">
        <w:t>employers comment</w:t>
      </w:r>
      <w:r w:rsidR="00D50FD5">
        <w:t>ed</w:t>
      </w:r>
      <w:r w:rsidR="00BF3C37">
        <w:t xml:space="preserve"> on </w:t>
      </w:r>
      <w:r w:rsidR="00A132E3">
        <w:t>apprentices</w:t>
      </w:r>
      <w:r w:rsidR="00841F93">
        <w:t>’</w:t>
      </w:r>
      <w:r w:rsidR="00A132E3">
        <w:t xml:space="preserve"> </w:t>
      </w:r>
      <w:r w:rsidR="00BF3C37">
        <w:t>l</w:t>
      </w:r>
      <w:r w:rsidR="008E4746">
        <w:t>iteracy and numeracy standards</w:t>
      </w:r>
      <w:r w:rsidR="00D50FD5">
        <w:t xml:space="preserve"> and were clearly frustrated by what they saw as falling standards</w:t>
      </w:r>
      <w:r w:rsidR="008E4746">
        <w:t xml:space="preserve">: </w:t>
      </w:r>
      <w:r w:rsidR="00841F93">
        <w:t>‘</w:t>
      </w:r>
      <w:r w:rsidR="008E4746">
        <w:t>I</w:t>
      </w:r>
      <w:r w:rsidR="00841F93">
        <w:t>’</w:t>
      </w:r>
      <w:r w:rsidR="008E4746">
        <w:t xml:space="preserve">ve just finished interviewing and the numbers that were </w:t>
      </w:r>
      <w:r w:rsidR="0039240D">
        <w:t>down on numeracy and literacy [are]</w:t>
      </w:r>
      <w:r w:rsidR="008E4746">
        <w:t xml:space="preserve"> still quite appalling</w:t>
      </w:r>
      <w:r w:rsidR="00A132E3">
        <w:t xml:space="preserve"> </w:t>
      </w:r>
      <w:r w:rsidR="00BE769D">
        <w:t>…</w:t>
      </w:r>
      <w:r w:rsidR="00A132E3">
        <w:t xml:space="preserve"> </w:t>
      </w:r>
      <w:r w:rsidR="008E4746">
        <w:t>It</w:t>
      </w:r>
      <w:r w:rsidR="00841F93">
        <w:t>’</w:t>
      </w:r>
      <w:r w:rsidR="008E4746">
        <w:t>s a national disgrace</w:t>
      </w:r>
      <w:r w:rsidR="00841F93">
        <w:t>’</w:t>
      </w:r>
      <w:r w:rsidR="008E4746">
        <w:t xml:space="preserve"> (Mitchell </w:t>
      </w:r>
      <w:r w:rsidR="00061505">
        <w:t>&amp; Dobbs</w:t>
      </w:r>
      <w:r w:rsidR="008E4746">
        <w:t xml:space="preserve"> </w:t>
      </w:r>
      <w:r w:rsidR="002C2214">
        <w:t xml:space="preserve">2008, </w:t>
      </w:r>
      <w:r w:rsidR="0039240D">
        <w:t>p.</w:t>
      </w:r>
      <w:r w:rsidR="008E4746">
        <w:t>25)</w:t>
      </w:r>
      <w:r w:rsidR="0039240D">
        <w:t>.</w:t>
      </w:r>
    </w:p>
    <w:p w:rsidR="00450086" w:rsidRDefault="00450086" w:rsidP="00450086">
      <w:pPr>
        <w:pStyle w:val="Text"/>
      </w:pPr>
      <w:r>
        <w:t xml:space="preserve">Some employers </w:t>
      </w:r>
      <w:r w:rsidR="00A5067A">
        <w:t xml:space="preserve">also </w:t>
      </w:r>
      <w:r w:rsidR="00173A69">
        <w:t>commented on the need for supervisor training. One employee observed that</w:t>
      </w:r>
      <w:r>
        <w:t xml:space="preserve"> </w:t>
      </w:r>
      <w:r w:rsidR="00173A69">
        <w:t>the majority of</w:t>
      </w:r>
      <w:r>
        <w:t xml:space="preserve"> apprenti</w:t>
      </w:r>
      <w:r w:rsidR="007C3C82">
        <w:t>ce supervisors are tradespeople</w:t>
      </w:r>
      <w:r>
        <w:t xml:space="preserve"> and that</w:t>
      </w:r>
      <w:r w:rsidR="007C3C82">
        <w:t>,</w:t>
      </w:r>
      <w:r>
        <w:t xml:space="preserve"> while they may be accomplished tradespeople, it doesn</w:t>
      </w:r>
      <w:r w:rsidR="00841F93">
        <w:t>’</w:t>
      </w:r>
      <w:r>
        <w:t xml:space="preserve">t necessarily mean that they will be excellent teachers and communicators, especially </w:t>
      </w:r>
      <w:r w:rsidR="00173A69">
        <w:t>if</w:t>
      </w:r>
      <w:r>
        <w:t xml:space="preserve"> they haven</w:t>
      </w:r>
      <w:r w:rsidR="00841F93">
        <w:t>’</w:t>
      </w:r>
      <w:r>
        <w:t xml:space="preserve">t received </w:t>
      </w:r>
      <w:r w:rsidR="00A5067A">
        <w:t xml:space="preserve">any </w:t>
      </w:r>
      <w:r>
        <w:t>training (TNS Social Research 2007).</w:t>
      </w:r>
    </w:p>
    <w:p w:rsidR="00C362F8" w:rsidRDefault="00C362F8" w:rsidP="00BE769D">
      <w:pPr>
        <w:pStyle w:val="Text"/>
        <w:ind w:right="-143"/>
      </w:pPr>
      <w:r w:rsidRPr="00354AC3">
        <w:t>Group training schemes can alleviate some of these challenges, such as providing varied work and recruiting suitable apprentices.</w:t>
      </w:r>
      <w:r w:rsidR="002C3EC5" w:rsidRPr="00354AC3">
        <w:t xml:space="preserve"> </w:t>
      </w:r>
      <w:r w:rsidR="0039240D">
        <w:t>Group training organisations</w:t>
      </w:r>
      <w:r w:rsidR="002C3EC5" w:rsidRPr="00354AC3">
        <w:t xml:space="preserve"> take responsibility for selection, administration and some supervision and pastoral care.</w:t>
      </w:r>
      <w:r w:rsidRPr="00354AC3">
        <w:t xml:space="preserve"> However, employers </w:t>
      </w:r>
      <w:r w:rsidR="00354AC3">
        <w:t>may</w:t>
      </w:r>
      <w:r w:rsidRPr="00354AC3">
        <w:t xml:space="preserve"> </w:t>
      </w:r>
      <w:r w:rsidR="002F4AA0">
        <w:t xml:space="preserve">still </w:t>
      </w:r>
      <w:r w:rsidRPr="00354AC3">
        <w:t>prefer to employ apprentices directly</w:t>
      </w:r>
      <w:r w:rsidR="007C3C82">
        <w:t>,</w:t>
      </w:r>
      <w:r w:rsidRPr="00354AC3">
        <w:t xml:space="preserve"> since this affords t</w:t>
      </w:r>
      <w:r w:rsidR="0039240D">
        <w:t xml:space="preserve">hem greater control (Nechvoglod, Karmel &amp; Saunders </w:t>
      </w:r>
      <w:r w:rsidRPr="00354AC3">
        <w:t>2009).</w:t>
      </w:r>
    </w:p>
    <w:p w:rsidR="00557E43" w:rsidRDefault="00AF6199" w:rsidP="00557E43">
      <w:pPr>
        <w:pStyle w:val="Heading2"/>
      </w:pPr>
      <w:bookmarkStart w:id="112" w:name="_Toc377040313"/>
      <w:r>
        <w:t>Retention s</w:t>
      </w:r>
      <w:r w:rsidR="00557E43">
        <w:t xml:space="preserve">trategies used by </w:t>
      </w:r>
      <w:r w:rsidR="00841F93">
        <w:t>‘</w:t>
      </w:r>
      <w:r w:rsidR="00557E43">
        <w:t>best practice</w:t>
      </w:r>
      <w:r w:rsidR="00841F93">
        <w:t>’</w:t>
      </w:r>
      <w:r w:rsidR="00557E43">
        <w:t xml:space="preserve"> employers</w:t>
      </w:r>
      <w:bookmarkEnd w:id="112"/>
    </w:p>
    <w:p w:rsidR="00F558FA" w:rsidRDefault="00E10EE5" w:rsidP="00F558FA">
      <w:pPr>
        <w:pStyle w:val="Text"/>
      </w:pPr>
      <w:bookmarkStart w:id="113" w:name="OLE_LINK47"/>
      <w:bookmarkStart w:id="114" w:name="OLE_LINK48"/>
      <w:r w:rsidRPr="00E10EE5">
        <w:t xml:space="preserve">Mitchell </w:t>
      </w:r>
      <w:r w:rsidR="0001092B">
        <w:t>and</w:t>
      </w:r>
      <w:r w:rsidR="00061505">
        <w:t xml:space="preserve"> Dobbs</w:t>
      </w:r>
      <w:r w:rsidRPr="00E10EE5">
        <w:t xml:space="preserve"> (2008) interviewed 25 </w:t>
      </w:r>
      <w:r w:rsidR="00841F93">
        <w:t>‘</w:t>
      </w:r>
      <w:r w:rsidRPr="00E10EE5">
        <w:t>best practice</w:t>
      </w:r>
      <w:r w:rsidR="00841F93">
        <w:t>’</w:t>
      </w:r>
      <w:r w:rsidRPr="00E10EE5">
        <w:t xml:space="preserve"> employers of apprentices to identify </w:t>
      </w:r>
      <w:r w:rsidR="0039240D">
        <w:t>the</w:t>
      </w:r>
      <w:r w:rsidRPr="00E10EE5">
        <w:t xml:space="preserve"> strategies they had in place to encourage apprentice retention.</w:t>
      </w:r>
      <w:r w:rsidR="00F558FA" w:rsidRPr="00F558FA">
        <w:t xml:space="preserve"> </w:t>
      </w:r>
      <w:r w:rsidR="00F93255">
        <w:t>In</w:t>
      </w:r>
      <w:r w:rsidR="00F558FA">
        <w:t xml:space="preserve"> most cases </w:t>
      </w:r>
      <w:r w:rsidR="00F93255">
        <w:t xml:space="preserve">the employers </w:t>
      </w:r>
      <w:r w:rsidR="00F558FA">
        <w:t xml:space="preserve">were recommended by the state or territory chamber of commerce and industry. Almost all of the employers interviewed </w:t>
      </w:r>
      <w:r w:rsidR="0039240D">
        <w:t xml:space="preserve">had </w:t>
      </w:r>
      <w:r w:rsidR="00F558FA">
        <w:t>retain</w:t>
      </w:r>
      <w:r w:rsidR="008932F1">
        <w:t>ed</w:t>
      </w:r>
      <w:r w:rsidR="00F558FA">
        <w:t xml:space="preserve"> over 80% of their apprentices (Mitchell </w:t>
      </w:r>
      <w:r w:rsidR="00061505">
        <w:t>&amp; Dobbs</w:t>
      </w:r>
      <w:r w:rsidR="00F558FA">
        <w:t xml:space="preserve"> 2008).</w:t>
      </w:r>
    </w:p>
    <w:p w:rsidR="00294B8F" w:rsidRDefault="00294B8F" w:rsidP="00294B8F">
      <w:pPr>
        <w:pStyle w:val="Text"/>
      </w:pPr>
      <w:r>
        <w:t xml:space="preserve">The employers </w:t>
      </w:r>
      <w:r w:rsidR="00F558FA">
        <w:t>represented</w:t>
      </w:r>
      <w:r>
        <w:t xml:space="preserve"> a range of industries (automotive</w:t>
      </w:r>
      <w:r w:rsidR="00E35DD0">
        <w:t>, electrical engineering, marine</w:t>
      </w:r>
      <w:r>
        <w:t>, mining, defence, healthcare,</w:t>
      </w:r>
      <w:r w:rsidR="00F558FA">
        <w:t xml:space="preserve"> construction, manufacturing)</w:t>
      </w:r>
      <w:r w:rsidR="008932F1">
        <w:t xml:space="preserve">. They </w:t>
      </w:r>
      <w:r w:rsidR="00F558FA">
        <w:t xml:space="preserve">included both </w:t>
      </w:r>
      <w:r w:rsidR="008932F1">
        <w:t>large and small businesses</w:t>
      </w:r>
      <w:r>
        <w:t xml:space="preserve"> </w:t>
      </w:r>
      <w:r w:rsidR="008932F1">
        <w:t xml:space="preserve">from every state in Australia, across metropolitan, </w:t>
      </w:r>
      <w:r>
        <w:t>regional and remote areas</w:t>
      </w:r>
      <w:r w:rsidR="00F558FA">
        <w:t xml:space="preserve">, </w:t>
      </w:r>
      <w:r w:rsidR="008577D0">
        <w:t>that</w:t>
      </w:r>
      <w:r>
        <w:t xml:space="preserve"> employ</w:t>
      </w:r>
      <w:r w:rsidR="00F558FA">
        <w:t>ed</w:t>
      </w:r>
      <w:r>
        <w:t xml:space="preserve"> from </w:t>
      </w:r>
      <w:r w:rsidR="0039240D">
        <w:t>one</w:t>
      </w:r>
      <w:r>
        <w:t xml:space="preserve"> to 200 apprentices per annum.</w:t>
      </w:r>
    </w:p>
    <w:p w:rsidR="00A8656F" w:rsidRDefault="00A5067A" w:rsidP="00A8656F">
      <w:pPr>
        <w:pStyle w:val="Text"/>
      </w:pPr>
      <w:r>
        <w:t xml:space="preserve">In this section we highlight the features common </w:t>
      </w:r>
      <w:r w:rsidR="007C3C82">
        <w:t>to</w:t>
      </w:r>
      <w:r>
        <w:t xml:space="preserve"> many of the</w:t>
      </w:r>
      <w:r w:rsidR="008932F1">
        <w:t xml:space="preserve">se best </w:t>
      </w:r>
      <w:r w:rsidR="00F558FA">
        <w:t>practice employers.</w:t>
      </w:r>
      <w:r w:rsidR="00A8656F">
        <w:t xml:space="preserve"> </w:t>
      </w:r>
      <w:r w:rsidR="00D04EA4">
        <w:t xml:space="preserve">For interested readers, three </w:t>
      </w:r>
      <w:r w:rsidR="00B21FA4">
        <w:t xml:space="preserve">detailed </w:t>
      </w:r>
      <w:r w:rsidR="00D04EA4">
        <w:t xml:space="preserve">case studies of employers </w:t>
      </w:r>
      <w:r w:rsidR="00B21FA4">
        <w:t xml:space="preserve">and individual </w:t>
      </w:r>
      <w:r w:rsidR="008932F1">
        <w:t>trades</w:t>
      </w:r>
      <w:r w:rsidR="00B21FA4">
        <w:t xml:space="preserve"> </w:t>
      </w:r>
      <w:r w:rsidR="00D04EA4">
        <w:t xml:space="preserve">with high completion rates are provided in </w:t>
      </w:r>
      <w:r w:rsidR="0039240D">
        <w:t>the appendix</w:t>
      </w:r>
      <w:r w:rsidR="00D04EA4">
        <w:t>.</w:t>
      </w:r>
    </w:p>
    <w:bookmarkEnd w:id="113"/>
    <w:bookmarkEnd w:id="114"/>
    <w:p w:rsidR="00294B8F" w:rsidRDefault="00EC52C7" w:rsidP="004C1D7E">
      <w:pPr>
        <w:pStyle w:val="Heading3"/>
      </w:pPr>
      <w:r>
        <w:t>Rigorous</w:t>
      </w:r>
      <w:r w:rsidR="00294B8F">
        <w:t xml:space="preserve"> recruitment practices</w:t>
      </w:r>
    </w:p>
    <w:p w:rsidR="00C8114C" w:rsidRDefault="00A5067A" w:rsidP="00BE769D">
      <w:pPr>
        <w:pStyle w:val="Textlessbefore"/>
      </w:pPr>
      <w:r>
        <w:t xml:space="preserve">The best practice employers </w:t>
      </w:r>
      <w:r w:rsidR="00F558FA">
        <w:t xml:space="preserve">believed that </w:t>
      </w:r>
      <w:r w:rsidR="00D04EA4">
        <w:t>recruiting appropriate apprentices to begin with</w:t>
      </w:r>
      <w:r w:rsidR="00C8114C">
        <w:t xml:space="preserve"> wa</w:t>
      </w:r>
      <w:r w:rsidR="00F558FA">
        <w:t xml:space="preserve">s a </w:t>
      </w:r>
      <w:r w:rsidR="00F93255">
        <w:t>prime</w:t>
      </w:r>
      <w:r w:rsidR="00F558FA">
        <w:t xml:space="preserve"> factor behind their high retention rates.</w:t>
      </w:r>
      <w:r w:rsidR="00C8114C">
        <w:t xml:space="preserve"> The</w:t>
      </w:r>
      <w:r>
        <w:t xml:space="preserve">y </w:t>
      </w:r>
      <w:r w:rsidR="00985025">
        <w:t>prefer</w:t>
      </w:r>
      <w:r w:rsidR="00C8114C">
        <w:t>red to select people who had</w:t>
      </w:r>
      <w:r w:rsidR="00985025">
        <w:t xml:space="preserve"> done work e</w:t>
      </w:r>
      <w:r w:rsidR="00C8114C">
        <w:t xml:space="preserve">xperience with them, </w:t>
      </w:r>
      <w:r w:rsidR="0039240D">
        <w:t>undertaken a pre</w:t>
      </w:r>
      <w:r w:rsidR="00985025">
        <w:t xml:space="preserve">vocational program or </w:t>
      </w:r>
      <w:r>
        <w:t xml:space="preserve">were </w:t>
      </w:r>
      <w:r w:rsidR="00985025">
        <w:t xml:space="preserve">currently working as a trade assistant. </w:t>
      </w:r>
      <w:r w:rsidR="00D04EA4">
        <w:t>Employers</w:t>
      </w:r>
      <w:r w:rsidR="00985025">
        <w:t xml:space="preserve"> believe</w:t>
      </w:r>
      <w:r w:rsidR="00C8114C">
        <w:t xml:space="preserve">d </w:t>
      </w:r>
      <w:r w:rsidR="00D04EA4">
        <w:t>that,</w:t>
      </w:r>
      <w:r w:rsidR="00C8114C">
        <w:t xml:space="preserve"> having had a </w:t>
      </w:r>
      <w:r w:rsidR="00841F93">
        <w:t>‘</w:t>
      </w:r>
      <w:r w:rsidR="00C8114C">
        <w:t>taste of the trade</w:t>
      </w:r>
      <w:r w:rsidR="00841F93">
        <w:t>’</w:t>
      </w:r>
      <w:r w:rsidR="00C8114C">
        <w:t xml:space="preserve">, </w:t>
      </w:r>
      <w:r w:rsidR="00D04EA4">
        <w:t xml:space="preserve">these people </w:t>
      </w:r>
      <w:r w:rsidR="00C8114C">
        <w:t>were</w:t>
      </w:r>
      <w:r w:rsidR="00985025">
        <w:t xml:space="preserve"> more likely to be aware of what they </w:t>
      </w:r>
      <w:r w:rsidR="007C3C82">
        <w:t>we</w:t>
      </w:r>
      <w:r>
        <w:t>re getting themselves into</w:t>
      </w:r>
      <w:r w:rsidR="00D04EA4">
        <w:t xml:space="preserve">, compared </w:t>
      </w:r>
      <w:r w:rsidR="0039240D">
        <w:t>with</w:t>
      </w:r>
      <w:r w:rsidR="00985025">
        <w:t xml:space="preserve"> someone with no experience. </w:t>
      </w:r>
      <w:r w:rsidR="00C8114C">
        <w:t>Hiring an apprentice who had had no exposure to the trade was seen as risky.</w:t>
      </w:r>
      <w:r w:rsidR="00C8114C" w:rsidRPr="00C8114C">
        <w:t xml:space="preserve"> </w:t>
      </w:r>
      <w:r w:rsidR="00C8114C">
        <w:t>These employers ofte</w:t>
      </w:r>
      <w:r w:rsidR="0039240D">
        <w:t>n had strong links with schools</w:t>
      </w:r>
      <w:r w:rsidR="00C8114C">
        <w:t xml:space="preserve"> and were actively involved in work placement programs with schools.</w:t>
      </w:r>
    </w:p>
    <w:p w:rsidR="00A5067A" w:rsidRDefault="00D04EA4" w:rsidP="00294B8F">
      <w:pPr>
        <w:pStyle w:val="Text"/>
      </w:pPr>
      <w:r>
        <w:lastRenderedPageBreak/>
        <w:t>A</w:t>
      </w:r>
      <w:r w:rsidR="00C8114C">
        <w:t xml:space="preserve"> </w:t>
      </w:r>
      <w:r w:rsidR="00841F93">
        <w:t>‘</w:t>
      </w:r>
      <w:r w:rsidR="00294B8F">
        <w:t>good apprentice</w:t>
      </w:r>
      <w:r w:rsidR="00841F93">
        <w:t>’</w:t>
      </w:r>
      <w:r w:rsidR="00294B8F">
        <w:t xml:space="preserve"> </w:t>
      </w:r>
      <w:r>
        <w:t>was defined as someone who was mature</w:t>
      </w:r>
      <w:r w:rsidR="008932F1">
        <w:t xml:space="preserve"> and</w:t>
      </w:r>
      <w:r w:rsidR="00A5067A">
        <w:t xml:space="preserve"> </w:t>
      </w:r>
      <w:r>
        <w:t>reliable</w:t>
      </w:r>
      <w:r w:rsidR="00294B8F">
        <w:t xml:space="preserve">, </w:t>
      </w:r>
      <w:r w:rsidR="008932F1">
        <w:t>with</w:t>
      </w:r>
      <w:r>
        <w:t xml:space="preserve"> </w:t>
      </w:r>
      <w:r w:rsidR="00294B8F">
        <w:t>an interest in the trade</w:t>
      </w:r>
      <w:r>
        <w:t>,</w:t>
      </w:r>
      <w:r w:rsidR="00294B8F">
        <w:t xml:space="preserve"> a mechanical aptitude</w:t>
      </w:r>
      <w:r>
        <w:t>, a positive attitude and a desire to learn</w:t>
      </w:r>
      <w:r w:rsidR="00294B8F">
        <w:t>.</w:t>
      </w:r>
      <w:r w:rsidR="00C8114C">
        <w:t xml:space="preserve"> </w:t>
      </w:r>
      <w:r>
        <w:t xml:space="preserve">Employers believed that apprentices with these attributes were easier to retain </w:t>
      </w:r>
      <w:r w:rsidR="00294B8F">
        <w:t>(</w:t>
      </w:r>
      <w:r w:rsidR="00061505">
        <w:t>Mitchell &amp; Dobbs 2008</w:t>
      </w:r>
      <w:r>
        <w:t>).</w:t>
      </w:r>
      <w:r w:rsidR="00B21FA4">
        <w:t xml:space="preserve"> Note that these attributes align closely with the attributes of committed apprentices ide</w:t>
      </w:r>
      <w:r w:rsidR="008932F1">
        <w:t xml:space="preserve">ntified by </w:t>
      </w:r>
      <w:r w:rsidR="0039240D">
        <w:rPr>
          <w:rFonts w:eastAsia="Calibri"/>
        </w:rPr>
        <w:t xml:space="preserve">Dickie, </w:t>
      </w:r>
      <w:r w:rsidR="0039240D">
        <w:t xml:space="preserve">McDonald and </w:t>
      </w:r>
      <w:proofErr w:type="spellStart"/>
      <w:r w:rsidR="0039240D">
        <w:t>Pedic</w:t>
      </w:r>
      <w:proofErr w:type="spellEnd"/>
      <w:r w:rsidR="0039240D">
        <w:t xml:space="preserve"> </w:t>
      </w:r>
      <w:r w:rsidR="008932F1">
        <w:t>(2011)</w:t>
      </w:r>
      <w:r w:rsidR="0039240D">
        <w:t>,</w:t>
      </w:r>
      <w:r w:rsidR="008932F1">
        <w:t xml:space="preserve"> described earlier.</w:t>
      </w:r>
    </w:p>
    <w:p w:rsidR="00354AC3" w:rsidRDefault="0039240D" w:rsidP="00BA599D">
      <w:pPr>
        <w:pStyle w:val="Text"/>
        <w:rPr>
          <w:rFonts w:ascii="Tahoma" w:hAnsi="Tahoma" w:cs="Tahoma"/>
          <w:color w:val="000000"/>
        </w:rPr>
      </w:pPr>
      <w:r>
        <w:t>Mature-</w:t>
      </w:r>
      <w:r w:rsidR="00294B8F">
        <w:t>age apprentices were</w:t>
      </w:r>
      <w:r w:rsidR="00C8114C">
        <w:t xml:space="preserve"> seen as particularly desirable, with one employer </w:t>
      </w:r>
      <w:r w:rsidR="00D04EA4">
        <w:t xml:space="preserve">describing them as </w:t>
      </w:r>
      <w:r w:rsidR="00841F93">
        <w:t>‘</w:t>
      </w:r>
      <w:r w:rsidR="00294B8F">
        <w:t xml:space="preserve">absolutely </w:t>
      </w:r>
      <w:r w:rsidR="00801C1F">
        <w:t>[</w:t>
      </w:r>
      <w:r w:rsidR="00D04EA4">
        <w:t>our</w:t>
      </w:r>
      <w:r w:rsidR="00801C1F">
        <w:t xml:space="preserve">] </w:t>
      </w:r>
      <w:r>
        <w:t xml:space="preserve">standout apprentices </w:t>
      </w:r>
      <w:r w:rsidR="00BE769D">
        <w:t>…</w:t>
      </w:r>
      <w:r w:rsidR="00801C1F">
        <w:t xml:space="preserve"> </w:t>
      </w:r>
      <w:r w:rsidR="00294B8F">
        <w:t>They complete early</w:t>
      </w:r>
      <w:r w:rsidR="00B21FA4">
        <w:t xml:space="preserve"> [and]</w:t>
      </w:r>
      <w:r w:rsidR="00294B8F">
        <w:t xml:space="preserve"> they</w:t>
      </w:r>
      <w:r w:rsidR="00841F93">
        <w:t>’</w:t>
      </w:r>
      <w:r w:rsidR="00294B8F">
        <w:t xml:space="preserve">re </w:t>
      </w:r>
      <w:r w:rsidR="00A603A3">
        <w:t>extremely low maintenance</w:t>
      </w:r>
      <w:r w:rsidR="00841F93">
        <w:t>’</w:t>
      </w:r>
      <w:r w:rsidR="00294B8F">
        <w:t xml:space="preserve"> </w:t>
      </w:r>
      <w:r w:rsidR="00C8114C">
        <w:t xml:space="preserve">(Mitchell </w:t>
      </w:r>
      <w:r w:rsidR="00061505">
        <w:t>&amp; Dobbs</w:t>
      </w:r>
      <w:r w:rsidR="00C8114C">
        <w:t xml:space="preserve"> 2008, </w:t>
      </w:r>
      <w:r w:rsidR="00A603A3">
        <w:t>p.</w:t>
      </w:r>
      <w:r w:rsidR="00294B8F">
        <w:t>12</w:t>
      </w:r>
      <w:r w:rsidR="00C8114C">
        <w:t>)</w:t>
      </w:r>
      <w:r w:rsidR="00061505">
        <w:t>.</w:t>
      </w:r>
      <w:r w:rsidR="002C2214" w:rsidRPr="002C2214">
        <w:rPr>
          <w:rFonts w:ascii="Calibri" w:hAnsi="Calibri" w:cs="Calibri"/>
          <w:sz w:val="22"/>
          <w:szCs w:val="22"/>
        </w:rPr>
        <w:t xml:space="preserve"> </w:t>
      </w:r>
      <w:r w:rsidR="00B21FA4">
        <w:rPr>
          <w:rFonts w:ascii="Calibri" w:hAnsi="Calibri" w:cs="Calibri"/>
          <w:sz w:val="22"/>
          <w:szCs w:val="22"/>
        </w:rPr>
        <w:t xml:space="preserve">Likewise, </w:t>
      </w:r>
      <w:r w:rsidR="002C2214" w:rsidRPr="00801C1F">
        <w:t>Huntly Consulting Group (2008) noted that many</w:t>
      </w:r>
      <w:r w:rsidR="00801C1F" w:rsidRPr="00801C1F">
        <w:t xml:space="preserve"> </w:t>
      </w:r>
      <w:r w:rsidR="002C2214" w:rsidRPr="00801C1F">
        <w:t xml:space="preserve">industry </w:t>
      </w:r>
      <w:r w:rsidR="00801C1F" w:rsidRPr="00801C1F">
        <w:t xml:space="preserve">stakeholders </w:t>
      </w:r>
      <w:r w:rsidR="002C2214" w:rsidRPr="00801C1F">
        <w:t xml:space="preserve">wanted to see a greater uptake of mature-age apprentices, as they were considered to be less likely to leave their apprenticeship and </w:t>
      </w:r>
      <w:r w:rsidR="008577D0">
        <w:t xml:space="preserve">were </w:t>
      </w:r>
      <w:r w:rsidR="002C2214" w:rsidRPr="00801C1F">
        <w:t>able to be productive sooner.</w:t>
      </w:r>
      <w:r w:rsidR="002C2214">
        <w:rPr>
          <w:rFonts w:ascii="Calibri" w:hAnsi="Calibri" w:cs="Calibri"/>
          <w:sz w:val="22"/>
          <w:szCs w:val="22"/>
        </w:rPr>
        <w:t xml:space="preserve"> </w:t>
      </w:r>
      <w:r w:rsidR="00F93255">
        <w:rPr>
          <w:rFonts w:ascii="Calibri" w:hAnsi="Calibri" w:cs="Calibri"/>
          <w:sz w:val="22"/>
          <w:szCs w:val="22"/>
        </w:rPr>
        <w:t>However, low apprentice</w:t>
      </w:r>
      <w:r w:rsidR="00A603A3">
        <w:rPr>
          <w:rFonts w:ascii="Calibri" w:hAnsi="Calibri" w:cs="Calibri"/>
          <w:sz w:val="22"/>
          <w:szCs w:val="22"/>
        </w:rPr>
        <w:t xml:space="preserve"> wages are a barrier for mature-</w:t>
      </w:r>
      <w:r w:rsidR="00F93255">
        <w:rPr>
          <w:rFonts w:ascii="Calibri" w:hAnsi="Calibri" w:cs="Calibri"/>
          <w:sz w:val="22"/>
          <w:szCs w:val="22"/>
        </w:rPr>
        <w:t xml:space="preserve">age apprentices, as we will see when we consider the opportunity cost of undertaking an apprenticeship. </w:t>
      </w:r>
      <w:r w:rsidR="00294B8F">
        <w:t>Those</w:t>
      </w:r>
      <w:r w:rsidR="00F93255">
        <w:t xml:space="preserve"> apprentices</w:t>
      </w:r>
      <w:r w:rsidR="00A603A3">
        <w:t xml:space="preserve"> in the 18 to 24-year</w:t>
      </w:r>
      <w:r w:rsidR="00294B8F">
        <w:t xml:space="preserve"> age group wer</w:t>
      </w:r>
      <w:r w:rsidR="00A5067A">
        <w:t xml:space="preserve">e seen as the hardest to retain, </w:t>
      </w:r>
      <w:r w:rsidR="007C3C82">
        <w:t>because</w:t>
      </w:r>
      <w:r w:rsidR="00294B8F">
        <w:t xml:space="preserve"> </w:t>
      </w:r>
      <w:r w:rsidR="00841F93">
        <w:t>‘</w:t>
      </w:r>
      <w:r w:rsidR="00A603A3">
        <w:t>that 18</w:t>
      </w:r>
      <w:r w:rsidR="00294B8F">
        <w:t xml:space="preserve"> to 24-year bracket tends to have </w:t>
      </w:r>
      <w:r w:rsidR="00A603A3">
        <w:t>a lot of distractions out there</w:t>
      </w:r>
      <w:r w:rsidR="00841F93">
        <w:t>’</w:t>
      </w:r>
      <w:r w:rsidR="00294B8F">
        <w:t xml:space="preserve"> (</w:t>
      </w:r>
      <w:r w:rsidR="00C8114C">
        <w:t xml:space="preserve">Mitchell </w:t>
      </w:r>
      <w:r w:rsidR="00061505">
        <w:t>&amp; Dobbs</w:t>
      </w:r>
      <w:r w:rsidR="00C8114C">
        <w:t xml:space="preserve"> 2008, </w:t>
      </w:r>
      <w:r w:rsidR="00A603A3">
        <w:t>p.</w:t>
      </w:r>
      <w:r w:rsidR="00294B8F">
        <w:t>12)</w:t>
      </w:r>
      <w:r w:rsidR="008577D0">
        <w:t>.</w:t>
      </w:r>
    </w:p>
    <w:p w:rsidR="00E64EF5" w:rsidRPr="00F22B3B" w:rsidRDefault="0029248B" w:rsidP="00A603A3">
      <w:pPr>
        <w:pStyle w:val="Heading3"/>
      </w:pPr>
      <w:r>
        <w:t>Well-organised training structures</w:t>
      </w:r>
    </w:p>
    <w:p w:rsidR="00642E2E" w:rsidRDefault="00A5067A" w:rsidP="00BE769D">
      <w:pPr>
        <w:pStyle w:val="Textlessbefore"/>
      </w:pPr>
      <w:r>
        <w:t>Many of the</w:t>
      </w:r>
      <w:r w:rsidR="0029248B">
        <w:t xml:space="preserve"> best practice employers </w:t>
      </w:r>
      <w:r>
        <w:t>had</w:t>
      </w:r>
      <w:r w:rsidR="00A603A3">
        <w:t xml:space="preserve"> formal</w:t>
      </w:r>
      <w:r w:rsidR="0029248B">
        <w:t xml:space="preserve"> structured approaches to organising and monitoring the apprentice</w:t>
      </w:r>
      <w:r w:rsidR="00841F93">
        <w:t>’</w:t>
      </w:r>
      <w:r w:rsidR="0029248B">
        <w:t xml:space="preserve">s work. </w:t>
      </w:r>
      <w:r w:rsidR="00642E2E">
        <w:t xml:space="preserve">Several used roster systems to record and rotate apprentices through a number of areas of the business to ensure they were exposed to all of the skills required. One business had monthly assessment tasks to track how well apprentices were performing. Another explained that they had defined </w:t>
      </w:r>
      <w:r w:rsidR="002C7E39">
        <w:t xml:space="preserve">the </w:t>
      </w:r>
      <w:r w:rsidR="00642E2E">
        <w:t xml:space="preserve">roles and responsibilities of supervisors, leading hands, shed managers and the management team, so that </w:t>
      </w:r>
      <w:r w:rsidR="00841F93">
        <w:t>‘</w:t>
      </w:r>
      <w:r w:rsidR="00642E2E">
        <w:t>everyone is clear on what they should be doing in supporting the apprentices</w:t>
      </w:r>
      <w:r w:rsidR="00841F93">
        <w:t>’</w:t>
      </w:r>
      <w:r w:rsidR="002C7E39">
        <w:t xml:space="preserve"> (Mitchell &amp; Dobbs 2008, p.</w:t>
      </w:r>
      <w:r w:rsidR="00642E2E">
        <w:t xml:space="preserve">28). </w:t>
      </w:r>
    </w:p>
    <w:p w:rsidR="00642E2E" w:rsidRDefault="00642E2E" w:rsidP="00642E2E">
      <w:pPr>
        <w:pStyle w:val="Text"/>
      </w:pPr>
      <w:r>
        <w:t>Most employers used a logbook to document the apprentice</w:t>
      </w:r>
      <w:r w:rsidR="00841F93">
        <w:t>’</w:t>
      </w:r>
      <w:r>
        <w:t xml:space="preserve">s work program and on-the-job learning. These employers were eager to ensure that apprentices were receiving exposure to a wide range of skills and not just being left to </w:t>
      </w:r>
      <w:r w:rsidR="00841F93">
        <w:t>‘</w:t>
      </w:r>
      <w:r>
        <w:t>sweep up</w:t>
      </w:r>
      <w:r w:rsidR="00841F93">
        <w:t>’</w:t>
      </w:r>
      <w:r>
        <w:t xml:space="preserve"> or do one simple job </w:t>
      </w:r>
      <w:r w:rsidRPr="008577D0">
        <w:rPr>
          <w:i/>
        </w:rPr>
        <w:t>ad nauseam</w:t>
      </w:r>
      <w:r w:rsidR="00B21FA4">
        <w:t xml:space="preserve"> (Mitchell &amp; Dobbs 2008)</w:t>
      </w:r>
      <w:r>
        <w:t>.</w:t>
      </w:r>
      <w:r w:rsidRPr="00530D0B">
        <w:t xml:space="preserve"> </w:t>
      </w:r>
    </w:p>
    <w:p w:rsidR="00F22B3B" w:rsidRPr="00F22B3B" w:rsidRDefault="002C2214" w:rsidP="004C1D7E">
      <w:pPr>
        <w:pStyle w:val="Heading3"/>
      </w:pPr>
      <w:r>
        <w:t>Generous</w:t>
      </w:r>
      <w:r w:rsidR="004C1D7E">
        <w:t xml:space="preserve"> wages</w:t>
      </w:r>
      <w:r>
        <w:t xml:space="preserve"> and other benefits</w:t>
      </w:r>
    </w:p>
    <w:p w:rsidR="00A8656F" w:rsidRDefault="00A8656F" w:rsidP="00BE769D">
      <w:pPr>
        <w:pStyle w:val="Textlessbefore"/>
      </w:pPr>
      <w:r>
        <w:t>Many of the</w:t>
      </w:r>
      <w:r w:rsidR="00B21FA4">
        <w:t xml:space="preserve"> best practice</w:t>
      </w:r>
      <w:r>
        <w:t xml:space="preserve"> employers indicated that they pa</w:t>
      </w:r>
      <w:r w:rsidR="00530D0B">
        <w:t>id</w:t>
      </w:r>
      <w:r>
        <w:t xml:space="preserve"> apprentices above what </w:t>
      </w:r>
      <w:r w:rsidR="00642E2E">
        <w:t>wa</w:t>
      </w:r>
      <w:r>
        <w:t>s required. One employer explained:</w:t>
      </w:r>
    </w:p>
    <w:p w:rsidR="00A8656F" w:rsidRDefault="00A8656F" w:rsidP="00A8656F">
      <w:pPr>
        <w:pStyle w:val="Quote"/>
      </w:pPr>
      <w:r>
        <w:t xml:space="preserve">We pay them well; we pay above the award rate, plus 25% on top of that and 26% more </w:t>
      </w:r>
      <w:proofErr w:type="gramStart"/>
      <w:r>
        <w:t>later</w:t>
      </w:r>
      <w:proofErr w:type="gramEnd"/>
      <w:r>
        <w:t>. By the end of the first year they are operating as a tradesperson.</w:t>
      </w:r>
      <w:r w:rsidR="002C7E39">
        <w:tab/>
      </w:r>
      <w:r>
        <w:t xml:space="preserve">(Mitchell </w:t>
      </w:r>
      <w:r w:rsidR="00061505">
        <w:t>&amp; Dobbs</w:t>
      </w:r>
      <w:r w:rsidR="002C7E39">
        <w:t xml:space="preserve"> 2008, p.</w:t>
      </w:r>
      <w:r>
        <w:t>12)</w:t>
      </w:r>
    </w:p>
    <w:p w:rsidR="00294B8F" w:rsidRDefault="00A8656F" w:rsidP="00A8656F">
      <w:pPr>
        <w:pStyle w:val="Text"/>
      </w:pPr>
      <w:r>
        <w:t xml:space="preserve">Often other benefits were provided in addition to higher wages, with one employer noting that: </w:t>
      </w:r>
    </w:p>
    <w:p w:rsidR="00294B8F" w:rsidRDefault="00530D0B" w:rsidP="00294B8F">
      <w:pPr>
        <w:pStyle w:val="Quote"/>
      </w:pPr>
      <w:r>
        <w:t>I</w:t>
      </w:r>
      <w:r w:rsidR="00A8656F">
        <w:t>f we</w:t>
      </w:r>
      <w:r w:rsidR="00841F93">
        <w:t>’</w:t>
      </w:r>
      <w:r w:rsidR="00A8656F">
        <w:t>ve got them spare we give them the Ute while they</w:t>
      </w:r>
      <w:r w:rsidR="00841F93">
        <w:t>’</w:t>
      </w:r>
      <w:r w:rsidR="002C7E39">
        <w:t xml:space="preserve">re saving up for their own car </w:t>
      </w:r>
      <w:r w:rsidR="00BE769D">
        <w:t>…</w:t>
      </w:r>
      <w:r w:rsidR="002C7E39">
        <w:t xml:space="preserve"> </w:t>
      </w:r>
      <w:r w:rsidR="00A8656F">
        <w:t xml:space="preserve">They </w:t>
      </w:r>
      <w:r w:rsidR="00294B8F">
        <w:t>get uniforms, tools</w:t>
      </w:r>
      <w:r w:rsidR="002C7E39">
        <w:t xml:space="preserve"> </w:t>
      </w:r>
      <w:r w:rsidR="00BE769D">
        <w:t>…</w:t>
      </w:r>
      <w:r>
        <w:t xml:space="preserve"> </w:t>
      </w:r>
      <w:r w:rsidR="00294B8F">
        <w:t>So</w:t>
      </w:r>
      <w:r w:rsidR="00A8656F">
        <w:t xml:space="preserve"> we generally don</w:t>
      </w:r>
      <w:r w:rsidR="00841F93">
        <w:t>’</w:t>
      </w:r>
      <w:r w:rsidR="00A8656F">
        <w:t>t lose them. W</w:t>
      </w:r>
      <w:r w:rsidR="00294B8F">
        <w:t>e</w:t>
      </w:r>
      <w:r w:rsidR="00841F93">
        <w:t>’</w:t>
      </w:r>
      <w:r w:rsidR="00294B8F">
        <w:t xml:space="preserve">ve got less than </w:t>
      </w:r>
      <w:r w:rsidR="00A8656F">
        <w:t xml:space="preserve">a </w:t>
      </w:r>
      <w:r w:rsidR="00294B8F">
        <w:t>7% cancellation rate.</w:t>
      </w:r>
      <w:r w:rsidR="00BE769D">
        <w:br/>
      </w:r>
      <w:r w:rsidR="002C7E39">
        <w:tab/>
      </w:r>
      <w:r w:rsidR="00294B8F">
        <w:t>(</w:t>
      </w:r>
      <w:r w:rsidR="00A8656F">
        <w:t xml:space="preserve">Mitchell </w:t>
      </w:r>
      <w:r w:rsidR="00061505">
        <w:t>&amp; Dobbs</w:t>
      </w:r>
      <w:r w:rsidR="00A8656F">
        <w:t xml:space="preserve"> 2008, </w:t>
      </w:r>
      <w:r w:rsidR="002C7E39">
        <w:t>p.</w:t>
      </w:r>
      <w:r w:rsidR="00294B8F">
        <w:t>11)</w:t>
      </w:r>
    </w:p>
    <w:p w:rsidR="00642E2E" w:rsidRDefault="00642E2E" w:rsidP="00642E2E">
      <w:pPr>
        <w:pStyle w:val="Text"/>
      </w:pPr>
      <w:r>
        <w:t xml:space="preserve">So even though low wages did not emerge as the main reason for not completing, the fact that many employers with </w:t>
      </w:r>
      <w:r w:rsidR="002C7E39">
        <w:t>high completion rates pay above-</w:t>
      </w:r>
      <w:r>
        <w:t xml:space="preserve">award wages suggests that </w:t>
      </w:r>
      <w:r w:rsidR="002C7E39">
        <w:t>low wages</w:t>
      </w:r>
      <w:r>
        <w:t xml:space="preserve"> are a factor in apprentice retention.</w:t>
      </w:r>
    </w:p>
    <w:p w:rsidR="00E41459" w:rsidRDefault="00EF415B" w:rsidP="00642E2E">
      <w:pPr>
        <w:pStyle w:val="Text"/>
      </w:pPr>
      <w:r>
        <w:t>More broadly, there</w:t>
      </w:r>
      <w:r w:rsidR="00103F57">
        <w:t xml:space="preserve"> is evidence that </w:t>
      </w:r>
      <w:r w:rsidR="002C7E39">
        <w:t>paying above-</w:t>
      </w:r>
      <w:r>
        <w:t>award rates is not unusual</w:t>
      </w:r>
      <w:r w:rsidR="00103F57">
        <w:t xml:space="preserve">. A </w:t>
      </w:r>
      <w:r w:rsidR="00E41459">
        <w:t xml:space="preserve">study by Oliver (2012) found that, contrary to popular belief, over-award payments for apprentices are common, particularly in the </w:t>
      </w:r>
      <w:proofErr w:type="spellStart"/>
      <w:r w:rsidR="00E41459">
        <w:t>electrotechnology</w:t>
      </w:r>
      <w:proofErr w:type="spellEnd"/>
      <w:r w:rsidR="00E41459">
        <w:t>, automotiv</w:t>
      </w:r>
      <w:r>
        <w:t>e and engineering trades. His a</w:t>
      </w:r>
      <w:r w:rsidR="00E41459">
        <w:t xml:space="preserve">nalysis of data from the 2009 Australian Bureau of Statistics </w:t>
      </w:r>
      <w:r w:rsidR="002C7E39">
        <w:t xml:space="preserve">(ABS) </w:t>
      </w:r>
      <w:r w:rsidR="00E41459">
        <w:t>Survey of Education and Training found that</w:t>
      </w:r>
      <w:r w:rsidR="007D4EDD">
        <w:t xml:space="preserve"> most apprentices already receive more than the minimum wage set by the relevant award</w:t>
      </w:r>
      <w:r>
        <w:t>. However O</w:t>
      </w:r>
      <w:r w:rsidR="00E41459">
        <w:t xml:space="preserve">liver </w:t>
      </w:r>
      <w:r>
        <w:t xml:space="preserve">(2012) </w:t>
      </w:r>
      <w:r w:rsidR="00E41459">
        <w:lastRenderedPageBreak/>
        <w:t xml:space="preserve">points out that award wages for first year apprentices are often </w:t>
      </w:r>
      <w:r w:rsidR="007D4EDD">
        <w:t>very low (</w:t>
      </w:r>
      <w:r w:rsidR="002C7E39">
        <w:t>for example,</w:t>
      </w:r>
      <w:r w:rsidR="007D4EDD">
        <w:t xml:space="preserve"> 37.5% of the applicable tradesperson rate)</w:t>
      </w:r>
      <w:r w:rsidR="00E41459">
        <w:t>, so it is not surprising that employers often pay above this</w:t>
      </w:r>
      <w:r w:rsidR="007D4EDD">
        <w:t xml:space="preserve"> rate in the first year</w:t>
      </w:r>
      <w:r w:rsidR="00E41459">
        <w:t>.</w:t>
      </w:r>
      <w:r>
        <w:t xml:space="preserve"> </w:t>
      </w:r>
    </w:p>
    <w:p w:rsidR="00EC1581" w:rsidRDefault="00EC1581" w:rsidP="00642E2E">
      <w:pPr>
        <w:pStyle w:val="Text"/>
      </w:pPr>
      <w:r w:rsidRPr="0036674F">
        <w:t>Very recently, the Fair Work Commission (2013) announced pay rises for first and second year apprentices. Under the new scheme, first year apprentices who have completed Year 12 will receive a 30% pay rise</w:t>
      </w:r>
      <w:r w:rsidR="00171C60" w:rsidRPr="0036674F">
        <w:t xml:space="preserve"> (otherwise 19%)</w:t>
      </w:r>
      <w:r w:rsidRPr="0036674F">
        <w:t xml:space="preserve">, while </w:t>
      </w:r>
      <w:r w:rsidR="00171C60" w:rsidRPr="0036674F">
        <w:t>second year apprentices who have completed Year 12 will receive an 18% pay rise (otherwise 9%)</w:t>
      </w:r>
      <w:r w:rsidRPr="0036674F">
        <w:t>. The pay increases will only apply to newly commencing apprentices</w:t>
      </w:r>
      <w:r w:rsidR="00171C60" w:rsidRPr="0036674F">
        <w:t xml:space="preserve"> and will be phased in over 2014 and 2015</w:t>
      </w:r>
      <w:r w:rsidRPr="0036674F">
        <w:t>.</w:t>
      </w:r>
      <w:r w:rsidR="00171C60" w:rsidRPr="0036674F">
        <w:t xml:space="preserve"> In addition</w:t>
      </w:r>
      <w:r w:rsidR="0036674F" w:rsidRPr="0036674F">
        <w:t>,</w:t>
      </w:r>
      <w:r w:rsidR="00171C60" w:rsidRPr="0036674F">
        <w:t xml:space="preserve"> pay rates for adult apprentices will increase, in recognition of the growing proportion of apprentices who are</w:t>
      </w:r>
      <w:r w:rsidR="007C3C82">
        <w:t xml:space="preserve"> aged over 21 years</w:t>
      </w:r>
      <w:r w:rsidR="0036674F" w:rsidRPr="0036674F">
        <w:t xml:space="preserve"> (Fair Work Commission 2013)</w:t>
      </w:r>
      <w:r w:rsidR="00171C60" w:rsidRPr="0036674F">
        <w:t>.</w:t>
      </w:r>
      <w:r w:rsidR="00171C60">
        <w:t xml:space="preserve"> </w:t>
      </w:r>
    </w:p>
    <w:p w:rsidR="004C1D7E" w:rsidRDefault="002C2214" w:rsidP="004C1D7E">
      <w:pPr>
        <w:pStyle w:val="Heading3"/>
      </w:pPr>
      <w:r>
        <w:t>S</w:t>
      </w:r>
      <w:r w:rsidR="004C1D7E">
        <w:t>upport</w:t>
      </w:r>
      <w:r w:rsidR="004C1D7E" w:rsidRPr="008E4746">
        <w:t xml:space="preserve"> mechanisms</w:t>
      </w:r>
    </w:p>
    <w:p w:rsidR="004C1D7E" w:rsidRDefault="00AA5BAD" w:rsidP="00BE769D">
      <w:pPr>
        <w:pStyle w:val="Textlessbefore"/>
      </w:pPr>
      <w:r>
        <w:t>Mentoring</w:t>
      </w:r>
      <w:r w:rsidR="00A8656F">
        <w:t>, buddy systems and other support mechanisms</w:t>
      </w:r>
      <w:r w:rsidR="004C1D7E">
        <w:t xml:space="preserve"> </w:t>
      </w:r>
      <w:r>
        <w:t>were</w:t>
      </w:r>
      <w:r w:rsidR="00530D0B">
        <w:t xml:space="preserve"> almost universal across the </w:t>
      </w:r>
      <w:r w:rsidR="00841F93">
        <w:t>‘</w:t>
      </w:r>
      <w:r w:rsidR="004C1D7E">
        <w:t>best practice</w:t>
      </w:r>
      <w:r w:rsidR="00841F93">
        <w:t>’</w:t>
      </w:r>
      <w:r w:rsidR="004C1D7E">
        <w:t xml:space="preserve"> </w:t>
      </w:r>
      <w:r w:rsidR="00530D0B">
        <w:t>firms</w:t>
      </w:r>
      <w:r w:rsidR="004C1D7E">
        <w:t xml:space="preserve"> (Mitchell </w:t>
      </w:r>
      <w:r w:rsidR="00061505">
        <w:t>&amp; Dobbs</w:t>
      </w:r>
      <w:r w:rsidR="004C1D7E">
        <w:t xml:space="preserve"> 2008). One employer explained that they have a buddy system whereby all new apprentices are paired up with someone who can mentor them for the first six months</w:t>
      </w:r>
      <w:r w:rsidR="00530D0B">
        <w:t xml:space="preserve">. Some companies had </w:t>
      </w:r>
      <w:r w:rsidR="00A8656F">
        <w:t xml:space="preserve">several layers of support staff: buddy, mentor, counsellor, supervisor, training coordinator. </w:t>
      </w:r>
      <w:r w:rsidR="00B21FA4">
        <w:t>For example, one</w:t>
      </w:r>
      <w:r w:rsidR="00530D0B">
        <w:t xml:space="preserve"> employer described</w:t>
      </w:r>
      <w:r w:rsidR="00061505">
        <w:t xml:space="preserve"> their system</w:t>
      </w:r>
      <w:r w:rsidR="00530D0B">
        <w:t xml:space="preserve"> as follows</w:t>
      </w:r>
      <w:r w:rsidR="00A8656F">
        <w:t>:</w:t>
      </w:r>
      <w:r w:rsidR="004C1D7E">
        <w:t xml:space="preserve"> </w:t>
      </w:r>
    </w:p>
    <w:p w:rsidR="004C1D7E" w:rsidRDefault="00A8656F" w:rsidP="004C1D7E">
      <w:pPr>
        <w:pStyle w:val="Quote"/>
      </w:pPr>
      <w:r>
        <w:t>You</w:t>
      </w:r>
      <w:r w:rsidR="00841F93">
        <w:t>’</w:t>
      </w:r>
      <w:r>
        <w:t>v</w:t>
      </w:r>
      <w:r w:rsidR="004C1D7E">
        <w:t>e got the mentor on the job, you</w:t>
      </w:r>
      <w:r w:rsidR="00841F93">
        <w:t>’</w:t>
      </w:r>
      <w:r w:rsidR="004C1D7E">
        <w:t xml:space="preserve">ve got the site supervisor, </w:t>
      </w:r>
      <w:proofErr w:type="gramStart"/>
      <w:r w:rsidR="004C1D7E">
        <w:t>then</w:t>
      </w:r>
      <w:proofErr w:type="gramEnd"/>
      <w:r w:rsidR="004C1D7E">
        <w:t xml:space="preserve"> we have the workplace health and safety officer. And then we have the apprentice development coordinator. And also we have here a high school teacher who also provides them with any literacy </w:t>
      </w:r>
      <w:r w:rsidR="00AA5BAD">
        <w:t>numeracy</w:t>
      </w:r>
      <w:r w:rsidR="004C1D7E">
        <w:t xml:space="preserve"> support that they need</w:t>
      </w:r>
      <w:r w:rsidR="002C7E39">
        <w:t>.</w:t>
      </w:r>
      <w:r w:rsidR="002C7E39">
        <w:tab/>
      </w:r>
      <w:r w:rsidR="004C1D7E">
        <w:t xml:space="preserve">(Mitchell </w:t>
      </w:r>
      <w:r w:rsidR="00061505">
        <w:t>&amp; Dobbs</w:t>
      </w:r>
      <w:r w:rsidR="002C7E39">
        <w:t xml:space="preserve"> 2008, p.</w:t>
      </w:r>
      <w:r w:rsidR="004C1D7E">
        <w:t>34)</w:t>
      </w:r>
    </w:p>
    <w:p w:rsidR="001709AE" w:rsidRDefault="00EC52C7" w:rsidP="00C362F8">
      <w:pPr>
        <w:pStyle w:val="Text"/>
        <w:rPr>
          <w:rFonts w:ascii="Tahoma" w:hAnsi="Tahoma" w:cs="Tahoma"/>
          <w:color w:val="000000"/>
        </w:rPr>
      </w:pPr>
      <w:r>
        <w:t>Some employers provide</w:t>
      </w:r>
      <w:r w:rsidR="00530D0B">
        <w:t>d</w:t>
      </w:r>
      <w:r>
        <w:t xml:space="preserve"> extra training </w:t>
      </w:r>
      <w:r w:rsidR="00AA5BAD">
        <w:t xml:space="preserve">and </w:t>
      </w:r>
      <w:r w:rsidR="00841F93">
        <w:t>‘</w:t>
      </w:r>
      <w:r w:rsidR="00AA5BAD">
        <w:t>life skills</w:t>
      </w:r>
      <w:r w:rsidR="00841F93">
        <w:t>’</w:t>
      </w:r>
      <w:r w:rsidR="00AA5BAD">
        <w:t xml:space="preserve"> sessions as well, </w:t>
      </w:r>
      <w:r>
        <w:t>such as leadership training, teamwork training</w:t>
      </w:r>
      <w:r w:rsidR="00AA5BAD">
        <w:t>, positive thinking</w:t>
      </w:r>
      <w:r>
        <w:t xml:space="preserve"> and </w:t>
      </w:r>
      <w:r w:rsidR="00AA5BAD">
        <w:t>drug and alcohol awareness</w:t>
      </w:r>
      <w:r w:rsidR="00B21FA4">
        <w:t xml:space="preserve">. </w:t>
      </w:r>
      <w:r w:rsidR="00AA5BAD">
        <w:t xml:space="preserve">One employer took apprentices on a tour of a hospital intensive care unit to raise awareness of the dangers of drink driving. </w:t>
      </w:r>
      <w:r w:rsidR="00C362F8">
        <w:t>However, it is likely that such</w:t>
      </w:r>
      <w:r w:rsidR="00530D0B">
        <w:t xml:space="preserve"> programs </w:t>
      </w:r>
      <w:r w:rsidR="00C362F8">
        <w:t>would</w:t>
      </w:r>
      <w:r w:rsidR="00530D0B">
        <w:t xml:space="preserve"> only </w:t>
      </w:r>
      <w:r w:rsidR="00C362F8">
        <w:t xml:space="preserve">be viable for businesses with a </w:t>
      </w:r>
      <w:r w:rsidR="00530D0B">
        <w:t>large group of apprentices. So again, the issue of business size is important.</w:t>
      </w:r>
    </w:p>
    <w:p w:rsidR="008E4746" w:rsidRDefault="00F31F85" w:rsidP="004C1D7E">
      <w:pPr>
        <w:pStyle w:val="Heading3"/>
      </w:pPr>
      <w:r>
        <w:t>Implications</w:t>
      </w:r>
    </w:p>
    <w:p w:rsidR="00F22B3B" w:rsidRDefault="00704066" w:rsidP="00BE769D">
      <w:pPr>
        <w:pStyle w:val="Textlessbefore"/>
      </w:pPr>
      <w:r>
        <w:t>When</w:t>
      </w:r>
      <w:r w:rsidR="00AA5BAD">
        <w:t xml:space="preserve"> considering all of the retention strategies</w:t>
      </w:r>
      <w:r>
        <w:t xml:space="preserve"> </w:t>
      </w:r>
      <w:r w:rsidR="002C7E39">
        <w:t xml:space="preserve">described </w:t>
      </w:r>
      <w:r>
        <w:t>above</w:t>
      </w:r>
      <w:r w:rsidR="00AA5BAD">
        <w:t xml:space="preserve">, one factor stands out: they are much easier </w:t>
      </w:r>
      <w:r>
        <w:t>to provide if the</w:t>
      </w:r>
      <w:r w:rsidR="008932F1">
        <w:t xml:space="preserve"> employer is a larger</w:t>
      </w:r>
      <w:r w:rsidR="007C3C82">
        <w:t>,</w:t>
      </w:r>
      <w:r w:rsidR="00AA5BAD">
        <w:t xml:space="preserve"> well-established compa</w:t>
      </w:r>
      <w:r w:rsidR="002C7E39">
        <w:t>ny with formal systems in place</w:t>
      </w:r>
      <w:r w:rsidR="00AA5BAD">
        <w:t xml:space="preserve"> </w:t>
      </w:r>
      <w:r w:rsidR="002C7E39">
        <w:t>than if the employer is a small</w:t>
      </w:r>
      <w:r>
        <w:t xml:space="preserve"> start-up company. This fact was acknowledged by several of the </w:t>
      </w:r>
      <w:r w:rsidR="00841F93">
        <w:t>‘</w:t>
      </w:r>
      <w:r w:rsidR="00EC52C7">
        <w:t>best practic</w:t>
      </w:r>
      <w:r>
        <w:t>e</w:t>
      </w:r>
      <w:r w:rsidR="00841F93">
        <w:t>’</w:t>
      </w:r>
      <w:r>
        <w:t xml:space="preserve"> </w:t>
      </w:r>
      <w:r w:rsidR="00530D0B">
        <w:t>companies themselves</w:t>
      </w:r>
      <w:r>
        <w:t>, who called for more guidance for smaller employers who take on apprentices:</w:t>
      </w:r>
    </w:p>
    <w:p w:rsidR="004D2DD5" w:rsidRDefault="004D2DD5" w:rsidP="008E4746">
      <w:pPr>
        <w:pStyle w:val="Quote"/>
      </w:pPr>
      <w:r>
        <w:t>It</w:t>
      </w:r>
      <w:r w:rsidR="00841F93">
        <w:t>’</w:t>
      </w:r>
      <w:r>
        <w:t xml:space="preserve">s ok for companies like </w:t>
      </w:r>
      <w:proofErr w:type="gramStart"/>
      <w:r>
        <w:t>ourselves</w:t>
      </w:r>
      <w:proofErr w:type="gramEnd"/>
      <w:r>
        <w:t xml:space="preserve"> that are relatively large. We can afford to do it. It</w:t>
      </w:r>
      <w:r w:rsidR="00841F93">
        <w:t>’</w:t>
      </w:r>
      <w:r>
        <w:t>s the mum and dad</w:t>
      </w:r>
      <w:r w:rsidR="008E4746">
        <w:t xml:space="preserve"> or the father and son type businesses </w:t>
      </w:r>
      <w:proofErr w:type="gramStart"/>
      <w:r w:rsidR="008E4746">
        <w:t>who</w:t>
      </w:r>
      <w:proofErr w:type="gramEnd"/>
      <w:r w:rsidR="008E4746">
        <w:t xml:space="preserve"> are looking at taking on apprentices who are struggling. And they</w:t>
      </w:r>
      <w:r w:rsidR="00841F93">
        <w:t>’</w:t>
      </w:r>
      <w:r w:rsidR="008E4746">
        <w:t xml:space="preserve">re the ones that need the guidance </w:t>
      </w:r>
      <w:r w:rsidR="00BE769D">
        <w:t>…</w:t>
      </w:r>
      <w:r w:rsidR="008932F1">
        <w:t xml:space="preserve"> </w:t>
      </w:r>
      <w:r w:rsidR="008E4746">
        <w:t>they</w:t>
      </w:r>
      <w:r w:rsidR="00841F93">
        <w:t>’</w:t>
      </w:r>
      <w:r w:rsidR="008E4746">
        <w:t xml:space="preserve">re the forgotten lot, really. </w:t>
      </w:r>
      <w:r w:rsidR="00704066">
        <w:t>A</w:t>
      </w:r>
      <w:r w:rsidR="008E4746">
        <w:t>nd they</w:t>
      </w:r>
      <w:r w:rsidR="00841F93">
        <w:t>’</w:t>
      </w:r>
      <w:r w:rsidR="008E4746">
        <w:t>re th</w:t>
      </w:r>
      <w:r w:rsidR="00704066">
        <w:t>e</w:t>
      </w:r>
      <w:r w:rsidR="002C7E39">
        <w:t xml:space="preserve"> ones that need the help.</w:t>
      </w:r>
      <w:r w:rsidR="002C7E39">
        <w:tab/>
      </w:r>
      <w:r w:rsidR="008E4746">
        <w:t xml:space="preserve">(Mitchell </w:t>
      </w:r>
      <w:r w:rsidR="00061505">
        <w:t>&amp; Dobbs</w:t>
      </w:r>
      <w:r w:rsidR="002C7E39">
        <w:t xml:space="preserve"> 2008, p.</w:t>
      </w:r>
      <w:r w:rsidR="008E4746">
        <w:t>22)</w:t>
      </w:r>
    </w:p>
    <w:p w:rsidR="00704066" w:rsidRDefault="00704066" w:rsidP="00704066">
      <w:pPr>
        <w:pStyle w:val="Text"/>
      </w:pPr>
      <w:r>
        <w:t>Another employer noted that their well-developed training pro</w:t>
      </w:r>
      <w:r w:rsidR="002C7E39">
        <w:t>gram was a direct result of their</w:t>
      </w:r>
      <w:r>
        <w:t xml:space="preserve"> having a large apprentice intake:</w:t>
      </w:r>
    </w:p>
    <w:p w:rsidR="00704066" w:rsidRDefault="00704066" w:rsidP="00704066">
      <w:pPr>
        <w:pStyle w:val="Quote"/>
      </w:pPr>
      <w:r>
        <w:t>We</w:t>
      </w:r>
      <w:r w:rsidR="00841F93">
        <w:t>’</w:t>
      </w:r>
      <w:r>
        <w:t>re lucky in that we have a training department that actually coordinates our apprentices because we</w:t>
      </w:r>
      <w:r w:rsidR="00841F93">
        <w:t>’</w:t>
      </w:r>
      <w:r>
        <w:t>ve got so many apprentices. So as a result we</w:t>
      </w:r>
      <w:r w:rsidR="00841F93">
        <w:t>’</w:t>
      </w:r>
      <w:r>
        <w:t>ve got</w:t>
      </w:r>
      <w:r w:rsidR="005A3506">
        <w:t xml:space="preserve"> a bit of an induction program.</w:t>
      </w:r>
      <w:r w:rsidR="00BE769D">
        <w:br/>
      </w:r>
      <w:r w:rsidR="005A3506">
        <w:tab/>
      </w:r>
      <w:r>
        <w:t xml:space="preserve">(Mitchell </w:t>
      </w:r>
      <w:r w:rsidR="00061505">
        <w:t xml:space="preserve">&amp; Dobbs </w:t>
      </w:r>
      <w:r w:rsidR="005A3506">
        <w:t>2008, p.</w:t>
      </w:r>
      <w:r>
        <w:t>21)</w:t>
      </w:r>
    </w:p>
    <w:p w:rsidR="00046248" w:rsidRDefault="00E41459" w:rsidP="00046248">
      <w:pPr>
        <w:pStyle w:val="Text"/>
      </w:pPr>
      <w:r>
        <w:t>In the final chapter we consider how these observations may inform future policy considerations.</w:t>
      </w:r>
    </w:p>
    <w:p w:rsidR="005E753D" w:rsidRDefault="005E753D" w:rsidP="00BD7040">
      <w:pPr>
        <w:pStyle w:val="Heading2"/>
        <w:rPr>
          <w:rFonts w:eastAsia="Calibri"/>
        </w:rPr>
      </w:pPr>
      <w:bookmarkStart w:id="115" w:name="_Toc377040314"/>
      <w:r>
        <w:rPr>
          <w:rFonts w:eastAsia="Calibri"/>
        </w:rPr>
        <w:lastRenderedPageBreak/>
        <w:t>Cost to the employer</w:t>
      </w:r>
      <w:bookmarkEnd w:id="115"/>
    </w:p>
    <w:p w:rsidR="00642E2E" w:rsidRDefault="005E753D" w:rsidP="00642E2E">
      <w:pPr>
        <w:pStyle w:val="Text"/>
      </w:pPr>
      <w:r>
        <w:t>Taking on an apprentice requires a substantial financial commitment from the employer</w:t>
      </w:r>
      <w:r w:rsidR="00642E2E">
        <w:t xml:space="preserve">. It is generally agreed that an apprentice is a direct cost for the first </w:t>
      </w:r>
      <w:r w:rsidR="00F93255">
        <w:t>two</w:t>
      </w:r>
      <w:r w:rsidR="00642E2E">
        <w:t xml:space="preserve"> years (Walker </w:t>
      </w:r>
      <w:r w:rsidR="005A3506">
        <w:t xml:space="preserve">&amp; Powers 2009a; Nechvoglod, Karmel &amp; Saunders </w:t>
      </w:r>
      <w:r w:rsidR="00642E2E">
        <w:t xml:space="preserve">2009; TNS </w:t>
      </w:r>
      <w:r w:rsidR="00E2034F">
        <w:t xml:space="preserve">Social Research </w:t>
      </w:r>
      <w:r w:rsidR="00642E2E">
        <w:t xml:space="preserve">2007). </w:t>
      </w:r>
      <w:r>
        <w:t>Nechvoglod</w:t>
      </w:r>
      <w:r w:rsidR="00E2034F">
        <w:t>,</w:t>
      </w:r>
      <w:r>
        <w:t xml:space="preserve"> </w:t>
      </w:r>
      <w:r w:rsidR="00E2034F">
        <w:t>Karmel and Saunders (2009) fou</w:t>
      </w:r>
      <w:r>
        <w:t>nd that the most significant cost to the employer is related to apprentice supervision</w:t>
      </w:r>
      <w:r w:rsidR="007C3C82">
        <w:t xml:space="preserve"> and</w:t>
      </w:r>
      <w:r w:rsidR="008342B2">
        <w:t xml:space="preserve"> tends to be highest early on in the apprenticeship and decreases over time</w:t>
      </w:r>
      <w:r w:rsidR="005656DD">
        <w:t xml:space="preserve">. Wages </w:t>
      </w:r>
      <w:r>
        <w:t xml:space="preserve">are found to be approximately equal to </w:t>
      </w:r>
      <w:r w:rsidR="00AF2215">
        <w:t>the apprentice</w:t>
      </w:r>
      <w:r w:rsidR="00841F93">
        <w:t>’</w:t>
      </w:r>
      <w:r w:rsidR="00AF2215">
        <w:t>s</w:t>
      </w:r>
      <w:r>
        <w:t xml:space="preserve"> productivity</w:t>
      </w:r>
      <w:r w:rsidR="00A663A3">
        <w:t xml:space="preserve"> and so are not considered a cost</w:t>
      </w:r>
      <w:r>
        <w:t>.</w:t>
      </w:r>
      <w:r w:rsidR="00642E2E" w:rsidRPr="00642E2E">
        <w:t xml:space="preserve"> </w:t>
      </w:r>
      <w:r w:rsidR="00B21FA4">
        <w:t xml:space="preserve">More importantly, the </w:t>
      </w:r>
      <w:r w:rsidR="00642E2E">
        <w:t>aut</w:t>
      </w:r>
      <w:r w:rsidR="00E2034F">
        <w:t>hors fou</w:t>
      </w:r>
      <w:r w:rsidR="00642E2E">
        <w:t>nd that government incentive payments offset the supervision costs to only a minor degree (Nechvoglod</w:t>
      </w:r>
      <w:r w:rsidR="00E2034F">
        <w:t>,</w:t>
      </w:r>
      <w:r w:rsidR="00642E2E">
        <w:t xml:space="preserve"> </w:t>
      </w:r>
      <w:r w:rsidR="00E2034F">
        <w:t xml:space="preserve">Karmel &amp; Saunders </w:t>
      </w:r>
      <w:r w:rsidR="00642E2E">
        <w:t xml:space="preserve">2009). </w:t>
      </w:r>
    </w:p>
    <w:p w:rsidR="00642E2E" w:rsidRDefault="00B21FA4" w:rsidP="00642E2E">
      <w:pPr>
        <w:pStyle w:val="Text"/>
      </w:pPr>
      <w:r>
        <w:t>Indeed</w:t>
      </w:r>
      <w:r w:rsidR="00642E2E">
        <w:t xml:space="preserve">, a 2007 study in the building and construction industry (TNS Social Research 2007) found that the expense of an apprentice was too great for many small businesses and subcontractors. The </w:t>
      </w:r>
      <w:r w:rsidR="00E2034F">
        <w:t xml:space="preserve">most substantial </w:t>
      </w:r>
      <w:r w:rsidR="00642E2E">
        <w:t xml:space="preserve">difficulty was the large amount of supervisory resources required. One employer explained that training an apprentice </w:t>
      </w:r>
      <w:r w:rsidR="00841F93">
        <w:t>‘</w:t>
      </w:r>
      <w:r w:rsidR="00642E2E">
        <w:t>takes too many resources and it</w:t>
      </w:r>
      <w:r w:rsidR="00841F93">
        <w:t>’</w:t>
      </w:r>
      <w:r w:rsidR="00642E2E">
        <w:t>s hard to get staff to look after t</w:t>
      </w:r>
      <w:r w:rsidR="00E2034F">
        <w:t>hem</w:t>
      </w:r>
      <w:r w:rsidR="00841F93">
        <w:t>’</w:t>
      </w:r>
      <w:r w:rsidR="00642E2E">
        <w:t xml:space="preserve"> (TNS Social Research 2007</w:t>
      </w:r>
      <w:r w:rsidR="00E41459">
        <w:t>,</w:t>
      </w:r>
      <w:r w:rsidR="00E2034F">
        <w:t xml:space="preserve"> p.</w:t>
      </w:r>
      <w:r w:rsidR="00642E2E">
        <w:t>38).</w:t>
      </w:r>
    </w:p>
    <w:p w:rsidR="005E753D" w:rsidRDefault="00E2034F" w:rsidP="005E753D">
      <w:pPr>
        <w:pStyle w:val="Text"/>
      </w:pPr>
      <w:r w:rsidRPr="001D289D">
        <w:t xml:space="preserve">Karmel and Rice (2011) </w:t>
      </w:r>
      <w:r w:rsidR="000F597D">
        <w:t>argued</w:t>
      </w:r>
      <w:r>
        <w:t xml:space="preserve"> that the</w:t>
      </w:r>
      <w:r w:rsidR="00FA68AE" w:rsidRPr="001D289D">
        <w:t xml:space="preserve"> high up-front c</w:t>
      </w:r>
      <w:r>
        <w:t>osts of taking on an apprentice</w:t>
      </w:r>
      <w:r w:rsidR="00FA68AE" w:rsidRPr="001D289D">
        <w:t xml:space="preserve"> </w:t>
      </w:r>
      <w:r>
        <w:t>mean that</w:t>
      </w:r>
      <w:r w:rsidR="00FA68AE" w:rsidRPr="001D289D">
        <w:t xml:space="preserve"> the cost of non-completion to an employer is very high</w:t>
      </w:r>
      <w:r w:rsidR="001D289D">
        <w:t>, because employers generally do not incur any benefits until the later years of the apprenticeship</w:t>
      </w:r>
      <w:r w:rsidR="00FA68AE" w:rsidRPr="001D289D">
        <w:t xml:space="preserve">. </w:t>
      </w:r>
      <w:bookmarkStart w:id="116" w:name="OLE_LINK43"/>
      <w:bookmarkStart w:id="117" w:name="OLE_LINK44"/>
      <w:r w:rsidR="000F597D">
        <w:t>In the context of these high costs,</w:t>
      </w:r>
      <w:r w:rsidR="005E753D">
        <w:t xml:space="preserve"> </w:t>
      </w:r>
      <w:r>
        <w:t>Nechvoglod, Karmel and Saunders</w:t>
      </w:r>
      <w:r w:rsidR="00642E2E">
        <w:t xml:space="preserve"> (2009)</w:t>
      </w:r>
      <w:r w:rsidR="005E753D">
        <w:t xml:space="preserve"> propose</w:t>
      </w:r>
      <w:r w:rsidR="000F597D">
        <w:t>d</w:t>
      </w:r>
      <w:r w:rsidR="005E753D">
        <w:t xml:space="preserve"> an alternative apprenticeship model</w:t>
      </w:r>
      <w:r w:rsidR="000F597D">
        <w:t>, one which</w:t>
      </w:r>
      <w:r w:rsidR="007C1E0F">
        <w:t xml:space="preserve"> comprises two years of institution-based training before a period of on-the-job training</w:t>
      </w:r>
      <w:r w:rsidR="005E753D">
        <w:t>. This way, apprentices require less supervision and are more productive in the workplace due to their increased training time</w:t>
      </w:r>
      <w:r w:rsidR="00D3346E">
        <w:t xml:space="preserve">, making them </w:t>
      </w:r>
      <w:r w:rsidR="009A46EB">
        <w:t>less of a burden to employers</w:t>
      </w:r>
      <w:r w:rsidR="005B3E60">
        <w:t xml:space="preserve">. </w:t>
      </w:r>
      <w:r w:rsidR="009A46EB">
        <w:t>However, it is important to point out that</w:t>
      </w:r>
      <w:r w:rsidR="005B3E60">
        <w:t xml:space="preserve"> this model </w:t>
      </w:r>
      <w:r w:rsidR="009A46EB">
        <w:t xml:space="preserve">would not reduce overall costs. Rather, </w:t>
      </w:r>
      <w:r w:rsidR="005B3E60">
        <w:t>it would transfer costs from employers to the government</w:t>
      </w:r>
      <w:r w:rsidR="007C1E0F">
        <w:t xml:space="preserve"> and individual apprentices</w:t>
      </w:r>
      <w:r w:rsidR="005B3E60">
        <w:t xml:space="preserve"> (Nechvoglod</w:t>
      </w:r>
      <w:r w:rsidR="000F597D">
        <w:t>,</w:t>
      </w:r>
      <w:r w:rsidR="005B3E60">
        <w:t xml:space="preserve"> </w:t>
      </w:r>
      <w:r w:rsidR="000F597D">
        <w:t xml:space="preserve">Karmel &amp; Saunders </w:t>
      </w:r>
      <w:r w:rsidR="005B3E60">
        <w:t>2009).</w:t>
      </w:r>
      <w:r w:rsidR="009A46EB">
        <w:t xml:space="preserve"> </w:t>
      </w:r>
    </w:p>
    <w:p w:rsidR="00EC1581" w:rsidRDefault="00EC1581">
      <w:pPr>
        <w:rPr>
          <w:rFonts w:ascii="Tahoma" w:hAnsi="Tahoma" w:cs="Tahoma"/>
          <w:color w:val="000000"/>
          <w:kern w:val="28"/>
          <w:sz w:val="56"/>
          <w:szCs w:val="56"/>
          <w:lang w:eastAsia="en-US"/>
        </w:rPr>
      </w:pPr>
      <w:r>
        <w:br w:type="page"/>
      </w:r>
    </w:p>
    <w:p w:rsidR="00F904A3" w:rsidRDefault="00606D1E" w:rsidP="00C7718C">
      <w:pPr>
        <w:pStyle w:val="Heading1"/>
      </w:pPr>
      <w:bookmarkStart w:id="118" w:name="_Toc377040315"/>
      <w:bookmarkEnd w:id="116"/>
      <w:bookmarkEnd w:id="117"/>
      <w:r>
        <w:lastRenderedPageBreak/>
        <w:t>Off-the-job training experience</w:t>
      </w:r>
      <w:bookmarkEnd w:id="118"/>
    </w:p>
    <w:p w:rsidR="00F904A3" w:rsidRDefault="00402C4B" w:rsidP="00F904A3">
      <w:pPr>
        <w:pStyle w:val="Text"/>
      </w:pPr>
      <w:r>
        <w:t>Results</w:t>
      </w:r>
      <w:r w:rsidR="00173A69">
        <w:t xml:space="preserve"> from the Apprentice and Trainee Destination Survey (NCVER 2009; 2010</w:t>
      </w:r>
      <w:r w:rsidR="00FC2D2D">
        <w:t>a</w:t>
      </w:r>
      <w:r w:rsidR="00173A69">
        <w:t xml:space="preserve">) and other studies (Cully &amp; Curtain 2001) suggest that the </w:t>
      </w:r>
      <w:r w:rsidR="00606D1E">
        <w:t>off-the-job training</w:t>
      </w:r>
      <w:r w:rsidR="00173A69">
        <w:t xml:space="preserve"> </w:t>
      </w:r>
      <w:r w:rsidR="00B21FA4">
        <w:t xml:space="preserve">experience </w:t>
      </w:r>
      <w:r w:rsidR="00173A69">
        <w:t xml:space="preserve">is </w:t>
      </w:r>
      <w:r w:rsidR="009A46EB">
        <w:t xml:space="preserve">not the main </w:t>
      </w:r>
      <w:r w:rsidR="00FC2D2D">
        <w:t>cause</w:t>
      </w:r>
      <w:r w:rsidR="009A46EB">
        <w:t xml:space="preserve"> of non-completion</w:t>
      </w:r>
      <w:r>
        <w:t xml:space="preserve">. </w:t>
      </w:r>
      <w:r w:rsidR="00D3346E">
        <w:t>That said,</w:t>
      </w:r>
      <w:r>
        <w:t xml:space="preserve"> there are a number of areas where </w:t>
      </w:r>
      <w:r w:rsidR="00F75E3F">
        <w:t xml:space="preserve">apprentices, </w:t>
      </w:r>
      <w:r>
        <w:t>employers and training p</w:t>
      </w:r>
      <w:r w:rsidR="00F75E3F">
        <w:t>roviders experience frustration</w:t>
      </w:r>
      <w:r>
        <w:t xml:space="preserve">, and addressing some of these </w:t>
      </w:r>
      <w:r w:rsidR="00B21FA4">
        <w:t>concerns</w:t>
      </w:r>
      <w:r w:rsidR="00D3346E">
        <w:t xml:space="preserve"> </w:t>
      </w:r>
      <w:r>
        <w:t xml:space="preserve">has the potential to </w:t>
      </w:r>
      <w:r w:rsidR="00D3346E">
        <w:t>improve</w:t>
      </w:r>
      <w:r>
        <w:t xml:space="preserve"> completion rates.</w:t>
      </w:r>
    </w:p>
    <w:p w:rsidR="009E09F1" w:rsidRDefault="009A46EB" w:rsidP="009E09F1">
      <w:pPr>
        <w:pStyle w:val="Heading2"/>
      </w:pPr>
      <w:bookmarkStart w:id="119" w:name="_Toc377040316"/>
      <w:r>
        <w:t xml:space="preserve">Apprentice </w:t>
      </w:r>
      <w:r w:rsidR="00655FE5">
        <w:t xml:space="preserve">and employer </w:t>
      </w:r>
      <w:r>
        <w:t>satisfaction</w:t>
      </w:r>
      <w:bookmarkEnd w:id="119"/>
    </w:p>
    <w:p w:rsidR="00783315" w:rsidRPr="0069461F" w:rsidRDefault="00B21FA4" w:rsidP="00401DD8">
      <w:pPr>
        <w:pStyle w:val="Text"/>
      </w:pPr>
      <w:r>
        <w:t xml:space="preserve">Apprentices are </w:t>
      </w:r>
      <w:r w:rsidR="003E3A1A">
        <w:t>reasonably</w:t>
      </w:r>
      <w:r>
        <w:t xml:space="preserve"> satisfied with the quality of the off-the-job training, with an overall satisfaction level of 77% for completers and 62% for non-completers</w:t>
      </w:r>
      <w:r w:rsidR="005656DD">
        <w:t xml:space="preserve"> (NCVER 2009)</w:t>
      </w:r>
      <w:r>
        <w:t xml:space="preserve">. </w:t>
      </w:r>
      <w:r w:rsidR="003E3A1A">
        <w:t>However, in a national study of plumbing apprentices</w:t>
      </w:r>
      <w:r w:rsidR="00A22804">
        <w:t xml:space="preserve"> (Walker </w:t>
      </w:r>
      <w:r w:rsidR="0092647F">
        <w:t>&amp;</w:t>
      </w:r>
      <w:r w:rsidR="00A22804">
        <w:t xml:space="preserve"> Powers 2008)</w:t>
      </w:r>
      <w:r w:rsidR="009E09F1">
        <w:t xml:space="preserve">, </w:t>
      </w:r>
      <w:r w:rsidR="003E3A1A">
        <w:t xml:space="preserve">apprentices </w:t>
      </w:r>
      <w:r w:rsidR="009E09F1">
        <w:t xml:space="preserve">suggested </w:t>
      </w:r>
      <w:r w:rsidR="003E3A1A">
        <w:t xml:space="preserve">a number of </w:t>
      </w:r>
      <w:r w:rsidR="009E09F1">
        <w:t>improvements</w:t>
      </w:r>
      <w:r w:rsidR="003E3A1A">
        <w:t>. These related</w:t>
      </w:r>
      <w:r w:rsidR="009E09F1">
        <w:t xml:space="preserve"> to the availability of sessions, planning of timetables, and availability of up-to-date tools and supplies.</w:t>
      </w:r>
      <w:r w:rsidR="00401DD8">
        <w:t xml:space="preserve"> </w:t>
      </w:r>
      <w:r w:rsidR="0092647F">
        <w:t>In particular, t</w:t>
      </w:r>
      <w:r w:rsidR="00A22804">
        <w:t xml:space="preserve">here was a call for greater flexibility with regards to training delivery, such as options for days to make up lessons if </w:t>
      </w:r>
      <w:r w:rsidR="0092647F">
        <w:t xml:space="preserve">a </w:t>
      </w:r>
      <w:r w:rsidR="00A22804">
        <w:t xml:space="preserve">day </w:t>
      </w:r>
      <w:r w:rsidR="0092647F">
        <w:t xml:space="preserve">was missed </w:t>
      </w:r>
      <w:r w:rsidR="00A22804">
        <w:t>for an a</w:t>
      </w:r>
      <w:r w:rsidR="00FC2D2D">
        <w:t>cceptable</w:t>
      </w:r>
      <w:r w:rsidR="00A22804">
        <w:t xml:space="preserve"> reason (Walker </w:t>
      </w:r>
      <w:r w:rsidR="0092647F">
        <w:t>&amp;</w:t>
      </w:r>
      <w:r w:rsidR="00A22804">
        <w:t xml:space="preserve"> Powers 2008). </w:t>
      </w:r>
      <w:r w:rsidR="00173A69">
        <w:t>Note that</w:t>
      </w:r>
      <w:r w:rsidR="0092647F">
        <w:t xml:space="preserve"> the</w:t>
      </w:r>
      <w:r w:rsidR="00173A69">
        <w:t xml:space="preserve"> frequency of </w:t>
      </w:r>
      <w:r w:rsidR="0092647F">
        <w:t xml:space="preserve">the off-the-job </w:t>
      </w:r>
      <w:r w:rsidR="00173A69">
        <w:t xml:space="preserve">training was </w:t>
      </w:r>
      <w:r w:rsidR="001C735B">
        <w:t xml:space="preserve">one of </w:t>
      </w:r>
      <w:r>
        <w:t>the</w:t>
      </w:r>
      <w:r w:rsidR="0092647F">
        <w:t xml:space="preserve"> </w:t>
      </w:r>
      <w:r w:rsidR="00173A69">
        <w:t>aspect</w:t>
      </w:r>
      <w:r w:rsidR="0092647F">
        <w:t>s</w:t>
      </w:r>
      <w:r w:rsidR="00173A69">
        <w:t xml:space="preserve"> </w:t>
      </w:r>
      <w:r w:rsidR="00FC2D2D">
        <w:t xml:space="preserve">that non-completers were least </w:t>
      </w:r>
      <w:r w:rsidR="00173A69">
        <w:t xml:space="preserve">satisfied with in the NCVER survey (see table </w:t>
      </w:r>
      <w:r w:rsidR="00381D89">
        <w:t>9</w:t>
      </w:r>
      <w:r w:rsidR="00173A69">
        <w:t xml:space="preserve">). </w:t>
      </w:r>
    </w:p>
    <w:p w:rsidR="001C735B" w:rsidRDefault="009A46EB" w:rsidP="00EC52C7">
      <w:pPr>
        <w:pStyle w:val="Text"/>
      </w:pPr>
      <w:r>
        <w:t>Studies suggest that employers</w:t>
      </w:r>
      <w:r w:rsidR="00173A69">
        <w:t xml:space="preserve"> </w:t>
      </w:r>
      <w:r>
        <w:t>are</w:t>
      </w:r>
      <w:r w:rsidR="00173A69">
        <w:t xml:space="preserve"> decidedly less satisfied with their training provider than apprentices. </w:t>
      </w:r>
      <w:r w:rsidR="00354927">
        <w:t xml:space="preserve">For example, when employers of plumbing apprentices were asked to rate their relationship with their </w:t>
      </w:r>
      <w:r w:rsidR="00FC2D2D">
        <w:t>registered training organisation</w:t>
      </w:r>
      <w:r w:rsidR="00354927">
        <w:t xml:space="preserve">, 45% felt the relationship was good or very good, 35% felt it was average, while 20% felt it was poor or very poor (Walker </w:t>
      </w:r>
      <w:r w:rsidR="00B21FA4">
        <w:t>&amp;</w:t>
      </w:r>
      <w:r w:rsidR="00354927">
        <w:t xml:space="preserve"> Powers 2008).</w:t>
      </w:r>
      <w:r w:rsidR="000403A8">
        <w:t xml:space="preserve"> </w:t>
      </w:r>
    </w:p>
    <w:p w:rsidR="001C735B" w:rsidRDefault="006A2DC3" w:rsidP="00EC52C7">
      <w:pPr>
        <w:pStyle w:val="Text"/>
      </w:pPr>
      <w:r>
        <w:t>Providers were</w:t>
      </w:r>
      <w:r w:rsidR="00EC52C7">
        <w:t xml:space="preserve"> often viewed as inflexible</w:t>
      </w:r>
      <w:r w:rsidR="005550B9">
        <w:t xml:space="preserve"> with regard</w:t>
      </w:r>
      <w:r w:rsidR="001C735B">
        <w:t xml:space="preserve"> to training times</w:t>
      </w:r>
      <w:r w:rsidR="00EC52C7">
        <w:t xml:space="preserve">, </w:t>
      </w:r>
      <w:r w:rsidR="001C735B">
        <w:t xml:space="preserve">hard to contact, </w:t>
      </w:r>
      <w:r>
        <w:t>disorganised</w:t>
      </w:r>
      <w:r w:rsidR="001C735B">
        <w:t xml:space="preserve">, </w:t>
      </w:r>
      <w:r>
        <w:t xml:space="preserve">and </w:t>
      </w:r>
      <w:r w:rsidR="00EC52C7">
        <w:t>having slow administration processes</w:t>
      </w:r>
      <w:r w:rsidR="00B21FA4">
        <w:t xml:space="preserve"> (Mitchell &amp; Dobbs 2008; Walker &amp; Powers 2008)</w:t>
      </w:r>
      <w:r>
        <w:t xml:space="preserve">. </w:t>
      </w:r>
      <w:r w:rsidR="001C735B">
        <w:t xml:space="preserve">Although frustrating, these issues </w:t>
      </w:r>
      <w:r w:rsidR="00F75E3F">
        <w:t>are unlikely to</w:t>
      </w:r>
      <w:r w:rsidR="001C735B">
        <w:t xml:space="preserve"> direct</w:t>
      </w:r>
      <w:r w:rsidR="00F75E3F">
        <w:t>ly</w:t>
      </w:r>
      <w:r w:rsidR="001C735B">
        <w:t xml:space="preserve"> impact </w:t>
      </w:r>
      <w:r w:rsidR="00FC2D2D">
        <w:t xml:space="preserve">on </w:t>
      </w:r>
      <w:r w:rsidR="001C735B">
        <w:t>completion rates.</w:t>
      </w:r>
      <w:r w:rsidR="005416A4">
        <w:t xml:space="preserve"> </w:t>
      </w:r>
      <w:r w:rsidR="001C735B">
        <w:t xml:space="preserve">However, one issue which is more strongly related to completion rates is the </w:t>
      </w:r>
      <w:r w:rsidR="005416A4">
        <w:t>need</w:t>
      </w:r>
      <w:r w:rsidR="001C735B">
        <w:t xml:space="preserve"> for more f</w:t>
      </w:r>
      <w:r w:rsidR="00FC2D2D">
        <w:t>eedback on apprentice progress</w:t>
      </w:r>
      <w:r w:rsidR="005550B9">
        <w:t>,</w:t>
      </w:r>
      <w:r w:rsidR="00FC2D2D">
        <w:t xml:space="preserve"> and is </w:t>
      </w:r>
      <w:r w:rsidR="001C735B">
        <w:t>discussed below.</w:t>
      </w:r>
    </w:p>
    <w:p w:rsidR="00285633" w:rsidRPr="00285633" w:rsidRDefault="00285633" w:rsidP="00285633">
      <w:pPr>
        <w:pStyle w:val="Heading3"/>
      </w:pPr>
      <w:r>
        <w:t>Feedback on apprentice progress</w:t>
      </w:r>
    </w:p>
    <w:p w:rsidR="001C735B" w:rsidRDefault="0092647F" w:rsidP="007721A6">
      <w:pPr>
        <w:pStyle w:val="Textlessbefore"/>
      </w:pPr>
      <w:r>
        <w:t xml:space="preserve">Employers expressed a </w:t>
      </w:r>
      <w:r w:rsidR="00AF470C">
        <w:t>desire for more frequent and detailed feedback on apprentice</w:t>
      </w:r>
      <w:r>
        <w:t xml:space="preserve"> progress</w:t>
      </w:r>
      <w:r w:rsidR="00AF470C">
        <w:t xml:space="preserve">. </w:t>
      </w:r>
      <w:r w:rsidR="00457C8F">
        <w:t>Approximately on</w:t>
      </w:r>
      <w:r w:rsidR="00A22804">
        <w:t>e</w:t>
      </w:r>
      <w:r w:rsidR="00FC2D2D">
        <w:t>-</w:t>
      </w:r>
      <w:r w:rsidR="00457C8F">
        <w:t>third of the employers surveyed</w:t>
      </w:r>
      <w:r w:rsidR="00A22804">
        <w:t xml:space="preserve"> in the bricklaying industry</w:t>
      </w:r>
      <w:r w:rsidR="00354927">
        <w:t xml:space="preserve"> and half of </w:t>
      </w:r>
      <w:r w:rsidR="00FC2D2D">
        <w:t xml:space="preserve">the </w:t>
      </w:r>
      <w:r w:rsidR="00354927">
        <w:t>emp</w:t>
      </w:r>
      <w:r w:rsidR="00FC2D2D">
        <w:t>loyers in the plumbing industry</w:t>
      </w:r>
      <w:r w:rsidR="00354927">
        <w:t xml:space="preserve"> </w:t>
      </w:r>
      <w:r w:rsidR="00457C8F">
        <w:t xml:space="preserve">felt that they did not </w:t>
      </w:r>
      <w:r w:rsidR="001C735B">
        <w:t>receive</w:t>
      </w:r>
      <w:r w:rsidR="00457C8F">
        <w:t xml:space="preserve"> enough information from training pro</w:t>
      </w:r>
      <w:r>
        <w:t>viders about their apprentices</w:t>
      </w:r>
      <w:r w:rsidR="00354927">
        <w:t xml:space="preserve"> (Walker &amp; Powers </w:t>
      </w:r>
      <w:r w:rsidR="00FC2D2D">
        <w:t xml:space="preserve">2008, </w:t>
      </w:r>
      <w:r w:rsidR="00354927">
        <w:t>2009a)</w:t>
      </w:r>
      <w:r w:rsidR="00457C8F">
        <w:t xml:space="preserve">. </w:t>
      </w:r>
      <w:r w:rsidR="00875773">
        <w:t xml:space="preserve">One employer commented that they would like to </w:t>
      </w:r>
      <w:r w:rsidR="00841F93">
        <w:t>‘</w:t>
      </w:r>
      <w:r w:rsidR="00875773">
        <w:t>receive information earlier and have it provided proactively rather than having to chase it on oc</w:t>
      </w:r>
      <w:r w:rsidR="00FC2D2D">
        <w:t>casion</w:t>
      </w:r>
      <w:r w:rsidR="005550B9">
        <w:t>s</w:t>
      </w:r>
      <w:r w:rsidR="00841F93">
        <w:t>’</w:t>
      </w:r>
      <w:r w:rsidR="00875773">
        <w:t xml:space="preserve"> (Walker </w:t>
      </w:r>
      <w:r w:rsidR="00B9222C">
        <w:t>&amp;</w:t>
      </w:r>
      <w:r w:rsidR="0001092B">
        <w:t xml:space="preserve"> Powers</w:t>
      </w:r>
      <w:r w:rsidR="00F76716">
        <w:t xml:space="preserve"> 2008, p.</w:t>
      </w:r>
      <w:r w:rsidR="00875773">
        <w:t>58)</w:t>
      </w:r>
      <w:r w:rsidR="004E3DF5">
        <w:t xml:space="preserve">. </w:t>
      </w:r>
      <w:r w:rsidR="009C11B8">
        <w:t>Employers were keen to receive detailed feedback so that they could provide the apprentice with ex</w:t>
      </w:r>
      <w:r>
        <w:t>tra help in areas where he/she wa</w:t>
      </w:r>
      <w:r w:rsidR="009C11B8">
        <w:t>s struggling</w:t>
      </w:r>
      <w:r w:rsidR="00AF470C">
        <w:t xml:space="preserve"> (Walker </w:t>
      </w:r>
      <w:r w:rsidR="00F76716">
        <w:t>&amp;</w:t>
      </w:r>
      <w:r w:rsidR="00AF470C">
        <w:t xml:space="preserve"> Powers 2008)</w:t>
      </w:r>
      <w:r w:rsidR="009C11B8">
        <w:t>.</w:t>
      </w:r>
      <w:r w:rsidR="008823F7">
        <w:t xml:space="preserve"> </w:t>
      </w:r>
      <w:r w:rsidR="00F76716">
        <w:t>It</w:t>
      </w:r>
      <w:r w:rsidR="001C735B">
        <w:t xml:space="preserve"> could </w:t>
      </w:r>
      <w:r w:rsidR="00F76716">
        <w:t xml:space="preserve">be </w:t>
      </w:r>
      <w:r w:rsidR="001C735B">
        <w:t>argue</w:t>
      </w:r>
      <w:r w:rsidR="00F76716">
        <w:t>d</w:t>
      </w:r>
      <w:r w:rsidR="001C735B">
        <w:t xml:space="preserve"> that more detailed feedback could help </w:t>
      </w:r>
      <w:r w:rsidR="00F76716">
        <w:t xml:space="preserve">to </w:t>
      </w:r>
      <w:r w:rsidR="001C735B">
        <w:t xml:space="preserve">provide </w:t>
      </w:r>
      <w:r w:rsidR="008577D0">
        <w:t xml:space="preserve">the </w:t>
      </w:r>
      <w:r w:rsidR="001C735B">
        <w:t xml:space="preserve">early warning </w:t>
      </w:r>
      <w:r w:rsidR="00F76716">
        <w:t xml:space="preserve">signs </w:t>
      </w:r>
      <w:r w:rsidR="008577D0">
        <w:t>for</w:t>
      </w:r>
      <w:r w:rsidR="00F76716">
        <w:t xml:space="preserve"> apprentices who are at </w:t>
      </w:r>
      <w:r w:rsidR="001C735B">
        <w:t xml:space="preserve">risk of dropping out, </w:t>
      </w:r>
      <w:r w:rsidR="00F76716">
        <w:t>offering</w:t>
      </w:r>
      <w:r w:rsidR="001C735B">
        <w:t xml:space="preserve"> the employer a chance to intervene.</w:t>
      </w:r>
    </w:p>
    <w:p w:rsidR="009E09F1" w:rsidRDefault="009E09F1" w:rsidP="009E09F1">
      <w:pPr>
        <w:pStyle w:val="Heading2"/>
      </w:pPr>
      <w:bookmarkStart w:id="120" w:name="_Toc377040317"/>
      <w:r>
        <w:t xml:space="preserve">Challenges for </w:t>
      </w:r>
      <w:r w:rsidR="00B74D57">
        <w:t>trainers</w:t>
      </w:r>
      <w:bookmarkEnd w:id="120"/>
    </w:p>
    <w:p w:rsidR="00457C8F" w:rsidRDefault="0092647F" w:rsidP="009E09F1">
      <w:pPr>
        <w:pStyle w:val="Text"/>
      </w:pPr>
      <w:r>
        <w:t>Two</w:t>
      </w:r>
      <w:r w:rsidR="007A67E5">
        <w:t xml:space="preserve"> of the biggest challenges identified by </w:t>
      </w:r>
      <w:r w:rsidR="00A47C67">
        <w:t xml:space="preserve">vocational education and training </w:t>
      </w:r>
      <w:r w:rsidR="00132069">
        <w:t>(VET) teachers</w:t>
      </w:r>
      <w:r w:rsidR="007A67E5">
        <w:t xml:space="preserve"> in the bricklaying and plumbing trades we</w:t>
      </w:r>
      <w:r>
        <w:t xml:space="preserve">re accommodating employer needs </w:t>
      </w:r>
      <w:r w:rsidR="009A46EB">
        <w:t>by offeri</w:t>
      </w:r>
      <w:r w:rsidR="00A47C67">
        <w:t>ng more flexible delivery times</w:t>
      </w:r>
      <w:r w:rsidR="009A46EB">
        <w:t xml:space="preserve"> </w:t>
      </w:r>
      <w:r>
        <w:t>and</w:t>
      </w:r>
      <w:r w:rsidR="007A67E5">
        <w:t xml:space="preserve"> </w:t>
      </w:r>
      <w:r w:rsidR="00A47C67">
        <w:t xml:space="preserve">the </w:t>
      </w:r>
      <w:r w:rsidR="007A67E5">
        <w:t>literacy and numeracy difficulties of students</w:t>
      </w:r>
      <w:r w:rsidR="005656DD">
        <w:t xml:space="preserve"> (Walker </w:t>
      </w:r>
      <w:r w:rsidR="0001092B">
        <w:t>&amp;</w:t>
      </w:r>
      <w:r w:rsidR="005656DD">
        <w:t xml:space="preserve"> Powers 2008; 2009a)</w:t>
      </w:r>
      <w:r>
        <w:t>.</w:t>
      </w:r>
      <w:r w:rsidR="007A67E5">
        <w:t xml:space="preserve"> </w:t>
      </w:r>
      <w:r w:rsidR="001C735B">
        <w:lastRenderedPageBreak/>
        <w:t xml:space="preserve">Since the first of these is unlikely to directly influence completion rates, </w:t>
      </w:r>
      <w:r w:rsidR="00132069">
        <w:t xml:space="preserve">as apprentices rarely cite off-the-job training problems as their main reason for not completing, </w:t>
      </w:r>
      <w:r w:rsidR="001C735B">
        <w:t>we focus on the literacy and numeracy challenges.</w:t>
      </w:r>
    </w:p>
    <w:p w:rsidR="00285633" w:rsidRDefault="00285633" w:rsidP="00285633">
      <w:pPr>
        <w:pStyle w:val="Heading3"/>
      </w:pPr>
      <w:r>
        <w:t>Literacy and numeracy difficulties</w:t>
      </w:r>
    </w:p>
    <w:p w:rsidR="004E3DF5" w:rsidRDefault="00132069" w:rsidP="007721A6">
      <w:pPr>
        <w:pStyle w:val="Textlessbefore"/>
      </w:pPr>
      <w:r>
        <w:t>VET teachers</w:t>
      </w:r>
      <w:r w:rsidR="004E3DF5">
        <w:t xml:space="preserve"> commented that apprentices lacked fundamental skills such as </w:t>
      </w:r>
      <w:r w:rsidR="00401DD8">
        <w:t xml:space="preserve">Year 9 level </w:t>
      </w:r>
      <w:r>
        <w:t>mathematics</w:t>
      </w:r>
      <w:r w:rsidR="00401DD8">
        <w:t xml:space="preserve"> and English. O</w:t>
      </w:r>
      <w:r w:rsidR="004E3DF5">
        <w:t xml:space="preserve">ne respondent </w:t>
      </w:r>
      <w:r w:rsidR="001C735B">
        <w:t>emphasised</w:t>
      </w:r>
      <w:r w:rsidR="00401DD8">
        <w:t xml:space="preserve"> the need for</w:t>
      </w:r>
      <w:r w:rsidR="004E3DF5">
        <w:t xml:space="preserve"> an aptitude test to ensure </w:t>
      </w:r>
      <w:r w:rsidR="00401DD8">
        <w:t xml:space="preserve">that </w:t>
      </w:r>
      <w:r w:rsidR="004E3DF5">
        <w:t>applicants had the language and math</w:t>
      </w:r>
      <w:r>
        <w:t>ematic</w:t>
      </w:r>
      <w:r w:rsidR="004E3DF5">
        <w:t xml:space="preserve">s skills required to complete their training (Walker </w:t>
      </w:r>
      <w:r w:rsidR="0001092B">
        <w:t>&amp;</w:t>
      </w:r>
      <w:r w:rsidR="004E3DF5">
        <w:t xml:space="preserve"> Powers 2009a).</w:t>
      </w:r>
      <w:r w:rsidR="004E3DF5" w:rsidRPr="004E3DF5">
        <w:t xml:space="preserve"> </w:t>
      </w:r>
      <w:r w:rsidR="004E3DF5">
        <w:t xml:space="preserve">Some </w:t>
      </w:r>
      <w:r>
        <w:t>providers</w:t>
      </w:r>
      <w:r w:rsidR="004E3DF5">
        <w:t xml:space="preserve"> need to </w:t>
      </w:r>
      <w:r w:rsidR="008577D0">
        <w:t>offer</w:t>
      </w:r>
      <w:r w:rsidR="004E3DF5">
        <w:t xml:space="preserve"> supplementary bridging courses </w:t>
      </w:r>
      <w:r w:rsidR="005656DD">
        <w:t xml:space="preserve">to bring apprentices up to </w:t>
      </w:r>
      <w:r w:rsidR="00A47C67">
        <w:t>the required standard</w:t>
      </w:r>
      <w:r w:rsidR="005656DD">
        <w:t xml:space="preserve"> </w:t>
      </w:r>
      <w:r w:rsidR="004E3DF5">
        <w:t>(Huntly Consulting Group 2008).</w:t>
      </w:r>
    </w:p>
    <w:p w:rsidR="00A22804" w:rsidRDefault="00132069" w:rsidP="007721A6">
      <w:pPr>
        <w:pStyle w:val="Text"/>
        <w:ind w:right="-143"/>
      </w:pPr>
      <w:r>
        <w:t>VET teachers</w:t>
      </w:r>
      <w:r w:rsidR="004E3DF5">
        <w:t xml:space="preserve"> noted that some apprentices did not realise that they need</w:t>
      </w:r>
      <w:r w:rsidR="00401DD8">
        <w:t>ed</w:t>
      </w:r>
      <w:r w:rsidR="004E3DF5">
        <w:t xml:space="preserve"> to understand math</w:t>
      </w:r>
      <w:r>
        <w:t>ematic</w:t>
      </w:r>
      <w:r w:rsidR="004E3DF5">
        <w:t xml:space="preserve">s, physics and chemistry </w:t>
      </w:r>
      <w:r w:rsidR="00401DD8">
        <w:t xml:space="preserve">in order </w:t>
      </w:r>
      <w:r w:rsidR="004E3DF5">
        <w:t>to cope with the theory sections of the course</w:t>
      </w:r>
      <w:r w:rsidR="00401DD8">
        <w:t xml:space="preserve"> (Walker </w:t>
      </w:r>
      <w:r w:rsidR="0001092B">
        <w:t>&amp;</w:t>
      </w:r>
      <w:r w:rsidR="00401DD8">
        <w:t xml:space="preserve"> Powers 2009a)</w:t>
      </w:r>
      <w:r w:rsidR="004E3DF5">
        <w:t xml:space="preserve">. One respondent </w:t>
      </w:r>
      <w:r w:rsidR="00A22804">
        <w:t xml:space="preserve">called for parents to be made more aware of the requirements of learning a trade, feeling that the general perception was that </w:t>
      </w:r>
      <w:r w:rsidR="005550B9">
        <w:t xml:space="preserve">the </w:t>
      </w:r>
      <w:r w:rsidR="00A22804">
        <w:t>trades did not require</w:t>
      </w:r>
      <w:r w:rsidR="00AF470C">
        <w:t xml:space="preserve"> high-level skills:</w:t>
      </w:r>
    </w:p>
    <w:p w:rsidR="005523F7" w:rsidRDefault="001F6D87" w:rsidP="006A2DC3">
      <w:pPr>
        <w:pStyle w:val="Quote"/>
      </w:pPr>
      <w:r>
        <w:t xml:space="preserve">Parents and/or guardians will push their child towards a plumbing trade due to them not being capable to continue </w:t>
      </w:r>
      <w:r w:rsidR="005550B9">
        <w:t xml:space="preserve">at </w:t>
      </w:r>
      <w:r>
        <w:t xml:space="preserve">their </w:t>
      </w:r>
      <w:r w:rsidR="006A2DC3">
        <w:t>school</w:t>
      </w:r>
      <w:r>
        <w:t xml:space="preserve"> and onto university etc</w:t>
      </w:r>
      <w:r w:rsidR="00A47C67">
        <w:t>.</w:t>
      </w:r>
      <w:r>
        <w:t xml:space="preserve"> and don</w:t>
      </w:r>
      <w:r w:rsidR="00841F93">
        <w:t>’</w:t>
      </w:r>
      <w:r>
        <w:t>t understand the true nature of training levels required to make it as a plumbing apprentice.</w:t>
      </w:r>
      <w:r w:rsidR="00A47C67">
        <w:tab/>
      </w:r>
      <w:r w:rsidR="006A2DC3">
        <w:t xml:space="preserve">(Walker </w:t>
      </w:r>
      <w:r w:rsidR="00B9222C">
        <w:t>&amp;</w:t>
      </w:r>
      <w:r w:rsidR="003B5C8E">
        <w:t xml:space="preserve"> Powers 2008</w:t>
      </w:r>
      <w:r w:rsidR="00A47C67">
        <w:t>, p.</w:t>
      </w:r>
      <w:r w:rsidR="003B5C8E">
        <w:t>67)</w:t>
      </w:r>
    </w:p>
    <w:p w:rsidR="001F6D87" w:rsidRDefault="00132069" w:rsidP="007721A6">
      <w:pPr>
        <w:pStyle w:val="Text"/>
        <w:ind w:right="-143"/>
      </w:pPr>
      <w:r>
        <w:t>Teachers</w:t>
      </w:r>
      <w:r w:rsidR="001F6D87">
        <w:t xml:space="preserve"> </w:t>
      </w:r>
      <w:r w:rsidR="008823F7">
        <w:t>of plumbing apprentices often find that apprentices</w:t>
      </w:r>
      <w:r w:rsidR="001F6D87">
        <w:t xml:space="preserve"> are surprised </w:t>
      </w:r>
      <w:r w:rsidR="005550B9">
        <w:t>by</w:t>
      </w:r>
      <w:r w:rsidR="00A47C67">
        <w:t xml:space="preserve"> the amount of theory involved, having </w:t>
      </w:r>
      <w:r w:rsidR="001F6D87">
        <w:t>expect</w:t>
      </w:r>
      <w:r w:rsidR="00A47C67">
        <w:t>ed</w:t>
      </w:r>
      <w:r w:rsidR="001F6D87">
        <w:t xml:space="preserve"> only practical work</w:t>
      </w:r>
      <w:r w:rsidR="008823F7">
        <w:t xml:space="preserve"> (Walker </w:t>
      </w:r>
      <w:r w:rsidR="00B9222C">
        <w:t>&amp;</w:t>
      </w:r>
      <w:r w:rsidR="008823F7">
        <w:t xml:space="preserve"> Powers 2008)</w:t>
      </w:r>
      <w:r w:rsidR="001F6D87">
        <w:t xml:space="preserve">. </w:t>
      </w:r>
      <w:r w:rsidR="006A2DC3">
        <w:t xml:space="preserve">Perhaps more </w:t>
      </w:r>
      <w:r w:rsidR="008823F7">
        <w:t>detail about the</w:t>
      </w:r>
      <w:r w:rsidR="007721A6">
        <w:t> </w:t>
      </w:r>
      <w:r w:rsidR="008823F7">
        <w:t xml:space="preserve">training </w:t>
      </w:r>
      <w:r w:rsidR="008577D0">
        <w:t>should</w:t>
      </w:r>
      <w:r w:rsidR="006A2DC3">
        <w:t xml:space="preserve"> be </w:t>
      </w:r>
      <w:r w:rsidR="008823F7">
        <w:t>given</w:t>
      </w:r>
      <w:r w:rsidR="006A2DC3">
        <w:t xml:space="preserve"> </w:t>
      </w:r>
      <w:r w:rsidR="00A64BEB">
        <w:t xml:space="preserve">up front to those considering certain </w:t>
      </w:r>
      <w:r w:rsidR="006A2DC3">
        <w:t>apprenticeship</w:t>
      </w:r>
      <w:r w:rsidR="00A64BEB">
        <w:t>s</w:t>
      </w:r>
      <w:r w:rsidR="006A2DC3">
        <w:t>, so that they understand the large volume of theory required</w:t>
      </w:r>
      <w:r w:rsidR="008823F7">
        <w:t xml:space="preserve"> and the need for proficiency in literacy and numeracy</w:t>
      </w:r>
      <w:r w:rsidR="006A2DC3">
        <w:t>.</w:t>
      </w:r>
    </w:p>
    <w:p w:rsidR="006A2DC3" w:rsidRDefault="006A2DC3" w:rsidP="006A2DC3">
      <w:pPr>
        <w:pStyle w:val="Heading2"/>
      </w:pPr>
      <w:bookmarkStart w:id="121" w:name="_Toc377040318"/>
      <w:r>
        <w:t>Implications</w:t>
      </w:r>
      <w:bookmarkEnd w:id="121"/>
    </w:p>
    <w:p w:rsidR="00AF470C" w:rsidRDefault="004E3DF5" w:rsidP="00AF470C">
      <w:pPr>
        <w:pStyle w:val="Text"/>
      </w:pPr>
      <w:r>
        <w:t>The</w:t>
      </w:r>
      <w:r w:rsidR="00AF470C">
        <w:t xml:space="preserve"> comments </w:t>
      </w:r>
      <w:r w:rsidR="0092647F">
        <w:t>in this section</w:t>
      </w:r>
      <w:r>
        <w:t xml:space="preserve"> </w:t>
      </w:r>
      <w:r w:rsidR="00AF470C">
        <w:t>suggest that a greater understanding between employers and training providers could alleviate some of the frustrations</w:t>
      </w:r>
      <w:r w:rsidR="008577D0">
        <w:t xml:space="preserve"> identified</w:t>
      </w:r>
      <w:r w:rsidR="00AF470C">
        <w:t xml:space="preserve">. As suggested by Mitchell </w:t>
      </w:r>
      <w:r w:rsidR="00DE1E0B">
        <w:t>and Dobbs</w:t>
      </w:r>
      <w:r w:rsidR="00AF470C">
        <w:t xml:space="preserve"> (2008), it may be that the </w:t>
      </w:r>
      <w:r w:rsidR="00A47C67">
        <w:t xml:space="preserve">relationship between the training provider and the </w:t>
      </w:r>
      <w:r w:rsidR="00AF470C">
        <w:t>employer needs to be reconsidered so that the training provider plays the role of a service provider meeting a client</w:t>
      </w:r>
      <w:r w:rsidR="00841F93">
        <w:t>’</w:t>
      </w:r>
      <w:r w:rsidR="00AF470C">
        <w:t xml:space="preserve">s needs. </w:t>
      </w:r>
    </w:p>
    <w:p w:rsidR="008D7615" w:rsidRDefault="005656DD" w:rsidP="00713CA2">
      <w:pPr>
        <w:pStyle w:val="Text"/>
        <w:rPr>
          <w:rFonts w:ascii="Arial" w:hAnsi="Arial" w:cs="Arial"/>
          <w:color w:val="707070"/>
          <w:szCs w:val="19"/>
          <w:lang w:val="en-US"/>
        </w:rPr>
      </w:pPr>
      <w:r>
        <w:t>Meanwhile</w:t>
      </w:r>
      <w:r w:rsidR="00AF470C">
        <w:t xml:space="preserve">, the language, literacy and numeracy </w:t>
      </w:r>
      <w:r w:rsidR="008577D0">
        <w:t>issues with apprentices</w:t>
      </w:r>
      <w:r w:rsidR="00AF470C">
        <w:t xml:space="preserve"> point to a problem with the school sector as a whole, rather than being unique to the apprenticeship system. In the same way t</w:t>
      </w:r>
      <w:r w:rsidR="00A47C67">
        <w:t>hat university courses have pre</w:t>
      </w:r>
      <w:r w:rsidR="00AF470C">
        <w:t>requisites,</w:t>
      </w:r>
      <w:r w:rsidR="0092647F">
        <w:t xml:space="preserve"> perhaps</w:t>
      </w:r>
      <w:r w:rsidR="00AF470C">
        <w:t xml:space="preserve"> </w:t>
      </w:r>
      <w:r w:rsidR="00A47C67">
        <w:t xml:space="preserve">consideration could be given to </w:t>
      </w:r>
      <w:r w:rsidR="00AF470C">
        <w:t>ap</w:t>
      </w:r>
      <w:r w:rsidR="00A47C67">
        <w:t xml:space="preserve">prenticeships having </w:t>
      </w:r>
      <w:r w:rsidR="005550B9">
        <w:t xml:space="preserve">as prerequisites </w:t>
      </w:r>
      <w:r w:rsidR="008577D0">
        <w:t>specific</w:t>
      </w:r>
      <w:r w:rsidR="00AF470C">
        <w:t xml:space="preserve"> l</w:t>
      </w:r>
      <w:r w:rsidR="0092647F">
        <w:t>evels of literacy and numeracy.</w:t>
      </w:r>
      <w:r w:rsidR="00402C4B">
        <w:t xml:space="preserve"> </w:t>
      </w:r>
      <w:r w:rsidR="00132069">
        <w:t xml:space="preserve">Some apprenticeships do provide guidance </w:t>
      </w:r>
      <w:r w:rsidR="000B7314">
        <w:t>on</w:t>
      </w:r>
      <w:r w:rsidR="00132069">
        <w:t xml:space="preserve"> the types of skills required for entry</w:t>
      </w:r>
      <w:r w:rsidR="009F3DB5">
        <w:t xml:space="preserve">, but these tend to be </w:t>
      </w:r>
      <w:r w:rsidR="000D3FAB">
        <w:t>recommendations rather than strict requirements</w:t>
      </w:r>
      <w:r w:rsidR="00713CA2">
        <w:t>. Numeracy skills are sometimes</w:t>
      </w:r>
      <w:r w:rsidR="000D3FAB">
        <w:t xml:space="preserve"> assessed as part of the application process</w:t>
      </w:r>
      <w:r w:rsidR="009F3DB5">
        <w:t xml:space="preserve">. </w:t>
      </w:r>
      <w:r w:rsidR="000D3FAB">
        <w:t xml:space="preserve">For example, the first round of the recruitment process for one employer of electrical apprentices requires candidates to complete an online numeracy assessment (Essential Energy 2013). </w:t>
      </w:r>
    </w:p>
    <w:p w:rsidR="00713CA2" w:rsidRDefault="00713CA2">
      <w:pPr>
        <w:rPr>
          <w:rFonts w:ascii="Tahoma" w:hAnsi="Tahoma" w:cs="Tahoma"/>
          <w:color w:val="000000"/>
          <w:kern w:val="28"/>
          <w:sz w:val="56"/>
          <w:szCs w:val="56"/>
          <w:lang w:eastAsia="en-US"/>
        </w:rPr>
      </w:pPr>
      <w:r>
        <w:br w:type="page"/>
      </w:r>
    </w:p>
    <w:p w:rsidR="002D2BF0" w:rsidRDefault="002D2BF0" w:rsidP="007F5849">
      <w:pPr>
        <w:pStyle w:val="Heading1"/>
      </w:pPr>
      <w:bookmarkStart w:id="122" w:name="_Toc377040319"/>
      <w:r>
        <w:lastRenderedPageBreak/>
        <w:t>The value of completing</w:t>
      </w:r>
      <w:bookmarkEnd w:id="122"/>
    </w:p>
    <w:p w:rsidR="002D2BF0" w:rsidRDefault="008F459F" w:rsidP="002D2BF0">
      <w:pPr>
        <w:pStyle w:val="Text"/>
      </w:pPr>
      <w:r w:rsidRPr="009F7EC2">
        <w:t xml:space="preserve">The implicit </w:t>
      </w:r>
      <w:r>
        <w:t xml:space="preserve">assumption </w:t>
      </w:r>
      <w:r w:rsidR="00333136">
        <w:t xml:space="preserve">behind wanting to raise completion rates </w:t>
      </w:r>
      <w:r>
        <w:t>is that completing an apprenticeship</w:t>
      </w:r>
      <w:r w:rsidR="00875773">
        <w:t xml:space="preserve"> </w:t>
      </w:r>
      <w:r w:rsidRPr="009F7EC2">
        <w:t xml:space="preserve">is beneficial. How true is this assumption? </w:t>
      </w:r>
      <w:r w:rsidR="002D2BF0">
        <w:t>Some questions worth asking (</w:t>
      </w:r>
      <w:proofErr w:type="spellStart"/>
      <w:r w:rsidR="002D2BF0">
        <w:t>Laporte</w:t>
      </w:r>
      <w:proofErr w:type="spellEnd"/>
      <w:r w:rsidR="002D2BF0">
        <w:t xml:space="preserve"> </w:t>
      </w:r>
      <w:r w:rsidR="000B7314">
        <w:t>&amp;</w:t>
      </w:r>
      <w:r w:rsidR="002D2BF0">
        <w:t xml:space="preserve"> Mueller 2011)</w:t>
      </w:r>
      <w:r w:rsidR="00333136">
        <w:t xml:space="preserve"> include</w:t>
      </w:r>
      <w:r w:rsidR="002D2BF0">
        <w:t>:</w:t>
      </w:r>
    </w:p>
    <w:p w:rsidR="002D2BF0" w:rsidRDefault="002D2BF0" w:rsidP="002D2BF0">
      <w:pPr>
        <w:pStyle w:val="Dotpoint1"/>
      </w:pPr>
      <w:r>
        <w:t>Is there a wage premium attached to completing?</w:t>
      </w:r>
    </w:p>
    <w:p w:rsidR="00EE0C87" w:rsidRDefault="002D2BF0" w:rsidP="002D2BF0">
      <w:pPr>
        <w:pStyle w:val="Dotpoint1"/>
      </w:pPr>
      <w:r>
        <w:t xml:space="preserve">Is the probability of employment enhanced by completion? </w:t>
      </w:r>
    </w:p>
    <w:p w:rsidR="002D2BF0" w:rsidRDefault="002D2BF0" w:rsidP="000D5AD2">
      <w:pPr>
        <w:pStyle w:val="Text"/>
      </w:pPr>
      <w:r>
        <w:t xml:space="preserve">If not, there may be </w:t>
      </w:r>
      <w:r w:rsidR="00412639">
        <w:t>little</w:t>
      </w:r>
      <w:r>
        <w:t xml:space="preserve"> incentive to complete.</w:t>
      </w:r>
      <w:r w:rsidR="000B7314">
        <w:t xml:space="preserve"> We consider these issues and others</w:t>
      </w:r>
      <w:r w:rsidR="00EE0C87">
        <w:t xml:space="preserve"> in this section.</w:t>
      </w:r>
    </w:p>
    <w:p w:rsidR="009D077C" w:rsidRDefault="009D077C" w:rsidP="009A6A64">
      <w:pPr>
        <w:pStyle w:val="Heading2"/>
      </w:pPr>
      <w:bookmarkStart w:id="123" w:name="_Toc377040320"/>
      <w:r>
        <w:t>Is not completing always a bad thing?</w:t>
      </w:r>
      <w:bookmarkEnd w:id="123"/>
    </w:p>
    <w:p w:rsidR="009D077C" w:rsidRDefault="009D077C" w:rsidP="000D5AD2">
      <w:pPr>
        <w:pStyle w:val="Text"/>
      </w:pPr>
      <w:r>
        <w:t xml:space="preserve">As part of their </w:t>
      </w:r>
      <w:r w:rsidR="00401DD8">
        <w:t xml:space="preserve">national study </w:t>
      </w:r>
      <w:r>
        <w:t xml:space="preserve">into bricklaying apprenticeships, </w:t>
      </w:r>
      <w:r w:rsidR="007A67E5">
        <w:t>Walker and Powers</w:t>
      </w:r>
      <w:r>
        <w:t xml:space="preserve"> (2009</w:t>
      </w:r>
      <w:r w:rsidR="008070EC">
        <w:t>a</w:t>
      </w:r>
      <w:r>
        <w:t xml:space="preserve">) spoke to </w:t>
      </w:r>
      <w:r w:rsidR="000B7314">
        <w:t>group training organisations</w:t>
      </w:r>
      <w:r>
        <w:t xml:space="preserve">, unions, association members and employers about apprentice attrition rates. </w:t>
      </w:r>
      <w:r w:rsidR="00C77DE5">
        <w:t>Some</w:t>
      </w:r>
      <w:r>
        <w:t xml:space="preserve"> </w:t>
      </w:r>
      <w:r w:rsidR="00C77DE5">
        <w:t xml:space="preserve">of those interviewed </w:t>
      </w:r>
      <w:r>
        <w:t xml:space="preserve">felt that there was too much concern </w:t>
      </w:r>
      <w:r w:rsidR="005550B9">
        <w:t>about</w:t>
      </w:r>
      <w:r>
        <w:t xml:space="preserve"> attrition and that some attrition was actually a </w:t>
      </w:r>
      <w:r>
        <w:rPr>
          <w:i/>
        </w:rPr>
        <w:t>good</w:t>
      </w:r>
      <w:r>
        <w:t xml:space="preserve"> thing</w:t>
      </w:r>
      <w:r w:rsidR="00333136">
        <w:t>. One participant explained:</w:t>
      </w:r>
    </w:p>
    <w:p w:rsidR="009D077C" w:rsidRDefault="006E59F2" w:rsidP="006E59F2">
      <w:pPr>
        <w:pStyle w:val="Quote"/>
      </w:pPr>
      <w:r>
        <w:t>We shouldn</w:t>
      </w:r>
      <w:r w:rsidR="00841F93">
        <w:t>’</w:t>
      </w:r>
      <w:r>
        <w:t>t get too hooked up on attrition rates. Some attrition is good as it</w:t>
      </w:r>
      <w:r w:rsidR="00841F93">
        <w:t>’</w:t>
      </w:r>
      <w:r>
        <w:t>s weeding out the kids who aren</w:t>
      </w:r>
      <w:r w:rsidR="00841F93">
        <w:t>’</w:t>
      </w:r>
      <w:r>
        <w:t>t suited</w:t>
      </w:r>
      <w:r w:rsidR="00333136">
        <w:t>.</w:t>
      </w:r>
      <w:r w:rsidR="000B7314">
        <w:tab/>
      </w:r>
      <w:r>
        <w:t>(</w:t>
      </w:r>
      <w:r w:rsidR="007A67E5">
        <w:t xml:space="preserve">Walker </w:t>
      </w:r>
      <w:r w:rsidR="00B9222C">
        <w:t>&amp;</w:t>
      </w:r>
      <w:r w:rsidR="007A67E5">
        <w:t xml:space="preserve"> Powers</w:t>
      </w:r>
      <w:r>
        <w:t xml:space="preserve"> 2009</w:t>
      </w:r>
      <w:r w:rsidR="008070EC">
        <w:t>a</w:t>
      </w:r>
      <w:r w:rsidR="000B7314">
        <w:t>, p.</w:t>
      </w:r>
      <w:r w:rsidR="00C77DE5">
        <w:t>27)</w:t>
      </w:r>
    </w:p>
    <w:p w:rsidR="00401DD8" w:rsidRDefault="00401DD8" w:rsidP="009D077C">
      <w:pPr>
        <w:pStyle w:val="Dotpoint1"/>
        <w:numPr>
          <w:ilvl w:val="0"/>
          <w:numId w:val="0"/>
        </w:numPr>
      </w:pPr>
      <w:r>
        <w:t>However, attrition still represents wasted</w:t>
      </w:r>
      <w:r w:rsidR="00402C4B">
        <w:t xml:space="preserve"> time and</w:t>
      </w:r>
      <w:r>
        <w:t xml:space="preserve"> resource</w:t>
      </w:r>
      <w:r w:rsidR="00402C4B">
        <w:t>s, and this comment suggests that</w:t>
      </w:r>
      <w:r>
        <w:t xml:space="preserve"> more effort could be put into the recruitment phase. </w:t>
      </w:r>
    </w:p>
    <w:p w:rsidR="006E59F2" w:rsidRDefault="006E59F2" w:rsidP="009D077C">
      <w:pPr>
        <w:pStyle w:val="Dotpoint1"/>
        <w:numPr>
          <w:ilvl w:val="0"/>
          <w:numId w:val="0"/>
        </w:numPr>
      </w:pPr>
      <w:r>
        <w:t>Other</w:t>
      </w:r>
      <w:r w:rsidR="009D0E0A">
        <w:t xml:space="preserve"> stakeholders in the Walker and Powers (2009a) study</w:t>
      </w:r>
      <w:r>
        <w:t xml:space="preserve"> commented that </w:t>
      </w:r>
      <w:r w:rsidR="005162A9">
        <w:t>today</w:t>
      </w:r>
      <w:r w:rsidR="00841F93">
        <w:t>’</w:t>
      </w:r>
      <w:r w:rsidR="005162A9">
        <w:t xml:space="preserve">s </w:t>
      </w:r>
      <w:r>
        <w:t>young people are a highly mobile workforce, and that some attrition is inevitable:</w:t>
      </w:r>
    </w:p>
    <w:p w:rsidR="00C77DE5" w:rsidRDefault="006E59F2" w:rsidP="00C77DE5">
      <w:pPr>
        <w:pStyle w:val="Quote"/>
      </w:pPr>
      <w:r>
        <w:t>We need to remember that this is Gen Y we</w:t>
      </w:r>
      <w:r w:rsidR="00841F93">
        <w:t>’</w:t>
      </w:r>
      <w:r>
        <w:t xml:space="preserve">re dealing with. This group is very mobile and are quite happy to </w:t>
      </w:r>
      <w:r w:rsidR="000B7314">
        <w:t>try a number of different jobs.</w:t>
      </w:r>
      <w:r w:rsidR="000B7314">
        <w:tab/>
      </w:r>
      <w:r>
        <w:t>(</w:t>
      </w:r>
      <w:r w:rsidR="007A67E5">
        <w:t xml:space="preserve">Walker </w:t>
      </w:r>
      <w:r w:rsidR="00B9222C">
        <w:t>&amp;</w:t>
      </w:r>
      <w:r w:rsidR="007A67E5">
        <w:t xml:space="preserve"> Powers</w:t>
      </w:r>
      <w:r>
        <w:t xml:space="preserve"> 2009</w:t>
      </w:r>
      <w:r w:rsidR="008070EC">
        <w:t>a</w:t>
      </w:r>
      <w:r w:rsidR="000B7314">
        <w:t>, p.</w:t>
      </w:r>
      <w:r w:rsidR="00C77DE5">
        <w:t>27)</w:t>
      </w:r>
    </w:p>
    <w:p w:rsidR="00BE1DFA" w:rsidRDefault="008577D0" w:rsidP="000D5AD2">
      <w:pPr>
        <w:pStyle w:val="Text"/>
        <w:ind w:right="-143"/>
      </w:pPr>
      <w:r>
        <w:t xml:space="preserve">The </w:t>
      </w:r>
      <w:r w:rsidR="00BD4E7E">
        <w:t xml:space="preserve">majority of apprentices are young adults who are searching for work, study and career opportunities that maximise their own potential, </w:t>
      </w:r>
      <w:r w:rsidR="007928BA">
        <w:t xml:space="preserve">and in this context </w:t>
      </w:r>
      <w:r w:rsidR="00BD4E7E">
        <w:t>at least some of the non-completions are normal and to be expected</w:t>
      </w:r>
      <w:r w:rsidR="007928BA">
        <w:t xml:space="preserve"> (Cully &amp; Curtain 2001)</w:t>
      </w:r>
      <w:r w:rsidR="009D0E0A">
        <w:t>.</w:t>
      </w:r>
      <w:r w:rsidR="00C11ADF">
        <w:t xml:space="preserve"> </w:t>
      </w:r>
      <w:r w:rsidR="00BE1DFA">
        <w:t xml:space="preserve">Also, even if apprentices do not complete, they may still experience benefits from completing the training. For example, Cully and Curtain (2001) note that non-completers still acquire </w:t>
      </w:r>
      <w:r w:rsidR="00312A90">
        <w:t>work-related skills even if no qualification is obtained.</w:t>
      </w:r>
    </w:p>
    <w:p w:rsidR="00045A11" w:rsidRPr="009F7EC2" w:rsidRDefault="00045A11" w:rsidP="00571A7D">
      <w:pPr>
        <w:pStyle w:val="Heading2"/>
      </w:pPr>
      <w:bookmarkStart w:id="124" w:name="_Toc377040321"/>
      <w:r>
        <w:t>Monetary rewards</w:t>
      </w:r>
      <w:bookmarkEnd w:id="124"/>
    </w:p>
    <w:p w:rsidR="005164AE" w:rsidRPr="000D5AD2" w:rsidRDefault="009F7EC2" w:rsidP="000D5AD2">
      <w:pPr>
        <w:pStyle w:val="Text"/>
      </w:pPr>
      <w:r w:rsidRPr="009F7EC2">
        <w:t xml:space="preserve">For those studying a trade, the monetary reward of completing </w:t>
      </w:r>
      <w:r w:rsidR="00333136">
        <w:t>an</w:t>
      </w:r>
      <w:r w:rsidRPr="009F7EC2">
        <w:t xml:space="preserve"> apprenticeship is substantial, with the average annual income for trade apprentices in 2010 jumping from $36 600 during the la</w:t>
      </w:r>
      <w:r w:rsidR="000B7314">
        <w:t>st week of their apprenticeship</w:t>
      </w:r>
      <w:r w:rsidRPr="009F7EC2">
        <w:t xml:space="preserve"> to $52 500 upon completion (NCVER 2010a). </w:t>
      </w:r>
      <w:r w:rsidR="00D159D3">
        <w:t>Non-completers working full-time</w:t>
      </w:r>
      <w:r w:rsidR="00EE0C87">
        <w:t>, on the other hand,</w:t>
      </w:r>
      <w:r w:rsidR="00D159D3">
        <w:t xml:space="preserve"> </w:t>
      </w:r>
      <w:r w:rsidR="00EE0C87">
        <w:t>earn</w:t>
      </w:r>
      <w:r w:rsidR="000B7314">
        <w:t xml:space="preserve"> an average of $39 000, around $13 </w:t>
      </w:r>
      <w:r w:rsidR="00D159D3">
        <w:t>000 less than completers (NCVER 2010a)</w:t>
      </w:r>
      <w:r w:rsidR="00A56E90">
        <w:t xml:space="preserve">. </w:t>
      </w:r>
      <w:r w:rsidRPr="009F7EC2">
        <w:t xml:space="preserve">Looking at individual occupations within the trades, all enjoy substantial pay increases on completion, except for hairdressers. The pay rise ranges from only $630 for hairdressers, up to $23 000 for </w:t>
      </w:r>
      <w:proofErr w:type="spellStart"/>
      <w:r w:rsidRPr="009F7EC2">
        <w:t>electrotechnology</w:t>
      </w:r>
      <w:proofErr w:type="spellEnd"/>
      <w:r w:rsidRPr="009F7EC2">
        <w:t xml:space="preserve"> and telecommunications (Karmel &amp; Mlotkowski 2010b). These findings show that not everyone who completes an apprenticeship will be rewarded with a higher </w:t>
      </w:r>
      <w:r w:rsidRPr="000D5AD2">
        <w:t>income (Karmel &amp; Mlotkowski 2010b).</w:t>
      </w:r>
    </w:p>
    <w:p w:rsidR="006526FE" w:rsidRDefault="00363B7B" w:rsidP="000D5AD2">
      <w:pPr>
        <w:pStyle w:val="Text"/>
      </w:pPr>
      <w:r w:rsidRPr="000D5AD2">
        <w:lastRenderedPageBreak/>
        <w:t>On</w:t>
      </w:r>
      <w:r w:rsidR="006526FE" w:rsidRPr="000D5AD2">
        <w:t xml:space="preserve">e point that is </w:t>
      </w:r>
      <w:r w:rsidR="007A2612" w:rsidRPr="000D5AD2">
        <w:t xml:space="preserve">clear from the above and also </w:t>
      </w:r>
      <w:r w:rsidR="006526FE" w:rsidRPr="000D5AD2">
        <w:t>highlighted by Karmel and</w:t>
      </w:r>
      <w:r w:rsidRPr="000D5AD2">
        <w:t xml:space="preserve"> Rice </w:t>
      </w:r>
      <w:r>
        <w:t>(2011) is that</w:t>
      </w:r>
      <w:r w:rsidR="006526FE">
        <w:t xml:space="preserve"> the</w:t>
      </w:r>
      <w:r>
        <w:t xml:space="preserve"> benefits of completing an apprenticeship vary greatly by occupation, and hence it is misleading to estimate the benefits on an aggregate basis. </w:t>
      </w:r>
      <w:r w:rsidR="007A2612">
        <w:t>Using data from the 2005 ABS Income and Housing Costs S</w:t>
      </w:r>
      <w:r w:rsidR="005550B9">
        <w:t>urvey, Karmel and Rice (2011) fou</w:t>
      </w:r>
      <w:r w:rsidR="007A2612">
        <w:t>nd that the value of a certificate III/IV varies by occupation.</w:t>
      </w:r>
    </w:p>
    <w:p w:rsidR="00C45149" w:rsidRDefault="000B7314" w:rsidP="00C45149">
      <w:pPr>
        <w:pStyle w:val="Text"/>
      </w:pPr>
      <w:r>
        <w:t>Nechvoglod, Karmel and Saunders</w:t>
      </w:r>
      <w:r w:rsidR="00C45149">
        <w:t xml:space="preserve"> (2009) consider</w:t>
      </w:r>
      <w:r w:rsidR="005550B9">
        <w:t>ed</w:t>
      </w:r>
      <w:r w:rsidR="00C45149">
        <w:t xml:space="preserve"> the opportunity cost associated with undertaking an apprenticeship. They </w:t>
      </w:r>
      <w:r w:rsidR="00C11ADF">
        <w:t>determine</w:t>
      </w:r>
      <w:r w:rsidR="005550B9">
        <w:t>d</w:t>
      </w:r>
      <w:r w:rsidR="00C45149">
        <w:t xml:space="preserve"> the pay-back period, based on the premium a skilled tradesperson earns relative to an unskilled worker in the same occupation.</w:t>
      </w:r>
      <w:r w:rsidR="005550B9">
        <w:t xml:space="preserve"> They fou</w:t>
      </w:r>
      <w:r>
        <w:t>nd that for some trades</w:t>
      </w:r>
      <w:r w:rsidR="00C45149">
        <w:t xml:space="preserve"> there will be a pay</w:t>
      </w:r>
      <w:r w:rsidR="002745B9">
        <w:t>-</w:t>
      </w:r>
      <w:r w:rsidR="00C45149">
        <w:t xml:space="preserve">back within one </w:t>
      </w:r>
      <w:r w:rsidR="00401DD8">
        <w:t>or two years, but for other</w:t>
      </w:r>
      <w:r w:rsidR="00C45149">
        <w:t>s, the pay</w:t>
      </w:r>
      <w:r w:rsidR="002745B9">
        <w:t>-</w:t>
      </w:r>
      <w:r w:rsidR="00C45149">
        <w:t>back will not be realised until 20 years down the track.</w:t>
      </w:r>
      <w:r w:rsidR="00D87FF5">
        <w:t xml:space="preserve"> </w:t>
      </w:r>
      <w:r w:rsidR="002745B9">
        <w:t xml:space="preserve">For adult apprentices, the pay-back period can be over 50 years! </w:t>
      </w:r>
      <w:r w:rsidR="00713CA2">
        <w:t xml:space="preserve">Of the three trades investigated (electrical, plumbing and refrigeration), the </w:t>
      </w:r>
      <w:r w:rsidR="002805F0">
        <w:t>authors</w:t>
      </w:r>
      <w:r w:rsidR="005550B9">
        <w:t xml:space="preserve"> fou</w:t>
      </w:r>
      <w:r w:rsidR="00C45149">
        <w:t>nd that electrical trades had the shortest pay</w:t>
      </w:r>
      <w:r w:rsidR="002745B9">
        <w:t>-</w:t>
      </w:r>
      <w:r w:rsidR="00C45149">
        <w:t>back</w:t>
      </w:r>
      <w:r w:rsidR="00D87FF5">
        <w:t xml:space="preserve"> period</w:t>
      </w:r>
      <w:r w:rsidR="00713CA2">
        <w:t xml:space="preserve"> — roughly</w:t>
      </w:r>
      <w:r w:rsidR="00D87FF5">
        <w:t xml:space="preserve"> </w:t>
      </w:r>
      <w:r>
        <w:t>two</w:t>
      </w:r>
      <w:r w:rsidR="00D87FF5">
        <w:t xml:space="preserve"> years for a youth apprentice and </w:t>
      </w:r>
      <w:r w:rsidR="00713CA2">
        <w:t xml:space="preserve">roughly </w:t>
      </w:r>
      <w:r>
        <w:t>five</w:t>
      </w:r>
      <w:r w:rsidR="002805F0">
        <w:t xml:space="preserve"> years </w:t>
      </w:r>
      <w:r w:rsidR="00D87FF5">
        <w:t>for an adult apprentice</w:t>
      </w:r>
      <w:r w:rsidR="002805F0">
        <w:t>. By contrast,</w:t>
      </w:r>
      <w:r w:rsidR="00C45149">
        <w:t xml:space="preserve"> </w:t>
      </w:r>
      <w:r w:rsidR="002805F0">
        <w:t>refrigeration and plumbing had pay</w:t>
      </w:r>
      <w:r w:rsidR="002745B9">
        <w:t>-</w:t>
      </w:r>
      <w:r w:rsidR="002805F0">
        <w:t xml:space="preserve">back periods of approximately 20 years </w:t>
      </w:r>
      <w:r w:rsidR="00FC34CC">
        <w:t xml:space="preserve">for </w:t>
      </w:r>
      <w:r w:rsidR="00C45149">
        <w:t>youth apprentice</w:t>
      </w:r>
      <w:r w:rsidR="00FC34CC">
        <w:t>s</w:t>
      </w:r>
      <w:r w:rsidR="002805F0">
        <w:t xml:space="preserve"> </w:t>
      </w:r>
      <w:r w:rsidR="00C45149">
        <w:t xml:space="preserve">and </w:t>
      </w:r>
      <w:r w:rsidR="002805F0">
        <w:t xml:space="preserve">in excess of </w:t>
      </w:r>
      <w:r w:rsidR="00C45149">
        <w:t xml:space="preserve">50 years </w:t>
      </w:r>
      <w:r w:rsidR="00FC34CC">
        <w:t xml:space="preserve">for </w:t>
      </w:r>
      <w:r w:rsidR="00C45149">
        <w:t>adult apprentice</w:t>
      </w:r>
      <w:r w:rsidR="00FC34CC">
        <w:t>s</w:t>
      </w:r>
      <w:r w:rsidR="00C45149">
        <w:t>.</w:t>
      </w:r>
      <w:r w:rsidR="006F24E5">
        <w:t xml:space="preserve"> </w:t>
      </w:r>
      <w:r w:rsidR="00D87FF5">
        <w:t>The length of the pay</w:t>
      </w:r>
      <w:r w:rsidR="002745B9">
        <w:t>-</w:t>
      </w:r>
      <w:r w:rsidR="00D87FF5">
        <w:t xml:space="preserve">back period is strongly influenced by the wage of a qualified tradesperson in the occupation, and how this compares </w:t>
      </w:r>
      <w:r>
        <w:t>with</w:t>
      </w:r>
      <w:r w:rsidR="00D87FF5">
        <w:t xml:space="preserve"> wages in alternative employment. </w:t>
      </w:r>
      <w:r w:rsidR="006F24E5">
        <w:t xml:space="preserve">Although this work was based on a limited range of occupations and involved </w:t>
      </w:r>
      <w:r w:rsidR="00FC34CC">
        <w:t xml:space="preserve">only </w:t>
      </w:r>
      <w:r w:rsidR="006F24E5">
        <w:t>six case studies, it nonetheless highlights that the time taken to realise the monetary rewards of undertaking an apprenticeship</w:t>
      </w:r>
      <w:r w:rsidR="00401DD8">
        <w:t xml:space="preserve"> can be substantial</w:t>
      </w:r>
      <w:r w:rsidR="006F24E5">
        <w:t>.</w:t>
      </w:r>
    </w:p>
    <w:p w:rsidR="00045A11" w:rsidRDefault="00045A11" w:rsidP="00571A7D">
      <w:pPr>
        <w:pStyle w:val="Heading2"/>
      </w:pPr>
      <w:bookmarkStart w:id="125" w:name="_Toc377040322"/>
      <w:r>
        <w:t>Employment</w:t>
      </w:r>
      <w:r w:rsidR="00571A7D">
        <w:t xml:space="preserve"> prospects</w:t>
      </w:r>
      <w:bookmarkEnd w:id="125"/>
    </w:p>
    <w:p w:rsidR="00EE0C87" w:rsidRPr="000D5AD2" w:rsidRDefault="00A56E90" w:rsidP="000D5AD2">
      <w:pPr>
        <w:pStyle w:val="Text"/>
      </w:pPr>
      <w:r>
        <w:t>What about the value of completion in terms of future employment? The Apprentice and Trainee</w:t>
      </w:r>
      <w:r w:rsidR="00930ACB">
        <w:t xml:space="preserve"> Destinations Survey (NCVER </w:t>
      </w:r>
      <w:r w:rsidR="00EE0C87">
        <w:t>2010</w:t>
      </w:r>
      <w:r>
        <w:t xml:space="preserve">) found that </w:t>
      </w:r>
      <w:r w:rsidR="00045A11">
        <w:t>completers were more likely to be in full-time employment</w:t>
      </w:r>
      <w:r w:rsidR="00401DD8">
        <w:t xml:space="preserve"> than non-completers</w:t>
      </w:r>
      <w:r w:rsidR="00275CA0">
        <w:t>. In 2008, a</w:t>
      </w:r>
      <w:r>
        <w:t xml:space="preserve">pproximately </w:t>
      </w:r>
      <w:r w:rsidR="00EE0C87">
        <w:t>85</w:t>
      </w:r>
      <w:r>
        <w:t xml:space="preserve">% of completers were employed </w:t>
      </w:r>
      <w:r w:rsidR="00EE0C87">
        <w:t xml:space="preserve">full-time </w:t>
      </w:r>
      <w:r w:rsidR="000B7314">
        <w:t>nine</w:t>
      </w:r>
      <w:r w:rsidR="00045A11">
        <w:t xml:space="preserve"> months </w:t>
      </w:r>
      <w:r>
        <w:t xml:space="preserve">after finishing their </w:t>
      </w:r>
      <w:r w:rsidR="00EE0C87" w:rsidRPr="000D5AD2">
        <w:t xml:space="preserve">trade </w:t>
      </w:r>
      <w:r w:rsidRPr="000D5AD2">
        <w:t xml:space="preserve">apprenticeship, compared </w:t>
      </w:r>
      <w:r w:rsidR="000B7314" w:rsidRPr="000D5AD2">
        <w:t>with</w:t>
      </w:r>
      <w:r w:rsidRPr="000D5AD2">
        <w:t xml:space="preserve"> </w:t>
      </w:r>
      <w:r w:rsidR="00045A11" w:rsidRPr="000D5AD2">
        <w:t>only 60</w:t>
      </w:r>
      <w:r w:rsidRPr="000D5AD2">
        <w:t xml:space="preserve">% of non-completers. </w:t>
      </w:r>
    </w:p>
    <w:p w:rsidR="00A56E90" w:rsidRPr="000D5AD2" w:rsidRDefault="00EE0C87" w:rsidP="000D5AD2">
      <w:pPr>
        <w:pStyle w:val="Text"/>
      </w:pPr>
      <w:r w:rsidRPr="000D5AD2">
        <w:t>While</w:t>
      </w:r>
      <w:r w:rsidR="00A56E90" w:rsidRPr="000D5AD2">
        <w:t xml:space="preserve"> </w:t>
      </w:r>
      <w:r w:rsidRPr="000D5AD2">
        <w:t>approximately 80</w:t>
      </w:r>
      <w:r w:rsidR="00A56E90" w:rsidRPr="000D5AD2">
        <w:t xml:space="preserve">% of completers were employed in the same occupation </w:t>
      </w:r>
      <w:r w:rsidRPr="000D5AD2">
        <w:t xml:space="preserve">as their apprenticeship </w:t>
      </w:r>
      <w:r w:rsidR="000B7314" w:rsidRPr="000D5AD2">
        <w:t>nine</w:t>
      </w:r>
      <w:r w:rsidR="00930ACB" w:rsidRPr="000D5AD2">
        <w:t xml:space="preserve"> months </w:t>
      </w:r>
      <w:r w:rsidR="00A56E90" w:rsidRPr="000D5AD2">
        <w:t xml:space="preserve">after finishing their training, the same could </w:t>
      </w:r>
      <w:r w:rsidR="003E3A1A" w:rsidRPr="000D5AD2">
        <w:t xml:space="preserve">only </w:t>
      </w:r>
      <w:r w:rsidR="00A56E90" w:rsidRPr="000D5AD2">
        <w:t xml:space="preserve">be said for </w:t>
      </w:r>
      <w:r w:rsidR="00045A11" w:rsidRPr="000D5AD2">
        <w:t xml:space="preserve">about </w:t>
      </w:r>
      <w:r w:rsidR="00A56E90" w:rsidRPr="000D5AD2">
        <w:t>25% of non-completers</w:t>
      </w:r>
      <w:r w:rsidR="00930ACB" w:rsidRPr="000D5AD2">
        <w:t xml:space="preserve"> (NCVER 2010)</w:t>
      </w:r>
      <w:r w:rsidR="00A56E90" w:rsidRPr="000D5AD2">
        <w:t xml:space="preserve">. This suggests that the non-completers </w:t>
      </w:r>
      <w:r w:rsidR="00045A11" w:rsidRPr="000D5AD2">
        <w:t xml:space="preserve">either </w:t>
      </w:r>
      <w:r w:rsidR="00A56E90" w:rsidRPr="000D5AD2">
        <w:t>did not like the o</w:t>
      </w:r>
      <w:r w:rsidR="000B7314" w:rsidRPr="000D5AD2">
        <w:t>ccupation they were training in</w:t>
      </w:r>
      <w:r w:rsidR="00A56E90" w:rsidRPr="000D5AD2">
        <w:t xml:space="preserve"> or </w:t>
      </w:r>
      <w:r w:rsidR="007928BA">
        <w:t xml:space="preserve">had </w:t>
      </w:r>
      <w:r w:rsidR="00A56E90" w:rsidRPr="000D5AD2">
        <w:t xml:space="preserve">found a better job in a different occupation. </w:t>
      </w:r>
    </w:p>
    <w:p w:rsidR="006526FE" w:rsidRDefault="006526FE" w:rsidP="000D5AD2">
      <w:pPr>
        <w:pStyle w:val="Text"/>
      </w:pPr>
      <w:r w:rsidRPr="000D5AD2">
        <w:t>Karmel and Rice (2011) look</w:t>
      </w:r>
      <w:r w:rsidR="00930ACB" w:rsidRPr="000D5AD2">
        <w:t>ed</w:t>
      </w:r>
      <w:r w:rsidRPr="000D5AD2">
        <w:t xml:space="preserve"> at t</w:t>
      </w:r>
      <w:r>
        <w:t xml:space="preserve">he employment benefits for three groups associated with labour market disadvantage: Indigenous </w:t>
      </w:r>
      <w:r w:rsidR="00930ACB">
        <w:t>people</w:t>
      </w:r>
      <w:r>
        <w:t>, people with a disability, and rural and remote Australians. Using data from NCVER</w:t>
      </w:r>
      <w:r w:rsidR="00841F93">
        <w:t>’</w:t>
      </w:r>
      <w:r>
        <w:t xml:space="preserve">s Student Outcomes Survey, they </w:t>
      </w:r>
      <w:r w:rsidR="00930ACB">
        <w:t>found</w:t>
      </w:r>
      <w:r>
        <w:t xml:space="preserve"> that those who complete</w:t>
      </w:r>
      <w:r w:rsidR="00930ACB">
        <w:t xml:space="preserve">d their apprenticeship had </w:t>
      </w:r>
      <w:r>
        <w:t>better employment o</w:t>
      </w:r>
      <w:r w:rsidR="00930ACB">
        <w:t>utcomes relative to those who did</w:t>
      </w:r>
      <w:r>
        <w:t xml:space="preserve"> not complete.</w:t>
      </w:r>
      <w:r w:rsidR="00930ACB">
        <w:t xml:space="preserve"> For example, of those with a disability, </w:t>
      </w:r>
      <w:r w:rsidR="000B7314">
        <w:t>eight</w:t>
      </w:r>
      <w:r w:rsidR="00930ACB">
        <w:t xml:space="preserve"> out of </w:t>
      </w:r>
      <w:r w:rsidR="000B7314">
        <w:t>ten</w:t>
      </w:r>
      <w:r w:rsidR="00930ACB">
        <w:t xml:space="preserve"> individuals who completed their apprenticeship were employed after training, compared </w:t>
      </w:r>
      <w:r w:rsidR="000B7314">
        <w:t>with</w:t>
      </w:r>
      <w:r w:rsidR="00930ACB">
        <w:t xml:space="preserve"> only</w:t>
      </w:r>
      <w:r w:rsidR="000B7314">
        <w:t xml:space="preserve"> five</w:t>
      </w:r>
      <w:r w:rsidR="00930ACB">
        <w:t xml:space="preserve"> out of </w:t>
      </w:r>
      <w:r w:rsidR="000B7314">
        <w:t>ten</w:t>
      </w:r>
      <w:r w:rsidR="00930ACB">
        <w:t xml:space="preserve"> non-completers. More importantly, for those with a disability </w:t>
      </w:r>
      <w:r w:rsidR="00A07D00">
        <w:t xml:space="preserve">who were </w:t>
      </w:r>
      <w:r w:rsidR="00930ACB" w:rsidRPr="00A07D00">
        <w:t>not</w:t>
      </w:r>
      <w:r w:rsidR="00930ACB">
        <w:t xml:space="preserve"> employed before training, 46% of completers were employed after training, compared </w:t>
      </w:r>
      <w:r w:rsidR="00B65D05">
        <w:t>with</w:t>
      </w:r>
      <w:r w:rsidR="00930ACB">
        <w:t xml:space="preserve"> just 20% of non-completers with a disability.</w:t>
      </w:r>
    </w:p>
    <w:p w:rsidR="00401DD8" w:rsidRDefault="00401DD8" w:rsidP="00401DD8">
      <w:pPr>
        <w:pStyle w:val="Heading2"/>
      </w:pPr>
      <w:bookmarkStart w:id="126" w:name="_Toc377040323"/>
      <w:r>
        <w:t>Summary</w:t>
      </w:r>
      <w:bookmarkEnd w:id="126"/>
    </w:p>
    <w:p w:rsidR="00401DD8" w:rsidRPr="00401DD8" w:rsidRDefault="00401DD8" w:rsidP="00401DD8">
      <w:pPr>
        <w:pStyle w:val="Text"/>
      </w:pPr>
      <w:r>
        <w:t xml:space="preserve">Returning to the questions at the start of this section, we can conclude that the wage premium attached to completion is significant for most, but not all, trade apprenticeships. </w:t>
      </w:r>
      <w:r w:rsidR="007C22B2">
        <w:t xml:space="preserve">In addition, </w:t>
      </w:r>
      <w:r w:rsidR="00FC34CC">
        <w:t>t</w:t>
      </w:r>
      <w:r>
        <w:t>he probability of being in full-time employment is enhanced by completion.</w:t>
      </w:r>
    </w:p>
    <w:p w:rsidR="00C45149" w:rsidRDefault="00C45149" w:rsidP="00C45149">
      <w:pPr>
        <w:pStyle w:val="Text"/>
        <w:rPr>
          <w:rFonts w:ascii="Tahoma" w:hAnsi="Tahoma" w:cs="Tahoma"/>
          <w:color w:val="000000"/>
          <w:kern w:val="28"/>
          <w:sz w:val="56"/>
          <w:szCs w:val="56"/>
        </w:rPr>
      </w:pPr>
      <w:r>
        <w:br w:type="page"/>
      </w:r>
    </w:p>
    <w:p w:rsidR="008F459F" w:rsidRDefault="001D526C" w:rsidP="008F459F">
      <w:pPr>
        <w:pStyle w:val="Heading1"/>
      </w:pPr>
      <w:bookmarkStart w:id="127" w:name="_Toc377040324"/>
      <w:r>
        <w:lastRenderedPageBreak/>
        <w:t>Final comments</w:t>
      </w:r>
      <w:bookmarkEnd w:id="127"/>
    </w:p>
    <w:p w:rsidR="001D526C" w:rsidRDefault="001D526C" w:rsidP="001D526C">
      <w:pPr>
        <w:pStyle w:val="Text"/>
      </w:pPr>
      <w:r>
        <w:t>This section summarises the main findings and considers how they may inform future policy direction</w:t>
      </w:r>
      <w:r w:rsidR="003B40AB">
        <w:t>s</w:t>
      </w:r>
      <w:r>
        <w:t>.</w:t>
      </w:r>
    </w:p>
    <w:p w:rsidR="001D526C" w:rsidRDefault="001D526C" w:rsidP="001D526C">
      <w:pPr>
        <w:pStyle w:val="Heading2"/>
      </w:pPr>
      <w:bookmarkStart w:id="128" w:name="_Toc377040325"/>
      <w:r>
        <w:t>Key findings</w:t>
      </w:r>
      <w:bookmarkEnd w:id="128"/>
    </w:p>
    <w:p w:rsidR="00F44E09" w:rsidRDefault="00BD1DFE" w:rsidP="001A1617">
      <w:pPr>
        <w:pStyle w:val="Text"/>
      </w:pPr>
      <w:r>
        <w:t>The key findings to emerge from this literature review include the following</w:t>
      </w:r>
      <w:r w:rsidR="00F44E09">
        <w:t>:</w:t>
      </w:r>
    </w:p>
    <w:p w:rsidR="00BE1DFA" w:rsidRDefault="005A0F5D" w:rsidP="005D7639">
      <w:pPr>
        <w:pStyle w:val="Dotpoint1"/>
      </w:pPr>
      <w:bookmarkStart w:id="129" w:name="OLE_LINK35"/>
      <w:bookmarkStart w:id="130" w:name="OLE_LINK36"/>
      <w:bookmarkStart w:id="131" w:name="OLE_LINK26"/>
      <w:bookmarkStart w:id="132" w:name="OLE_LINK27"/>
      <w:r>
        <w:t>Employment-related reasons</w:t>
      </w:r>
      <w:r w:rsidR="0027514A">
        <w:t xml:space="preserve"> are the most common reason</w:t>
      </w:r>
      <w:r>
        <w:t>s</w:t>
      </w:r>
      <w:r w:rsidR="0027514A">
        <w:t xml:space="preserve"> for not completing</w:t>
      </w:r>
      <w:r>
        <w:t xml:space="preserve">. These include interpersonal difficulties with employers and colleagues, </w:t>
      </w:r>
      <w:r w:rsidR="0035421A">
        <w:t>not liking the work</w:t>
      </w:r>
      <w:r w:rsidR="00BD1DFE">
        <w:t xml:space="preserve">, </w:t>
      </w:r>
      <w:r w:rsidR="002A161D">
        <w:t>being made redund</w:t>
      </w:r>
      <w:r w:rsidR="00B65D05">
        <w:t>ant</w:t>
      </w:r>
      <w:r w:rsidR="002A161D">
        <w:t xml:space="preserve"> </w:t>
      </w:r>
      <w:r>
        <w:t>and low wages.</w:t>
      </w:r>
      <w:r w:rsidR="00312A90">
        <w:t xml:space="preserve"> </w:t>
      </w:r>
      <w:r w:rsidR="00BE1DFA">
        <w:t xml:space="preserve">By contrast, issues with the off-the-job training </w:t>
      </w:r>
      <w:r w:rsidR="00B65D05">
        <w:t xml:space="preserve">are </w:t>
      </w:r>
      <w:r w:rsidR="005550B9">
        <w:t>among</w:t>
      </w:r>
      <w:r w:rsidR="00B65D05">
        <w:t xml:space="preserve"> the least frequently </w:t>
      </w:r>
      <w:r w:rsidR="00BE1DFA">
        <w:t>cited reasons for not completing.</w:t>
      </w:r>
    </w:p>
    <w:p w:rsidR="00982819" w:rsidRDefault="00982819" w:rsidP="005D7639">
      <w:pPr>
        <w:pStyle w:val="Dotpoint1"/>
      </w:pPr>
      <w:bookmarkStart w:id="133" w:name="OLE_LINK41"/>
      <w:bookmarkStart w:id="134" w:name="OLE_LINK42"/>
      <w:r>
        <w:t>Apprentices generally leave their apprenticeship</w:t>
      </w:r>
      <w:r w:rsidR="005550B9" w:rsidRPr="005550B9">
        <w:t xml:space="preserve"> </w:t>
      </w:r>
      <w:r w:rsidR="005550B9">
        <w:t>early in the contract</w:t>
      </w:r>
      <w:r w:rsidR="00017F79">
        <w:t xml:space="preserve">: </w:t>
      </w:r>
      <w:r>
        <w:t xml:space="preserve">60% of </w:t>
      </w:r>
      <w:r w:rsidR="00017F79">
        <w:t>those who leave do so</w:t>
      </w:r>
      <w:r>
        <w:t xml:space="preserve"> within the first year.</w:t>
      </w:r>
      <w:r w:rsidR="00603EEC">
        <w:t xml:space="preserve"> This suggests that advice and support for apprentices and employers is needed in the early stages of the apprenticeship.</w:t>
      </w:r>
    </w:p>
    <w:p w:rsidR="00596C98" w:rsidRDefault="00596C98" w:rsidP="00596C98">
      <w:pPr>
        <w:pStyle w:val="Dotpoint1"/>
      </w:pPr>
      <w:bookmarkStart w:id="135" w:name="OLE_LINK31"/>
      <w:bookmarkStart w:id="136" w:name="OLE_LINK32"/>
      <w:bookmarkEnd w:id="133"/>
      <w:bookmarkEnd w:id="134"/>
      <w:r>
        <w:t xml:space="preserve">Apprentices with a passion for the trade tend to have higher completion rates than those who </w:t>
      </w:r>
      <w:r w:rsidR="00841F93">
        <w:t>‘</w:t>
      </w:r>
      <w:r>
        <w:t>fell into an apprenticeship</w:t>
      </w:r>
      <w:r w:rsidR="00841F93">
        <w:t>’</w:t>
      </w:r>
      <w:r>
        <w:t xml:space="preserve"> or were ambivalent about their decision to </w:t>
      </w:r>
      <w:r w:rsidR="00461354">
        <w:t>begin</w:t>
      </w:r>
      <w:r>
        <w:t xml:space="preserve"> one.</w:t>
      </w:r>
    </w:p>
    <w:p w:rsidR="00603EEC" w:rsidRDefault="00603EEC" w:rsidP="00596C98">
      <w:pPr>
        <w:pStyle w:val="Dotpoint1"/>
      </w:pPr>
      <w:bookmarkStart w:id="137" w:name="OLE_LINK37"/>
      <w:bookmarkStart w:id="138" w:name="OLE_LINK38"/>
      <w:r>
        <w:t>Employers with the highest comple</w:t>
      </w:r>
      <w:r w:rsidR="00B65D05">
        <w:t>tion rates are generally larger</w:t>
      </w:r>
      <w:r w:rsidR="005550B9">
        <w:t>,</w:t>
      </w:r>
      <w:r>
        <w:t xml:space="preserve"> experienced employers with well-organised systems for managing apprentices. Employers with lower comp</w:t>
      </w:r>
      <w:r w:rsidR="00B65D05">
        <w:t>letion rates tend to be smaller</w:t>
      </w:r>
      <w:r>
        <w:t xml:space="preserve"> and have less experience. </w:t>
      </w:r>
    </w:p>
    <w:bookmarkEnd w:id="137"/>
    <w:bookmarkEnd w:id="138"/>
    <w:p w:rsidR="00094466" w:rsidRDefault="001A1617" w:rsidP="005D7639">
      <w:pPr>
        <w:pStyle w:val="Dotpoint1"/>
      </w:pPr>
      <w:r>
        <w:t xml:space="preserve">The best </w:t>
      </w:r>
      <w:r w:rsidR="00BD1DFE">
        <w:t xml:space="preserve">completion </w:t>
      </w:r>
      <w:r>
        <w:t>outcomes are achieved by employers with high training capacity</w:t>
      </w:r>
      <w:r w:rsidR="00401DD8">
        <w:t>, who can offer variety, mentoring support, formal and structured programs, good working conditions and generous wages</w:t>
      </w:r>
      <w:r>
        <w:t xml:space="preserve">. </w:t>
      </w:r>
      <w:r w:rsidR="00094466">
        <w:t>These tend to be larger employers, although the</w:t>
      </w:r>
      <w:r w:rsidR="00B65D05">
        <w:t>re is evidence that smaller</w:t>
      </w:r>
      <w:r w:rsidR="00094466">
        <w:t xml:space="preserve"> experienced companies also achieve good outcomes. In particular, government employers achieve completion rates that are up to 30 percentage points higher than </w:t>
      </w:r>
      <w:r w:rsidR="00B65D05">
        <w:t xml:space="preserve">the </w:t>
      </w:r>
      <w:r w:rsidR="00094466">
        <w:t xml:space="preserve">completion rates </w:t>
      </w:r>
      <w:r w:rsidR="00461354">
        <w:t>of</w:t>
      </w:r>
      <w:r w:rsidR="00094466">
        <w:t xml:space="preserve"> private sector employers and group training organisations.</w:t>
      </w:r>
    </w:p>
    <w:p w:rsidR="00312A90" w:rsidRDefault="00094466" w:rsidP="00312A90">
      <w:pPr>
        <w:pStyle w:val="Dotpoint1"/>
      </w:pPr>
      <w:r>
        <w:t xml:space="preserve">Employers with high completion rates also tend to have very rigorous recruitment practices, sometimes involving several rounds of interviews. </w:t>
      </w:r>
    </w:p>
    <w:p w:rsidR="001A1617" w:rsidRDefault="00312A90" w:rsidP="00312A90">
      <w:pPr>
        <w:pStyle w:val="Dotpoint1"/>
      </w:pPr>
      <w:r>
        <w:t xml:space="preserve">VET teachers </w:t>
      </w:r>
      <w:r w:rsidR="001D526C">
        <w:t>commented</w:t>
      </w:r>
      <w:r>
        <w:t xml:space="preserve"> that apprentices lacked fundamental skills such as Year 9 level mathematics and English.</w:t>
      </w:r>
    </w:p>
    <w:p w:rsidR="00A07D00" w:rsidRDefault="00B65D05" w:rsidP="00312A90">
      <w:pPr>
        <w:pStyle w:val="Dotpoint1"/>
      </w:pPr>
      <w:r>
        <w:t>The c</w:t>
      </w:r>
      <w:r w:rsidR="00A07D00">
        <w:t>ompletion of an apprenticeship is associated with better employment outcomes and higher wages relative to non-completion.</w:t>
      </w:r>
    </w:p>
    <w:p w:rsidR="00D11811" w:rsidRDefault="00603EEC" w:rsidP="00D11811">
      <w:pPr>
        <w:pStyle w:val="Heading2"/>
      </w:pPr>
      <w:bookmarkStart w:id="139" w:name="_Toc377040326"/>
      <w:bookmarkEnd w:id="129"/>
      <w:bookmarkEnd w:id="130"/>
      <w:bookmarkEnd w:id="131"/>
      <w:bookmarkEnd w:id="132"/>
      <w:bookmarkEnd w:id="135"/>
      <w:bookmarkEnd w:id="136"/>
      <w:r>
        <w:t>Future directions for policy and practice</w:t>
      </w:r>
      <w:bookmarkEnd w:id="139"/>
    </w:p>
    <w:p w:rsidR="00BD1DFE" w:rsidRDefault="0022398A" w:rsidP="002A161D">
      <w:pPr>
        <w:pStyle w:val="Text"/>
      </w:pPr>
      <w:bookmarkStart w:id="140" w:name="OLE_LINK33"/>
      <w:bookmarkStart w:id="141" w:name="OLE_LINK34"/>
      <w:r>
        <w:t xml:space="preserve">Bearing in mind the results from the </w:t>
      </w:r>
      <w:bookmarkEnd w:id="140"/>
      <w:bookmarkEnd w:id="141"/>
      <w:r>
        <w:t xml:space="preserve">literature, </w:t>
      </w:r>
      <w:r w:rsidR="002A161D">
        <w:t xml:space="preserve">we </w:t>
      </w:r>
      <w:r w:rsidR="00461354">
        <w:t>propose</w:t>
      </w:r>
      <w:r w:rsidR="002A161D">
        <w:t xml:space="preserve"> </w:t>
      </w:r>
      <w:r w:rsidR="001D526C">
        <w:t>four</w:t>
      </w:r>
      <w:r w:rsidR="002A161D">
        <w:t xml:space="preserve"> ideas </w:t>
      </w:r>
      <w:r w:rsidR="00B65D05">
        <w:t>for consideration</w:t>
      </w:r>
      <w:r w:rsidR="002A161D">
        <w:t>,</w:t>
      </w:r>
      <w:r w:rsidR="00EC1581">
        <w:t xml:space="preserve"> along with recent policy initiatives related to them</w:t>
      </w:r>
      <w:r w:rsidR="003703B7">
        <w:t>.</w:t>
      </w:r>
    </w:p>
    <w:p w:rsidR="00B61A49" w:rsidRDefault="00B61A49" w:rsidP="00B61A49">
      <w:pPr>
        <w:pStyle w:val="Heading3"/>
      </w:pPr>
      <w:r>
        <w:t>Assess apprentice suitability</w:t>
      </w:r>
    </w:p>
    <w:p w:rsidR="002A161D" w:rsidRDefault="005550B9" w:rsidP="000D5AD2">
      <w:pPr>
        <w:pStyle w:val="Textlessbefore"/>
      </w:pPr>
      <w:r>
        <w:t>The f</w:t>
      </w:r>
      <w:r w:rsidR="00B61A49">
        <w:t>indings suggest that spending more time assessing whether would-be apprentices are suited to an apprenticeship will reduce wastage in the system. Encouraging more rigorous recruitment strategies on the part of the employer is one way to achieve this. Part of the selection process could be</w:t>
      </w:r>
      <w:r>
        <w:t xml:space="preserve"> to ensure that some agreed</w:t>
      </w:r>
      <w:r w:rsidR="00B61A49">
        <w:t xml:space="preserve"> minimum standards of literacy and numeracy are met</w:t>
      </w:r>
      <w:r w:rsidR="00BE1DFA">
        <w:t>, in response to VET teachers</w:t>
      </w:r>
      <w:r w:rsidR="00841F93">
        <w:t>’</w:t>
      </w:r>
      <w:r w:rsidR="00BE1DFA">
        <w:t xml:space="preserve"> concerns about </w:t>
      </w:r>
      <w:r>
        <w:t xml:space="preserve">the </w:t>
      </w:r>
      <w:r w:rsidR="00BE1DFA">
        <w:t>low literacy and numeracy levels among apprentices</w:t>
      </w:r>
      <w:r w:rsidR="00B61A49">
        <w:t xml:space="preserve">. In addition, more </w:t>
      </w:r>
      <w:r w:rsidR="00B61A49">
        <w:lastRenderedPageBreak/>
        <w:t>in</w:t>
      </w:r>
      <w:r>
        <w:t xml:space="preserve">formation should be provided up </w:t>
      </w:r>
      <w:r w:rsidR="00B61A49">
        <w:t xml:space="preserve">front to those considering an apprenticeship, via career counsellors or Australian Apprenticeship Centres, so that they can be </w:t>
      </w:r>
      <w:r>
        <w:t>well</w:t>
      </w:r>
      <w:r w:rsidR="00B61A49">
        <w:t xml:space="preserve"> informed about what </w:t>
      </w:r>
      <w:r w:rsidR="00C43D11">
        <w:t>the apprenticeship</w:t>
      </w:r>
      <w:r w:rsidR="00B61A49">
        <w:t xml:space="preserve"> will entail.</w:t>
      </w:r>
      <w:r w:rsidR="00C561CE">
        <w:t xml:space="preserve"> </w:t>
      </w:r>
    </w:p>
    <w:p w:rsidR="00B61A49" w:rsidRPr="00B06370" w:rsidRDefault="00C561CE" w:rsidP="00B61A49">
      <w:pPr>
        <w:pStyle w:val="Text"/>
      </w:pPr>
      <w:r>
        <w:t xml:space="preserve">To this end, the government has recently announced </w:t>
      </w:r>
      <w:r w:rsidR="00544823">
        <w:t>an</w:t>
      </w:r>
      <w:r>
        <w:t xml:space="preserve"> Australian Apprenticeships Advisers Program</w:t>
      </w:r>
      <w:r w:rsidR="007C22B2">
        <w:t>. The program</w:t>
      </w:r>
      <w:r>
        <w:t xml:space="preserve"> target</w:t>
      </w:r>
      <w:r w:rsidR="00D87FF5">
        <w:t>s</w:t>
      </w:r>
      <w:r>
        <w:t xml:space="preserve"> school leavers who are considering a career in a </w:t>
      </w:r>
      <w:r w:rsidR="00D805E0">
        <w:t>skilled occupation</w:t>
      </w:r>
      <w:r>
        <w:t xml:space="preserve"> and </w:t>
      </w:r>
      <w:r w:rsidR="00461354">
        <w:t xml:space="preserve">who </w:t>
      </w:r>
      <w:r>
        <w:t xml:space="preserve">would like to know more about an apprenticeship (Australian Government 2013a). </w:t>
      </w:r>
    </w:p>
    <w:p w:rsidR="008F459F" w:rsidRDefault="000403A8" w:rsidP="007E2E27">
      <w:pPr>
        <w:pStyle w:val="Heading3"/>
      </w:pPr>
      <w:r>
        <w:t>Assess employer suitability</w:t>
      </w:r>
    </w:p>
    <w:p w:rsidR="007E63B6" w:rsidRDefault="00333136" w:rsidP="000D5AD2">
      <w:pPr>
        <w:pStyle w:val="Textlessbefore"/>
      </w:pPr>
      <w:r>
        <w:t xml:space="preserve">One of the findings to emerge </w:t>
      </w:r>
      <w:r w:rsidR="0035421A">
        <w:t xml:space="preserve">quite strongly </w:t>
      </w:r>
      <w:r>
        <w:t xml:space="preserve">from this literature review is the importance of the employer having the </w:t>
      </w:r>
      <w:r w:rsidRPr="00982819">
        <w:rPr>
          <w:i/>
        </w:rPr>
        <w:t>capacity</w:t>
      </w:r>
      <w:r>
        <w:t xml:space="preserve"> to provide training. </w:t>
      </w:r>
      <w:r w:rsidR="00B06370">
        <w:t xml:space="preserve">Training capacity is largely a function of employer size. </w:t>
      </w:r>
      <w:r w:rsidR="007E63B6">
        <w:t>Larger employers are more likely to have well-organised training departments and well-established support system</w:t>
      </w:r>
      <w:r w:rsidR="000403A8">
        <w:t>s, and in turn achieve higher completion rate</w:t>
      </w:r>
      <w:r w:rsidR="007E63B6">
        <w:t>s.</w:t>
      </w:r>
    </w:p>
    <w:p w:rsidR="008D6F70" w:rsidRDefault="0067097A" w:rsidP="00A3063D">
      <w:pPr>
        <w:pStyle w:val="Text"/>
      </w:pPr>
      <w:r>
        <w:t xml:space="preserve">Employer size </w:t>
      </w:r>
      <w:r w:rsidR="00B06370">
        <w:t xml:space="preserve">per se </w:t>
      </w:r>
      <w:r>
        <w:t xml:space="preserve">is not something that can be influenced by policy. </w:t>
      </w:r>
      <w:r w:rsidR="00B06370">
        <w:t>However, given what we know about the reasons larger employers do better, there are a number of options available. One option is to screen employers before they are permitted to take on apprentices.</w:t>
      </w:r>
      <w:r>
        <w:t xml:space="preserve"> </w:t>
      </w:r>
      <w:r w:rsidR="00181526">
        <w:t>For example, Dickie, McDonald</w:t>
      </w:r>
      <w:r w:rsidR="000D5AD2">
        <w:t xml:space="preserve"> </w:t>
      </w:r>
      <w:r w:rsidR="00181526">
        <w:t xml:space="preserve">and </w:t>
      </w:r>
      <w:proofErr w:type="spellStart"/>
      <w:r w:rsidR="00181526">
        <w:t>Pedic</w:t>
      </w:r>
      <w:proofErr w:type="spellEnd"/>
      <w:r w:rsidR="00181526">
        <w:t xml:space="preserve"> </w:t>
      </w:r>
      <w:r w:rsidR="00B06370">
        <w:t>(2011) recommended that employers be r</w:t>
      </w:r>
      <w:r w:rsidR="00181526">
        <w:t>equired to meet a series of pre</w:t>
      </w:r>
      <w:r w:rsidR="00B06370">
        <w:t xml:space="preserve">requisites before they can employ apprentices. Cully and Curtain (2001) </w:t>
      </w:r>
      <w:r w:rsidR="00C43D11">
        <w:t>made a similar</w:t>
      </w:r>
      <w:r w:rsidR="00B06370">
        <w:t xml:space="preserve"> recommendation for improving completion rates. Formalising this idea, the</w:t>
      </w:r>
      <w:r w:rsidR="00333136">
        <w:t xml:space="preserve"> Apprenticeships for the 21</w:t>
      </w:r>
      <w:r w:rsidR="00333136" w:rsidRPr="00333136">
        <w:rPr>
          <w:vertAlign w:val="superscript"/>
        </w:rPr>
        <w:t>st</w:t>
      </w:r>
      <w:r w:rsidR="00333136">
        <w:t xml:space="preserve"> Century Expert Panel </w:t>
      </w:r>
      <w:r w:rsidR="008D6F70">
        <w:t xml:space="preserve">(2011) </w:t>
      </w:r>
      <w:r w:rsidR="00033DAE">
        <w:t>recommend</w:t>
      </w:r>
      <w:r w:rsidR="008D6F70">
        <w:t>ed</w:t>
      </w:r>
      <w:r w:rsidR="00033DAE">
        <w:t xml:space="preserve"> that employers be accredited before they </w:t>
      </w:r>
      <w:r w:rsidR="008D6F70">
        <w:t>are allowed to</w:t>
      </w:r>
      <w:r w:rsidR="00033DAE">
        <w:t xml:space="preserve"> take on an apprentice. </w:t>
      </w:r>
      <w:r w:rsidR="00412639">
        <w:t>Higher</w:t>
      </w:r>
      <w:r w:rsidR="000D5AD2">
        <w:t> </w:t>
      </w:r>
      <w:r w:rsidR="00412639">
        <w:t>regulatory cost would of course need to be balanced against the potential benefits of such an</w:t>
      </w:r>
      <w:r w:rsidR="000D5AD2">
        <w:t> </w:t>
      </w:r>
      <w:r w:rsidR="00412639">
        <w:t>approach.</w:t>
      </w:r>
    </w:p>
    <w:p w:rsidR="007C22B2" w:rsidRDefault="007C22B2" w:rsidP="00A3063D">
      <w:pPr>
        <w:pStyle w:val="Text"/>
      </w:pPr>
      <w:r w:rsidRPr="00D26080">
        <w:t>It must also be acknowledged that a reduction in the number of employers may result in fewer completions overall</w:t>
      </w:r>
      <w:r w:rsidR="00D26080" w:rsidRPr="00D26080">
        <w:t xml:space="preserve"> (since there would be fewer apprenticeship places available)</w:t>
      </w:r>
      <w:r w:rsidRPr="00D26080">
        <w:t xml:space="preserve">, even though the completion </w:t>
      </w:r>
      <w:r w:rsidRPr="00D26080">
        <w:rPr>
          <w:i/>
        </w:rPr>
        <w:t>rate</w:t>
      </w:r>
      <w:r w:rsidRPr="00D26080">
        <w:t xml:space="preserve"> </w:t>
      </w:r>
      <w:r w:rsidR="00D26080" w:rsidRPr="00D26080">
        <w:t>would likely</w:t>
      </w:r>
      <w:r w:rsidRPr="00D26080">
        <w:t xml:space="preserve"> improve.</w:t>
      </w:r>
      <w:r w:rsidR="00D26080">
        <w:t xml:space="preserve"> </w:t>
      </w:r>
      <w:r>
        <w:t>Hence</w:t>
      </w:r>
      <w:r w:rsidR="00461354">
        <w:t>,</w:t>
      </w:r>
      <w:r>
        <w:t xml:space="preserve"> </w:t>
      </w:r>
      <w:r w:rsidR="00D26080">
        <w:t xml:space="preserve">alternative </w:t>
      </w:r>
      <w:r w:rsidR="004B7430">
        <w:t xml:space="preserve">apprenticeship </w:t>
      </w:r>
      <w:r w:rsidR="00D26080">
        <w:t>models</w:t>
      </w:r>
      <w:r w:rsidR="009C33B0">
        <w:t xml:space="preserve"> may warrant consideration</w:t>
      </w:r>
      <w:r w:rsidR="00D26080">
        <w:t>.</w:t>
      </w:r>
    </w:p>
    <w:p w:rsidR="0022398A" w:rsidRDefault="000403A8" w:rsidP="007E2E27">
      <w:pPr>
        <w:pStyle w:val="Heading3"/>
      </w:pPr>
      <w:r>
        <w:t>Provide g</w:t>
      </w:r>
      <w:r w:rsidR="0022398A">
        <w:t>reater assistance for employers</w:t>
      </w:r>
      <w:r w:rsidR="00363B7B">
        <w:t xml:space="preserve"> and apprentices</w:t>
      </w:r>
    </w:p>
    <w:p w:rsidR="00033DAE" w:rsidRDefault="00C43D11" w:rsidP="000D5AD2">
      <w:pPr>
        <w:pStyle w:val="Textlessbefore"/>
      </w:pPr>
      <w:r>
        <w:t>The f</w:t>
      </w:r>
      <w:r w:rsidR="002A161D">
        <w:t>indings suggest that s</w:t>
      </w:r>
      <w:r w:rsidR="009D07FB">
        <w:t xml:space="preserve">maller and less-experienced employers are </w:t>
      </w:r>
      <w:r w:rsidR="00412639">
        <w:t xml:space="preserve">generally </w:t>
      </w:r>
      <w:r w:rsidR="009D07FB">
        <w:t>less adept at managing apprentices and require greater support.</w:t>
      </w:r>
      <w:r w:rsidR="00463769">
        <w:t xml:space="preserve"> </w:t>
      </w:r>
      <w:r w:rsidR="00B06370">
        <w:t>For example, e</w:t>
      </w:r>
      <w:r w:rsidR="00033DAE">
        <w:t xml:space="preserve">mployers </w:t>
      </w:r>
      <w:r w:rsidR="00B61A49">
        <w:t xml:space="preserve">may not know </w:t>
      </w:r>
      <w:r w:rsidR="00033DAE">
        <w:t xml:space="preserve">which recruitment strategies </w:t>
      </w:r>
      <w:r w:rsidR="00B61A49">
        <w:t xml:space="preserve">to use in order </w:t>
      </w:r>
      <w:r w:rsidR="00033DAE">
        <w:t>to obtai</w:t>
      </w:r>
      <w:r w:rsidR="00C079B8">
        <w:t>n the most suitable applicants.</w:t>
      </w:r>
      <w:r w:rsidR="00A3063D">
        <w:t xml:space="preserve"> </w:t>
      </w:r>
      <w:r w:rsidR="000403A8">
        <w:t xml:space="preserve">Perhaps a </w:t>
      </w:r>
      <w:r w:rsidR="00841F93">
        <w:t>‘</w:t>
      </w:r>
      <w:r w:rsidR="000403A8">
        <w:t>recruitment kit</w:t>
      </w:r>
      <w:r w:rsidR="00841F93">
        <w:t>’</w:t>
      </w:r>
      <w:r w:rsidR="000403A8">
        <w:t xml:space="preserve"> c</w:t>
      </w:r>
      <w:r w:rsidR="00181526">
        <w:t>ould</w:t>
      </w:r>
      <w:r w:rsidR="000403A8">
        <w:t xml:space="preserve"> be developed, which could be distributed to all businesses who wish to take on apprentices. </w:t>
      </w:r>
      <w:r w:rsidR="00B06370">
        <w:t xml:space="preserve">The development of such a kit may require further research into the most successful recruitment strategies. </w:t>
      </w:r>
      <w:r w:rsidR="00B61A49">
        <w:t>For example, the kit could be based on what is done at the best practice employers in the</w:t>
      </w:r>
      <w:r w:rsidR="00412639">
        <w:t xml:space="preserve"> Mitchell </w:t>
      </w:r>
      <w:r w:rsidR="0001092B">
        <w:t>and</w:t>
      </w:r>
      <w:r w:rsidR="00412639">
        <w:t xml:space="preserve"> Dobbs (2008</w:t>
      </w:r>
      <w:r w:rsidR="00B61A49">
        <w:t>) study and others.</w:t>
      </w:r>
    </w:p>
    <w:p w:rsidR="009F3852" w:rsidRDefault="00B61A49" w:rsidP="009F3852">
      <w:pPr>
        <w:pStyle w:val="Text"/>
      </w:pPr>
      <w:r>
        <w:t>Another difference</w:t>
      </w:r>
      <w:r w:rsidR="009D07FB">
        <w:t xml:space="preserve"> between small and large businesses is the </w:t>
      </w:r>
      <w:r w:rsidR="00181526">
        <w:t>extent</w:t>
      </w:r>
      <w:r w:rsidR="009D07FB">
        <w:t xml:space="preserve"> of </w:t>
      </w:r>
      <w:r w:rsidR="00181526">
        <w:t xml:space="preserve">the </w:t>
      </w:r>
      <w:r w:rsidR="009D07FB">
        <w:t xml:space="preserve">mentoring support provided. </w:t>
      </w:r>
      <w:r w:rsidR="004A0C6D">
        <w:t xml:space="preserve">More resources should be directed towards improving </w:t>
      </w:r>
      <w:r w:rsidR="00C43D11">
        <w:t xml:space="preserve">the </w:t>
      </w:r>
      <w:r w:rsidR="004A0C6D">
        <w:t>mentoring services for apprentices</w:t>
      </w:r>
      <w:r>
        <w:t xml:space="preserve"> and ensuring </w:t>
      </w:r>
      <w:r w:rsidR="00181526">
        <w:t xml:space="preserve">that </w:t>
      </w:r>
      <w:r>
        <w:t>all apprentices have equal access to support</w:t>
      </w:r>
      <w:r w:rsidR="004A0C6D">
        <w:t xml:space="preserve">. Larger businesses normally provide the mentoring services </w:t>
      </w:r>
      <w:r w:rsidR="00841F93">
        <w:t>‘</w:t>
      </w:r>
      <w:r w:rsidR="004A0C6D">
        <w:t>in-ho</w:t>
      </w:r>
      <w:r w:rsidR="00181526">
        <w:t>use</w:t>
      </w:r>
      <w:r w:rsidR="00841F93">
        <w:t>’</w:t>
      </w:r>
      <w:r w:rsidR="00181526">
        <w:t>, but for smaller companies</w:t>
      </w:r>
      <w:r w:rsidR="004A0C6D">
        <w:t xml:space="preserve"> they may need to be outsourced. </w:t>
      </w:r>
      <w:r w:rsidR="009F3852">
        <w:t>P</w:t>
      </w:r>
      <w:r w:rsidR="004A0C6D">
        <w:t>roviding p</w:t>
      </w:r>
      <w:r w:rsidR="009F3852">
        <w:t>rofessional development progr</w:t>
      </w:r>
      <w:r w:rsidR="009D07FB">
        <w:t xml:space="preserve">ams for all apprentice supervisors may also help </w:t>
      </w:r>
      <w:r w:rsidR="00C43D11">
        <w:t xml:space="preserve">to </w:t>
      </w:r>
      <w:r w:rsidR="009D07FB">
        <w:t xml:space="preserve">close the completion rates </w:t>
      </w:r>
      <w:r w:rsidR="004A0C6D">
        <w:t>divide between</w:t>
      </w:r>
      <w:r w:rsidR="009D07FB">
        <w:t xml:space="preserve"> larger and smaller businesses</w:t>
      </w:r>
      <w:r w:rsidR="009F3852">
        <w:t>.</w:t>
      </w:r>
    </w:p>
    <w:p w:rsidR="003A5282" w:rsidRDefault="003A5282" w:rsidP="009F3852">
      <w:pPr>
        <w:pStyle w:val="Text"/>
      </w:pPr>
      <w:r>
        <w:t>With regards to mentoring, the government has recently announced funding for an Australian Apprenticeships Mentoring Program</w:t>
      </w:r>
      <w:r w:rsidR="00D805E0">
        <w:t xml:space="preserve"> </w:t>
      </w:r>
      <w:r w:rsidR="00C43D11">
        <w:t>with the aim of improving</w:t>
      </w:r>
      <w:r w:rsidR="00D805E0">
        <w:t xml:space="preserve"> </w:t>
      </w:r>
      <w:r>
        <w:t>the mentoring services available to apprent</w:t>
      </w:r>
      <w:r w:rsidR="00C561CE">
        <w:t>ices (Australian Government 2013b</w:t>
      </w:r>
      <w:r>
        <w:t xml:space="preserve">). The program provides </w:t>
      </w:r>
      <w:r w:rsidR="00C561CE">
        <w:t>approximately $80 million</w:t>
      </w:r>
      <w:r w:rsidR="00E1047D">
        <w:t xml:space="preserve"> in funding</w:t>
      </w:r>
      <w:r w:rsidR="00181526">
        <w:t xml:space="preserve"> from 2011 to </w:t>
      </w:r>
      <w:r>
        <w:t>2015</w:t>
      </w:r>
      <w:r w:rsidR="00C561CE">
        <w:t xml:space="preserve"> </w:t>
      </w:r>
      <w:r w:rsidR="00E1047D">
        <w:t>to</w:t>
      </w:r>
      <w:r w:rsidR="00C561CE">
        <w:t xml:space="preserve"> support </w:t>
      </w:r>
      <w:r w:rsidR="00C43D11">
        <w:t xml:space="preserve">the </w:t>
      </w:r>
      <w:r w:rsidR="00C561CE">
        <w:t>targeted mentoring of apprentices</w:t>
      </w:r>
      <w:r>
        <w:t xml:space="preserve">. The program relies on </w:t>
      </w:r>
      <w:r>
        <w:lastRenderedPageBreak/>
        <w:t xml:space="preserve">industry bodies </w:t>
      </w:r>
      <w:r w:rsidR="00D805E0">
        <w:t>to</w:t>
      </w:r>
      <w:r>
        <w:t xml:space="preserve"> lead individual pro</w:t>
      </w:r>
      <w:r w:rsidR="00E1047D">
        <w:t>jects</w:t>
      </w:r>
      <w:r>
        <w:t>.</w:t>
      </w:r>
      <w:r w:rsidR="00C561CE">
        <w:t xml:space="preserve"> </w:t>
      </w:r>
      <w:r w:rsidR="00D805E0">
        <w:t xml:space="preserve">As of May 2013, 33 mentoring </w:t>
      </w:r>
      <w:r w:rsidR="00E1047D">
        <w:t>projects</w:t>
      </w:r>
      <w:r w:rsidR="00D805E0">
        <w:t xml:space="preserve"> had received funding (Australian Government 2013b).</w:t>
      </w:r>
      <w:r w:rsidR="007C22B2">
        <w:t xml:space="preserve"> </w:t>
      </w:r>
      <w:r w:rsidR="007C22B2" w:rsidRPr="00D26080">
        <w:t xml:space="preserve">An evaluation of the impact these projects have had on completion rates, if any, </w:t>
      </w:r>
      <w:r w:rsidR="009C33B0">
        <w:t>should</w:t>
      </w:r>
      <w:r w:rsidR="007C22B2" w:rsidRPr="00D26080">
        <w:t xml:space="preserve"> be carried out at a later date.</w:t>
      </w:r>
    </w:p>
    <w:p w:rsidR="00171C60" w:rsidRDefault="00C43D11" w:rsidP="009F3852">
      <w:pPr>
        <w:pStyle w:val="Text"/>
      </w:pPr>
      <w:r>
        <w:t>S</w:t>
      </w:r>
      <w:r w:rsidRPr="00363B7B">
        <w:t xml:space="preserve">ince 2011 </w:t>
      </w:r>
      <w:r w:rsidR="00596C98" w:rsidRPr="00363B7B">
        <w:t>the</w:t>
      </w:r>
      <w:r w:rsidR="003274FB" w:rsidRPr="00363B7B">
        <w:t xml:space="preserve"> Apprenticeship Support Officer program has been in place in Victoria </w:t>
      </w:r>
      <w:r w:rsidR="00176CB3" w:rsidRPr="00363B7B">
        <w:t>(D</w:t>
      </w:r>
      <w:r w:rsidR="00181526">
        <w:t>epartment of Education and Early Childhood Development</w:t>
      </w:r>
      <w:r w:rsidR="00176CB3" w:rsidRPr="00363B7B">
        <w:t xml:space="preserve"> 2013)</w:t>
      </w:r>
      <w:r w:rsidR="003274FB" w:rsidRPr="00363B7B">
        <w:t xml:space="preserve">. </w:t>
      </w:r>
      <w:r w:rsidR="00181526">
        <w:t>A</w:t>
      </w:r>
      <w:r w:rsidR="00030966" w:rsidRPr="00363B7B">
        <w:t xml:space="preserve"> Victorian Government initiative</w:t>
      </w:r>
      <w:r w:rsidR="00181526">
        <w:t xml:space="preserve">, its aim is </w:t>
      </w:r>
      <w:r w:rsidR="00596C98" w:rsidRPr="00363B7B">
        <w:t>to provide</w:t>
      </w:r>
      <w:r w:rsidR="003274FB" w:rsidRPr="00363B7B">
        <w:t xml:space="preserve"> targeted support to apprentices in their first year, </w:t>
      </w:r>
      <w:r w:rsidR="00A07D00">
        <w:t xml:space="preserve">since they are the group </w:t>
      </w:r>
      <w:r w:rsidR="003274FB" w:rsidRPr="00363B7B">
        <w:t xml:space="preserve">who are most at risk of </w:t>
      </w:r>
      <w:r w:rsidR="00181526">
        <w:t>withdrawing</w:t>
      </w:r>
      <w:r w:rsidR="003274FB" w:rsidRPr="00363B7B">
        <w:t>.</w:t>
      </w:r>
      <w:r w:rsidR="00176CB3" w:rsidRPr="00363B7B">
        <w:t xml:space="preserve"> </w:t>
      </w:r>
      <w:r w:rsidR="00181526">
        <w:t>Support o</w:t>
      </w:r>
      <w:r w:rsidR="00171C60" w:rsidRPr="00363B7B">
        <w:t xml:space="preserve">fficers are </w:t>
      </w:r>
      <w:r>
        <w:t>intended specifically</w:t>
      </w:r>
      <w:r w:rsidR="00181526">
        <w:t xml:space="preserve"> for apprentices aged 15—</w:t>
      </w:r>
      <w:r w:rsidR="00171C60" w:rsidRPr="00363B7B">
        <w:t>24 years</w:t>
      </w:r>
      <w:r w:rsidR="00A07D00">
        <w:t xml:space="preserve"> who are</w:t>
      </w:r>
      <w:r w:rsidR="00171C60" w:rsidRPr="00363B7B">
        <w:t xml:space="preserve"> in the first year of their apprenticeship. </w:t>
      </w:r>
      <w:r w:rsidR="00176CB3" w:rsidRPr="00363B7B">
        <w:t>Victoria also has an Apprenticeship Field Officer program (</w:t>
      </w:r>
      <w:r w:rsidR="00181526" w:rsidRPr="00363B7B">
        <w:t>D</w:t>
      </w:r>
      <w:r w:rsidR="00181526">
        <w:t>epartment of Education and Early Childhood Developmen</w:t>
      </w:r>
      <w:r w:rsidR="00AB2278">
        <w:t>t</w:t>
      </w:r>
      <w:r w:rsidR="00176CB3" w:rsidRPr="00363B7B">
        <w:t xml:space="preserve"> 2013).</w:t>
      </w:r>
      <w:r w:rsidR="003529B8" w:rsidRPr="00363B7B">
        <w:t xml:space="preserve"> </w:t>
      </w:r>
      <w:r w:rsidR="00171C60" w:rsidRPr="00363B7B">
        <w:t xml:space="preserve">Apprenticeship </w:t>
      </w:r>
      <w:r w:rsidR="00181526" w:rsidRPr="00363B7B">
        <w:t xml:space="preserve">field officers </w:t>
      </w:r>
      <w:r w:rsidR="00171C60" w:rsidRPr="00363B7B">
        <w:t>are responsible for giving regulatory advice and support to apprentices and trainees and their employers,</w:t>
      </w:r>
      <w:r w:rsidR="001476A5">
        <w:t xml:space="preserve"> such as investigating disputes</w:t>
      </w:r>
      <w:r w:rsidR="00171C60" w:rsidRPr="00363B7B">
        <w:t xml:space="preserve"> and providing counselling (</w:t>
      </w:r>
      <w:r w:rsidR="00AB2278" w:rsidRPr="00363B7B">
        <w:t>D</w:t>
      </w:r>
      <w:r w:rsidR="00AB2278">
        <w:t>epartment of Education and Early Childhood Development</w:t>
      </w:r>
      <w:r w:rsidR="00171C60" w:rsidRPr="00363B7B">
        <w:t xml:space="preserve"> 2013).</w:t>
      </w:r>
    </w:p>
    <w:p w:rsidR="00E35DD0" w:rsidRDefault="003529B8" w:rsidP="007E2E27">
      <w:pPr>
        <w:pStyle w:val="Heading3"/>
      </w:pPr>
      <w:r>
        <w:t>Consider alternative</w:t>
      </w:r>
      <w:r w:rsidR="000403A8">
        <w:t xml:space="preserve"> apprenticeship model</w:t>
      </w:r>
      <w:r>
        <w:t>s</w:t>
      </w:r>
    </w:p>
    <w:p w:rsidR="002A161D" w:rsidRPr="002A161D" w:rsidRDefault="002A161D" w:rsidP="000D5AD2">
      <w:pPr>
        <w:pStyle w:val="Textlessbefore"/>
      </w:pPr>
      <w:r w:rsidRPr="002A161D">
        <w:t xml:space="preserve">The results from the literature review suggest that the current system </w:t>
      </w:r>
      <w:r w:rsidR="00AB2278">
        <w:t xml:space="preserve">displays weaknesses </w:t>
      </w:r>
      <w:r w:rsidRPr="002A161D">
        <w:t>that cannot easily be</w:t>
      </w:r>
      <w:r w:rsidR="00AB2278">
        <w:t xml:space="preserve"> addressed</w:t>
      </w:r>
      <w:r w:rsidRPr="002A161D">
        <w:t>, such as the prevalence of small employers, and that perhaps alternative models should be considered.</w:t>
      </w:r>
    </w:p>
    <w:p w:rsidR="007E2E27" w:rsidRDefault="00AB2278" w:rsidP="007E2E27">
      <w:pPr>
        <w:pStyle w:val="Text"/>
      </w:pPr>
      <w:r>
        <w:t>It</w:t>
      </w:r>
      <w:r w:rsidR="007E2E27">
        <w:t xml:space="preserve"> could </w:t>
      </w:r>
      <w:r>
        <w:t xml:space="preserve">be </w:t>
      </w:r>
      <w:r w:rsidR="007E2E27">
        <w:t>argue</w:t>
      </w:r>
      <w:r>
        <w:t>d</w:t>
      </w:r>
      <w:r w:rsidR="007E2E27">
        <w:t xml:space="preserve"> that the best </w:t>
      </w:r>
      <w:r w:rsidR="00AC193F">
        <w:t xml:space="preserve">practice </w:t>
      </w:r>
      <w:r w:rsidR="007E2E27">
        <w:t xml:space="preserve">employers are similar to a training provider in many respects, </w:t>
      </w:r>
      <w:r w:rsidR="000E6293">
        <w:t>in that</w:t>
      </w:r>
      <w:r w:rsidR="007E2E27">
        <w:t xml:space="preserve"> they have sever</w:t>
      </w:r>
      <w:r w:rsidR="00C43D11">
        <w:t>al apprentices employed at once</w:t>
      </w:r>
      <w:r w:rsidR="007E2E27">
        <w:t xml:space="preserve"> and offer formal </w:t>
      </w:r>
      <w:r>
        <w:t>and organised training program</w:t>
      </w:r>
      <w:r w:rsidR="007E2E27">
        <w:t xml:space="preserve">s. </w:t>
      </w:r>
      <w:r w:rsidR="00B06370">
        <w:t xml:space="preserve">Given that </w:t>
      </w:r>
      <w:r w:rsidR="00AC193F">
        <w:t>most</w:t>
      </w:r>
      <w:r w:rsidR="00B06370">
        <w:t xml:space="preserve"> employers do not have the capacity to provide training</w:t>
      </w:r>
      <w:r w:rsidR="000E6293">
        <w:t xml:space="preserve"> at this level</w:t>
      </w:r>
      <w:r w:rsidR="00B06370">
        <w:t xml:space="preserve">, a logical step </w:t>
      </w:r>
      <w:r w:rsidR="00D26080">
        <w:t>could</w:t>
      </w:r>
      <w:r w:rsidR="00B06370">
        <w:t xml:space="preserve"> be to outsource more of the training to providers, easing the pressure on employers. </w:t>
      </w:r>
      <w:r w:rsidR="000E6293">
        <w:t>The</w:t>
      </w:r>
      <w:r w:rsidR="007E2E27">
        <w:t xml:space="preserve"> alternativ</w:t>
      </w:r>
      <w:r>
        <w:t xml:space="preserve">e model suggested by Nechvoglod, Karmel and Saunders </w:t>
      </w:r>
      <w:r w:rsidR="007E2E27">
        <w:t>(2009)</w:t>
      </w:r>
      <w:r w:rsidR="005416A4">
        <w:t>, which includes two year</w:t>
      </w:r>
      <w:r w:rsidR="009D07FB">
        <w:t>s of off-the-job training followed by two years of on-the-job training,</w:t>
      </w:r>
      <w:r w:rsidR="007E2E27">
        <w:t xml:space="preserve"> </w:t>
      </w:r>
      <w:r w:rsidR="000E6293">
        <w:t>appears</w:t>
      </w:r>
      <w:r w:rsidR="007E2E27">
        <w:t xml:space="preserve"> worthy of consideration.</w:t>
      </w:r>
      <w:r w:rsidR="00D26080">
        <w:t xml:space="preserve"> Future research could assess </w:t>
      </w:r>
      <w:r>
        <w:t>the feasibility of such a model</w:t>
      </w:r>
      <w:r w:rsidR="00D26080">
        <w:t xml:space="preserve"> and </w:t>
      </w:r>
      <w:r w:rsidR="00322891">
        <w:t>the</w:t>
      </w:r>
      <w:r w:rsidR="00D26080">
        <w:t xml:space="preserve"> potential for </w:t>
      </w:r>
      <w:r w:rsidR="00C43D11">
        <w:t>the development of a trial program</w:t>
      </w:r>
      <w:r w:rsidR="00D26080">
        <w:t>.</w:t>
      </w:r>
    </w:p>
    <w:p w:rsidR="00EC1581" w:rsidRDefault="005416A4" w:rsidP="0051788F">
      <w:pPr>
        <w:pStyle w:val="Text"/>
      </w:pPr>
      <w:r>
        <w:t xml:space="preserve">Another advantage of </w:t>
      </w:r>
      <w:r w:rsidR="000E6293">
        <w:t>Nechvoglod</w:t>
      </w:r>
      <w:r w:rsidR="00AB2278">
        <w:t>,</w:t>
      </w:r>
      <w:r w:rsidR="000E6293">
        <w:t xml:space="preserve"> </w:t>
      </w:r>
      <w:r w:rsidR="00AB2278">
        <w:t>Karmel and Saunders</w:t>
      </w:r>
      <w:r w:rsidR="00841F93">
        <w:t>’</w:t>
      </w:r>
      <w:r w:rsidR="00AB2278">
        <w:t xml:space="preserve">s </w:t>
      </w:r>
      <w:r w:rsidR="000E6293">
        <w:t xml:space="preserve">(2009) alternative </w:t>
      </w:r>
      <w:r w:rsidR="009D07FB">
        <w:t xml:space="preserve">training model is that employer incentive payments may no longer be required. Research found that apprentices are </w:t>
      </w:r>
      <w:r w:rsidR="000E6293">
        <w:t xml:space="preserve">typically </w:t>
      </w:r>
      <w:r w:rsidR="009D07FB">
        <w:t xml:space="preserve">a direct cost </w:t>
      </w:r>
      <w:r w:rsidR="000E6293">
        <w:t>to employers for</w:t>
      </w:r>
      <w:r w:rsidR="00AB2278">
        <w:t xml:space="preserve"> the first two years</w:t>
      </w:r>
      <w:r w:rsidR="009D07FB">
        <w:t xml:space="preserve"> and become more profitable in the final two years of t</w:t>
      </w:r>
      <w:r w:rsidR="00C43D11">
        <w:t>heir apprenticeship. If the two-</w:t>
      </w:r>
      <w:r w:rsidR="009D07FB">
        <w:t xml:space="preserve">year </w:t>
      </w:r>
      <w:r w:rsidR="00841F93">
        <w:t>‘</w:t>
      </w:r>
      <w:r w:rsidR="009D07FB">
        <w:t>direct cost</w:t>
      </w:r>
      <w:r w:rsidR="00841F93">
        <w:t>’</w:t>
      </w:r>
      <w:r w:rsidR="009D07FB">
        <w:t xml:space="preserve"> period was avoided altogether, employers may be more willing to take on apprentices without </w:t>
      </w:r>
      <w:r w:rsidR="00C43D11">
        <w:t>requiring</w:t>
      </w:r>
      <w:r w:rsidR="009D07FB">
        <w:t xml:space="preserve"> any added sweeteners. Instead, the funds currently used for incentive payments could be put towards </w:t>
      </w:r>
      <w:r w:rsidR="00AC193F">
        <w:t xml:space="preserve">funding </w:t>
      </w:r>
      <w:r w:rsidR="000E6293">
        <w:t xml:space="preserve">the expanded </w:t>
      </w:r>
      <w:r w:rsidR="009D07FB">
        <w:t>off-the-job training</w:t>
      </w:r>
      <w:r w:rsidR="000E6293">
        <w:t xml:space="preserve"> component</w:t>
      </w:r>
      <w:r w:rsidR="00EC1581">
        <w:t>.</w:t>
      </w:r>
    </w:p>
    <w:p w:rsidR="001D526C" w:rsidRDefault="00AB2278" w:rsidP="0051788F">
      <w:pPr>
        <w:pStyle w:val="Text"/>
      </w:pPr>
      <w:r>
        <w:t>Very recently, in the 2013—</w:t>
      </w:r>
      <w:r w:rsidR="00EC1581" w:rsidRPr="00363B7B">
        <w:t xml:space="preserve">14 Budget, the government announced its </w:t>
      </w:r>
      <w:r w:rsidR="00841F93">
        <w:t>‘</w:t>
      </w:r>
      <w:r w:rsidR="00EC1581" w:rsidRPr="00363B7B">
        <w:t>Alternative Pathways to the Trades</w:t>
      </w:r>
      <w:r w:rsidR="00841F93">
        <w:t>’</w:t>
      </w:r>
      <w:r w:rsidR="00EC1581" w:rsidRPr="00363B7B">
        <w:t xml:space="preserve"> project, which aims to trial alternative approaches to traditional apprenticeships (Australian Government 2013c). </w:t>
      </w:r>
      <w:r>
        <w:t>S</w:t>
      </w:r>
      <w:r w:rsidR="00EC1581" w:rsidRPr="00363B7B">
        <w:t>peed</w:t>
      </w:r>
      <w:r>
        <w:t>ing</w:t>
      </w:r>
      <w:r w:rsidR="00EC1581" w:rsidRPr="00363B7B">
        <w:t xml:space="preserve"> up the process via which skilled tradespeople become qualified</w:t>
      </w:r>
      <w:r w:rsidRPr="00AB2278">
        <w:t xml:space="preserve"> </w:t>
      </w:r>
      <w:r>
        <w:t>is t</w:t>
      </w:r>
      <w:r w:rsidRPr="00363B7B">
        <w:t>he r</w:t>
      </w:r>
      <w:r>
        <w:t>ationale behind the scheme</w:t>
      </w:r>
      <w:r w:rsidR="00EC1581" w:rsidRPr="00363B7B">
        <w:t>.</w:t>
      </w:r>
      <w:r w:rsidR="003529B8">
        <w:t xml:space="preserve"> </w:t>
      </w:r>
      <w:r w:rsidR="00363B7B">
        <w:t xml:space="preserve">If some of the alternative approaches trialled are deemed successful, this </w:t>
      </w:r>
      <w:r w:rsidR="003529B8">
        <w:t>project may lead to alternative apprenticeship models.</w:t>
      </w:r>
    </w:p>
    <w:p w:rsidR="001D526C" w:rsidRDefault="001D526C">
      <w:pPr>
        <w:rPr>
          <w:rFonts w:ascii="Trebuchet MS" w:hAnsi="Trebuchet MS"/>
          <w:sz w:val="19"/>
          <w:szCs w:val="20"/>
          <w:lang w:eastAsia="en-US"/>
        </w:rPr>
      </w:pPr>
      <w:r>
        <w:br w:type="page"/>
      </w:r>
    </w:p>
    <w:p w:rsidR="00E811C3" w:rsidRDefault="00E811C3" w:rsidP="00E811C3">
      <w:pPr>
        <w:pStyle w:val="Heading1"/>
      </w:pPr>
      <w:bookmarkStart w:id="142" w:name="_Toc377040327"/>
      <w:r>
        <w:lastRenderedPageBreak/>
        <w:t>References</w:t>
      </w:r>
      <w:bookmarkEnd w:id="72"/>
      <w:bookmarkEnd w:id="73"/>
      <w:bookmarkEnd w:id="74"/>
      <w:bookmarkEnd w:id="142"/>
    </w:p>
    <w:p w:rsidR="00461354" w:rsidRDefault="00461354" w:rsidP="00461354">
      <w:pPr>
        <w:pStyle w:val="References"/>
      </w:pPr>
      <w:r>
        <w:t xml:space="preserve">ABS (Australian Bureau of Statistics) 2013, </w:t>
      </w:r>
      <w:r>
        <w:rPr>
          <w:i/>
        </w:rPr>
        <w:t>Labour f</w:t>
      </w:r>
      <w:r w:rsidRPr="005E5703">
        <w:rPr>
          <w:i/>
        </w:rPr>
        <w:t>orce, Australia, detailed, quarterly, Feb</w:t>
      </w:r>
      <w:r>
        <w:rPr>
          <w:i/>
        </w:rPr>
        <w:t>ruary</w:t>
      </w:r>
      <w:r w:rsidRPr="005E5703">
        <w:rPr>
          <w:i/>
        </w:rPr>
        <w:t xml:space="preserve"> 2013</w:t>
      </w:r>
      <w:r>
        <w:t>, cat.no.6291.0.55.003, ABS, Canberra.</w:t>
      </w:r>
    </w:p>
    <w:p w:rsidR="000A3CFC" w:rsidRDefault="00C44837" w:rsidP="00810B32">
      <w:pPr>
        <w:pStyle w:val="References"/>
      </w:pPr>
      <w:r>
        <w:t xml:space="preserve">Ai Group 2007, </w:t>
      </w:r>
      <w:proofErr w:type="gramStart"/>
      <w:r w:rsidR="000A3CFC" w:rsidRPr="000A3CFC">
        <w:rPr>
          <w:i/>
        </w:rPr>
        <w:t>A</w:t>
      </w:r>
      <w:proofErr w:type="gramEnd"/>
      <w:r w:rsidR="000A3CFC" w:rsidRPr="000A3CFC">
        <w:rPr>
          <w:i/>
        </w:rPr>
        <w:t xml:space="preserve"> guide to managing the first 100 days of an apprenticeship: a practical approach</w:t>
      </w:r>
      <w:r w:rsidR="000A3CFC">
        <w:t xml:space="preserve">, </w:t>
      </w:r>
      <w:r>
        <w:t>Department of Education, Science and Training, Australian Industry Group &amp; Australian Industry Group Training Services</w:t>
      </w:r>
      <w:r w:rsidR="000A3CFC">
        <w:t>, North Sydney, viewed 18 Jun</w:t>
      </w:r>
      <w:r w:rsidR="00AB2278">
        <w:t>e</w:t>
      </w:r>
      <w:r w:rsidR="000A3CFC">
        <w:t xml:space="preserve"> 2013, </w:t>
      </w:r>
      <w:r w:rsidR="00E41459">
        <w:t>&lt;</w:t>
      </w:r>
      <w:r w:rsidR="000A3CFC">
        <w:t>http://www.aigts.com.au/UserFiles/File/</w:t>
      </w:r>
      <w:r w:rsidR="000D5AD2">
        <w:t xml:space="preserve"> </w:t>
      </w:r>
      <w:r w:rsidR="000A3CFC">
        <w:t>6128_Reduc_non_c_rates_webfinal.pdf&gt;.</w:t>
      </w:r>
    </w:p>
    <w:p w:rsidR="00BB5797" w:rsidRDefault="00BB5797" w:rsidP="00BB5797">
      <w:pPr>
        <w:pStyle w:val="References"/>
      </w:pPr>
      <w:r>
        <w:t>Apprenticeships for the 21</w:t>
      </w:r>
      <w:r w:rsidRPr="000D5AD2">
        <w:t>st</w:t>
      </w:r>
      <w:r>
        <w:t xml:space="preserve"> Century Expert Panel 2011, </w:t>
      </w:r>
      <w:proofErr w:type="gramStart"/>
      <w:r>
        <w:rPr>
          <w:i/>
        </w:rPr>
        <w:t>A</w:t>
      </w:r>
      <w:proofErr w:type="gramEnd"/>
      <w:r>
        <w:rPr>
          <w:i/>
        </w:rPr>
        <w:t xml:space="preserve"> shared responsibility: a</w:t>
      </w:r>
      <w:r w:rsidRPr="00EF42DE">
        <w:rPr>
          <w:i/>
        </w:rPr>
        <w:t>pprenticeships for the 21</w:t>
      </w:r>
      <w:r w:rsidRPr="00AB2278">
        <w:rPr>
          <w:i/>
        </w:rPr>
        <w:t>st</w:t>
      </w:r>
      <w:r w:rsidRPr="00EF42DE">
        <w:rPr>
          <w:i/>
        </w:rPr>
        <w:t xml:space="preserve"> century</w:t>
      </w:r>
      <w:r>
        <w:t>, final report, viewed 18 April 2013, &lt;</w:t>
      </w:r>
      <w:r w:rsidRPr="00EF42DE">
        <w:t>http://www.australianapprenticeships.gov.au/</w:t>
      </w:r>
      <w:r w:rsidR="000D5AD2">
        <w:t xml:space="preserve"> </w:t>
      </w:r>
      <w:r w:rsidRPr="00EF42DE">
        <w:t>publications/shared-responsibili</w:t>
      </w:r>
      <w:r>
        <w:t>ty-apprenticeships-21st-century&gt;.</w:t>
      </w:r>
    </w:p>
    <w:p w:rsidR="00C561CE" w:rsidRDefault="00C561CE" w:rsidP="00810B32">
      <w:pPr>
        <w:pStyle w:val="References"/>
      </w:pPr>
      <w:r>
        <w:t>Australian Government 2013</w:t>
      </w:r>
      <w:r w:rsidR="00D805E0">
        <w:t>a</w:t>
      </w:r>
      <w:r>
        <w:t xml:space="preserve">, </w:t>
      </w:r>
      <w:r w:rsidRPr="00C561CE">
        <w:rPr>
          <w:i/>
        </w:rPr>
        <w:t>Australian Apprenticeships Advisers Program</w:t>
      </w:r>
      <w:r>
        <w:t xml:space="preserve">, viewed 29 July 2013, </w:t>
      </w:r>
      <w:r w:rsidR="00D805E0">
        <w:t>&lt;</w:t>
      </w:r>
      <w:bookmarkStart w:id="143" w:name="OLE_LINK28"/>
      <w:bookmarkStart w:id="144" w:name="OLE_LINK29"/>
      <w:bookmarkStart w:id="145" w:name="OLE_LINK30"/>
      <w:r w:rsidRPr="00C561CE">
        <w:t>http://www.australianapprenticeships.gov.au/program/australian-apprenticeships-advisers-program</w:t>
      </w:r>
      <w:bookmarkEnd w:id="143"/>
      <w:bookmarkEnd w:id="144"/>
      <w:bookmarkEnd w:id="145"/>
      <w:r w:rsidR="00D805E0">
        <w:t>&gt;.</w:t>
      </w:r>
    </w:p>
    <w:p w:rsidR="00C561CE" w:rsidRDefault="000D5AD2" w:rsidP="00810B32">
      <w:pPr>
        <w:pStyle w:val="References"/>
      </w:pPr>
      <w:r>
        <w:t>——</w:t>
      </w:r>
      <w:r w:rsidR="00C561CE">
        <w:t>2013</w:t>
      </w:r>
      <w:r w:rsidR="00D805E0">
        <w:t>b</w:t>
      </w:r>
      <w:r w:rsidR="00C561CE">
        <w:t xml:space="preserve">, </w:t>
      </w:r>
      <w:r w:rsidR="00C561CE" w:rsidRPr="00C561CE">
        <w:rPr>
          <w:i/>
        </w:rPr>
        <w:t xml:space="preserve">Australian Apprenticeships Mentoring </w:t>
      </w:r>
      <w:r w:rsidR="00D805E0">
        <w:rPr>
          <w:i/>
        </w:rPr>
        <w:t>Program,</w:t>
      </w:r>
      <w:r w:rsidR="00C561CE">
        <w:t xml:space="preserve"> viewed 29 July 2013, &lt;</w:t>
      </w:r>
      <w:r w:rsidR="00D805E0" w:rsidRPr="00D805E0">
        <w:t>http://www.australianapprenticeships.gov.au/program/australian-apprenticeships-mentoring-program</w:t>
      </w:r>
      <w:r w:rsidR="00C561CE">
        <w:t>&gt;.</w:t>
      </w:r>
    </w:p>
    <w:p w:rsidR="00E83690" w:rsidRDefault="000D5AD2" w:rsidP="00E83690">
      <w:pPr>
        <w:pStyle w:val="References"/>
      </w:pPr>
      <w:r>
        <w:t>——</w:t>
      </w:r>
      <w:r w:rsidR="00E83690" w:rsidRPr="00E83690">
        <w:t xml:space="preserve">2013c, </w:t>
      </w:r>
      <w:r w:rsidR="00E83690" w:rsidRPr="00E2768C">
        <w:rPr>
          <w:i/>
        </w:rPr>
        <w:t xml:space="preserve">Alternative Pathways to the Trades </w:t>
      </w:r>
      <w:r w:rsidR="00FE0C8F">
        <w:rPr>
          <w:i/>
        </w:rPr>
        <w:t>—</w:t>
      </w:r>
      <w:r w:rsidR="00E83690" w:rsidRPr="00E2768C">
        <w:rPr>
          <w:i/>
        </w:rPr>
        <w:t xml:space="preserve"> Pilot</w:t>
      </w:r>
      <w:r w:rsidR="00E83690" w:rsidRPr="00E83690">
        <w:t>, viewed 17 September 2013, &lt;http://www.australianapprenticeships.gov.au/publications/alternative-pathways-trades-pilot&gt;.</w:t>
      </w:r>
    </w:p>
    <w:p w:rsidR="00D82812" w:rsidRDefault="001B089F" w:rsidP="00810B32">
      <w:pPr>
        <w:pStyle w:val="References"/>
      </w:pPr>
      <w:r>
        <w:t>Ball, K &amp;</w:t>
      </w:r>
      <w:r w:rsidR="00D82812">
        <w:t xml:space="preserve"> John, D 2005, </w:t>
      </w:r>
      <w:r w:rsidR="00D82812" w:rsidRPr="000A3CFC">
        <w:rPr>
          <w:i/>
        </w:rPr>
        <w:t>Apprentice and trainee completion rates</w:t>
      </w:r>
      <w:r w:rsidR="00D82812">
        <w:t>, NCVER</w:t>
      </w:r>
      <w:r w:rsidR="00A32273">
        <w:t xml:space="preserve"> Apprentice and Trainee C</w:t>
      </w:r>
      <w:r>
        <w:t>ollection</w:t>
      </w:r>
      <w:r w:rsidR="00D82812">
        <w:t>,</w:t>
      </w:r>
      <w:r>
        <w:t xml:space="preserve"> NCVER, Adelaide, viewed 18 June 2013, &lt;</w:t>
      </w:r>
      <w:r w:rsidRPr="001B089F">
        <w:t>http://www.voced.edu.au/content/ngv2519</w:t>
      </w:r>
      <w:r>
        <w:t>&gt;.</w:t>
      </w:r>
    </w:p>
    <w:p w:rsidR="00CD1A11" w:rsidRDefault="00CD1A11" w:rsidP="00810B32">
      <w:pPr>
        <w:pStyle w:val="References"/>
      </w:pPr>
      <w:r>
        <w:t>Bardon</w:t>
      </w:r>
      <w:r w:rsidR="00A32273">
        <w:t>,</w:t>
      </w:r>
      <w:r>
        <w:t xml:space="preserve"> B 2010, </w:t>
      </w:r>
      <w:proofErr w:type="gramStart"/>
      <w:r w:rsidRPr="00CD1A11">
        <w:rPr>
          <w:i/>
        </w:rPr>
        <w:t>The</w:t>
      </w:r>
      <w:proofErr w:type="gramEnd"/>
      <w:r w:rsidRPr="00CD1A11">
        <w:rPr>
          <w:i/>
        </w:rPr>
        <w:t xml:space="preserve"> future of trade apprenticeships in Australia</w:t>
      </w:r>
      <w:r>
        <w:t>, Central West Group Apprentices, Bathurst.</w:t>
      </w:r>
    </w:p>
    <w:p w:rsidR="00AC40C6" w:rsidRDefault="00AC40C6" w:rsidP="00AC40C6">
      <w:pPr>
        <w:pStyle w:val="References"/>
      </w:pPr>
      <w:r w:rsidRPr="004F4D6C">
        <w:t xml:space="preserve">Bednarz, A 2012, </w:t>
      </w:r>
      <w:proofErr w:type="gramStart"/>
      <w:r w:rsidRPr="004F4D6C">
        <w:rPr>
          <w:i/>
        </w:rPr>
        <w:t>Lifting</w:t>
      </w:r>
      <w:proofErr w:type="gramEnd"/>
      <w:r w:rsidRPr="004F4D6C">
        <w:rPr>
          <w:i/>
        </w:rPr>
        <w:t xml:space="preserve"> the lid on completion rates in the VET sector: how they are defined and derived</w:t>
      </w:r>
      <w:r>
        <w:t>, NCVER, Adelaide,</w:t>
      </w:r>
      <w:r w:rsidR="00FE0C8F">
        <w:t xml:space="preserve"> </w:t>
      </w:r>
      <w:r w:rsidR="00FE0C8F" w:rsidRPr="00185DDC">
        <w:t xml:space="preserve">viewed </w:t>
      </w:r>
      <w:r w:rsidR="00185DDC">
        <w:t>18 April 2013</w:t>
      </w:r>
      <w:r w:rsidR="00FE0C8F" w:rsidRPr="00185DDC">
        <w:t>,</w:t>
      </w:r>
      <w:r>
        <w:t xml:space="preserve"> &lt;</w:t>
      </w:r>
      <w:r w:rsidRPr="004F4D6C">
        <w:t>http://www.ncver.edu.au/publications/2467.html</w:t>
      </w:r>
      <w:r>
        <w:t>&gt;.</w:t>
      </w:r>
    </w:p>
    <w:p w:rsidR="00267E7E" w:rsidRDefault="00267E7E" w:rsidP="00810B32">
      <w:pPr>
        <w:pStyle w:val="References"/>
      </w:pPr>
      <w:r>
        <w:t xml:space="preserve">Cully, M &amp; Curtain, R 2001, </w:t>
      </w:r>
      <w:r w:rsidRPr="00267E7E">
        <w:rPr>
          <w:i/>
        </w:rPr>
        <w:t>Reasons for new apprentices</w:t>
      </w:r>
      <w:r w:rsidR="00841F93">
        <w:rPr>
          <w:i/>
        </w:rPr>
        <w:t>’</w:t>
      </w:r>
      <w:r w:rsidRPr="00267E7E">
        <w:rPr>
          <w:i/>
        </w:rPr>
        <w:t xml:space="preserve"> non-completions</w:t>
      </w:r>
      <w:r>
        <w:t>, NCVER, Adelaide, viewed 18</w:t>
      </w:r>
      <w:r w:rsidR="000D5AD2">
        <w:t> </w:t>
      </w:r>
      <w:r>
        <w:t xml:space="preserve">June 2013, </w:t>
      </w:r>
      <w:proofErr w:type="gramStart"/>
      <w:r>
        <w:t>&lt;</w:t>
      </w:r>
      <w:bookmarkStart w:id="146" w:name="OLE_LINK24"/>
      <w:bookmarkStart w:id="147" w:name="OLE_LINK25"/>
      <w:proofErr w:type="gramEnd"/>
      <w:r w:rsidRPr="00267E7E">
        <w:t>http://www.ncver.edu.au/publications/685.html</w:t>
      </w:r>
      <w:bookmarkEnd w:id="146"/>
      <w:bookmarkEnd w:id="147"/>
      <w:r>
        <w:t>&gt;.</w:t>
      </w:r>
    </w:p>
    <w:p w:rsidR="00E83690" w:rsidRPr="00E2768C" w:rsidRDefault="00E83690" w:rsidP="00E2768C">
      <w:pPr>
        <w:pStyle w:val="References"/>
      </w:pPr>
      <w:r w:rsidRPr="00E2768C">
        <w:t>Department of Education and Early Childhood Development Victoria</w:t>
      </w:r>
      <w:r w:rsidR="00EC1581">
        <w:t xml:space="preserve"> 2013</w:t>
      </w:r>
      <w:r w:rsidRPr="00E2768C">
        <w:t xml:space="preserve">, </w:t>
      </w:r>
      <w:r w:rsidRPr="00176CB3">
        <w:rPr>
          <w:i/>
        </w:rPr>
        <w:t xml:space="preserve">Field and </w:t>
      </w:r>
      <w:r w:rsidR="00A32273" w:rsidRPr="00176CB3">
        <w:rPr>
          <w:i/>
        </w:rPr>
        <w:t>support officers</w:t>
      </w:r>
      <w:r w:rsidR="00A32273" w:rsidRPr="00E2768C">
        <w:t xml:space="preserve">, </w:t>
      </w:r>
      <w:r w:rsidRPr="00E2768C">
        <w:t>viewed 17 September 2013, &lt;http://www.education.vic.gov.au/training/learners/apprentices/</w:t>
      </w:r>
      <w:r w:rsidR="000D5AD2">
        <w:t xml:space="preserve"> </w:t>
      </w:r>
      <w:r w:rsidRPr="00E2768C">
        <w:t>Pages/officers.aspx&gt;.</w:t>
      </w:r>
    </w:p>
    <w:p w:rsidR="00D82812" w:rsidRDefault="00D82812" w:rsidP="00810B32">
      <w:pPr>
        <w:pStyle w:val="References"/>
      </w:pPr>
      <w:r>
        <w:t xml:space="preserve">Dickie, M, McDonald, R </w:t>
      </w:r>
      <w:r w:rsidR="00A32273">
        <w:t>&amp;</w:t>
      </w:r>
      <w:r>
        <w:t xml:space="preserve"> </w:t>
      </w:r>
      <w:proofErr w:type="spellStart"/>
      <w:r>
        <w:t>Pedic</w:t>
      </w:r>
      <w:proofErr w:type="spellEnd"/>
      <w:r>
        <w:t>, F 2011</w:t>
      </w:r>
      <w:r w:rsidRPr="00D82812">
        <w:rPr>
          <w:i/>
        </w:rPr>
        <w:t>, A fair deal: apprentices and their employers in NSW: integrated research report</w:t>
      </w:r>
      <w:r>
        <w:t>, NSW Board of Vocational Education and Training, Sydney, viewed 18 Jun</w:t>
      </w:r>
      <w:r w:rsidR="00A32273">
        <w:t>e</w:t>
      </w:r>
      <w:r>
        <w:t xml:space="preserve"> 2013, &lt;http://www.bvet.nsw.gov.au/pdf/afairdealfinalreport.pdf&gt;.</w:t>
      </w:r>
    </w:p>
    <w:p w:rsidR="0070197B" w:rsidRDefault="0070197B" w:rsidP="00810B32">
      <w:pPr>
        <w:pStyle w:val="References"/>
      </w:pPr>
      <w:r>
        <w:t xml:space="preserve">Energy Skills Queensland 2009, </w:t>
      </w:r>
      <w:r w:rsidRPr="0070197B">
        <w:rPr>
          <w:i/>
        </w:rPr>
        <w:t>Addressing sk</w:t>
      </w:r>
      <w:r w:rsidR="009F3DB5">
        <w:rPr>
          <w:i/>
        </w:rPr>
        <w:t xml:space="preserve">ills wastage in apprenticeships </w:t>
      </w:r>
      <w:r w:rsidR="00A32273">
        <w:rPr>
          <w:i/>
        </w:rPr>
        <w:t>—</w:t>
      </w:r>
      <w:r w:rsidRPr="0070197B">
        <w:rPr>
          <w:i/>
        </w:rPr>
        <w:t xml:space="preserve"> non completion rates</w:t>
      </w:r>
      <w:r>
        <w:t xml:space="preserve">, </w:t>
      </w:r>
      <w:r w:rsidR="00A87F81">
        <w:t xml:space="preserve">Energy Skills Queensland </w:t>
      </w:r>
      <w:r w:rsidR="00A32273">
        <w:t xml:space="preserve">research report </w:t>
      </w:r>
      <w:r w:rsidR="000D5AD2">
        <w:t>n</w:t>
      </w:r>
      <w:r w:rsidR="00A87F81">
        <w:t>o.1</w:t>
      </w:r>
      <w:r>
        <w:t xml:space="preserve"> </w:t>
      </w:r>
      <w:r w:rsidR="00A32273">
        <w:t>—</w:t>
      </w:r>
      <w:r w:rsidR="00A87F81">
        <w:t xml:space="preserve"> </w:t>
      </w:r>
      <w:r>
        <w:t>March 2009, viewed 18 June 2013, &lt;</w:t>
      </w:r>
      <w:r w:rsidRPr="0070197B">
        <w:t>http://www.energyskillsqld.com.au/wp-content/uploads/2011/12/paper-010209-research-report-for-skills-wastage-apprenticeships.pdf</w:t>
      </w:r>
      <w:r>
        <w:t>&gt;.</w:t>
      </w:r>
    </w:p>
    <w:p w:rsidR="009F3DB5" w:rsidRDefault="009F3DB5" w:rsidP="009F3DB5">
      <w:pPr>
        <w:pStyle w:val="References"/>
      </w:pPr>
      <w:r>
        <w:t xml:space="preserve">Essential Energy 2013, </w:t>
      </w:r>
      <w:r w:rsidR="00A32273">
        <w:rPr>
          <w:i/>
        </w:rPr>
        <w:t>Electrical apprenticeships —</w:t>
      </w:r>
      <w:r w:rsidRPr="00E1047D">
        <w:rPr>
          <w:i/>
        </w:rPr>
        <w:t xml:space="preserve"> recruitment process</w:t>
      </w:r>
      <w:r>
        <w:t>, viewed 29 July 2013, &lt;</w:t>
      </w:r>
      <w:hyperlink r:id="rId16" w:history="1">
        <w:r w:rsidRPr="009F3DB5">
          <w:t>http://www.essentialenergy.com.au/content/apprentice-application-process</w:t>
        </w:r>
      </w:hyperlink>
      <w:r>
        <w:t>&gt;.</w:t>
      </w:r>
    </w:p>
    <w:p w:rsidR="00E2768C" w:rsidRPr="00E83690" w:rsidRDefault="00E2768C" w:rsidP="00E2768C">
      <w:pPr>
        <w:pStyle w:val="References"/>
      </w:pPr>
      <w:r>
        <w:t>Fair Work Commission 2013</w:t>
      </w:r>
      <w:r>
        <w:rPr>
          <w:i/>
        </w:rPr>
        <w:t xml:space="preserve">, </w:t>
      </w:r>
      <w:r w:rsidRPr="00E83690">
        <w:rPr>
          <w:i/>
        </w:rPr>
        <w:t xml:space="preserve">Transitional </w:t>
      </w:r>
      <w:r w:rsidR="00A32273" w:rsidRPr="00E83690">
        <w:rPr>
          <w:i/>
        </w:rPr>
        <w:t xml:space="preserve">review of modern awards </w:t>
      </w:r>
      <w:r w:rsidRPr="00E83690">
        <w:rPr>
          <w:i/>
        </w:rPr>
        <w:t>—</w:t>
      </w:r>
      <w:r>
        <w:rPr>
          <w:i/>
        </w:rPr>
        <w:t xml:space="preserve"> </w:t>
      </w:r>
      <w:r w:rsidR="00FE0C8F" w:rsidRPr="00E83690">
        <w:rPr>
          <w:i/>
        </w:rPr>
        <w:t>apprentices,</w:t>
      </w:r>
      <w:r w:rsidR="00FE0C8F">
        <w:rPr>
          <w:i/>
        </w:rPr>
        <w:t xml:space="preserve"> </w:t>
      </w:r>
      <w:r w:rsidR="00FE0C8F" w:rsidRPr="00E83690">
        <w:rPr>
          <w:i/>
        </w:rPr>
        <w:t>trainees and juniors: common claims</w:t>
      </w:r>
      <w:r>
        <w:rPr>
          <w:i/>
        </w:rPr>
        <w:t>,</w:t>
      </w:r>
      <w:r>
        <w:t xml:space="preserve"> viewed 17 September 2013, &lt;</w:t>
      </w:r>
      <w:r w:rsidRPr="00171C60">
        <w:t>http://www.fwc.gov.au/documents/summaries/</w:t>
      </w:r>
      <w:r w:rsidR="00F059A3">
        <w:t xml:space="preserve"> </w:t>
      </w:r>
      <w:r w:rsidRPr="00171C60">
        <w:t>2013fwcfb5411_summary.htm</w:t>
      </w:r>
      <w:r>
        <w:t>&gt;</w:t>
      </w:r>
      <w:r w:rsidRPr="00E83690">
        <w:t>.</w:t>
      </w:r>
    </w:p>
    <w:p w:rsidR="00C22F34" w:rsidRPr="00C22F34" w:rsidRDefault="00C22F34" w:rsidP="00810B32">
      <w:pPr>
        <w:pStyle w:val="References"/>
      </w:pPr>
      <w:r w:rsidRPr="00C22F34">
        <w:t xml:space="preserve">Harvey, B 2010a, </w:t>
      </w:r>
      <w:r w:rsidRPr="00C22F34">
        <w:rPr>
          <w:i/>
        </w:rPr>
        <w:t>Apprentice and trainee statistics: estimation of contract completion and attrition rates</w:t>
      </w:r>
      <w:r w:rsidRPr="00C22F34">
        <w:t xml:space="preserve">, NCVER, Adelaide, viewed </w:t>
      </w:r>
      <w:r w:rsidR="00636C58">
        <w:t>31 May 2013</w:t>
      </w:r>
      <w:r w:rsidRPr="00C22F34">
        <w:t>, &lt;http://</w:t>
      </w:r>
      <w:hyperlink r:id="rId17" w:history="1">
        <w:r w:rsidRPr="00C22F34">
          <w:t>www.ncver.edu.au/publications/2388.html</w:t>
        </w:r>
      </w:hyperlink>
      <w:r w:rsidRPr="00C22F34">
        <w:t>&gt;.</w:t>
      </w:r>
    </w:p>
    <w:p w:rsidR="00C22F34" w:rsidRDefault="00C22F34" w:rsidP="00810B32">
      <w:pPr>
        <w:pStyle w:val="References"/>
      </w:pPr>
      <w:r w:rsidRPr="00C22F34">
        <w:t xml:space="preserve">——2010b, </w:t>
      </w:r>
      <w:r w:rsidRPr="00C22F34">
        <w:rPr>
          <w:i/>
        </w:rPr>
        <w:t>Estimation of apprentice and trainee statistics</w:t>
      </w:r>
      <w:r w:rsidRPr="00C22F34">
        <w:t xml:space="preserve">, NCVER, Adelaide, viewed </w:t>
      </w:r>
      <w:r w:rsidR="00636C58">
        <w:t>31 May 2013</w:t>
      </w:r>
      <w:r w:rsidRPr="00C22F34">
        <w:t xml:space="preserve">, &lt;http://www.ncver.edu.au/publications/2267.html&gt;. </w:t>
      </w:r>
    </w:p>
    <w:p w:rsidR="00B20EE6" w:rsidRDefault="00B20EE6" w:rsidP="00B20EE6">
      <w:pPr>
        <w:pStyle w:val="References"/>
      </w:pPr>
      <w:r>
        <w:t xml:space="preserve">Huntly Consulting Group 2008, </w:t>
      </w:r>
      <w:r w:rsidRPr="003264D0">
        <w:rPr>
          <w:i/>
        </w:rPr>
        <w:t>Exits from the trades: final report: research into attrition from the trades</w:t>
      </w:r>
      <w:r>
        <w:t>, Exit from the</w:t>
      </w:r>
      <w:r w:rsidR="00A32273">
        <w:t xml:space="preserve"> Trades research project</w:t>
      </w:r>
      <w:r>
        <w:t xml:space="preserve">, </w:t>
      </w:r>
      <w:r w:rsidR="00FC75C4">
        <w:t>Department of Education, Employment and Workplace Relations</w:t>
      </w:r>
      <w:r>
        <w:t>, Canberra, viewed 18 Jun</w:t>
      </w:r>
      <w:r w:rsidR="00A32273">
        <w:t>e</w:t>
      </w:r>
      <w:r>
        <w:t xml:space="preserve"> 2013, &lt;http://pandora.nla.gov.au/pan/92747/20090106-1311/</w:t>
      </w:r>
      <w:r w:rsidR="00F059A3">
        <w:t xml:space="preserve"> </w:t>
      </w:r>
      <w:r>
        <w:t xml:space="preserve">www.dest.gov.au/sectors/training_skills/publications_resources/profiles/FinalReport.pdf&gt;. </w:t>
      </w:r>
    </w:p>
    <w:p w:rsidR="001B089F" w:rsidRPr="004748DD" w:rsidRDefault="001B089F" w:rsidP="004748DD">
      <w:pPr>
        <w:pStyle w:val="References"/>
      </w:pPr>
      <w:r w:rsidRPr="004748DD">
        <w:t xml:space="preserve">Jane Clancy Consulting 2008, </w:t>
      </w:r>
      <w:r w:rsidRPr="004748DD">
        <w:rPr>
          <w:i/>
        </w:rPr>
        <w:t>Apprenticeship completion rates in the building and construction industry</w:t>
      </w:r>
      <w:r w:rsidRPr="004748DD">
        <w:t xml:space="preserve">, Building Industry Consultative Council Industry Advisory Body, </w:t>
      </w:r>
      <w:r w:rsidR="003503EA" w:rsidRPr="004748DD">
        <w:t>Victoria</w:t>
      </w:r>
      <w:r w:rsidRPr="004748DD">
        <w:t>.</w:t>
      </w:r>
    </w:p>
    <w:p w:rsidR="00E00DDA" w:rsidRPr="004748DD" w:rsidRDefault="00E00DDA" w:rsidP="004748DD">
      <w:pPr>
        <w:pStyle w:val="References"/>
      </w:pPr>
      <w:r w:rsidRPr="004748DD">
        <w:t xml:space="preserve">Jones, A </w:t>
      </w:r>
      <w:r w:rsidR="003264D0">
        <w:t>&amp;</w:t>
      </w:r>
      <w:r w:rsidRPr="004748DD">
        <w:t xml:space="preserve"> </w:t>
      </w:r>
      <w:proofErr w:type="spellStart"/>
      <w:r w:rsidRPr="004748DD">
        <w:t>Muthaya</w:t>
      </w:r>
      <w:proofErr w:type="spellEnd"/>
      <w:r w:rsidRPr="004748DD">
        <w:t xml:space="preserve">, R 2011, </w:t>
      </w:r>
      <w:r w:rsidR="00F372A3" w:rsidRPr="004748DD">
        <w:rPr>
          <w:i/>
        </w:rPr>
        <w:t>Final report: m</w:t>
      </w:r>
      <w:r w:rsidRPr="004748DD">
        <w:rPr>
          <w:i/>
        </w:rPr>
        <w:t>entoring for building and construction apprentices and trainees</w:t>
      </w:r>
      <w:r w:rsidRPr="004748DD">
        <w:t>, Purple Infinity Consulting,</w:t>
      </w:r>
      <w:r w:rsidR="00F372A3" w:rsidRPr="004748DD">
        <w:t xml:space="preserve"> Melbourne,</w:t>
      </w:r>
      <w:r w:rsidRPr="004748DD">
        <w:t xml:space="preserve"> viewed 14 June 2013, &lt;http://www.binaryblue.com.au/docs/ApprenticeMentoringReport.pdf&gt;.</w:t>
      </w:r>
    </w:p>
    <w:p w:rsidR="00C22F34" w:rsidRDefault="00C22F34" w:rsidP="00810B32">
      <w:pPr>
        <w:pStyle w:val="References"/>
      </w:pPr>
      <w:r w:rsidRPr="00C22F34">
        <w:t xml:space="preserve">Karmel, T 2011, </w:t>
      </w:r>
      <w:r w:rsidRPr="00C22F34">
        <w:rPr>
          <w:i/>
        </w:rPr>
        <w:t>Individual-based completion rates for apprentices</w:t>
      </w:r>
      <w:r w:rsidRPr="00C22F34">
        <w:t xml:space="preserve">, NCVER, Adelaide, viewed </w:t>
      </w:r>
      <w:r w:rsidR="00636C58">
        <w:t>31 May 2013</w:t>
      </w:r>
      <w:r w:rsidRPr="00C22F34">
        <w:t>, &lt;</w:t>
      </w:r>
      <w:hyperlink r:id="rId18" w:history="1">
        <w:r w:rsidRPr="00C22F34">
          <w:t>http://www.ncver.edu.au/publications/2357.html</w:t>
        </w:r>
      </w:hyperlink>
      <w:r w:rsidRPr="00C22F34">
        <w:t>&gt;.</w:t>
      </w:r>
    </w:p>
    <w:p w:rsidR="00C22F34" w:rsidRPr="00C22F34" w:rsidRDefault="00C22F34" w:rsidP="00810B32">
      <w:pPr>
        <w:pStyle w:val="References"/>
      </w:pPr>
      <w:r w:rsidRPr="00C22F34">
        <w:lastRenderedPageBreak/>
        <w:t xml:space="preserve">Karmel, T &amp; Mlotkowski, P 2010a, </w:t>
      </w:r>
      <w:r w:rsidRPr="00C22F34">
        <w:rPr>
          <w:i/>
        </w:rPr>
        <w:t xml:space="preserve">Estimating apprentice and trainee completion and attrition rates using a </w:t>
      </w:r>
      <w:r w:rsidR="00841F93">
        <w:rPr>
          <w:i/>
        </w:rPr>
        <w:t>‘</w:t>
      </w:r>
      <w:r w:rsidRPr="00C22F34">
        <w:rPr>
          <w:i/>
        </w:rPr>
        <w:t>life tables</w:t>
      </w:r>
      <w:r w:rsidR="00841F93">
        <w:rPr>
          <w:i/>
        </w:rPr>
        <w:t>’</w:t>
      </w:r>
      <w:r w:rsidRPr="00C22F34">
        <w:rPr>
          <w:i/>
        </w:rPr>
        <w:t xml:space="preserve"> approach</w:t>
      </w:r>
      <w:r w:rsidRPr="00C22F34">
        <w:t xml:space="preserve">, NCVER, Adelaide, viewed 8 </w:t>
      </w:r>
      <w:r w:rsidR="008C79F8">
        <w:t>April 2013</w:t>
      </w:r>
      <w:r w:rsidRPr="00C22F34">
        <w:t>, &lt;http://www.ncver.edu.au/publications/</w:t>
      </w:r>
      <w:r w:rsidR="00F059A3">
        <w:t xml:space="preserve"> </w:t>
      </w:r>
      <w:r w:rsidRPr="00C22F34">
        <w:t>2389.html&gt;.</w:t>
      </w:r>
    </w:p>
    <w:p w:rsidR="00C22F34" w:rsidRDefault="00C22F34" w:rsidP="00810B32">
      <w:pPr>
        <w:pStyle w:val="References"/>
      </w:pPr>
      <w:bookmarkStart w:id="148" w:name="OLE_LINK18"/>
      <w:bookmarkStart w:id="149" w:name="OLE_LINK19"/>
      <w:r w:rsidRPr="00C22F34">
        <w:t>——</w:t>
      </w:r>
      <w:bookmarkEnd w:id="148"/>
      <w:bookmarkEnd w:id="149"/>
      <w:r w:rsidRPr="00C22F34">
        <w:t xml:space="preserve">2010b, </w:t>
      </w:r>
      <w:proofErr w:type="gramStart"/>
      <w:r w:rsidRPr="00C22F34">
        <w:rPr>
          <w:i/>
        </w:rPr>
        <w:t>The</w:t>
      </w:r>
      <w:proofErr w:type="gramEnd"/>
      <w:r w:rsidRPr="00C22F34">
        <w:rPr>
          <w:i/>
        </w:rPr>
        <w:t xml:space="preserve"> impact of wages on the probability of completing an apprenticeship or traineeship</w:t>
      </w:r>
      <w:r w:rsidRPr="00C22F34">
        <w:t xml:space="preserve">, NCVER, Adelaide, viewed 8 </w:t>
      </w:r>
      <w:r w:rsidR="008C79F8">
        <w:t>April</w:t>
      </w:r>
      <w:r w:rsidRPr="00C22F34">
        <w:t xml:space="preserve"> 201</w:t>
      </w:r>
      <w:r w:rsidR="008C79F8">
        <w:t>3</w:t>
      </w:r>
      <w:r w:rsidRPr="00C22F34">
        <w:t>, &lt;http://www.ncver.edu.au/publications/2277.html&gt;.</w:t>
      </w:r>
    </w:p>
    <w:p w:rsidR="00EA3A18" w:rsidRDefault="00EA3A18" w:rsidP="00EA3A18">
      <w:pPr>
        <w:pStyle w:val="References"/>
      </w:pPr>
      <w:r w:rsidRPr="00C22F34">
        <w:t>——</w:t>
      </w:r>
      <w:r>
        <w:t xml:space="preserve">2010c, </w:t>
      </w:r>
      <w:r w:rsidRPr="003077C8">
        <w:rPr>
          <w:i/>
        </w:rPr>
        <w:t>How reasons for not completing apprenticeships and traineeships change with duration</w:t>
      </w:r>
      <w:r>
        <w:t>, NCVER, Adelaide, viewed 8 April 2013, &lt;</w:t>
      </w:r>
      <w:r w:rsidRPr="00EA3A18">
        <w:t>http://www.ncver.edu.au/publications/2234.html</w:t>
      </w:r>
      <w:r>
        <w:t>&gt;.</w:t>
      </w:r>
    </w:p>
    <w:p w:rsidR="007C22B2" w:rsidRDefault="007C22B2" w:rsidP="007C22B2">
      <w:pPr>
        <w:pStyle w:val="References"/>
      </w:pPr>
      <w:r>
        <w:t>——2011</w:t>
      </w:r>
      <w:r w:rsidRPr="00C22F34">
        <w:t xml:space="preserve">, </w:t>
      </w:r>
      <w:proofErr w:type="gramStart"/>
      <w:r w:rsidR="002B37DC">
        <w:rPr>
          <w:i/>
        </w:rPr>
        <w:t>The</w:t>
      </w:r>
      <w:proofErr w:type="gramEnd"/>
      <w:r w:rsidR="002B37DC">
        <w:rPr>
          <w:i/>
        </w:rPr>
        <w:t xml:space="preserve"> impact of wages and the likelihood of employment on the probability of completing an apprenticeship or traineeship</w:t>
      </w:r>
      <w:r w:rsidRPr="00C22F34">
        <w:t xml:space="preserve">, NCVER, Adelaide, viewed </w:t>
      </w:r>
      <w:r w:rsidR="002B37DC">
        <w:t xml:space="preserve">30 July </w:t>
      </w:r>
      <w:r w:rsidRPr="00C22F34">
        <w:t>201</w:t>
      </w:r>
      <w:r>
        <w:t>3</w:t>
      </w:r>
      <w:r w:rsidRPr="00C22F34">
        <w:t>, &lt;</w:t>
      </w:r>
      <w:r w:rsidRPr="007C22B2">
        <w:t>http://www.ncver.edu.au/</w:t>
      </w:r>
      <w:r w:rsidR="00F059A3">
        <w:t xml:space="preserve"> </w:t>
      </w:r>
      <w:r w:rsidRPr="007C22B2">
        <w:t>publications/2364.html</w:t>
      </w:r>
      <w:r w:rsidRPr="00C22F34">
        <w:t>&gt;.</w:t>
      </w:r>
    </w:p>
    <w:p w:rsidR="00FC75C4" w:rsidRDefault="00FC75C4" w:rsidP="00FC75C4">
      <w:pPr>
        <w:pStyle w:val="References"/>
      </w:pPr>
      <w:r>
        <w:t xml:space="preserve">Karmel, T &amp; Rice, J 2011, </w:t>
      </w:r>
      <w:r w:rsidRPr="003274FB">
        <w:rPr>
          <w:i/>
        </w:rPr>
        <w:t>The economics of apprenticeships and traineeships</w:t>
      </w:r>
      <w:r>
        <w:t>, NCVER research report 4 for the Apprenticeships for the 21st Century Expert Panel, viewed 19 September 2013, &lt;</w:t>
      </w:r>
      <w:r w:rsidRPr="003274FB">
        <w:t>http://www.australianapprenticeships.gov.au/publications/ncver-report-4-economics-apprenticeships-and-traineeships</w:t>
      </w:r>
      <w:r>
        <w:t>&gt;.</w:t>
      </w:r>
    </w:p>
    <w:p w:rsidR="00FC75C4" w:rsidRDefault="00FC75C4" w:rsidP="00FC75C4">
      <w:pPr>
        <w:pStyle w:val="References"/>
      </w:pPr>
      <w:r>
        <w:t xml:space="preserve">Karmel, T &amp; Roberts, D 2012, </w:t>
      </w:r>
      <w:r w:rsidRPr="00825BB8">
        <w:rPr>
          <w:i/>
        </w:rPr>
        <w:t xml:space="preserve">The role of </w:t>
      </w:r>
      <w:r w:rsidR="00841F93">
        <w:rPr>
          <w:i/>
        </w:rPr>
        <w:t>‘</w:t>
      </w:r>
      <w:r w:rsidRPr="00825BB8">
        <w:rPr>
          <w:i/>
        </w:rPr>
        <w:t>culture</w:t>
      </w:r>
      <w:r w:rsidR="00841F93">
        <w:rPr>
          <w:i/>
        </w:rPr>
        <w:t>’</w:t>
      </w:r>
      <w:r w:rsidRPr="00825BB8">
        <w:rPr>
          <w:i/>
        </w:rPr>
        <w:t xml:space="preserve"> in apprenticeship completions</w:t>
      </w:r>
      <w:r>
        <w:t>, NCVER, Adelaide, viewed 31 May 2013, &lt;</w:t>
      </w:r>
      <w:r w:rsidRPr="00825BB8">
        <w:t>http://www.ncver.edu.au/publications/2498.html</w:t>
      </w:r>
      <w:r>
        <w:t>&gt;.</w:t>
      </w:r>
    </w:p>
    <w:p w:rsidR="00E62A4D" w:rsidRPr="00E62A4D" w:rsidRDefault="00A3063D" w:rsidP="00E62A4D">
      <w:pPr>
        <w:pStyle w:val="References"/>
      </w:pPr>
      <w:r w:rsidRPr="00E62A4D">
        <w:t>Knight</w:t>
      </w:r>
      <w:r w:rsidR="00066E61">
        <w:t>,</w:t>
      </w:r>
      <w:r w:rsidRPr="00E62A4D">
        <w:t xml:space="preserve"> B </w:t>
      </w:r>
      <w:bookmarkStart w:id="150" w:name="OLE_LINK20"/>
      <w:bookmarkStart w:id="151" w:name="OLE_LINK21"/>
      <w:r w:rsidR="00E62A4D" w:rsidRPr="00E62A4D">
        <w:t xml:space="preserve">2008, </w:t>
      </w:r>
      <w:r w:rsidR="00841F93">
        <w:t>‘</w:t>
      </w:r>
      <w:r w:rsidRPr="00FC75C4">
        <w:t>Insights into traditional apprenticeship completions: spin</w:t>
      </w:r>
      <w:r w:rsidRPr="00FC75C4">
        <w:noBreakHyphen/>
        <w:t>offs from a National Training Statistics Committee project</w:t>
      </w:r>
      <w:bookmarkEnd w:id="150"/>
      <w:bookmarkEnd w:id="151"/>
      <w:r w:rsidR="00841F93">
        <w:t>’</w:t>
      </w:r>
      <w:r w:rsidRPr="00E62A4D">
        <w:t xml:space="preserve">, </w:t>
      </w:r>
      <w:r w:rsidR="00E62A4D">
        <w:t xml:space="preserve">presentation at </w:t>
      </w:r>
      <w:r w:rsidR="00FC75C4">
        <w:t>No Frills</w:t>
      </w:r>
      <w:r w:rsidR="00E62A4D" w:rsidRPr="00E62A4D">
        <w:t xml:space="preserve"> 2008: 17th National Vocational Education and Training Research Conference, Univer</w:t>
      </w:r>
      <w:r w:rsidR="00FC75C4">
        <w:t>sity of Tasmania, Launceston, 9—</w:t>
      </w:r>
      <w:r w:rsidR="00E62A4D" w:rsidRPr="00E62A4D">
        <w:t>11 July 2008</w:t>
      </w:r>
      <w:r w:rsidR="00E62A4D">
        <w:t>.</w:t>
      </w:r>
    </w:p>
    <w:p w:rsidR="003131AC" w:rsidRDefault="003131AC" w:rsidP="001B089F">
      <w:pPr>
        <w:pStyle w:val="References"/>
      </w:pPr>
      <w:proofErr w:type="spellStart"/>
      <w:r w:rsidRPr="003131AC">
        <w:t>Laporte</w:t>
      </w:r>
      <w:proofErr w:type="spellEnd"/>
      <w:r w:rsidRPr="003131AC">
        <w:t xml:space="preserve">, C &amp; Mueller, RE </w:t>
      </w:r>
      <w:r w:rsidR="001B089F">
        <w:t xml:space="preserve">2011, </w:t>
      </w:r>
      <w:r w:rsidR="001B089F" w:rsidRPr="001B089F">
        <w:rPr>
          <w:i/>
        </w:rPr>
        <w:t>The completion behaviour of registered apprentices: who continues, who quits, and who completes programs?</w:t>
      </w:r>
      <w:r w:rsidR="001B089F">
        <w:t>, Statistics Canada Analytical Studies Branch research paper series, Statistics Canada, Ottawa, viewed 18 Jun</w:t>
      </w:r>
      <w:r w:rsidR="00FE0C8F">
        <w:t>e</w:t>
      </w:r>
      <w:r w:rsidR="001B089F">
        <w:t xml:space="preserve"> 2013, &lt;http://www.statcan.gc.ca/pub/11f0019m/</w:t>
      </w:r>
      <w:r w:rsidR="00F059A3">
        <w:t xml:space="preserve"> </w:t>
      </w:r>
      <w:r w:rsidR="001B089F">
        <w:t xml:space="preserve">11f0019m2011333-eng.htm&gt;. </w:t>
      </w:r>
    </w:p>
    <w:p w:rsidR="009806B1" w:rsidRPr="000548DB" w:rsidRDefault="009806B1" w:rsidP="001B089F">
      <w:pPr>
        <w:pStyle w:val="References"/>
      </w:pPr>
      <w:proofErr w:type="spellStart"/>
      <w:r>
        <w:t>McCrindle</w:t>
      </w:r>
      <w:proofErr w:type="spellEnd"/>
      <w:r>
        <w:t>, M</w:t>
      </w:r>
      <w:r w:rsidR="00BC6B2E">
        <w:t xml:space="preserve"> 2006</w:t>
      </w:r>
      <w:r>
        <w:t xml:space="preserve">, </w:t>
      </w:r>
      <w:r w:rsidR="00841F93">
        <w:t>‘</w:t>
      </w:r>
      <w:bookmarkStart w:id="152" w:name="OLE_LINK12"/>
      <w:bookmarkStart w:id="153" w:name="OLE_LINK13"/>
      <w:r>
        <w:t>New generations at work: attracting, recruiting, retraining and training Generation Y</w:t>
      </w:r>
      <w:r w:rsidR="00841F93">
        <w:t>’</w:t>
      </w:r>
      <w:bookmarkEnd w:id="152"/>
      <w:bookmarkEnd w:id="153"/>
      <w:r>
        <w:t xml:space="preserve">, </w:t>
      </w:r>
      <w:proofErr w:type="spellStart"/>
      <w:r>
        <w:t>McCrindle</w:t>
      </w:r>
      <w:proofErr w:type="spellEnd"/>
      <w:r>
        <w:t xml:space="preserve"> Research, viewed 19 June 2013, &lt;</w:t>
      </w:r>
      <w:r w:rsidRPr="009806B1">
        <w:t>http://www.libraries.vic.gov.au/downloads/Public_</w:t>
      </w:r>
      <w:r w:rsidR="00F059A3">
        <w:t xml:space="preserve"> </w:t>
      </w:r>
      <w:proofErr w:type="spellStart"/>
      <w:r w:rsidRPr="009806B1">
        <w:t>Libraries_Unit</w:t>
      </w:r>
      <w:proofErr w:type="spellEnd"/>
      <w:r w:rsidRPr="009806B1">
        <w:t>/newgenerationsatwork.pdf</w:t>
      </w:r>
      <w:r>
        <w:t>&gt;.</w:t>
      </w:r>
    </w:p>
    <w:p w:rsidR="00227AF8" w:rsidRDefault="00227AF8" w:rsidP="00227AF8">
      <w:pPr>
        <w:pStyle w:val="References"/>
      </w:pPr>
      <w:r>
        <w:t xml:space="preserve">Manufacturing Industry Skills Advisory Council (MISAC) SA 2009, </w:t>
      </w:r>
      <w:r w:rsidRPr="00FE0C08">
        <w:rPr>
          <w:i/>
        </w:rPr>
        <w:t>The 2008 South Australian Apprenticeship Survey: what it means for SA manufacturing: summary report</w:t>
      </w:r>
      <w:r>
        <w:t>, MISAC, Adelaide, viewed 18 Jun</w:t>
      </w:r>
      <w:r w:rsidR="00FC75C4">
        <w:t>e</w:t>
      </w:r>
      <w:r>
        <w:t xml:space="preserve"> 2013, &lt;http://www.misac.com.au/cgi-bin/download.cgi?id=81&gt;.</w:t>
      </w:r>
    </w:p>
    <w:p w:rsidR="00C22F34" w:rsidRDefault="00C22F34" w:rsidP="00810B32">
      <w:pPr>
        <w:pStyle w:val="References"/>
      </w:pPr>
      <w:r w:rsidRPr="00C22F34">
        <w:t xml:space="preserve">Mark, K &amp; Karmel, T 2010, </w:t>
      </w:r>
      <w:proofErr w:type="gramStart"/>
      <w:r w:rsidRPr="00C22F34">
        <w:rPr>
          <w:i/>
        </w:rPr>
        <w:t>The</w:t>
      </w:r>
      <w:proofErr w:type="gramEnd"/>
      <w:r w:rsidRPr="00C22F34">
        <w:rPr>
          <w:i/>
        </w:rPr>
        <w:t xml:space="preserve"> likelihood of completing a VET qualification: a model-based approach</w:t>
      </w:r>
      <w:r w:rsidRPr="00C22F34">
        <w:t xml:space="preserve">, NCVER, Adelaide, viewed 8 </w:t>
      </w:r>
      <w:r w:rsidR="008C79F8">
        <w:t>April 2013</w:t>
      </w:r>
      <w:r w:rsidRPr="00C22F34">
        <w:t>, &lt;http://www.ncver.edu.au/publications/2272.html&gt;.</w:t>
      </w:r>
    </w:p>
    <w:p w:rsidR="00CE0C65" w:rsidRDefault="00CE0C65" w:rsidP="00CE0C65">
      <w:pPr>
        <w:pStyle w:val="References"/>
      </w:pPr>
      <w:r>
        <w:t xml:space="preserve">MGET 2010, </w:t>
      </w:r>
      <w:r w:rsidRPr="00600AF5">
        <w:rPr>
          <w:i/>
        </w:rPr>
        <w:t xml:space="preserve">Response to Skills Australia </w:t>
      </w:r>
      <w:r w:rsidR="00FC75C4" w:rsidRPr="00600AF5">
        <w:rPr>
          <w:i/>
        </w:rPr>
        <w:t xml:space="preserve">discussion paper </w:t>
      </w:r>
      <w:r w:rsidR="00841F93">
        <w:rPr>
          <w:i/>
        </w:rPr>
        <w:t>‘</w:t>
      </w:r>
      <w:r w:rsidRPr="00600AF5">
        <w:rPr>
          <w:i/>
        </w:rPr>
        <w:t>Creating a future direction for Australian vocational education and training</w:t>
      </w:r>
      <w:r w:rsidR="00841F93">
        <w:rPr>
          <w:i/>
        </w:rPr>
        <w:t>’</w:t>
      </w:r>
      <w:r>
        <w:t>, MGET Australia Ltd, viewed 6 September 2013, &lt;</w:t>
      </w:r>
      <w:r w:rsidRPr="00600AF5">
        <w:t>http://www.awpa.gov.au/our-work/tertiary-sector-reform/documents/sub-MEGT.pdf</w:t>
      </w:r>
      <w:r>
        <w:t>&gt;.</w:t>
      </w:r>
    </w:p>
    <w:p w:rsidR="00FC75C4" w:rsidRDefault="00FC75C4" w:rsidP="00FC75C4">
      <w:pPr>
        <w:pStyle w:val="References"/>
      </w:pPr>
      <w:r>
        <w:t xml:space="preserve">Mitchell, J &amp; Dobbs, G 2008, </w:t>
      </w:r>
      <w:proofErr w:type="gramStart"/>
      <w:r w:rsidRPr="008F6588">
        <w:rPr>
          <w:i/>
        </w:rPr>
        <w:t>A</w:t>
      </w:r>
      <w:proofErr w:type="gramEnd"/>
      <w:r w:rsidRPr="008F6588">
        <w:rPr>
          <w:i/>
        </w:rPr>
        <w:t xml:space="preserve"> systematic approach to retaining apprentices: findings from the 25 national interviews</w:t>
      </w:r>
      <w:r>
        <w:t>, Australian Chamber of Commerce and Industry, Canberra, viewed 18 June 2013, &lt;</w:t>
      </w:r>
      <w:r w:rsidRPr="008F6588">
        <w:t>http://www.acci.asn.au/getattachment/206ff26b-abfd-44b9-8a8d-4a546eecbb9b/AC0001_Interviews-Report_4.aspx</w:t>
      </w:r>
      <w:r>
        <w:t>&gt;.</w:t>
      </w:r>
    </w:p>
    <w:p w:rsidR="008F6588" w:rsidRDefault="008F6588" w:rsidP="00810B32">
      <w:pPr>
        <w:pStyle w:val="References"/>
      </w:pPr>
      <w:r>
        <w:t xml:space="preserve">Mitchell, J, Dobbs, G &amp; Ward, J 2008, </w:t>
      </w:r>
      <w:r w:rsidRPr="008F6588">
        <w:rPr>
          <w:i/>
        </w:rPr>
        <w:t>A systematic approach to retaining apprentices</w:t>
      </w:r>
      <w:r>
        <w:t>, Australian Chamber of Commerce and Industry and Department of Education, Employment and Workplace Relations</w:t>
      </w:r>
      <w:r w:rsidR="00FC75C4">
        <w:t xml:space="preserve">, </w:t>
      </w:r>
      <w:r>
        <w:t>Canberra, viewed 18 Jun</w:t>
      </w:r>
      <w:r w:rsidR="00FC75C4">
        <w:t>e</w:t>
      </w:r>
      <w:r>
        <w:t xml:space="preserve"> 2013, &lt;</w:t>
      </w:r>
      <w:r w:rsidRPr="008F6588">
        <w:t>http://www.acci.asn.au/Research-and-Publications/Issues-Papers/Human-Capital/A-Systematic-Ap</w:t>
      </w:r>
      <w:r w:rsidR="00FC75C4">
        <w:t>proach-to-Retaining-Apprentices</w:t>
      </w:r>
      <w:r>
        <w:t>&gt;.</w:t>
      </w:r>
    </w:p>
    <w:p w:rsidR="00CA1286" w:rsidRPr="00997C9E" w:rsidRDefault="00D159D3" w:rsidP="00810B32">
      <w:pPr>
        <w:pStyle w:val="References"/>
      </w:pPr>
      <w:r>
        <w:t>NCVER (</w:t>
      </w:r>
      <w:r w:rsidR="00CA1286">
        <w:t>National Centre for Vocational Education Research</w:t>
      </w:r>
      <w:r>
        <w:t>)</w:t>
      </w:r>
      <w:r w:rsidR="00CA1286">
        <w:t xml:space="preserve"> 2009, </w:t>
      </w:r>
      <w:r w:rsidR="00CA1286" w:rsidRPr="00D159D3">
        <w:rPr>
          <w:i/>
        </w:rPr>
        <w:t>Australian vocational education and training statistics: apprentice and trainee destinations</w:t>
      </w:r>
      <w:r w:rsidR="00CA1286">
        <w:t xml:space="preserve"> </w:t>
      </w:r>
      <w:r w:rsidR="00CA1286" w:rsidRPr="00D159D3">
        <w:rPr>
          <w:i/>
        </w:rPr>
        <w:t>2008</w:t>
      </w:r>
      <w:r w:rsidR="00CA1286">
        <w:t xml:space="preserve">, NCVER, Adelaide, viewed 18 June 2013, </w:t>
      </w:r>
      <w:r w:rsidR="00CA1286">
        <w:br/>
        <w:t>&lt;</w:t>
      </w:r>
      <w:r w:rsidR="00CA1286" w:rsidRPr="00CA1286">
        <w:t>http://www.voced.edu.au/content/ngv55526</w:t>
      </w:r>
      <w:r w:rsidR="00CA1286">
        <w:t>&gt;.</w:t>
      </w:r>
    </w:p>
    <w:p w:rsidR="00C22F34" w:rsidRPr="00C22F34" w:rsidRDefault="00D159D3" w:rsidP="00810B32">
      <w:pPr>
        <w:pStyle w:val="References"/>
      </w:pPr>
      <w:r w:rsidRPr="00C22F34">
        <w:t>——</w:t>
      </w:r>
      <w:r w:rsidR="00C22F34" w:rsidRPr="00C22F34">
        <w:t xml:space="preserve">2010a, </w:t>
      </w:r>
      <w:r w:rsidR="00C22F34" w:rsidRPr="00C22F34">
        <w:rPr>
          <w:i/>
        </w:rPr>
        <w:t>Australian vocational education and training statistics: apprentice and trainee destinations 2010</w:t>
      </w:r>
      <w:r w:rsidR="00C22F34" w:rsidRPr="00C22F34">
        <w:t xml:space="preserve">, NCVER, Adelaide, viewed </w:t>
      </w:r>
      <w:r w:rsidR="00C22F34">
        <w:t>3 May 2013</w:t>
      </w:r>
      <w:r w:rsidR="00C22F34" w:rsidRPr="00C22F34">
        <w:t>, &lt;</w:t>
      </w:r>
      <w:hyperlink r:id="rId19" w:history="1">
        <w:r w:rsidR="00C22F34" w:rsidRPr="00C22F34">
          <w:t>http://www.ncver.edu.au/publications/2262.html</w:t>
        </w:r>
      </w:hyperlink>
      <w:r w:rsidR="00C22F34" w:rsidRPr="00C22F34">
        <w:t>&gt;.</w:t>
      </w:r>
    </w:p>
    <w:p w:rsidR="00C22F34" w:rsidRDefault="00C22F34" w:rsidP="00810B32">
      <w:pPr>
        <w:pStyle w:val="References"/>
      </w:pPr>
      <w:r w:rsidRPr="00C22F34">
        <w:t xml:space="preserve">——2010b, </w:t>
      </w:r>
      <w:r w:rsidRPr="00C22F34">
        <w:rPr>
          <w:i/>
        </w:rPr>
        <w:t>Australian vocational education and training statistics: student outcomes 2010</w:t>
      </w:r>
      <w:r w:rsidRPr="00C22F34">
        <w:t>, NCVER, Adelaide, viewed 8 December 2011, &lt;</w:t>
      </w:r>
      <w:hyperlink r:id="rId20" w:history="1">
        <w:r w:rsidRPr="00C22F34">
          <w:t>http://www.ncver.edu.au/publications/2315.html</w:t>
        </w:r>
      </w:hyperlink>
      <w:r w:rsidRPr="00C22F34">
        <w:t>&gt;.</w:t>
      </w:r>
    </w:p>
    <w:p w:rsidR="007414FB" w:rsidRDefault="007414FB" w:rsidP="007414FB">
      <w:pPr>
        <w:pStyle w:val="References"/>
      </w:pPr>
      <w:bookmarkStart w:id="154" w:name="OLE_LINK14"/>
      <w:bookmarkStart w:id="155" w:name="OLE_LINK15"/>
      <w:r>
        <w:t>——2010c</w:t>
      </w:r>
      <w:r w:rsidRPr="00C22F34">
        <w:t xml:space="preserve">, </w:t>
      </w:r>
      <w:r w:rsidRPr="00C22F34">
        <w:rPr>
          <w:i/>
        </w:rPr>
        <w:t>Australian vocational education and training statistics:</w:t>
      </w:r>
      <w:r>
        <w:rPr>
          <w:i/>
        </w:rPr>
        <w:t xml:space="preserve"> completion and attrition rates for apprentices and trainees 2010</w:t>
      </w:r>
      <w:r w:rsidRPr="00C22F34">
        <w:t xml:space="preserve">, NCVER, Adelaide, viewed </w:t>
      </w:r>
      <w:r>
        <w:t>3 June 2013</w:t>
      </w:r>
      <w:r w:rsidRPr="00C22F34">
        <w:t>, &lt;</w:t>
      </w:r>
      <w:r w:rsidRPr="007414FB">
        <w:t>http://www.voced.edu.au/content/ngv47232</w:t>
      </w:r>
      <w:r>
        <w:t>&gt;.</w:t>
      </w:r>
    </w:p>
    <w:p w:rsidR="001B089F" w:rsidRPr="00C22F34" w:rsidRDefault="001B089F" w:rsidP="001B089F">
      <w:pPr>
        <w:pStyle w:val="References"/>
      </w:pPr>
      <w:r w:rsidRPr="00C22F34">
        <w:t>——</w:t>
      </w:r>
      <w:r>
        <w:t>2012</w:t>
      </w:r>
      <w:r w:rsidRPr="00C22F34">
        <w:t xml:space="preserve">a, </w:t>
      </w:r>
      <w:r w:rsidRPr="00C22F34">
        <w:rPr>
          <w:i/>
        </w:rPr>
        <w:t>Australian vocational education and training statistics: completion and attrition rates f</w:t>
      </w:r>
      <w:r>
        <w:rPr>
          <w:i/>
        </w:rPr>
        <w:t>or apprentices and trainees 2011</w:t>
      </w:r>
      <w:r w:rsidRPr="00C22F34">
        <w:t xml:space="preserve">, NCVER, Adelaide, viewed </w:t>
      </w:r>
      <w:r>
        <w:t>3 June 2013</w:t>
      </w:r>
      <w:r w:rsidRPr="00C22F34">
        <w:t xml:space="preserve">, </w:t>
      </w:r>
      <w:r>
        <w:br/>
      </w:r>
      <w:r w:rsidRPr="00C22F34">
        <w:t>&lt;</w:t>
      </w:r>
      <w:r w:rsidRPr="00810B32">
        <w:t>http://www.ncver.edu.au/publications/2506.html</w:t>
      </w:r>
      <w:r>
        <w:t>&gt;.</w:t>
      </w:r>
    </w:p>
    <w:bookmarkEnd w:id="154"/>
    <w:bookmarkEnd w:id="155"/>
    <w:p w:rsidR="001B089F" w:rsidRDefault="001B089F" w:rsidP="001B089F">
      <w:pPr>
        <w:pStyle w:val="References"/>
      </w:pPr>
      <w:r w:rsidRPr="00C22F34">
        <w:t>——201</w:t>
      </w:r>
      <w:r>
        <w:t>2</w:t>
      </w:r>
      <w:r w:rsidRPr="00C22F34">
        <w:t xml:space="preserve">b, </w:t>
      </w:r>
      <w:r w:rsidRPr="00C22F34">
        <w:rPr>
          <w:i/>
        </w:rPr>
        <w:t>Australian vocational education and training statistics: the likelihood of com</w:t>
      </w:r>
      <w:r>
        <w:rPr>
          <w:i/>
        </w:rPr>
        <w:t>pleting a VET qualification 2006</w:t>
      </w:r>
      <w:r w:rsidRPr="00C22F34">
        <w:rPr>
          <w:i/>
        </w:rPr>
        <w:t>—0</w:t>
      </w:r>
      <w:r>
        <w:rPr>
          <w:i/>
        </w:rPr>
        <w:t>9</w:t>
      </w:r>
      <w:r w:rsidRPr="00C22F34">
        <w:t xml:space="preserve">, NCVER, Adelaide, viewed </w:t>
      </w:r>
      <w:r>
        <w:t>3 June 2013</w:t>
      </w:r>
      <w:r w:rsidRPr="00C22F34">
        <w:t xml:space="preserve">, </w:t>
      </w:r>
      <w:r w:rsidRPr="00C74CDC">
        <w:t>&lt;</w:t>
      </w:r>
      <w:hyperlink r:id="rId21" w:history="1">
        <w:r w:rsidR="00F059A3" w:rsidRPr="00AA1E97">
          <w:rPr>
            <w:rStyle w:val="Hyperlink"/>
            <w:sz w:val="18"/>
          </w:rPr>
          <w:t>http://www.ncver.edu.au/publications/2549.html</w:t>
        </w:r>
      </w:hyperlink>
      <w:r w:rsidRPr="00C74CDC">
        <w:t>&gt;.</w:t>
      </w:r>
    </w:p>
    <w:p w:rsidR="00B44592" w:rsidRDefault="00722022" w:rsidP="001B089F">
      <w:pPr>
        <w:pStyle w:val="References"/>
      </w:pPr>
      <w:r w:rsidRPr="00C22F34">
        <w:t>——</w:t>
      </w:r>
      <w:r w:rsidR="00B44592">
        <w:t xml:space="preserve">2012c, </w:t>
      </w:r>
      <w:r w:rsidR="00B44592" w:rsidRPr="00722022">
        <w:rPr>
          <w:i/>
        </w:rPr>
        <w:t>Australian vocational education and training statistics: apprentices and trainees 2011</w:t>
      </w:r>
      <w:r w:rsidR="00FE0C8F">
        <w:rPr>
          <w:i/>
        </w:rPr>
        <w:t xml:space="preserve"> </w:t>
      </w:r>
      <w:r w:rsidRPr="00722022">
        <w:rPr>
          <w:i/>
        </w:rPr>
        <w:t>—</w:t>
      </w:r>
      <w:r w:rsidR="00FE0C8F">
        <w:rPr>
          <w:i/>
        </w:rPr>
        <w:t xml:space="preserve"> </w:t>
      </w:r>
      <w:r w:rsidR="00B44592" w:rsidRPr="00722022">
        <w:rPr>
          <w:i/>
        </w:rPr>
        <w:t>annual</w:t>
      </w:r>
      <w:r>
        <w:t>, NCVER, Adelaide, viewed 25 June 2013, &lt;</w:t>
      </w:r>
      <w:r w:rsidRPr="00722022">
        <w:t>http://www.ncver.edu.au/publications/2507.html</w:t>
      </w:r>
      <w:r>
        <w:t>&gt;.</w:t>
      </w:r>
    </w:p>
    <w:p w:rsidR="001B089F" w:rsidRDefault="00F059A3" w:rsidP="001B089F">
      <w:pPr>
        <w:pStyle w:val="References"/>
      </w:pPr>
      <w:r>
        <w:lastRenderedPageBreak/>
        <w:t xml:space="preserve">NCVER </w:t>
      </w:r>
      <w:r w:rsidR="001B089F" w:rsidRPr="008C79F8">
        <w:t>2013</w:t>
      </w:r>
      <w:r w:rsidR="00326D60">
        <w:t>a</w:t>
      </w:r>
      <w:r w:rsidR="001B089F" w:rsidRPr="008C79F8">
        <w:t xml:space="preserve">, </w:t>
      </w:r>
      <w:r w:rsidR="001B089F" w:rsidRPr="001B089F">
        <w:rPr>
          <w:i/>
        </w:rPr>
        <w:t>Australian vocational education and training statistics: apprentices and trainees 2012—December quarter</w:t>
      </w:r>
      <w:r w:rsidR="001B089F" w:rsidRPr="008C79F8">
        <w:t>, NCVER, Adelaide, viewed 5 June 2013, &lt;http://www.ncver.edu.au/publications/2624.html&gt;.</w:t>
      </w:r>
    </w:p>
    <w:p w:rsidR="002E2B8E" w:rsidRDefault="002E2B8E" w:rsidP="002E2B8E">
      <w:pPr>
        <w:pStyle w:val="References"/>
      </w:pPr>
      <w:r w:rsidRPr="008C79F8">
        <w:t>——2013</w:t>
      </w:r>
      <w:r w:rsidR="00326D60">
        <w:t>b</w:t>
      </w:r>
      <w:r w:rsidRPr="008C79F8">
        <w:t xml:space="preserve">, </w:t>
      </w:r>
      <w:r w:rsidRPr="001B089F">
        <w:rPr>
          <w:i/>
        </w:rPr>
        <w:t>Australian vocational education and training statistics: apprentices and trainees 201</w:t>
      </w:r>
      <w:r w:rsidR="000910AD">
        <w:rPr>
          <w:i/>
        </w:rPr>
        <w:t xml:space="preserve">3 </w:t>
      </w:r>
      <w:r w:rsidRPr="001B089F">
        <w:rPr>
          <w:i/>
        </w:rPr>
        <w:t>—</w:t>
      </w:r>
      <w:r w:rsidR="000910AD">
        <w:rPr>
          <w:i/>
        </w:rPr>
        <w:t xml:space="preserve"> early trend estimates, March quarter</w:t>
      </w:r>
      <w:r w:rsidRPr="008C79F8">
        <w:t>, NCVER, Adelaide, viewed 5 June 2013, &lt;http://www.ncver.edu.au/publications/262</w:t>
      </w:r>
      <w:r w:rsidR="000910AD">
        <w:t>6</w:t>
      </w:r>
      <w:r w:rsidRPr="008C79F8">
        <w:t>.html&gt;.</w:t>
      </w:r>
    </w:p>
    <w:p w:rsidR="00061505" w:rsidRDefault="00061505" w:rsidP="002E2B8E">
      <w:pPr>
        <w:pStyle w:val="References"/>
      </w:pPr>
      <w:r>
        <w:t>Nechvoglod</w:t>
      </w:r>
      <w:r w:rsidR="00FF6C7B">
        <w:t>, L, Karmel</w:t>
      </w:r>
      <w:r w:rsidR="006857FA">
        <w:t>,</w:t>
      </w:r>
      <w:r w:rsidR="00FF6C7B">
        <w:t xml:space="preserve"> T &amp; Saunders, J 2009, </w:t>
      </w:r>
      <w:r w:rsidR="00FF6C7B" w:rsidRPr="00FF6C7B">
        <w:rPr>
          <w:i/>
        </w:rPr>
        <w:t>The cost of training apprentices</w:t>
      </w:r>
      <w:r w:rsidR="00FF6C7B">
        <w:t>, NCVER, Adelaide, viewed 4</w:t>
      </w:r>
      <w:r w:rsidR="00F059A3">
        <w:t> </w:t>
      </w:r>
      <w:r w:rsidR="00FF6C7B">
        <w:t>July 2013, &lt;</w:t>
      </w:r>
      <w:r w:rsidR="00FF6C7B" w:rsidRPr="00FF6C7B">
        <w:t>http://www.ncver.edu.au/publications/2129.html</w:t>
      </w:r>
      <w:r w:rsidR="00FF6C7B">
        <w:t>&gt;.</w:t>
      </w:r>
    </w:p>
    <w:p w:rsidR="002B37DC" w:rsidRDefault="002B37DC" w:rsidP="002E2B8E">
      <w:pPr>
        <w:pStyle w:val="References"/>
      </w:pPr>
      <w:proofErr w:type="gramStart"/>
      <w:r>
        <w:t xml:space="preserve">Oliver, D 2012, </w:t>
      </w:r>
      <w:r w:rsidR="00841F93">
        <w:t>‘</w:t>
      </w:r>
      <w:r>
        <w:t>An examination of award wages among Australian apprentices and trainees</w:t>
      </w:r>
      <w:r w:rsidR="00841F93">
        <w:t>’</w:t>
      </w:r>
      <w:r>
        <w:t xml:space="preserve">, </w:t>
      </w:r>
      <w:r w:rsidRPr="002B37DC">
        <w:rPr>
          <w:i/>
        </w:rPr>
        <w:t>Australian Bulletin of Labour</w:t>
      </w:r>
      <w:r w:rsidR="00FC75C4">
        <w:t>, vol.38, no.</w:t>
      </w:r>
      <w:r w:rsidR="00A31447">
        <w:t>2, pp.158—</w:t>
      </w:r>
      <w:r>
        <w:t>76.</w:t>
      </w:r>
      <w:proofErr w:type="gramEnd"/>
    </w:p>
    <w:p w:rsidR="003503EA" w:rsidRDefault="003503EA" w:rsidP="002E2B8E">
      <w:pPr>
        <w:pStyle w:val="References"/>
      </w:pPr>
      <w:r>
        <w:t xml:space="preserve">Patterson Market Research 2004, </w:t>
      </w:r>
      <w:r w:rsidRPr="003503EA">
        <w:rPr>
          <w:i/>
        </w:rPr>
        <w:t>Building worker and apprentice attrition rates survey</w:t>
      </w:r>
      <w:r>
        <w:t>, Building and Construction Industry Training Fund, Perth, Western Australia.</w:t>
      </w:r>
    </w:p>
    <w:p w:rsidR="003E5C6A" w:rsidRDefault="007D387B" w:rsidP="007D387B">
      <w:pPr>
        <w:pStyle w:val="References"/>
      </w:pPr>
      <w:r w:rsidRPr="007D387B">
        <w:t>Salt, B 2007</w:t>
      </w:r>
      <w:r w:rsidR="003E5C6A" w:rsidRPr="007D387B">
        <w:t xml:space="preserve">, </w:t>
      </w:r>
      <w:r w:rsidR="00841F93">
        <w:t>‘</w:t>
      </w:r>
      <w:r w:rsidRPr="007D387B">
        <w:t>Beyond the baby boomers: the rise of Generation Y</w:t>
      </w:r>
      <w:r w:rsidR="00841F93">
        <w:t>’</w:t>
      </w:r>
      <w:r w:rsidRPr="007D387B">
        <w:t xml:space="preserve">, KPMG, </w:t>
      </w:r>
      <w:r w:rsidR="003E5C6A" w:rsidRPr="007D387B">
        <w:t xml:space="preserve">viewed 19 June 2013, </w:t>
      </w:r>
      <w:r w:rsidRPr="007D387B">
        <w:br/>
      </w:r>
      <w:r w:rsidR="003E5C6A" w:rsidRPr="007D387B">
        <w:t>&lt;http://www.bernardsalt.com.au/pdf/Beyond_the_Baby_Boomers.pdf&gt;.</w:t>
      </w:r>
    </w:p>
    <w:p w:rsidR="00085F3A" w:rsidRPr="007D387B" w:rsidRDefault="00085F3A" w:rsidP="007D387B">
      <w:pPr>
        <w:pStyle w:val="References"/>
      </w:pPr>
      <w:r>
        <w:t xml:space="preserve">Smith, E, Walker, A &amp; </w:t>
      </w:r>
      <w:r w:rsidR="00B64689">
        <w:t xml:space="preserve">Brennan </w:t>
      </w:r>
      <w:proofErr w:type="spellStart"/>
      <w:r>
        <w:t>Kemmis</w:t>
      </w:r>
      <w:proofErr w:type="spellEnd"/>
      <w:r>
        <w:t xml:space="preserve">, R 2011, </w:t>
      </w:r>
      <w:r w:rsidRPr="00B64689">
        <w:rPr>
          <w:i/>
        </w:rPr>
        <w:t>Understanding the psychological contract in apprenticeships and traineeships to improve retention</w:t>
      </w:r>
      <w:r>
        <w:t>, NCVER, Adelaide, viewed 2 July 2013, &lt;</w:t>
      </w:r>
      <w:r w:rsidRPr="00085F3A">
        <w:t>http://www.ncver.edu.au/publications/2432.html</w:t>
      </w:r>
      <w:r>
        <w:t>&gt;.</w:t>
      </w:r>
    </w:p>
    <w:p w:rsidR="00514B6B" w:rsidRDefault="00514B6B" w:rsidP="00514B6B">
      <w:pPr>
        <w:pStyle w:val="References"/>
      </w:pPr>
      <w:r>
        <w:t xml:space="preserve">Snell, D &amp; Hart, A 2007, </w:t>
      </w:r>
      <w:r w:rsidR="00841F93">
        <w:rPr>
          <w:i/>
        </w:rPr>
        <w:t>‘</w:t>
      </w:r>
      <w:r w:rsidRPr="000A3CFC">
        <w:rPr>
          <w:i/>
        </w:rPr>
        <w:t>I think about leaving every day: doesn</w:t>
      </w:r>
      <w:r w:rsidR="00841F93">
        <w:rPr>
          <w:i/>
        </w:rPr>
        <w:t>’</w:t>
      </w:r>
      <w:r w:rsidRPr="000A3CFC">
        <w:rPr>
          <w:i/>
        </w:rPr>
        <w:t>t everyone?</w:t>
      </w:r>
      <w:r w:rsidR="00841F93">
        <w:rPr>
          <w:i/>
        </w:rPr>
        <w:t>’</w:t>
      </w:r>
      <w:r w:rsidRPr="000A3CFC">
        <w:rPr>
          <w:i/>
        </w:rPr>
        <w:t>: reasons for non-completion and dissatisfaction amongst apprentices and trainees</w:t>
      </w:r>
      <w:r>
        <w:t xml:space="preserve">, </w:t>
      </w:r>
      <w:r w:rsidRPr="000A3CFC">
        <w:t>Research Unit for Work and Communications Futures (RUWCF)</w:t>
      </w:r>
      <w:r>
        <w:t xml:space="preserve">, Monash University, Melbourne, viewed 18 June 2013, </w:t>
      </w:r>
      <w:r>
        <w:br/>
        <w:t>&lt;</w:t>
      </w:r>
      <w:r w:rsidRPr="000A3CFC">
        <w:t>http://gippslandtlc.com.au/Docs/garpreport.pdf</w:t>
      </w:r>
      <w:r>
        <w:t>&gt;.</w:t>
      </w:r>
    </w:p>
    <w:p w:rsidR="000548DB" w:rsidRDefault="00A31447" w:rsidP="007854C2">
      <w:pPr>
        <w:pStyle w:val="References"/>
      </w:pPr>
      <w:r>
        <w:t>——</w:t>
      </w:r>
      <w:r w:rsidR="003B31FA">
        <w:t xml:space="preserve">2008, </w:t>
      </w:r>
      <w:r w:rsidR="00841F93">
        <w:t>‘</w:t>
      </w:r>
      <w:r w:rsidR="003B31FA">
        <w:t>Reasons for non-completion and dissatisfaction among apprentices and trainees: a regional case study</w:t>
      </w:r>
      <w:r w:rsidR="00841F93">
        <w:t>’</w:t>
      </w:r>
      <w:r w:rsidR="003B31FA">
        <w:t xml:space="preserve">, </w:t>
      </w:r>
      <w:r w:rsidR="003B31FA" w:rsidRPr="003B31FA">
        <w:rPr>
          <w:i/>
        </w:rPr>
        <w:t>International Journal of Training Research</w:t>
      </w:r>
      <w:r w:rsidR="003B31FA">
        <w:t>, vol.6, no.1, pp.44</w:t>
      </w:r>
      <w:r w:rsidR="00841F93">
        <w:t>—</w:t>
      </w:r>
      <w:r w:rsidR="003B31FA">
        <w:t>73, viewed 18 Jun</w:t>
      </w:r>
      <w:r>
        <w:t>e</w:t>
      </w:r>
      <w:r w:rsidR="003B31FA">
        <w:t xml:space="preserve"> 2013, &lt;http://www.avetra.org.au/downloads/Snell%20and%20Hart%20final.pdf&gt;.</w:t>
      </w:r>
    </w:p>
    <w:p w:rsidR="003A693B" w:rsidRDefault="003A693B" w:rsidP="003A693B">
      <w:pPr>
        <w:pStyle w:val="References"/>
      </w:pPr>
      <w:r>
        <w:t xml:space="preserve">TNS Social Research 2007, </w:t>
      </w:r>
      <w:proofErr w:type="gramStart"/>
      <w:r w:rsidRPr="003A693B">
        <w:rPr>
          <w:i/>
        </w:rPr>
        <w:t>The</w:t>
      </w:r>
      <w:proofErr w:type="gramEnd"/>
      <w:r w:rsidRPr="003A693B">
        <w:rPr>
          <w:i/>
        </w:rPr>
        <w:t xml:space="preserve"> value of a trade qualification</w:t>
      </w:r>
      <w:r>
        <w:rPr>
          <w:i/>
        </w:rPr>
        <w:t>: a research report</w:t>
      </w:r>
      <w:r>
        <w:t>, Building and Construction Industry Training Fund (BCITF), viewed 24 June 2012, &lt;</w:t>
      </w:r>
      <w:r w:rsidRPr="00391A29">
        <w:t>http://bcitf.org/upload/documents/research_reports/ValueQualificationfinal.pdf</w:t>
      </w:r>
      <w:r>
        <w:t>&gt;.</w:t>
      </w:r>
    </w:p>
    <w:p w:rsidR="00097494" w:rsidRPr="00097494" w:rsidRDefault="00097494" w:rsidP="00AF5B58">
      <w:pPr>
        <w:pStyle w:val="References"/>
      </w:pPr>
      <w:r>
        <w:t xml:space="preserve">Walker, J &amp; Powers, T 2008, </w:t>
      </w:r>
      <w:r w:rsidRPr="00097494">
        <w:rPr>
          <w:i/>
        </w:rPr>
        <w:t>Plumbing apprenticeships: drivers and impediments</w:t>
      </w:r>
      <w:r>
        <w:rPr>
          <w:i/>
        </w:rPr>
        <w:t>,</w:t>
      </w:r>
      <w:r>
        <w:t xml:space="preserve"> </w:t>
      </w:r>
      <w:proofErr w:type="spellStart"/>
      <w:r>
        <w:t>Altegis</w:t>
      </w:r>
      <w:proofErr w:type="spellEnd"/>
      <w:r>
        <w:t xml:space="preserve"> Group, Victoria, viewed 18 June 2013, &lt;</w:t>
      </w:r>
      <w:r w:rsidRPr="00097494">
        <w:t>http://altegis.com.au/projects/environment/pdf/06.pdf</w:t>
      </w:r>
      <w:r>
        <w:t>&gt;.</w:t>
      </w:r>
    </w:p>
    <w:p w:rsidR="003A45C4" w:rsidRDefault="00A31447" w:rsidP="003A45C4">
      <w:pPr>
        <w:pStyle w:val="References"/>
      </w:pPr>
      <w:r>
        <w:t>——</w:t>
      </w:r>
      <w:r w:rsidR="003A45C4">
        <w:t>2009</w:t>
      </w:r>
      <w:r w:rsidR="008070EC">
        <w:t>a</w:t>
      </w:r>
      <w:r w:rsidR="003A45C4">
        <w:t xml:space="preserve">, </w:t>
      </w:r>
      <w:r w:rsidR="003A45C4" w:rsidRPr="003A45C4">
        <w:rPr>
          <w:i/>
        </w:rPr>
        <w:t>Barriers and drivers for bricklaying apprenticeships</w:t>
      </w:r>
      <w:r w:rsidR="003A45C4">
        <w:t xml:space="preserve">, </w:t>
      </w:r>
      <w:proofErr w:type="spellStart"/>
      <w:r w:rsidR="003A45C4">
        <w:t>Altegis</w:t>
      </w:r>
      <w:proofErr w:type="spellEnd"/>
      <w:r w:rsidR="003A45C4">
        <w:t xml:space="preserve"> Group, Victoria, viewed 18 Jun</w:t>
      </w:r>
      <w:r>
        <w:t>e</w:t>
      </w:r>
      <w:r w:rsidR="003A45C4">
        <w:t xml:space="preserve"> 2013, &lt;http://altegis.com.au/projects/environment/pdf/01.pdf&gt;.</w:t>
      </w:r>
    </w:p>
    <w:p w:rsidR="006470B9" w:rsidRDefault="00A31447" w:rsidP="003A45C4">
      <w:pPr>
        <w:pStyle w:val="References"/>
      </w:pPr>
      <w:r>
        <w:t>——</w:t>
      </w:r>
      <w:r w:rsidR="00DE54B8">
        <w:t>2009</w:t>
      </w:r>
      <w:r w:rsidR="008070EC">
        <w:t>b</w:t>
      </w:r>
      <w:r w:rsidR="00DE54B8">
        <w:t xml:space="preserve">, </w:t>
      </w:r>
      <w:r w:rsidR="00DE54B8" w:rsidRPr="00DE54B8">
        <w:rPr>
          <w:i/>
        </w:rPr>
        <w:t>National bricklaying apprenticeship status report</w:t>
      </w:r>
      <w:r w:rsidR="00DE54B8">
        <w:t xml:space="preserve">, </w:t>
      </w:r>
      <w:proofErr w:type="spellStart"/>
      <w:r w:rsidR="00DE54B8">
        <w:t>Altegis</w:t>
      </w:r>
      <w:proofErr w:type="spellEnd"/>
      <w:r w:rsidR="00DE54B8">
        <w:t xml:space="preserve"> Group, Victoria, viewed 18 Jun</w:t>
      </w:r>
      <w:r>
        <w:t>e</w:t>
      </w:r>
      <w:r w:rsidR="00DE54B8">
        <w:t xml:space="preserve"> 2013, &lt;http://altegis.com.au/projects/industry/pdf/01.pdf&gt;.</w:t>
      </w:r>
    </w:p>
    <w:p w:rsidR="006470B9" w:rsidRDefault="006470B9">
      <w:pPr>
        <w:rPr>
          <w:rFonts w:ascii="Trebuchet MS" w:hAnsi="Trebuchet MS"/>
          <w:sz w:val="18"/>
          <w:szCs w:val="20"/>
          <w:lang w:eastAsia="en-US"/>
        </w:rPr>
      </w:pPr>
      <w:r>
        <w:br w:type="page"/>
      </w:r>
    </w:p>
    <w:p w:rsidR="009D0E0A" w:rsidRDefault="0039240D" w:rsidP="009D0E0A">
      <w:pPr>
        <w:pStyle w:val="Heading1"/>
      </w:pPr>
      <w:bookmarkStart w:id="156" w:name="_Toc377040328"/>
      <w:r>
        <w:lastRenderedPageBreak/>
        <w:t>Appendix</w:t>
      </w:r>
      <w:r w:rsidR="009D0E0A">
        <w:t>: Case studies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156"/>
    </w:p>
    <w:p w:rsidR="009D0E0A" w:rsidRDefault="009D0E0A" w:rsidP="009D0E0A">
      <w:pPr>
        <w:pStyle w:val="Text"/>
      </w:pPr>
      <w:r>
        <w:t xml:space="preserve">This </w:t>
      </w:r>
      <w:r w:rsidR="00B61A49">
        <w:t>appendix</w:t>
      </w:r>
      <w:r>
        <w:t xml:space="preserve"> presents several examples of trades or busine</w:t>
      </w:r>
      <w:r w:rsidR="00A31447">
        <w:t>sses with high completion rates</w:t>
      </w:r>
      <w:r>
        <w:t xml:space="preserve"> and looks at the possible reasons behind the</w:t>
      </w:r>
      <w:r w:rsidR="00A31447">
        <w:t>se</w:t>
      </w:r>
      <w:r>
        <w:t xml:space="preserve"> high rates.</w:t>
      </w:r>
    </w:p>
    <w:p w:rsidR="009D0E0A" w:rsidRPr="00841D97" w:rsidRDefault="009D0E0A" w:rsidP="000064C1">
      <w:pPr>
        <w:pStyle w:val="Heading2"/>
      </w:pPr>
      <w:bookmarkStart w:id="157" w:name="_Toc376874263"/>
      <w:bookmarkStart w:id="158" w:name="_Toc377040329"/>
      <w:r>
        <w:t>Case study 1: Fire Protection apprenticeships</w:t>
      </w:r>
      <w:bookmarkEnd w:id="157"/>
      <w:bookmarkEnd w:id="158"/>
    </w:p>
    <w:p w:rsidR="009D0E0A" w:rsidRDefault="009D0E0A" w:rsidP="009D0E0A">
      <w:pPr>
        <w:pStyle w:val="Text"/>
        <w:rPr>
          <w:rFonts w:eastAsia="Calibri"/>
        </w:rPr>
      </w:pPr>
      <w:r w:rsidRPr="008823F7">
        <w:rPr>
          <w:rFonts w:eastAsia="Calibri"/>
        </w:rPr>
        <w:t xml:space="preserve">Fire </w:t>
      </w:r>
      <w:r w:rsidR="00FE0C8F">
        <w:rPr>
          <w:rFonts w:eastAsia="Calibri"/>
        </w:rPr>
        <w:t>p</w:t>
      </w:r>
      <w:r w:rsidRPr="008823F7">
        <w:rPr>
          <w:rFonts w:eastAsia="Calibri"/>
        </w:rPr>
        <w:t xml:space="preserve">rotection, which involves the installation and maintenance of automatic sprinkler systems in buildings, has an apprenticeship completion rate of 85% (Jane Clancy Consulting 2008). </w:t>
      </w:r>
      <w:r>
        <w:rPr>
          <w:rFonts w:eastAsia="Calibri"/>
        </w:rPr>
        <w:t xml:space="preserve">Several </w:t>
      </w:r>
      <w:r w:rsidRPr="008823F7">
        <w:rPr>
          <w:rFonts w:eastAsia="Calibri"/>
        </w:rPr>
        <w:t xml:space="preserve">characteristics of this apprenticeship are believed to be behind its high </w:t>
      </w:r>
      <w:r w:rsidR="00652B3A">
        <w:rPr>
          <w:rFonts w:eastAsia="Calibri"/>
        </w:rPr>
        <w:t xml:space="preserve">completion </w:t>
      </w:r>
      <w:r w:rsidRPr="008823F7">
        <w:rPr>
          <w:rFonts w:eastAsia="Calibri"/>
        </w:rPr>
        <w:t>rate</w:t>
      </w:r>
      <w:r w:rsidR="00A31447">
        <w:rPr>
          <w:rFonts w:eastAsia="Calibri"/>
        </w:rPr>
        <w:t>. These are detailed below.</w:t>
      </w:r>
      <w:r w:rsidR="008A6D27">
        <w:rPr>
          <w:rFonts w:eastAsia="Calibri"/>
        </w:rPr>
        <w:t xml:space="preserve"> </w:t>
      </w:r>
      <w:r w:rsidR="00A31447">
        <w:rPr>
          <w:rFonts w:eastAsia="Calibri"/>
        </w:rPr>
        <w:t>H</w:t>
      </w:r>
      <w:r>
        <w:rPr>
          <w:rFonts w:eastAsia="Calibri"/>
        </w:rPr>
        <w:t>owever, the relative importance of each factor is unknown.</w:t>
      </w:r>
    </w:p>
    <w:p w:rsidR="009D0E0A" w:rsidRDefault="009D0E0A" w:rsidP="009D0E0A">
      <w:pPr>
        <w:pStyle w:val="Dotpoint1"/>
        <w:rPr>
          <w:rFonts w:eastAsia="Calibri"/>
        </w:rPr>
      </w:pPr>
      <w:r>
        <w:rPr>
          <w:rFonts w:eastAsia="Calibri"/>
        </w:rPr>
        <w:t xml:space="preserve">Fire </w:t>
      </w:r>
      <w:r w:rsidR="00FE0C8F">
        <w:rPr>
          <w:rFonts w:eastAsia="Calibri"/>
        </w:rPr>
        <w:t>p</w:t>
      </w:r>
      <w:r>
        <w:rPr>
          <w:rFonts w:eastAsia="Calibri"/>
        </w:rPr>
        <w:t>rotection is a registered/licensed trade, and the link between completing the registration and obtaining the qualification is strong. One interviewee noted:</w:t>
      </w:r>
    </w:p>
    <w:p w:rsidR="009D0E0A" w:rsidRPr="008823F7" w:rsidRDefault="009D0E0A" w:rsidP="008A6D27">
      <w:pPr>
        <w:pStyle w:val="Quote"/>
        <w:rPr>
          <w:rFonts w:eastAsia="Calibri"/>
        </w:rPr>
      </w:pPr>
      <w:r>
        <w:rPr>
          <w:rFonts w:eastAsia="Calibri"/>
        </w:rPr>
        <w:t>The link between completing the qualifica</w:t>
      </w:r>
      <w:r w:rsidR="00A31447">
        <w:rPr>
          <w:rFonts w:eastAsia="Calibri"/>
        </w:rPr>
        <w:t>tion and registration is clear —</w:t>
      </w:r>
      <w:r>
        <w:rPr>
          <w:rFonts w:eastAsia="Calibri"/>
        </w:rPr>
        <w:t xml:space="preserve"> if you do not complete the apprenticeship you do not get registered therefore you do not work. There is no option to be</w:t>
      </w:r>
      <w:r w:rsidR="00A31447">
        <w:rPr>
          <w:rFonts w:eastAsia="Calibri"/>
        </w:rPr>
        <w:t xml:space="preserve">come a </w:t>
      </w:r>
      <w:r w:rsidR="00841F93">
        <w:rPr>
          <w:rFonts w:eastAsia="Calibri"/>
        </w:rPr>
        <w:t>‘</w:t>
      </w:r>
      <w:r w:rsidR="00A31447">
        <w:rPr>
          <w:rFonts w:eastAsia="Calibri"/>
        </w:rPr>
        <w:t>half sprinkler fitter</w:t>
      </w:r>
      <w:r w:rsidR="00841F93">
        <w:rPr>
          <w:rFonts w:eastAsia="Calibri"/>
        </w:rPr>
        <w:t>’</w:t>
      </w:r>
      <w:r w:rsidR="00A31447">
        <w:rPr>
          <w:rFonts w:eastAsia="Calibri"/>
        </w:rPr>
        <w:t>.</w:t>
      </w:r>
      <w:r w:rsidR="00A31447">
        <w:rPr>
          <w:rFonts w:eastAsia="Calibri"/>
        </w:rPr>
        <w:tab/>
      </w:r>
      <w:r>
        <w:rPr>
          <w:rFonts w:eastAsia="Calibri"/>
        </w:rPr>
        <w:t xml:space="preserve">(Jane Clancy Consulting 2008, </w:t>
      </w:r>
      <w:r w:rsidR="00F93255">
        <w:rPr>
          <w:rFonts w:eastAsia="Calibri"/>
        </w:rPr>
        <w:t>p</w:t>
      </w:r>
      <w:r w:rsidR="00A31447">
        <w:rPr>
          <w:rFonts w:eastAsia="Calibri"/>
        </w:rPr>
        <w:t>.</w:t>
      </w:r>
      <w:r w:rsidRPr="0022398A">
        <w:rPr>
          <w:rFonts w:eastAsia="Calibri"/>
        </w:rPr>
        <w:t>10</w:t>
      </w:r>
      <w:r>
        <w:rPr>
          <w:rFonts w:eastAsia="Calibri"/>
        </w:rPr>
        <w:t>)</w:t>
      </w:r>
    </w:p>
    <w:p w:rsidR="009D0E0A" w:rsidRDefault="009D0E0A" w:rsidP="009D0E0A">
      <w:pPr>
        <w:pStyle w:val="Dotpoint1"/>
        <w:rPr>
          <w:rFonts w:eastAsia="Calibri"/>
        </w:rPr>
      </w:pPr>
      <w:r>
        <w:rPr>
          <w:rFonts w:eastAsia="Calibri"/>
        </w:rPr>
        <w:t>Mentoring is provided by the Victorian Trade Advisory Group (VTAG). If an apprentice is at risk of leaving the industry, a representative</w:t>
      </w:r>
      <w:r w:rsidR="00FE0C8F">
        <w:rPr>
          <w:rFonts w:eastAsia="Calibri"/>
        </w:rPr>
        <w:t xml:space="preserve"> </w:t>
      </w:r>
      <w:r w:rsidR="00F93255">
        <w:rPr>
          <w:rFonts w:eastAsia="Calibri"/>
        </w:rPr>
        <w:t>f</w:t>
      </w:r>
      <w:r w:rsidR="00FE0C8F">
        <w:rPr>
          <w:rFonts w:eastAsia="Calibri"/>
        </w:rPr>
        <w:t>rom</w:t>
      </w:r>
      <w:r w:rsidR="00F93255">
        <w:rPr>
          <w:rFonts w:eastAsia="Calibri"/>
        </w:rPr>
        <w:t xml:space="preserve"> </w:t>
      </w:r>
      <w:r w:rsidR="00A31447">
        <w:rPr>
          <w:rFonts w:eastAsia="Calibri"/>
        </w:rPr>
        <w:t>the Victorian Trade Advisory Group</w:t>
      </w:r>
      <w:r w:rsidR="00F93255">
        <w:rPr>
          <w:rFonts w:eastAsia="Calibri"/>
        </w:rPr>
        <w:t xml:space="preserve"> provides counselling. This i</w:t>
      </w:r>
      <w:r>
        <w:rPr>
          <w:rFonts w:eastAsia="Calibri"/>
        </w:rPr>
        <w:t>nvolves finding out why an apprentice is not performing on or off the job.</w:t>
      </w:r>
    </w:p>
    <w:p w:rsidR="009D0E0A" w:rsidRDefault="009D0E0A" w:rsidP="009D0E0A">
      <w:pPr>
        <w:pStyle w:val="Dotpoint1"/>
        <w:rPr>
          <w:rFonts w:eastAsia="Calibri"/>
        </w:rPr>
      </w:pPr>
      <w:r>
        <w:rPr>
          <w:rFonts w:eastAsia="Calibri"/>
        </w:rPr>
        <w:t xml:space="preserve">Apprentice wages are generous </w:t>
      </w:r>
      <w:r w:rsidR="00A31447">
        <w:rPr>
          <w:rFonts w:eastAsia="Calibri"/>
        </w:rPr>
        <w:t>by</w:t>
      </w:r>
      <w:r>
        <w:rPr>
          <w:rFonts w:eastAsia="Calibri"/>
        </w:rPr>
        <w:t xml:space="preserve"> comparison </w:t>
      </w:r>
      <w:r w:rsidR="00A31447">
        <w:rPr>
          <w:rFonts w:eastAsia="Calibri"/>
        </w:rPr>
        <w:t xml:space="preserve">with other trades. </w:t>
      </w:r>
      <w:r>
        <w:rPr>
          <w:rFonts w:eastAsia="Calibri"/>
        </w:rPr>
        <w:t xml:space="preserve">First year apprentice wages </w:t>
      </w:r>
      <w:r w:rsidR="00F93255">
        <w:rPr>
          <w:rFonts w:eastAsia="Calibri"/>
        </w:rPr>
        <w:t xml:space="preserve">are </w:t>
      </w:r>
      <w:r>
        <w:rPr>
          <w:rFonts w:eastAsia="Calibri"/>
        </w:rPr>
        <w:t>set at 50% of the trade rate (vs 36% for plumber and 35% for carpenters)</w:t>
      </w:r>
      <w:r w:rsidR="008A6D27">
        <w:rPr>
          <w:rFonts w:eastAsia="Calibri"/>
        </w:rPr>
        <w:t>.</w:t>
      </w:r>
      <w:r>
        <w:rPr>
          <w:rFonts w:eastAsia="Calibri"/>
        </w:rPr>
        <w:t xml:space="preserve"> </w:t>
      </w:r>
      <w:r w:rsidR="008A6D27">
        <w:rPr>
          <w:rFonts w:eastAsia="Calibri"/>
        </w:rPr>
        <w:t>As a</w:t>
      </w:r>
      <w:r>
        <w:rPr>
          <w:rFonts w:eastAsia="Calibri"/>
        </w:rPr>
        <w:t xml:space="preserve"> second-year </w:t>
      </w:r>
      <w:r w:rsidR="00FE0C8F">
        <w:rPr>
          <w:rFonts w:eastAsia="Calibri"/>
        </w:rPr>
        <w:t>f</w:t>
      </w:r>
      <w:r>
        <w:rPr>
          <w:rFonts w:eastAsia="Calibri"/>
        </w:rPr>
        <w:t xml:space="preserve">ire </w:t>
      </w:r>
      <w:r w:rsidR="00FE0C8F">
        <w:rPr>
          <w:rFonts w:eastAsia="Calibri"/>
        </w:rPr>
        <w:t>p</w:t>
      </w:r>
      <w:r>
        <w:rPr>
          <w:rFonts w:eastAsia="Calibri"/>
        </w:rPr>
        <w:t xml:space="preserve">rotection apprentice </w:t>
      </w:r>
      <w:r w:rsidR="008A6D27">
        <w:rPr>
          <w:rFonts w:eastAsia="Calibri"/>
        </w:rPr>
        <w:t>explained,</w:t>
      </w:r>
      <w:r>
        <w:rPr>
          <w:rFonts w:eastAsia="Calibri"/>
        </w:rPr>
        <w:t xml:space="preserve"> </w:t>
      </w:r>
      <w:r w:rsidR="00841F93">
        <w:rPr>
          <w:rFonts w:eastAsia="Calibri"/>
        </w:rPr>
        <w:t>‘</w:t>
      </w:r>
      <w:r w:rsidR="008A6D27">
        <w:rPr>
          <w:rFonts w:eastAsia="Calibri"/>
        </w:rPr>
        <w:t>I am given a car and a phone and a</w:t>
      </w:r>
      <w:r w:rsidR="00A31447">
        <w:rPr>
          <w:rFonts w:eastAsia="Calibri"/>
        </w:rPr>
        <w:t>m earning more than $60K a year</w:t>
      </w:r>
      <w:r w:rsidR="00841F93">
        <w:rPr>
          <w:rFonts w:eastAsia="Calibri"/>
        </w:rPr>
        <w:t>’</w:t>
      </w:r>
      <w:r w:rsidR="008A6D27">
        <w:rPr>
          <w:rFonts w:eastAsia="Calibri"/>
        </w:rPr>
        <w:t xml:space="preserve"> </w:t>
      </w:r>
      <w:r w:rsidR="00652B3A">
        <w:rPr>
          <w:rFonts w:eastAsia="Calibri"/>
        </w:rPr>
        <w:t>(Jane Clancy Consulting, p.</w:t>
      </w:r>
      <w:r w:rsidR="00F93255">
        <w:rPr>
          <w:rFonts w:eastAsia="Calibri"/>
        </w:rPr>
        <w:t>11)</w:t>
      </w:r>
      <w:r w:rsidR="00A31447">
        <w:rPr>
          <w:rFonts w:eastAsia="Calibri"/>
        </w:rPr>
        <w:t>.</w:t>
      </w:r>
    </w:p>
    <w:p w:rsidR="009D0E0A" w:rsidRDefault="008A6D27" w:rsidP="009D0E0A">
      <w:pPr>
        <w:pStyle w:val="Dotpoint1"/>
        <w:rPr>
          <w:rFonts w:eastAsia="Calibri"/>
        </w:rPr>
      </w:pPr>
      <w:r>
        <w:rPr>
          <w:rFonts w:eastAsia="Calibri"/>
        </w:rPr>
        <w:t>Working conditions are good, and t</w:t>
      </w:r>
      <w:r w:rsidR="009D0E0A">
        <w:rPr>
          <w:rFonts w:eastAsia="Calibri"/>
        </w:rPr>
        <w:t>he industry is dominated by a small group of larger employers. There is the potential to stay in the career for life, as employees can work as</w:t>
      </w:r>
      <w:r w:rsidR="00652B3A">
        <w:rPr>
          <w:rFonts w:eastAsia="Calibri"/>
        </w:rPr>
        <w:t xml:space="preserve"> installers while young and fit</w:t>
      </w:r>
      <w:r w:rsidR="009D0E0A">
        <w:rPr>
          <w:rFonts w:eastAsia="Calibri"/>
        </w:rPr>
        <w:t xml:space="preserve"> and then take on service and testing roles as they become older. This is in contrast to other trades such as bricklaying, where there is no readily available option </w:t>
      </w:r>
      <w:r w:rsidR="00370595">
        <w:rPr>
          <w:rFonts w:eastAsia="Calibri"/>
        </w:rPr>
        <w:t xml:space="preserve">down the track that </w:t>
      </w:r>
      <w:r w:rsidR="009D0E0A">
        <w:rPr>
          <w:rFonts w:eastAsia="Calibri"/>
        </w:rPr>
        <w:t>is less physically demanding.</w:t>
      </w:r>
    </w:p>
    <w:p w:rsidR="009D0E0A" w:rsidRDefault="009D0E0A" w:rsidP="009D0E0A">
      <w:pPr>
        <w:pStyle w:val="Dotpoint1"/>
        <w:rPr>
          <w:rFonts w:eastAsia="Calibri"/>
        </w:rPr>
      </w:pPr>
      <w:r w:rsidRPr="008823F7">
        <w:rPr>
          <w:rFonts w:eastAsia="Calibri"/>
        </w:rPr>
        <w:t>Demand outstrips supply, and there is currently a waiting list of apprentices for first year training places.</w:t>
      </w:r>
      <w:r>
        <w:rPr>
          <w:rFonts w:eastAsia="Calibri"/>
        </w:rPr>
        <w:t xml:space="preserve"> </w:t>
      </w:r>
      <w:r w:rsidRPr="008823F7">
        <w:rPr>
          <w:rFonts w:eastAsia="Calibri"/>
        </w:rPr>
        <w:t>The training is delivered in</w:t>
      </w:r>
      <w:r w:rsidR="00FE0C8F">
        <w:rPr>
          <w:rFonts w:eastAsia="Calibri"/>
        </w:rPr>
        <w:t xml:space="preserve"> a</w:t>
      </w:r>
      <w:r w:rsidRPr="008823F7">
        <w:rPr>
          <w:rFonts w:eastAsia="Calibri"/>
        </w:rPr>
        <w:t xml:space="preserve"> competency-based format. Students can achieve the simulated work tasks at their own pace. The course is </w:t>
      </w:r>
      <w:r w:rsidR="00370595">
        <w:rPr>
          <w:rFonts w:eastAsia="Calibri"/>
        </w:rPr>
        <w:t>tightly</w:t>
      </w:r>
      <w:r w:rsidRPr="008823F7">
        <w:rPr>
          <w:rFonts w:eastAsia="Calibri"/>
        </w:rPr>
        <w:t xml:space="preserve"> structured and incorporates rigorous assessment. Students must pass </w:t>
      </w:r>
      <w:r>
        <w:rPr>
          <w:rFonts w:eastAsia="Calibri"/>
        </w:rPr>
        <w:t>an</w:t>
      </w:r>
      <w:r w:rsidRPr="008823F7">
        <w:rPr>
          <w:rFonts w:eastAsia="Calibri"/>
        </w:rPr>
        <w:t xml:space="preserve"> exam at the end of the third year to obtain their registration.</w:t>
      </w:r>
    </w:p>
    <w:p w:rsidR="009D0E0A" w:rsidRDefault="009D0E0A" w:rsidP="000064C1">
      <w:pPr>
        <w:pStyle w:val="Heading2"/>
        <w:rPr>
          <w:rFonts w:eastAsia="Calibri"/>
        </w:rPr>
      </w:pPr>
      <w:bookmarkStart w:id="159" w:name="_Toc376874264"/>
      <w:bookmarkStart w:id="160" w:name="_Toc377040330"/>
      <w:r>
        <w:rPr>
          <w:rFonts w:eastAsia="Calibri"/>
        </w:rPr>
        <w:t>Case study 2: West Orange Motors</w:t>
      </w:r>
      <w:bookmarkEnd w:id="159"/>
      <w:bookmarkEnd w:id="160"/>
    </w:p>
    <w:p w:rsidR="009D0E0A" w:rsidRDefault="009D0E0A" w:rsidP="009D0E0A">
      <w:pPr>
        <w:pStyle w:val="Text"/>
        <w:rPr>
          <w:rFonts w:eastAsia="Calibri"/>
        </w:rPr>
      </w:pPr>
      <w:r>
        <w:rPr>
          <w:rFonts w:eastAsia="Calibri"/>
        </w:rPr>
        <w:t>West Orange Motors</w:t>
      </w:r>
      <w:r w:rsidR="008A6D27">
        <w:rPr>
          <w:rFonts w:eastAsia="Calibri"/>
        </w:rPr>
        <w:t>, a motor dealer in N</w:t>
      </w:r>
      <w:r w:rsidR="00AD5E7E">
        <w:rPr>
          <w:rFonts w:eastAsia="Calibri"/>
        </w:rPr>
        <w:t>ew South Wales</w:t>
      </w:r>
      <w:r w:rsidR="008A6D27">
        <w:rPr>
          <w:rFonts w:eastAsia="Calibri"/>
        </w:rPr>
        <w:t>,</w:t>
      </w:r>
      <w:r>
        <w:rPr>
          <w:rFonts w:eastAsia="Calibri"/>
        </w:rPr>
        <w:t xml:space="preserve"> has achieved a completion rate of 84% over a ten-year perio</w:t>
      </w:r>
      <w:r w:rsidR="00652B3A">
        <w:rPr>
          <w:rFonts w:eastAsia="Calibri"/>
        </w:rPr>
        <w:t>d. Key features of the business</w:t>
      </w:r>
      <w:r w:rsidR="00841F93">
        <w:rPr>
          <w:rFonts w:eastAsia="Calibri"/>
        </w:rPr>
        <w:t>’</w:t>
      </w:r>
      <w:r w:rsidR="00652B3A">
        <w:rPr>
          <w:rFonts w:eastAsia="Calibri"/>
        </w:rPr>
        <w:t>s</w:t>
      </w:r>
      <w:r>
        <w:rPr>
          <w:rFonts w:eastAsia="Calibri"/>
        </w:rPr>
        <w:t xml:space="preserve"> approach to apprentices include:</w:t>
      </w:r>
    </w:p>
    <w:p w:rsidR="009D0E0A" w:rsidRDefault="00EE5F5D" w:rsidP="009D0E0A">
      <w:pPr>
        <w:pStyle w:val="Dotpoint1"/>
        <w:rPr>
          <w:rFonts w:eastAsia="Calibri"/>
        </w:rPr>
      </w:pPr>
      <w:r>
        <w:rPr>
          <w:rFonts w:eastAsia="Calibri"/>
        </w:rPr>
        <w:t>v</w:t>
      </w:r>
      <w:r w:rsidR="009D0E0A">
        <w:rPr>
          <w:rFonts w:eastAsia="Calibri"/>
        </w:rPr>
        <w:t>ery strict recruitment practices, which comprise three interviews, including one at which the apprentice</w:t>
      </w:r>
      <w:r w:rsidR="00841F93">
        <w:rPr>
          <w:rFonts w:eastAsia="Calibri"/>
        </w:rPr>
        <w:t>’</w:t>
      </w:r>
      <w:r w:rsidR="009D0E0A">
        <w:rPr>
          <w:rFonts w:eastAsia="Calibri"/>
        </w:rPr>
        <w:t>s parents are present</w:t>
      </w:r>
    </w:p>
    <w:p w:rsidR="009D0E0A" w:rsidRDefault="00EE5F5D" w:rsidP="009D0E0A">
      <w:pPr>
        <w:pStyle w:val="Dotpoint1"/>
        <w:rPr>
          <w:rFonts w:eastAsia="Calibri"/>
        </w:rPr>
      </w:pPr>
      <w:r>
        <w:rPr>
          <w:rFonts w:eastAsia="Calibri"/>
        </w:rPr>
        <w:t>a</w:t>
      </w:r>
      <w:r w:rsidR="009D0E0A">
        <w:rPr>
          <w:rFonts w:eastAsia="Calibri"/>
        </w:rPr>
        <w:t xml:space="preserve"> formal roster system to rotate apprentices through different sections of the business, co</w:t>
      </w:r>
      <w:r w:rsidR="00652B3A">
        <w:rPr>
          <w:rFonts w:eastAsia="Calibri"/>
        </w:rPr>
        <w:t>mbined with monthly assessments</w:t>
      </w:r>
      <w:r w:rsidR="009D0E0A">
        <w:rPr>
          <w:rFonts w:eastAsia="Calibri"/>
        </w:rPr>
        <w:t xml:space="preserve"> </w:t>
      </w:r>
      <w:r w:rsidR="00F93255">
        <w:rPr>
          <w:rFonts w:eastAsia="Calibri"/>
        </w:rPr>
        <w:t xml:space="preserve">and </w:t>
      </w:r>
      <w:r w:rsidR="009D0E0A">
        <w:rPr>
          <w:rFonts w:eastAsia="Calibri"/>
        </w:rPr>
        <w:t>s</w:t>
      </w:r>
      <w:r>
        <w:rPr>
          <w:rFonts w:eastAsia="Calibri"/>
        </w:rPr>
        <w:t>ix-monthly reviews of progress</w:t>
      </w:r>
    </w:p>
    <w:p w:rsidR="009D0E0A" w:rsidRDefault="00EE5F5D" w:rsidP="009D0E0A">
      <w:pPr>
        <w:pStyle w:val="Dotpoint1"/>
        <w:rPr>
          <w:rFonts w:eastAsia="Calibri"/>
        </w:rPr>
      </w:pPr>
      <w:r>
        <w:rPr>
          <w:rFonts w:eastAsia="Calibri"/>
        </w:rPr>
        <w:t>a mentor, who is typically a newly qualified tradesperson, for</w:t>
      </w:r>
      <w:r w:rsidR="009D0E0A">
        <w:rPr>
          <w:rFonts w:eastAsia="Calibri"/>
        </w:rPr>
        <w:t xml:space="preserve"> each apprentice</w:t>
      </w:r>
    </w:p>
    <w:p w:rsidR="009D0E0A" w:rsidRDefault="00EE5F5D" w:rsidP="009D0E0A">
      <w:pPr>
        <w:pStyle w:val="Dotpoint1"/>
        <w:rPr>
          <w:rFonts w:eastAsia="Calibri"/>
        </w:rPr>
      </w:pPr>
      <w:r>
        <w:rPr>
          <w:rFonts w:eastAsia="Calibri"/>
        </w:rPr>
        <w:lastRenderedPageBreak/>
        <w:t>f</w:t>
      </w:r>
      <w:r w:rsidR="008A6D27">
        <w:rPr>
          <w:rFonts w:eastAsia="Calibri"/>
        </w:rPr>
        <w:t>ormal induction processe</w:t>
      </w:r>
      <w:r>
        <w:rPr>
          <w:rFonts w:eastAsia="Calibri"/>
        </w:rPr>
        <w:t>s</w:t>
      </w:r>
    </w:p>
    <w:p w:rsidR="009D0E0A" w:rsidRDefault="00EE5F5D" w:rsidP="009D0E0A">
      <w:pPr>
        <w:pStyle w:val="Dotpoint1"/>
        <w:rPr>
          <w:rFonts w:eastAsia="Calibri"/>
        </w:rPr>
      </w:pPr>
      <w:proofErr w:type="gramStart"/>
      <w:r>
        <w:rPr>
          <w:rFonts w:eastAsia="Calibri"/>
        </w:rPr>
        <w:t>a</w:t>
      </w:r>
      <w:r w:rsidR="009D0E0A">
        <w:rPr>
          <w:rFonts w:eastAsia="Calibri"/>
        </w:rPr>
        <w:t>n</w:t>
      </w:r>
      <w:proofErr w:type="gramEnd"/>
      <w:r w:rsidR="009D0E0A">
        <w:rPr>
          <w:rFonts w:eastAsia="Calibri"/>
        </w:rPr>
        <w:t xml:space="preserve"> internal apprenticeships awards scheme</w:t>
      </w:r>
      <w:r w:rsidR="00754A91">
        <w:rPr>
          <w:rFonts w:eastAsia="Calibri"/>
        </w:rPr>
        <w:t>,</w:t>
      </w:r>
      <w:r w:rsidR="009D0E0A">
        <w:rPr>
          <w:rFonts w:eastAsia="Calibri"/>
        </w:rPr>
        <w:t xml:space="preserve"> which recognises outstanding apprentices. </w:t>
      </w:r>
    </w:p>
    <w:p w:rsidR="009D0E0A" w:rsidRDefault="009D0E0A" w:rsidP="000064C1">
      <w:pPr>
        <w:pStyle w:val="Text"/>
        <w:rPr>
          <w:rFonts w:eastAsia="Calibri"/>
        </w:rPr>
      </w:pPr>
      <w:r>
        <w:rPr>
          <w:rFonts w:eastAsia="Calibri"/>
        </w:rPr>
        <w:t xml:space="preserve">Another factor </w:t>
      </w:r>
      <w:r w:rsidR="00652B3A">
        <w:rPr>
          <w:rFonts w:eastAsia="Calibri"/>
        </w:rPr>
        <w:t>that might</w:t>
      </w:r>
      <w:r>
        <w:rPr>
          <w:rFonts w:eastAsia="Calibri"/>
        </w:rPr>
        <w:t xml:space="preserve"> explain the high completion rate is that the company has approximately 30 a</w:t>
      </w:r>
      <w:r w:rsidR="00754A91">
        <w:rPr>
          <w:rFonts w:eastAsia="Calibri"/>
        </w:rPr>
        <w:t>pprentices employed at one time, noting that</w:t>
      </w:r>
      <w:r>
        <w:rPr>
          <w:rFonts w:eastAsia="Calibri"/>
        </w:rPr>
        <w:t xml:space="preserve"> Karmel and Roberts (2012) found that businesses with more than 25 apprentices had higher completion rates than those with fewer than 25 apprentices. </w:t>
      </w:r>
    </w:p>
    <w:p w:rsidR="009D0E0A" w:rsidRDefault="009D0E0A" w:rsidP="000064C1">
      <w:pPr>
        <w:pStyle w:val="Heading2"/>
        <w:rPr>
          <w:rFonts w:eastAsia="Calibri"/>
        </w:rPr>
      </w:pPr>
      <w:bookmarkStart w:id="161" w:name="_Toc376874265"/>
      <w:bookmarkStart w:id="162" w:name="_Toc377040331"/>
      <w:r>
        <w:rPr>
          <w:rFonts w:eastAsia="Calibri"/>
        </w:rPr>
        <w:t xml:space="preserve">Case study 3: </w:t>
      </w:r>
      <w:proofErr w:type="spellStart"/>
      <w:r>
        <w:rPr>
          <w:rFonts w:eastAsia="Calibri"/>
        </w:rPr>
        <w:t>Fairbrother</w:t>
      </w:r>
      <w:proofErr w:type="spellEnd"/>
      <w:r>
        <w:rPr>
          <w:rFonts w:eastAsia="Calibri"/>
        </w:rPr>
        <w:t xml:space="preserve"> Group</w:t>
      </w:r>
      <w:bookmarkEnd w:id="161"/>
      <w:bookmarkEnd w:id="162"/>
    </w:p>
    <w:p w:rsidR="009D0E0A" w:rsidRDefault="009D0E0A" w:rsidP="009D0E0A">
      <w:pPr>
        <w:pStyle w:val="Text"/>
        <w:rPr>
          <w:rFonts w:eastAsia="Calibri"/>
        </w:rPr>
      </w:pPr>
      <w:r>
        <w:rPr>
          <w:rFonts w:eastAsia="Calibri"/>
        </w:rPr>
        <w:t xml:space="preserve">The </w:t>
      </w:r>
      <w:proofErr w:type="spellStart"/>
      <w:r>
        <w:rPr>
          <w:rFonts w:eastAsia="Calibri"/>
        </w:rPr>
        <w:t>Fairbrother</w:t>
      </w:r>
      <w:proofErr w:type="spellEnd"/>
      <w:r>
        <w:rPr>
          <w:rFonts w:eastAsia="Calibri"/>
        </w:rPr>
        <w:t xml:space="preserve"> Group, a Tasmanian building and construction company, has implemented an </w:t>
      </w:r>
      <w:r w:rsidR="00841F93">
        <w:rPr>
          <w:rFonts w:eastAsia="Calibri"/>
        </w:rPr>
        <w:t>‘</w:t>
      </w:r>
      <w:r>
        <w:rPr>
          <w:rFonts w:eastAsia="Calibri"/>
        </w:rPr>
        <w:t>Apprentice Mentor Program</w:t>
      </w:r>
      <w:r w:rsidR="00841F93">
        <w:rPr>
          <w:rFonts w:eastAsia="Calibri"/>
        </w:rPr>
        <w:t>’</w:t>
      </w:r>
      <w:r w:rsidR="00652B3A">
        <w:rPr>
          <w:rFonts w:eastAsia="Calibri"/>
        </w:rPr>
        <w:t>,</w:t>
      </w:r>
      <w:r>
        <w:rPr>
          <w:rFonts w:eastAsia="Calibri"/>
        </w:rPr>
        <w:t xml:space="preserve"> which has achieved an apprentice completion rate of 98% (Jones </w:t>
      </w:r>
      <w:r w:rsidR="00754A91">
        <w:rPr>
          <w:rFonts w:eastAsia="Calibri"/>
        </w:rPr>
        <w:t>&amp;</w:t>
      </w:r>
      <w:r>
        <w:rPr>
          <w:rFonts w:eastAsia="Calibri"/>
        </w:rPr>
        <w:t xml:space="preserve"> </w:t>
      </w:r>
      <w:proofErr w:type="spellStart"/>
      <w:r>
        <w:rPr>
          <w:rFonts w:eastAsia="Calibri"/>
        </w:rPr>
        <w:t>Muthaya</w:t>
      </w:r>
      <w:proofErr w:type="spellEnd"/>
      <w:r>
        <w:rPr>
          <w:rFonts w:eastAsia="Calibri"/>
        </w:rPr>
        <w:t xml:space="preserve"> 2011). </w:t>
      </w:r>
      <w:proofErr w:type="gramStart"/>
      <w:r>
        <w:rPr>
          <w:rFonts w:eastAsia="Calibri"/>
        </w:rPr>
        <w:t xml:space="preserve">As part of the program, regular coaching and mentoring </w:t>
      </w:r>
      <w:r w:rsidR="00FE0C8F">
        <w:rPr>
          <w:rFonts w:eastAsia="Calibri"/>
        </w:rPr>
        <w:t>are</w:t>
      </w:r>
      <w:r>
        <w:rPr>
          <w:rFonts w:eastAsia="Calibri"/>
        </w:rPr>
        <w:t xml:space="preserve"> provided for all apprentices.</w:t>
      </w:r>
      <w:proofErr w:type="gramEnd"/>
      <w:r>
        <w:rPr>
          <w:rFonts w:eastAsia="Calibri"/>
        </w:rPr>
        <w:t xml:space="preserve"> Mentors are responsible for making sure that apprentices receive ad</w:t>
      </w:r>
      <w:r w:rsidR="00652B3A">
        <w:rPr>
          <w:rFonts w:eastAsia="Calibri"/>
        </w:rPr>
        <w:t>equate training and supervision and</w:t>
      </w:r>
      <w:r>
        <w:rPr>
          <w:rFonts w:eastAsia="Calibri"/>
        </w:rPr>
        <w:t xml:space="preserve"> are regularly rotated and experience a variety of tasks, and for regularly </w:t>
      </w:r>
      <w:r w:rsidR="00841F93">
        <w:rPr>
          <w:rFonts w:eastAsia="Calibri"/>
        </w:rPr>
        <w:t>‘</w:t>
      </w:r>
      <w:r>
        <w:rPr>
          <w:rFonts w:eastAsia="Calibri"/>
        </w:rPr>
        <w:t>checking in</w:t>
      </w:r>
      <w:r w:rsidR="00841F93">
        <w:rPr>
          <w:rFonts w:eastAsia="Calibri"/>
        </w:rPr>
        <w:t>’</w:t>
      </w:r>
      <w:r>
        <w:rPr>
          <w:rFonts w:eastAsia="Calibri"/>
        </w:rPr>
        <w:t xml:space="preserve"> with the apprentice to see how they are going. </w:t>
      </w:r>
    </w:p>
    <w:p w:rsidR="009D0E0A" w:rsidRPr="008823F7" w:rsidRDefault="009D0E0A" w:rsidP="009D0E0A">
      <w:pPr>
        <w:pStyle w:val="Text"/>
        <w:rPr>
          <w:rFonts w:eastAsia="Calibri"/>
        </w:rPr>
      </w:pPr>
      <w:r>
        <w:rPr>
          <w:rFonts w:eastAsia="Calibri"/>
        </w:rPr>
        <w:t>Another feat</w:t>
      </w:r>
      <w:r w:rsidR="00F93255">
        <w:rPr>
          <w:rFonts w:eastAsia="Calibri"/>
        </w:rPr>
        <w:t>ure is that the company provide</w:t>
      </w:r>
      <w:r>
        <w:rPr>
          <w:rFonts w:eastAsia="Calibri"/>
        </w:rPr>
        <w:t xml:space="preserve">s training for its supervisors — all apprentice mentors undertake the </w:t>
      </w:r>
      <w:r w:rsidR="00841F93">
        <w:rPr>
          <w:rFonts w:eastAsia="Calibri"/>
        </w:rPr>
        <w:t>‘</w:t>
      </w:r>
      <w:r>
        <w:rPr>
          <w:rFonts w:eastAsia="Calibri"/>
        </w:rPr>
        <w:t>Supervisor and Mentor Skills Training Program</w:t>
      </w:r>
      <w:r w:rsidR="00841F93">
        <w:rPr>
          <w:rFonts w:eastAsia="Calibri"/>
        </w:rPr>
        <w:t>’</w:t>
      </w:r>
      <w:r>
        <w:rPr>
          <w:rFonts w:eastAsia="Calibri"/>
        </w:rPr>
        <w:t>, deliver</w:t>
      </w:r>
      <w:r w:rsidR="00F93255">
        <w:rPr>
          <w:rFonts w:eastAsia="Calibri"/>
        </w:rPr>
        <w:t>ed</w:t>
      </w:r>
      <w:r>
        <w:rPr>
          <w:rFonts w:eastAsia="Calibri"/>
        </w:rPr>
        <w:t xml:space="preserve"> by the </w:t>
      </w:r>
      <w:proofErr w:type="spellStart"/>
      <w:r>
        <w:rPr>
          <w:rFonts w:eastAsia="Calibri"/>
        </w:rPr>
        <w:t>OzHelp</w:t>
      </w:r>
      <w:proofErr w:type="spellEnd"/>
      <w:r>
        <w:rPr>
          <w:rFonts w:eastAsia="Calibri"/>
        </w:rPr>
        <w:t xml:space="preserve"> Tasmania Foundation. Finally, free counselling for all of the </w:t>
      </w:r>
      <w:proofErr w:type="spellStart"/>
      <w:r>
        <w:rPr>
          <w:rFonts w:eastAsia="Calibri"/>
        </w:rPr>
        <w:t>Fairbrother</w:t>
      </w:r>
      <w:proofErr w:type="spellEnd"/>
      <w:r>
        <w:rPr>
          <w:rFonts w:eastAsia="Calibri"/>
        </w:rPr>
        <w:t xml:space="preserve"> Group</w:t>
      </w:r>
      <w:r w:rsidR="00841F93">
        <w:rPr>
          <w:rFonts w:eastAsia="Calibri"/>
        </w:rPr>
        <w:t>’</w:t>
      </w:r>
      <w:r>
        <w:rPr>
          <w:rFonts w:eastAsia="Calibri"/>
        </w:rPr>
        <w:t xml:space="preserve">s apprentices is available from the </w:t>
      </w:r>
      <w:proofErr w:type="spellStart"/>
      <w:r>
        <w:rPr>
          <w:rFonts w:eastAsia="Calibri"/>
        </w:rPr>
        <w:t>OzHelp</w:t>
      </w:r>
      <w:proofErr w:type="spellEnd"/>
      <w:r>
        <w:rPr>
          <w:rFonts w:eastAsia="Calibri"/>
        </w:rPr>
        <w:t xml:space="preserve"> Tasmania Foundation.</w:t>
      </w:r>
    </w:p>
    <w:p w:rsidR="00EF4BD2" w:rsidRDefault="00B64689">
      <w:r>
        <w:br w:type="page"/>
      </w:r>
    </w:p>
    <w:p w:rsidR="00EF4BD2" w:rsidRDefault="00446BFD" w:rsidP="00EF4BD2">
      <w:pPr>
        <w:pStyle w:val="Heading1"/>
      </w:pPr>
      <w:bookmarkStart w:id="163" w:name="_Toc316371590"/>
      <w:bookmarkStart w:id="164" w:name="_Toc377040332"/>
      <w:r>
        <w:lastRenderedPageBreak/>
        <w:t>F</w:t>
      </w:r>
      <w:r w:rsidR="00EF4BD2">
        <w:t>unding</w:t>
      </w:r>
      <w:bookmarkEnd w:id="163"/>
      <w:bookmarkEnd w:id="164"/>
      <w:r w:rsidR="00EF4BD2">
        <w:t xml:space="preserve"> </w:t>
      </w:r>
      <w:r>
        <w:t>information</w:t>
      </w:r>
    </w:p>
    <w:p w:rsidR="00EF4BD2" w:rsidRDefault="00EF4BD2" w:rsidP="00EF4BD2">
      <w:pPr>
        <w:pStyle w:val="Text"/>
      </w:pPr>
      <w:r w:rsidRPr="00157690">
        <w:t>This work has been produced by NCVER under the National Vocational Education and Training Research (NVETR) Program, which is coordinated and managed by NCVER on behalf of the Australian Government and state and territory governments. Funding is provided through the Department of Industry</w:t>
      </w:r>
      <w:r>
        <w:t xml:space="preserve"> (formerly the Department of Industry</w:t>
      </w:r>
      <w:r w:rsidRPr="00157690">
        <w:t xml:space="preserve">, Innovation, </w:t>
      </w:r>
      <w:r>
        <w:t xml:space="preserve">Climate Change, </w:t>
      </w:r>
      <w:r w:rsidRPr="00157690">
        <w:t>Science, Research and Tertiary Education</w:t>
      </w:r>
      <w:r>
        <w:t>)</w:t>
      </w:r>
      <w:r w:rsidRPr="00157690">
        <w:t xml:space="preserve">. </w:t>
      </w:r>
    </w:p>
    <w:p w:rsidR="00EF4BD2" w:rsidRDefault="00EF4BD2" w:rsidP="00EF4BD2">
      <w:pPr>
        <w:pStyle w:val="Text"/>
      </w:pPr>
      <w:r w:rsidRPr="00157690">
        <w:t xml:space="preserve">The NVETR </w:t>
      </w:r>
      <w:r>
        <w:t>P</w:t>
      </w:r>
      <w:r w:rsidRPr="00157690">
        <w:t xml:space="preserve">rogram aims to improve policy and practice in the VET sector. The research effort itself is collaborative </w:t>
      </w:r>
      <w:r>
        <w:t>and</w:t>
      </w:r>
      <w:r w:rsidRPr="00157690">
        <w:t xml:space="preserve"> requires strong relationships with the research community in Australia’s universities and beyond. NCVER may also involve various stakeholders</w:t>
      </w:r>
      <w:r>
        <w:t>,</w:t>
      </w:r>
      <w:r w:rsidRPr="00157690">
        <w:t xml:space="preserve"> including state and territory governments, industry and practitioners</w:t>
      </w:r>
      <w:r>
        <w:t>,</w:t>
      </w:r>
      <w:r w:rsidRPr="00157690">
        <w:t xml:space="preserve"> to i</w:t>
      </w:r>
      <w:r>
        <w:t>nform the commissioned research</w:t>
      </w:r>
      <w:r w:rsidRPr="00157690">
        <w:t xml:space="preserve"> </w:t>
      </w:r>
      <w:r>
        <w:t xml:space="preserve">and </w:t>
      </w:r>
      <w:r w:rsidRPr="00157690">
        <w:t>us</w:t>
      </w:r>
      <w:r w:rsidR="00FE0C8F">
        <w:t>e</w:t>
      </w:r>
      <w:r w:rsidRPr="00157690">
        <w:t xml:space="preserve"> a variety of mechanisms such as p</w:t>
      </w:r>
      <w:r>
        <w:t xml:space="preserve">roject roundtables and forums. </w:t>
      </w:r>
    </w:p>
    <w:p w:rsidR="00EF4BD2" w:rsidRDefault="00EF4BD2" w:rsidP="00EF4BD2">
      <w:pPr>
        <w:pStyle w:val="Text"/>
      </w:pPr>
      <w:r>
        <w:t>In addition to the commissioned research, each year a pool of NVETR funds is</w:t>
      </w:r>
      <w:r w:rsidRPr="00CD316C">
        <w:t xml:space="preserve"> set </w:t>
      </w:r>
      <w:r>
        <w:t>a</w:t>
      </w:r>
      <w:r w:rsidRPr="00CD316C">
        <w:t>side to support the provision of resear</w:t>
      </w:r>
      <w:r>
        <w:t xml:space="preserve">ch and policy advice </w:t>
      </w:r>
      <w:r w:rsidRPr="00CD316C">
        <w:t xml:space="preserve">to assist </w:t>
      </w:r>
      <w:r>
        <w:t xml:space="preserve">with the Council of Australian Governments’ reform agenda. This work has been produced as part of this initiative. </w:t>
      </w:r>
    </w:p>
    <w:p w:rsidR="00AD1238" w:rsidRDefault="00EF4BD2" w:rsidP="00FE0C8F">
      <w:pPr>
        <w:pStyle w:val="Text"/>
      </w:pPr>
      <w:proofErr w:type="gramStart"/>
      <w:r w:rsidRPr="00157690">
        <w:t>For further information about the program go to the NCVER website &lt;</w:t>
      </w:r>
      <w:r>
        <w:t>http://</w:t>
      </w:r>
      <w:r w:rsidRPr="00157690">
        <w:t>www.ncver.edu.au&gt;.</w:t>
      </w:r>
      <w:bookmarkEnd w:id="2"/>
      <w:bookmarkEnd w:id="3"/>
      <w:bookmarkEnd w:id="4"/>
      <w:bookmarkEnd w:id="5"/>
      <w:proofErr w:type="gramEnd"/>
    </w:p>
    <w:sectPr w:rsidR="00AD1238" w:rsidSect="00E834F9">
      <w:footerReference w:type="even" r:id="rId22"/>
      <w:footerReference w:type="default" r:id="rId23"/>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354" w:rsidRDefault="00461354">
      <w:r>
        <w:separator/>
      </w:r>
    </w:p>
    <w:p w:rsidR="00461354" w:rsidRDefault="00461354"/>
  </w:endnote>
  <w:endnote w:type="continuationSeparator" w:id="0">
    <w:p w:rsidR="00461354" w:rsidRDefault="00461354">
      <w:r>
        <w:continuationSeparator/>
      </w:r>
    </w:p>
    <w:p w:rsidR="00461354" w:rsidRDefault="00461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vant Garde">
    <w:altName w:val="Century Gothic"/>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54" w:rsidRPr="00001A09" w:rsidRDefault="00D01E02" w:rsidP="00001A09">
    <w:pPr>
      <w:pStyle w:val="Footer"/>
      <w:tabs>
        <w:tab w:val="clear" w:pos="8505"/>
        <w:tab w:val="right" w:pos="8789"/>
      </w:tabs>
      <w:rPr>
        <w:b/>
      </w:rPr>
    </w:pPr>
    <w:r>
      <w:rPr>
        <w:b/>
        <w:noProof/>
        <w:color w:val="FFFFFF" w:themeColor="background1"/>
        <w:lang w:eastAsia="en-AU"/>
      </w:rPr>
      <w:pict>
        <v:rect id="_x0000_s183298" style="position:absolute;margin-left:-85.05pt;margin-top:-2.45pt;width:99pt;height:18.75pt;z-index:-251659265" fillcolor="black [3213]" stroked="f" strokecolor="#bfbfbf [2412]"/>
      </w:pict>
    </w:r>
    <w:r w:rsidR="003F09A2" w:rsidRPr="00A27245">
      <w:rPr>
        <w:b/>
        <w:color w:val="FFFFFF" w:themeColor="background1"/>
      </w:rPr>
      <w:fldChar w:fldCharType="begin"/>
    </w:r>
    <w:r w:rsidR="00461354" w:rsidRPr="00A27245">
      <w:rPr>
        <w:b/>
        <w:color w:val="FFFFFF" w:themeColor="background1"/>
      </w:rPr>
      <w:instrText xml:space="preserve"> PAGE </w:instrText>
    </w:r>
    <w:r w:rsidR="003F09A2" w:rsidRPr="00A27245">
      <w:rPr>
        <w:b/>
        <w:color w:val="FFFFFF" w:themeColor="background1"/>
      </w:rPr>
      <w:fldChar w:fldCharType="separate"/>
    </w:r>
    <w:r>
      <w:rPr>
        <w:b/>
        <w:noProof/>
        <w:color w:val="FFFFFF" w:themeColor="background1"/>
      </w:rPr>
      <w:t>42</w:t>
    </w:r>
    <w:r w:rsidR="003F09A2" w:rsidRPr="00A27245">
      <w:rPr>
        <w:b/>
        <w:color w:val="FFFFFF" w:themeColor="background1"/>
      </w:rPr>
      <w:fldChar w:fldCharType="end"/>
    </w:r>
    <w:r w:rsidR="00461354" w:rsidRPr="008C0A74">
      <w:rPr>
        <w:b/>
        <w:color w:val="FFFFFF" w:themeColor="background1"/>
      </w:rPr>
      <w:tab/>
    </w:r>
    <w:r w:rsidR="00461354">
      <w:rPr>
        <w:b/>
      </w:rPr>
      <w:t>Understanding the non-completion of apprentices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54" w:rsidRPr="00AD1238" w:rsidRDefault="00D01E02" w:rsidP="00001A09">
    <w:pPr>
      <w:pStyle w:val="Footer"/>
      <w:tabs>
        <w:tab w:val="clear" w:pos="8505"/>
        <w:tab w:val="right" w:pos="8789"/>
      </w:tabs>
    </w:pPr>
    <w:r>
      <w:rPr>
        <w:b/>
        <w:noProof/>
        <w:lang w:eastAsia="en-AU"/>
      </w:rPr>
      <w:pict>
        <v:rect id="_x0000_s183297" style="position:absolute;margin-left:425.6pt;margin-top:-2.45pt;width:99pt;height:18.75pt;z-index:-251658240" fillcolor="black [3213]" stroked="f" strokecolor="#bfbfbf [2412]"/>
      </w:pict>
    </w:r>
    <w:r w:rsidR="00461354" w:rsidRPr="009775C7">
      <w:rPr>
        <w:b/>
      </w:rPr>
      <w:t>NCVER</w:t>
    </w:r>
    <w:r w:rsidR="00461354" w:rsidRPr="009775C7">
      <w:tab/>
    </w:r>
    <w:r w:rsidR="003F09A2" w:rsidRPr="00A27245">
      <w:rPr>
        <w:rStyle w:val="PageNumber"/>
        <w:rFonts w:cs="Tahoma"/>
        <w:b/>
        <w:color w:val="FFFFFF" w:themeColor="background1"/>
        <w:sz w:val="17"/>
      </w:rPr>
      <w:fldChar w:fldCharType="begin"/>
    </w:r>
    <w:r w:rsidR="00461354" w:rsidRPr="00A27245">
      <w:rPr>
        <w:rStyle w:val="PageNumber"/>
        <w:rFonts w:cs="Tahoma"/>
        <w:b/>
        <w:color w:val="FFFFFF" w:themeColor="background1"/>
        <w:sz w:val="17"/>
      </w:rPr>
      <w:instrText xml:space="preserve"> PAGE </w:instrText>
    </w:r>
    <w:r w:rsidR="003F09A2" w:rsidRPr="00A27245">
      <w:rPr>
        <w:rStyle w:val="PageNumber"/>
        <w:rFonts w:cs="Tahoma"/>
        <w:b/>
        <w:color w:val="FFFFFF" w:themeColor="background1"/>
        <w:sz w:val="17"/>
      </w:rPr>
      <w:fldChar w:fldCharType="separate"/>
    </w:r>
    <w:r>
      <w:rPr>
        <w:rStyle w:val="PageNumber"/>
        <w:rFonts w:cs="Tahoma"/>
        <w:b/>
        <w:noProof/>
        <w:color w:val="FFFFFF" w:themeColor="background1"/>
        <w:sz w:val="17"/>
      </w:rPr>
      <w:t>43</w:t>
    </w:r>
    <w:r w:rsidR="003F09A2" w:rsidRPr="00A27245">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354" w:rsidRDefault="00461354">
      <w:r>
        <w:separator/>
      </w:r>
    </w:p>
  </w:footnote>
  <w:footnote w:type="continuationSeparator" w:id="0">
    <w:p w:rsidR="00461354" w:rsidRDefault="00461354">
      <w:r>
        <w:continuationSeparator/>
      </w:r>
    </w:p>
    <w:p w:rsidR="00461354" w:rsidRDefault="00461354"/>
  </w:footnote>
  <w:footnote w:id="1">
    <w:p w:rsidR="00461354" w:rsidRPr="00FB5C7C" w:rsidRDefault="00461354" w:rsidP="00DC10AC">
      <w:pPr>
        <w:pStyle w:val="FootnoteText"/>
      </w:pPr>
      <w:r>
        <w:rPr>
          <w:rStyle w:val="FootnoteReference"/>
        </w:rPr>
        <w:footnoteRef/>
      </w:r>
      <w:r>
        <w:t xml:space="preserve"> </w:t>
      </w:r>
      <w:r>
        <w:tab/>
      </w:r>
      <w:r w:rsidRPr="00FB5C7C">
        <w:t>An apprenticeship is a system of training regulated by law or custom, which combines on-the-job training and work experience while in paid employment with formal (usually off-the-job training). The apprentice enters into a contract of training or training agreement with an employer, which imposes mutual obligations on both parties. Traditionally, apprenticeships were in trade occupations (</w:t>
      </w:r>
      <w:r w:rsidRPr="00DC10AC">
        <w:t xml:space="preserve">declared vocations) and were of four years duration, but the duration of contracts has been formally reduced in some trades. </w:t>
      </w:r>
      <w:r>
        <w:br/>
      </w:r>
      <w:r w:rsidRPr="00DC10AC">
        <w:t>A traineeship is a system of vocational training</w:t>
      </w:r>
      <w:r w:rsidRPr="00FB5C7C">
        <w:t xml:space="preserve"> combining off-the-job training with an approved training provider with on-the-job training and practical work experience. Traineeships generally take one to two years and are now part of the Australian Apprenticeships system (NCVER VET </w:t>
      </w:r>
      <w:r w:rsidRPr="00FB5C7C">
        <w:rPr>
          <w:rFonts w:cs="Tahoma"/>
        </w:rPr>
        <w:t>Glossary, accessed January 2013, &lt;</w:t>
      </w:r>
      <w:hyperlink r:id="rId1" w:history="1">
        <w:r w:rsidRPr="00FB5C7C">
          <w:rPr>
            <w:rStyle w:val="Hyperlink"/>
            <w:rFonts w:cs="Tahoma"/>
            <w:sz w:val="16"/>
            <w:szCs w:val="16"/>
          </w:rPr>
          <w:t>www.ncver.edu.au/resources/glossary</w:t>
        </w:r>
      </w:hyperlink>
      <w:r w:rsidRPr="00FB5C7C">
        <w:rPr>
          <w:rFonts w:cs="Tahoma"/>
        </w:rPr>
        <w:t>&gt;).</w:t>
      </w:r>
    </w:p>
  </w:footnote>
  <w:footnote w:id="2">
    <w:p w:rsidR="00461354" w:rsidRDefault="00461354">
      <w:pPr>
        <w:pStyle w:val="FootnoteText"/>
      </w:pPr>
      <w:r>
        <w:rPr>
          <w:rStyle w:val="FootnoteReference"/>
        </w:rPr>
        <w:footnoteRef/>
      </w:r>
      <w:r>
        <w:t xml:space="preserve"> </w:t>
      </w:r>
      <w:r>
        <w:tab/>
        <w:t>See &lt;www.australianapprenticeships.gov.au&gt;.</w:t>
      </w:r>
    </w:p>
  </w:footnote>
  <w:footnote w:id="3">
    <w:p w:rsidR="00461354" w:rsidRDefault="00461354">
      <w:pPr>
        <w:pStyle w:val="FootnoteText"/>
      </w:pPr>
      <w:r>
        <w:rPr>
          <w:rStyle w:val="FootnoteReference"/>
        </w:rPr>
        <w:footnoteRef/>
      </w:r>
      <w:r>
        <w:t xml:space="preserve"> </w:t>
      </w:r>
      <w:r>
        <w:tab/>
        <w:t>An issue is that the sum of the contract completion rate and the contract attrition rate is not 100%, due to ‘expired’ contracts; these are discussed later.</w:t>
      </w:r>
    </w:p>
  </w:footnote>
  <w:footnote w:id="4">
    <w:p w:rsidR="00461354" w:rsidRDefault="00461354">
      <w:pPr>
        <w:pStyle w:val="FootnoteText"/>
      </w:pPr>
      <w:r>
        <w:rPr>
          <w:rStyle w:val="FootnoteReference"/>
        </w:rPr>
        <w:footnoteRef/>
      </w:r>
      <w:r>
        <w:t xml:space="preserve"> </w:t>
      </w:r>
      <w:r>
        <w:tab/>
      </w:r>
      <w:proofErr w:type="gramStart"/>
      <w:r>
        <w:rPr>
          <w:rFonts w:ascii="Tahoma" w:hAnsi="Tahoma"/>
        </w:rPr>
        <w:t>The market group born between 1981 and 1997 (Ai Group 2007).</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3EC"/>
    <w:multiLevelType w:val="hybridMultilevel"/>
    <w:tmpl w:val="3A8EAB36"/>
    <w:lvl w:ilvl="0" w:tplc="7C681B60">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1C1E0A"/>
    <w:multiLevelType w:val="hybridMultilevel"/>
    <w:tmpl w:val="89B448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5901FB"/>
    <w:multiLevelType w:val="hybridMultilevel"/>
    <w:tmpl w:val="49883E18"/>
    <w:lvl w:ilvl="0" w:tplc="AE346B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BB5904"/>
    <w:multiLevelType w:val="hybridMultilevel"/>
    <w:tmpl w:val="614055A6"/>
    <w:lvl w:ilvl="0" w:tplc="2D2C749A">
      <w:start w:val="1"/>
      <w:numFmt w:val="bullet"/>
      <w:lvlText w:val=""/>
      <w:lvlJc w:val="left"/>
      <w:pPr>
        <w:tabs>
          <w:tab w:val="num" w:pos="720"/>
        </w:tabs>
        <w:ind w:left="720" w:hanging="360"/>
      </w:pPr>
      <w:rPr>
        <w:rFonts w:ascii="Wingdings" w:hAnsi="Wingdings" w:hint="default"/>
      </w:rPr>
    </w:lvl>
    <w:lvl w:ilvl="1" w:tplc="B67C41F8" w:tentative="1">
      <w:start w:val="1"/>
      <w:numFmt w:val="bullet"/>
      <w:lvlText w:val=""/>
      <w:lvlJc w:val="left"/>
      <w:pPr>
        <w:tabs>
          <w:tab w:val="num" w:pos="1440"/>
        </w:tabs>
        <w:ind w:left="1440" w:hanging="360"/>
      </w:pPr>
      <w:rPr>
        <w:rFonts w:ascii="Wingdings" w:hAnsi="Wingdings" w:hint="default"/>
      </w:rPr>
    </w:lvl>
    <w:lvl w:ilvl="2" w:tplc="1512AED8" w:tentative="1">
      <w:start w:val="1"/>
      <w:numFmt w:val="bullet"/>
      <w:lvlText w:val=""/>
      <w:lvlJc w:val="left"/>
      <w:pPr>
        <w:tabs>
          <w:tab w:val="num" w:pos="2160"/>
        </w:tabs>
        <w:ind w:left="2160" w:hanging="360"/>
      </w:pPr>
      <w:rPr>
        <w:rFonts w:ascii="Wingdings" w:hAnsi="Wingdings" w:hint="default"/>
      </w:rPr>
    </w:lvl>
    <w:lvl w:ilvl="3" w:tplc="17FED5A6" w:tentative="1">
      <w:start w:val="1"/>
      <w:numFmt w:val="bullet"/>
      <w:lvlText w:val=""/>
      <w:lvlJc w:val="left"/>
      <w:pPr>
        <w:tabs>
          <w:tab w:val="num" w:pos="2880"/>
        </w:tabs>
        <w:ind w:left="2880" w:hanging="360"/>
      </w:pPr>
      <w:rPr>
        <w:rFonts w:ascii="Wingdings" w:hAnsi="Wingdings" w:hint="default"/>
      </w:rPr>
    </w:lvl>
    <w:lvl w:ilvl="4" w:tplc="E6829D98" w:tentative="1">
      <w:start w:val="1"/>
      <w:numFmt w:val="bullet"/>
      <w:lvlText w:val=""/>
      <w:lvlJc w:val="left"/>
      <w:pPr>
        <w:tabs>
          <w:tab w:val="num" w:pos="3600"/>
        </w:tabs>
        <w:ind w:left="3600" w:hanging="360"/>
      </w:pPr>
      <w:rPr>
        <w:rFonts w:ascii="Wingdings" w:hAnsi="Wingdings" w:hint="default"/>
      </w:rPr>
    </w:lvl>
    <w:lvl w:ilvl="5" w:tplc="7876B196" w:tentative="1">
      <w:start w:val="1"/>
      <w:numFmt w:val="bullet"/>
      <w:lvlText w:val=""/>
      <w:lvlJc w:val="left"/>
      <w:pPr>
        <w:tabs>
          <w:tab w:val="num" w:pos="4320"/>
        </w:tabs>
        <w:ind w:left="4320" w:hanging="360"/>
      </w:pPr>
      <w:rPr>
        <w:rFonts w:ascii="Wingdings" w:hAnsi="Wingdings" w:hint="default"/>
      </w:rPr>
    </w:lvl>
    <w:lvl w:ilvl="6" w:tplc="7B388960" w:tentative="1">
      <w:start w:val="1"/>
      <w:numFmt w:val="bullet"/>
      <w:lvlText w:val=""/>
      <w:lvlJc w:val="left"/>
      <w:pPr>
        <w:tabs>
          <w:tab w:val="num" w:pos="5040"/>
        </w:tabs>
        <w:ind w:left="5040" w:hanging="360"/>
      </w:pPr>
      <w:rPr>
        <w:rFonts w:ascii="Wingdings" w:hAnsi="Wingdings" w:hint="default"/>
      </w:rPr>
    </w:lvl>
    <w:lvl w:ilvl="7" w:tplc="A48C3E38" w:tentative="1">
      <w:start w:val="1"/>
      <w:numFmt w:val="bullet"/>
      <w:lvlText w:val=""/>
      <w:lvlJc w:val="left"/>
      <w:pPr>
        <w:tabs>
          <w:tab w:val="num" w:pos="5760"/>
        </w:tabs>
        <w:ind w:left="5760" w:hanging="360"/>
      </w:pPr>
      <w:rPr>
        <w:rFonts w:ascii="Wingdings" w:hAnsi="Wingdings" w:hint="default"/>
      </w:rPr>
    </w:lvl>
    <w:lvl w:ilvl="8" w:tplc="4474861E" w:tentative="1">
      <w:start w:val="1"/>
      <w:numFmt w:val="bullet"/>
      <w:lvlText w:val=""/>
      <w:lvlJc w:val="left"/>
      <w:pPr>
        <w:tabs>
          <w:tab w:val="num" w:pos="6480"/>
        </w:tabs>
        <w:ind w:left="6480" w:hanging="360"/>
      </w:pPr>
      <w:rPr>
        <w:rFonts w:ascii="Wingdings" w:hAnsi="Wingdings" w:hint="default"/>
      </w:rPr>
    </w:lvl>
  </w:abstractNum>
  <w:abstractNum w:abstractNumId="4">
    <w:nsid w:val="15F34EC3"/>
    <w:multiLevelType w:val="hybridMultilevel"/>
    <w:tmpl w:val="9A8A3F30"/>
    <w:lvl w:ilvl="0" w:tplc="2B2235D6">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DB2F60"/>
    <w:multiLevelType w:val="hybridMultilevel"/>
    <w:tmpl w:val="714290D6"/>
    <w:lvl w:ilvl="0" w:tplc="D8EC8DBC">
      <w:start w:val="1"/>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974911"/>
    <w:multiLevelType w:val="hybridMultilevel"/>
    <w:tmpl w:val="897CBFEE"/>
    <w:lvl w:ilvl="0" w:tplc="9E36F5AA">
      <w:start w:val="1"/>
      <w:numFmt w:val="bullet"/>
      <w:lvlText w:val=""/>
      <w:lvlJc w:val="left"/>
      <w:pPr>
        <w:tabs>
          <w:tab w:val="num" w:pos="360"/>
        </w:tabs>
        <w:ind w:left="360" w:hanging="360"/>
      </w:pPr>
      <w:rPr>
        <w:rFonts w:ascii="Wingdings" w:hAnsi="Wingdings" w:hint="default"/>
        <w:color w:val="62387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A117CD8"/>
    <w:multiLevelType w:val="hybridMultilevel"/>
    <w:tmpl w:val="FDE61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2C61EE8"/>
    <w:multiLevelType w:val="hybridMultilevel"/>
    <w:tmpl w:val="0C3CB6D8"/>
    <w:lvl w:ilvl="0" w:tplc="485422C4">
      <w:numFmt w:val="bullet"/>
      <w:lvlText w:val="-"/>
      <w:lvlJc w:val="left"/>
      <w:pPr>
        <w:ind w:left="720" w:hanging="360"/>
      </w:pPr>
      <w:rPr>
        <w:rFonts w:ascii="Trebuchet MS" w:eastAsia="Times New Roman" w:hAnsi="Trebuchet MS"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5EA0A11"/>
    <w:multiLevelType w:val="hybridMultilevel"/>
    <w:tmpl w:val="C284B4B0"/>
    <w:lvl w:ilvl="0" w:tplc="AE346B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AEC27E7"/>
    <w:multiLevelType w:val="hybridMultilevel"/>
    <w:tmpl w:val="2F786F4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AA4459"/>
    <w:multiLevelType w:val="hybridMultilevel"/>
    <w:tmpl w:val="AC98C080"/>
    <w:lvl w:ilvl="0" w:tplc="959E534C">
      <w:start w:val="1"/>
      <w:numFmt w:val="bullet"/>
      <w:lvlText w:val=""/>
      <w:lvlJc w:val="left"/>
      <w:pPr>
        <w:tabs>
          <w:tab w:val="num" w:pos="720"/>
        </w:tabs>
        <w:ind w:left="720" w:hanging="360"/>
      </w:pPr>
      <w:rPr>
        <w:rFonts w:ascii="Wingdings" w:hAnsi="Wingdings" w:hint="default"/>
      </w:rPr>
    </w:lvl>
    <w:lvl w:ilvl="1" w:tplc="F7B69618">
      <w:start w:val="3143"/>
      <w:numFmt w:val="bullet"/>
      <w:lvlText w:val=""/>
      <w:lvlJc w:val="left"/>
      <w:pPr>
        <w:tabs>
          <w:tab w:val="num" w:pos="1440"/>
        </w:tabs>
        <w:ind w:left="1440" w:hanging="360"/>
      </w:pPr>
      <w:rPr>
        <w:rFonts w:ascii="Wingdings" w:hAnsi="Wingdings" w:hint="default"/>
      </w:rPr>
    </w:lvl>
    <w:lvl w:ilvl="2" w:tplc="B41E568C" w:tentative="1">
      <w:start w:val="1"/>
      <w:numFmt w:val="bullet"/>
      <w:lvlText w:val=""/>
      <w:lvlJc w:val="left"/>
      <w:pPr>
        <w:tabs>
          <w:tab w:val="num" w:pos="2160"/>
        </w:tabs>
        <w:ind w:left="2160" w:hanging="360"/>
      </w:pPr>
      <w:rPr>
        <w:rFonts w:ascii="Wingdings" w:hAnsi="Wingdings" w:hint="default"/>
      </w:rPr>
    </w:lvl>
    <w:lvl w:ilvl="3" w:tplc="9E62ADE4" w:tentative="1">
      <w:start w:val="1"/>
      <w:numFmt w:val="bullet"/>
      <w:lvlText w:val=""/>
      <w:lvlJc w:val="left"/>
      <w:pPr>
        <w:tabs>
          <w:tab w:val="num" w:pos="2880"/>
        </w:tabs>
        <w:ind w:left="2880" w:hanging="360"/>
      </w:pPr>
      <w:rPr>
        <w:rFonts w:ascii="Wingdings" w:hAnsi="Wingdings" w:hint="default"/>
      </w:rPr>
    </w:lvl>
    <w:lvl w:ilvl="4" w:tplc="7C180FC6" w:tentative="1">
      <w:start w:val="1"/>
      <w:numFmt w:val="bullet"/>
      <w:lvlText w:val=""/>
      <w:lvlJc w:val="left"/>
      <w:pPr>
        <w:tabs>
          <w:tab w:val="num" w:pos="3600"/>
        </w:tabs>
        <w:ind w:left="3600" w:hanging="360"/>
      </w:pPr>
      <w:rPr>
        <w:rFonts w:ascii="Wingdings" w:hAnsi="Wingdings" w:hint="default"/>
      </w:rPr>
    </w:lvl>
    <w:lvl w:ilvl="5" w:tplc="9F3C3226" w:tentative="1">
      <w:start w:val="1"/>
      <w:numFmt w:val="bullet"/>
      <w:lvlText w:val=""/>
      <w:lvlJc w:val="left"/>
      <w:pPr>
        <w:tabs>
          <w:tab w:val="num" w:pos="4320"/>
        </w:tabs>
        <w:ind w:left="4320" w:hanging="360"/>
      </w:pPr>
      <w:rPr>
        <w:rFonts w:ascii="Wingdings" w:hAnsi="Wingdings" w:hint="default"/>
      </w:rPr>
    </w:lvl>
    <w:lvl w:ilvl="6" w:tplc="3A4AB5BC" w:tentative="1">
      <w:start w:val="1"/>
      <w:numFmt w:val="bullet"/>
      <w:lvlText w:val=""/>
      <w:lvlJc w:val="left"/>
      <w:pPr>
        <w:tabs>
          <w:tab w:val="num" w:pos="5040"/>
        </w:tabs>
        <w:ind w:left="5040" w:hanging="360"/>
      </w:pPr>
      <w:rPr>
        <w:rFonts w:ascii="Wingdings" w:hAnsi="Wingdings" w:hint="default"/>
      </w:rPr>
    </w:lvl>
    <w:lvl w:ilvl="7" w:tplc="95D20600" w:tentative="1">
      <w:start w:val="1"/>
      <w:numFmt w:val="bullet"/>
      <w:lvlText w:val=""/>
      <w:lvlJc w:val="left"/>
      <w:pPr>
        <w:tabs>
          <w:tab w:val="num" w:pos="5760"/>
        </w:tabs>
        <w:ind w:left="5760" w:hanging="360"/>
      </w:pPr>
      <w:rPr>
        <w:rFonts w:ascii="Wingdings" w:hAnsi="Wingdings" w:hint="default"/>
      </w:rPr>
    </w:lvl>
    <w:lvl w:ilvl="8" w:tplc="9A543658" w:tentative="1">
      <w:start w:val="1"/>
      <w:numFmt w:val="bullet"/>
      <w:lvlText w:val=""/>
      <w:lvlJc w:val="left"/>
      <w:pPr>
        <w:tabs>
          <w:tab w:val="num" w:pos="6480"/>
        </w:tabs>
        <w:ind w:left="6480" w:hanging="360"/>
      </w:pPr>
      <w:rPr>
        <w:rFonts w:ascii="Wingdings" w:hAnsi="Wingdings" w:hint="default"/>
      </w:rPr>
    </w:lvl>
  </w:abstractNum>
  <w:abstractNum w:abstractNumId="12">
    <w:nsid w:val="3F931E43"/>
    <w:multiLevelType w:val="hybridMultilevel"/>
    <w:tmpl w:val="6CF692D0"/>
    <w:lvl w:ilvl="0" w:tplc="CCFA1CDA">
      <w:start w:val="1"/>
      <w:numFmt w:val="bullet"/>
      <w:lvlText w:val=""/>
      <w:lvlJc w:val="left"/>
      <w:pPr>
        <w:tabs>
          <w:tab w:val="num" w:pos="720"/>
        </w:tabs>
        <w:ind w:left="720" w:hanging="360"/>
      </w:pPr>
      <w:rPr>
        <w:rFonts w:ascii="Wingdings" w:hAnsi="Wingdings" w:hint="default"/>
      </w:rPr>
    </w:lvl>
    <w:lvl w:ilvl="1" w:tplc="61D81242">
      <w:start w:val="1"/>
      <w:numFmt w:val="bullet"/>
      <w:lvlText w:val=""/>
      <w:lvlJc w:val="left"/>
      <w:pPr>
        <w:tabs>
          <w:tab w:val="num" w:pos="1440"/>
        </w:tabs>
        <w:ind w:left="1440" w:hanging="360"/>
      </w:pPr>
      <w:rPr>
        <w:rFonts w:ascii="Wingdings" w:hAnsi="Wingdings" w:hint="default"/>
      </w:rPr>
    </w:lvl>
    <w:lvl w:ilvl="2" w:tplc="CF220044" w:tentative="1">
      <w:start w:val="1"/>
      <w:numFmt w:val="bullet"/>
      <w:lvlText w:val=""/>
      <w:lvlJc w:val="left"/>
      <w:pPr>
        <w:tabs>
          <w:tab w:val="num" w:pos="2160"/>
        </w:tabs>
        <w:ind w:left="2160" w:hanging="360"/>
      </w:pPr>
      <w:rPr>
        <w:rFonts w:ascii="Wingdings" w:hAnsi="Wingdings" w:hint="default"/>
      </w:rPr>
    </w:lvl>
    <w:lvl w:ilvl="3" w:tplc="9A94A9A6" w:tentative="1">
      <w:start w:val="1"/>
      <w:numFmt w:val="bullet"/>
      <w:lvlText w:val=""/>
      <w:lvlJc w:val="left"/>
      <w:pPr>
        <w:tabs>
          <w:tab w:val="num" w:pos="2880"/>
        </w:tabs>
        <w:ind w:left="2880" w:hanging="360"/>
      </w:pPr>
      <w:rPr>
        <w:rFonts w:ascii="Wingdings" w:hAnsi="Wingdings" w:hint="default"/>
      </w:rPr>
    </w:lvl>
    <w:lvl w:ilvl="4" w:tplc="D616CA96" w:tentative="1">
      <w:start w:val="1"/>
      <w:numFmt w:val="bullet"/>
      <w:lvlText w:val=""/>
      <w:lvlJc w:val="left"/>
      <w:pPr>
        <w:tabs>
          <w:tab w:val="num" w:pos="3600"/>
        </w:tabs>
        <w:ind w:left="3600" w:hanging="360"/>
      </w:pPr>
      <w:rPr>
        <w:rFonts w:ascii="Wingdings" w:hAnsi="Wingdings" w:hint="default"/>
      </w:rPr>
    </w:lvl>
    <w:lvl w:ilvl="5" w:tplc="7214FEF6" w:tentative="1">
      <w:start w:val="1"/>
      <w:numFmt w:val="bullet"/>
      <w:lvlText w:val=""/>
      <w:lvlJc w:val="left"/>
      <w:pPr>
        <w:tabs>
          <w:tab w:val="num" w:pos="4320"/>
        </w:tabs>
        <w:ind w:left="4320" w:hanging="360"/>
      </w:pPr>
      <w:rPr>
        <w:rFonts w:ascii="Wingdings" w:hAnsi="Wingdings" w:hint="default"/>
      </w:rPr>
    </w:lvl>
    <w:lvl w:ilvl="6" w:tplc="C0D8D1E4" w:tentative="1">
      <w:start w:val="1"/>
      <w:numFmt w:val="bullet"/>
      <w:lvlText w:val=""/>
      <w:lvlJc w:val="left"/>
      <w:pPr>
        <w:tabs>
          <w:tab w:val="num" w:pos="5040"/>
        </w:tabs>
        <w:ind w:left="5040" w:hanging="360"/>
      </w:pPr>
      <w:rPr>
        <w:rFonts w:ascii="Wingdings" w:hAnsi="Wingdings" w:hint="default"/>
      </w:rPr>
    </w:lvl>
    <w:lvl w:ilvl="7" w:tplc="A7FCFC90" w:tentative="1">
      <w:start w:val="1"/>
      <w:numFmt w:val="bullet"/>
      <w:lvlText w:val=""/>
      <w:lvlJc w:val="left"/>
      <w:pPr>
        <w:tabs>
          <w:tab w:val="num" w:pos="5760"/>
        </w:tabs>
        <w:ind w:left="5760" w:hanging="360"/>
      </w:pPr>
      <w:rPr>
        <w:rFonts w:ascii="Wingdings" w:hAnsi="Wingdings" w:hint="default"/>
      </w:rPr>
    </w:lvl>
    <w:lvl w:ilvl="8" w:tplc="ECEE176E" w:tentative="1">
      <w:start w:val="1"/>
      <w:numFmt w:val="bullet"/>
      <w:lvlText w:val=""/>
      <w:lvlJc w:val="left"/>
      <w:pPr>
        <w:tabs>
          <w:tab w:val="num" w:pos="6480"/>
        </w:tabs>
        <w:ind w:left="6480" w:hanging="360"/>
      </w:pPr>
      <w:rPr>
        <w:rFonts w:ascii="Wingdings" w:hAnsi="Wingdings" w:hint="default"/>
      </w:rPr>
    </w:lvl>
  </w:abstractNum>
  <w:abstractNum w:abstractNumId="13">
    <w:nsid w:val="448C61FD"/>
    <w:multiLevelType w:val="multilevel"/>
    <w:tmpl w:val="0B2E342C"/>
    <w:styleLink w:val="ACILAllenTableBulletedList"/>
    <w:lvl w:ilvl="0">
      <w:start w:val="1"/>
      <w:numFmt w:val="bullet"/>
      <w:pStyle w:val="Tablelistbullet"/>
      <w:lvlText w:val=""/>
      <w:lvlJc w:val="left"/>
      <w:pPr>
        <w:ind w:left="360" w:hanging="360"/>
      </w:pPr>
      <w:rPr>
        <w:rFonts w:ascii="Symbol" w:hAnsi="Symbol" w:hint="default"/>
        <w:color w:val="auto"/>
      </w:rPr>
    </w:lvl>
    <w:lvl w:ilvl="1">
      <w:start w:val="1"/>
      <w:numFmt w:val="bullet"/>
      <w:pStyle w:val="Tablelistbullet2"/>
      <w:lvlText w:val="–"/>
      <w:lvlJc w:val="left"/>
      <w:pPr>
        <w:ind w:left="720" w:hanging="360"/>
      </w:pPr>
      <w:rPr>
        <w:rFonts w:ascii="Arial" w:hAnsi="Arial" w:hint="default"/>
      </w:rPr>
    </w:lvl>
    <w:lvl w:ilvl="2">
      <w:start w:val="1"/>
      <w:numFmt w:val="bullet"/>
      <w:pStyle w:val="Tablelistbullet3"/>
      <w:lvlText w:val="…"/>
      <w:lvlJc w:val="left"/>
      <w:pPr>
        <w:ind w:left="1080" w:hanging="360"/>
      </w:pPr>
      <w:rPr>
        <w:rFonts w:ascii="Garamond" w:hAnsi="Garamond"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44A35BBA"/>
    <w:multiLevelType w:val="hybridMultilevel"/>
    <w:tmpl w:val="A18E6AF6"/>
    <w:lvl w:ilvl="0" w:tplc="9050D37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45BB6914"/>
    <w:multiLevelType w:val="hybridMultilevel"/>
    <w:tmpl w:val="86DAF220"/>
    <w:lvl w:ilvl="0" w:tplc="CA5E3444">
      <w:start w:val="99"/>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8110A5E"/>
    <w:multiLevelType w:val="hybridMultilevel"/>
    <w:tmpl w:val="B6B81E6E"/>
    <w:lvl w:ilvl="0" w:tplc="EBA84BF8">
      <w:start w:val="3"/>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184F85"/>
    <w:multiLevelType w:val="hybridMultilevel"/>
    <w:tmpl w:val="D5F24682"/>
    <w:lvl w:ilvl="0" w:tplc="69B6D878">
      <w:start w:val="1"/>
      <w:numFmt w:val="bullet"/>
      <w:lvlText w:val=""/>
      <w:lvlJc w:val="left"/>
      <w:pPr>
        <w:tabs>
          <w:tab w:val="num" w:pos="720"/>
        </w:tabs>
        <w:ind w:left="720" w:hanging="360"/>
      </w:pPr>
      <w:rPr>
        <w:rFonts w:ascii="Wingdings" w:hAnsi="Wingdings" w:hint="default"/>
      </w:rPr>
    </w:lvl>
    <w:lvl w:ilvl="1" w:tplc="16843980">
      <w:start w:val="1"/>
      <w:numFmt w:val="bullet"/>
      <w:lvlText w:val=""/>
      <w:lvlJc w:val="left"/>
      <w:pPr>
        <w:tabs>
          <w:tab w:val="num" w:pos="1440"/>
        </w:tabs>
        <w:ind w:left="1440" w:hanging="360"/>
      </w:pPr>
      <w:rPr>
        <w:rFonts w:ascii="Wingdings" w:hAnsi="Wingdings" w:hint="default"/>
      </w:rPr>
    </w:lvl>
    <w:lvl w:ilvl="2" w:tplc="5A34E92E" w:tentative="1">
      <w:start w:val="1"/>
      <w:numFmt w:val="bullet"/>
      <w:lvlText w:val=""/>
      <w:lvlJc w:val="left"/>
      <w:pPr>
        <w:tabs>
          <w:tab w:val="num" w:pos="2160"/>
        </w:tabs>
        <w:ind w:left="2160" w:hanging="360"/>
      </w:pPr>
      <w:rPr>
        <w:rFonts w:ascii="Wingdings" w:hAnsi="Wingdings" w:hint="default"/>
      </w:rPr>
    </w:lvl>
    <w:lvl w:ilvl="3" w:tplc="20C0A98E" w:tentative="1">
      <w:start w:val="1"/>
      <w:numFmt w:val="bullet"/>
      <w:lvlText w:val=""/>
      <w:lvlJc w:val="left"/>
      <w:pPr>
        <w:tabs>
          <w:tab w:val="num" w:pos="2880"/>
        </w:tabs>
        <w:ind w:left="2880" w:hanging="360"/>
      </w:pPr>
      <w:rPr>
        <w:rFonts w:ascii="Wingdings" w:hAnsi="Wingdings" w:hint="default"/>
      </w:rPr>
    </w:lvl>
    <w:lvl w:ilvl="4" w:tplc="31AE3812" w:tentative="1">
      <w:start w:val="1"/>
      <w:numFmt w:val="bullet"/>
      <w:lvlText w:val=""/>
      <w:lvlJc w:val="left"/>
      <w:pPr>
        <w:tabs>
          <w:tab w:val="num" w:pos="3600"/>
        </w:tabs>
        <w:ind w:left="3600" w:hanging="360"/>
      </w:pPr>
      <w:rPr>
        <w:rFonts w:ascii="Wingdings" w:hAnsi="Wingdings" w:hint="default"/>
      </w:rPr>
    </w:lvl>
    <w:lvl w:ilvl="5" w:tplc="88BC0146" w:tentative="1">
      <w:start w:val="1"/>
      <w:numFmt w:val="bullet"/>
      <w:lvlText w:val=""/>
      <w:lvlJc w:val="left"/>
      <w:pPr>
        <w:tabs>
          <w:tab w:val="num" w:pos="4320"/>
        </w:tabs>
        <w:ind w:left="4320" w:hanging="360"/>
      </w:pPr>
      <w:rPr>
        <w:rFonts w:ascii="Wingdings" w:hAnsi="Wingdings" w:hint="default"/>
      </w:rPr>
    </w:lvl>
    <w:lvl w:ilvl="6" w:tplc="25241FFA" w:tentative="1">
      <w:start w:val="1"/>
      <w:numFmt w:val="bullet"/>
      <w:lvlText w:val=""/>
      <w:lvlJc w:val="left"/>
      <w:pPr>
        <w:tabs>
          <w:tab w:val="num" w:pos="5040"/>
        </w:tabs>
        <w:ind w:left="5040" w:hanging="360"/>
      </w:pPr>
      <w:rPr>
        <w:rFonts w:ascii="Wingdings" w:hAnsi="Wingdings" w:hint="default"/>
      </w:rPr>
    </w:lvl>
    <w:lvl w:ilvl="7" w:tplc="459A72B0" w:tentative="1">
      <w:start w:val="1"/>
      <w:numFmt w:val="bullet"/>
      <w:lvlText w:val=""/>
      <w:lvlJc w:val="left"/>
      <w:pPr>
        <w:tabs>
          <w:tab w:val="num" w:pos="5760"/>
        </w:tabs>
        <w:ind w:left="5760" w:hanging="360"/>
      </w:pPr>
      <w:rPr>
        <w:rFonts w:ascii="Wingdings" w:hAnsi="Wingdings" w:hint="default"/>
      </w:rPr>
    </w:lvl>
    <w:lvl w:ilvl="8" w:tplc="6212B14C" w:tentative="1">
      <w:start w:val="1"/>
      <w:numFmt w:val="bullet"/>
      <w:lvlText w:val=""/>
      <w:lvlJc w:val="left"/>
      <w:pPr>
        <w:tabs>
          <w:tab w:val="num" w:pos="6480"/>
        </w:tabs>
        <w:ind w:left="6480" w:hanging="360"/>
      </w:pPr>
      <w:rPr>
        <w:rFonts w:ascii="Wingdings" w:hAnsi="Wingdings" w:hint="default"/>
      </w:rPr>
    </w:lvl>
  </w:abstractNum>
  <w:abstractNum w:abstractNumId="18">
    <w:nsid w:val="4EDD354B"/>
    <w:multiLevelType w:val="hybridMultilevel"/>
    <w:tmpl w:val="6C3008DC"/>
    <w:lvl w:ilvl="0" w:tplc="3654A088">
      <w:start w:val="1"/>
      <w:numFmt w:val="bullet"/>
      <w:lvlText w:val=""/>
      <w:lvlJc w:val="left"/>
      <w:pPr>
        <w:tabs>
          <w:tab w:val="num" w:pos="720"/>
        </w:tabs>
        <w:ind w:left="720" w:hanging="360"/>
      </w:pPr>
      <w:rPr>
        <w:rFonts w:ascii="Wingdings" w:hAnsi="Wingdings" w:hint="default"/>
      </w:rPr>
    </w:lvl>
    <w:lvl w:ilvl="1" w:tplc="1A0A3EF4">
      <w:start w:val="281"/>
      <w:numFmt w:val="bullet"/>
      <w:lvlText w:val=""/>
      <w:lvlJc w:val="left"/>
      <w:pPr>
        <w:tabs>
          <w:tab w:val="num" w:pos="1440"/>
        </w:tabs>
        <w:ind w:left="1440" w:hanging="360"/>
      </w:pPr>
      <w:rPr>
        <w:rFonts w:ascii="Wingdings" w:hAnsi="Wingdings" w:hint="default"/>
      </w:rPr>
    </w:lvl>
    <w:lvl w:ilvl="2" w:tplc="703ADCB6" w:tentative="1">
      <w:start w:val="1"/>
      <w:numFmt w:val="bullet"/>
      <w:lvlText w:val=""/>
      <w:lvlJc w:val="left"/>
      <w:pPr>
        <w:tabs>
          <w:tab w:val="num" w:pos="2160"/>
        </w:tabs>
        <w:ind w:left="2160" w:hanging="360"/>
      </w:pPr>
      <w:rPr>
        <w:rFonts w:ascii="Wingdings" w:hAnsi="Wingdings" w:hint="default"/>
      </w:rPr>
    </w:lvl>
    <w:lvl w:ilvl="3" w:tplc="B14E9DA4" w:tentative="1">
      <w:start w:val="1"/>
      <w:numFmt w:val="bullet"/>
      <w:lvlText w:val=""/>
      <w:lvlJc w:val="left"/>
      <w:pPr>
        <w:tabs>
          <w:tab w:val="num" w:pos="2880"/>
        </w:tabs>
        <w:ind w:left="2880" w:hanging="360"/>
      </w:pPr>
      <w:rPr>
        <w:rFonts w:ascii="Wingdings" w:hAnsi="Wingdings" w:hint="default"/>
      </w:rPr>
    </w:lvl>
    <w:lvl w:ilvl="4" w:tplc="058E64C8" w:tentative="1">
      <w:start w:val="1"/>
      <w:numFmt w:val="bullet"/>
      <w:lvlText w:val=""/>
      <w:lvlJc w:val="left"/>
      <w:pPr>
        <w:tabs>
          <w:tab w:val="num" w:pos="3600"/>
        </w:tabs>
        <w:ind w:left="3600" w:hanging="360"/>
      </w:pPr>
      <w:rPr>
        <w:rFonts w:ascii="Wingdings" w:hAnsi="Wingdings" w:hint="default"/>
      </w:rPr>
    </w:lvl>
    <w:lvl w:ilvl="5" w:tplc="D4044080" w:tentative="1">
      <w:start w:val="1"/>
      <w:numFmt w:val="bullet"/>
      <w:lvlText w:val=""/>
      <w:lvlJc w:val="left"/>
      <w:pPr>
        <w:tabs>
          <w:tab w:val="num" w:pos="4320"/>
        </w:tabs>
        <w:ind w:left="4320" w:hanging="360"/>
      </w:pPr>
      <w:rPr>
        <w:rFonts w:ascii="Wingdings" w:hAnsi="Wingdings" w:hint="default"/>
      </w:rPr>
    </w:lvl>
    <w:lvl w:ilvl="6" w:tplc="CEC2A77E" w:tentative="1">
      <w:start w:val="1"/>
      <w:numFmt w:val="bullet"/>
      <w:lvlText w:val=""/>
      <w:lvlJc w:val="left"/>
      <w:pPr>
        <w:tabs>
          <w:tab w:val="num" w:pos="5040"/>
        </w:tabs>
        <w:ind w:left="5040" w:hanging="360"/>
      </w:pPr>
      <w:rPr>
        <w:rFonts w:ascii="Wingdings" w:hAnsi="Wingdings" w:hint="default"/>
      </w:rPr>
    </w:lvl>
    <w:lvl w:ilvl="7" w:tplc="278A1B28" w:tentative="1">
      <w:start w:val="1"/>
      <w:numFmt w:val="bullet"/>
      <w:lvlText w:val=""/>
      <w:lvlJc w:val="left"/>
      <w:pPr>
        <w:tabs>
          <w:tab w:val="num" w:pos="5760"/>
        </w:tabs>
        <w:ind w:left="5760" w:hanging="360"/>
      </w:pPr>
      <w:rPr>
        <w:rFonts w:ascii="Wingdings" w:hAnsi="Wingdings" w:hint="default"/>
      </w:rPr>
    </w:lvl>
    <w:lvl w:ilvl="8" w:tplc="484AB43C" w:tentative="1">
      <w:start w:val="1"/>
      <w:numFmt w:val="bullet"/>
      <w:lvlText w:val=""/>
      <w:lvlJc w:val="left"/>
      <w:pPr>
        <w:tabs>
          <w:tab w:val="num" w:pos="6480"/>
        </w:tabs>
        <w:ind w:left="6480" w:hanging="360"/>
      </w:pPr>
      <w:rPr>
        <w:rFonts w:ascii="Wingdings" w:hAnsi="Wingdings" w:hint="default"/>
      </w:rPr>
    </w:lvl>
  </w:abstractNum>
  <w:abstractNum w:abstractNumId="19">
    <w:nsid w:val="526E0327"/>
    <w:multiLevelType w:val="hybridMultilevel"/>
    <w:tmpl w:val="26B43740"/>
    <w:lvl w:ilvl="0" w:tplc="DB5AACFE">
      <w:start w:val="7"/>
      <w:numFmt w:val="bullet"/>
      <w:lvlText w:val="-"/>
      <w:lvlJc w:val="left"/>
      <w:pPr>
        <w:ind w:left="720" w:hanging="360"/>
      </w:pPr>
      <w:rPr>
        <w:rFonts w:ascii="Calibri" w:eastAsiaTheme="minorHAnsi" w:hAnsi="Calibr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10A02C5"/>
    <w:multiLevelType w:val="hybridMultilevel"/>
    <w:tmpl w:val="8E92FC4E"/>
    <w:lvl w:ilvl="0" w:tplc="A0D0ED80">
      <w:start w:val="1"/>
      <w:numFmt w:val="bullet"/>
      <w:pStyle w:val="Dotpoint2"/>
      <w:lvlText w:val="-"/>
      <w:lvlJc w:val="left"/>
      <w:pPr>
        <w:ind w:left="1800" w:hanging="360"/>
      </w:pPr>
      <w:rPr>
        <w:rFonts w:ascii="Courier New" w:hAnsi="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nsid w:val="6438052D"/>
    <w:multiLevelType w:val="hybridMultilevel"/>
    <w:tmpl w:val="887C6262"/>
    <w:lvl w:ilvl="0" w:tplc="D8EC8DBC">
      <w:start w:val="1"/>
      <w:numFmt w:val="bullet"/>
      <w:lvlText w:val="-"/>
      <w:lvlJc w:val="left"/>
      <w:pPr>
        <w:ind w:left="447"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B887F4B"/>
    <w:multiLevelType w:val="hybridMultilevel"/>
    <w:tmpl w:val="809C582E"/>
    <w:lvl w:ilvl="0" w:tplc="D8EC8DBC">
      <w:start w:val="1"/>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D617B2B"/>
    <w:multiLevelType w:val="multilevel"/>
    <w:tmpl w:val="BE988648"/>
    <w:styleLink w:val="ACILAllenBulletedlist"/>
    <w:lvl w:ilvl="0">
      <w:start w:val="1"/>
      <w:numFmt w:val="bullet"/>
      <w:pStyle w:val="ListBullet"/>
      <w:lvlText w:val=""/>
      <w:lvlJc w:val="left"/>
      <w:pPr>
        <w:ind w:left="340" w:hanging="340"/>
      </w:pPr>
      <w:rPr>
        <w:rFonts w:ascii="Wingdings" w:hAnsi="Wingdings"/>
        <w:position w:val="-4"/>
        <w:sz w:val="28"/>
      </w:rPr>
    </w:lvl>
    <w:lvl w:ilvl="1">
      <w:start w:val="1"/>
      <w:numFmt w:val="bullet"/>
      <w:pStyle w:val="ListBullet2"/>
      <w:lvlText w:val=""/>
      <w:lvlJc w:val="left"/>
      <w:pPr>
        <w:ind w:left="680" w:hanging="340"/>
      </w:pPr>
      <w:rPr>
        <w:rFonts w:ascii="Wingdings" w:hAnsi="Wingdings" w:hint="default"/>
        <w:position w:val="-2"/>
        <w:sz w:val="24"/>
      </w:rPr>
    </w:lvl>
    <w:lvl w:ilvl="2">
      <w:start w:val="1"/>
      <w:numFmt w:val="bullet"/>
      <w:pStyle w:val="ListBullet3"/>
      <w:lvlText w:val="…"/>
      <w:lvlJc w:val="left"/>
      <w:pPr>
        <w:ind w:left="1020" w:hanging="340"/>
      </w:pPr>
      <w:rPr>
        <w:rFonts w:asciiTheme="minorHAnsi" w:hAnsiTheme="minorHAnsi" w:hint="default"/>
        <w:position w:val="6"/>
      </w:rPr>
    </w:lvl>
    <w:lvl w:ilvl="3">
      <w:start w:val="1"/>
      <w:numFmt w:val="none"/>
      <w:lvlText w:val="%4"/>
      <w:lvlJc w:val="left"/>
      <w:pPr>
        <w:ind w:left="1021" w:hanging="1"/>
      </w:pPr>
      <w:rPr>
        <w:rFonts w:ascii="Garamond" w:hAnsi="Garamond" w:hint="default"/>
      </w:rPr>
    </w:lvl>
    <w:lvl w:ilvl="4">
      <w:start w:val="1"/>
      <w:numFmt w:val="none"/>
      <w:lvlText w:val="%5"/>
      <w:lvlJc w:val="left"/>
      <w:pPr>
        <w:ind w:left="1700" w:hanging="340"/>
      </w:pPr>
      <w:rPr>
        <w:rFonts w:ascii="Garamond" w:hAnsi="Garamond" w:hint="default"/>
      </w:rPr>
    </w:lvl>
    <w:lvl w:ilvl="5">
      <w:start w:val="1"/>
      <w:numFmt w:val="none"/>
      <w:suff w:val="nothing"/>
      <w:lvlText w:val=""/>
      <w:lvlJc w:val="left"/>
      <w:pPr>
        <w:ind w:left="2040" w:hanging="340"/>
      </w:pPr>
      <w:rPr>
        <w:rFonts w:hint="default"/>
      </w:rPr>
    </w:lvl>
    <w:lvl w:ilvl="6">
      <w:start w:val="1"/>
      <w:numFmt w:val="none"/>
      <w:lvlText w:val="%7"/>
      <w:lvlJc w:val="left"/>
      <w:pPr>
        <w:ind w:left="2380" w:hanging="340"/>
      </w:pPr>
      <w:rPr>
        <w:rFonts w:ascii="Garamond" w:hAnsi="Garamond" w:hint="default"/>
      </w:rPr>
    </w:lvl>
    <w:lvl w:ilvl="7">
      <w:start w:val="1"/>
      <w:numFmt w:val="none"/>
      <w:lvlText w:val="%8"/>
      <w:lvlJc w:val="left"/>
      <w:pPr>
        <w:ind w:left="2720" w:hanging="340"/>
      </w:pPr>
      <w:rPr>
        <w:rFonts w:ascii="Garamond" w:hAnsi="Garamond" w:hint="default"/>
      </w:rPr>
    </w:lvl>
    <w:lvl w:ilvl="8">
      <w:start w:val="1"/>
      <w:numFmt w:val="none"/>
      <w:lvlText w:val="%9"/>
      <w:lvlJc w:val="left"/>
      <w:pPr>
        <w:ind w:left="3060" w:hanging="340"/>
      </w:pPr>
      <w:rPr>
        <w:rFonts w:ascii="Garamond" w:hAnsi="Garamond" w:hint="default"/>
      </w:rPr>
    </w:lvl>
  </w:abstractNum>
  <w:abstractNum w:abstractNumId="24">
    <w:nsid w:val="6E6568BB"/>
    <w:multiLevelType w:val="hybridMultilevel"/>
    <w:tmpl w:val="93E07882"/>
    <w:lvl w:ilvl="0" w:tplc="FB20ABCA">
      <w:start w:val="1"/>
      <w:numFmt w:val="bullet"/>
      <w:pStyle w:val="Dotpoint1"/>
      <w:lvlText w:val=""/>
      <w:lvlJc w:val="left"/>
      <w:pPr>
        <w:ind w:left="502"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FD0846"/>
    <w:multiLevelType w:val="hybridMultilevel"/>
    <w:tmpl w:val="15187D46"/>
    <w:lvl w:ilvl="0" w:tplc="BB4E3D1C">
      <w:start w:val="1"/>
      <w:numFmt w:val="bullet"/>
      <w:pStyle w:val="Statsbullet"/>
      <w:lvlText w:val=""/>
      <w:lvlJc w:val="left"/>
      <w:pPr>
        <w:tabs>
          <w:tab w:val="num" w:pos="360"/>
        </w:tabs>
        <w:ind w:left="360" w:hanging="360"/>
      </w:pPr>
      <w:rPr>
        <w:rFonts w:ascii="Wingdings" w:hAnsi="Wingdings" w:hint="default"/>
        <w:color w:val="D10019"/>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2C42080"/>
    <w:multiLevelType w:val="hybridMultilevel"/>
    <w:tmpl w:val="1CD81432"/>
    <w:lvl w:ilvl="0" w:tplc="B49427B2">
      <w:numFmt w:val="bullet"/>
      <w:lvlText w:val="-"/>
      <w:lvlJc w:val="left"/>
      <w:pPr>
        <w:ind w:left="720" w:hanging="360"/>
      </w:pPr>
      <w:rPr>
        <w:rFonts w:ascii="HelveticaNeueLT Std Lt Cn" w:eastAsia="Times New Roman" w:hAnsi="HelveticaNeueLT Std Lt C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56E3D9C"/>
    <w:multiLevelType w:val="hybridMultilevel"/>
    <w:tmpl w:val="5F582298"/>
    <w:lvl w:ilvl="0" w:tplc="86806A6E">
      <w:start w:val="99"/>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5C309D7"/>
    <w:multiLevelType w:val="hybridMultilevel"/>
    <w:tmpl w:val="E50A74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5F1721A"/>
    <w:multiLevelType w:val="hybridMultilevel"/>
    <w:tmpl w:val="00F865D2"/>
    <w:lvl w:ilvl="0" w:tplc="DB5AACFE">
      <w:start w:val="7"/>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54475F"/>
    <w:multiLevelType w:val="multilevel"/>
    <w:tmpl w:val="81681B5A"/>
    <w:lvl w:ilvl="0">
      <w:start w:val="1"/>
      <w:numFmt w:val="bulle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sz w:val="22"/>
        <w:u w:val="none"/>
        <w:vertAlign w:val="baseline"/>
      </w:rPr>
    </w:lvl>
    <w:lvl w:ilvl="1">
      <w:start w:val="1"/>
      <w:numFmt w:val="bullet"/>
      <w:lvlText w:val=""/>
      <w:lvlJc w:val="left"/>
      <w:pPr>
        <w:tabs>
          <w:tab w:val="num" w:pos="1134"/>
        </w:tabs>
        <w:ind w:left="1134" w:hanging="567"/>
      </w:pPr>
      <w:rPr>
        <w:rFonts w:ascii="Symbol" w:hAnsi="Symbol" w:hint="default"/>
        <w:caps w:val="0"/>
        <w:strike w:val="0"/>
        <w:dstrike w:val="0"/>
        <w:outline w:val="0"/>
        <w:shadow w:val="0"/>
        <w:emboss w:val="0"/>
        <w:imprint w:val="0"/>
        <w:vanish w:val="0"/>
        <w:color w:val="auto"/>
        <w:sz w:val="22"/>
        <w:u w:val="none"/>
        <w:vertAlign w:val="baseline"/>
      </w:rPr>
    </w:lvl>
    <w:lvl w:ilvl="2">
      <w:start w:val="1"/>
      <w:numFmt w:val="bullet"/>
      <w:lvlText w:val=""/>
      <w:lvlJc w:val="left"/>
      <w:pPr>
        <w:tabs>
          <w:tab w:val="num" w:pos="1701"/>
        </w:tabs>
        <w:ind w:left="1701" w:hanging="567"/>
      </w:pPr>
      <w:rPr>
        <w:rFonts w:ascii="Symbol" w:hAnsi="Symbol" w:hint="default"/>
        <w:caps w:val="0"/>
        <w:strike w:val="0"/>
        <w:dstrike w:val="0"/>
        <w:outline w:val="0"/>
        <w:shadow w:val="0"/>
        <w:emboss w:val="0"/>
        <w:imprint w:val="0"/>
        <w:vanish w:val="0"/>
        <w:color w:val="auto"/>
        <w:sz w:val="22"/>
        <w:u w:val="none"/>
        <w:vertAlign w:val="baseline"/>
      </w:rPr>
    </w:lvl>
    <w:lvl w:ilvl="3">
      <w:start w:val="1"/>
      <w:numFmt w:val="bullet"/>
      <w:lvlText w:val=""/>
      <w:lvlJc w:val="left"/>
      <w:pPr>
        <w:tabs>
          <w:tab w:val="num" w:pos="2268"/>
        </w:tabs>
        <w:ind w:left="2268" w:hanging="567"/>
      </w:pPr>
      <w:rPr>
        <w:rFonts w:ascii="Symbol" w:hAnsi="Symbol" w:hint="default"/>
        <w:sz w:val="20"/>
      </w:rPr>
    </w:lvl>
    <w:lvl w:ilvl="4">
      <w:start w:val="1"/>
      <w:numFmt w:val="bullet"/>
      <w:lvlText w:val=""/>
      <w:lvlJc w:val="left"/>
      <w:pPr>
        <w:tabs>
          <w:tab w:val="num" w:pos="2835"/>
        </w:tabs>
        <w:ind w:left="2835" w:hanging="567"/>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nsid w:val="76EF77B5"/>
    <w:multiLevelType w:val="hybridMultilevel"/>
    <w:tmpl w:val="34B8E5B8"/>
    <w:lvl w:ilvl="0" w:tplc="6ADA9DFA">
      <w:start w:val="1"/>
      <w:numFmt w:val="bullet"/>
      <w:lvlText w:val=""/>
      <w:lvlJc w:val="left"/>
      <w:pPr>
        <w:tabs>
          <w:tab w:val="num" w:pos="720"/>
        </w:tabs>
        <w:ind w:left="720" w:hanging="360"/>
      </w:pPr>
      <w:rPr>
        <w:rFonts w:ascii="Wingdings" w:hAnsi="Wingdings" w:hint="default"/>
      </w:rPr>
    </w:lvl>
    <w:lvl w:ilvl="1" w:tplc="1C44AE66">
      <w:start w:val="3143"/>
      <w:numFmt w:val="bullet"/>
      <w:lvlText w:val=""/>
      <w:lvlJc w:val="left"/>
      <w:pPr>
        <w:tabs>
          <w:tab w:val="num" w:pos="1440"/>
        </w:tabs>
        <w:ind w:left="1440" w:hanging="360"/>
      </w:pPr>
      <w:rPr>
        <w:rFonts w:ascii="Wingdings" w:hAnsi="Wingdings" w:hint="default"/>
      </w:rPr>
    </w:lvl>
    <w:lvl w:ilvl="2" w:tplc="07E401E4" w:tentative="1">
      <w:start w:val="1"/>
      <w:numFmt w:val="bullet"/>
      <w:lvlText w:val=""/>
      <w:lvlJc w:val="left"/>
      <w:pPr>
        <w:tabs>
          <w:tab w:val="num" w:pos="2160"/>
        </w:tabs>
        <w:ind w:left="2160" w:hanging="360"/>
      </w:pPr>
      <w:rPr>
        <w:rFonts w:ascii="Wingdings" w:hAnsi="Wingdings" w:hint="default"/>
      </w:rPr>
    </w:lvl>
    <w:lvl w:ilvl="3" w:tplc="CD885C60" w:tentative="1">
      <w:start w:val="1"/>
      <w:numFmt w:val="bullet"/>
      <w:lvlText w:val=""/>
      <w:lvlJc w:val="left"/>
      <w:pPr>
        <w:tabs>
          <w:tab w:val="num" w:pos="2880"/>
        </w:tabs>
        <w:ind w:left="2880" w:hanging="360"/>
      </w:pPr>
      <w:rPr>
        <w:rFonts w:ascii="Wingdings" w:hAnsi="Wingdings" w:hint="default"/>
      </w:rPr>
    </w:lvl>
    <w:lvl w:ilvl="4" w:tplc="62746534" w:tentative="1">
      <w:start w:val="1"/>
      <w:numFmt w:val="bullet"/>
      <w:lvlText w:val=""/>
      <w:lvlJc w:val="left"/>
      <w:pPr>
        <w:tabs>
          <w:tab w:val="num" w:pos="3600"/>
        </w:tabs>
        <w:ind w:left="3600" w:hanging="360"/>
      </w:pPr>
      <w:rPr>
        <w:rFonts w:ascii="Wingdings" w:hAnsi="Wingdings" w:hint="default"/>
      </w:rPr>
    </w:lvl>
    <w:lvl w:ilvl="5" w:tplc="E6584BBA" w:tentative="1">
      <w:start w:val="1"/>
      <w:numFmt w:val="bullet"/>
      <w:lvlText w:val=""/>
      <w:lvlJc w:val="left"/>
      <w:pPr>
        <w:tabs>
          <w:tab w:val="num" w:pos="4320"/>
        </w:tabs>
        <w:ind w:left="4320" w:hanging="360"/>
      </w:pPr>
      <w:rPr>
        <w:rFonts w:ascii="Wingdings" w:hAnsi="Wingdings" w:hint="default"/>
      </w:rPr>
    </w:lvl>
    <w:lvl w:ilvl="6" w:tplc="B448AAD8" w:tentative="1">
      <w:start w:val="1"/>
      <w:numFmt w:val="bullet"/>
      <w:lvlText w:val=""/>
      <w:lvlJc w:val="left"/>
      <w:pPr>
        <w:tabs>
          <w:tab w:val="num" w:pos="5040"/>
        </w:tabs>
        <w:ind w:left="5040" w:hanging="360"/>
      </w:pPr>
      <w:rPr>
        <w:rFonts w:ascii="Wingdings" w:hAnsi="Wingdings" w:hint="default"/>
      </w:rPr>
    </w:lvl>
    <w:lvl w:ilvl="7" w:tplc="B9DA93DC" w:tentative="1">
      <w:start w:val="1"/>
      <w:numFmt w:val="bullet"/>
      <w:lvlText w:val=""/>
      <w:lvlJc w:val="left"/>
      <w:pPr>
        <w:tabs>
          <w:tab w:val="num" w:pos="5760"/>
        </w:tabs>
        <w:ind w:left="5760" w:hanging="360"/>
      </w:pPr>
      <w:rPr>
        <w:rFonts w:ascii="Wingdings" w:hAnsi="Wingdings" w:hint="default"/>
      </w:rPr>
    </w:lvl>
    <w:lvl w:ilvl="8" w:tplc="C2441C22" w:tentative="1">
      <w:start w:val="1"/>
      <w:numFmt w:val="bullet"/>
      <w:lvlText w:val=""/>
      <w:lvlJc w:val="left"/>
      <w:pPr>
        <w:tabs>
          <w:tab w:val="num" w:pos="6480"/>
        </w:tabs>
        <w:ind w:left="6480" w:hanging="360"/>
      </w:pPr>
      <w:rPr>
        <w:rFonts w:ascii="Wingdings" w:hAnsi="Wingdings" w:hint="default"/>
      </w:rPr>
    </w:lvl>
  </w:abstractNum>
  <w:abstractNum w:abstractNumId="32">
    <w:nsid w:val="77C92554"/>
    <w:multiLevelType w:val="multilevel"/>
    <w:tmpl w:val="BE988648"/>
    <w:numStyleLink w:val="ACILAllenBulletedlist"/>
  </w:abstractNum>
  <w:abstractNum w:abstractNumId="33">
    <w:nsid w:val="7E0E249B"/>
    <w:multiLevelType w:val="hybridMultilevel"/>
    <w:tmpl w:val="2A44E22C"/>
    <w:lvl w:ilvl="0" w:tplc="7C681B60">
      <w:start w:val="1"/>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E332C97"/>
    <w:multiLevelType w:val="hybridMultilevel"/>
    <w:tmpl w:val="B4C46FF6"/>
    <w:lvl w:ilvl="0" w:tplc="A48625BE">
      <w:start w:val="1"/>
      <w:numFmt w:val="bullet"/>
      <w:lvlText w:val=""/>
      <w:lvlJc w:val="left"/>
      <w:pPr>
        <w:tabs>
          <w:tab w:val="num" w:pos="720"/>
        </w:tabs>
        <w:ind w:left="720" w:hanging="360"/>
      </w:pPr>
      <w:rPr>
        <w:rFonts w:ascii="Wingdings" w:hAnsi="Wingdings" w:hint="default"/>
      </w:rPr>
    </w:lvl>
    <w:lvl w:ilvl="1" w:tplc="54BAED36">
      <w:start w:val="1"/>
      <w:numFmt w:val="bullet"/>
      <w:lvlText w:val=""/>
      <w:lvlJc w:val="left"/>
      <w:pPr>
        <w:tabs>
          <w:tab w:val="num" w:pos="1440"/>
        </w:tabs>
        <w:ind w:left="1440" w:hanging="360"/>
      </w:pPr>
      <w:rPr>
        <w:rFonts w:ascii="Wingdings" w:hAnsi="Wingdings" w:hint="default"/>
      </w:rPr>
    </w:lvl>
    <w:lvl w:ilvl="2" w:tplc="E200BB3E" w:tentative="1">
      <w:start w:val="1"/>
      <w:numFmt w:val="bullet"/>
      <w:lvlText w:val=""/>
      <w:lvlJc w:val="left"/>
      <w:pPr>
        <w:tabs>
          <w:tab w:val="num" w:pos="2160"/>
        </w:tabs>
        <w:ind w:left="2160" w:hanging="360"/>
      </w:pPr>
      <w:rPr>
        <w:rFonts w:ascii="Wingdings" w:hAnsi="Wingdings" w:hint="default"/>
      </w:rPr>
    </w:lvl>
    <w:lvl w:ilvl="3" w:tplc="A8EAB0E2" w:tentative="1">
      <w:start w:val="1"/>
      <w:numFmt w:val="bullet"/>
      <w:lvlText w:val=""/>
      <w:lvlJc w:val="left"/>
      <w:pPr>
        <w:tabs>
          <w:tab w:val="num" w:pos="2880"/>
        </w:tabs>
        <w:ind w:left="2880" w:hanging="360"/>
      </w:pPr>
      <w:rPr>
        <w:rFonts w:ascii="Wingdings" w:hAnsi="Wingdings" w:hint="default"/>
      </w:rPr>
    </w:lvl>
    <w:lvl w:ilvl="4" w:tplc="72A6B3F2" w:tentative="1">
      <w:start w:val="1"/>
      <w:numFmt w:val="bullet"/>
      <w:lvlText w:val=""/>
      <w:lvlJc w:val="left"/>
      <w:pPr>
        <w:tabs>
          <w:tab w:val="num" w:pos="3600"/>
        </w:tabs>
        <w:ind w:left="3600" w:hanging="360"/>
      </w:pPr>
      <w:rPr>
        <w:rFonts w:ascii="Wingdings" w:hAnsi="Wingdings" w:hint="default"/>
      </w:rPr>
    </w:lvl>
    <w:lvl w:ilvl="5" w:tplc="F880FBDA" w:tentative="1">
      <w:start w:val="1"/>
      <w:numFmt w:val="bullet"/>
      <w:lvlText w:val=""/>
      <w:lvlJc w:val="left"/>
      <w:pPr>
        <w:tabs>
          <w:tab w:val="num" w:pos="4320"/>
        </w:tabs>
        <w:ind w:left="4320" w:hanging="360"/>
      </w:pPr>
      <w:rPr>
        <w:rFonts w:ascii="Wingdings" w:hAnsi="Wingdings" w:hint="default"/>
      </w:rPr>
    </w:lvl>
    <w:lvl w:ilvl="6" w:tplc="8D2E86F6" w:tentative="1">
      <w:start w:val="1"/>
      <w:numFmt w:val="bullet"/>
      <w:lvlText w:val=""/>
      <w:lvlJc w:val="left"/>
      <w:pPr>
        <w:tabs>
          <w:tab w:val="num" w:pos="5040"/>
        </w:tabs>
        <w:ind w:left="5040" w:hanging="360"/>
      </w:pPr>
      <w:rPr>
        <w:rFonts w:ascii="Wingdings" w:hAnsi="Wingdings" w:hint="default"/>
      </w:rPr>
    </w:lvl>
    <w:lvl w:ilvl="7" w:tplc="2EF84104" w:tentative="1">
      <w:start w:val="1"/>
      <w:numFmt w:val="bullet"/>
      <w:lvlText w:val=""/>
      <w:lvlJc w:val="left"/>
      <w:pPr>
        <w:tabs>
          <w:tab w:val="num" w:pos="5760"/>
        </w:tabs>
        <w:ind w:left="5760" w:hanging="360"/>
      </w:pPr>
      <w:rPr>
        <w:rFonts w:ascii="Wingdings" w:hAnsi="Wingdings" w:hint="default"/>
      </w:rPr>
    </w:lvl>
    <w:lvl w:ilvl="8" w:tplc="CA76BF68" w:tentative="1">
      <w:start w:val="1"/>
      <w:numFmt w:val="bullet"/>
      <w:lvlText w:val=""/>
      <w:lvlJc w:val="left"/>
      <w:pPr>
        <w:tabs>
          <w:tab w:val="num" w:pos="6480"/>
        </w:tabs>
        <w:ind w:left="6480" w:hanging="360"/>
      </w:pPr>
      <w:rPr>
        <w:rFonts w:ascii="Wingdings" w:hAnsi="Wingdings" w:hint="default"/>
      </w:rPr>
    </w:lvl>
  </w:abstractNum>
  <w:abstractNum w:abstractNumId="35">
    <w:nsid w:val="7E36226D"/>
    <w:multiLevelType w:val="hybridMultilevel"/>
    <w:tmpl w:val="F3825B5E"/>
    <w:lvl w:ilvl="0" w:tplc="380207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ECF105F"/>
    <w:multiLevelType w:val="hybridMultilevel"/>
    <w:tmpl w:val="7062B8CC"/>
    <w:lvl w:ilvl="0" w:tplc="DA9C28E8">
      <w:start w:val="1"/>
      <w:numFmt w:val="bullet"/>
      <w:lvlText w:val=""/>
      <w:lvlJc w:val="left"/>
      <w:pPr>
        <w:tabs>
          <w:tab w:val="num" w:pos="720"/>
        </w:tabs>
        <w:ind w:left="720" w:hanging="360"/>
      </w:pPr>
      <w:rPr>
        <w:rFonts w:ascii="Wingdings" w:hAnsi="Wingdings" w:hint="default"/>
      </w:rPr>
    </w:lvl>
    <w:lvl w:ilvl="1" w:tplc="C64AB4CA">
      <w:start w:val="2173"/>
      <w:numFmt w:val="bullet"/>
      <w:lvlText w:val=""/>
      <w:lvlJc w:val="left"/>
      <w:pPr>
        <w:tabs>
          <w:tab w:val="num" w:pos="1440"/>
        </w:tabs>
        <w:ind w:left="1440" w:hanging="360"/>
      </w:pPr>
      <w:rPr>
        <w:rFonts w:ascii="Wingdings" w:hAnsi="Wingdings" w:hint="default"/>
      </w:rPr>
    </w:lvl>
    <w:lvl w:ilvl="2" w:tplc="5434B47E" w:tentative="1">
      <w:start w:val="1"/>
      <w:numFmt w:val="bullet"/>
      <w:lvlText w:val=""/>
      <w:lvlJc w:val="left"/>
      <w:pPr>
        <w:tabs>
          <w:tab w:val="num" w:pos="2160"/>
        </w:tabs>
        <w:ind w:left="2160" w:hanging="360"/>
      </w:pPr>
      <w:rPr>
        <w:rFonts w:ascii="Wingdings" w:hAnsi="Wingdings" w:hint="default"/>
      </w:rPr>
    </w:lvl>
    <w:lvl w:ilvl="3" w:tplc="C2C6C2EE" w:tentative="1">
      <w:start w:val="1"/>
      <w:numFmt w:val="bullet"/>
      <w:lvlText w:val=""/>
      <w:lvlJc w:val="left"/>
      <w:pPr>
        <w:tabs>
          <w:tab w:val="num" w:pos="2880"/>
        </w:tabs>
        <w:ind w:left="2880" w:hanging="360"/>
      </w:pPr>
      <w:rPr>
        <w:rFonts w:ascii="Wingdings" w:hAnsi="Wingdings" w:hint="default"/>
      </w:rPr>
    </w:lvl>
    <w:lvl w:ilvl="4" w:tplc="C53C2516" w:tentative="1">
      <w:start w:val="1"/>
      <w:numFmt w:val="bullet"/>
      <w:lvlText w:val=""/>
      <w:lvlJc w:val="left"/>
      <w:pPr>
        <w:tabs>
          <w:tab w:val="num" w:pos="3600"/>
        </w:tabs>
        <w:ind w:left="3600" w:hanging="360"/>
      </w:pPr>
      <w:rPr>
        <w:rFonts w:ascii="Wingdings" w:hAnsi="Wingdings" w:hint="default"/>
      </w:rPr>
    </w:lvl>
    <w:lvl w:ilvl="5" w:tplc="3CAA98E4" w:tentative="1">
      <w:start w:val="1"/>
      <w:numFmt w:val="bullet"/>
      <w:lvlText w:val=""/>
      <w:lvlJc w:val="left"/>
      <w:pPr>
        <w:tabs>
          <w:tab w:val="num" w:pos="4320"/>
        </w:tabs>
        <w:ind w:left="4320" w:hanging="360"/>
      </w:pPr>
      <w:rPr>
        <w:rFonts w:ascii="Wingdings" w:hAnsi="Wingdings" w:hint="default"/>
      </w:rPr>
    </w:lvl>
    <w:lvl w:ilvl="6" w:tplc="F9BAEB76" w:tentative="1">
      <w:start w:val="1"/>
      <w:numFmt w:val="bullet"/>
      <w:lvlText w:val=""/>
      <w:lvlJc w:val="left"/>
      <w:pPr>
        <w:tabs>
          <w:tab w:val="num" w:pos="5040"/>
        </w:tabs>
        <w:ind w:left="5040" w:hanging="360"/>
      </w:pPr>
      <w:rPr>
        <w:rFonts w:ascii="Wingdings" w:hAnsi="Wingdings" w:hint="default"/>
      </w:rPr>
    </w:lvl>
    <w:lvl w:ilvl="7" w:tplc="98A0A008" w:tentative="1">
      <w:start w:val="1"/>
      <w:numFmt w:val="bullet"/>
      <w:lvlText w:val=""/>
      <w:lvlJc w:val="left"/>
      <w:pPr>
        <w:tabs>
          <w:tab w:val="num" w:pos="5760"/>
        </w:tabs>
        <w:ind w:left="5760" w:hanging="360"/>
      </w:pPr>
      <w:rPr>
        <w:rFonts w:ascii="Wingdings" w:hAnsi="Wingdings" w:hint="default"/>
      </w:rPr>
    </w:lvl>
    <w:lvl w:ilvl="8" w:tplc="D39C9600"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0"/>
  </w:num>
  <w:num w:numId="3">
    <w:abstractNumId w:val="2"/>
  </w:num>
  <w:num w:numId="4">
    <w:abstractNumId w:val="9"/>
  </w:num>
  <w:num w:numId="5">
    <w:abstractNumId w:val="18"/>
  </w:num>
  <w:num w:numId="6">
    <w:abstractNumId w:val="22"/>
  </w:num>
  <w:num w:numId="7">
    <w:abstractNumId w:val="5"/>
  </w:num>
  <w:num w:numId="8">
    <w:abstractNumId w:val="10"/>
  </w:num>
  <w:num w:numId="9">
    <w:abstractNumId w:val="28"/>
  </w:num>
  <w:num w:numId="10">
    <w:abstractNumId w:val="21"/>
  </w:num>
  <w:num w:numId="11">
    <w:abstractNumId w:val="33"/>
  </w:num>
  <w:num w:numId="12">
    <w:abstractNumId w:val="30"/>
  </w:num>
  <w:num w:numId="13">
    <w:abstractNumId w:val="0"/>
  </w:num>
  <w:num w:numId="14">
    <w:abstractNumId w:val="4"/>
  </w:num>
  <w:num w:numId="15">
    <w:abstractNumId w:val="13"/>
  </w:num>
  <w:num w:numId="16">
    <w:abstractNumId w:val="26"/>
  </w:num>
  <w:num w:numId="17">
    <w:abstractNumId w:val="27"/>
  </w:num>
  <w:num w:numId="18">
    <w:abstractNumId w:val="15"/>
  </w:num>
  <w:num w:numId="19">
    <w:abstractNumId w:val="6"/>
  </w:num>
  <w:num w:numId="20">
    <w:abstractNumId w:val="25"/>
  </w:num>
  <w:num w:numId="21">
    <w:abstractNumId w:val="1"/>
  </w:num>
  <w:num w:numId="22">
    <w:abstractNumId w:val="7"/>
  </w:num>
  <w:num w:numId="23">
    <w:abstractNumId w:val="34"/>
  </w:num>
  <w:num w:numId="24">
    <w:abstractNumId w:val="36"/>
  </w:num>
  <w:num w:numId="25">
    <w:abstractNumId w:val="12"/>
  </w:num>
  <w:num w:numId="26">
    <w:abstractNumId w:val="11"/>
  </w:num>
  <w:num w:numId="27">
    <w:abstractNumId w:val="17"/>
  </w:num>
  <w:num w:numId="28">
    <w:abstractNumId w:val="31"/>
  </w:num>
  <w:num w:numId="29">
    <w:abstractNumId w:val="3"/>
  </w:num>
  <w:num w:numId="30">
    <w:abstractNumId w:val="19"/>
  </w:num>
  <w:num w:numId="31">
    <w:abstractNumId w:val="29"/>
  </w:num>
  <w:num w:numId="32">
    <w:abstractNumId w:val="35"/>
  </w:num>
  <w:num w:numId="33">
    <w:abstractNumId w:val="8"/>
  </w:num>
  <w:num w:numId="34">
    <w:abstractNumId w:val="16"/>
  </w:num>
  <w:num w:numId="35">
    <w:abstractNumId w:val="23"/>
  </w:num>
  <w:num w:numId="36">
    <w:abstractNumId w:val="32"/>
  </w:num>
  <w:num w:numId="3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evenAndOddHeaders/>
  <w:drawingGridHorizontalSpacing w:val="120"/>
  <w:displayHorizontalDrawingGridEvery w:val="0"/>
  <w:displayVerticalDrawingGridEvery w:val="0"/>
  <w:noPunctuationKerning/>
  <w:characterSpacingControl w:val="doNotCompress"/>
  <w:hdrShapeDefaults>
    <o:shapedefaults v:ext="edit" spidmax="183299">
      <o:colormru v:ext="edit" colors="#ffc425"/>
      <o:colormenu v:ext="edit" fillcolor="#ffc425"/>
    </o:shapedefaults>
    <o:shapelayout v:ext="edit">
      <o:idmap v:ext="edit" data="179"/>
    </o:shapelayout>
  </w:hdrShapeDefaults>
  <w:footnotePr>
    <w:footnote w:id="-1"/>
    <w:footnote w:id="0"/>
  </w:footnotePr>
  <w:endnotePr>
    <w:endnote w:id="-1"/>
    <w:endnote w:id="0"/>
  </w:endnotePr>
  <w:compat>
    <w:compatSetting w:name="compatibilityMode" w:uri="http://schemas.microsoft.com/office/word" w:val="12"/>
  </w:compat>
  <w:rsids>
    <w:rsidRoot w:val="007B5F7D"/>
    <w:rsid w:val="000011ED"/>
    <w:rsid w:val="00001A09"/>
    <w:rsid w:val="000064C1"/>
    <w:rsid w:val="00006F37"/>
    <w:rsid w:val="000108B2"/>
    <w:rsid w:val="0001092B"/>
    <w:rsid w:val="00016077"/>
    <w:rsid w:val="0001715C"/>
    <w:rsid w:val="00017F79"/>
    <w:rsid w:val="00022290"/>
    <w:rsid w:val="00022A9B"/>
    <w:rsid w:val="0002468F"/>
    <w:rsid w:val="000273B6"/>
    <w:rsid w:val="00030966"/>
    <w:rsid w:val="00033DAE"/>
    <w:rsid w:val="00035089"/>
    <w:rsid w:val="000403A8"/>
    <w:rsid w:val="000427B3"/>
    <w:rsid w:val="00045A11"/>
    <w:rsid w:val="000461C8"/>
    <w:rsid w:val="000461E1"/>
    <w:rsid w:val="00046248"/>
    <w:rsid w:val="00052E0F"/>
    <w:rsid w:val="000548DB"/>
    <w:rsid w:val="0006125F"/>
    <w:rsid w:val="00061505"/>
    <w:rsid w:val="00066E61"/>
    <w:rsid w:val="00072935"/>
    <w:rsid w:val="00074BD4"/>
    <w:rsid w:val="000772DB"/>
    <w:rsid w:val="00081234"/>
    <w:rsid w:val="000832FA"/>
    <w:rsid w:val="00083523"/>
    <w:rsid w:val="00085F3A"/>
    <w:rsid w:val="000910AD"/>
    <w:rsid w:val="00091A56"/>
    <w:rsid w:val="00094466"/>
    <w:rsid w:val="000973C9"/>
    <w:rsid w:val="00097494"/>
    <w:rsid w:val="000A3CFC"/>
    <w:rsid w:val="000A4716"/>
    <w:rsid w:val="000A527A"/>
    <w:rsid w:val="000A5CC6"/>
    <w:rsid w:val="000A7D0B"/>
    <w:rsid w:val="000B23F9"/>
    <w:rsid w:val="000B641D"/>
    <w:rsid w:val="000B7314"/>
    <w:rsid w:val="000C01A7"/>
    <w:rsid w:val="000C2D35"/>
    <w:rsid w:val="000C331C"/>
    <w:rsid w:val="000C347D"/>
    <w:rsid w:val="000C40D9"/>
    <w:rsid w:val="000C5C29"/>
    <w:rsid w:val="000C5FC7"/>
    <w:rsid w:val="000C7AFF"/>
    <w:rsid w:val="000D1083"/>
    <w:rsid w:val="000D3FAB"/>
    <w:rsid w:val="000D4332"/>
    <w:rsid w:val="000D5AD2"/>
    <w:rsid w:val="000E6293"/>
    <w:rsid w:val="000E750E"/>
    <w:rsid w:val="000F597D"/>
    <w:rsid w:val="00101213"/>
    <w:rsid w:val="001020C8"/>
    <w:rsid w:val="0010212C"/>
    <w:rsid w:val="00103F57"/>
    <w:rsid w:val="00107237"/>
    <w:rsid w:val="0010761A"/>
    <w:rsid w:val="00110AC7"/>
    <w:rsid w:val="00113805"/>
    <w:rsid w:val="00113BFC"/>
    <w:rsid w:val="001227D2"/>
    <w:rsid w:val="00123B5C"/>
    <w:rsid w:val="0012509A"/>
    <w:rsid w:val="00132069"/>
    <w:rsid w:val="00132C2C"/>
    <w:rsid w:val="001349DF"/>
    <w:rsid w:val="00135C75"/>
    <w:rsid w:val="00136361"/>
    <w:rsid w:val="00136FFC"/>
    <w:rsid w:val="0013762E"/>
    <w:rsid w:val="00146595"/>
    <w:rsid w:val="001476A5"/>
    <w:rsid w:val="00150874"/>
    <w:rsid w:val="001509F3"/>
    <w:rsid w:val="00157FE5"/>
    <w:rsid w:val="001610FA"/>
    <w:rsid w:val="0016508D"/>
    <w:rsid w:val="00165B24"/>
    <w:rsid w:val="001709AE"/>
    <w:rsid w:val="00171C60"/>
    <w:rsid w:val="00173A69"/>
    <w:rsid w:val="00174C09"/>
    <w:rsid w:val="00176CB3"/>
    <w:rsid w:val="00181526"/>
    <w:rsid w:val="00181FEC"/>
    <w:rsid w:val="00185DDC"/>
    <w:rsid w:val="001906A4"/>
    <w:rsid w:val="00195F32"/>
    <w:rsid w:val="00197483"/>
    <w:rsid w:val="0019757F"/>
    <w:rsid w:val="001A1617"/>
    <w:rsid w:val="001A5F06"/>
    <w:rsid w:val="001B089F"/>
    <w:rsid w:val="001B43CF"/>
    <w:rsid w:val="001B6810"/>
    <w:rsid w:val="001B6FBF"/>
    <w:rsid w:val="001B79FD"/>
    <w:rsid w:val="001C004A"/>
    <w:rsid w:val="001C348B"/>
    <w:rsid w:val="001C6553"/>
    <w:rsid w:val="001C6FD7"/>
    <w:rsid w:val="001C718B"/>
    <w:rsid w:val="001C735B"/>
    <w:rsid w:val="001D281E"/>
    <w:rsid w:val="001D289D"/>
    <w:rsid w:val="001D33A5"/>
    <w:rsid w:val="001D526C"/>
    <w:rsid w:val="001D5A24"/>
    <w:rsid w:val="001D5FB1"/>
    <w:rsid w:val="001E42A8"/>
    <w:rsid w:val="001E6ED3"/>
    <w:rsid w:val="001F2551"/>
    <w:rsid w:val="001F2F7C"/>
    <w:rsid w:val="001F375B"/>
    <w:rsid w:val="001F5C33"/>
    <w:rsid w:val="001F62DA"/>
    <w:rsid w:val="001F6479"/>
    <w:rsid w:val="001F6D87"/>
    <w:rsid w:val="001F7D84"/>
    <w:rsid w:val="002018DF"/>
    <w:rsid w:val="002040C6"/>
    <w:rsid w:val="002074B9"/>
    <w:rsid w:val="00211ADF"/>
    <w:rsid w:val="00213CB1"/>
    <w:rsid w:val="0021450E"/>
    <w:rsid w:val="002235FC"/>
    <w:rsid w:val="0022398A"/>
    <w:rsid w:val="00226505"/>
    <w:rsid w:val="00226F5E"/>
    <w:rsid w:val="002277A9"/>
    <w:rsid w:val="00227ACD"/>
    <w:rsid w:val="00227AF8"/>
    <w:rsid w:val="00232C24"/>
    <w:rsid w:val="00233666"/>
    <w:rsid w:val="00233BFA"/>
    <w:rsid w:val="00233C7D"/>
    <w:rsid w:val="0023656F"/>
    <w:rsid w:val="0023678F"/>
    <w:rsid w:val="0023752D"/>
    <w:rsid w:val="0024350B"/>
    <w:rsid w:val="002525E8"/>
    <w:rsid w:val="00252EF2"/>
    <w:rsid w:val="00254089"/>
    <w:rsid w:val="002568B1"/>
    <w:rsid w:val="002572DC"/>
    <w:rsid w:val="00263A92"/>
    <w:rsid w:val="00265644"/>
    <w:rsid w:val="00267E7E"/>
    <w:rsid w:val="00273E76"/>
    <w:rsid w:val="002745B9"/>
    <w:rsid w:val="00274E2F"/>
    <w:rsid w:val="0027514A"/>
    <w:rsid w:val="00275CA0"/>
    <w:rsid w:val="002805F0"/>
    <w:rsid w:val="00284FCB"/>
    <w:rsid w:val="002853C0"/>
    <w:rsid w:val="00285633"/>
    <w:rsid w:val="00286B68"/>
    <w:rsid w:val="002878C7"/>
    <w:rsid w:val="0029248B"/>
    <w:rsid w:val="002925CA"/>
    <w:rsid w:val="00294B8F"/>
    <w:rsid w:val="002A0DC7"/>
    <w:rsid w:val="002A161D"/>
    <w:rsid w:val="002A16A4"/>
    <w:rsid w:val="002A1A1D"/>
    <w:rsid w:val="002A5E98"/>
    <w:rsid w:val="002B17D4"/>
    <w:rsid w:val="002B37DC"/>
    <w:rsid w:val="002B5240"/>
    <w:rsid w:val="002B649C"/>
    <w:rsid w:val="002C0F91"/>
    <w:rsid w:val="002C2214"/>
    <w:rsid w:val="002C256C"/>
    <w:rsid w:val="002C3EC5"/>
    <w:rsid w:val="002C61C4"/>
    <w:rsid w:val="002C7CCF"/>
    <w:rsid w:val="002C7E39"/>
    <w:rsid w:val="002C7E59"/>
    <w:rsid w:val="002D07FB"/>
    <w:rsid w:val="002D2BF0"/>
    <w:rsid w:val="002D45D6"/>
    <w:rsid w:val="002D6E00"/>
    <w:rsid w:val="002E196B"/>
    <w:rsid w:val="002E2B8E"/>
    <w:rsid w:val="002E414E"/>
    <w:rsid w:val="002E61A4"/>
    <w:rsid w:val="002F1B10"/>
    <w:rsid w:val="002F2A96"/>
    <w:rsid w:val="002F36AF"/>
    <w:rsid w:val="002F4AA0"/>
    <w:rsid w:val="00300549"/>
    <w:rsid w:val="00302272"/>
    <w:rsid w:val="00305497"/>
    <w:rsid w:val="003077C8"/>
    <w:rsid w:val="00311EAD"/>
    <w:rsid w:val="00312A90"/>
    <w:rsid w:val="003131AC"/>
    <w:rsid w:val="00314802"/>
    <w:rsid w:val="00314FB0"/>
    <w:rsid w:val="003153AA"/>
    <w:rsid w:val="00322176"/>
    <w:rsid w:val="00322891"/>
    <w:rsid w:val="003256CC"/>
    <w:rsid w:val="003264D0"/>
    <w:rsid w:val="00326D60"/>
    <w:rsid w:val="003274FB"/>
    <w:rsid w:val="0033091E"/>
    <w:rsid w:val="00333136"/>
    <w:rsid w:val="00335622"/>
    <w:rsid w:val="0033625F"/>
    <w:rsid w:val="00336791"/>
    <w:rsid w:val="003449EE"/>
    <w:rsid w:val="003464F3"/>
    <w:rsid w:val="003503EA"/>
    <w:rsid w:val="003529B8"/>
    <w:rsid w:val="0035421A"/>
    <w:rsid w:val="00354927"/>
    <w:rsid w:val="00354AC3"/>
    <w:rsid w:val="00354C72"/>
    <w:rsid w:val="00355950"/>
    <w:rsid w:val="00356F49"/>
    <w:rsid w:val="00363B7B"/>
    <w:rsid w:val="0036674F"/>
    <w:rsid w:val="00366B5F"/>
    <w:rsid w:val="00367BAA"/>
    <w:rsid w:val="003703B7"/>
    <w:rsid w:val="00370595"/>
    <w:rsid w:val="003741E2"/>
    <w:rsid w:val="00376477"/>
    <w:rsid w:val="003768F7"/>
    <w:rsid w:val="00376CD6"/>
    <w:rsid w:val="00377B1F"/>
    <w:rsid w:val="00381D89"/>
    <w:rsid w:val="00391A29"/>
    <w:rsid w:val="0039240D"/>
    <w:rsid w:val="0039263D"/>
    <w:rsid w:val="003A126E"/>
    <w:rsid w:val="003A3F32"/>
    <w:rsid w:val="003A45C4"/>
    <w:rsid w:val="003A5282"/>
    <w:rsid w:val="003A693B"/>
    <w:rsid w:val="003B0BA4"/>
    <w:rsid w:val="003B16DA"/>
    <w:rsid w:val="003B1816"/>
    <w:rsid w:val="003B31FA"/>
    <w:rsid w:val="003B40AB"/>
    <w:rsid w:val="003B483E"/>
    <w:rsid w:val="003B5C8E"/>
    <w:rsid w:val="003C134E"/>
    <w:rsid w:val="003C479F"/>
    <w:rsid w:val="003C6D1C"/>
    <w:rsid w:val="003C7DBB"/>
    <w:rsid w:val="003D0C6E"/>
    <w:rsid w:val="003D2807"/>
    <w:rsid w:val="003D4A08"/>
    <w:rsid w:val="003D4B3E"/>
    <w:rsid w:val="003E0C83"/>
    <w:rsid w:val="003E39AE"/>
    <w:rsid w:val="003E3A1A"/>
    <w:rsid w:val="003E4278"/>
    <w:rsid w:val="003E4719"/>
    <w:rsid w:val="003E5C6A"/>
    <w:rsid w:val="003E67CB"/>
    <w:rsid w:val="003F09A2"/>
    <w:rsid w:val="003F43B3"/>
    <w:rsid w:val="003F6D45"/>
    <w:rsid w:val="003F76FA"/>
    <w:rsid w:val="00401DD8"/>
    <w:rsid w:val="00402C4B"/>
    <w:rsid w:val="00403690"/>
    <w:rsid w:val="00403A2F"/>
    <w:rsid w:val="00404B60"/>
    <w:rsid w:val="00405D09"/>
    <w:rsid w:val="00412639"/>
    <w:rsid w:val="00423E8C"/>
    <w:rsid w:val="00426BBD"/>
    <w:rsid w:val="00426F76"/>
    <w:rsid w:val="00427C11"/>
    <w:rsid w:val="00432C46"/>
    <w:rsid w:val="004418B4"/>
    <w:rsid w:val="004418FC"/>
    <w:rsid w:val="00441982"/>
    <w:rsid w:val="00445B7E"/>
    <w:rsid w:val="00446BFD"/>
    <w:rsid w:val="00450086"/>
    <w:rsid w:val="00451C52"/>
    <w:rsid w:val="004542C0"/>
    <w:rsid w:val="00457C8F"/>
    <w:rsid w:val="00461154"/>
    <w:rsid w:val="00461354"/>
    <w:rsid w:val="0046335E"/>
    <w:rsid w:val="00463769"/>
    <w:rsid w:val="00471634"/>
    <w:rsid w:val="004719D7"/>
    <w:rsid w:val="00471BDA"/>
    <w:rsid w:val="004748DD"/>
    <w:rsid w:val="00483C4F"/>
    <w:rsid w:val="004848CB"/>
    <w:rsid w:val="00485542"/>
    <w:rsid w:val="004856AF"/>
    <w:rsid w:val="00486890"/>
    <w:rsid w:val="004914B7"/>
    <w:rsid w:val="00492BF0"/>
    <w:rsid w:val="00495E54"/>
    <w:rsid w:val="004970AA"/>
    <w:rsid w:val="00497A47"/>
    <w:rsid w:val="004A0C6D"/>
    <w:rsid w:val="004A42C7"/>
    <w:rsid w:val="004A4A15"/>
    <w:rsid w:val="004A798A"/>
    <w:rsid w:val="004B0059"/>
    <w:rsid w:val="004B09AC"/>
    <w:rsid w:val="004B4ADD"/>
    <w:rsid w:val="004B7430"/>
    <w:rsid w:val="004B7594"/>
    <w:rsid w:val="004C1D7E"/>
    <w:rsid w:val="004C32DF"/>
    <w:rsid w:val="004C7E70"/>
    <w:rsid w:val="004D0611"/>
    <w:rsid w:val="004D2DD5"/>
    <w:rsid w:val="004E3DF5"/>
    <w:rsid w:val="004E57D7"/>
    <w:rsid w:val="004E7227"/>
    <w:rsid w:val="004F0398"/>
    <w:rsid w:val="004F14FF"/>
    <w:rsid w:val="004F4D6C"/>
    <w:rsid w:val="004F68E2"/>
    <w:rsid w:val="004F79E0"/>
    <w:rsid w:val="00501019"/>
    <w:rsid w:val="00502343"/>
    <w:rsid w:val="00504027"/>
    <w:rsid w:val="00507FC7"/>
    <w:rsid w:val="00514B6B"/>
    <w:rsid w:val="005162A9"/>
    <w:rsid w:val="005164AE"/>
    <w:rsid w:val="0051788F"/>
    <w:rsid w:val="00521936"/>
    <w:rsid w:val="00521A33"/>
    <w:rsid w:val="0052276C"/>
    <w:rsid w:val="0052457A"/>
    <w:rsid w:val="0052542E"/>
    <w:rsid w:val="00530CAE"/>
    <w:rsid w:val="00530D0B"/>
    <w:rsid w:val="005348B0"/>
    <w:rsid w:val="00534D48"/>
    <w:rsid w:val="00535255"/>
    <w:rsid w:val="00536BB7"/>
    <w:rsid w:val="005416A4"/>
    <w:rsid w:val="005416AD"/>
    <w:rsid w:val="00544823"/>
    <w:rsid w:val="005509E9"/>
    <w:rsid w:val="00550DB2"/>
    <w:rsid w:val="005523F7"/>
    <w:rsid w:val="005550B9"/>
    <w:rsid w:val="00555350"/>
    <w:rsid w:val="005553E2"/>
    <w:rsid w:val="00557407"/>
    <w:rsid w:val="00557E43"/>
    <w:rsid w:val="00561D5E"/>
    <w:rsid w:val="005656DD"/>
    <w:rsid w:val="00567ACE"/>
    <w:rsid w:val="00570758"/>
    <w:rsid w:val="00571A7D"/>
    <w:rsid w:val="00573550"/>
    <w:rsid w:val="00573F3E"/>
    <w:rsid w:val="00582AC6"/>
    <w:rsid w:val="0058325F"/>
    <w:rsid w:val="00587F74"/>
    <w:rsid w:val="00591272"/>
    <w:rsid w:val="00596C98"/>
    <w:rsid w:val="00597ADC"/>
    <w:rsid w:val="005A0F5D"/>
    <w:rsid w:val="005A1F26"/>
    <w:rsid w:val="005A3506"/>
    <w:rsid w:val="005B3E60"/>
    <w:rsid w:val="005B5F1A"/>
    <w:rsid w:val="005B68DA"/>
    <w:rsid w:val="005C277E"/>
    <w:rsid w:val="005C5C09"/>
    <w:rsid w:val="005D10AC"/>
    <w:rsid w:val="005D4AD6"/>
    <w:rsid w:val="005D574E"/>
    <w:rsid w:val="005D7639"/>
    <w:rsid w:val="005E1D27"/>
    <w:rsid w:val="005E2BDC"/>
    <w:rsid w:val="005E3262"/>
    <w:rsid w:val="005E4764"/>
    <w:rsid w:val="005E55B6"/>
    <w:rsid w:val="005E5703"/>
    <w:rsid w:val="005E753D"/>
    <w:rsid w:val="005F26F9"/>
    <w:rsid w:val="005F27BB"/>
    <w:rsid w:val="005F4E21"/>
    <w:rsid w:val="00600957"/>
    <w:rsid w:val="00601CC6"/>
    <w:rsid w:val="006039A2"/>
    <w:rsid w:val="00603EEC"/>
    <w:rsid w:val="00604D53"/>
    <w:rsid w:val="00606D1E"/>
    <w:rsid w:val="006077D8"/>
    <w:rsid w:val="00610B4F"/>
    <w:rsid w:val="00617E4F"/>
    <w:rsid w:val="006268F1"/>
    <w:rsid w:val="00636C58"/>
    <w:rsid w:val="00636E06"/>
    <w:rsid w:val="00642E2E"/>
    <w:rsid w:val="00642EC8"/>
    <w:rsid w:val="00644BD0"/>
    <w:rsid w:val="0064662F"/>
    <w:rsid w:val="006470B9"/>
    <w:rsid w:val="0065113D"/>
    <w:rsid w:val="006526FE"/>
    <w:rsid w:val="00652973"/>
    <w:rsid w:val="00652B3A"/>
    <w:rsid w:val="00655FE5"/>
    <w:rsid w:val="00661C8E"/>
    <w:rsid w:val="0066213B"/>
    <w:rsid w:val="006657D1"/>
    <w:rsid w:val="0067097A"/>
    <w:rsid w:val="0067147B"/>
    <w:rsid w:val="00671781"/>
    <w:rsid w:val="0067275B"/>
    <w:rsid w:val="0067712D"/>
    <w:rsid w:val="0068042D"/>
    <w:rsid w:val="0068560B"/>
    <w:rsid w:val="006857FA"/>
    <w:rsid w:val="00691548"/>
    <w:rsid w:val="0069461F"/>
    <w:rsid w:val="00696483"/>
    <w:rsid w:val="00696A48"/>
    <w:rsid w:val="006A2DC3"/>
    <w:rsid w:val="006A4575"/>
    <w:rsid w:val="006A68AE"/>
    <w:rsid w:val="006B0783"/>
    <w:rsid w:val="006B1F5B"/>
    <w:rsid w:val="006B4F92"/>
    <w:rsid w:val="006B6E0D"/>
    <w:rsid w:val="006B727D"/>
    <w:rsid w:val="006C52A4"/>
    <w:rsid w:val="006C5BBA"/>
    <w:rsid w:val="006C5DA9"/>
    <w:rsid w:val="006D1F94"/>
    <w:rsid w:val="006D26C9"/>
    <w:rsid w:val="006D69BB"/>
    <w:rsid w:val="006E46BB"/>
    <w:rsid w:val="006E59F2"/>
    <w:rsid w:val="006E761A"/>
    <w:rsid w:val="006F0AA3"/>
    <w:rsid w:val="006F24E5"/>
    <w:rsid w:val="006F5A49"/>
    <w:rsid w:val="0070197B"/>
    <w:rsid w:val="0070216E"/>
    <w:rsid w:val="00702716"/>
    <w:rsid w:val="0070366E"/>
    <w:rsid w:val="007037A4"/>
    <w:rsid w:val="00704066"/>
    <w:rsid w:val="00704E6C"/>
    <w:rsid w:val="0070656B"/>
    <w:rsid w:val="00711482"/>
    <w:rsid w:val="00713BFD"/>
    <w:rsid w:val="00713CA2"/>
    <w:rsid w:val="0071756A"/>
    <w:rsid w:val="00722022"/>
    <w:rsid w:val="007318E5"/>
    <w:rsid w:val="00731EC8"/>
    <w:rsid w:val="007414FB"/>
    <w:rsid w:val="00741F46"/>
    <w:rsid w:val="00744B17"/>
    <w:rsid w:val="00754A91"/>
    <w:rsid w:val="00766117"/>
    <w:rsid w:val="00770ED3"/>
    <w:rsid w:val="007721A6"/>
    <w:rsid w:val="0077238F"/>
    <w:rsid w:val="00772CAE"/>
    <w:rsid w:val="00774EEF"/>
    <w:rsid w:val="00782E0F"/>
    <w:rsid w:val="00783315"/>
    <w:rsid w:val="0078377C"/>
    <w:rsid w:val="00783E5A"/>
    <w:rsid w:val="00783F44"/>
    <w:rsid w:val="007847B0"/>
    <w:rsid w:val="007854C2"/>
    <w:rsid w:val="007928BA"/>
    <w:rsid w:val="00795AB3"/>
    <w:rsid w:val="00795ED7"/>
    <w:rsid w:val="007A2612"/>
    <w:rsid w:val="007A270D"/>
    <w:rsid w:val="007A5AF0"/>
    <w:rsid w:val="007A67E5"/>
    <w:rsid w:val="007A7288"/>
    <w:rsid w:val="007B5F7D"/>
    <w:rsid w:val="007B65C2"/>
    <w:rsid w:val="007C152F"/>
    <w:rsid w:val="007C1E0F"/>
    <w:rsid w:val="007C1F0D"/>
    <w:rsid w:val="007C22B2"/>
    <w:rsid w:val="007C286B"/>
    <w:rsid w:val="007C28B3"/>
    <w:rsid w:val="007C3C82"/>
    <w:rsid w:val="007C50A7"/>
    <w:rsid w:val="007C7B5B"/>
    <w:rsid w:val="007D27C6"/>
    <w:rsid w:val="007D387B"/>
    <w:rsid w:val="007D4EDD"/>
    <w:rsid w:val="007E1396"/>
    <w:rsid w:val="007E2E27"/>
    <w:rsid w:val="007E63B6"/>
    <w:rsid w:val="007F10B1"/>
    <w:rsid w:val="007F1F6D"/>
    <w:rsid w:val="007F22B6"/>
    <w:rsid w:val="007F5849"/>
    <w:rsid w:val="00801C1F"/>
    <w:rsid w:val="00806C1C"/>
    <w:rsid w:val="008070EC"/>
    <w:rsid w:val="00810B32"/>
    <w:rsid w:val="008139D9"/>
    <w:rsid w:val="00813D06"/>
    <w:rsid w:val="00813D09"/>
    <w:rsid w:val="00813EA4"/>
    <w:rsid w:val="00820C26"/>
    <w:rsid w:val="008251EC"/>
    <w:rsid w:val="00825BB8"/>
    <w:rsid w:val="00826757"/>
    <w:rsid w:val="0082769B"/>
    <w:rsid w:val="008302EA"/>
    <w:rsid w:val="00834026"/>
    <w:rsid w:val="008342B2"/>
    <w:rsid w:val="00835BBD"/>
    <w:rsid w:val="00841D97"/>
    <w:rsid w:val="00841F93"/>
    <w:rsid w:val="008577D0"/>
    <w:rsid w:val="00860471"/>
    <w:rsid w:val="00865813"/>
    <w:rsid w:val="00865B97"/>
    <w:rsid w:val="00875773"/>
    <w:rsid w:val="00875B27"/>
    <w:rsid w:val="0087782F"/>
    <w:rsid w:val="0088105C"/>
    <w:rsid w:val="008823F7"/>
    <w:rsid w:val="008871DA"/>
    <w:rsid w:val="00892488"/>
    <w:rsid w:val="00892D19"/>
    <w:rsid w:val="008932F1"/>
    <w:rsid w:val="008965E6"/>
    <w:rsid w:val="008975D5"/>
    <w:rsid w:val="008A636B"/>
    <w:rsid w:val="008A6D27"/>
    <w:rsid w:val="008A74AF"/>
    <w:rsid w:val="008B0746"/>
    <w:rsid w:val="008B45AB"/>
    <w:rsid w:val="008B5ED1"/>
    <w:rsid w:val="008B74C2"/>
    <w:rsid w:val="008C0A74"/>
    <w:rsid w:val="008C2519"/>
    <w:rsid w:val="008C435A"/>
    <w:rsid w:val="008C6D73"/>
    <w:rsid w:val="008C79F8"/>
    <w:rsid w:val="008C7C09"/>
    <w:rsid w:val="008D2541"/>
    <w:rsid w:val="008D416D"/>
    <w:rsid w:val="008D6F70"/>
    <w:rsid w:val="008D7615"/>
    <w:rsid w:val="008E376D"/>
    <w:rsid w:val="008E3E78"/>
    <w:rsid w:val="008E4746"/>
    <w:rsid w:val="008F20BA"/>
    <w:rsid w:val="008F459F"/>
    <w:rsid w:val="008F49EA"/>
    <w:rsid w:val="008F6588"/>
    <w:rsid w:val="008F6891"/>
    <w:rsid w:val="0090448B"/>
    <w:rsid w:val="009058B5"/>
    <w:rsid w:val="00906F99"/>
    <w:rsid w:val="009113C1"/>
    <w:rsid w:val="009114A6"/>
    <w:rsid w:val="0091222F"/>
    <w:rsid w:val="009139E7"/>
    <w:rsid w:val="009243A2"/>
    <w:rsid w:val="009247A2"/>
    <w:rsid w:val="0092647F"/>
    <w:rsid w:val="00930ACB"/>
    <w:rsid w:val="00933317"/>
    <w:rsid w:val="009360E4"/>
    <w:rsid w:val="0093722D"/>
    <w:rsid w:val="009410C0"/>
    <w:rsid w:val="00944159"/>
    <w:rsid w:val="00945DB0"/>
    <w:rsid w:val="00947AD4"/>
    <w:rsid w:val="00947E1D"/>
    <w:rsid w:val="0095363E"/>
    <w:rsid w:val="009538E6"/>
    <w:rsid w:val="009540C1"/>
    <w:rsid w:val="00955453"/>
    <w:rsid w:val="0096014F"/>
    <w:rsid w:val="009603F4"/>
    <w:rsid w:val="00964FF5"/>
    <w:rsid w:val="00966E30"/>
    <w:rsid w:val="009704E4"/>
    <w:rsid w:val="0097558A"/>
    <w:rsid w:val="009775C7"/>
    <w:rsid w:val="009806B1"/>
    <w:rsid w:val="00981EAF"/>
    <w:rsid w:val="00982819"/>
    <w:rsid w:val="00982B56"/>
    <w:rsid w:val="00985025"/>
    <w:rsid w:val="00992296"/>
    <w:rsid w:val="0099433E"/>
    <w:rsid w:val="00994629"/>
    <w:rsid w:val="00997C9E"/>
    <w:rsid w:val="009A46EB"/>
    <w:rsid w:val="009A4783"/>
    <w:rsid w:val="009A6A64"/>
    <w:rsid w:val="009A7508"/>
    <w:rsid w:val="009A7A76"/>
    <w:rsid w:val="009B3449"/>
    <w:rsid w:val="009B662F"/>
    <w:rsid w:val="009B67F6"/>
    <w:rsid w:val="009B6D39"/>
    <w:rsid w:val="009B7FE1"/>
    <w:rsid w:val="009C11B8"/>
    <w:rsid w:val="009C1681"/>
    <w:rsid w:val="009C22BE"/>
    <w:rsid w:val="009C33B0"/>
    <w:rsid w:val="009D077C"/>
    <w:rsid w:val="009D07FB"/>
    <w:rsid w:val="009D0BE6"/>
    <w:rsid w:val="009D0E0A"/>
    <w:rsid w:val="009D28A7"/>
    <w:rsid w:val="009D28FD"/>
    <w:rsid w:val="009D5A4E"/>
    <w:rsid w:val="009E09F1"/>
    <w:rsid w:val="009E1500"/>
    <w:rsid w:val="009E231A"/>
    <w:rsid w:val="009E2F64"/>
    <w:rsid w:val="009E382C"/>
    <w:rsid w:val="009E681A"/>
    <w:rsid w:val="009F080A"/>
    <w:rsid w:val="009F2968"/>
    <w:rsid w:val="009F2D57"/>
    <w:rsid w:val="009F3852"/>
    <w:rsid w:val="009F3DB5"/>
    <w:rsid w:val="009F5D88"/>
    <w:rsid w:val="009F797A"/>
    <w:rsid w:val="009F7EC2"/>
    <w:rsid w:val="00A000A2"/>
    <w:rsid w:val="00A019A1"/>
    <w:rsid w:val="00A02E68"/>
    <w:rsid w:val="00A04DE2"/>
    <w:rsid w:val="00A063E0"/>
    <w:rsid w:val="00A06A85"/>
    <w:rsid w:val="00A07D00"/>
    <w:rsid w:val="00A10E2B"/>
    <w:rsid w:val="00A12D43"/>
    <w:rsid w:val="00A132E3"/>
    <w:rsid w:val="00A1353E"/>
    <w:rsid w:val="00A15836"/>
    <w:rsid w:val="00A16677"/>
    <w:rsid w:val="00A21887"/>
    <w:rsid w:val="00A220A0"/>
    <w:rsid w:val="00A22804"/>
    <w:rsid w:val="00A256F8"/>
    <w:rsid w:val="00A271ED"/>
    <w:rsid w:val="00A27245"/>
    <w:rsid w:val="00A27819"/>
    <w:rsid w:val="00A30084"/>
    <w:rsid w:val="00A3063D"/>
    <w:rsid w:val="00A31447"/>
    <w:rsid w:val="00A32273"/>
    <w:rsid w:val="00A34062"/>
    <w:rsid w:val="00A36BCE"/>
    <w:rsid w:val="00A47C67"/>
    <w:rsid w:val="00A5067A"/>
    <w:rsid w:val="00A50895"/>
    <w:rsid w:val="00A53DBF"/>
    <w:rsid w:val="00A546B8"/>
    <w:rsid w:val="00A54CDF"/>
    <w:rsid w:val="00A54EC8"/>
    <w:rsid w:val="00A550E8"/>
    <w:rsid w:val="00A55C00"/>
    <w:rsid w:val="00A56E90"/>
    <w:rsid w:val="00A603A3"/>
    <w:rsid w:val="00A60A38"/>
    <w:rsid w:val="00A64BEB"/>
    <w:rsid w:val="00A652B3"/>
    <w:rsid w:val="00A6638E"/>
    <w:rsid w:val="00A663A3"/>
    <w:rsid w:val="00A7010C"/>
    <w:rsid w:val="00A73318"/>
    <w:rsid w:val="00A742C9"/>
    <w:rsid w:val="00A74A18"/>
    <w:rsid w:val="00A755EB"/>
    <w:rsid w:val="00A8078B"/>
    <w:rsid w:val="00A809C3"/>
    <w:rsid w:val="00A8107E"/>
    <w:rsid w:val="00A84929"/>
    <w:rsid w:val="00A8656F"/>
    <w:rsid w:val="00A87F81"/>
    <w:rsid w:val="00A92F1C"/>
    <w:rsid w:val="00AA06B1"/>
    <w:rsid w:val="00AA0973"/>
    <w:rsid w:val="00AA44D4"/>
    <w:rsid w:val="00AA4E9B"/>
    <w:rsid w:val="00AA5BAD"/>
    <w:rsid w:val="00AA625B"/>
    <w:rsid w:val="00AB14C2"/>
    <w:rsid w:val="00AB18F0"/>
    <w:rsid w:val="00AB2278"/>
    <w:rsid w:val="00AB46D0"/>
    <w:rsid w:val="00AB6DB8"/>
    <w:rsid w:val="00AB7DE9"/>
    <w:rsid w:val="00AC193F"/>
    <w:rsid w:val="00AC2A99"/>
    <w:rsid w:val="00AC40C6"/>
    <w:rsid w:val="00AD01F2"/>
    <w:rsid w:val="00AD1238"/>
    <w:rsid w:val="00AD223C"/>
    <w:rsid w:val="00AD5E7E"/>
    <w:rsid w:val="00AE0229"/>
    <w:rsid w:val="00AE3B98"/>
    <w:rsid w:val="00AE3C7D"/>
    <w:rsid w:val="00AF0326"/>
    <w:rsid w:val="00AF0F69"/>
    <w:rsid w:val="00AF1005"/>
    <w:rsid w:val="00AF2215"/>
    <w:rsid w:val="00AF384C"/>
    <w:rsid w:val="00AF3AD2"/>
    <w:rsid w:val="00AF470C"/>
    <w:rsid w:val="00AF4ED4"/>
    <w:rsid w:val="00AF5B58"/>
    <w:rsid w:val="00AF6199"/>
    <w:rsid w:val="00AF7511"/>
    <w:rsid w:val="00B02BF4"/>
    <w:rsid w:val="00B03D1A"/>
    <w:rsid w:val="00B06370"/>
    <w:rsid w:val="00B069DD"/>
    <w:rsid w:val="00B108E6"/>
    <w:rsid w:val="00B10B5B"/>
    <w:rsid w:val="00B11AAE"/>
    <w:rsid w:val="00B12CE8"/>
    <w:rsid w:val="00B13DFB"/>
    <w:rsid w:val="00B1630A"/>
    <w:rsid w:val="00B20AE2"/>
    <w:rsid w:val="00B20EE6"/>
    <w:rsid w:val="00B21FA4"/>
    <w:rsid w:val="00B308FA"/>
    <w:rsid w:val="00B31CD6"/>
    <w:rsid w:val="00B41272"/>
    <w:rsid w:val="00B41586"/>
    <w:rsid w:val="00B41F33"/>
    <w:rsid w:val="00B44592"/>
    <w:rsid w:val="00B44F30"/>
    <w:rsid w:val="00B45518"/>
    <w:rsid w:val="00B50E6E"/>
    <w:rsid w:val="00B519C6"/>
    <w:rsid w:val="00B55172"/>
    <w:rsid w:val="00B55AAC"/>
    <w:rsid w:val="00B576BB"/>
    <w:rsid w:val="00B61A49"/>
    <w:rsid w:val="00B61F38"/>
    <w:rsid w:val="00B637E5"/>
    <w:rsid w:val="00B64689"/>
    <w:rsid w:val="00B65D05"/>
    <w:rsid w:val="00B72BB7"/>
    <w:rsid w:val="00B73070"/>
    <w:rsid w:val="00B73399"/>
    <w:rsid w:val="00B74246"/>
    <w:rsid w:val="00B74D57"/>
    <w:rsid w:val="00B83D1B"/>
    <w:rsid w:val="00B844D5"/>
    <w:rsid w:val="00B85E6B"/>
    <w:rsid w:val="00B86D06"/>
    <w:rsid w:val="00B9222C"/>
    <w:rsid w:val="00B9299E"/>
    <w:rsid w:val="00B95891"/>
    <w:rsid w:val="00B96BF4"/>
    <w:rsid w:val="00B96EEF"/>
    <w:rsid w:val="00BA2D09"/>
    <w:rsid w:val="00BA2EA7"/>
    <w:rsid w:val="00BA380A"/>
    <w:rsid w:val="00BA530B"/>
    <w:rsid w:val="00BA599D"/>
    <w:rsid w:val="00BA7FD3"/>
    <w:rsid w:val="00BB4AB3"/>
    <w:rsid w:val="00BB5797"/>
    <w:rsid w:val="00BB7487"/>
    <w:rsid w:val="00BB76EB"/>
    <w:rsid w:val="00BC4194"/>
    <w:rsid w:val="00BC6B2E"/>
    <w:rsid w:val="00BD1DFE"/>
    <w:rsid w:val="00BD2B91"/>
    <w:rsid w:val="00BD4E7E"/>
    <w:rsid w:val="00BD545D"/>
    <w:rsid w:val="00BD7040"/>
    <w:rsid w:val="00BE1DFA"/>
    <w:rsid w:val="00BE769D"/>
    <w:rsid w:val="00BF3C37"/>
    <w:rsid w:val="00BF5ED8"/>
    <w:rsid w:val="00BF690E"/>
    <w:rsid w:val="00C0304D"/>
    <w:rsid w:val="00C03C16"/>
    <w:rsid w:val="00C04B0A"/>
    <w:rsid w:val="00C053D5"/>
    <w:rsid w:val="00C05C8B"/>
    <w:rsid w:val="00C06026"/>
    <w:rsid w:val="00C079B8"/>
    <w:rsid w:val="00C11ADF"/>
    <w:rsid w:val="00C11B23"/>
    <w:rsid w:val="00C152AF"/>
    <w:rsid w:val="00C15537"/>
    <w:rsid w:val="00C22F34"/>
    <w:rsid w:val="00C33E6A"/>
    <w:rsid w:val="00C362F8"/>
    <w:rsid w:val="00C421CA"/>
    <w:rsid w:val="00C43D11"/>
    <w:rsid w:val="00C44837"/>
    <w:rsid w:val="00C44C0C"/>
    <w:rsid w:val="00C45149"/>
    <w:rsid w:val="00C46960"/>
    <w:rsid w:val="00C52E3C"/>
    <w:rsid w:val="00C54125"/>
    <w:rsid w:val="00C54754"/>
    <w:rsid w:val="00C561CE"/>
    <w:rsid w:val="00C57C49"/>
    <w:rsid w:val="00C600BF"/>
    <w:rsid w:val="00C63294"/>
    <w:rsid w:val="00C6404D"/>
    <w:rsid w:val="00C66943"/>
    <w:rsid w:val="00C70922"/>
    <w:rsid w:val="00C74CDC"/>
    <w:rsid w:val="00C76B58"/>
    <w:rsid w:val="00C7718C"/>
    <w:rsid w:val="00C77DC6"/>
    <w:rsid w:val="00C77DE5"/>
    <w:rsid w:val="00C8114C"/>
    <w:rsid w:val="00C926F0"/>
    <w:rsid w:val="00C971C4"/>
    <w:rsid w:val="00CA1286"/>
    <w:rsid w:val="00CB229D"/>
    <w:rsid w:val="00CB3780"/>
    <w:rsid w:val="00CB3A4A"/>
    <w:rsid w:val="00CC1A1D"/>
    <w:rsid w:val="00CC3FB2"/>
    <w:rsid w:val="00CC43EA"/>
    <w:rsid w:val="00CC44AC"/>
    <w:rsid w:val="00CD144D"/>
    <w:rsid w:val="00CD1A11"/>
    <w:rsid w:val="00CD21D7"/>
    <w:rsid w:val="00CD4446"/>
    <w:rsid w:val="00CD5F32"/>
    <w:rsid w:val="00CE0C65"/>
    <w:rsid w:val="00CF1AD3"/>
    <w:rsid w:val="00CF462D"/>
    <w:rsid w:val="00CF67DA"/>
    <w:rsid w:val="00D01E02"/>
    <w:rsid w:val="00D0375E"/>
    <w:rsid w:val="00D04EA4"/>
    <w:rsid w:val="00D056F3"/>
    <w:rsid w:val="00D068E5"/>
    <w:rsid w:val="00D10F2C"/>
    <w:rsid w:val="00D11083"/>
    <w:rsid w:val="00D11811"/>
    <w:rsid w:val="00D14195"/>
    <w:rsid w:val="00D151AD"/>
    <w:rsid w:val="00D159D3"/>
    <w:rsid w:val="00D16485"/>
    <w:rsid w:val="00D16A5D"/>
    <w:rsid w:val="00D20C0B"/>
    <w:rsid w:val="00D22795"/>
    <w:rsid w:val="00D25529"/>
    <w:rsid w:val="00D26080"/>
    <w:rsid w:val="00D30432"/>
    <w:rsid w:val="00D31B39"/>
    <w:rsid w:val="00D3346E"/>
    <w:rsid w:val="00D4271E"/>
    <w:rsid w:val="00D443E5"/>
    <w:rsid w:val="00D45372"/>
    <w:rsid w:val="00D45930"/>
    <w:rsid w:val="00D46C26"/>
    <w:rsid w:val="00D477EC"/>
    <w:rsid w:val="00D50FD5"/>
    <w:rsid w:val="00D52C17"/>
    <w:rsid w:val="00D56BBC"/>
    <w:rsid w:val="00D56CBE"/>
    <w:rsid w:val="00D72228"/>
    <w:rsid w:val="00D763AC"/>
    <w:rsid w:val="00D76E47"/>
    <w:rsid w:val="00D805E0"/>
    <w:rsid w:val="00D823F7"/>
    <w:rsid w:val="00D82812"/>
    <w:rsid w:val="00D84B76"/>
    <w:rsid w:val="00D87FF5"/>
    <w:rsid w:val="00DA600F"/>
    <w:rsid w:val="00DB599C"/>
    <w:rsid w:val="00DC0598"/>
    <w:rsid w:val="00DC10AC"/>
    <w:rsid w:val="00DC3EFE"/>
    <w:rsid w:val="00DC4438"/>
    <w:rsid w:val="00DC461E"/>
    <w:rsid w:val="00DC5F5C"/>
    <w:rsid w:val="00DD0BA1"/>
    <w:rsid w:val="00DD7040"/>
    <w:rsid w:val="00DE10B5"/>
    <w:rsid w:val="00DE1E0B"/>
    <w:rsid w:val="00DE43B3"/>
    <w:rsid w:val="00DE50AF"/>
    <w:rsid w:val="00DE54B8"/>
    <w:rsid w:val="00DF2B88"/>
    <w:rsid w:val="00DF682B"/>
    <w:rsid w:val="00DF703F"/>
    <w:rsid w:val="00E00DDA"/>
    <w:rsid w:val="00E019D4"/>
    <w:rsid w:val="00E06B95"/>
    <w:rsid w:val="00E07BFA"/>
    <w:rsid w:val="00E1047D"/>
    <w:rsid w:val="00E10EE5"/>
    <w:rsid w:val="00E123CB"/>
    <w:rsid w:val="00E132E5"/>
    <w:rsid w:val="00E15C4D"/>
    <w:rsid w:val="00E2034F"/>
    <w:rsid w:val="00E22552"/>
    <w:rsid w:val="00E2768C"/>
    <w:rsid w:val="00E32140"/>
    <w:rsid w:val="00E3241D"/>
    <w:rsid w:val="00E34325"/>
    <w:rsid w:val="00E35DD0"/>
    <w:rsid w:val="00E3623D"/>
    <w:rsid w:val="00E365F8"/>
    <w:rsid w:val="00E409CD"/>
    <w:rsid w:val="00E41459"/>
    <w:rsid w:val="00E430CE"/>
    <w:rsid w:val="00E43741"/>
    <w:rsid w:val="00E4376E"/>
    <w:rsid w:val="00E45672"/>
    <w:rsid w:val="00E52313"/>
    <w:rsid w:val="00E56EC1"/>
    <w:rsid w:val="00E62A4D"/>
    <w:rsid w:val="00E64BDA"/>
    <w:rsid w:val="00E64CD6"/>
    <w:rsid w:val="00E64EF5"/>
    <w:rsid w:val="00E67C45"/>
    <w:rsid w:val="00E73AF1"/>
    <w:rsid w:val="00E74729"/>
    <w:rsid w:val="00E80DE4"/>
    <w:rsid w:val="00E811C3"/>
    <w:rsid w:val="00E81A91"/>
    <w:rsid w:val="00E834F9"/>
    <w:rsid w:val="00E83690"/>
    <w:rsid w:val="00E84E25"/>
    <w:rsid w:val="00E85F92"/>
    <w:rsid w:val="00E864ED"/>
    <w:rsid w:val="00E8741D"/>
    <w:rsid w:val="00E947C9"/>
    <w:rsid w:val="00E95948"/>
    <w:rsid w:val="00EA3676"/>
    <w:rsid w:val="00EA3A18"/>
    <w:rsid w:val="00EA635E"/>
    <w:rsid w:val="00EA7226"/>
    <w:rsid w:val="00EB0AD7"/>
    <w:rsid w:val="00EB2736"/>
    <w:rsid w:val="00EB2D5F"/>
    <w:rsid w:val="00EB438D"/>
    <w:rsid w:val="00EB4DEB"/>
    <w:rsid w:val="00EB581D"/>
    <w:rsid w:val="00EC1581"/>
    <w:rsid w:val="00EC52C7"/>
    <w:rsid w:val="00EC78DD"/>
    <w:rsid w:val="00ED01AC"/>
    <w:rsid w:val="00ED0C9F"/>
    <w:rsid w:val="00ED26A1"/>
    <w:rsid w:val="00ED2834"/>
    <w:rsid w:val="00ED5F00"/>
    <w:rsid w:val="00ED6F52"/>
    <w:rsid w:val="00ED7C88"/>
    <w:rsid w:val="00EE07EE"/>
    <w:rsid w:val="00EE0C87"/>
    <w:rsid w:val="00EE38DF"/>
    <w:rsid w:val="00EE42D9"/>
    <w:rsid w:val="00EE5F5D"/>
    <w:rsid w:val="00EF2EE2"/>
    <w:rsid w:val="00EF415B"/>
    <w:rsid w:val="00EF42DE"/>
    <w:rsid w:val="00EF4BD2"/>
    <w:rsid w:val="00F00E4E"/>
    <w:rsid w:val="00F023E8"/>
    <w:rsid w:val="00F03854"/>
    <w:rsid w:val="00F059A3"/>
    <w:rsid w:val="00F124E2"/>
    <w:rsid w:val="00F148C0"/>
    <w:rsid w:val="00F159F6"/>
    <w:rsid w:val="00F15EA6"/>
    <w:rsid w:val="00F17742"/>
    <w:rsid w:val="00F22B3B"/>
    <w:rsid w:val="00F2413D"/>
    <w:rsid w:val="00F27D14"/>
    <w:rsid w:val="00F31F85"/>
    <w:rsid w:val="00F32E6F"/>
    <w:rsid w:val="00F372A3"/>
    <w:rsid w:val="00F376F8"/>
    <w:rsid w:val="00F432CB"/>
    <w:rsid w:val="00F44E09"/>
    <w:rsid w:val="00F464C0"/>
    <w:rsid w:val="00F47B6D"/>
    <w:rsid w:val="00F50135"/>
    <w:rsid w:val="00F50758"/>
    <w:rsid w:val="00F5107A"/>
    <w:rsid w:val="00F5275A"/>
    <w:rsid w:val="00F558FA"/>
    <w:rsid w:val="00F647E2"/>
    <w:rsid w:val="00F70C47"/>
    <w:rsid w:val="00F73B7A"/>
    <w:rsid w:val="00F7424D"/>
    <w:rsid w:val="00F75E3F"/>
    <w:rsid w:val="00F76716"/>
    <w:rsid w:val="00F80DC2"/>
    <w:rsid w:val="00F82522"/>
    <w:rsid w:val="00F856BC"/>
    <w:rsid w:val="00F86FCE"/>
    <w:rsid w:val="00F90443"/>
    <w:rsid w:val="00F904A3"/>
    <w:rsid w:val="00F93255"/>
    <w:rsid w:val="00F96648"/>
    <w:rsid w:val="00FA05A7"/>
    <w:rsid w:val="00FA68AE"/>
    <w:rsid w:val="00FA70AE"/>
    <w:rsid w:val="00FA79F7"/>
    <w:rsid w:val="00FB1D36"/>
    <w:rsid w:val="00FB5304"/>
    <w:rsid w:val="00FB5C7C"/>
    <w:rsid w:val="00FC08E3"/>
    <w:rsid w:val="00FC18A0"/>
    <w:rsid w:val="00FC2D2D"/>
    <w:rsid w:val="00FC34CC"/>
    <w:rsid w:val="00FC4CA9"/>
    <w:rsid w:val="00FC6D8F"/>
    <w:rsid w:val="00FC75C4"/>
    <w:rsid w:val="00FC7D5E"/>
    <w:rsid w:val="00FD2362"/>
    <w:rsid w:val="00FD542B"/>
    <w:rsid w:val="00FE0C08"/>
    <w:rsid w:val="00FE0C8F"/>
    <w:rsid w:val="00FE1E3D"/>
    <w:rsid w:val="00FE3F74"/>
    <w:rsid w:val="00FE4A2D"/>
    <w:rsid w:val="00FF5931"/>
    <w:rsid w:val="00FF6C7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3299">
      <o:colormru v:ext="edit" colors="#ffc425"/>
      <o:colormenu v:ext="edit" fillcolor="#ffc42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0" w:qFormat="1"/>
    <w:lsdException w:name="table of figures" w:unhideWhenUsed="1"/>
    <w:lsdException w:name="page number" w:unhideWhenUsed="1"/>
    <w:lsdException w:name="List Bullet" w:uiPriority="2" w:qFormat="1"/>
    <w:lsdException w:name="List Bullet 2" w:uiPriority="2" w:qFormat="1"/>
    <w:lsdException w:name="List Bullet 3" w:uiPriority="2" w:qFormat="1"/>
    <w:lsdException w:name="Title" w:uiPriority="10" w:qFormat="1"/>
    <w:lsdException w:name="Default Paragraph Font" w:uiPriority="1" w:unhideWhenUsed="1"/>
    <w:lsdException w:name="Body Text" w:uiPriority="0" w:qFormat="1"/>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qFormat/>
    <w:rsid w:val="00E834F9"/>
    <w:rPr>
      <w:sz w:val="24"/>
      <w:szCs w:val="24"/>
      <w:lang w:val="en-AU" w:eastAsia="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9775C7"/>
    <w:pPr>
      <w:spacing w:before="280"/>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spacing w:before="160" w:line="260" w:lineRule="exact"/>
      <w:outlineLvl w:val="4"/>
    </w:pPr>
    <w:rPr>
      <w:rFonts w:ascii="Tahoma" w:hAnsi="Tahoma"/>
      <w:b/>
      <w:sz w:val="19"/>
      <w:szCs w:val="20"/>
      <w:lang w:eastAsia="en-US"/>
    </w:rPr>
  </w:style>
  <w:style w:type="paragraph" w:styleId="Heading6">
    <w:name w:val="heading 6"/>
    <w:basedOn w:val="Normal"/>
    <w:next w:val="Normal"/>
    <w:qFormat/>
    <w:rsid w:val="007037A4"/>
    <w:pPr>
      <w:keepNext/>
      <w:spacing w:before="160" w:line="260" w:lineRule="exact"/>
      <w:ind w:left="2977"/>
      <w:outlineLvl w:val="5"/>
    </w:pPr>
    <w:rPr>
      <w:rFonts w:ascii="Tahoma" w:hAnsi="Tahoma"/>
      <w:sz w:val="20"/>
      <w:szCs w:val="20"/>
      <w:lang w:eastAsia="en-US"/>
    </w:rPr>
  </w:style>
  <w:style w:type="paragraph" w:styleId="Heading7">
    <w:name w:val="heading 7"/>
    <w:basedOn w:val="Normal"/>
    <w:next w:val="Normal"/>
    <w:qFormat/>
    <w:rsid w:val="007037A4"/>
    <w:pPr>
      <w:keepNext/>
      <w:spacing w:before="160" w:line="260" w:lineRule="exact"/>
      <w:jc w:val="center"/>
      <w:outlineLvl w:val="6"/>
    </w:pPr>
    <w:rPr>
      <w:rFonts w:ascii="Tahoma" w:hAnsi="Tahoma"/>
      <w:spacing w:val="20"/>
      <w:sz w:val="20"/>
      <w:szCs w:val="20"/>
      <w:lang w:eastAsia="en-US"/>
    </w:rPr>
  </w:style>
  <w:style w:type="paragraph" w:styleId="Heading8">
    <w:name w:val="heading 8"/>
    <w:basedOn w:val="Normal"/>
    <w:next w:val="Normal"/>
    <w:qFormat/>
    <w:rsid w:val="007037A4"/>
    <w:pPr>
      <w:keepNext/>
      <w:spacing w:before="160" w:line="260" w:lineRule="exact"/>
      <w:jc w:val="center"/>
      <w:outlineLvl w:val="7"/>
    </w:pPr>
    <w:rPr>
      <w:rFonts w:ascii="Tahoma" w:hAnsi="Tahoma"/>
      <w:color w:val="C0C0C0"/>
      <w:spacing w:val="6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001A09"/>
    <w:pPr>
      <w:spacing w:before="160" w:line="300" w:lineRule="exact"/>
    </w:pPr>
    <w:rPr>
      <w:rFonts w:ascii="Trebuchet MS" w:hAnsi="Trebuchet MS"/>
      <w:sz w:val="19"/>
      <w:lang w:val="en-AU"/>
    </w:rPr>
  </w:style>
  <w:style w:type="character" w:customStyle="1" w:styleId="TextChar">
    <w:name w:val="Text Char"/>
    <w:basedOn w:val="DefaultParagraphFont"/>
    <w:link w:val="Text"/>
    <w:rsid w:val="00001A09"/>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spacing w:line="260" w:lineRule="exact"/>
    </w:pPr>
    <w:rPr>
      <w:rFonts w:ascii="Tahoma" w:hAnsi="Tahoma"/>
      <w:sz w:val="17"/>
      <w:szCs w:val="17"/>
      <w:lang w:eastAsia="en-US"/>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150874"/>
    <w:pPr>
      <w:spacing w:before="40" w:after="40"/>
    </w:pPr>
    <w:rPr>
      <w:rFonts w:ascii="Tahoma" w:hAnsi="Tahoma"/>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2D6E00"/>
    <w:pPr>
      <w:tabs>
        <w:tab w:val="right" w:pos="8136"/>
      </w:tabs>
      <w:spacing w:before="80"/>
      <w:ind w:left="567" w:right="652"/>
    </w:pPr>
    <w:rPr>
      <w:sz w:val="17"/>
    </w:rPr>
  </w:style>
  <w:style w:type="paragraph" w:customStyle="1" w:styleId="References">
    <w:name w:val="References"/>
    <w:rsid w:val="000D5AD2"/>
    <w:pPr>
      <w:spacing w:before="80"/>
      <w:ind w:left="284" w:hanging="284"/>
    </w:pPr>
    <w:rPr>
      <w:rFonts w:ascii="Trebuchet MS" w:hAnsi="Trebuchet MS"/>
      <w:sz w:val="18"/>
      <w:lang w:val="en-AU"/>
    </w:rPr>
  </w:style>
  <w:style w:type="paragraph" w:customStyle="1" w:styleId="Tablehead2">
    <w:name w:val="Tablehead2"/>
    <w:basedOn w:val="Tablehead1"/>
    <w:rsid w:val="00150874"/>
    <w:pPr>
      <w:tabs>
        <w:tab w:val="left" w:pos="992"/>
      </w:tabs>
      <w:spacing w:before="20" w:after="20"/>
    </w:pPr>
    <w:rPr>
      <w:rFonts w:ascii="Tahoma" w:hAnsi="Tahoma"/>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355950"/>
    <w:pPr>
      <w:spacing w:before="80"/>
      <w:ind w:left="425" w:right="1985" w:hanging="425"/>
    </w:pPr>
  </w:style>
  <w:style w:type="paragraph" w:customStyle="1" w:styleId="Imprint">
    <w:name w:val="Imprint"/>
    <w:basedOn w:val="Normal"/>
    <w:rsid w:val="009E231A"/>
    <w:pPr>
      <w:spacing w:before="160" w:line="260" w:lineRule="atLeast"/>
    </w:pPr>
    <w:rPr>
      <w:rFonts w:ascii="Trebuchet MS" w:hAnsi="Trebuchet MS"/>
      <w:sz w:val="16"/>
      <w:szCs w:val="20"/>
      <w:lang w:eastAsia="en-US"/>
    </w:rPr>
  </w:style>
  <w:style w:type="paragraph" w:customStyle="1" w:styleId="Figuretitle">
    <w:name w:val="Figuretitle"/>
    <w:basedOn w:val="tabletitle"/>
    <w:rsid w:val="005C2FCF"/>
  </w:style>
  <w:style w:type="paragraph" w:customStyle="1" w:styleId="Dotpoint1">
    <w:name w:val="Dotpoint1"/>
    <w:rsid w:val="005C277E"/>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pPr>
  </w:style>
  <w:style w:type="paragraph" w:customStyle="1" w:styleId="NumberedListContinuing">
    <w:name w:val="NumberedListContinuing"/>
    <w:basedOn w:val="Dotpoint1"/>
    <w:rsid w:val="00A50895"/>
    <w:pPr>
      <w:tabs>
        <w:tab w:val="num" w:pos="284"/>
      </w:tabs>
    </w:pPr>
    <w:rPr>
      <w:lang w:eastAsia="en-AU"/>
    </w:rPr>
  </w:style>
  <w:style w:type="paragraph" w:customStyle="1" w:styleId="Source">
    <w:name w:val="Source"/>
    <w:rsid w:val="00113805"/>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99"/>
    <w:semiHidden/>
    <w:rsid w:val="009058B5"/>
    <w:pPr>
      <w:spacing w:before="100" w:beforeAutospacing="1" w:after="240" w:line="260" w:lineRule="exact"/>
    </w:pPr>
    <w:rPr>
      <w:rFonts w:ascii="Trebuchet MS" w:hAnsi="Trebuchet MS"/>
      <w:sz w:val="18"/>
      <w:szCs w:val="18"/>
      <w:lang w:eastAsia="en-US"/>
    </w:rPr>
  </w:style>
  <w:style w:type="paragraph" w:customStyle="1" w:styleId="Titlepage">
    <w:name w:val="Title page"/>
    <w:basedOn w:val="Heading1"/>
    <w:qFormat/>
    <w:rsid w:val="001B43CF"/>
    <w:pPr>
      <w:ind w:left="567"/>
    </w:p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pPr>
    <w:rPr>
      <w:rFonts w:ascii="Trebuchet MS" w:hAnsi="Trebuchet MS"/>
      <w:sz w:val="19"/>
      <w:szCs w:val="20"/>
      <w:lang w:eastAsia="en-US"/>
    </w:r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3B483E"/>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spacing w:before="160" w:line="260" w:lineRule="exact"/>
      <w:ind w:left="720"/>
      <w:contextualSpacing/>
    </w:pPr>
    <w:rPr>
      <w:rFonts w:ascii="Trebuchet MS" w:hAnsi="Trebuchet MS"/>
      <w:sz w:val="19"/>
      <w:szCs w:val="20"/>
      <w:lang w:eastAsia="en-US"/>
    </w:rPr>
  </w:style>
  <w:style w:type="paragraph" w:styleId="BodyText">
    <w:name w:val="Body Text"/>
    <w:aliases w:val="Body Text Char1,Body Text Char Char,Body Text Char2,Body Text Char2 Char Char1 Char,Body Text Char1 Char Char Char Char,Body Text Char2 Char Char1 Char Char Char Char Char,Body Text Char11 Char,Body Text Char Char1 Char"/>
    <w:basedOn w:val="Normal"/>
    <w:link w:val="BodyTextChar"/>
    <w:qFormat/>
    <w:rsid w:val="00FE3F74"/>
    <w:rPr>
      <w:b/>
      <w:sz w:val="20"/>
      <w:szCs w:val="20"/>
      <w:lang w:val="en-US" w:eastAsia="ko-KR"/>
    </w:rPr>
  </w:style>
  <w:style w:type="character" w:customStyle="1" w:styleId="BodyTextChar">
    <w:name w:val="Body Text Char"/>
    <w:aliases w:val="Body Text Char1 Char,Body Text Char Char Char,Body Text Char2 Char,Body Text Char2 Char Char1 Char Char,Body Text Char1 Char Char Char Char Char,Body Text Char2 Char Char1 Char Char Char Char Char Char,Body Text Char11 Char Char"/>
    <w:basedOn w:val="DefaultParagraphFont"/>
    <w:link w:val="BodyText"/>
    <w:rsid w:val="00FE3F74"/>
    <w:rPr>
      <w:b/>
      <w:lang w:eastAsia="ko-KR"/>
    </w:rPr>
  </w:style>
  <w:style w:type="paragraph" w:styleId="BodyText2">
    <w:name w:val="Body Text 2"/>
    <w:basedOn w:val="Normal"/>
    <w:link w:val="BodyText2Char"/>
    <w:rsid w:val="00FE3F74"/>
    <w:rPr>
      <w:sz w:val="22"/>
      <w:szCs w:val="20"/>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after="120"/>
      <w:ind w:left="283"/>
    </w:pPr>
    <w:rPr>
      <w:sz w:val="22"/>
      <w:szCs w:val="20"/>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Tabletitle0">
    <w:name w:val="Tabletitle"/>
    <w:next w:val="Text"/>
    <w:link w:val="TabletitleCharChar"/>
    <w:rsid w:val="00EB0AD7"/>
    <w:pPr>
      <w:spacing w:before="360" w:after="80"/>
      <w:ind w:left="851" w:hanging="851"/>
    </w:pPr>
    <w:rPr>
      <w:rFonts w:ascii="Tahoma" w:hAnsi="Tahoma"/>
      <w:b/>
      <w:sz w:val="17"/>
      <w:lang w:val="en-AU"/>
    </w:rPr>
  </w:style>
  <w:style w:type="paragraph" w:customStyle="1" w:styleId="PublicationTitle">
    <w:name w:val="Publication Title"/>
    <w:qFormat/>
    <w:rsid w:val="00EB0AD7"/>
    <w:pPr>
      <w:spacing w:before="3200" w:after="840"/>
      <w:ind w:left="1701"/>
    </w:pPr>
    <w:rPr>
      <w:rFonts w:ascii="Tahoma" w:hAnsi="Tahoma" w:cs="Tahoma"/>
      <w:color w:val="000000"/>
      <w:kern w:val="28"/>
      <w:sz w:val="56"/>
      <w:szCs w:val="56"/>
      <w:lang w:val="en-AU"/>
    </w:rPr>
  </w:style>
  <w:style w:type="paragraph" w:customStyle="1" w:styleId="Authors">
    <w:name w:val="Authors"/>
    <w:qFormat/>
    <w:rsid w:val="00EB0AD7"/>
    <w:pPr>
      <w:ind w:left="1701" w:right="-1"/>
    </w:pPr>
    <w:rPr>
      <w:rFonts w:ascii="Tahoma" w:hAnsi="Tahoma" w:cs="Tahoma"/>
      <w:sz w:val="28"/>
      <w:lang w:val="en-AU"/>
    </w:rPr>
  </w:style>
  <w:style w:type="paragraph" w:customStyle="1" w:styleId="Contents">
    <w:name w:val="Contents"/>
    <w:qFormat/>
    <w:rsid w:val="00EB0AD7"/>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EB0AD7"/>
    <w:pPr>
      <w:spacing w:before="360"/>
    </w:pPr>
    <w:rPr>
      <w:rFonts w:ascii="Tahoma" w:hAnsi="Tahoma" w:cs="Tahoma"/>
      <w:i/>
      <w:sz w:val="28"/>
      <w:lang w:val="en-AU"/>
    </w:rPr>
  </w:style>
  <w:style w:type="paragraph" w:customStyle="1" w:styleId="Abouttheresearch">
    <w:name w:val="About the research"/>
    <w:uiPriority w:val="1"/>
    <w:qFormat/>
    <w:rsid w:val="00EB0AD7"/>
    <w:rPr>
      <w:rFonts w:ascii="Tahoma" w:hAnsi="Tahoma" w:cs="Tahoma"/>
      <w:color w:val="000000"/>
      <w:kern w:val="28"/>
      <w:sz w:val="56"/>
      <w:szCs w:val="56"/>
      <w:lang w:val="en-AU"/>
    </w:rPr>
  </w:style>
  <w:style w:type="paragraph" w:customStyle="1" w:styleId="Keymessages">
    <w:name w:val="Key messages"/>
    <w:uiPriority w:val="1"/>
    <w:qFormat/>
    <w:rsid w:val="00EB0AD7"/>
    <w:pPr>
      <w:spacing w:before="360"/>
    </w:pPr>
    <w:rPr>
      <w:rFonts w:ascii="Tahoma" w:hAnsi="Tahoma" w:cs="Tahoma"/>
      <w:sz w:val="28"/>
      <w:lang w:val="en-AU"/>
    </w:rPr>
  </w:style>
  <w:style w:type="paragraph" w:customStyle="1" w:styleId="Organisation">
    <w:name w:val="Organisation"/>
    <w:basedOn w:val="Authors"/>
    <w:uiPriority w:val="1"/>
    <w:qFormat/>
    <w:rsid w:val="00EB0AD7"/>
    <w:pPr>
      <w:spacing w:before="120"/>
      <w:ind w:right="0"/>
    </w:pPr>
    <w:rPr>
      <w:sz w:val="24"/>
    </w:rPr>
  </w:style>
  <w:style w:type="paragraph" w:styleId="DocumentMap">
    <w:name w:val="Document Map"/>
    <w:basedOn w:val="Normal"/>
    <w:link w:val="DocumentMapChar"/>
    <w:uiPriority w:val="99"/>
    <w:semiHidden/>
    <w:rsid w:val="00461154"/>
    <w:rPr>
      <w:rFonts w:ascii="Tahoma" w:hAnsi="Tahoma" w:cs="Tahoma"/>
      <w:sz w:val="16"/>
      <w:szCs w:val="16"/>
      <w:lang w:eastAsia="en-US"/>
    </w:rPr>
  </w:style>
  <w:style w:type="character" w:customStyle="1" w:styleId="DocumentMapChar">
    <w:name w:val="Document Map Char"/>
    <w:basedOn w:val="DefaultParagraphFont"/>
    <w:link w:val="DocumentMap"/>
    <w:uiPriority w:val="99"/>
    <w:semiHidden/>
    <w:rsid w:val="00461154"/>
    <w:rPr>
      <w:rFonts w:ascii="Tahoma" w:hAnsi="Tahoma" w:cs="Tahoma"/>
      <w:sz w:val="16"/>
      <w:szCs w:val="16"/>
      <w:lang w:val="en-AU"/>
    </w:rPr>
  </w:style>
  <w:style w:type="paragraph" w:customStyle="1" w:styleId="Default">
    <w:name w:val="Default"/>
    <w:rsid w:val="001C6553"/>
    <w:pPr>
      <w:autoSpaceDE w:val="0"/>
      <w:autoSpaceDN w:val="0"/>
      <w:adjustRightInd w:val="0"/>
    </w:pPr>
    <w:rPr>
      <w:rFonts w:ascii="Arial" w:eastAsiaTheme="minorHAnsi" w:hAnsi="Arial" w:cs="Arial"/>
      <w:color w:val="000000"/>
      <w:sz w:val="24"/>
      <w:szCs w:val="24"/>
      <w:lang w:val="en-AU"/>
    </w:rPr>
  </w:style>
  <w:style w:type="character" w:styleId="FootnoteReference">
    <w:name w:val="footnote reference"/>
    <w:basedOn w:val="DefaultParagraphFont"/>
    <w:uiPriority w:val="99"/>
    <w:semiHidden/>
    <w:rsid w:val="001C6553"/>
    <w:rPr>
      <w:vertAlign w:val="superscript"/>
    </w:rPr>
  </w:style>
  <w:style w:type="paragraph" w:customStyle="1" w:styleId="StyleNumberedVerdana11pt">
    <w:name w:val="Style Numbered Verdana 11 pt"/>
    <w:basedOn w:val="Normal"/>
    <w:rsid w:val="00AD01F2"/>
    <w:pPr>
      <w:spacing w:after="240" w:line="360" w:lineRule="auto"/>
      <w:jc w:val="both"/>
    </w:pPr>
    <w:rPr>
      <w:rFonts w:ascii="Verdana" w:hAnsi="Verdana"/>
      <w:sz w:val="22"/>
      <w:szCs w:val="20"/>
      <w:lang w:eastAsia="ja-JP"/>
    </w:rPr>
  </w:style>
  <w:style w:type="paragraph" w:customStyle="1" w:styleId="BoxText">
    <w:name w:val="Box Text"/>
    <w:basedOn w:val="BodyText"/>
    <w:qFormat/>
    <w:rsid w:val="0019757F"/>
    <w:pPr>
      <w:spacing w:before="40" w:after="40" w:line="180" w:lineRule="exact"/>
    </w:pPr>
    <w:rPr>
      <w:rFonts w:asciiTheme="minorHAnsi" w:hAnsiTheme="minorHAnsi"/>
      <w:b w:val="0"/>
      <w:sz w:val="17"/>
      <w:szCs w:val="24"/>
      <w:lang w:val="en-AU" w:eastAsia="en-AU"/>
    </w:rPr>
  </w:style>
  <w:style w:type="paragraph" w:styleId="Caption">
    <w:name w:val="caption"/>
    <w:next w:val="BodyText"/>
    <w:qFormat/>
    <w:rsid w:val="0019757F"/>
    <w:pPr>
      <w:keepNext/>
      <w:spacing w:before="360" w:after="40" w:line="240" w:lineRule="exact"/>
      <w:ind w:left="851" w:hanging="851"/>
      <w:outlineLvl w:val="8"/>
    </w:pPr>
    <w:rPr>
      <w:rFonts w:ascii="HelveticaNeueLT Std Lt Cn" w:hAnsi="HelveticaNeueLT Std Lt Cn"/>
      <w:caps/>
      <w:sz w:val="18"/>
      <w:szCs w:val="24"/>
      <w:lang w:val="en-AU"/>
    </w:rPr>
  </w:style>
  <w:style w:type="paragraph" w:customStyle="1" w:styleId="Tablelistbullet">
    <w:name w:val="Table list bullet"/>
    <w:uiPriority w:val="3"/>
    <w:rsid w:val="0019757F"/>
    <w:pPr>
      <w:numPr>
        <w:numId w:val="15"/>
      </w:numPr>
      <w:spacing w:before="40"/>
    </w:pPr>
    <w:rPr>
      <w:rFonts w:asciiTheme="minorHAnsi" w:hAnsiTheme="minorHAnsi"/>
      <w:color w:val="000000"/>
      <w:sz w:val="16"/>
      <w:szCs w:val="24"/>
      <w:lang w:val="en-AU"/>
    </w:rPr>
  </w:style>
  <w:style w:type="paragraph" w:customStyle="1" w:styleId="Tablelistbullet2">
    <w:name w:val="Table list bullet 2"/>
    <w:basedOn w:val="Normal"/>
    <w:uiPriority w:val="3"/>
    <w:rsid w:val="0019757F"/>
    <w:pPr>
      <w:keepNext/>
      <w:keepLines/>
      <w:numPr>
        <w:ilvl w:val="1"/>
        <w:numId w:val="15"/>
      </w:numPr>
      <w:spacing w:before="40" w:after="40"/>
    </w:pPr>
    <w:rPr>
      <w:rFonts w:asciiTheme="minorHAnsi" w:hAnsiTheme="minorHAnsi"/>
      <w:color w:val="000000"/>
      <w:sz w:val="16"/>
      <w:lang w:eastAsia="en-US"/>
    </w:rPr>
  </w:style>
  <w:style w:type="character" w:customStyle="1" w:styleId="CaptionLabel">
    <w:name w:val="Caption Label"/>
    <w:qFormat/>
    <w:rsid w:val="0019757F"/>
    <w:rPr>
      <w:b/>
      <w:color w:val="000000"/>
    </w:rPr>
  </w:style>
  <w:style w:type="paragraph" w:customStyle="1" w:styleId="Tablelistbullet3">
    <w:name w:val="Table list bullet 3"/>
    <w:basedOn w:val="Normal"/>
    <w:uiPriority w:val="3"/>
    <w:rsid w:val="0019757F"/>
    <w:pPr>
      <w:keepNext/>
      <w:keepLines/>
      <w:numPr>
        <w:ilvl w:val="2"/>
        <w:numId w:val="15"/>
      </w:numPr>
      <w:spacing w:before="40" w:after="40"/>
    </w:pPr>
    <w:rPr>
      <w:rFonts w:asciiTheme="minorHAnsi" w:hAnsiTheme="minorHAnsi"/>
      <w:color w:val="000000"/>
      <w:sz w:val="16"/>
      <w:lang w:eastAsia="en-US"/>
    </w:rPr>
  </w:style>
  <w:style w:type="paragraph" w:customStyle="1" w:styleId="SmallDeltasRightAligned">
    <w:name w:val="SmallDeltasRightAligned"/>
    <w:basedOn w:val="Normal"/>
    <w:rsid w:val="0019757F"/>
    <w:pPr>
      <w:jc w:val="right"/>
    </w:pPr>
    <w:rPr>
      <w:rFonts w:asciiTheme="minorHAnsi" w:hAnsiTheme="minorHAnsi"/>
      <w:sz w:val="20"/>
      <w:lang w:eastAsia="en-US"/>
    </w:rPr>
  </w:style>
  <w:style w:type="numbering" w:customStyle="1" w:styleId="ACILAllenTableBulletedList">
    <w:name w:val="ACIL Allen Table Bulleted List"/>
    <w:uiPriority w:val="99"/>
    <w:rsid w:val="0019757F"/>
    <w:pPr>
      <w:numPr>
        <w:numId w:val="15"/>
      </w:numPr>
    </w:pPr>
  </w:style>
  <w:style w:type="character" w:customStyle="1" w:styleId="date-display-single">
    <w:name w:val="date-display-single"/>
    <w:basedOn w:val="DefaultParagraphFont"/>
    <w:rsid w:val="00DF682B"/>
    <w:rPr>
      <w:sz w:val="24"/>
      <w:szCs w:val="24"/>
      <w:bdr w:val="none" w:sz="0" w:space="0" w:color="auto" w:frame="1"/>
      <w:vertAlign w:val="baseline"/>
    </w:rPr>
  </w:style>
  <w:style w:type="character" w:customStyle="1" w:styleId="hp1">
    <w:name w:val="hp1"/>
    <w:basedOn w:val="DefaultParagraphFont"/>
    <w:rsid w:val="000461C8"/>
    <w:rPr>
      <w:i/>
      <w:iCs/>
    </w:rPr>
  </w:style>
  <w:style w:type="paragraph" w:customStyle="1" w:styleId="citation">
    <w:name w:val="citation"/>
    <w:basedOn w:val="Normal"/>
    <w:rsid w:val="00F372A3"/>
    <w:pPr>
      <w:spacing w:before="100" w:beforeAutospacing="1" w:after="100" w:afterAutospacing="1"/>
    </w:pPr>
  </w:style>
  <w:style w:type="paragraph" w:customStyle="1" w:styleId="citationauthor">
    <w:name w:val="citation_author"/>
    <w:basedOn w:val="Normal"/>
    <w:rsid w:val="003B31FA"/>
    <w:pPr>
      <w:spacing w:before="100" w:beforeAutospacing="1" w:after="100" w:afterAutospacing="1"/>
    </w:pPr>
  </w:style>
  <w:style w:type="character" w:customStyle="1" w:styleId="TextChar1">
    <w:name w:val="Text Char1"/>
    <w:basedOn w:val="DefaultParagraphFont"/>
    <w:rsid w:val="00B10B5B"/>
    <w:rPr>
      <w:rFonts w:ascii="Arial" w:hAnsi="Arial"/>
      <w:sz w:val="18"/>
      <w:lang w:val="en-AU" w:eastAsia="en-US" w:bidi="ar-SA"/>
    </w:rPr>
  </w:style>
  <w:style w:type="paragraph" w:customStyle="1" w:styleId="Statsbullet">
    <w:name w:val="Stats bullet"/>
    <w:basedOn w:val="Normal"/>
    <w:link w:val="StatsbulletCharChar"/>
    <w:rsid w:val="00B10B5B"/>
    <w:pPr>
      <w:numPr>
        <w:numId w:val="20"/>
      </w:numPr>
      <w:spacing w:before="20" w:line="260" w:lineRule="exact"/>
      <w:ind w:left="510" w:right="567" w:hanging="510"/>
    </w:pPr>
    <w:rPr>
      <w:rFonts w:ascii="Arial" w:hAnsi="Arial"/>
      <w:sz w:val="16"/>
      <w:szCs w:val="20"/>
      <w:lang w:eastAsia="en-US"/>
    </w:rPr>
  </w:style>
  <w:style w:type="character" w:customStyle="1" w:styleId="StatsbulletCharChar">
    <w:name w:val="Stats bullet Char Char"/>
    <w:basedOn w:val="DefaultParagraphFont"/>
    <w:link w:val="Statsbullet"/>
    <w:rsid w:val="00B10B5B"/>
    <w:rPr>
      <w:rFonts w:ascii="Arial" w:hAnsi="Arial"/>
      <w:sz w:val="16"/>
      <w:lang w:val="en-AU"/>
    </w:rPr>
  </w:style>
  <w:style w:type="character" w:customStyle="1" w:styleId="TabletitleCharChar">
    <w:name w:val="Tabletitle Char Char"/>
    <w:basedOn w:val="DefaultParagraphFont"/>
    <w:link w:val="Tabletitle0"/>
    <w:rsid w:val="00B10B5B"/>
    <w:rPr>
      <w:rFonts w:ascii="Tahoma" w:hAnsi="Tahoma"/>
      <w:b/>
      <w:sz w:val="17"/>
      <w:lang w:val="en-AU"/>
    </w:rPr>
  </w:style>
  <w:style w:type="character" w:styleId="Strong">
    <w:name w:val="Strong"/>
    <w:basedOn w:val="DefaultParagraphFont"/>
    <w:uiPriority w:val="22"/>
    <w:qFormat/>
    <w:rsid w:val="009806B1"/>
    <w:rPr>
      <w:b/>
      <w:bCs/>
    </w:rPr>
  </w:style>
  <w:style w:type="character" w:styleId="Emphasis">
    <w:name w:val="Emphasis"/>
    <w:basedOn w:val="DefaultParagraphFont"/>
    <w:uiPriority w:val="20"/>
    <w:qFormat/>
    <w:rsid w:val="002B649C"/>
    <w:rPr>
      <w:b/>
      <w:bCs/>
      <w:i w:val="0"/>
      <w:iCs w:val="0"/>
    </w:rPr>
  </w:style>
  <w:style w:type="character" w:customStyle="1" w:styleId="st1">
    <w:name w:val="st1"/>
    <w:basedOn w:val="DefaultParagraphFont"/>
    <w:rsid w:val="002B649C"/>
  </w:style>
  <w:style w:type="character" w:customStyle="1" w:styleId="FooterChar">
    <w:name w:val="Footer Char"/>
    <w:basedOn w:val="DefaultParagraphFont"/>
    <w:link w:val="Footer"/>
    <w:uiPriority w:val="99"/>
    <w:rsid w:val="002C256C"/>
    <w:rPr>
      <w:rFonts w:ascii="Tahoma" w:hAnsi="Tahoma"/>
      <w:sz w:val="17"/>
      <w:szCs w:val="17"/>
      <w:lang w:val="en-AU"/>
    </w:rPr>
  </w:style>
  <w:style w:type="paragraph" w:customStyle="1" w:styleId="TableRowBold">
    <w:name w:val="TableRowBold"/>
    <w:basedOn w:val="Tabletext"/>
    <w:rsid w:val="00AA625B"/>
    <w:pPr>
      <w:spacing w:before="80"/>
    </w:pPr>
    <w:rPr>
      <w:rFonts w:ascii="Arial" w:hAnsi="Arial"/>
      <w:b/>
      <w:color w:val="000000"/>
      <w:szCs w:val="15"/>
    </w:rPr>
  </w:style>
  <w:style w:type="character" w:styleId="FollowedHyperlink">
    <w:name w:val="FollowedHyperlink"/>
    <w:basedOn w:val="DefaultParagraphFont"/>
    <w:uiPriority w:val="99"/>
    <w:semiHidden/>
    <w:rsid w:val="00381D89"/>
    <w:rPr>
      <w:color w:val="800080" w:themeColor="followedHyperlink"/>
      <w:u w:val="single"/>
    </w:rPr>
  </w:style>
  <w:style w:type="character" w:styleId="HTMLCite">
    <w:name w:val="HTML Cite"/>
    <w:basedOn w:val="DefaultParagraphFont"/>
    <w:uiPriority w:val="99"/>
    <w:semiHidden/>
    <w:unhideWhenUsed/>
    <w:rsid w:val="002B37DC"/>
    <w:rPr>
      <w:i w:val="0"/>
      <w:iCs w:val="0"/>
      <w:vanish w:val="0"/>
      <w:webHidden w:val="0"/>
      <w:color w:val="000000"/>
      <w:sz w:val="17"/>
      <w:szCs w:val="17"/>
      <w:bdr w:val="single" w:sz="6" w:space="12" w:color="D5E1E7" w:frame="1"/>
      <w:specVanish w:val="0"/>
    </w:rPr>
  </w:style>
  <w:style w:type="paragraph" w:styleId="ListBullet">
    <w:name w:val="List Bullet"/>
    <w:basedOn w:val="BodyText"/>
    <w:uiPriority w:val="2"/>
    <w:qFormat/>
    <w:rsid w:val="00176CB3"/>
    <w:pPr>
      <w:numPr>
        <w:numId w:val="35"/>
      </w:numPr>
      <w:spacing w:before="60" w:after="60" w:line="280" w:lineRule="exact"/>
    </w:pPr>
    <w:rPr>
      <w:rFonts w:asciiTheme="minorHAnsi" w:hAnsiTheme="minorHAnsi"/>
      <w:b w:val="0"/>
      <w:sz w:val="22"/>
      <w:szCs w:val="22"/>
      <w:lang w:val="en-AU" w:eastAsia="en-AU"/>
    </w:rPr>
  </w:style>
  <w:style w:type="paragraph" w:styleId="ListBullet2">
    <w:name w:val="List Bullet 2"/>
    <w:basedOn w:val="ListBullet"/>
    <w:uiPriority w:val="2"/>
    <w:qFormat/>
    <w:rsid w:val="00176CB3"/>
    <w:pPr>
      <w:numPr>
        <w:ilvl w:val="1"/>
      </w:numPr>
    </w:pPr>
  </w:style>
  <w:style w:type="paragraph" w:styleId="ListBullet3">
    <w:name w:val="List Bullet 3"/>
    <w:basedOn w:val="ListBullet2"/>
    <w:uiPriority w:val="2"/>
    <w:qFormat/>
    <w:rsid w:val="00176CB3"/>
    <w:pPr>
      <w:numPr>
        <w:ilvl w:val="2"/>
      </w:numPr>
    </w:pPr>
  </w:style>
  <w:style w:type="numbering" w:customStyle="1" w:styleId="ACILAllenBulletedlist">
    <w:name w:val="ACIL Allen Bulleted list"/>
    <w:uiPriority w:val="99"/>
    <w:rsid w:val="00176CB3"/>
    <w:pPr>
      <w:numPr>
        <w:numId w:val="35"/>
      </w:numPr>
    </w:pPr>
  </w:style>
  <w:style w:type="paragraph" w:customStyle="1" w:styleId="Reference">
    <w:name w:val="Reference"/>
    <w:basedOn w:val="BodyText"/>
    <w:uiPriority w:val="99"/>
    <w:rsid w:val="00CE0C65"/>
    <w:pPr>
      <w:spacing w:before="100" w:after="120"/>
      <w:ind w:left="340" w:hanging="340"/>
    </w:pPr>
    <w:rPr>
      <w:rFonts w:asciiTheme="minorHAnsi" w:hAnsiTheme="minorHAnsi"/>
      <w:b w:val="0"/>
      <w:sz w:val="21"/>
      <w:szCs w:val="22"/>
      <w:lang w:val="en-AU" w:eastAsia="en-AU"/>
    </w:rPr>
  </w:style>
  <w:style w:type="character" w:styleId="CommentReference">
    <w:name w:val="annotation reference"/>
    <w:basedOn w:val="DefaultParagraphFont"/>
    <w:uiPriority w:val="99"/>
    <w:semiHidden/>
    <w:rsid w:val="00451C52"/>
    <w:rPr>
      <w:sz w:val="16"/>
      <w:szCs w:val="16"/>
    </w:rPr>
  </w:style>
  <w:style w:type="paragraph" w:styleId="CommentText">
    <w:name w:val="annotation text"/>
    <w:basedOn w:val="Normal"/>
    <w:link w:val="CommentTextChar"/>
    <w:uiPriority w:val="99"/>
    <w:semiHidden/>
    <w:rsid w:val="00451C52"/>
    <w:rPr>
      <w:sz w:val="20"/>
      <w:szCs w:val="20"/>
    </w:rPr>
  </w:style>
  <w:style w:type="character" w:customStyle="1" w:styleId="CommentTextChar">
    <w:name w:val="Comment Text Char"/>
    <w:basedOn w:val="DefaultParagraphFont"/>
    <w:link w:val="CommentText"/>
    <w:uiPriority w:val="99"/>
    <w:semiHidden/>
    <w:rsid w:val="00451C52"/>
    <w:rPr>
      <w:lang w:val="en-AU" w:eastAsia="en-AU"/>
    </w:rPr>
  </w:style>
  <w:style w:type="paragraph" w:styleId="CommentSubject">
    <w:name w:val="annotation subject"/>
    <w:basedOn w:val="CommentText"/>
    <w:next w:val="CommentText"/>
    <w:link w:val="CommentSubjectChar"/>
    <w:uiPriority w:val="99"/>
    <w:semiHidden/>
    <w:rsid w:val="00451C52"/>
    <w:rPr>
      <w:b/>
      <w:bCs/>
    </w:rPr>
  </w:style>
  <w:style w:type="character" w:customStyle="1" w:styleId="CommentSubjectChar">
    <w:name w:val="Comment Subject Char"/>
    <w:basedOn w:val="CommentTextChar"/>
    <w:link w:val="CommentSubject"/>
    <w:uiPriority w:val="99"/>
    <w:semiHidden/>
    <w:rsid w:val="00451C52"/>
    <w:rPr>
      <w:b/>
      <w:bCs/>
      <w:lang w:val="en-AU" w:eastAsia="en-AU"/>
    </w:rPr>
  </w:style>
  <w:style w:type="paragraph" w:customStyle="1" w:styleId="Textmorebefore">
    <w:name w:val="Text more # before"/>
    <w:basedOn w:val="Text"/>
    <w:uiPriority w:val="1"/>
    <w:qFormat/>
    <w:rsid w:val="00A220A0"/>
    <w:pPr>
      <w:spacing w:before="360"/>
    </w:pPr>
  </w:style>
  <w:style w:type="paragraph" w:customStyle="1" w:styleId="Textlessbefore">
    <w:name w:val="Text less # before"/>
    <w:basedOn w:val="Text"/>
    <w:uiPriority w:val="1"/>
    <w:qFormat/>
    <w:rsid w:val="00A220A0"/>
    <w:pPr>
      <w:spacing w:before="80"/>
    </w:pPr>
  </w:style>
  <w:style w:type="paragraph" w:customStyle="1" w:styleId="StyleTableofFiguresLeft0cmHanging194cm">
    <w:name w:val="Style Table of Figures + Left:  0 cm Hanging:  1.94 cm"/>
    <w:basedOn w:val="TableofFigures"/>
    <w:rsid w:val="00355950"/>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2297">
      <w:bodyDiv w:val="1"/>
      <w:marLeft w:val="0"/>
      <w:marRight w:val="0"/>
      <w:marTop w:val="0"/>
      <w:marBottom w:val="0"/>
      <w:divBdr>
        <w:top w:val="none" w:sz="0" w:space="0" w:color="auto"/>
        <w:left w:val="none" w:sz="0" w:space="0" w:color="auto"/>
        <w:bottom w:val="none" w:sz="0" w:space="0" w:color="auto"/>
        <w:right w:val="none" w:sz="0" w:space="0" w:color="auto"/>
      </w:divBdr>
    </w:div>
    <w:div w:id="133451246">
      <w:marLeft w:val="0"/>
      <w:marRight w:val="0"/>
      <w:marTop w:val="0"/>
      <w:marBottom w:val="0"/>
      <w:divBdr>
        <w:top w:val="none" w:sz="0" w:space="0" w:color="auto"/>
        <w:left w:val="none" w:sz="0" w:space="0" w:color="auto"/>
        <w:bottom w:val="none" w:sz="0" w:space="0" w:color="auto"/>
        <w:right w:val="none" w:sz="0" w:space="0" w:color="auto"/>
      </w:divBdr>
    </w:div>
    <w:div w:id="147720428">
      <w:bodyDiv w:val="1"/>
      <w:marLeft w:val="0"/>
      <w:marRight w:val="0"/>
      <w:marTop w:val="0"/>
      <w:marBottom w:val="0"/>
      <w:divBdr>
        <w:top w:val="none" w:sz="0" w:space="0" w:color="auto"/>
        <w:left w:val="none" w:sz="0" w:space="0" w:color="auto"/>
        <w:bottom w:val="none" w:sz="0" w:space="0" w:color="auto"/>
        <w:right w:val="none" w:sz="0" w:space="0" w:color="auto"/>
      </w:divBdr>
      <w:divsChild>
        <w:div w:id="567422269">
          <w:marLeft w:val="1166"/>
          <w:marRight w:val="0"/>
          <w:marTop w:val="96"/>
          <w:marBottom w:val="0"/>
          <w:divBdr>
            <w:top w:val="none" w:sz="0" w:space="0" w:color="auto"/>
            <w:left w:val="none" w:sz="0" w:space="0" w:color="auto"/>
            <w:bottom w:val="none" w:sz="0" w:space="0" w:color="auto"/>
            <w:right w:val="none" w:sz="0" w:space="0" w:color="auto"/>
          </w:divBdr>
        </w:div>
      </w:divsChild>
    </w:div>
    <w:div w:id="214900641">
      <w:bodyDiv w:val="1"/>
      <w:marLeft w:val="0"/>
      <w:marRight w:val="0"/>
      <w:marTop w:val="0"/>
      <w:marBottom w:val="0"/>
      <w:divBdr>
        <w:top w:val="none" w:sz="0" w:space="0" w:color="auto"/>
        <w:left w:val="none" w:sz="0" w:space="0" w:color="auto"/>
        <w:bottom w:val="none" w:sz="0" w:space="0" w:color="auto"/>
        <w:right w:val="none" w:sz="0" w:space="0" w:color="auto"/>
      </w:divBdr>
      <w:divsChild>
        <w:div w:id="855846976">
          <w:marLeft w:val="0"/>
          <w:marRight w:val="0"/>
          <w:marTop w:val="0"/>
          <w:marBottom w:val="0"/>
          <w:divBdr>
            <w:top w:val="none" w:sz="0" w:space="0" w:color="auto"/>
            <w:left w:val="none" w:sz="0" w:space="0" w:color="auto"/>
            <w:bottom w:val="none" w:sz="0" w:space="0" w:color="auto"/>
            <w:right w:val="none" w:sz="0" w:space="0" w:color="auto"/>
          </w:divBdr>
          <w:divsChild>
            <w:div w:id="236212224">
              <w:marLeft w:val="0"/>
              <w:marRight w:val="0"/>
              <w:marTop w:val="0"/>
              <w:marBottom w:val="0"/>
              <w:divBdr>
                <w:top w:val="none" w:sz="0" w:space="0" w:color="auto"/>
                <w:left w:val="none" w:sz="0" w:space="0" w:color="auto"/>
                <w:bottom w:val="none" w:sz="0" w:space="0" w:color="auto"/>
                <w:right w:val="none" w:sz="0" w:space="0" w:color="auto"/>
              </w:divBdr>
              <w:divsChild>
                <w:div w:id="12843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01940">
      <w:bodyDiv w:val="1"/>
      <w:marLeft w:val="0"/>
      <w:marRight w:val="0"/>
      <w:marTop w:val="0"/>
      <w:marBottom w:val="0"/>
      <w:divBdr>
        <w:top w:val="none" w:sz="0" w:space="0" w:color="auto"/>
        <w:left w:val="none" w:sz="0" w:space="0" w:color="auto"/>
        <w:bottom w:val="none" w:sz="0" w:space="0" w:color="auto"/>
        <w:right w:val="none" w:sz="0" w:space="0" w:color="auto"/>
      </w:divBdr>
    </w:div>
    <w:div w:id="304774319">
      <w:bodyDiv w:val="1"/>
      <w:marLeft w:val="0"/>
      <w:marRight w:val="0"/>
      <w:marTop w:val="0"/>
      <w:marBottom w:val="0"/>
      <w:divBdr>
        <w:top w:val="none" w:sz="0" w:space="0" w:color="auto"/>
        <w:left w:val="none" w:sz="0" w:space="0" w:color="auto"/>
        <w:bottom w:val="none" w:sz="0" w:space="0" w:color="auto"/>
        <w:right w:val="none" w:sz="0" w:space="0" w:color="auto"/>
      </w:divBdr>
    </w:div>
    <w:div w:id="341130108">
      <w:bodyDiv w:val="1"/>
      <w:marLeft w:val="0"/>
      <w:marRight w:val="0"/>
      <w:marTop w:val="0"/>
      <w:marBottom w:val="0"/>
      <w:divBdr>
        <w:top w:val="none" w:sz="0" w:space="0" w:color="auto"/>
        <w:left w:val="none" w:sz="0" w:space="0" w:color="auto"/>
        <w:bottom w:val="none" w:sz="0" w:space="0" w:color="auto"/>
        <w:right w:val="none" w:sz="0" w:space="0" w:color="auto"/>
      </w:divBdr>
      <w:divsChild>
        <w:div w:id="1848909965">
          <w:marLeft w:val="547"/>
          <w:marRight w:val="0"/>
          <w:marTop w:val="96"/>
          <w:marBottom w:val="0"/>
          <w:divBdr>
            <w:top w:val="none" w:sz="0" w:space="0" w:color="auto"/>
            <w:left w:val="none" w:sz="0" w:space="0" w:color="auto"/>
            <w:bottom w:val="none" w:sz="0" w:space="0" w:color="auto"/>
            <w:right w:val="none" w:sz="0" w:space="0" w:color="auto"/>
          </w:divBdr>
        </w:div>
        <w:div w:id="1402093515">
          <w:marLeft w:val="1166"/>
          <w:marRight w:val="0"/>
          <w:marTop w:val="96"/>
          <w:marBottom w:val="0"/>
          <w:divBdr>
            <w:top w:val="none" w:sz="0" w:space="0" w:color="auto"/>
            <w:left w:val="none" w:sz="0" w:space="0" w:color="auto"/>
            <w:bottom w:val="none" w:sz="0" w:space="0" w:color="auto"/>
            <w:right w:val="none" w:sz="0" w:space="0" w:color="auto"/>
          </w:divBdr>
        </w:div>
        <w:div w:id="1671366763">
          <w:marLeft w:val="1166"/>
          <w:marRight w:val="0"/>
          <w:marTop w:val="96"/>
          <w:marBottom w:val="0"/>
          <w:divBdr>
            <w:top w:val="none" w:sz="0" w:space="0" w:color="auto"/>
            <w:left w:val="none" w:sz="0" w:space="0" w:color="auto"/>
            <w:bottom w:val="none" w:sz="0" w:space="0" w:color="auto"/>
            <w:right w:val="none" w:sz="0" w:space="0" w:color="auto"/>
          </w:divBdr>
        </w:div>
        <w:div w:id="2092963366">
          <w:marLeft w:val="1166"/>
          <w:marRight w:val="0"/>
          <w:marTop w:val="96"/>
          <w:marBottom w:val="0"/>
          <w:divBdr>
            <w:top w:val="none" w:sz="0" w:space="0" w:color="auto"/>
            <w:left w:val="none" w:sz="0" w:space="0" w:color="auto"/>
            <w:bottom w:val="none" w:sz="0" w:space="0" w:color="auto"/>
            <w:right w:val="none" w:sz="0" w:space="0" w:color="auto"/>
          </w:divBdr>
        </w:div>
        <w:div w:id="1267691555">
          <w:marLeft w:val="1166"/>
          <w:marRight w:val="0"/>
          <w:marTop w:val="96"/>
          <w:marBottom w:val="0"/>
          <w:divBdr>
            <w:top w:val="none" w:sz="0" w:space="0" w:color="auto"/>
            <w:left w:val="none" w:sz="0" w:space="0" w:color="auto"/>
            <w:bottom w:val="none" w:sz="0" w:space="0" w:color="auto"/>
            <w:right w:val="none" w:sz="0" w:space="0" w:color="auto"/>
          </w:divBdr>
        </w:div>
        <w:div w:id="246155127">
          <w:marLeft w:val="1166"/>
          <w:marRight w:val="0"/>
          <w:marTop w:val="96"/>
          <w:marBottom w:val="0"/>
          <w:divBdr>
            <w:top w:val="none" w:sz="0" w:space="0" w:color="auto"/>
            <w:left w:val="none" w:sz="0" w:space="0" w:color="auto"/>
            <w:bottom w:val="none" w:sz="0" w:space="0" w:color="auto"/>
            <w:right w:val="none" w:sz="0" w:space="0" w:color="auto"/>
          </w:divBdr>
        </w:div>
        <w:div w:id="1937208542">
          <w:marLeft w:val="1166"/>
          <w:marRight w:val="0"/>
          <w:marTop w:val="96"/>
          <w:marBottom w:val="0"/>
          <w:divBdr>
            <w:top w:val="none" w:sz="0" w:space="0" w:color="auto"/>
            <w:left w:val="none" w:sz="0" w:space="0" w:color="auto"/>
            <w:bottom w:val="none" w:sz="0" w:space="0" w:color="auto"/>
            <w:right w:val="none" w:sz="0" w:space="0" w:color="auto"/>
          </w:divBdr>
        </w:div>
      </w:divsChild>
    </w:div>
    <w:div w:id="352191596">
      <w:marLeft w:val="0"/>
      <w:marRight w:val="0"/>
      <w:marTop w:val="0"/>
      <w:marBottom w:val="0"/>
      <w:divBdr>
        <w:top w:val="none" w:sz="0" w:space="0" w:color="auto"/>
        <w:left w:val="none" w:sz="0" w:space="0" w:color="auto"/>
        <w:bottom w:val="none" w:sz="0" w:space="0" w:color="auto"/>
        <w:right w:val="none" w:sz="0" w:space="0" w:color="auto"/>
      </w:divBdr>
    </w:div>
    <w:div w:id="446235495">
      <w:bodyDiv w:val="1"/>
      <w:marLeft w:val="0"/>
      <w:marRight w:val="0"/>
      <w:marTop w:val="0"/>
      <w:marBottom w:val="0"/>
      <w:divBdr>
        <w:top w:val="none" w:sz="0" w:space="0" w:color="auto"/>
        <w:left w:val="none" w:sz="0" w:space="0" w:color="auto"/>
        <w:bottom w:val="none" w:sz="0" w:space="0" w:color="auto"/>
        <w:right w:val="none" w:sz="0" w:space="0" w:color="auto"/>
      </w:divBdr>
      <w:divsChild>
        <w:div w:id="413433465">
          <w:marLeft w:val="547"/>
          <w:marRight w:val="0"/>
          <w:marTop w:val="96"/>
          <w:marBottom w:val="0"/>
          <w:divBdr>
            <w:top w:val="none" w:sz="0" w:space="0" w:color="auto"/>
            <w:left w:val="none" w:sz="0" w:space="0" w:color="auto"/>
            <w:bottom w:val="none" w:sz="0" w:space="0" w:color="auto"/>
            <w:right w:val="none" w:sz="0" w:space="0" w:color="auto"/>
          </w:divBdr>
        </w:div>
        <w:div w:id="145561227">
          <w:marLeft w:val="547"/>
          <w:marRight w:val="0"/>
          <w:marTop w:val="96"/>
          <w:marBottom w:val="0"/>
          <w:divBdr>
            <w:top w:val="none" w:sz="0" w:space="0" w:color="auto"/>
            <w:left w:val="none" w:sz="0" w:space="0" w:color="auto"/>
            <w:bottom w:val="none" w:sz="0" w:space="0" w:color="auto"/>
            <w:right w:val="none" w:sz="0" w:space="0" w:color="auto"/>
          </w:divBdr>
        </w:div>
        <w:div w:id="1648170645">
          <w:marLeft w:val="547"/>
          <w:marRight w:val="0"/>
          <w:marTop w:val="96"/>
          <w:marBottom w:val="0"/>
          <w:divBdr>
            <w:top w:val="none" w:sz="0" w:space="0" w:color="auto"/>
            <w:left w:val="none" w:sz="0" w:space="0" w:color="auto"/>
            <w:bottom w:val="none" w:sz="0" w:space="0" w:color="auto"/>
            <w:right w:val="none" w:sz="0" w:space="0" w:color="auto"/>
          </w:divBdr>
        </w:div>
        <w:div w:id="1820876787">
          <w:marLeft w:val="547"/>
          <w:marRight w:val="0"/>
          <w:marTop w:val="96"/>
          <w:marBottom w:val="0"/>
          <w:divBdr>
            <w:top w:val="none" w:sz="0" w:space="0" w:color="auto"/>
            <w:left w:val="none" w:sz="0" w:space="0" w:color="auto"/>
            <w:bottom w:val="none" w:sz="0" w:space="0" w:color="auto"/>
            <w:right w:val="none" w:sz="0" w:space="0" w:color="auto"/>
          </w:divBdr>
        </w:div>
      </w:divsChild>
    </w:div>
    <w:div w:id="502358468">
      <w:bodyDiv w:val="1"/>
      <w:marLeft w:val="0"/>
      <w:marRight w:val="0"/>
      <w:marTop w:val="0"/>
      <w:marBottom w:val="0"/>
      <w:divBdr>
        <w:top w:val="none" w:sz="0" w:space="0" w:color="auto"/>
        <w:left w:val="none" w:sz="0" w:space="0" w:color="auto"/>
        <w:bottom w:val="none" w:sz="0" w:space="0" w:color="auto"/>
        <w:right w:val="none" w:sz="0" w:space="0" w:color="auto"/>
      </w:divBdr>
      <w:divsChild>
        <w:div w:id="1217353708">
          <w:marLeft w:val="0"/>
          <w:marRight w:val="0"/>
          <w:marTop w:val="0"/>
          <w:marBottom w:val="0"/>
          <w:divBdr>
            <w:top w:val="none" w:sz="0" w:space="0" w:color="auto"/>
            <w:left w:val="none" w:sz="0" w:space="0" w:color="auto"/>
            <w:bottom w:val="none" w:sz="0" w:space="0" w:color="auto"/>
            <w:right w:val="none" w:sz="0" w:space="0" w:color="auto"/>
          </w:divBdr>
          <w:divsChild>
            <w:div w:id="1588424200">
              <w:marLeft w:val="0"/>
              <w:marRight w:val="0"/>
              <w:marTop w:val="0"/>
              <w:marBottom w:val="0"/>
              <w:divBdr>
                <w:top w:val="none" w:sz="0" w:space="0" w:color="auto"/>
                <w:left w:val="none" w:sz="0" w:space="0" w:color="auto"/>
                <w:bottom w:val="none" w:sz="0" w:space="0" w:color="auto"/>
                <w:right w:val="none" w:sz="0" w:space="0" w:color="auto"/>
              </w:divBdr>
              <w:divsChild>
                <w:div w:id="17835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6685">
      <w:bodyDiv w:val="1"/>
      <w:marLeft w:val="0"/>
      <w:marRight w:val="0"/>
      <w:marTop w:val="0"/>
      <w:marBottom w:val="0"/>
      <w:divBdr>
        <w:top w:val="none" w:sz="0" w:space="0" w:color="auto"/>
        <w:left w:val="none" w:sz="0" w:space="0" w:color="auto"/>
        <w:bottom w:val="none" w:sz="0" w:space="0" w:color="auto"/>
        <w:right w:val="none" w:sz="0" w:space="0" w:color="auto"/>
      </w:divBdr>
      <w:divsChild>
        <w:div w:id="2042784760">
          <w:marLeft w:val="0"/>
          <w:marRight w:val="0"/>
          <w:marTop w:val="0"/>
          <w:marBottom w:val="0"/>
          <w:divBdr>
            <w:top w:val="none" w:sz="0" w:space="0" w:color="auto"/>
            <w:left w:val="none" w:sz="0" w:space="0" w:color="auto"/>
            <w:bottom w:val="none" w:sz="0" w:space="0" w:color="auto"/>
            <w:right w:val="none" w:sz="0" w:space="0" w:color="auto"/>
          </w:divBdr>
          <w:divsChild>
            <w:div w:id="29958950">
              <w:marLeft w:val="0"/>
              <w:marRight w:val="0"/>
              <w:marTop w:val="0"/>
              <w:marBottom w:val="0"/>
              <w:divBdr>
                <w:top w:val="none" w:sz="0" w:space="0" w:color="auto"/>
                <w:left w:val="none" w:sz="0" w:space="0" w:color="auto"/>
                <w:bottom w:val="none" w:sz="0" w:space="0" w:color="auto"/>
                <w:right w:val="none" w:sz="0" w:space="0" w:color="auto"/>
              </w:divBdr>
              <w:divsChild>
                <w:div w:id="823081668">
                  <w:marLeft w:val="0"/>
                  <w:marRight w:val="0"/>
                  <w:marTop w:val="0"/>
                  <w:marBottom w:val="0"/>
                  <w:divBdr>
                    <w:top w:val="none" w:sz="0" w:space="0" w:color="auto"/>
                    <w:left w:val="none" w:sz="0" w:space="0" w:color="auto"/>
                    <w:bottom w:val="none" w:sz="0" w:space="0" w:color="auto"/>
                    <w:right w:val="none" w:sz="0" w:space="0" w:color="auto"/>
                  </w:divBdr>
                  <w:divsChild>
                    <w:div w:id="768082745">
                      <w:marLeft w:val="0"/>
                      <w:marRight w:val="0"/>
                      <w:marTop w:val="0"/>
                      <w:marBottom w:val="0"/>
                      <w:divBdr>
                        <w:top w:val="none" w:sz="0" w:space="0" w:color="auto"/>
                        <w:left w:val="none" w:sz="0" w:space="0" w:color="auto"/>
                        <w:bottom w:val="none" w:sz="0" w:space="0" w:color="auto"/>
                        <w:right w:val="none" w:sz="0" w:space="0" w:color="auto"/>
                      </w:divBdr>
                      <w:divsChild>
                        <w:div w:id="6322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120833">
      <w:bodyDiv w:val="1"/>
      <w:marLeft w:val="0"/>
      <w:marRight w:val="0"/>
      <w:marTop w:val="0"/>
      <w:marBottom w:val="0"/>
      <w:divBdr>
        <w:top w:val="none" w:sz="0" w:space="0" w:color="auto"/>
        <w:left w:val="none" w:sz="0" w:space="0" w:color="auto"/>
        <w:bottom w:val="none" w:sz="0" w:space="0" w:color="auto"/>
        <w:right w:val="none" w:sz="0" w:space="0" w:color="auto"/>
      </w:divBdr>
      <w:divsChild>
        <w:div w:id="398329470">
          <w:marLeft w:val="1166"/>
          <w:marRight w:val="0"/>
          <w:marTop w:val="96"/>
          <w:marBottom w:val="0"/>
          <w:divBdr>
            <w:top w:val="none" w:sz="0" w:space="0" w:color="auto"/>
            <w:left w:val="none" w:sz="0" w:space="0" w:color="auto"/>
            <w:bottom w:val="none" w:sz="0" w:space="0" w:color="auto"/>
            <w:right w:val="none" w:sz="0" w:space="0" w:color="auto"/>
          </w:divBdr>
        </w:div>
      </w:divsChild>
    </w:div>
    <w:div w:id="714089168">
      <w:bodyDiv w:val="1"/>
      <w:marLeft w:val="0"/>
      <w:marRight w:val="0"/>
      <w:marTop w:val="0"/>
      <w:marBottom w:val="0"/>
      <w:divBdr>
        <w:top w:val="none" w:sz="0" w:space="0" w:color="auto"/>
        <w:left w:val="none" w:sz="0" w:space="0" w:color="auto"/>
        <w:bottom w:val="none" w:sz="0" w:space="0" w:color="auto"/>
        <w:right w:val="none" w:sz="0" w:space="0" w:color="auto"/>
      </w:divBdr>
      <w:divsChild>
        <w:div w:id="2096437004">
          <w:marLeft w:val="0"/>
          <w:marRight w:val="0"/>
          <w:marTop w:val="0"/>
          <w:marBottom w:val="0"/>
          <w:divBdr>
            <w:top w:val="none" w:sz="0" w:space="0" w:color="auto"/>
            <w:left w:val="none" w:sz="0" w:space="0" w:color="auto"/>
            <w:bottom w:val="none" w:sz="0" w:space="0" w:color="auto"/>
            <w:right w:val="none" w:sz="0" w:space="0" w:color="auto"/>
          </w:divBdr>
          <w:divsChild>
            <w:div w:id="2139952336">
              <w:marLeft w:val="0"/>
              <w:marRight w:val="0"/>
              <w:marTop w:val="0"/>
              <w:marBottom w:val="0"/>
              <w:divBdr>
                <w:top w:val="none" w:sz="0" w:space="0" w:color="auto"/>
                <w:left w:val="none" w:sz="0" w:space="0" w:color="auto"/>
                <w:bottom w:val="none" w:sz="0" w:space="0" w:color="auto"/>
                <w:right w:val="none" w:sz="0" w:space="0" w:color="auto"/>
              </w:divBdr>
              <w:divsChild>
                <w:div w:id="1095787654">
                  <w:marLeft w:val="0"/>
                  <w:marRight w:val="0"/>
                  <w:marTop w:val="0"/>
                  <w:marBottom w:val="0"/>
                  <w:divBdr>
                    <w:top w:val="none" w:sz="0" w:space="0" w:color="auto"/>
                    <w:left w:val="none" w:sz="0" w:space="0" w:color="auto"/>
                    <w:bottom w:val="none" w:sz="0" w:space="0" w:color="auto"/>
                    <w:right w:val="none" w:sz="0" w:space="0" w:color="auto"/>
                  </w:divBdr>
                  <w:divsChild>
                    <w:div w:id="1496915668">
                      <w:marLeft w:val="0"/>
                      <w:marRight w:val="0"/>
                      <w:marTop w:val="0"/>
                      <w:marBottom w:val="0"/>
                      <w:divBdr>
                        <w:top w:val="none" w:sz="0" w:space="0" w:color="auto"/>
                        <w:left w:val="none" w:sz="0" w:space="0" w:color="auto"/>
                        <w:bottom w:val="none" w:sz="0" w:space="0" w:color="auto"/>
                        <w:right w:val="none" w:sz="0" w:space="0" w:color="auto"/>
                      </w:divBdr>
                      <w:divsChild>
                        <w:div w:id="1636443044">
                          <w:marLeft w:val="0"/>
                          <w:marRight w:val="0"/>
                          <w:marTop w:val="0"/>
                          <w:marBottom w:val="0"/>
                          <w:divBdr>
                            <w:top w:val="none" w:sz="0" w:space="0" w:color="auto"/>
                            <w:left w:val="none" w:sz="0" w:space="0" w:color="auto"/>
                            <w:bottom w:val="none" w:sz="0" w:space="0" w:color="auto"/>
                            <w:right w:val="none" w:sz="0" w:space="0" w:color="auto"/>
                          </w:divBdr>
                          <w:divsChild>
                            <w:div w:id="694384771">
                              <w:marLeft w:val="0"/>
                              <w:marRight w:val="0"/>
                              <w:marTop w:val="0"/>
                              <w:marBottom w:val="0"/>
                              <w:divBdr>
                                <w:top w:val="none" w:sz="0" w:space="0" w:color="auto"/>
                                <w:left w:val="none" w:sz="0" w:space="0" w:color="auto"/>
                                <w:bottom w:val="none" w:sz="0" w:space="0" w:color="auto"/>
                                <w:right w:val="none" w:sz="0" w:space="0" w:color="auto"/>
                              </w:divBdr>
                              <w:divsChild>
                                <w:div w:id="246311828">
                                  <w:marLeft w:val="0"/>
                                  <w:marRight w:val="0"/>
                                  <w:marTop w:val="0"/>
                                  <w:marBottom w:val="0"/>
                                  <w:divBdr>
                                    <w:top w:val="none" w:sz="0" w:space="0" w:color="auto"/>
                                    <w:left w:val="none" w:sz="0" w:space="0" w:color="auto"/>
                                    <w:bottom w:val="none" w:sz="0" w:space="0" w:color="auto"/>
                                    <w:right w:val="none" w:sz="0" w:space="0" w:color="auto"/>
                                  </w:divBdr>
                                  <w:divsChild>
                                    <w:div w:id="255480975">
                                      <w:marLeft w:val="0"/>
                                      <w:marRight w:val="0"/>
                                      <w:marTop w:val="0"/>
                                      <w:marBottom w:val="0"/>
                                      <w:divBdr>
                                        <w:top w:val="none" w:sz="0" w:space="0" w:color="auto"/>
                                        <w:left w:val="none" w:sz="0" w:space="0" w:color="auto"/>
                                        <w:bottom w:val="none" w:sz="0" w:space="0" w:color="auto"/>
                                        <w:right w:val="none" w:sz="0" w:space="0" w:color="auto"/>
                                      </w:divBdr>
                                      <w:divsChild>
                                        <w:div w:id="1131510990">
                                          <w:marLeft w:val="0"/>
                                          <w:marRight w:val="0"/>
                                          <w:marTop w:val="0"/>
                                          <w:marBottom w:val="0"/>
                                          <w:divBdr>
                                            <w:top w:val="none" w:sz="0" w:space="0" w:color="auto"/>
                                            <w:left w:val="none" w:sz="0" w:space="0" w:color="auto"/>
                                            <w:bottom w:val="none" w:sz="0" w:space="0" w:color="auto"/>
                                            <w:right w:val="none" w:sz="0" w:space="0" w:color="auto"/>
                                          </w:divBdr>
                                          <w:divsChild>
                                            <w:div w:id="1054423603">
                                              <w:marLeft w:val="0"/>
                                              <w:marRight w:val="0"/>
                                              <w:marTop w:val="0"/>
                                              <w:marBottom w:val="0"/>
                                              <w:divBdr>
                                                <w:top w:val="none" w:sz="0" w:space="0" w:color="auto"/>
                                                <w:left w:val="none" w:sz="0" w:space="0" w:color="auto"/>
                                                <w:bottom w:val="none" w:sz="0" w:space="0" w:color="auto"/>
                                                <w:right w:val="none" w:sz="0" w:space="0" w:color="auto"/>
                                              </w:divBdr>
                                              <w:divsChild>
                                                <w:div w:id="13251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876847">
      <w:bodyDiv w:val="1"/>
      <w:marLeft w:val="0"/>
      <w:marRight w:val="0"/>
      <w:marTop w:val="0"/>
      <w:marBottom w:val="0"/>
      <w:divBdr>
        <w:top w:val="none" w:sz="0" w:space="0" w:color="auto"/>
        <w:left w:val="none" w:sz="0" w:space="0" w:color="auto"/>
        <w:bottom w:val="none" w:sz="0" w:space="0" w:color="auto"/>
        <w:right w:val="none" w:sz="0" w:space="0" w:color="auto"/>
      </w:divBdr>
    </w:div>
    <w:div w:id="740910815">
      <w:bodyDiv w:val="1"/>
      <w:marLeft w:val="0"/>
      <w:marRight w:val="0"/>
      <w:marTop w:val="0"/>
      <w:marBottom w:val="0"/>
      <w:divBdr>
        <w:top w:val="none" w:sz="0" w:space="0" w:color="auto"/>
        <w:left w:val="none" w:sz="0" w:space="0" w:color="auto"/>
        <w:bottom w:val="none" w:sz="0" w:space="0" w:color="auto"/>
        <w:right w:val="none" w:sz="0" w:space="0" w:color="auto"/>
      </w:divBdr>
      <w:divsChild>
        <w:div w:id="2053144065">
          <w:marLeft w:val="0"/>
          <w:marRight w:val="0"/>
          <w:marTop w:val="0"/>
          <w:marBottom w:val="0"/>
          <w:divBdr>
            <w:top w:val="none" w:sz="0" w:space="0" w:color="auto"/>
            <w:left w:val="none" w:sz="0" w:space="0" w:color="auto"/>
            <w:bottom w:val="none" w:sz="0" w:space="0" w:color="auto"/>
            <w:right w:val="none" w:sz="0" w:space="0" w:color="auto"/>
          </w:divBdr>
          <w:divsChild>
            <w:div w:id="293367125">
              <w:marLeft w:val="0"/>
              <w:marRight w:val="0"/>
              <w:marTop w:val="0"/>
              <w:marBottom w:val="0"/>
              <w:divBdr>
                <w:top w:val="none" w:sz="0" w:space="0" w:color="auto"/>
                <w:left w:val="none" w:sz="0" w:space="0" w:color="auto"/>
                <w:bottom w:val="none" w:sz="0" w:space="0" w:color="auto"/>
                <w:right w:val="none" w:sz="0" w:space="0" w:color="auto"/>
              </w:divBdr>
              <w:divsChild>
                <w:div w:id="533814462">
                  <w:marLeft w:val="0"/>
                  <w:marRight w:val="0"/>
                  <w:marTop w:val="0"/>
                  <w:marBottom w:val="0"/>
                  <w:divBdr>
                    <w:top w:val="none" w:sz="0" w:space="0" w:color="auto"/>
                    <w:left w:val="none" w:sz="0" w:space="0" w:color="auto"/>
                    <w:bottom w:val="none" w:sz="0" w:space="0" w:color="auto"/>
                    <w:right w:val="none" w:sz="0" w:space="0" w:color="auto"/>
                  </w:divBdr>
                  <w:divsChild>
                    <w:div w:id="464354594">
                      <w:marLeft w:val="0"/>
                      <w:marRight w:val="0"/>
                      <w:marTop w:val="0"/>
                      <w:marBottom w:val="0"/>
                      <w:divBdr>
                        <w:top w:val="none" w:sz="0" w:space="0" w:color="auto"/>
                        <w:left w:val="none" w:sz="0" w:space="0" w:color="auto"/>
                        <w:bottom w:val="none" w:sz="0" w:space="0" w:color="auto"/>
                        <w:right w:val="none" w:sz="0" w:space="0" w:color="auto"/>
                      </w:divBdr>
                      <w:divsChild>
                        <w:div w:id="126742774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216874">
      <w:bodyDiv w:val="1"/>
      <w:marLeft w:val="0"/>
      <w:marRight w:val="0"/>
      <w:marTop w:val="0"/>
      <w:marBottom w:val="0"/>
      <w:divBdr>
        <w:top w:val="none" w:sz="0" w:space="0" w:color="auto"/>
        <w:left w:val="none" w:sz="0" w:space="0" w:color="auto"/>
        <w:bottom w:val="none" w:sz="0" w:space="0" w:color="auto"/>
        <w:right w:val="none" w:sz="0" w:space="0" w:color="auto"/>
      </w:divBdr>
    </w:div>
    <w:div w:id="869488662">
      <w:bodyDiv w:val="1"/>
      <w:marLeft w:val="0"/>
      <w:marRight w:val="0"/>
      <w:marTop w:val="0"/>
      <w:marBottom w:val="0"/>
      <w:divBdr>
        <w:top w:val="none" w:sz="0" w:space="0" w:color="auto"/>
        <w:left w:val="none" w:sz="0" w:space="0" w:color="auto"/>
        <w:bottom w:val="none" w:sz="0" w:space="0" w:color="auto"/>
        <w:right w:val="none" w:sz="0" w:space="0" w:color="auto"/>
      </w:divBdr>
      <w:divsChild>
        <w:div w:id="1805078341">
          <w:marLeft w:val="0"/>
          <w:marRight w:val="0"/>
          <w:marTop w:val="0"/>
          <w:marBottom w:val="0"/>
          <w:divBdr>
            <w:top w:val="none" w:sz="0" w:space="0" w:color="auto"/>
            <w:left w:val="none" w:sz="0" w:space="0" w:color="auto"/>
            <w:bottom w:val="none" w:sz="0" w:space="0" w:color="auto"/>
            <w:right w:val="none" w:sz="0" w:space="0" w:color="auto"/>
          </w:divBdr>
          <w:divsChild>
            <w:div w:id="1209800698">
              <w:marLeft w:val="0"/>
              <w:marRight w:val="0"/>
              <w:marTop w:val="0"/>
              <w:marBottom w:val="0"/>
              <w:divBdr>
                <w:top w:val="none" w:sz="0" w:space="0" w:color="auto"/>
                <w:left w:val="none" w:sz="0" w:space="0" w:color="auto"/>
                <w:bottom w:val="none" w:sz="0" w:space="0" w:color="auto"/>
                <w:right w:val="none" w:sz="0" w:space="0" w:color="auto"/>
              </w:divBdr>
              <w:divsChild>
                <w:div w:id="1208297890">
                  <w:marLeft w:val="136"/>
                  <w:marRight w:val="136"/>
                  <w:marTop w:val="0"/>
                  <w:marBottom w:val="0"/>
                  <w:divBdr>
                    <w:top w:val="none" w:sz="0" w:space="0" w:color="auto"/>
                    <w:left w:val="none" w:sz="0" w:space="0" w:color="auto"/>
                    <w:bottom w:val="none" w:sz="0" w:space="0" w:color="auto"/>
                    <w:right w:val="none" w:sz="0" w:space="0" w:color="auto"/>
                  </w:divBdr>
                  <w:divsChild>
                    <w:div w:id="1321539250">
                      <w:marLeft w:val="0"/>
                      <w:marRight w:val="0"/>
                      <w:marTop w:val="0"/>
                      <w:marBottom w:val="0"/>
                      <w:divBdr>
                        <w:top w:val="none" w:sz="0" w:space="0" w:color="auto"/>
                        <w:left w:val="none" w:sz="0" w:space="0" w:color="auto"/>
                        <w:bottom w:val="none" w:sz="0" w:space="0" w:color="auto"/>
                        <w:right w:val="none" w:sz="0" w:space="0" w:color="auto"/>
                      </w:divBdr>
                      <w:divsChild>
                        <w:div w:id="819224975">
                          <w:marLeft w:val="0"/>
                          <w:marRight w:val="0"/>
                          <w:marTop w:val="0"/>
                          <w:marBottom w:val="0"/>
                          <w:divBdr>
                            <w:top w:val="none" w:sz="0" w:space="0" w:color="auto"/>
                            <w:left w:val="none" w:sz="0" w:space="0" w:color="auto"/>
                            <w:bottom w:val="none" w:sz="0" w:space="0" w:color="auto"/>
                            <w:right w:val="none" w:sz="0" w:space="0" w:color="auto"/>
                          </w:divBdr>
                          <w:divsChild>
                            <w:div w:id="511383745">
                              <w:marLeft w:val="0"/>
                              <w:marRight w:val="0"/>
                              <w:marTop w:val="0"/>
                              <w:marBottom w:val="0"/>
                              <w:divBdr>
                                <w:top w:val="none" w:sz="0" w:space="0" w:color="auto"/>
                                <w:left w:val="none" w:sz="0" w:space="0" w:color="auto"/>
                                <w:bottom w:val="none" w:sz="0" w:space="0" w:color="auto"/>
                                <w:right w:val="none" w:sz="0" w:space="0" w:color="auto"/>
                              </w:divBdr>
                              <w:divsChild>
                                <w:div w:id="1786121951">
                                  <w:marLeft w:val="0"/>
                                  <w:marRight w:val="0"/>
                                  <w:marTop w:val="0"/>
                                  <w:marBottom w:val="0"/>
                                  <w:divBdr>
                                    <w:top w:val="none" w:sz="0" w:space="0" w:color="auto"/>
                                    <w:left w:val="none" w:sz="0" w:space="0" w:color="auto"/>
                                    <w:bottom w:val="none" w:sz="0" w:space="0" w:color="auto"/>
                                    <w:right w:val="none" w:sz="0" w:space="0" w:color="auto"/>
                                  </w:divBdr>
                                  <w:divsChild>
                                    <w:div w:id="703212376">
                                      <w:marLeft w:val="0"/>
                                      <w:marRight w:val="0"/>
                                      <w:marTop w:val="0"/>
                                      <w:marBottom w:val="0"/>
                                      <w:divBdr>
                                        <w:top w:val="none" w:sz="0" w:space="0" w:color="auto"/>
                                        <w:left w:val="none" w:sz="0" w:space="0" w:color="auto"/>
                                        <w:bottom w:val="none" w:sz="0" w:space="0" w:color="auto"/>
                                        <w:right w:val="none" w:sz="0" w:space="0" w:color="auto"/>
                                      </w:divBdr>
                                      <w:divsChild>
                                        <w:div w:id="2066291658">
                                          <w:marLeft w:val="0"/>
                                          <w:marRight w:val="0"/>
                                          <w:marTop w:val="0"/>
                                          <w:marBottom w:val="0"/>
                                          <w:divBdr>
                                            <w:top w:val="none" w:sz="0" w:space="0" w:color="auto"/>
                                            <w:left w:val="none" w:sz="0" w:space="0" w:color="auto"/>
                                            <w:bottom w:val="none" w:sz="0" w:space="0" w:color="auto"/>
                                            <w:right w:val="none" w:sz="0" w:space="0" w:color="auto"/>
                                          </w:divBdr>
                                          <w:divsChild>
                                            <w:div w:id="1257398992">
                                              <w:marLeft w:val="0"/>
                                              <w:marRight w:val="0"/>
                                              <w:marTop w:val="0"/>
                                              <w:marBottom w:val="0"/>
                                              <w:divBdr>
                                                <w:top w:val="none" w:sz="0" w:space="0" w:color="auto"/>
                                                <w:left w:val="none" w:sz="0" w:space="0" w:color="auto"/>
                                                <w:bottom w:val="none" w:sz="0" w:space="0" w:color="auto"/>
                                                <w:right w:val="none" w:sz="0" w:space="0" w:color="auto"/>
                                              </w:divBdr>
                                              <w:divsChild>
                                                <w:div w:id="1591113558">
                                                  <w:marLeft w:val="0"/>
                                                  <w:marRight w:val="0"/>
                                                  <w:marTop w:val="0"/>
                                                  <w:marBottom w:val="0"/>
                                                  <w:divBdr>
                                                    <w:top w:val="none" w:sz="0" w:space="0" w:color="auto"/>
                                                    <w:left w:val="none" w:sz="0" w:space="0" w:color="auto"/>
                                                    <w:bottom w:val="none" w:sz="0" w:space="0" w:color="auto"/>
                                                    <w:right w:val="none" w:sz="0" w:space="0" w:color="auto"/>
                                                  </w:divBdr>
                                                  <w:divsChild>
                                                    <w:div w:id="17771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357308">
      <w:bodyDiv w:val="1"/>
      <w:marLeft w:val="0"/>
      <w:marRight w:val="0"/>
      <w:marTop w:val="0"/>
      <w:marBottom w:val="0"/>
      <w:divBdr>
        <w:top w:val="none" w:sz="0" w:space="0" w:color="auto"/>
        <w:left w:val="none" w:sz="0" w:space="0" w:color="auto"/>
        <w:bottom w:val="none" w:sz="0" w:space="0" w:color="auto"/>
        <w:right w:val="none" w:sz="0" w:space="0" w:color="auto"/>
      </w:divBdr>
      <w:divsChild>
        <w:div w:id="1374236678">
          <w:marLeft w:val="547"/>
          <w:marRight w:val="0"/>
          <w:marTop w:val="96"/>
          <w:marBottom w:val="0"/>
          <w:divBdr>
            <w:top w:val="none" w:sz="0" w:space="0" w:color="auto"/>
            <w:left w:val="none" w:sz="0" w:space="0" w:color="auto"/>
            <w:bottom w:val="none" w:sz="0" w:space="0" w:color="auto"/>
            <w:right w:val="none" w:sz="0" w:space="0" w:color="auto"/>
          </w:divBdr>
        </w:div>
        <w:div w:id="1872915425">
          <w:marLeft w:val="1166"/>
          <w:marRight w:val="0"/>
          <w:marTop w:val="96"/>
          <w:marBottom w:val="0"/>
          <w:divBdr>
            <w:top w:val="none" w:sz="0" w:space="0" w:color="auto"/>
            <w:left w:val="none" w:sz="0" w:space="0" w:color="auto"/>
            <w:bottom w:val="none" w:sz="0" w:space="0" w:color="auto"/>
            <w:right w:val="none" w:sz="0" w:space="0" w:color="auto"/>
          </w:divBdr>
        </w:div>
      </w:divsChild>
    </w:div>
    <w:div w:id="907886694">
      <w:bodyDiv w:val="1"/>
      <w:marLeft w:val="0"/>
      <w:marRight w:val="0"/>
      <w:marTop w:val="0"/>
      <w:marBottom w:val="0"/>
      <w:divBdr>
        <w:top w:val="none" w:sz="0" w:space="0" w:color="auto"/>
        <w:left w:val="none" w:sz="0" w:space="0" w:color="auto"/>
        <w:bottom w:val="none" w:sz="0" w:space="0" w:color="auto"/>
        <w:right w:val="none" w:sz="0" w:space="0" w:color="auto"/>
      </w:divBdr>
      <w:divsChild>
        <w:div w:id="1222212508">
          <w:marLeft w:val="0"/>
          <w:marRight w:val="0"/>
          <w:marTop w:val="0"/>
          <w:marBottom w:val="0"/>
          <w:divBdr>
            <w:top w:val="none" w:sz="0" w:space="0" w:color="auto"/>
            <w:left w:val="none" w:sz="0" w:space="0" w:color="auto"/>
            <w:bottom w:val="none" w:sz="0" w:space="0" w:color="auto"/>
            <w:right w:val="none" w:sz="0" w:space="0" w:color="auto"/>
          </w:divBdr>
          <w:divsChild>
            <w:div w:id="830367603">
              <w:marLeft w:val="0"/>
              <w:marRight w:val="0"/>
              <w:marTop w:val="0"/>
              <w:marBottom w:val="0"/>
              <w:divBdr>
                <w:top w:val="none" w:sz="0" w:space="0" w:color="auto"/>
                <w:left w:val="none" w:sz="0" w:space="0" w:color="auto"/>
                <w:bottom w:val="none" w:sz="0" w:space="0" w:color="auto"/>
                <w:right w:val="none" w:sz="0" w:space="0" w:color="auto"/>
              </w:divBdr>
              <w:divsChild>
                <w:div w:id="1086682135">
                  <w:marLeft w:val="0"/>
                  <w:marRight w:val="0"/>
                  <w:marTop w:val="0"/>
                  <w:marBottom w:val="0"/>
                  <w:divBdr>
                    <w:top w:val="none" w:sz="0" w:space="0" w:color="auto"/>
                    <w:left w:val="none" w:sz="0" w:space="0" w:color="auto"/>
                    <w:bottom w:val="none" w:sz="0" w:space="0" w:color="auto"/>
                    <w:right w:val="none" w:sz="0" w:space="0" w:color="auto"/>
                  </w:divBdr>
                  <w:divsChild>
                    <w:div w:id="1111438134">
                      <w:marLeft w:val="0"/>
                      <w:marRight w:val="0"/>
                      <w:marTop w:val="0"/>
                      <w:marBottom w:val="0"/>
                      <w:divBdr>
                        <w:top w:val="none" w:sz="0" w:space="0" w:color="auto"/>
                        <w:left w:val="none" w:sz="0" w:space="0" w:color="auto"/>
                        <w:bottom w:val="none" w:sz="0" w:space="0" w:color="auto"/>
                        <w:right w:val="none" w:sz="0" w:space="0" w:color="auto"/>
                      </w:divBdr>
                      <w:divsChild>
                        <w:div w:id="1470318482">
                          <w:marLeft w:val="0"/>
                          <w:marRight w:val="0"/>
                          <w:marTop w:val="0"/>
                          <w:marBottom w:val="0"/>
                          <w:divBdr>
                            <w:top w:val="none" w:sz="0" w:space="0" w:color="auto"/>
                            <w:left w:val="none" w:sz="0" w:space="0" w:color="auto"/>
                            <w:bottom w:val="none" w:sz="0" w:space="0" w:color="auto"/>
                            <w:right w:val="none" w:sz="0" w:space="0" w:color="auto"/>
                          </w:divBdr>
                          <w:divsChild>
                            <w:div w:id="1557202126">
                              <w:marLeft w:val="0"/>
                              <w:marRight w:val="0"/>
                              <w:marTop w:val="0"/>
                              <w:marBottom w:val="0"/>
                              <w:divBdr>
                                <w:top w:val="none" w:sz="0" w:space="0" w:color="auto"/>
                                <w:left w:val="none" w:sz="0" w:space="0" w:color="auto"/>
                                <w:bottom w:val="none" w:sz="0" w:space="0" w:color="auto"/>
                                <w:right w:val="none" w:sz="0" w:space="0" w:color="auto"/>
                              </w:divBdr>
                              <w:divsChild>
                                <w:div w:id="1510097757">
                                  <w:marLeft w:val="0"/>
                                  <w:marRight w:val="0"/>
                                  <w:marTop w:val="0"/>
                                  <w:marBottom w:val="0"/>
                                  <w:divBdr>
                                    <w:top w:val="none" w:sz="0" w:space="0" w:color="auto"/>
                                    <w:left w:val="none" w:sz="0" w:space="0" w:color="auto"/>
                                    <w:bottom w:val="none" w:sz="0" w:space="0" w:color="auto"/>
                                    <w:right w:val="none" w:sz="0" w:space="0" w:color="auto"/>
                                  </w:divBdr>
                                  <w:divsChild>
                                    <w:div w:id="143789279">
                                      <w:marLeft w:val="0"/>
                                      <w:marRight w:val="0"/>
                                      <w:marTop w:val="0"/>
                                      <w:marBottom w:val="0"/>
                                      <w:divBdr>
                                        <w:top w:val="none" w:sz="0" w:space="0" w:color="auto"/>
                                        <w:left w:val="none" w:sz="0" w:space="0" w:color="auto"/>
                                        <w:bottom w:val="none" w:sz="0" w:space="0" w:color="auto"/>
                                        <w:right w:val="none" w:sz="0" w:space="0" w:color="auto"/>
                                      </w:divBdr>
                                      <w:divsChild>
                                        <w:div w:id="13090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456406">
      <w:bodyDiv w:val="1"/>
      <w:marLeft w:val="0"/>
      <w:marRight w:val="0"/>
      <w:marTop w:val="0"/>
      <w:marBottom w:val="0"/>
      <w:divBdr>
        <w:top w:val="none" w:sz="0" w:space="0" w:color="auto"/>
        <w:left w:val="none" w:sz="0" w:space="0" w:color="auto"/>
        <w:bottom w:val="none" w:sz="0" w:space="0" w:color="auto"/>
        <w:right w:val="none" w:sz="0" w:space="0" w:color="auto"/>
      </w:divBdr>
      <w:divsChild>
        <w:div w:id="539979789">
          <w:marLeft w:val="547"/>
          <w:marRight w:val="0"/>
          <w:marTop w:val="96"/>
          <w:marBottom w:val="0"/>
          <w:divBdr>
            <w:top w:val="none" w:sz="0" w:space="0" w:color="auto"/>
            <w:left w:val="none" w:sz="0" w:space="0" w:color="auto"/>
            <w:bottom w:val="none" w:sz="0" w:space="0" w:color="auto"/>
            <w:right w:val="none" w:sz="0" w:space="0" w:color="auto"/>
          </w:divBdr>
        </w:div>
        <w:div w:id="1596017087">
          <w:marLeft w:val="1166"/>
          <w:marRight w:val="0"/>
          <w:marTop w:val="96"/>
          <w:marBottom w:val="0"/>
          <w:divBdr>
            <w:top w:val="none" w:sz="0" w:space="0" w:color="auto"/>
            <w:left w:val="none" w:sz="0" w:space="0" w:color="auto"/>
            <w:bottom w:val="none" w:sz="0" w:space="0" w:color="auto"/>
            <w:right w:val="none" w:sz="0" w:space="0" w:color="auto"/>
          </w:divBdr>
        </w:div>
      </w:divsChild>
    </w:div>
    <w:div w:id="1053895668">
      <w:bodyDiv w:val="1"/>
      <w:marLeft w:val="0"/>
      <w:marRight w:val="0"/>
      <w:marTop w:val="0"/>
      <w:marBottom w:val="0"/>
      <w:divBdr>
        <w:top w:val="none" w:sz="0" w:space="0" w:color="auto"/>
        <w:left w:val="none" w:sz="0" w:space="0" w:color="auto"/>
        <w:bottom w:val="none" w:sz="0" w:space="0" w:color="auto"/>
        <w:right w:val="none" w:sz="0" w:space="0" w:color="auto"/>
      </w:divBdr>
      <w:divsChild>
        <w:div w:id="913389917">
          <w:marLeft w:val="0"/>
          <w:marRight w:val="0"/>
          <w:marTop w:val="0"/>
          <w:marBottom w:val="0"/>
          <w:divBdr>
            <w:top w:val="none" w:sz="0" w:space="0" w:color="auto"/>
            <w:left w:val="none" w:sz="0" w:space="0" w:color="auto"/>
            <w:bottom w:val="none" w:sz="0" w:space="0" w:color="auto"/>
            <w:right w:val="none" w:sz="0" w:space="0" w:color="auto"/>
          </w:divBdr>
          <w:divsChild>
            <w:div w:id="1972008132">
              <w:marLeft w:val="0"/>
              <w:marRight w:val="0"/>
              <w:marTop w:val="0"/>
              <w:marBottom w:val="0"/>
              <w:divBdr>
                <w:top w:val="none" w:sz="0" w:space="0" w:color="auto"/>
                <w:left w:val="none" w:sz="0" w:space="0" w:color="auto"/>
                <w:bottom w:val="none" w:sz="0" w:space="0" w:color="auto"/>
                <w:right w:val="none" w:sz="0" w:space="0" w:color="auto"/>
              </w:divBdr>
              <w:divsChild>
                <w:div w:id="1108084359">
                  <w:marLeft w:val="0"/>
                  <w:marRight w:val="0"/>
                  <w:marTop w:val="0"/>
                  <w:marBottom w:val="0"/>
                  <w:divBdr>
                    <w:top w:val="none" w:sz="0" w:space="0" w:color="auto"/>
                    <w:left w:val="none" w:sz="0" w:space="0" w:color="auto"/>
                    <w:bottom w:val="none" w:sz="0" w:space="0" w:color="auto"/>
                    <w:right w:val="none" w:sz="0" w:space="0" w:color="auto"/>
                  </w:divBdr>
                  <w:divsChild>
                    <w:div w:id="813526923">
                      <w:marLeft w:val="0"/>
                      <w:marRight w:val="0"/>
                      <w:marTop w:val="0"/>
                      <w:marBottom w:val="0"/>
                      <w:divBdr>
                        <w:top w:val="none" w:sz="0" w:space="0" w:color="auto"/>
                        <w:left w:val="none" w:sz="0" w:space="0" w:color="auto"/>
                        <w:bottom w:val="none" w:sz="0" w:space="0" w:color="auto"/>
                        <w:right w:val="none" w:sz="0" w:space="0" w:color="auto"/>
                      </w:divBdr>
                      <w:divsChild>
                        <w:div w:id="20072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035616">
      <w:bodyDiv w:val="1"/>
      <w:marLeft w:val="0"/>
      <w:marRight w:val="0"/>
      <w:marTop w:val="0"/>
      <w:marBottom w:val="0"/>
      <w:divBdr>
        <w:top w:val="none" w:sz="0" w:space="0" w:color="auto"/>
        <w:left w:val="none" w:sz="0" w:space="0" w:color="auto"/>
        <w:bottom w:val="none" w:sz="0" w:space="0" w:color="auto"/>
        <w:right w:val="none" w:sz="0" w:space="0" w:color="auto"/>
      </w:divBdr>
    </w:div>
    <w:div w:id="1237089690">
      <w:bodyDiv w:val="1"/>
      <w:marLeft w:val="0"/>
      <w:marRight w:val="0"/>
      <w:marTop w:val="0"/>
      <w:marBottom w:val="0"/>
      <w:divBdr>
        <w:top w:val="none" w:sz="0" w:space="0" w:color="auto"/>
        <w:left w:val="none" w:sz="0" w:space="0" w:color="auto"/>
        <w:bottom w:val="none" w:sz="0" w:space="0" w:color="auto"/>
        <w:right w:val="none" w:sz="0" w:space="0" w:color="auto"/>
      </w:divBdr>
      <w:divsChild>
        <w:div w:id="1415780582">
          <w:marLeft w:val="0"/>
          <w:marRight w:val="0"/>
          <w:marTop w:val="0"/>
          <w:marBottom w:val="0"/>
          <w:divBdr>
            <w:top w:val="none" w:sz="0" w:space="0" w:color="auto"/>
            <w:left w:val="none" w:sz="0" w:space="0" w:color="auto"/>
            <w:bottom w:val="none" w:sz="0" w:space="0" w:color="auto"/>
            <w:right w:val="none" w:sz="0" w:space="0" w:color="auto"/>
          </w:divBdr>
          <w:divsChild>
            <w:div w:id="1882939511">
              <w:marLeft w:val="0"/>
              <w:marRight w:val="0"/>
              <w:marTop w:val="0"/>
              <w:marBottom w:val="0"/>
              <w:divBdr>
                <w:top w:val="none" w:sz="0" w:space="0" w:color="auto"/>
                <w:left w:val="none" w:sz="0" w:space="0" w:color="auto"/>
                <w:bottom w:val="none" w:sz="0" w:space="0" w:color="auto"/>
                <w:right w:val="none" w:sz="0" w:space="0" w:color="auto"/>
              </w:divBdr>
              <w:divsChild>
                <w:div w:id="233778706">
                  <w:marLeft w:val="125"/>
                  <w:marRight w:val="125"/>
                  <w:marTop w:val="0"/>
                  <w:marBottom w:val="0"/>
                  <w:divBdr>
                    <w:top w:val="none" w:sz="0" w:space="0" w:color="auto"/>
                    <w:left w:val="none" w:sz="0" w:space="0" w:color="auto"/>
                    <w:bottom w:val="none" w:sz="0" w:space="0" w:color="auto"/>
                    <w:right w:val="none" w:sz="0" w:space="0" w:color="auto"/>
                  </w:divBdr>
                  <w:divsChild>
                    <w:div w:id="1249316375">
                      <w:marLeft w:val="0"/>
                      <w:marRight w:val="0"/>
                      <w:marTop w:val="0"/>
                      <w:marBottom w:val="0"/>
                      <w:divBdr>
                        <w:top w:val="none" w:sz="0" w:space="0" w:color="auto"/>
                        <w:left w:val="none" w:sz="0" w:space="0" w:color="auto"/>
                        <w:bottom w:val="none" w:sz="0" w:space="0" w:color="auto"/>
                        <w:right w:val="none" w:sz="0" w:space="0" w:color="auto"/>
                      </w:divBdr>
                      <w:divsChild>
                        <w:div w:id="192425716">
                          <w:marLeft w:val="0"/>
                          <w:marRight w:val="0"/>
                          <w:marTop w:val="0"/>
                          <w:marBottom w:val="0"/>
                          <w:divBdr>
                            <w:top w:val="none" w:sz="0" w:space="0" w:color="auto"/>
                            <w:left w:val="none" w:sz="0" w:space="0" w:color="auto"/>
                            <w:bottom w:val="none" w:sz="0" w:space="0" w:color="auto"/>
                            <w:right w:val="none" w:sz="0" w:space="0" w:color="auto"/>
                          </w:divBdr>
                          <w:divsChild>
                            <w:div w:id="1059524022">
                              <w:marLeft w:val="0"/>
                              <w:marRight w:val="0"/>
                              <w:marTop w:val="0"/>
                              <w:marBottom w:val="0"/>
                              <w:divBdr>
                                <w:top w:val="none" w:sz="0" w:space="0" w:color="auto"/>
                                <w:left w:val="none" w:sz="0" w:space="0" w:color="auto"/>
                                <w:bottom w:val="none" w:sz="0" w:space="0" w:color="auto"/>
                                <w:right w:val="none" w:sz="0" w:space="0" w:color="auto"/>
                              </w:divBdr>
                              <w:divsChild>
                                <w:div w:id="201479656">
                                  <w:marLeft w:val="0"/>
                                  <w:marRight w:val="0"/>
                                  <w:marTop w:val="0"/>
                                  <w:marBottom w:val="0"/>
                                  <w:divBdr>
                                    <w:top w:val="none" w:sz="0" w:space="0" w:color="auto"/>
                                    <w:left w:val="none" w:sz="0" w:space="0" w:color="auto"/>
                                    <w:bottom w:val="none" w:sz="0" w:space="0" w:color="auto"/>
                                    <w:right w:val="none" w:sz="0" w:space="0" w:color="auto"/>
                                  </w:divBdr>
                                  <w:divsChild>
                                    <w:div w:id="1937327099">
                                      <w:marLeft w:val="0"/>
                                      <w:marRight w:val="0"/>
                                      <w:marTop w:val="0"/>
                                      <w:marBottom w:val="0"/>
                                      <w:divBdr>
                                        <w:top w:val="none" w:sz="0" w:space="0" w:color="auto"/>
                                        <w:left w:val="none" w:sz="0" w:space="0" w:color="auto"/>
                                        <w:bottom w:val="none" w:sz="0" w:space="0" w:color="auto"/>
                                        <w:right w:val="none" w:sz="0" w:space="0" w:color="auto"/>
                                      </w:divBdr>
                                      <w:divsChild>
                                        <w:div w:id="499122986">
                                          <w:marLeft w:val="0"/>
                                          <w:marRight w:val="0"/>
                                          <w:marTop w:val="0"/>
                                          <w:marBottom w:val="0"/>
                                          <w:divBdr>
                                            <w:top w:val="none" w:sz="0" w:space="0" w:color="auto"/>
                                            <w:left w:val="none" w:sz="0" w:space="0" w:color="auto"/>
                                            <w:bottom w:val="none" w:sz="0" w:space="0" w:color="auto"/>
                                            <w:right w:val="none" w:sz="0" w:space="0" w:color="auto"/>
                                          </w:divBdr>
                                          <w:divsChild>
                                            <w:div w:id="589197614">
                                              <w:marLeft w:val="0"/>
                                              <w:marRight w:val="0"/>
                                              <w:marTop w:val="0"/>
                                              <w:marBottom w:val="0"/>
                                              <w:divBdr>
                                                <w:top w:val="none" w:sz="0" w:space="0" w:color="auto"/>
                                                <w:left w:val="none" w:sz="0" w:space="0" w:color="auto"/>
                                                <w:bottom w:val="none" w:sz="0" w:space="0" w:color="auto"/>
                                                <w:right w:val="none" w:sz="0" w:space="0" w:color="auto"/>
                                              </w:divBdr>
                                              <w:divsChild>
                                                <w:div w:id="1467971303">
                                                  <w:marLeft w:val="0"/>
                                                  <w:marRight w:val="0"/>
                                                  <w:marTop w:val="0"/>
                                                  <w:marBottom w:val="0"/>
                                                  <w:divBdr>
                                                    <w:top w:val="none" w:sz="0" w:space="0" w:color="auto"/>
                                                    <w:left w:val="none" w:sz="0" w:space="0" w:color="auto"/>
                                                    <w:bottom w:val="none" w:sz="0" w:space="0" w:color="auto"/>
                                                    <w:right w:val="none" w:sz="0" w:space="0" w:color="auto"/>
                                                  </w:divBdr>
                                                  <w:divsChild>
                                                    <w:div w:id="13290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773637">
      <w:bodyDiv w:val="1"/>
      <w:marLeft w:val="0"/>
      <w:marRight w:val="0"/>
      <w:marTop w:val="0"/>
      <w:marBottom w:val="0"/>
      <w:divBdr>
        <w:top w:val="none" w:sz="0" w:space="0" w:color="auto"/>
        <w:left w:val="none" w:sz="0" w:space="0" w:color="auto"/>
        <w:bottom w:val="none" w:sz="0" w:space="0" w:color="auto"/>
        <w:right w:val="none" w:sz="0" w:space="0" w:color="auto"/>
      </w:divBdr>
      <w:divsChild>
        <w:div w:id="1976598318">
          <w:marLeft w:val="547"/>
          <w:marRight w:val="0"/>
          <w:marTop w:val="96"/>
          <w:marBottom w:val="0"/>
          <w:divBdr>
            <w:top w:val="none" w:sz="0" w:space="0" w:color="auto"/>
            <w:left w:val="none" w:sz="0" w:space="0" w:color="auto"/>
            <w:bottom w:val="none" w:sz="0" w:space="0" w:color="auto"/>
            <w:right w:val="none" w:sz="0" w:space="0" w:color="auto"/>
          </w:divBdr>
        </w:div>
        <w:div w:id="1123159544">
          <w:marLeft w:val="1166"/>
          <w:marRight w:val="0"/>
          <w:marTop w:val="96"/>
          <w:marBottom w:val="0"/>
          <w:divBdr>
            <w:top w:val="none" w:sz="0" w:space="0" w:color="auto"/>
            <w:left w:val="none" w:sz="0" w:space="0" w:color="auto"/>
            <w:bottom w:val="none" w:sz="0" w:space="0" w:color="auto"/>
            <w:right w:val="none" w:sz="0" w:space="0" w:color="auto"/>
          </w:divBdr>
        </w:div>
        <w:div w:id="1957370124">
          <w:marLeft w:val="1166"/>
          <w:marRight w:val="0"/>
          <w:marTop w:val="96"/>
          <w:marBottom w:val="0"/>
          <w:divBdr>
            <w:top w:val="none" w:sz="0" w:space="0" w:color="auto"/>
            <w:left w:val="none" w:sz="0" w:space="0" w:color="auto"/>
            <w:bottom w:val="none" w:sz="0" w:space="0" w:color="auto"/>
            <w:right w:val="none" w:sz="0" w:space="0" w:color="auto"/>
          </w:divBdr>
        </w:div>
        <w:div w:id="1700204873">
          <w:marLeft w:val="1166"/>
          <w:marRight w:val="0"/>
          <w:marTop w:val="96"/>
          <w:marBottom w:val="0"/>
          <w:divBdr>
            <w:top w:val="none" w:sz="0" w:space="0" w:color="auto"/>
            <w:left w:val="none" w:sz="0" w:space="0" w:color="auto"/>
            <w:bottom w:val="none" w:sz="0" w:space="0" w:color="auto"/>
            <w:right w:val="none" w:sz="0" w:space="0" w:color="auto"/>
          </w:divBdr>
        </w:div>
        <w:div w:id="568420932">
          <w:marLeft w:val="1166"/>
          <w:marRight w:val="0"/>
          <w:marTop w:val="96"/>
          <w:marBottom w:val="0"/>
          <w:divBdr>
            <w:top w:val="none" w:sz="0" w:space="0" w:color="auto"/>
            <w:left w:val="none" w:sz="0" w:space="0" w:color="auto"/>
            <w:bottom w:val="none" w:sz="0" w:space="0" w:color="auto"/>
            <w:right w:val="none" w:sz="0" w:space="0" w:color="auto"/>
          </w:divBdr>
        </w:div>
        <w:div w:id="1451439617">
          <w:marLeft w:val="1166"/>
          <w:marRight w:val="0"/>
          <w:marTop w:val="96"/>
          <w:marBottom w:val="0"/>
          <w:divBdr>
            <w:top w:val="none" w:sz="0" w:space="0" w:color="auto"/>
            <w:left w:val="none" w:sz="0" w:space="0" w:color="auto"/>
            <w:bottom w:val="none" w:sz="0" w:space="0" w:color="auto"/>
            <w:right w:val="none" w:sz="0" w:space="0" w:color="auto"/>
          </w:divBdr>
        </w:div>
      </w:divsChild>
    </w:div>
    <w:div w:id="1303465295">
      <w:bodyDiv w:val="1"/>
      <w:marLeft w:val="0"/>
      <w:marRight w:val="0"/>
      <w:marTop w:val="0"/>
      <w:marBottom w:val="0"/>
      <w:divBdr>
        <w:top w:val="none" w:sz="0" w:space="0" w:color="auto"/>
        <w:left w:val="none" w:sz="0" w:space="0" w:color="auto"/>
        <w:bottom w:val="none" w:sz="0" w:space="0" w:color="auto"/>
        <w:right w:val="none" w:sz="0" w:space="0" w:color="auto"/>
      </w:divBdr>
      <w:divsChild>
        <w:div w:id="1192184873">
          <w:marLeft w:val="0"/>
          <w:marRight w:val="0"/>
          <w:marTop w:val="0"/>
          <w:marBottom w:val="0"/>
          <w:divBdr>
            <w:top w:val="none" w:sz="0" w:space="0" w:color="auto"/>
            <w:left w:val="none" w:sz="0" w:space="0" w:color="auto"/>
            <w:bottom w:val="none" w:sz="0" w:space="0" w:color="auto"/>
            <w:right w:val="none" w:sz="0" w:space="0" w:color="auto"/>
          </w:divBdr>
          <w:divsChild>
            <w:div w:id="1769501766">
              <w:marLeft w:val="0"/>
              <w:marRight w:val="0"/>
              <w:marTop w:val="0"/>
              <w:marBottom w:val="0"/>
              <w:divBdr>
                <w:top w:val="none" w:sz="0" w:space="0" w:color="auto"/>
                <w:left w:val="none" w:sz="0" w:space="0" w:color="auto"/>
                <w:bottom w:val="none" w:sz="0" w:space="0" w:color="auto"/>
                <w:right w:val="none" w:sz="0" w:space="0" w:color="auto"/>
              </w:divBdr>
              <w:divsChild>
                <w:div w:id="2052538539">
                  <w:marLeft w:val="0"/>
                  <w:marRight w:val="0"/>
                  <w:marTop w:val="0"/>
                  <w:marBottom w:val="0"/>
                  <w:divBdr>
                    <w:top w:val="none" w:sz="0" w:space="0" w:color="auto"/>
                    <w:left w:val="none" w:sz="0" w:space="0" w:color="auto"/>
                    <w:bottom w:val="none" w:sz="0" w:space="0" w:color="auto"/>
                    <w:right w:val="none" w:sz="0" w:space="0" w:color="auto"/>
                  </w:divBdr>
                  <w:divsChild>
                    <w:div w:id="668094803">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 w:id="1336542369">
      <w:bodyDiv w:val="1"/>
      <w:marLeft w:val="0"/>
      <w:marRight w:val="0"/>
      <w:marTop w:val="0"/>
      <w:marBottom w:val="0"/>
      <w:divBdr>
        <w:top w:val="none" w:sz="0" w:space="0" w:color="auto"/>
        <w:left w:val="none" w:sz="0" w:space="0" w:color="auto"/>
        <w:bottom w:val="none" w:sz="0" w:space="0" w:color="auto"/>
        <w:right w:val="none" w:sz="0" w:space="0" w:color="auto"/>
      </w:divBdr>
      <w:divsChild>
        <w:div w:id="1640648845">
          <w:marLeft w:val="0"/>
          <w:marRight w:val="0"/>
          <w:marTop w:val="0"/>
          <w:marBottom w:val="0"/>
          <w:divBdr>
            <w:top w:val="none" w:sz="0" w:space="0" w:color="auto"/>
            <w:left w:val="none" w:sz="0" w:space="0" w:color="auto"/>
            <w:bottom w:val="none" w:sz="0" w:space="0" w:color="auto"/>
            <w:right w:val="none" w:sz="0" w:space="0" w:color="auto"/>
          </w:divBdr>
          <w:divsChild>
            <w:div w:id="772435194">
              <w:marLeft w:val="0"/>
              <w:marRight w:val="0"/>
              <w:marTop w:val="0"/>
              <w:marBottom w:val="0"/>
              <w:divBdr>
                <w:top w:val="none" w:sz="0" w:space="0" w:color="auto"/>
                <w:left w:val="none" w:sz="0" w:space="0" w:color="auto"/>
                <w:bottom w:val="none" w:sz="0" w:space="0" w:color="auto"/>
                <w:right w:val="none" w:sz="0" w:space="0" w:color="auto"/>
              </w:divBdr>
              <w:divsChild>
                <w:div w:id="1677658968">
                  <w:marLeft w:val="125"/>
                  <w:marRight w:val="125"/>
                  <w:marTop w:val="0"/>
                  <w:marBottom w:val="0"/>
                  <w:divBdr>
                    <w:top w:val="none" w:sz="0" w:space="0" w:color="auto"/>
                    <w:left w:val="none" w:sz="0" w:space="0" w:color="auto"/>
                    <w:bottom w:val="none" w:sz="0" w:space="0" w:color="auto"/>
                    <w:right w:val="none" w:sz="0" w:space="0" w:color="auto"/>
                  </w:divBdr>
                  <w:divsChild>
                    <w:div w:id="49310096">
                      <w:marLeft w:val="0"/>
                      <w:marRight w:val="0"/>
                      <w:marTop w:val="0"/>
                      <w:marBottom w:val="0"/>
                      <w:divBdr>
                        <w:top w:val="none" w:sz="0" w:space="0" w:color="auto"/>
                        <w:left w:val="none" w:sz="0" w:space="0" w:color="auto"/>
                        <w:bottom w:val="none" w:sz="0" w:space="0" w:color="auto"/>
                        <w:right w:val="none" w:sz="0" w:space="0" w:color="auto"/>
                      </w:divBdr>
                      <w:divsChild>
                        <w:div w:id="953949209">
                          <w:marLeft w:val="0"/>
                          <w:marRight w:val="0"/>
                          <w:marTop w:val="0"/>
                          <w:marBottom w:val="0"/>
                          <w:divBdr>
                            <w:top w:val="none" w:sz="0" w:space="0" w:color="auto"/>
                            <w:left w:val="none" w:sz="0" w:space="0" w:color="auto"/>
                            <w:bottom w:val="none" w:sz="0" w:space="0" w:color="auto"/>
                            <w:right w:val="none" w:sz="0" w:space="0" w:color="auto"/>
                          </w:divBdr>
                          <w:divsChild>
                            <w:div w:id="2037385632">
                              <w:marLeft w:val="0"/>
                              <w:marRight w:val="0"/>
                              <w:marTop w:val="0"/>
                              <w:marBottom w:val="0"/>
                              <w:divBdr>
                                <w:top w:val="none" w:sz="0" w:space="0" w:color="auto"/>
                                <w:left w:val="none" w:sz="0" w:space="0" w:color="auto"/>
                                <w:bottom w:val="none" w:sz="0" w:space="0" w:color="auto"/>
                                <w:right w:val="none" w:sz="0" w:space="0" w:color="auto"/>
                              </w:divBdr>
                              <w:divsChild>
                                <w:div w:id="1082220037">
                                  <w:marLeft w:val="0"/>
                                  <w:marRight w:val="0"/>
                                  <w:marTop w:val="0"/>
                                  <w:marBottom w:val="0"/>
                                  <w:divBdr>
                                    <w:top w:val="none" w:sz="0" w:space="0" w:color="auto"/>
                                    <w:left w:val="none" w:sz="0" w:space="0" w:color="auto"/>
                                    <w:bottom w:val="none" w:sz="0" w:space="0" w:color="auto"/>
                                    <w:right w:val="none" w:sz="0" w:space="0" w:color="auto"/>
                                  </w:divBdr>
                                  <w:divsChild>
                                    <w:div w:id="1302346654">
                                      <w:marLeft w:val="0"/>
                                      <w:marRight w:val="0"/>
                                      <w:marTop w:val="0"/>
                                      <w:marBottom w:val="0"/>
                                      <w:divBdr>
                                        <w:top w:val="none" w:sz="0" w:space="0" w:color="auto"/>
                                        <w:left w:val="none" w:sz="0" w:space="0" w:color="auto"/>
                                        <w:bottom w:val="none" w:sz="0" w:space="0" w:color="auto"/>
                                        <w:right w:val="none" w:sz="0" w:space="0" w:color="auto"/>
                                      </w:divBdr>
                                      <w:divsChild>
                                        <w:div w:id="1659073506">
                                          <w:marLeft w:val="0"/>
                                          <w:marRight w:val="0"/>
                                          <w:marTop w:val="0"/>
                                          <w:marBottom w:val="0"/>
                                          <w:divBdr>
                                            <w:top w:val="none" w:sz="0" w:space="0" w:color="auto"/>
                                            <w:left w:val="none" w:sz="0" w:space="0" w:color="auto"/>
                                            <w:bottom w:val="none" w:sz="0" w:space="0" w:color="auto"/>
                                            <w:right w:val="none" w:sz="0" w:space="0" w:color="auto"/>
                                          </w:divBdr>
                                          <w:divsChild>
                                            <w:div w:id="224537932">
                                              <w:marLeft w:val="0"/>
                                              <w:marRight w:val="0"/>
                                              <w:marTop w:val="0"/>
                                              <w:marBottom w:val="0"/>
                                              <w:divBdr>
                                                <w:top w:val="none" w:sz="0" w:space="0" w:color="auto"/>
                                                <w:left w:val="none" w:sz="0" w:space="0" w:color="auto"/>
                                                <w:bottom w:val="none" w:sz="0" w:space="0" w:color="auto"/>
                                                <w:right w:val="none" w:sz="0" w:space="0" w:color="auto"/>
                                              </w:divBdr>
                                              <w:divsChild>
                                                <w:div w:id="1884099504">
                                                  <w:marLeft w:val="0"/>
                                                  <w:marRight w:val="0"/>
                                                  <w:marTop w:val="0"/>
                                                  <w:marBottom w:val="0"/>
                                                  <w:divBdr>
                                                    <w:top w:val="none" w:sz="0" w:space="0" w:color="auto"/>
                                                    <w:left w:val="none" w:sz="0" w:space="0" w:color="auto"/>
                                                    <w:bottom w:val="none" w:sz="0" w:space="0" w:color="auto"/>
                                                    <w:right w:val="none" w:sz="0" w:space="0" w:color="auto"/>
                                                  </w:divBdr>
                                                </w:div>
                                                <w:div w:id="490297617">
                                                  <w:marLeft w:val="0"/>
                                                  <w:marRight w:val="0"/>
                                                  <w:marTop w:val="0"/>
                                                  <w:marBottom w:val="0"/>
                                                  <w:divBdr>
                                                    <w:top w:val="none" w:sz="0" w:space="0" w:color="auto"/>
                                                    <w:left w:val="none" w:sz="0" w:space="0" w:color="auto"/>
                                                    <w:bottom w:val="none" w:sz="0" w:space="0" w:color="auto"/>
                                                    <w:right w:val="none" w:sz="0" w:space="0" w:color="auto"/>
                                                  </w:divBdr>
                                                  <w:divsChild>
                                                    <w:div w:id="15983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465694">
      <w:bodyDiv w:val="1"/>
      <w:marLeft w:val="0"/>
      <w:marRight w:val="0"/>
      <w:marTop w:val="0"/>
      <w:marBottom w:val="0"/>
      <w:divBdr>
        <w:top w:val="none" w:sz="0" w:space="0" w:color="auto"/>
        <w:left w:val="none" w:sz="0" w:space="0" w:color="auto"/>
        <w:bottom w:val="none" w:sz="0" w:space="0" w:color="auto"/>
        <w:right w:val="none" w:sz="0" w:space="0" w:color="auto"/>
      </w:divBdr>
      <w:divsChild>
        <w:div w:id="1314791622">
          <w:marLeft w:val="0"/>
          <w:marRight w:val="0"/>
          <w:marTop w:val="0"/>
          <w:marBottom w:val="0"/>
          <w:divBdr>
            <w:top w:val="none" w:sz="0" w:space="0" w:color="auto"/>
            <w:left w:val="none" w:sz="0" w:space="0" w:color="auto"/>
            <w:bottom w:val="none" w:sz="0" w:space="0" w:color="auto"/>
            <w:right w:val="none" w:sz="0" w:space="0" w:color="auto"/>
          </w:divBdr>
          <w:divsChild>
            <w:div w:id="272131748">
              <w:marLeft w:val="0"/>
              <w:marRight w:val="0"/>
              <w:marTop w:val="0"/>
              <w:marBottom w:val="0"/>
              <w:divBdr>
                <w:top w:val="none" w:sz="0" w:space="0" w:color="auto"/>
                <w:left w:val="none" w:sz="0" w:space="0" w:color="auto"/>
                <w:bottom w:val="none" w:sz="0" w:space="0" w:color="auto"/>
                <w:right w:val="none" w:sz="0" w:space="0" w:color="auto"/>
              </w:divBdr>
              <w:divsChild>
                <w:div w:id="1730181292">
                  <w:marLeft w:val="0"/>
                  <w:marRight w:val="0"/>
                  <w:marTop w:val="0"/>
                  <w:marBottom w:val="0"/>
                  <w:divBdr>
                    <w:top w:val="none" w:sz="0" w:space="0" w:color="auto"/>
                    <w:left w:val="none" w:sz="0" w:space="0" w:color="auto"/>
                    <w:bottom w:val="none" w:sz="0" w:space="0" w:color="auto"/>
                    <w:right w:val="none" w:sz="0" w:space="0" w:color="auto"/>
                  </w:divBdr>
                  <w:divsChild>
                    <w:div w:id="1676808489">
                      <w:marLeft w:val="0"/>
                      <w:marRight w:val="0"/>
                      <w:marTop w:val="0"/>
                      <w:marBottom w:val="0"/>
                      <w:divBdr>
                        <w:top w:val="none" w:sz="0" w:space="0" w:color="auto"/>
                        <w:left w:val="none" w:sz="0" w:space="0" w:color="auto"/>
                        <w:bottom w:val="none" w:sz="0" w:space="0" w:color="auto"/>
                        <w:right w:val="none" w:sz="0" w:space="0" w:color="auto"/>
                      </w:divBdr>
                      <w:divsChild>
                        <w:div w:id="16876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565250">
      <w:bodyDiv w:val="1"/>
      <w:marLeft w:val="0"/>
      <w:marRight w:val="0"/>
      <w:marTop w:val="0"/>
      <w:marBottom w:val="0"/>
      <w:divBdr>
        <w:top w:val="none" w:sz="0" w:space="0" w:color="auto"/>
        <w:left w:val="none" w:sz="0" w:space="0" w:color="auto"/>
        <w:bottom w:val="none" w:sz="0" w:space="0" w:color="auto"/>
        <w:right w:val="none" w:sz="0" w:space="0" w:color="auto"/>
      </w:divBdr>
      <w:divsChild>
        <w:div w:id="1257900855">
          <w:marLeft w:val="0"/>
          <w:marRight w:val="0"/>
          <w:marTop w:val="0"/>
          <w:marBottom w:val="0"/>
          <w:divBdr>
            <w:top w:val="none" w:sz="0" w:space="0" w:color="auto"/>
            <w:left w:val="none" w:sz="0" w:space="0" w:color="auto"/>
            <w:bottom w:val="none" w:sz="0" w:space="0" w:color="auto"/>
            <w:right w:val="none" w:sz="0" w:space="0" w:color="auto"/>
          </w:divBdr>
          <w:divsChild>
            <w:div w:id="1934242511">
              <w:marLeft w:val="0"/>
              <w:marRight w:val="0"/>
              <w:marTop w:val="0"/>
              <w:marBottom w:val="0"/>
              <w:divBdr>
                <w:top w:val="none" w:sz="0" w:space="0" w:color="auto"/>
                <w:left w:val="none" w:sz="0" w:space="0" w:color="auto"/>
                <w:bottom w:val="none" w:sz="0" w:space="0" w:color="auto"/>
                <w:right w:val="none" w:sz="0" w:space="0" w:color="auto"/>
              </w:divBdr>
              <w:divsChild>
                <w:div w:id="2706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7422">
      <w:bodyDiv w:val="1"/>
      <w:marLeft w:val="0"/>
      <w:marRight w:val="0"/>
      <w:marTop w:val="0"/>
      <w:marBottom w:val="0"/>
      <w:divBdr>
        <w:top w:val="none" w:sz="0" w:space="0" w:color="auto"/>
        <w:left w:val="none" w:sz="0" w:space="0" w:color="auto"/>
        <w:bottom w:val="none" w:sz="0" w:space="0" w:color="auto"/>
        <w:right w:val="none" w:sz="0" w:space="0" w:color="auto"/>
      </w:divBdr>
      <w:divsChild>
        <w:div w:id="1864512441">
          <w:marLeft w:val="0"/>
          <w:marRight w:val="0"/>
          <w:marTop w:val="0"/>
          <w:marBottom w:val="0"/>
          <w:divBdr>
            <w:top w:val="none" w:sz="0" w:space="0" w:color="auto"/>
            <w:left w:val="none" w:sz="0" w:space="0" w:color="auto"/>
            <w:bottom w:val="none" w:sz="0" w:space="0" w:color="auto"/>
            <w:right w:val="none" w:sz="0" w:space="0" w:color="auto"/>
          </w:divBdr>
          <w:divsChild>
            <w:div w:id="1325671259">
              <w:marLeft w:val="0"/>
              <w:marRight w:val="0"/>
              <w:marTop w:val="0"/>
              <w:marBottom w:val="0"/>
              <w:divBdr>
                <w:top w:val="none" w:sz="0" w:space="0" w:color="auto"/>
                <w:left w:val="none" w:sz="0" w:space="0" w:color="auto"/>
                <w:bottom w:val="none" w:sz="0" w:space="0" w:color="auto"/>
                <w:right w:val="none" w:sz="0" w:space="0" w:color="auto"/>
              </w:divBdr>
              <w:divsChild>
                <w:div w:id="636496717">
                  <w:marLeft w:val="0"/>
                  <w:marRight w:val="0"/>
                  <w:marTop w:val="0"/>
                  <w:marBottom w:val="0"/>
                  <w:divBdr>
                    <w:top w:val="none" w:sz="0" w:space="0" w:color="auto"/>
                    <w:left w:val="none" w:sz="0" w:space="0" w:color="auto"/>
                    <w:bottom w:val="none" w:sz="0" w:space="0" w:color="auto"/>
                    <w:right w:val="none" w:sz="0" w:space="0" w:color="auto"/>
                  </w:divBdr>
                  <w:divsChild>
                    <w:div w:id="633020566">
                      <w:marLeft w:val="0"/>
                      <w:marRight w:val="0"/>
                      <w:marTop w:val="0"/>
                      <w:marBottom w:val="0"/>
                      <w:divBdr>
                        <w:top w:val="none" w:sz="0" w:space="0" w:color="auto"/>
                        <w:left w:val="none" w:sz="0" w:space="0" w:color="auto"/>
                        <w:bottom w:val="none" w:sz="0" w:space="0" w:color="auto"/>
                        <w:right w:val="none" w:sz="0" w:space="0" w:color="auto"/>
                      </w:divBdr>
                      <w:divsChild>
                        <w:div w:id="1194415308">
                          <w:marLeft w:val="0"/>
                          <w:marRight w:val="0"/>
                          <w:marTop w:val="0"/>
                          <w:marBottom w:val="0"/>
                          <w:divBdr>
                            <w:top w:val="none" w:sz="0" w:space="0" w:color="auto"/>
                            <w:left w:val="none" w:sz="0" w:space="0" w:color="auto"/>
                            <w:bottom w:val="none" w:sz="0" w:space="0" w:color="auto"/>
                            <w:right w:val="none" w:sz="0" w:space="0" w:color="auto"/>
                          </w:divBdr>
                          <w:divsChild>
                            <w:div w:id="1406681791">
                              <w:marLeft w:val="0"/>
                              <w:marRight w:val="0"/>
                              <w:marTop w:val="0"/>
                              <w:marBottom w:val="0"/>
                              <w:divBdr>
                                <w:top w:val="none" w:sz="0" w:space="0" w:color="auto"/>
                                <w:left w:val="none" w:sz="0" w:space="0" w:color="auto"/>
                                <w:bottom w:val="none" w:sz="0" w:space="0" w:color="auto"/>
                                <w:right w:val="none" w:sz="0" w:space="0" w:color="auto"/>
                              </w:divBdr>
                              <w:divsChild>
                                <w:div w:id="1219249029">
                                  <w:marLeft w:val="0"/>
                                  <w:marRight w:val="0"/>
                                  <w:marTop w:val="0"/>
                                  <w:marBottom w:val="0"/>
                                  <w:divBdr>
                                    <w:top w:val="none" w:sz="0" w:space="0" w:color="auto"/>
                                    <w:left w:val="none" w:sz="0" w:space="0" w:color="auto"/>
                                    <w:bottom w:val="none" w:sz="0" w:space="0" w:color="auto"/>
                                    <w:right w:val="none" w:sz="0" w:space="0" w:color="auto"/>
                                  </w:divBdr>
                                  <w:divsChild>
                                    <w:div w:id="52628356">
                                      <w:marLeft w:val="0"/>
                                      <w:marRight w:val="0"/>
                                      <w:marTop w:val="0"/>
                                      <w:marBottom w:val="0"/>
                                      <w:divBdr>
                                        <w:top w:val="none" w:sz="0" w:space="0" w:color="auto"/>
                                        <w:left w:val="none" w:sz="0" w:space="0" w:color="auto"/>
                                        <w:bottom w:val="none" w:sz="0" w:space="0" w:color="auto"/>
                                        <w:right w:val="none" w:sz="0" w:space="0" w:color="auto"/>
                                      </w:divBdr>
                                      <w:divsChild>
                                        <w:div w:id="898832022">
                                          <w:marLeft w:val="0"/>
                                          <w:marRight w:val="0"/>
                                          <w:marTop w:val="0"/>
                                          <w:marBottom w:val="0"/>
                                          <w:divBdr>
                                            <w:top w:val="none" w:sz="0" w:space="0" w:color="auto"/>
                                            <w:left w:val="none" w:sz="0" w:space="0" w:color="auto"/>
                                            <w:bottom w:val="none" w:sz="0" w:space="0" w:color="auto"/>
                                            <w:right w:val="none" w:sz="0" w:space="0" w:color="auto"/>
                                          </w:divBdr>
                                          <w:divsChild>
                                            <w:div w:id="2068603589">
                                              <w:marLeft w:val="0"/>
                                              <w:marRight w:val="0"/>
                                              <w:marTop w:val="0"/>
                                              <w:marBottom w:val="0"/>
                                              <w:divBdr>
                                                <w:top w:val="none" w:sz="0" w:space="0" w:color="auto"/>
                                                <w:left w:val="none" w:sz="0" w:space="0" w:color="auto"/>
                                                <w:bottom w:val="none" w:sz="0" w:space="0" w:color="auto"/>
                                                <w:right w:val="none" w:sz="0" w:space="0" w:color="auto"/>
                                              </w:divBdr>
                                              <w:divsChild>
                                                <w:div w:id="13197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457717">
      <w:bodyDiv w:val="1"/>
      <w:marLeft w:val="0"/>
      <w:marRight w:val="0"/>
      <w:marTop w:val="0"/>
      <w:marBottom w:val="0"/>
      <w:divBdr>
        <w:top w:val="none" w:sz="0" w:space="0" w:color="auto"/>
        <w:left w:val="none" w:sz="0" w:space="0" w:color="auto"/>
        <w:bottom w:val="none" w:sz="0" w:space="0" w:color="auto"/>
        <w:right w:val="none" w:sz="0" w:space="0" w:color="auto"/>
      </w:divBdr>
      <w:divsChild>
        <w:div w:id="1684437623">
          <w:marLeft w:val="0"/>
          <w:marRight w:val="0"/>
          <w:marTop w:val="0"/>
          <w:marBottom w:val="0"/>
          <w:divBdr>
            <w:top w:val="none" w:sz="0" w:space="0" w:color="auto"/>
            <w:left w:val="none" w:sz="0" w:space="0" w:color="auto"/>
            <w:bottom w:val="none" w:sz="0" w:space="0" w:color="auto"/>
            <w:right w:val="none" w:sz="0" w:space="0" w:color="auto"/>
          </w:divBdr>
          <w:divsChild>
            <w:div w:id="134638942">
              <w:marLeft w:val="0"/>
              <w:marRight w:val="0"/>
              <w:marTop w:val="0"/>
              <w:marBottom w:val="0"/>
              <w:divBdr>
                <w:top w:val="none" w:sz="0" w:space="0" w:color="auto"/>
                <w:left w:val="none" w:sz="0" w:space="0" w:color="auto"/>
                <w:bottom w:val="none" w:sz="0" w:space="0" w:color="auto"/>
                <w:right w:val="none" w:sz="0" w:space="0" w:color="auto"/>
              </w:divBdr>
              <w:divsChild>
                <w:div w:id="1870021864">
                  <w:marLeft w:val="0"/>
                  <w:marRight w:val="0"/>
                  <w:marTop w:val="0"/>
                  <w:marBottom w:val="0"/>
                  <w:divBdr>
                    <w:top w:val="none" w:sz="0" w:space="0" w:color="auto"/>
                    <w:left w:val="none" w:sz="0" w:space="0" w:color="auto"/>
                    <w:bottom w:val="none" w:sz="0" w:space="0" w:color="auto"/>
                    <w:right w:val="none" w:sz="0" w:space="0" w:color="auto"/>
                  </w:divBdr>
                  <w:divsChild>
                    <w:div w:id="620918255">
                      <w:marLeft w:val="0"/>
                      <w:marRight w:val="0"/>
                      <w:marTop w:val="0"/>
                      <w:marBottom w:val="0"/>
                      <w:divBdr>
                        <w:top w:val="none" w:sz="0" w:space="0" w:color="auto"/>
                        <w:left w:val="none" w:sz="0" w:space="0" w:color="auto"/>
                        <w:bottom w:val="none" w:sz="0" w:space="0" w:color="auto"/>
                        <w:right w:val="none" w:sz="0" w:space="0" w:color="auto"/>
                      </w:divBdr>
                      <w:divsChild>
                        <w:div w:id="1543059878">
                          <w:marLeft w:val="0"/>
                          <w:marRight w:val="0"/>
                          <w:marTop w:val="0"/>
                          <w:marBottom w:val="0"/>
                          <w:divBdr>
                            <w:top w:val="none" w:sz="0" w:space="0" w:color="auto"/>
                            <w:left w:val="none" w:sz="0" w:space="0" w:color="auto"/>
                            <w:bottom w:val="none" w:sz="0" w:space="0" w:color="auto"/>
                            <w:right w:val="none" w:sz="0" w:space="0" w:color="auto"/>
                          </w:divBdr>
                          <w:divsChild>
                            <w:div w:id="1763136340">
                              <w:marLeft w:val="0"/>
                              <w:marRight w:val="0"/>
                              <w:marTop w:val="0"/>
                              <w:marBottom w:val="0"/>
                              <w:divBdr>
                                <w:top w:val="none" w:sz="0" w:space="0" w:color="auto"/>
                                <w:left w:val="none" w:sz="0" w:space="0" w:color="auto"/>
                                <w:bottom w:val="none" w:sz="0" w:space="0" w:color="auto"/>
                                <w:right w:val="none" w:sz="0" w:space="0" w:color="auto"/>
                              </w:divBdr>
                              <w:divsChild>
                                <w:div w:id="1236279875">
                                  <w:marLeft w:val="0"/>
                                  <w:marRight w:val="0"/>
                                  <w:marTop w:val="0"/>
                                  <w:marBottom w:val="0"/>
                                  <w:divBdr>
                                    <w:top w:val="none" w:sz="0" w:space="0" w:color="auto"/>
                                    <w:left w:val="none" w:sz="0" w:space="0" w:color="auto"/>
                                    <w:bottom w:val="none" w:sz="0" w:space="0" w:color="auto"/>
                                    <w:right w:val="none" w:sz="0" w:space="0" w:color="auto"/>
                                  </w:divBdr>
                                  <w:divsChild>
                                    <w:div w:id="1833133629">
                                      <w:marLeft w:val="0"/>
                                      <w:marRight w:val="0"/>
                                      <w:marTop w:val="0"/>
                                      <w:marBottom w:val="0"/>
                                      <w:divBdr>
                                        <w:top w:val="none" w:sz="0" w:space="0" w:color="auto"/>
                                        <w:left w:val="none" w:sz="0" w:space="0" w:color="auto"/>
                                        <w:bottom w:val="none" w:sz="0" w:space="0" w:color="auto"/>
                                        <w:right w:val="none" w:sz="0" w:space="0" w:color="auto"/>
                                      </w:divBdr>
                                      <w:divsChild>
                                        <w:div w:id="1311131650">
                                          <w:marLeft w:val="0"/>
                                          <w:marRight w:val="0"/>
                                          <w:marTop w:val="0"/>
                                          <w:marBottom w:val="0"/>
                                          <w:divBdr>
                                            <w:top w:val="none" w:sz="0" w:space="0" w:color="auto"/>
                                            <w:left w:val="none" w:sz="0" w:space="0" w:color="auto"/>
                                            <w:bottom w:val="none" w:sz="0" w:space="0" w:color="auto"/>
                                            <w:right w:val="none" w:sz="0" w:space="0" w:color="auto"/>
                                          </w:divBdr>
                                        </w:div>
                                        <w:div w:id="294025284">
                                          <w:marLeft w:val="0"/>
                                          <w:marRight w:val="0"/>
                                          <w:marTop w:val="0"/>
                                          <w:marBottom w:val="0"/>
                                          <w:divBdr>
                                            <w:top w:val="none" w:sz="0" w:space="0" w:color="auto"/>
                                            <w:left w:val="none" w:sz="0" w:space="0" w:color="auto"/>
                                            <w:bottom w:val="none" w:sz="0" w:space="0" w:color="auto"/>
                                            <w:right w:val="none" w:sz="0" w:space="0" w:color="auto"/>
                                          </w:divBdr>
                                        </w:div>
                                        <w:div w:id="1740522206">
                                          <w:marLeft w:val="0"/>
                                          <w:marRight w:val="0"/>
                                          <w:marTop w:val="0"/>
                                          <w:marBottom w:val="0"/>
                                          <w:divBdr>
                                            <w:top w:val="none" w:sz="0" w:space="0" w:color="auto"/>
                                            <w:left w:val="none" w:sz="0" w:space="0" w:color="auto"/>
                                            <w:bottom w:val="none" w:sz="0" w:space="0" w:color="auto"/>
                                            <w:right w:val="none" w:sz="0" w:space="0" w:color="auto"/>
                                          </w:divBdr>
                                        </w:div>
                                        <w:div w:id="17120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729515">
      <w:bodyDiv w:val="1"/>
      <w:marLeft w:val="0"/>
      <w:marRight w:val="0"/>
      <w:marTop w:val="0"/>
      <w:marBottom w:val="0"/>
      <w:divBdr>
        <w:top w:val="none" w:sz="0" w:space="0" w:color="auto"/>
        <w:left w:val="none" w:sz="0" w:space="0" w:color="auto"/>
        <w:bottom w:val="none" w:sz="0" w:space="0" w:color="auto"/>
        <w:right w:val="none" w:sz="0" w:space="0" w:color="auto"/>
      </w:divBdr>
      <w:divsChild>
        <w:div w:id="1762533059">
          <w:marLeft w:val="547"/>
          <w:marRight w:val="0"/>
          <w:marTop w:val="96"/>
          <w:marBottom w:val="0"/>
          <w:divBdr>
            <w:top w:val="none" w:sz="0" w:space="0" w:color="auto"/>
            <w:left w:val="none" w:sz="0" w:space="0" w:color="auto"/>
            <w:bottom w:val="none" w:sz="0" w:space="0" w:color="auto"/>
            <w:right w:val="none" w:sz="0" w:space="0" w:color="auto"/>
          </w:divBdr>
        </w:div>
        <w:div w:id="569005611">
          <w:marLeft w:val="547"/>
          <w:marRight w:val="0"/>
          <w:marTop w:val="96"/>
          <w:marBottom w:val="0"/>
          <w:divBdr>
            <w:top w:val="none" w:sz="0" w:space="0" w:color="auto"/>
            <w:left w:val="none" w:sz="0" w:space="0" w:color="auto"/>
            <w:bottom w:val="none" w:sz="0" w:space="0" w:color="auto"/>
            <w:right w:val="none" w:sz="0" w:space="0" w:color="auto"/>
          </w:divBdr>
        </w:div>
      </w:divsChild>
    </w:div>
    <w:div w:id="1763795652">
      <w:bodyDiv w:val="1"/>
      <w:marLeft w:val="0"/>
      <w:marRight w:val="0"/>
      <w:marTop w:val="0"/>
      <w:marBottom w:val="0"/>
      <w:divBdr>
        <w:top w:val="none" w:sz="0" w:space="0" w:color="auto"/>
        <w:left w:val="none" w:sz="0" w:space="0" w:color="auto"/>
        <w:bottom w:val="none" w:sz="0" w:space="0" w:color="auto"/>
        <w:right w:val="none" w:sz="0" w:space="0" w:color="auto"/>
      </w:divBdr>
      <w:divsChild>
        <w:div w:id="1239367877">
          <w:marLeft w:val="547"/>
          <w:marRight w:val="0"/>
          <w:marTop w:val="101"/>
          <w:marBottom w:val="0"/>
          <w:divBdr>
            <w:top w:val="none" w:sz="0" w:space="0" w:color="auto"/>
            <w:left w:val="none" w:sz="0" w:space="0" w:color="auto"/>
            <w:bottom w:val="none" w:sz="0" w:space="0" w:color="auto"/>
            <w:right w:val="none" w:sz="0" w:space="0" w:color="auto"/>
          </w:divBdr>
        </w:div>
      </w:divsChild>
    </w:div>
    <w:div w:id="1826314784">
      <w:bodyDiv w:val="1"/>
      <w:marLeft w:val="0"/>
      <w:marRight w:val="0"/>
      <w:marTop w:val="0"/>
      <w:marBottom w:val="0"/>
      <w:divBdr>
        <w:top w:val="none" w:sz="0" w:space="0" w:color="auto"/>
        <w:left w:val="none" w:sz="0" w:space="0" w:color="auto"/>
        <w:bottom w:val="none" w:sz="0" w:space="0" w:color="auto"/>
        <w:right w:val="none" w:sz="0" w:space="0" w:color="auto"/>
      </w:divBdr>
    </w:div>
    <w:div w:id="1853764490">
      <w:bodyDiv w:val="1"/>
      <w:marLeft w:val="0"/>
      <w:marRight w:val="0"/>
      <w:marTop w:val="0"/>
      <w:marBottom w:val="0"/>
      <w:divBdr>
        <w:top w:val="none" w:sz="0" w:space="0" w:color="auto"/>
        <w:left w:val="none" w:sz="0" w:space="0" w:color="auto"/>
        <w:bottom w:val="none" w:sz="0" w:space="0" w:color="auto"/>
        <w:right w:val="none" w:sz="0" w:space="0" w:color="auto"/>
      </w:divBdr>
      <w:divsChild>
        <w:div w:id="1984659067">
          <w:marLeft w:val="0"/>
          <w:marRight w:val="0"/>
          <w:marTop w:val="0"/>
          <w:marBottom w:val="0"/>
          <w:divBdr>
            <w:top w:val="none" w:sz="0" w:space="0" w:color="auto"/>
            <w:left w:val="none" w:sz="0" w:space="0" w:color="auto"/>
            <w:bottom w:val="none" w:sz="0" w:space="0" w:color="auto"/>
            <w:right w:val="none" w:sz="0" w:space="0" w:color="auto"/>
          </w:divBdr>
          <w:divsChild>
            <w:div w:id="1990596272">
              <w:marLeft w:val="0"/>
              <w:marRight w:val="0"/>
              <w:marTop w:val="0"/>
              <w:marBottom w:val="0"/>
              <w:divBdr>
                <w:top w:val="none" w:sz="0" w:space="0" w:color="auto"/>
                <w:left w:val="none" w:sz="0" w:space="0" w:color="auto"/>
                <w:bottom w:val="none" w:sz="0" w:space="0" w:color="auto"/>
                <w:right w:val="none" w:sz="0" w:space="0" w:color="auto"/>
              </w:divBdr>
              <w:divsChild>
                <w:div w:id="757482677">
                  <w:marLeft w:val="0"/>
                  <w:marRight w:val="0"/>
                  <w:marTop w:val="0"/>
                  <w:marBottom w:val="0"/>
                  <w:divBdr>
                    <w:top w:val="none" w:sz="0" w:space="0" w:color="auto"/>
                    <w:left w:val="none" w:sz="0" w:space="0" w:color="auto"/>
                    <w:bottom w:val="none" w:sz="0" w:space="0" w:color="auto"/>
                    <w:right w:val="none" w:sz="0" w:space="0" w:color="auto"/>
                  </w:divBdr>
                  <w:divsChild>
                    <w:div w:id="1747653524">
                      <w:marLeft w:val="0"/>
                      <w:marRight w:val="0"/>
                      <w:marTop w:val="0"/>
                      <w:marBottom w:val="0"/>
                      <w:divBdr>
                        <w:top w:val="none" w:sz="0" w:space="0" w:color="auto"/>
                        <w:left w:val="none" w:sz="0" w:space="0" w:color="auto"/>
                        <w:bottom w:val="none" w:sz="0" w:space="0" w:color="auto"/>
                        <w:right w:val="none" w:sz="0" w:space="0" w:color="auto"/>
                      </w:divBdr>
                      <w:divsChild>
                        <w:div w:id="587815371">
                          <w:marLeft w:val="0"/>
                          <w:marRight w:val="0"/>
                          <w:marTop w:val="0"/>
                          <w:marBottom w:val="0"/>
                          <w:divBdr>
                            <w:top w:val="none" w:sz="0" w:space="0" w:color="auto"/>
                            <w:left w:val="none" w:sz="0" w:space="0" w:color="auto"/>
                            <w:bottom w:val="none" w:sz="0" w:space="0" w:color="auto"/>
                            <w:right w:val="none" w:sz="0" w:space="0" w:color="auto"/>
                          </w:divBdr>
                          <w:divsChild>
                            <w:div w:id="1773624641">
                              <w:marLeft w:val="0"/>
                              <w:marRight w:val="0"/>
                              <w:marTop w:val="0"/>
                              <w:marBottom w:val="0"/>
                              <w:divBdr>
                                <w:top w:val="none" w:sz="0" w:space="0" w:color="auto"/>
                                <w:left w:val="single" w:sz="6" w:space="3" w:color="D4E7F1"/>
                                <w:bottom w:val="none" w:sz="0" w:space="0" w:color="auto"/>
                                <w:right w:val="single" w:sz="6" w:space="7" w:color="D4E7F1"/>
                              </w:divBdr>
                              <w:divsChild>
                                <w:div w:id="1016420751">
                                  <w:marLeft w:val="1630"/>
                                  <w:marRight w:val="0"/>
                                  <w:marTop w:val="0"/>
                                  <w:marBottom w:val="0"/>
                                  <w:divBdr>
                                    <w:top w:val="none" w:sz="0" w:space="0" w:color="auto"/>
                                    <w:left w:val="none" w:sz="0" w:space="0" w:color="auto"/>
                                    <w:bottom w:val="none" w:sz="0" w:space="0" w:color="auto"/>
                                    <w:right w:val="none" w:sz="0" w:space="0" w:color="auto"/>
                                  </w:divBdr>
                                  <w:divsChild>
                                    <w:div w:id="1349335669">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087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ncver.edu.au/publications/2357.html" TargetMode="External"/><Relationship Id="rId3" Type="http://schemas.openxmlformats.org/officeDocument/2006/relationships/styles" Target="styles.xml"/><Relationship Id="rId21" Type="http://schemas.openxmlformats.org/officeDocument/2006/relationships/hyperlink" Target="http://www.ncver.edu.au/publications/2549.html" TargetMode="External"/><Relationship Id="rId7" Type="http://schemas.openxmlformats.org/officeDocument/2006/relationships/footnotes" Target="footnotes.xml"/><Relationship Id="rId12" Type="http://schemas.openxmlformats.org/officeDocument/2006/relationships/hyperlink" Target="mailto:ncver@ncver.edu.au" TargetMode="External"/><Relationship Id="rId17" Type="http://schemas.openxmlformats.org/officeDocument/2006/relationships/hyperlink" Target="http://www.ncver.edu.au/publications/2388.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ssentialenergy.com.au/content/apprentice-application-process" TargetMode="External"/><Relationship Id="rId20" Type="http://schemas.openxmlformats.org/officeDocument/2006/relationships/hyperlink" Target="http://www.ncver.edu.au/publications/231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ncver.edu.au/publications/2262.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cver.edu.au/resources/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C3A5-FDD0-4119-8106-6F22789A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3955FF24.dotm</Template>
  <TotalTime>265</TotalTime>
  <Pages>43</Pages>
  <Words>16907</Words>
  <Characters>96371</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113052</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alicebednarz</dc:creator>
  <cp:lastModifiedBy>AmyMellow</cp:lastModifiedBy>
  <cp:revision>26</cp:revision>
  <cp:lastPrinted>2014-01-17T00:47:00Z</cp:lastPrinted>
  <dcterms:created xsi:type="dcterms:W3CDTF">2014-01-06T00:02:00Z</dcterms:created>
  <dcterms:modified xsi:type="dcterms:W3CDTF">2014-05-05T00:14:00Z</dcterms:modified>
</cp:coreProperties>
</file>