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27" w:rsidRDefault="007823AB" w:rsidP="00177827">
      <w:pPr>
        <w:pStyle w:val="PublicationTitle"/>
        <w:spacing w:before="0"/>
      </w:pPr>
      <w:bookmarkStart w:id="0" w:name="_Toc296423677"/>
      <w:bookmarkStart w:id="1" w:name="_Toc296497508"/>
      <w:r>
        <w:rPr>
          <w:noProof/>
          <w:lang w:eastAsia="en-AU"/>
        </w:rPr>
        <w:drawing>
          <wp:anchor distT="0" distB="0" distL="114300" distR="114300" simplePos="0" relativeHeight="251669504" behindDoc="0" locked="0" layoutInCell="1" allowOverlap="1">
            <wp:simplePos x="0" y="0"/>
            <wp:positionH relativeFrom="column">
              <wp:posOffset>-2465749</wp:posOffset>
            </wp:positionH>
            <wp:positionV relativeFrom="paragraph">
              <wp:posOffset>327424</wp:posOffset>
            </wp:positionV>
            <wp:extent cx="2604977" cy="1839432"/>
            <wp:effectExtent l="0" t="0" r="0" b="0"/>
            <wp:wrapNone/>
            <wp:docPr id="2" name="Picture 2" descr="G:\pub_prod\PublicationComponents\logos\LSAY\LSAY logo B&amp;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ub_prod\PublicationComponents\logos\LSAY\LSAY logo B&amp;W.eps"/>
                    <pic:cNvPicPr>
                      <a:picLocks noChangeAspect="1" noChangeArrowheads="1"/>
                    </pic:cNvPicPr>
                  </pic:nvPicPr>
                  <pic:blipFill>
                    <a:blip r:embed="rId8" cstate="print"/>
                    <a:srcRect/>
                    <a:stretch>
                      <a:fillRect/>
                    </a:stretch>
                  </pic:blipFill>
                  <pic:spPr bwMode="auto">
                    <a:xfrm>
                      <a:off x="0" y="0"/>
                      <a:ext cx="2604977" cy="1839432"/>
                    </a:xfrm>
                    <a:prstGeom prst="rect">
                      <a:avLst/>
                    </a:prstGeom>
                    <a:noFill/>
                    <a:ln w="9525">
                      <a:noFill/>
                      <a:miter lim="800000"/>
                      <a:headEnd/>
                      <a:tailEnd/>
                    </a:ln>
                  </pic:spPr>
                </pic:pic>
              </a:graphicData>
            </a:graphic>
          </wp:anchor>
        </w:drawing>
      </w:r>
      <w:r w:rsidR="0048663C">
        <w:rPr>
          <w:noProof/>
          <w:lang w:eastAsia="en-AU"/>
        </w:rPr>
        <w:drawing>
          <wp:anchor distT="0" distB="0" distL="114300" distR="114300" simplePos="0" relativeHeight="251667456" behindDoc="0" locked="0" layoutInCell="1" allowOverlap="1">
            <wp:simplePos x="0" y="0"/>
            <wp:positionH relativeFrom="column">
              <wp:posOffset>-901700</wp:posOffset>
            </wp:positionH>
            <wp:positionV relativeFrom="paragraph">
              <wp:posOffset>104140</wp:posOffset>
            </wp:positionV>
            <wp:extent cx="2459990" cy="548640"/>
            <wp:effectExtent l="19050" t="0" r="0" b="0"/>
            <wp:wrapSquare wrapText="bothSides"/>
            <wp:docPr id="5" name="Picture 5" descr="P:\PublicationComponents\logos\NCVER LOGOS\EPS - pagemaker_quark\ncver left tab_mon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ublicationComponents\logos\NCVER LOGOS\EPS - pagemaker_quark\ncver left tab_mono.eps"/>
                    <pic:cNvPicPr>
                      <a:picLocks noChangeAspect="1" noChangeArrowheads="1"/>
                    </pic:cNvPicPr>
                  </pic:nvPicPr>
                  <pic:blipFill>
                    <a:blip r:embed="rId9" cstate="print"/>
                    <a:srcRect/>
                    <a:stretch>
                      <a:fillRect/>
                    </a:stretch>
                  </pic:blipFill>
                  <pic:spPr bwMode="auto">
                    <a:xfrm>
                      <a:off x="0" y="0"/>
                      <a:ext cx="2459990" cy="548640"/>
                    </a:xfrm>
                    <a:prstGeom prst="rect">
                      <a:avLst/>
                    </a:prstGeom>
                    <a:noFill/>
                    <a:ln w="9525">
                      <a:noFill/>
                      <a:miter lim="800000"/>
                      <a:headEnd/>
                      <a:tailEnd/>
                    </a:ln>
                  </pic:spPr>
                </pic:pic>
              </a:graphicData>
            </a:graphic>
          </wp:anchor>
        </w:drawing>
      </w:r>
    </w:p>
    <w:p w:rsidR="00177827" w:rsidRDefault="00177827" w:rsidP="00A56A4A">
      <w:pPr>
        <w:pStyle w:val="PublicationTitle"/>
        <w:spacing w:before="0" w:after="0"/>
      </w:pPr>
    </w:p>
    <w:p w:rsidR="007C75D3" w:rsidRDefault="007C75D3" w:rsidP="00177827">
      <w:pPr>
        <w:pStyle w:val="PublicationTitle"/>
        <w:spacing w:before="0"/>
      </w:pPr>
    </w:p>
    <w:bookmarkEnd w:id="0"/>
    <w:bookmarkEnd w:id="1"/>
    <w:p w:rsidR="009E231A" w:rsidRPr="005C2FCF" w:rsidRDefault="00717020" w:rsidP="00717020">
      <w:pPr>
        <w:pStyle w:val="PublicationTitle"/>
        <w:spacing w:before="0"/>
        <w:ind w:right="-284"/>
      </w:pPr>
      <w:r>
        <w:t>School completion: what we learn from different measures of family background</w:t>
      </w:r>
    </w:p>
    <w:p w:rsidR="00717020" w:rsidRDefault="00717020" w:rsidP="00717020">
      <w:pPr>
        <w:pStyle w:val="Authors"/>
      </w:pPr>
      <w:bookmarkStart w:id="2" w:name="_Toc296423678"/>
      <w:bookmarkStart w:id="3" w:name="_Toc296497509"/>
      <w:r>
        <w:t xml:space="preserve">Jacqueline </w:t>
      </w:r>
      <w:proofErr w:type="spellStart"/>
      <w:r w:rsidRPr="00717020">
        <w:t>Homel</w:t>
      </w:r>
      <w:proofErr w:type="spellEnd"/>
      <w:r>
        <w:br/>
      </w:r>
      <w:proofErr w:type="spellStart"/>
      <w:r>
        <w:t>Astghik</w:t>
      </w:r>
      <w:proofErr w:type="spellEnd"/>
      <w:r>
        <w:t xml:space="preserve"> </w:t>
      </w:r>
      <w:proofErr w:type="spellStart"/>
      <w:r>
        <w:t>Mavisakalyan</w:t>
      </w:r>
      <w:proofErr w:type="spellEnd"/>
      <w:r>
        <w:br/>
        <w:t xml:space="preserve">Ha </w:t>
      </w:r>
      <w:proofErr w:type="spellStart"/>
      <w:r>
        <w:t>Trong</w:t>
      </w:r>
      <w:proofErr w:type="spellEnd"/>
      <w:r>
        <w:t xml:space="preserve"> Nguyen</w:t>
      </w:r>
      <w:r>
        <w:br/>
        <w:t>Chris Ryan</w:t>
      </w:r>
    </w:p>
    <w:bookmarkEnd w:id="2"/>
    <w:bookmarkEnd w:id="3"/>
    <w:p w:rsidR="00717020" w:rsidRPr="00883DD1" w:rsidRDefault="00717020" w:rsidP="00717020">
      <w:pPr>
        <w:pStyle w:val="Organisation"/>
      </w:pPr>
      <w:r>
        <w:t>Social Policy Evaluation, Analysis and Research Centre</w:t>
      </w:r>
      <w:r>
        <w:br/>
        <w:t>Australian National University</w:t>
      </w:r>
    </w:p>
    <w:p w:rsidR="00DB599C" w:rsidRDefault="00DB599C" w:rsidP="0006125F">
      <w:pPr>
        <w:pStyle w:val="Heading3"/>
        <w:ind w:right="-1"/>
      </w:pPr>
    </w:p>
    <w:p w:rsidR="008B22E2" w:rsidRDefault="00A865E4" w:rsidP="00E57478">
      <w:pPr>
        <w:pStyle w:val="Heading3"/>
        <w:ind w:right="-1"/>
      </w:pPr>
      <w:r>
        <w:rPr>
          <w:noProof/>
          <w:lang w:eastAsia="en-AU"/>
        </w:rPr>
        <w:pict>
          <v:shapetype id="_x0000_t202" coordsize="21600,21600" o:spt="202" path="m,l,21600r21600,l21600,xe">
            <v:stroke joinstyle="miter"/>
            <v:path gradientshapeok="t" o:connecttype="rect"/>
          </v:shapetype>
          <v:shape id="_x0000_s1034" type="#_x0000_t202" style="position:absolute;margin-left:73.1pt;margin-top:631.45pt;width:357pt;height:111.25pt;z-index:251658240;mso-position-vertical-relative:margin" filled="f" stroked="f">
            <v:textbox style="mso-next-textbox:#_x0000_s1034">
              <w:txbxContent>
                <w:p w:rsidR="00AE1DA5" w:rsidRDefault="00AE1DA5" w:rsidP="006C5DA9">
                  <w:pPr>
                    <w:pStyle w:val="Imprint"/>
                    <w:spacing w:before="0"/>
                    <w:ind w:left="142" w:right="10"/>
                    <w:rPr>
                      <w:color w:val="000000"/>
                    </w:rPr>
                  </w:pPr>
                  <w:proofErr w:type="gramStart"/>
                  <w:r>
                    <w:rPr>
                      <w:color w:val="000000"/>
                    </w:rPr>
                    <w:t>Funded by the Australian Government Department of Education, Employment and Workplace Relations with support from state and territory governments.</w:t>
                  </w:r>
                  <w:proofErr w:type="gramEnd"/>
                </w:p>
                <w:p w:rsidR="00AE1DA5" w:rsidRDefault="00AE1DA5" w:rsidP="002B0A20">
                  <w:pPr>
                    <w:pStyle w:val="Imprint"/>
                    <w:spacing w:before="120"/>
                    <w:ind w:left="142" w:right="11"/>
                    <w:rPr>
                      <w:color w:val="000000"/>
                    </w:rPr>
                  </w:pPr>
                  <w:r w:rsidRPr="005C2FCF">
                    <w:rPr>
                      <w:color w:val="000000"/>
                    </w:rPr>
                    <w:t>The views and opinions expressed in this document are those of the author</w:t>
                  </w:r>
                  <w:r>
                    <w:rPr>
                      <w:color w:val="000000"/>
                    </w:rPr>
                    <w:t>s</w:t>
                  </w:r>
                  <w:r w:rsidRPr="005C2FCF">
                    <w:rPr>
                      <w:color w:val="000000"/>
                    </w:rPr>
                    <w:t>/</w:t>
                  </w:r>
                  <w:r>
                    <w:rPr>
                      <w:color w:val="000000"/>
                    </w:rPr>
                    <w:br/>
                  </w:r>
                  <w:r w:rsidRPr="005C2FCF">
                    <w:rPr>
                      <w:color w:val="000000"/>
                    </w:rPr>
                    <w:t>project</w:t>
                  </w:r>
                  <w:r>
                    <w:rPr>
                      <w:color w:val="000000"/>
                    </w:rPr>
                    <w:t xml:space="preserve"> </w:t>
                  </w:r>
                  <w:r w:rsidRPr="005C2FCF">
                    <w:rPr>
                      <w:color w:val="000000"/>
                    </w:rPr>
                    <w:t xml:space="preserve">team and do not necessarily reflect the views of the Australian Government </w:t>
                  </w:r>
                  <w:r>
                    <w:rPr>
                      <w:color w:val="000000"/>
                    </w:rPr>
                    <w:br/>
                    <w:t xml:space="preserve">or </w:t>
                  </w:r>
                  <w:r w:rsidRPr="005C2FCF">
                    <w:rPr>
                      <w:color w:val="000000"/>
                    </w:rPr>
                    <w:t>state and territory governments.</w:t>
                  </w:r>
                </w:p>
                <w:p w:rsidR="00AE1DA5" w:rsidRPr="005C2FCF" w:rsidRDefault="00AE1DA5" w:rsidP="006C5DA9">
                  <w:pPr>
                    <w:pStyle w:val="Imprint"/>
                    <w:spacing w:before="120"/>
                    <w:ind w:left="142" w:right="10"/>
                    <w:rPr>
                      <w:color w:val="000000"/>
                    </w:rPr>
                  </w:pPr>
                  <w:r w:rsidRPr="005C2FCF">
                    <w:rPr>
                      <w:color w:val="000000"/>
                    </w:rPr>
                    <w:t>Any interpretation of data is the responsibility of the author/project team.</w:t>
                  </w:r>
                </w:p>
                <w:p w:rsidR="00AE1DA5" w:rsidRDefault="00AE1DA5" w:rsidP="00DB599C">
                  <w:pPr>
                    <w:ind w:left="284" w:right="294"/>
                  </w:pPr>
                </w:p>
              </w:txbxContent>
            </v:textbox>
            <w10:wrap anchory="margin"/>
          </v:shape>
        </w:pict>
      </w:r>
      <w:r>
        <w:rPr>
          <w:noProof/>
          <w:lang w:eastAsia="en-AU"/>
        </w:rPr>
        <w:pict>
          <v:shape id="_x0000_s1036" type="#_x0000_t202" style="position:absolute;margin-left:79.95pt;margin-top:526.1pt;width:297.05pt;height:83pt;z-index:251660288;mso-position-vertical-relative:margin" filled="f" stroked="f">
            <v:textbox style="mso-next-textbox:#_x0000_s1036">
              <w:txbxContent>
                <w:p w:rsidR="00AE1DA5" w:rsidRPr="007B5329" w:rsidRDefault="00AE1DA5" w:rsidP="00717020">
                  <w:pPr>
                    <w:pStyle w:val="Heading3"/>
                  </w:pPr>
                  <w:r>
                    <w:t xml:space="preserve">LONGITUDINAL SURVEYS OF </w:t>
                  </w:r>
                  <w:r>
                    <w:br/>
                    <w:t>AUSTRALIAN YOUTH</w:t>
                  </w:r>
                  <w:r w:rsidRPr="00717020">
                    <w:rPr>
                      <w:rFonts w:ascii="Trebuchet MS" w:hAnsi="Trebuchet MS"/>
                      <w:szCs w:val="24"/>
                    </w:rPr>
                    <w:t xml:space="preserve"> </w:t>
                  </w:r>
                </w:p>
                <w:p w:rsidR="00AE1DA5" w:rsidRPr="00717020" w:rsidRDefault="00AE1DA5" w:rsidP="00717020">
                  <w:pPr>
                    <w:pStyle w:val="Heading3"/>
                    <w:spacing w:before="80"/>
                    <w:rPr>
                      <w:rFonts w:ascii="Trebuchet MS" w:hAnsi="Trebuchet MS"/>
                      <w:szCs w:val="24"/>
                    </w:rPr>
                  </w:pPr>
                  <w:r w:rsidRPr="00717020">
                    <w:rPr>
                      <w:rFonts w:ascii="Trebuchet MS" w:hAnsi="Trebuchet MS"/>
                      <w:b/>
                      <w:szCs w:val="24"/>
                    </w:rPr>
                    <w:t>RESEARCH REPORT</w:t>
                  </w:r>
                  <w:r>
                    <w:rPr>
                      <w:rFonts w:ascii="Trebuchet MS" w:hAnsi="Trebuchet MS"/>
                      <w:b/>
                      <w:szCs w:val="24"/>
                    </w:rPr>
                    <w:t xml:space="preserve"> 59</w:t>
                  </w:r>
                </w:p>
              </w:txbxContent>
            </v:textbox>
            <w10:wrap anchory="margin"/>
          </v:shape>
        </w:pict>
      </w:r>
      <w:r w:rsidR="00FE4A2D" w:rsidRPr="005C2FCF">
        <w:br w:type="page"/>
      </w:r>
    </w:p>
    <w:p w:rsidR="009E231A" w:rsidRPr="005C2FCF" w:rsidRDefault="00FE4A2D" w:rsidP="00E57478">
      <w:pPr>
        <w:pStyle w:val="Heading3"/>
        <w:ind w:right="-1"/>
      </w:pPr>
      <w:r w:rsidRPr="005C2FCF">
        <w:lastRenderedPageBreak/>
        <w:t>Publisher’s note</w:t>
      </w:r>
    </w:p>
    <w:p w:rsidR="00233BFA" w:rsidRPr="00FA4E2D" w:rsidRDefault="00233BFA" w:rsidP="00E57478">
      <w:pPr>
        <w:pStyle w:val="Imprint"/>
        <w:ind w:right="-1"/>
      </w:pPr>
      <w:r w:rsidRPr="00FA4E2D">
        <w:t xml:space="preserve">Additional information relating to this research is available in </w:t>
      </w:r>
      <w:r w:rsidR="002B0A20">
        <w:rPr>
          <w:i/>
        </w:rPr>
        <w:t>School completion: data appendix —</w:t>
      </w:r>
      <w:r w:rsidRPr="00D418CE">
        <w:rPr>
          <w:i/>
        </w:rPr>
        <w:t xml:space="preserve"> </w:t>
      </w:r>
      <w:r w:rsidR="0049453B">
        <w:rPr>
          <w:i/>
        </w:rPr>
        <w:t>s</w:t>
      </w:r>
      <w:r w:rsidRPr="00D418CE">
        <w:rPr>
          <w:i/>
        </w:rPr>
        <w:t>upport document</w:t>
      </w:r>
      <w:r>
        <w:t>.</w:t>
      </w:r>
      <w:r w:rsidRPr="00FA4E2D">
        <w:t xml:space="preserve"> It can be accessed from NCVER’s website &lt;http://www.ncver.edu.au</w:t>
      </w:r>
      <w:r>
        <w:t>/publications/</w:t>
      </w:r>
      <w:r w:rsidR="002B0A20" w:rsidRPr="002B0A20">
        <w:t>2503</w:t>
      </w:r>
      <w:r>
        <w:t>.html&gt;</w:t>
      </w:r>
      <w:r w:rsidRPr="00FA4E2D">
        <w:t>.</w:t>
      </w:r>
    </w:p>
    <w:p w:rsidR="002B0A20" w:rsidRPr="002C645D" w:rsidRDefault="002B0A20" w:rsidP="002C645D">
      <w:pPr>
        <w:pStyle w:val="Imprint"/>
      </w:pPr>
      <w:r w:rsidRPr="002C645D">
        <w:t>Further information regarding the Longitudinal Surveys of Australian Youth can be found at &lt;http://www.lsay.edu.au&gt;.</w:t>
      </w:r>
    </w:p>
    <w:p w:rsidR="002C645D" w:rsidRPr="002C645D" w:rsidRDefault="00233BFA" w:rsidP="002C645D">
      <w:pPr>
        <w:pStyle w:val="Imprint"/>
        <w:rPr>
          <w:szCs w:val="24"/>
        </w:rPr>
      </w:pPr>
      <w:r w:rsidRPr="002C645D">
        <w:t>To find other material of interest, search VOCED (the UNESCO/NCVER international database &lt;</w:t>
      </w:r>
      <w:hyperlink r:id="rId10" w:history="1">
        <w:r w:rsidRPr="002C645D">
          <w:t>http://www.voced.edu.au</w:t>
        </w:r>
      </w:hyperlink>
      <w:r w:rsidRPr="002C645D">
        <w:t>&gt;)</w:t>
      </w:r>
      <w:r w:rsidR="002C645D" w:rsidRPr="002C645D">
        <w:t xml:space="preserve"> using the following keywords: </w:t>
      </w:r>
      <w:r w:rsidR="002C645D" w:rsidRPr="002C645D">
        <w:rPr>
          <w:szCs w:val="24"/>
        </w:rPr>
        <w:t>comparative analysis; completion; data analysis; disadvantaged; educational background; family; income; longitudinal data; longitudinal study; research; secondary school; socioeconomic background; statistics; students</w:t>
      </w:r>
      <w:r w:rsidR="002C645D">
        <w:rPr>
          <w:szCs w:val="24"/>
        </w:rPr>
        <w:t>.</w:t>
      </w:r>
    </w:p>
    <w:p w:rsidR="00233BFA" w:rsidRDefault="00233BFA" w:rsidP="002C645D">
      <w:pPr>
        <w:pStyle w:val="Imprint"/>
        <w:ind w:right="-1"/>
      </w:pPr>
    </w:p>
    <w:p w:rsidR="00FF5931" w:rsidRDefault="00FF5931" w:rsidP="00233BFA">
      <w:pPr>
        <w:pStyle w:val="Imprint"/>
        <w:rPr>
          <w:sz w:val="19"/>
          <w:szCs w:val="19"/>
        </w:rPr>
      </w:pPr>
    </w:p>
    <w:p w:rsidR="009E231A" w:rsidRPr="00C77DC6" w:rsidRDefault="00A865E4" w:rsidP="0049453B">
      <w:pPr>
        <w:pStyle w:val="Abouttheresearch"/>
      </w:pPr>
      <w:r>
        <w:pict>
          <v:shape id="_x0000_s1038" type="#_x0000_t202" style="position:absolute;margin-left:0;margin-top:114.6pt;width:439.2pt;height:456.7pt;z-index:251661312;v-text-anchor:bottom" filled="f" stroked="f">
            <v:textbox style="mso-next-textbox:#_x0000_s1038" inset="0,,0">
              <w:txbxContent>
                <w:p w:rsidR="00AE1DA5" w:rsidRPr="00717020" w:rsidRDefault="00AE1DA5" w:rsidP="002B0A20">
                  <w:pPr>
                    <w:pStyle w:val="Imprint"/>
                    <w:rPr>
                      <w:b/>
                    </w:rPr>
                  </w:pPr>
                  <w:r w:rsidRPr="00717020">
                    <w:rPr>
                      <w:b/>
                    </w:rPr>
                    <w:t>© Commonwealth of Australia, 2012</w:t>
                  </w:r>
                </w:p>
                <w:p w:rsidR="00AE1DA5" w:rsidRDefault="00AE1DA5" w:rsidP="002B0A20">
                  <w:pPr>
                    <w:pStyle w:val="Imprint"/>
                    <w:rPr>
                      <w:sz w:val="20"/>
                    </w:rPr>
                  </w:pPr>
                  <w:r w:rsidRPr="00E80270">
                    <w:rPr>
                      <w:noProof/>
                      <w:sz w:val="20"/>
                      <w:lang w:eastAsia="en-AU"/>
                    </w:rPr>
                    <w:drawing>
                      <wp:inline distT="0" distB="0" distL="0" distR="0">
                        <wp:extent cx="850265" cy="302895"/>
                        <wp:effectExtent l="19050" t="0" r="6985" b="0"/>
                        <wp:docPr id="14"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1"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rsidR="00AE1DA5" w:rsidRPr="00717020" w:rsidRDefault="00AE1DA5" w:rsidP="002B0A20">
                  <w:pPr>
                    <w:pStyle w:val="Imprint"/>
                  </w:pPr>
                  <w:r w:rsidRPr="00C66E90">
                    <w:t xml:space="preserve">With the exception of the Commonwealth Coat of Arms, the Department’s logo, any material protected by a trade mark and where otherwise noted all material presented in this document is provided under a Creative </w:t>
                  </w:r>
                  <w:r w:rsidRPr="00717020">
                    <w:t xml:space="preserve">Commons Attribution 3.0 Australia &lt;http://creativecommons.org/licenses/by/3.0/au&gt; licence. </w:t>
                  </w:r>
                </w:p>
                <w:p w:rsidR="00AE1DA5" w:rsidRPr="00717020" w:rsidRDefault="00AE1DA5" w:rsidP="002B0A20">
                  <w:pPr>
                    <w:pStyle w:val="Imprint"/>
                    <w:spacing w:before="80"/>
                  </w:pPr>
                  <w:r w:rsidRPr="00717020">
                    <w:t>The details of the relevant licence conditions are available on the Creative Commons website (accessible using the links provided) as is the full legal code for the CC BY 3.0 AU licence &lt;http://creativecommons.org/licenses/by/3.0/legalcode&gt;.</w:t>
                  </w:r>
                </w:p>
                <w:p w:rsidR="00AE1DA5" w:rsidRPr="00717020" w:rsidRDefault="00AE1DA5" w:rsidP="002B0A20">
                  <w:pPr>
                    <w:pStyle w:val="Imprint"/>
                    <w:spacing w:before="80"/>
                  </w:pPr>
                  <w:r w:rsidRPr="00717020">
                    <w:t>The Creative Commons licence conditions do not apply to all logos, graphic design, artwork and photographs. Requests and enquiries concerning other reproduction and rights should be directed to the National Centre for Vocational Education Research (NCVER).</w:t>
                  </w:r>
                </w:p>
                <w:p w:rsidR="00AE1DA5" w:rsidRPr="00717020" w:rsidRDefault="00AE1DA5" w:rsidP="002B0A20">
                  <w:pPr>
                    <w:pStyle w:val="Imprint"/>
                    <w:spacing w:before="80"/>
                  </w:pPr>
                  <w:r w:rsidRPr="00717020">
                    <w:t xml:space="preserve">This document should be attributed as </w:t>
                  </w:r>
                  <w:proofErr w:type="spellStart"/>
                  <w:r>
                    <w:t>Homel</w:t>
                  </w:r>
                  <w:proofErr w:type="spellEnd"/>
                  <w:r>
                    <w:t xml:space="preserve">, J, </w:t>
                  </w:r>
                  <w:proofErr w:type="spellStart"/>
                  <w:r>
                    <w:t>Mavisakalyan</w:t>
                  </w:r>
                  <w:proofErr w:type="spellEnd"/>
                  <w:r>
                    <w:t xml:space="preserve">, </w:t>
                  </w:r>
                  <w:proofErr w:type="gramStart"/>
                  <w:r>
                    <w:t>A</w:t>
                  </w:r>
                  <w:proofErr w:type="gramEnd"/>
                  <w:r>
                    <w:t xml:space="preserve">, Nguyen, HT &amp; Ryan, C </w:t>
                  </w:r>
                  <w:r>
                    <w:rPr>
                      <w:i/>
                    </w:rPr>
                    <w:t>School completion: what we learn from different measures of family background</w:t>
                  </w:r>
                  <w:r w:rsidRPr="00717020">
                    <w:t>, NCVER, Adelaide.</w:t>
                  </w:r>
                </w:p>
                <w:p w:rsidR="00AE1DA5" w:rsidRDefault="00AE1DA5" w:rsidP="002B0A20">
                  <w:pPr>
                    <w:pStyle w:val="Imprint"/>
                    <w:spacing w:before="80"/>
                  </w:pPr>
                  <w:r w:rsidRPr="00717020">
                    <w:t>This work has been produ</w:t>
                  </w:r>
                  <w:r w:rsidRPr="003716FE">
                    <w:t xml:space="preserve">ced by </w:t>
                  </w:r>
                  <w:r>
                    <w:t>NCVER</w:t>
                  </w:r>
                  <w:r w:rsidRPr="003716FE">
                    <w:t xml:space="preserve"> </w:t>
                  </w:r>
                  <w:r>
                    <w:t xml:space="preserve">through the Longitudinal Surveys of Australian Youth (LSAY) Program, </w:t>
                  </w:r>
                  <w:r w:rsidRPr="003716FE">
                    <w:t>on behalf of the Australi</w:t>
                  </w:r>
                  <w:r>
                    <w:t>an Government</w:t>
                  </w:r>
                  <w:r w:rsidRPr="003716FE">
                    <w:t xml:space="preserve"> and state and territory governments, with funding provided through the Australian Department of Education, </w:t>
                  </w:r>
                  <w:r w:rsidRPr="003716FE">
                    <w:rPr>
                      <w:color w:val="000000"/>
                    </w:rPr>
                    <w:t>Employment and Workplace Relations</w:t>
                  </w:r>
                  <w:r w:rsidRPr="003716FE">
                    <w:t xml:space="preserve">. </w:t>
                  </w:r>
                </w:p>
                <w:p w:rsidR="00AE1DA5" w:rsidRDefault="00AE1DA5" w:rsidP="002B0A20">
                  <w:pPr>
                    <w:pStyle w:val="Imprint"/>
                    <w:spacing w:before="80"/>
                  </w:pPr>
                </w:p>
                <w:p w:rsidR="00AE1DA5" w:rsidRDefault="00AE1DA5" w:rsidP="002B0A20">
                  <w:pPr>
                    <w:pStyle w:val="Imprint"/>
                    <w:spacing w:before="80"/>
                    <w:rPr>
                      <w:smallCaps/>
                      <w:color w:val="000000"/>
                    </w:rPr>
                  </w:pPr>
                  <w:r>
                    <w:rPr>
                      <w:smallCaps/>
                      <w:color w:val="000000"/>
                    </w:rPr>
                    <w:t>COVER IMAGE: GETTY IMAGES/THINKSTOCK</w:t>
                  </w:r>
                </w:p>
                <w:p w:rsidR="00AE1DA5" w:rsidRPr="00EC29E3" w:rsidRDefault="00AE1DA5" w:rsidP="002B0A20">
                  <w:pPr>
                    <w:pStyle w:val="Imprint"/>
                    <w:spacing w:before="80"/>
                    <w:rPr>
                      <w:smallCaps/>
                      <w:color w:val="000000"/>
                    </w:rPr>
                  </w:pPr>
                </w:p>
                <w:p w:rsidR="00AE1DA5" w:rsidRPr="005C2FCF" w:rsidRDefault="00AE1DA5" w:rsidP="002B0A20">
                  <w:pPr>
                    <w:pStyle w:val="Imprint"/>
                    <w:spacing w:before="80"/>
                    <w:rPr>
                      <w:color w:val="000000"/>
                    </w:rPr>
                  </w:pPr>
                  <w:r w:rsidRPr="005C2FCF">
                    <w:rPr>
                      <w:color w:val="000000"/>
                    </w:rPr>
                    <w:t>ISBN</w:t>
                  </w:r>
                  <w:r w:rsidRPr="005C2FCF">
                    <w:rPr>
                      <w:color w:val="000000"/>
                    </w:rPr>
                    <w:tab/>
                  </w:r>
                  <w:r w:rsidRPr="002B0A20">
                    <w:rPr>
                      <w:color w:val="000000"/>
                    </w:rPr>
                    <w:t>978 1 922056 09 2</w:t>
                  </w:r>
                  <w:r>
                    <w:rPr>
                      <w:color w:val="000000"/>
                    </w:rPr>
                    <w:br/>
                  </w:r>
                  <w:r w:rsidRPr="005C2FCF">
                    <w:rPr>
                      <w:color w:val="000000"/>
                    </w:rPr>
                    <w:t>TD/TNC</w:t>
                  </w:r>
                  <w:r w:rsidRPr="005C2FCF">
                    <w:rPr>
                      <w:color w:val="000000"/>
                    </w:rPr>
                    <w:tab/>
                  </w:r>
                  <w:r>
                    <w:rPr>
                      <w:color w:val="000000"/>
                    </w:rPr>
                    <w:t>108.12</w:t>
                  </w:r>
                </w:p>
                <w:p w:rsidR="00AE1DA5" w:rsidRPr="005C2FCF" w:rsidRDefault="00AE1DA5" w:rsidP="002B0A20">
                  <w:pPr>
                    <w:pStyle w:val="Imprint"/>
                    <w:spacing w:before="80"/>
                    <w:rPr>
                      <w:color w:val="000000"/>
                    </w:rPr>
                  </w:pPr>
                  <w:r w:rsidRPr="005C2FCF">
                    <w:rPr>
                      <w:color w:val="000000"/>
                    </w:rPr>
                    <w:t>Published by NCVER</w:t>
                  </w:r>
                  <w:r>
                    <w:rPr>
                      <w:color w:val="000000"/>
                    </w:rPr>
                    <w:t xml:space="preserve">, </w:t>
                  </w:r>
                  <w:r w:rsidRPr="005C2FCF">
                    <w:rPr>
                      <w:color w:val="000000"/>
                    </w:rPr>
                    <w:t>ABN 87 007 967 311</w:t>
                  </w:r>
                </w:p>
                <w:p w:rsidR="00AE1DA5" w:rsidRPr="005C2FCF" w:rsidRDefault="00AE1DA5" w:rsidP="002B0A20">
                  <w:pPr>
                    <w:pStyle w:val="Imprint"/>
                    <w:spacing w:before="80"/>
                    <w:rPr>
                      <w:color w:val="000000"/>
                    </w:rPr>
                  </w:pPr>
                  <w:r w:rsidRPr="005C2FCF">
                    <w:rPr>
                      <w:color w:val="000000"/>
                    </w:rPr>
                    <w:t>Level 11, 33 King William Street, Adelaide, SA 5000</w:t>
                  </w:r>
                  <w:r w:rsidRPr="005C2FCF">
                    <w:rPr>
                      <w:color w:val="000000"/>
                    </w:rPr>
                    <w:br/>
                    <w:t>PO Box 8288 Station Arcade, Adelaide SA 5000, Australia</w:t>
                  </w:r>
                </w:p>
                <w:p w:rsidR="00AE1DA5" w:rsidRPr="002B0A20" w:rsidRDefault="00AE1DA5" w:rsidP="002B0A20">
                  <w:pPr>
                    <w:pStyle w:val="Imprint"/>
                    <w:spacing w:before="80"/>
                    <w:rPr>
                      <w:color w:val="000000"/>
                      <w:spacing w:val="-8"/>
                    </w:rPr>
                  </w:pPr>
                  <w:r w:rsidRPr="002B0A20">
                    <w:rPr>
                      <w:b/>
                      <w:color w:val="000000"/>
                      <w:spacing w:val="-8"/>
                    </w:rPr>
                    <w:t>P</w:t>
                  </w:r>
                  <w:r w:rsidRPr="002B0A20">
                    <w:rPr>
                      <w:color w:val="000000"/>
                      <w:spacing w:val="-8"/>
                    </w:rPr>
                    <w:t xml:space="preserve"> +61 8 8230 8400   </w:t>
                  </w:r>
                  <w:r w:rsidRPr="002B0A20">
                    <w:rPr>
                      <w:b/>
                      <w:color w:val="000000"/>
                      <w:spacing w:val="-8"/>
                    </w:rPr>
                    <w:t>F</w:t>
                  </w:r>
                  <w:r w:rsidRPr="002B0A20">
                    <w:rPr>
                      <w:color w:val="000000"/>
                      <w:spacing w:val="-8"/>
                    </w:rPr>
                    <w:t xml:space="preserve"> +61 8 8212 3436   </w:t>
                  </w:r>
                  <w:r w:rsidRPr="002B0A20">
                    <w:rPr>
                      <w:b/>
                      <w:color w:val="000000"/>
                      <w:spacing w:val="-8"/>
                    </w:rPr>
                    <w:t>E</w:t>
                  </w:r>
                  <w:r w:rsidRPr="002B0A20">
                    <w:rPr>
                      <w:color w:val="000000"/>
                      <w:spacing w:val="-8"/>
                    </w:rPr>
                    <w:t xml:space="preserve"> </w:t>
                  </w:r>
                  <w:hyperlink r:id="rId12" w:history="1">
                    <w:r w:rsidRPr="002B0A20">
                      <w:rPr>
                        <w:rStyle w:val="Hyperlink"/>
                        <w:spacing w:val="-8"/>
                        <w:sz w:val="16"/>
                      </w:rPr>
                      <w:t>ncver@ncver.edu.au</w:t>
                    </w:r>
                  </w:hyperlink>
                  <w:r w:rsidRPr="002B0A20">
                    <w:rPr>
                      <w:color w:val="000000"/>
                      <w:spacing w:val="-8"/>
                    </w:rPr>
                    <w:t xml:space="preserve">   </w:t>
                  </w:r>
                  <w:r w:rsidRPr="002B0A20">
                    <w:rPr>
                      <w:b/>
                      <w:color w:val="000000"/>
                      <w:spacing w:val="-8"/>
                    </w:rPr>
                    <w:t xml:space="preserve">W </w:t>
                  </w:r>
                  <w:r w:rsidRPr="002B0A20">
                    <w:rPr>
                      <w:color w:val="000000"/>
                      <w:spacing w:val="-8"/>
                    </w:rPr>
                    <w:t>&lt;http://www.ncver.edu.au&gt;</w:t>
                  </w:r>
                </w:p>
              </w:txbxContent>
            </v:textbox>
          </v:shape>
        </w:pict>
      </w:r>
      <w:r w:rsidR="00FE4A2D" w:rsidRPr="005C2FCF">
        <w:br w:type="page"/>
      </w:r>
      <w:bookmarkStart w:id="4" w:name="_Toc73766312"/>
      <w:bookmarkStart w:id="5" w:name="_Toc77937774"/>
      <w:bookmarkStart w:id="6" w:name="_Toc80174750"/>
      <w:bookmarkStart w:id="7" w:name="_Toc81560506"/>
      <w:bookmarkStart w:id="8" w:name="_Toc82071799"/>
      <w:bookmarkStart w:id="9" w:name="_Toc82151754"/>
      <w:bookmarkStart w:id="10" w:name="_Toc82498260"/>
      <w:bookmarkStart w:id="11" w:name="_Toc86829097"/>
      <w:bookmarkStart w:id="12" w:name="_Toc89226248"/>
      <w:bookmarkStart w:id="13" w:name="_Toc89240893"/>
      <w:bookmarkStart w:id="14" w:name="_Toc98394875"/>
      <w:bookmarkStart w:id="15" w:name="_Toc296423679"/>
      <w:bookmarkStart w:id="16" w:name="_Toc296497510"/>
      <w:r w:rsidR="00FE4A2D" w:rsidRPr="005C2FCF">
        <w:lastRenderedPageBreak/>
        <w:t>About the research</w:t>
      </w:r>
      <w:bookmarkEnd w:id="4"/>
      <w:bookmarkEnd w:id="5"/>
      <w:bookmarkEnd w:id="6"/>
      <w:bookmarkEnd w:id="7"/>
      <w:bookmarkEnd w:id="8"/>
      <w:bookmarkEnd w:id="9"/>
      <w:bookmarkEnd w:id="10"/>
      <w:bookmarkEnd w:id="11"/>
      <w:bookmarkEnd w:id="12"/>
      <w:bookmarkEnd w:id="13"/>
      <w:bookmarkEnd w:id="14"/>
      <w:bookmarkEnd w:id="15"/>
      <w:bookmarkEnd w:id="16"/>
    </w:p>
    <w:p w:rsidR="001F5702" w:rsidRDefault="001F5702" w:rsidP="001F5702">
      <w:pPr>
        <w:pStyle w:val="Abouttheresearchpubtitle"/>
      </w:pPr>
      <w:bookmarkStart w:id="17" w:name="_Toc98394877"/>
      <w:bookmarkStart w:id="18" w:name="_Toc296423681"/>
      <w:bookmarkStart w:id="19" w:name="_Toc296497512"/>
      <w:r w:rsidRPr="00841040">
        <w:t>School completion: what we learn from different measures of family background</w:t>
      </w:r>
    </w:p>
    <w:bookmarkEnd w:id="17"/>
    <w:bookmarkEnd w:id="18"/>
    <w:bookmarkEnd w:id="19"/>
    <w:p w:rsidR="001F5702" w:rsidRPr="00841040" w:rsidRDefault="001F5702" w:rsidP="001F5702">
      <w:pPr>
        <w:pStyle w:val="Heading3"/>
        <w:ind w:right="-284"/>
      </w:pPr>
      <w:r w:rsidRPr="00841040">
        <w:t xml:space="preserve">Jacqueline </w:t>
      </w:r>
      <w:proofErr w:type="spellStart"/>
      <w:r w:rsidRPr="00841040">
        <w:t>Homel</w:t>
      </w:r>
      <w:proofErr w:type="spellEnd"/>
      <w:r w:rsidRPr="00841040">
        <w:t xml:space="preserve">, </w:t>
      </w:r>
      <w:proofErr w:type="spellStart"/>
      <w:r w:rsidRPr="00841040">
        <w:t>Astghik</w:t>
      </w:r>
      <w:proofErr w:type="spellEnd"/>
      <w:r w:rsidRPr="00841040">
        <w:t xml:space="preserve"> </w:t>
      </w:r>
      <w:proofErr w:type="spellStart"/>
      <w:r w:rsidRPr="00841040">
        <w:t>Mavisakalyan</w:t>
      </w:r>
      <w:proofErr w:type="spellEnd"/>
      <w:r w:rsidRPr="00841040">
        <w:t xml:space="preserve">, Ha </w:t>
      </w:r>
      <w:proofErr w:type="spellStart"/>
      <w:r w:rsidRPr="00841040">
        <w:t>Trong</w:t>
      </w:r>
      <w:proofErr w:type="spellEnd"/>
      <w:r w:rsidRPr="00841040">
        <w:t xml:space="preserve"> Nguyen and Chris Ryan</w:t>
      </w:r>
      <w:r>
        <w:t xml:space="preserve">, </w:t>
      </w:r>
      <w:r>
        <w:br/>
        <w:t>Social Policy Evaluation, Analysis and Research Centre, Australian National University</w:t>
      </w:r>
    </w:p>
    <w:p w:rsidR="001F5702" w:rsidRPr="001F5702" w:rsidRDefault="001F5702" w:rsidP="001F5702">
      <w:pPr>
        <w:pStyle w:val="Text"/>
      </w:pPr>
      <w:bookmarkStart w:id="20" w:name="_Toc98394878"/>
      <w:bookmarkStart w:id="21" w:name="_Toc296423682"/>
      <w:bookmarkStart w:id="22" w:name="_Toc296497513"/>
      <w:r w:rsidRPr="001F5702">
        <w:t>This paper examines how disadvantage affects educational outcomes, in this instance</w:t>
      </w:r>
      <w:r w:rsidR="00FA544D">
        <w:t>,</w:t>
      </w:r>
      <w:r w:rsidRPr="001F5702">
        <w:t xml:space="preserve"> Year 12 completion. While previous studies have found a strong link between parental education or occupational status and Year 12 completion, this research was able to capture a broader set of cultural, material and resource aspects of disadvantage. It did this by undertaking a comparative analysis of two datasets</w:t>
      </w:r>
      <w:r w:rsidR="00723990">
        <w:t xml:space="preserve"> — </w:t>
      </w:r>
      <w:r w:rsidRPr="001F5702">
        <w:t>the Longitudinal Surveys of Australian Youth (LSAY), which collects the more familiar information about parental education and occupational status, and the Youth in Focus (YIF) survey, which provides an additional set of disadvantage measures, including family income and welfare receipt history</w:t>
      </w:r>
      <w:r w:rsidR="00FA544D">
        <w:t>,</w:t>
      </w:r>
      <w:r w:rsidRPr="001F5702">
        <w:t xml:space="preserve"> as well as information about the respondent’s earlier educational experiences and risky behaviour. </w:t>
      </w:r>
    </w:p>
    <w:p w:rsidR="009E231A" w:rsidRPr="005C2FCF" w:rsidRDefault="00FE4A2D" w:rsidP="0049453B">
      <w:pPr>
        <w:pStyle w:val="Keymessages"/>
      </w:pPr>
      <w:r w:rsidRPr="005C2FCF">
        <w:t>Key messages</w:t>
      </w:r>
      <w:bookmarkEnd w:id="20"/>
      <w:bookmarkEnd w:id="21"/>
      <w:bookmarkEnd w:id="22"/>
    </w:p>
    <w:p w:rsidR="001F5702" w:rsidRDefault="001F5702" w:rsidP="001F5702">
      <w:pPr>
        <w:pStyle w:val="Dotpoint10"/>
      </w:pPr>
      <w:r>
        <w:t xml:space="preserve">Cultural factors, including poor school experiences, participation in risky activities such as smoking and alcohol consumption, and aspirations are the main predictors of Year 12 completion. </w:t>
      </w:r>
    </w:p>
    <w:p w:rsidR="001F5702" w:rsidRDefault="001F5702" w:rsidP="001F5702">
      <w:pPr>
        <w:pStyle w:val="Dotpoint10"/>
      </w:pPr>
      <w:r>
        <w:t>Material factors, as measured through current family income, have only a small effect on Year 12 completion.</w:t>
      </w:r>
    </w:p>
    <w:p w:rsidR="001F5702" w:rsidRDefault="001F5702" w:rsidP="001F5702">
      <w:pPr>
        <w:pStyle w:val="Dotpoint10"/>
      </w:pPr>
      <w:r>
        <w:t xml:space="preserve">The role of the commonly used indicators of disadvantage associated with school completion, including parental education and occupational status, is shown to be less significant than previously indicated. </w:t>
      </w:r>
    </w:p>
    <w:p w:rsidR="001F5702" w:rsidRPr="00DE6908" w:rsidRDefault="001F5702" w:rsidP="00FA544D">
      <w:pPr>
        <w:pStyle w:val="Text"/>
      </w:pPr>
      <w:r>
        <w:t xml:space="preserve">This report shows the importance of getting behind simple measures of family background in understanding the relationship between disadvantage and educational outcomes. </w:t>
      </w:r>
    </w:p>
    <w:p w:rsidR="009E231A" w:rsidRPr="005C2FCF" w:rsidRDefault="009E231A" w:rsidP="0048643A">
      <w:pPr>
        <w:pStyle w:val="Text"/>
      </w:pPr>
    </w:p>
    <w:p w:rsidR="009E231A" w:rsidRPr="005C2FCF" w:rsidRDefault="00FE4A2D" w:rsidP="0048643A">
      <w:pPr>
        <w:pStyle w:val="Text"/>
      </w:pPr>
      <w:r w:rsidRPr="005C2FCF">
        <w:t>Tom Karmel</w:t>
      </w:r>
      <w:r w:rsidRPr="005C2FCF">
        <w:br/>
        <w:t>Managing Director, NCVER</w:t>
      </w:r>
    </w:p>
    <w:p w:rsidR="00177827" w:rsidRDefault="00177827">
      <w:pPr>
        <w:spacing w:before="0" w:line="240" w:lineRule="auto"/>
      </w:pPr>
      <w:r>
        <w:br w:type="page"/>
      </w:r>
    </w:p>
    <w:p w:rsidR="00177827" w:rsidRDefault="00177827" w:rsidP="00874DA5">
      <w:pPr>
        <w:pStyle w:val="Contents"/>
      </w:pPr>
    </w:p>
    <w:p w:rsidR="00177827" w:rsidRDefault="00177827" w:rsidP="00874DA5">
      <w:pPr>
        <w:pStyle w:val="Contents"/>
        <w:sectPr w:rsidR="00177827" w:rsidSect="00F60BA5">
          <w:pgSz w:w="11907" w:h="16840" w:code="9"/>
          <w:pgMar w:top="1276" w:right="1701" w:bottom="1276" w:left="1418" w:header="709" w:footer="556" w:gutter="0"/>
          <w:cols w:space="708"/>
          <w:docGrid w:linePitch="360"/>
        </w:sectPr>
      </w:pPr>
    </w:p>
    <w:p w:rsidR="009E231A" w:rsidRPr="00DC5F5C" w:rsidRDefault="00FE4A2D" w:rsidP="00874DA5">
      <w:pPr>
        <w:pStyle w:val="Contents"/>
      </w:pPr>
      <w:bookmarkStart w:id="23" w:name="_Toc98394880"/>
      <w:bookmarkStart w:id="24" w:name="_Toc296423683"/>
      <w:bookmarkStart w:id="25" w:name="_Toc296497514"/>
      <w:r w:rsidRPr="00DC5F5C">
        <w:lastRenderedPageBreak/>
        <w:t>Contents</w:t>
      </w:r>
      <w:bookmarkEnd w:id="23"/>
      <w:bookmarkEnd w:id="24"/>
      <w:bookmarkEnd w:id="25"/>
    </w:p>
    <w:p w:rsidR="00625D75" w:rsidRDefault="00A865E4">
      <w:pPr>
        <w:pStyle w:val="TOC1"/>
        <w:rPr>
          <w:rFonts w:asciiTheme="minorHAnsi" w:eastAsiaTheme="minorEastAsia" w:hAnsiTheme="minorHAnsi" w:cstheme="minorBidi"/>
          <w:color w:val="auto"/>
          <w:sz w:val="22"/>
          <w:szCs w:val="22"/>
          <w:lang w:eastAsia="en-AU"/>
        </w:rPr>
      </w:pPr>
      <w:r w:rsidRPr="00A865E4">
        <w:rPr>
          <w:rFonts w:ascii="Avant Garde" w:hAnsi="Avant Garde"/>
        </w:rPr>
        <w:fldChar w:fldCharType="begin"/>
      </w:r>
      <w:r w:rsidR="00FE4A2D" w:rsidRPr="009775C7">
        <w:rPr>
          <w:rFonts w:ascii="Avant Garde" w:hAnsi="Avant Garde"/>
        </w:rPr>
        <w:instrText xml:space="preserve"> TOC \o "1-2" </w:instrText>
      </w:r>
      <w:r w:rsidRPr="00A865E4">
        <w:rPr>
          <w:rFonts w:ascii="Avant Garde" w:hAnsi="Avant Garde"/>
        </w:rPr>
        <w:fldChar w:fldCharType="separate"/>
      </w:r>
      <w:r w:rsidR="00625D75">
        <w:t>Tables</w:t>
      </w:r>
      <w:r w:rsidR="00625D75">
        <w:tab/>
      </w:r>
      <w:r>
        <w:fldChar w:fldCharType="begin"/>
      </w:r>
      <w:r w:rsidR="00625D75">
        <w:instrText xml:space="preserve"> PAGEREF _Toc324765864 \h </w:instrText>
      </w:r>
      <w:r>
        <w:fldChar w:fldCharType="separate"/>
      </w:r>
      <w:r w:rsidR="00BC53FB">
        <w:t>6</w:t>
      </w:r>
      <w:r>
        <w:fldChar w:fldCharType="end"/>
      </w:r>
    </w:p>
    <w:p w:rsidR="00625D75" w:rsidRDefault="00625D75">
      <w:pPr>
        <w:pStyle w:val="TOC1"/>
        <w:rPr>
          <w:rFonts w:asciiTheme="minorHAnsi" w:eastAsiaTheme="minorEastAsia" w:hAnsiTheme="minorHAnsi" w:cstheme="minorBidi"/>
          <w:color w:val="auto"/>
          <w:sz w:val="22"/>
          <w:szCs w:val="22"/>
          <w:lang w:eastAsia="en-AU"/>
        </w:rPr>
      </w:pPr>
      <w:r>
        <w:t>Executive summary</w:t>
      </w:r>
      <w:r>
        <w:tab/>
      </w:r>
      <w:r w:rsidR="00A865E4">
        <w:fldChar w:fldCharType="begin"/>
      </w:r>
      <w:r>
        <w:instrText xml:space="preserve"> PAGEREF _Toc324765866 \h </w:instrText>
      </w:r>
      <w:r w:rsidR="00A865E4">
        <w:fldChar w:fldCharType="separate"/>
      </w:r>
      <w:r w:rsidR="00BC53FB">
        <w:t>7</w:t>
      </w:r>
      <w:r w:rsidR="00A865E4">
        <w:fldChar w:fldCharType="end"/>
      </w:r>
    </w:p>
    <w:p w:rsidR="00625D75" w:rsidRDefault="00625D75">
      <w:pPr>
        <w:pStyle w:val="TOC1"/>
        <w:rPr>
          <w:rFonts w:asciiTheme="minorHAnsi" w:eastAsiaTheme="minorEastAsia" w:hAnsiTheme="minorHAnsi" w:cstheme="minorBidi"/>
          <w:color w:val="auto"/>
          <w:sz w:val="22"/>
          <w:szCs w:val="22"/>
          <w:lang w:eastAsia="en-AU"/>
        </w:rPr>
      </w:pPr>
      <w:r>
        <w:t>Introduction</w:t>
      </w:r>
      <w:r>
        <w:tab/>
      </w:r>
      <w:r w:rsidR="00A865E4">
        <w:fldChar w:fldCharType="begin"/>
      </w:r>
      <w:r>
        <w:instrText xml:space="preserve"> PAGEREF _Toc324765867 \h </w:instrText>
      </w:r>
      <w:r w:rsidR="00A865E4">
        <w:fldChar w:fldCharType="separate"/>
      </w:r>
      <w:r w:rsidR="00BC53FB">
        <w:t>9</w:t>
      </w:r>
      <w:r w:rsidR="00A865E4">
        <w:fldChar w:fldCharType="end"/>
      </w:r>
    </w:p>
    <w:p w:rsidR="00625D75" w:rsidRDefault="00625D75">
      <w:pPr>
        <w:pStyle w:val="TOC1"/>
        <w:rPr>
          <w:rFonts w:asciiTheme="minorHAnsi" w:eastAsiaTheme="minorEastAsia" w:hAnsiTheme="minorHAnsi" w:cstheme="minorBidi"/>
          <w:color w:val="auto"/>
          <w:sz w:val="22"/>
          <w:szCs w:val="22"/>
          <w:lang w:eastAsia="en-AU"/>
        </w:rPr>
      </w:pPr>
      <w:r>
        <w:t>Disadvantage and school completion: review of</w:t>
      </w:r>
      <w:r w:rsidR="00FA544D">
        <w:t xml:space="preserve"> the</w:t>
      </w:r>
      <w:r>
        <w:t xml:space="preserve"> literature</w:t>
      </w:r>
      <w:r>
        <w:tab/>
      </w:r>
      <w:r w:rsidR="00A865E4">
        <w:fldChar w:fldCharType="begin"/>
      </w:r>
      <w:r>
        <w:instrText xml:space="preserve"> PAGEREF _Toc324765868 \h </w:instrText>
      </w:r>
      <w:r w:rsidR="00A865E4">
        <w:fldChar w:fldCharType="separate"/>
      </w:r>
      <w:r w:rsidR="00BC53FB">
        <w:t>11</w:t>
      </w:r>
      <w:r w:rsidR="00A865E4">
        <w:fldChar w:fldCharType="end"/>
      </w:r>
    </w:p>
    <w:p w:rsidR="00625D75" w:rsidRDefault="00625D75">
      <w:pPr>
        <w:pStyle w:val="TOC2"/>
        <w:rPr>
          <w:rFonts w:asciiTheme="minorHAnsi" w:eastAsiaTheme="minorEastAsia" w:hAnsiTheme="minorHAnsi" w:cstheme="minorBidi"/>
          <w:color w:val="auto"/>
          <w:sz w:val="22"/>
          <w:szCs w:val="22"/>
          <w:lang w:eastAsia="en-AU"/>
        </w:rPr>
      </w:pPr>
      <w:r>
        <w:t>Approaches to defining disadvantage</w:t>
      </w:r>
      <w:r>
        <w:tab/>
      </w:r>
      <w:r w:rsidR="00A865E4">
        <w:fldChar w:fldCharType="begin"/>
      </w:r>
      <w:r>
        <w:instrText xml:space="preserve"> PAGEREF _Toc324765869 \h </w:instrText>
      </w:r>
      <w:r w:rsidR="00A865E4">
        <w:fldChar w:fldCharType="separate"/>
      </w:r>
      <w:r w:rsidR="00BC53FB">
        <w:t>11</w:t>
      </w:r>
      <w:r w:rsidR="00A865E4">
        <w:fldChar w:fldCharType="end"/>
      </w:r>
    </w:p>
    <w:p w:rsidR="00625D75" w:rsidRDefault="00625D75">
      <w:pPr>
        <w:pStyle w:val="TOC2"/>
        <w:rPr>
          <w:rFonts w:asciiTheme="minorHAnsi" w:eastAsiaTheme="minorEastAsia" w:hAnsiTheme="minorHAnsi" w:cstheme="minorBidi"/>
          <w:color w:val="auto"/>
          <w:sz w:val="22"/>
          <w:szCs w:val="22"/>
          <w:lang w:eastAsia="en-AU"/>
        </w:rPr>
      </w:pPr>
      <w:r>
        <w:t xml:space="preserve">Disadvantage and school completion: proposed contribution to </w:t>
      </w:r>
      <w:r w:rsidR="00FA544D">
        <w:t>the</w:t>
      </w:r>
      <w:r>
        <w:br/>
        <w:t>existing literature</w:t>
      </w:r>
      <w:r>
        <w:tab/>
      </w:r>
      <w:r w:rsidR="00A865E4">
        <w:fldChar w:fldCharType="begin"/>
      </w:r>
      <w:r>
        <w:instrText xml:space="preserve"> PAGEREF _Toc324765870 \h </w:instrText>
      </w:r>
      <w:r w:rsidR="00A865E4">
        <w:fldChar w:fldCharType="separate"/>
      </w:r>
      <w:r w:rsidR="00BC53FB">
        <w:t>15</w:t>
      </w:r>
      <w:r w:rsidR="00A865E4">
        <w:fldChar w:fldCharType="end"/>
      </w:r>
    </w:p>
    <w:p w:rsidR="00625D75" w:rsidRDefault="00625D75">
      <w:pPr>
        <w:pStyle w:val="TOC1"/>
        <w:rPr>
          <w:rFonts w:asciiTheme="minorHAnsi" w:eastAsiaTheme="minorEastAsia" w:hAnsiTheme="minorHAnsi" w:cstheme="minorBidi"/>
          <w:color w:val="auto"/>
          <w:sz w:val="22"/>
          <w:szCs w:val="22"/>
          <w:lang w:eastAsia="en-AU"/>
        </w:rPr>
      </w:pPr>
      <w:r>
        <w:t>Data</w:t>
      </w:r>
      <w:r>
        <w:tab/>
      </w:r>
      <w:r w:rsidR="00A865E4">
        <w:fldChar w:fldCharType="begin"/>
      </w:r>
      <w:r>
        <w:instrText xml:space="preserve"> PAGEREF _Toc324765871 \h </w:instrText>
      </w:r>
      <w:r w:rsidR="00A865E4">
        <w:fldChar w:fldCharType="separate"/>
      </w:r>
      <w:r w:rsidR="00BC53FB">
        <w:t>18</w:t>
      </w:r>
      <w:r w:rsidR="00A865E4">
        <w:fldChar w:fldCharType="end"/>
      </w:r>
    </w:p>
    <w:p w:rsidR="00625D75" w:rsidRDefault="00625D75">
      <w:pPr>
        <w:pStyle w:val="TOC2"/>
        <w:rPr>
          <w:rFonts w:asciiTheme="minorHAnsi" w:eastAsiaTheme="minorEastAsia" w:hAnsiTheme="minorHAnsi" w:cstheme="minorBidi"/>
          <w:color w:val="auto"/>
          <w:sz w:val="22"/>
          <w:szCs w:val="22"/>
          <w:lang w:eastAsia="en-AU"/>
        </w:rPr>
      </w:pPr>
      <w:r>
        <w:t>Sources</w:t>
      </w:r>
      <w:r>
        <w:tab/>
      </w:r>
      <w:r w:rsidR="00A865E4">
        <w:fldChar w:fldCharType="begin"/>
      </w:r>
      <w:r>
        <w:instrText xml:space="preserve"> PAGEREF _Toc324765872 \h </w:instrText>
      </w:r>
      <w:r w:rsidR="00A865E4">
        <w:fldChar w:fldCharType="separate"/>
      </w:r>
      <w:r w:rsidR="00BC53FB">
        <w:t>18</w:t>
      </w:r>
      <w:r w:rsidR="00A865E4">
        <w:fldChar w:fldCharType="end"/>
      </w:r>
    </w:p>
    <w:p w:rsidR="00625D75" w:rsidRDefault="00625D75">
      <w:pPr>
        <w:pStyle w:val="TOC2"/>
        <w:rPr>
          <w:rFonts w:asciiTheme="minorHAnsi" w:eastAsiaTheme="minorEastAsia" w:hAnsiTheme="minorHAnsi" w:cstheme="minorBidi"/>
          <w:color w:val="auto"/>
          <w:sz w:val="22"/>
          <w:szCs w:val="22"/>
          <w:lang w:eastAsia="en-AU"/>
        </w:rPr>
      </w:pPr>
      <w:r>
        <w:t>Descriptive patterns</w:t>
      </w:r>
      <w:r>
        <w:tab/>
      </w:r>
      <w:r w:rsidR="00A865E4">
        <w:fldChar w:fldCharType="begin"/>
      </w:r>
      <w:r>
        <w:instrText xml:space="preserve"> PAGEREF _Toc324765873 \h </w:instrText>
      </w:r>
      <w:r w:rsidR="00A865E4">
        <w:fldChar w:fldCharType="separate"/>
      </w:r>
      <w:r w:rsidR="00BC53FB">
        <w:t>20</w:t>
      </w:r>
      <w:r w:rsidR="00A865E4">
        <w:fldChar w:fldCharType="end"/>
      </w:r>
    </w:p>
    <w:p w:rsidR="00625D75" w:rsidRDefault="00625D75">
      <w:pPr>
        <w:pStyle w:val="TOC2"/>
        <w:rPr>
          <w:rFonts w:asciiTheme="minorHAnsi" w:eastAsiaTheme="minorEastAsia" w:hAnsiTheme="minorHAnsi" w:cstheme="minorBidi"/>
          <w:color w:val="auto"/>
          <w:sz w:val="22"/>
          <w:szCs w:val="22"/>
          <w:lang w:eastAsia="en-AU"/>
        </w:rPr>
      </w:pPr>
      <w:r>
        <w:t>Year 12 completion</w:t>
      </w:r>
      <w:r>
        <w:tab/>
      </w:r>
      <w:r w:rsidR="00A865E4">
        <w:fldChar w:fldCharType="begin"/>
      </w:r>
      <w:r>
        <w:instrText xml:space="preserve"> PAGEREF _Toc324765874 \h </w:instrText>
      </w:r>
      <w:r w:rsidR="00A865E4">
        <w:fldChar w:fldCharType="separate"/>
      </w:r>
      <w:r w:rsidR="00BC53FB">
        <w:t>21</w:t>
      </w:r>
      <w:r w:rsidR="00A865E4">
        <w:fldChar w:fldCharType="end"/>
      </w:r>
    </w:p>
    <w:p w:rsidR="00625D75" w:rsidRDefault="00625D75">
      <w:pPr>
        <w:pStyle w:val="TOC2"/>
        <w:rPr>
          <w:rFonts w:asciiTheme="minorHAnsi" w:eastAsiaTheme="minorEastAsia" w:hAnsiTheme="minorHAnsi" w:cstheme="minorBidi"/>
          <w:color w:val="auto"/>
          <w:sz w:val="22"/>
          <w:szCs w:val="22"/>
          <w:lang w:eastAsia="en-AU"/>
        </w:rPr>
      </w:pPr>
      <w:r>
        <w:t>Activities of young people</w:t>
      </w:r>
      <w:r>
        <w:tab/>
      </w:r>
      <w:r w:rsidR="00A865E4">
        <w:fldChar w:fldCharType="begin"/>
      </w:r>
      <w:r>
        <w:instrText xml:space="preserve"> PAGEREF _Toc324765875 \h </w:instrText>
      </w:r>
      <w:r w:rsidR="00A865E4">
        <w:fldChar w:fldCharType="separate"/>
      </w:r>
      <w:r w:rsidR="00BC53FB">
        <w:t>22</w:t>
      </w:r>
      <w:r w:rsidR="00A865E4">
        <w:fldChar w:fldCharType="end"/>
      </w:r>
    </w:p>
    <w:p w:rsidR="00625D75" w:rsidRDefault="00625D75">
      <w:pPr>
        <w:pStyle w:val="TOC2"/>
        <w:rPr>
          <w:rFonts w:asciiTheme="minorHAnsi" w:eastAsiaTheme="minorEastAsia" w:hAnsiTheme="minorHAnsi" w:cstheme="minorBidi"/>
          <w:color w:val="auto"/>
          <w:sz w:val="22"/>
          <w:szCs w:val="22"/>
          <w:lang w:eastAsia="en-AU"/>
        </w:rPr>
      </w:pPr>
      <w:r>
        <w:t>Demographic characteristics</w:t>
      </w:r>
      <w:r>
        <w:tab/>
      </w:r>
      <w:r w:rsidR="00A865E4">
        <w:fldChar w:fldCharType="begin"/>
      </w:r>
      <w:r>
        <w:instrText xml:space="preserve"> PAGEREF _Toc324765876 \h </w:instrText>
      </w:r>
      <w:r w:rsidR="00A865E4">
        <w:fldChar w:fldCharType="separate"/>
      </w:r>
      <w:r w:rsidR="00BC53FB">
        <w:t>24</w:t>
      </w:r>
      <w:r w:rsidR="00A865E4">
        <w:fldChar w:fldCharType="end"/>
      </w:r>
    </w:p>
    <w:p w:rsidR="00625D75" w:rsidRDefault="00625D75">
      <w:pPr>
        <w:pStyle w:val="TOC1"/>
        <w:rPr>
          <w:rFonts w:asciiTheme="minorHAnsi" w:eastAsiaTheme="minorEastAsia" w:hAnsiTheme="minorHAnsi" w:cstheme="minorBidi"/>
          <w:color w:val="auto"/>
          <w:sz w:val="22"/>
          <w:szCs w:val="22"/>
          <w:lang w:eastAsia="en-AU"/>
        </w:rPr>
      </w:pPr>
      <w:r>
        <w:t>Multivariate analysis</w:t>
      </w:r>
      <w:r>
        <w:tab/>
      </w:r>
      <w:r w:rsidR="00A865E4">
        <w:fldChar w:fldCharType="begin"/>
      </w:r>
      <w:r>
        <w:instrText xml:space="preserve"> PAGEREF _Toc324765877 \h </w:instrText>
      </w:r>
      <w:r w:rsidR="00A865E4">
        <w:fldChar w:fldCharType="separate"/>
      </w:r>
      <w:r w:rsidR="00BC53FB">
        <w:t>29</w:t>
      </w:r>
      <w:r w:rsidR="00A865E4">
        <w:fldChar w:fldCharType="end"/>
      </w:r>
    </w:p>
    <w:p w:rsidR="00625D75" w:rsidRDefault="00625D75">
      <w:pPr>
        <w:pStyle w:val="TOC2"/>
        <w:rPr>
          <w:rFonts w:asciiTheme="minorHAnsi" w:eastAsiaTheme="minorEastAsia" w:hAnsiTheme="minorHAnsi" w:cstheme="minorBidi"/>
          <w:color w:val="auto"/>
          <w:sz w:val="22"/>
          <w:szCs w:val="22"/>
          <w:lang w:eastAsia="en-AU"/>
        </w:rPr>
      </w:pPr>
      <w:r>
        <w:t>The role of factors common to the two datasets</w:t>
      </w:r>
      <w:r>
        <w:tab/>
      </w:r>
      <w:r w:rsidR="00A865E4">
        <w:fldChar w:fldCharType="begin"/>
      </w:r>
      <w:r>
        <w:instrText xml:space="preserve"> PAGEREF _Toc324765878 \h </w:instrText>
      </w:r>
      <w:r w:rsidR="00A865E4">
        <w:fldChar w:fldCharType="separate"/>
      </w:r>
      <w:r w:rsidR="00BC53FB">
        <w:t>29</w:t>
      </w:r>
      <w:r w:rsidR="00A865E4">
        <w:fldChar w:fldCharType="end"/>
      </w:r>
    </w:p>
    <w:p w:rsidR="00625D75" w:rsidRDefault="00FA544D" w:rsidP="00FA544D">
      <w:pPr>
        <w:pStyle w:val="TOC2"/>
        <w:rPr>
          <w:rFonts w:asciiTheme="minorHAnsi" w:eastAsiaTheme="minorEastAsia" w:hAnsiTheme="minorHAnsi" w:cstheme="minorBidi"/>
          <w:color w:val="auto"/>
          <w:sz w:val="22"/>
          <w:szCs w:val="22"/>
          <w:lang w:eastAsia="en-AU"/>
        </w:rPr>
      </w:pPr>
      <w:r>
        <w:t>Contribution of additional</w:t>
      </w:r>
      <w:r w:rsidR="00625D75">
        <w:t xml:space="preserve"> factors</w:t>
      </w:r>
      <w:r>
        <w:t xml:space="preserve"> specific to the datasets</w:t>
      </w:r>
      <w:r w:rsidR="00625D75">
        <w:tab/>
      </w:r>
      <w:r w:rsidR="00A865E4">
        <w:fldChar w:fldCharType="begin"/>
      </w:r>
      <w:r w:rsidR="00625D75">
        <w:instrText xml:space="preserve"> PAGEREF _Toc324765879 \h </w:instrText>
      </w:r>
      <w:r w:rsidR="00A865E4">
        <w:fldChar w:fldCharType="separate"/>
      </w:r>
      <w:r w:rsidR="00BC53FB">
        <w:t>31</w:t>
      </w:r>
      <w:r w:rsidR="00A865E4">
        <w:fldChar w:fldCharType="end"/>
      </w:r>
    </w:p>
    <w:p w:rsidR="00625D75" w:rsidRDefault="00625D75">
      <w:pPr>
        <w:pStyle w:val="TOC1"/>
        <w:rPr>
          <w:rFonts w:asciiTheme="minorHAnsi" w:eastAsiaTheme="minorEastAsia" w:hAnsiTheme="minorHAnsi" w:cstheme="minorBidi"/>
          <w:color w:val="auto"/>
          <w:sz w:val="22"/>
          <w:szCs w:val="22"/>
          <w:lang w:eastAsia="en-AU"/>
        </w:rPr>
      </w:pPr>
      <w:r>
        <w:t>Summary and conclusions</w:t>
      </w:r>
      <w:r>
        <w:tab/>
      </w:r>
      <w:r w:rsidR="00A865E4">
        <w:fldChar w:fldCharType="begin"/>
      </w:r>
      <w:r>
        <w:instrText xml:space="preserve"> PAGEREF _Toc324765882 \h </w:instrText>
      </w:r>
      <w:r w:rsidR="00A865E4">
        <w:fldChar w:fldCharType="separate"/>
      </w:r>
      <w:r w:rsidR="00BC53FB">
        <w:t>40</w:t>
      </w:r>
      <w:r w:rsidR="00A865E4">
        <w:fldChar w:fldCharType="end"/>
      </w:r>
    </w:p>
    <w:p w:rsidR="00625D75" w:rsidRDefault="00625D75">
      <w:pPr>
        <w:pStyle w:val="TOC1"/>
        <w:rPr>
          <w:rFonts w:asciiTheme="minorHAnsi" w:eastAsiaTheme="minorEastAsia" w:hAnsiTheme="minorHAnsi" w:cstheme="minorBidi"/>
          <w:color w:val="auto"/>
          <w:sz w:val="22"/>
          <w:szCs w:val="22"/>
          <w:lang w:eastAsia="en-AU"/>
        </w:rPr>
      </w:pPr>
      <w:r>
        <w:t>References</w:t>
      </w:r>
      <w:r>
        <w:tab/>
      </w:r>
      <w:r w:rsidR="00A865E4">
        <w:fldChar w:fldCharType="begin"/>
      </w:r>
      <w:r>
        <w:instrText xml:space="preserve"> PAGEREF _Toc324765883 \h </w:instrText>
      </w:r>
      <w:r w:rsidR="00A865E4">
        <w:fldChar w:fldCharType="separate"/>
      </w:r>
      <w:r w:rsidR="00BC53FB">
        <w:t>40</w:t>
      </w:r>
      <w:r w:rsidR="00A865E4">
        <w:fldChar w:fldCharType="end"/>
      </w:r>
    </w:p>
    <w:p w:rsidR="00625D75" w:rsidRDefault="00625D75">
      <w:pPr>
        <w:pStyle w:val="TOC1"/>
        <w:rPr>
          <w:rFonts w:asciiTheme="minorHAnsi" w:eastAsiaTheme="minorEastAsia" w:hAnsiTheme="minorHAnsi" w:cstheme="minorBidi"/>
          <w:color w:val="auto"/>
          <w:sz w:val="22"/>
          <w:szCs w:val="22"/>
          <w:lang w:eastAsia="en-AU"/>
        </w:rPr>
      </w:pPr>
      <w:r>
        <w:t>Support document details</w:t>
      </w:r>
      <w:r>
        <w:tab/>
      </w:r>
      <w:r w:rsidR="00A865E4">
        <w:fldChar w:fldCharType="begin"/>
      </w:r>
      <w:r>
        <w:instrText xml:space="preserve"> PAGEREF _Toc324765884 \h </w:instrText>
      </w:r>
      <w:r w:rsidR="00A865E4">
        <w:fldChar w:fldCharType="separate"/>
      </w:r>
      <w:r w:rsidR="00BC53FB">
        <w:t>45</w:t>
      </w:r>
      <w:r w:rsidR="00A865E4">
        <w:fldChar w:fldCharType="end"/>
      </w:r>
    </w:p>
    <w:p w:rsidR="004E7227" w:rsidRDefault="00A865E4" w:rsidP="0048643A">
      <w:pPr>
        <w:pStyle w:val="Text"/>
      </w:pPr>
      <w:r w:rsidRPr="009775C7">
        <w:fldChar w:fldCharType="end"/>
      </w:r>
    </w:p>
    <w:p w:rsidR="004E7227" w:rsidRDefault="004E7227" w:rsidP="0048643A">
      <w:pPr>
        <w:pStyle w:val="Text"/>
        <w:rPr>
          <w:rFonts w:ascii="Tahoma" w:hAnsi="Tahoma" w:cs="Tahoma"/>
          <w:color w:val="000000"/>
          <w:kern w:val="28"/>
          <w:sz w:val="56"/>
          <w:szCs w:val="56"/>
        </w:rPr>
      </w:pPr>
      <w:r>
        <w:br w:type="page"/>
      </w:r>
    </w:p>
    <w:p w:rsidR="004E7227" w:rsidRDefault="004E7227" w:rsidP="004E7227">
      <w:pPr>
        <w:pStyle w:val="Heading1"/>
      </w:pPr>
      <w:bookmarkStart w:id="26" w:name="_Toc324765864"/>
      <w:r>
        <w:lastRenderedPageBreak/>
        <w:t>Tables</w:t>
      </w:r>
      <w:bookmarkEnd w:id="26"/>
    </w:p>
    <w:p w:rsidR="00625D75" w:rsidRDefault="00A865E4">
      <w:pPr>
        <w:pStyle w:val="TableofFigures"/>
        <w:tabs>
          <w:tab w:val="left" w:pos="880"/>
        </w:tabs>
        <w:rPr>
          <w:rFonts w:asciiTheme="minorHAnsi" w:eastAsiaTheme="minorEastAsia" w:hAnsiTheme="minorHAnsi" w:cstheme="minorBidi"/>
          <w:color w:val="auto"/>
          <w:sz w:val="22"/>
          <w:szCs w:val="22"/>
          <w:lang w:eastAsia="en-AU"/>
        </w:rPr>
      </w:pPr>
      <w:r w:rsidRPr="00A865E4">
        <w:fldChar w:fldCharType="begin"/>
      </w:r>
      <w:r w:rsidR="004E7227">
        <w:instrText xml:space="preserve"> TOC \f F \t "tabletitle" \c </w:instrText>
      </w:r>
      <w:r w:rsidRPr="00A865E4">
        <w:fldChar w:fldCharType="separate"/>
      </w:r>
      <w:r w:rsidR="00625D75">
        <w:t>1</w:t>
      </w:r>
      <w:r w:rsidR="00625D75">
        <w:rPr>
          <w:rFonts w:asciiTheme="minorHAnsi" w:eastAsiaTheme="minorEastAsia" w:hAnsiTheme="minorHAnsi" w:cstheme="minorBidi"/>
          <w:color w:val="auto"/>
          <w:sz w:val="22"/>
          <w:szCs w:val="22"/>
          <w:lang w:eastAsia="en-AU"/>
        </w:rPr>
        <w:tab/>
      </w:r>
      <w:r w:rsidR="00625D75">
        <w:t>Themes and indicators in social exclusion studies of children/youth</w:t>
      </w:r>
      <w:r w:rsidR="00625D75">
        <w:tab/>
      </w:r>
      <w:r>
        <w:fldChar w:fldCharType="begin"/>
      </w:r>
      <w:r w:rsidR="00625D75">
        <w:instrText xml:space="preserve"> PAGEREF _Toc324765896 \h </w:instrText>
      </w:r>
      <w:r>
        <w:fldChar w:fldCharType="separate"/>
      </w:r>
      <w:r w:rsidR="00BC53FB">
        <w:t>13</w:t>
      </w:r>
      <w:r>
        <w:fldChar w:fldCharType="end"/>
      </w:r>
    </w:p>
    <w:p w:rsidR="00625D75" w:rsidRDefault="00625D75">
      <w:pPr>
        <w:pStyle w:val="TableofFigures"/>
        <w:tabs>
          <w:tab w:val="left" w:pos="880"/>
        </w:tabs>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Sample sizes: Youth in Focus and LSAY Y03</w:t>
      </w:r>
      <w:r>
        <w:tab/>
      </w:r>
      <w:r w:rsidR="00A865E4">
        <w:fldChar w:fldCharType="begin"/>
      </w:r>
      <w:r>
        <w:instrText xml:space="preserve"> PAGEREF _Toc324765897 \h </w:instrText>
      </w:r>
      <w:r w:rsidR="00A865E4">
        <w:fldChar w:fldCharType="separate"/>
      </w:r>
      <w:r w:rsidR="00BC53FB">
        <w:t>20</w:t>
      </w:r>
      <w:r w:rsidR="00A865E4">
        <w:fldChar w:fldCharType="end"/>
      </w:r>
    </w:p>
    <w:p w:rsidR="00625D75" w:rsidRDefault="00625D75">
      <w:pPr>
        <w:pStyle w:val="TableofFigures"/>
        <w:tabs>
          <w:tab w:val="left" w:pos="880"/>
        </w:tabs>
        <w:rPr>
          <w:rFonts w:asciiTheme="minorHAnsi" w:eastAsiaTheme="minorEastAsia" w:hAnsiTheme="minorHAnsi" w:cstheme="minorBidi"/>
          <w:color w:val="auto"/>
          <w:sz w:val="22"/>
          <w:szCs w:val="22"/>
          <w:lang w:eastAsia="en-AU"/>
        </w:rPr>
      </w:pPr>
      <w:r>
        <w:t>3</w:t>
      </w:r>
      <w:r>
        <w:rPr>
          <w:rFonts w:asciiTheme="minorHAnsi" w:eastAsiaTheme="minorEastAsia" w:hAnsiTheme="minorHAnsi" w:cstheme="minorBidi"/>
          <w:color w:val="auto"/>
          <w:sz w:val="22"/>
          <w:szCs w:val="22"/>
          <w:lang w:eastAsia="en-AU"/>
        </w:rPr>
        <w:tab/>
      </w:r>
      <w:r>
        <w:t xml:space="preserve">Information contained in LSAY and </w:t>
      </w:r>
      <w:r w:rsidR="00FA544D">
        <w:t>Youth in Focus</w:t>
      </w:r>
      <w:r>
        <w:t xml:space="preserve"> data</w:t>
      </w:r>
      <w:r>
        <w:tab/>
      </w:r>
      <w:r w:rsidR="00A865E4">
        <w:fldChar w:fldCharType="begin"/>
      </w:r>
      <w:r>
        <w:instrText xml:space="preserve"> PAGEREF _Toc324765898 \h </w:instrText>
      </w:r>
      <w:r w:rsidR="00A865E4">
        <w:fldChar w:fldCharType="separate"/>
      </w:r>
      <w:r w:rsidR="00BC53FB">
        <w:t>20</w:t>
      </w:r>
      <w:r w:rsidR="00A865E4">
        <w:fldChar w:fldCharType="end"/>
      </w:r>
    </w:p>
    <w:p w:rsidR="00625D75" w:rsidRDefault="00625D75">
      <w:pPr>
        <w:pStyle w:val="TableofFigures"/>
        <w:tabs>
          <w:tab w:val="left" w:pos="880"/>
        </w:tabs>
        <w:rPr>
          <w:rFonts w:asciiTheme="minorHAnsi" w:eastAsiaTheme="minorEastAsia" w:hAnsiTheme="minorHAnsi" w:cstheme="minorBidi"/>
          <w:color w:val="auto"/>
          <w:sz w:val="22"/>
          <w:szCs w:val="22"/>
          <w:lang w:eastAsia="en-AU"/>
        </w:rPr>
      </w:pPr>
      <w:r>
        <w:t>4</w:t>
      </w:r>
      <w:r>
        <w:rPr>
          <w:rFonts w:asciiTheme="minorHAnsi" w:eastAsiaTheme="minorEastAsia" w:hAnsiTheme="minorHAnsi" w:cstheme="minorBidi"/>
          <w:color w:val="auto"/>
          <w:sz w:val="22"/>
          <w:szCs w:val="22"/>
          <w:lang w:eastAsia="en-AU"/>
        </w:rPr>
        <w:tab/>
      </w:r>
      <w:r>
        <w:t>Year 12 completion by 2006: LSAY Y03</w:t>
      </w:r>
      <w:r w:rsidR="00FA544D">
        <w:t xml:space="preserve">, </w:t>
      </w:r>
      <w:r>
        <w:t xml:space="preserve">Youth in Focus, and 18-year-olds in 2006 </w:t>
      </w:r>
      <w:r w:rsidR="00296EF2">
        <w:t>Census</w:t>
      </w:r>
      <w:r>
        <w:tab/>
      </w:r>
      <w:r w:rsidR="00A865E4">
        <w:fldChar w:fldCharType="begin"/>
      </w:r>
      <w:r>
        <w:instrText xml:space="preserve"> PAGEREF _Toc324765899 \h </w:instrText>
      </w:r>
      <w:r w:rsidR="00A865E4">
        <w:fldChar w:fldCharType="separate"/>
      </w:r>
      <w:r w:rsidR="00BC53FB">
        <w:t>22</w:t>
      </w:r>
      <w:r w:rsidR="00A865E4">
        <w:fldChar w:fldCharType="end"/>
      </w:r>
    </w:p>
    <w:p w:rsidR="00625D75" w:rsidRDefault="00625D75">
      <w:pPr>
        <w:pStyle w:val="TableofFigures"/>
        <w:tabs>
          <w:tab w:val="left" w:pos="880"/>
        </w:tabs>
        <w:rPr>
          <w:rFonts w:asciiTheme="minorHAnsi" w:eastAsiaTheme="minorEastAsia" w:hAnsiTheme="minorHAnsi" w:cstheme="minorBidi"/>
          <w:color w:val="auto"/>
          <w:sz w:val="22"/>
          <w:szCs w:val="22"/>
          <w:lang w:eastAsia="en-AU"/>
        </w:rPr>
      </w:pPr>
      <w:r>
        <w:t>5</w:t>
      </w:r>
      <w:r>
        <w:rPr>
          <w:rFonts w:asciiTheme="minorHAnsi" w:eastAsiaTheme="minorEastAsia" w:hAnsiTheme="minorHAnsi" w:cstheme="minorBidi"/>
          <w:color w:val="auto"/>
          <w:sz w:val="22"/>
          <w:szCs w:val="22"/>
          <w:lang w:eastAsia="en-AU"/>
        </w:rPr>
        <w:tab/>
      </w:r>
      <w:r>
        <w:t xml:space="preserve">Activities engaged in by cohort members: Youth in Focus, LSAY Y03 </w:t>
      </w:r>
      <w:r>
        <w:br/>
        <w:t xml:space="preserve">and 18-year-olds in 2006 </w:t>
      </w:r>
      <w:r w:rsidR="00296EF2">
        <w:t>Census</w:t>
      </w:r>
      <w:r>
        <w:tab/>
      </w:r>
      <w:r w:rsidR="00A865E4">
        <w:fldChar w:fldCharType="begin"/>
      </w:r>
      <w:r>
        <w:instrText xml:space="preserve"> PAGEREF _Toc324765900 \h </w:instrText>
      </w:r>
      <w:r w:rsidR="00A865E4">
        <w:fldChar w:fldCharType="separate"/>
      </w:r>
      <w:r w:rsidR="00BC53FB">
        <w:t>23</w:t>
      </w:r>
      <w:r w:rsidR="00A865E4">
        <w:fldChar w:fldCharType="end"/>
      </w:r>
    </w:p>
    <w:p w:rsidR="00625D75" w:rsidRDefault="00625D75">
      <w:pPr>
        <w:pStyle w:val="TableofFigures"/>
        <w:tabs>
          <w:tab w:val="left" w:pos="880"/>
        </w:tabs>
        <w:rPr>
          <w:rFonts w:asciiTheme="minorHAnsi" w:eastAsiaTheme="minorEastAsia" w:hAnsiTheme="minorHAnsi" w:cstheme="minorBidi"/>
          <w:color w:val="auto"/>
          <w:sz w:val="22"/>
          <w:szCs w:val="22"/>
          <w:lang w:eastAsia="en-AU"/>
        </w:rPr>
      </w:pPr>
      <w:r>
        <w:t>6</w:t>
      </w:r>
      <w:r>
        <w:rPr>
          <w:rFonts w:asciiTheme="minorHAnsi" w:eastAsiaTheme="minorEastAsia" w:hAnsiTheme="minorHAnsi" w:cstheme="minorBidi"/>
          <w:color w:val="auto"/>
          <w:sz w:val="22"/>
          <w:szCs w:val="22"/>
          <w:lang w:eastAsia="en-AU"/>
        </w:rPr>
        <w:tab/>
      </w:r>
      <w:r>
        <w:t xml:space="preserve">Distribution of sample across key demographic variables in 2006: </w:t>
      </w:r>
      <w:r>
        <w:br/>
        <w:t xml:space="preserve">Youth in Focus, LSAY Y03 and 18-year-olds in 2006 </w:t>
      </w:r>
      <w:r w:rsidR="00296EF2">
        <w:t>Census</w:t>
      </w:r>
      <w:r>
        <w:tab/>
      </w:r>
      <w:r w:rsidR="00A865E4">
        <w:fldChar w:fldCharType="begin"/>
      </w:r>
      <w:r>
        <w:instrText xml:space="preserve"> PAGEREF _Toc324765901 \h </w:instrText>
      </w:r>
      <w:r w:rsidR="00A865E4">
        <w:fldChar w:fldCharType="separate"/>
      </w:r>
      <w:r w:rsidR="00BC53FB">
        <w:t>25</w:t>
      </w:r>
      <w:r w:rsidR="00A865E4">
        <w:fldChar w:fldCharType="end"/>
      </w:r>
    </w:p>
    <w:p w:rsidR="00625D75" w:rsidRDefault="00625D75">
      <w:pPr>
        <w:pStyle w:val="TableofFigures"/>
        <w:tabs>
          <w:tab w:val="left" w:pos="880"/>
        </w:tabs>
        <w:rPr>
          <w:rFonts w:asciiTheme="minorHAnsi" w:eastAsiaTheme="minorEastAsia" w:hAnsiTheme="minorHAnsi" w:cstheme="minorBidi"/>
          <w:color w:val="auto"/>
          <w:sz w:val="22"/>
          <w:szCs w:val="22"/>
          <w:lang w:eastAsia="en-AU"/>
        </w:rPr>
      </w:pPr>
      <w:r>
        <w:t>7</w:t>
      </w:r>
      <w:r>
        <w:rPr>
          <w:rFonts w:asciiTheme="minorHAnsi" w:eastAsiaTheme="minorEastAsia" w:hAnsiTheme="minorHAnsi" w:cstheme="minorBidi"/>
          <w:color w:val="auto"/>
          <w:sz w:val="22"/>
          <w:szCs w:val="22"/>
          <w:lang w:eastAsia="en-AU"/>
        </w:rPr>
        <w:tab/>
      </w:r>
      <w:r>
        <w:t xml:space="preserve">Other comparisons of situations of cohort members: Youth in Focus, </w:t>
      </w:r>
      <w:r>
        <w:br/>
        <w:t xml:space="preserve">LSAY Y03 and 18-year-olds in 2006 </w:t>
      </w:r>
      <w:r w:rsidR="00296EF2">
        <w:t>Census</w:t>
      </w:r>
      <w:r>
        <w:tab/>
      </w:r>
      <w:r w:rsidR="00A865E4">
        <w:fldChar w:fldCharType="begin"/>
      </w:r>
      <w:r>
        <w:instrText xml:space="preserve"> PAGEREF _Toc324765902 \h </w:instrText>
      </w:r>
      <w:r w:rsidR="00A865E4">
        <w:fldChar w:fldCharType="separate"/>
      </w:r>
      <w:r w:rsidR="00BC53FB">
        <w:t>26</w:t>
      </w:r>
      <w:r w:rsidR="00A865E4">
        <w:fldChar w:fldCharType="end"/>
      </w:r>
    </w:p>
    <w:p w:rsidR="00625D75" w:rsidRDefault="00625D75">
      <w:pPr>
        <w:pStyle w:val="TableofFigures"/>
        <w:tabs>
          <w:tab w:val="left" w:pos="880"/>
        </w:tabs>
        <w:rPr>
          <w:rFonts w:asciiTheme="minorHAnsi" w:eastAsiaTheme="minorEastAsia" w:hAnsiTheme="minorHAnsi" w:cstheme="minorBidi"/>
          <w:color w:val="auto"/>
          <w:sz w:val="22"/>
          <w:szCs w:val="22"/>
          <w:lang w:eastAsia="en-AU"/>
        </w:rPr>
      </w:pPr>
      <w:r>
        <w:t>8</w:t>
      </w:r>
      <w:r>
        <w:rPr>
          <w:rFonts w:asciiTheme="minorHAnsi" w:eastAsiaTheme="minorEastAsia" w:hAnsiTheme="minorHAnsi" w:cstheme="minorBidi"/>
          <w:color w:val="auto"/>
          <w:sz w:val="22"/>
          <w:szCs w:val="22"/>
          <w:lang w:eastAsia="en-AU"/>
        </w:rPr>
        <w:tab/>
      </w:r>
      <w:r>
        <w:t xml:space="preserve">Year 12 completion by key demographic variables in 2006: Youth in </w:t>
      </w:r>
      <w:r>
        <w:br/>
        <w:t xml:space="preserve">Focus, LSAY Y03 and 18-year-olds in 2006 </w:t>
      </w:r>
      <w:r w:rsidR="00296EF2">
        <w:t>Census</w:t>
      </w:r>
      <w:r>
        <w:tab/>
      </w:r>
      <w:r w:rsidR="00A865E4">
        <w:fldChar w:fldCharType="begin"/>
      </w:r>
      <w:r>
        <w:instrText xml:space="preserve"> PAGEREF _Toc324765903 \h </w:instrText>
      </w:r>
      <w:r w:rsidR="00A865E4">
        <w:fldChar w:fldCharType="separate"/>
      </w:r>
      <w:r w:rsidR="00BC53FB">
        <w:t>28</w:t>
      </w:r>
      <w:r w:rsidR="00A865E4">
        <w:fldChar w:fldCharType="end"/>
      </w:r>
    </w:p>
    <w:p w:rsidR="00625D75" w:rsidRDefault="00625D75">
      <w:pPr>
        <w:pStyle w:val="TableofFigures"/>
        <w:tabs>
          <w:tab w:val="left" w:pos="880"/>
        </w:tabs>
        <w:rPr>
          <w:rFonts w:asciiTheme="minorHAnsi" w:eastAsiaTheme="minorEastAsia" w:hAnsiTheme="minorHAnsi" w:cstheme="minorBidi"/>
          <w:color w:val="auto"/>
          <w:sz w:val="22"/>
          <w:szCs w:val="22"/>
          <w:lang w:eastAsia="en-AU"/>
        </w:rPr>
      </w:pPr>
      <w:r>
        <w:t>9</w:t>
      </w:r>
      <w:r>
        <w:rPr>
          <w:rFonts w:asciiTheme="minorHAnsi" w:eastAsiaTheme="minorEastAsia" w:hAnsiTheme="minorHAnsi" w:cstheme="minorBidi"/>
          <w:color w:val="auto"/>
          <w:sz w:val="22"/>
          <w:szCs w:val="22"/>
          <w:lang w:eastAsia="en-AU"/>
        </w:rPr>
        <w:tab/>
      </w:r>
      <w:r>
        <w:t xml:space="preserve">Regression results, </w:t>
      </w:r>
      <w:r w:rsidR="00FA544D">
        <w:t>Youth in Focus</w:t>
      </w:r>
      <w:r>
        <w:t>, Year 12 completion</w:t>
      </w:r>
      <w:r>
        <w:tab/>
      </w:r>
      <w:r w:rsidR="00A865E4">
        <w:fldChar w:fldCharType="begin"/>
      </w:r>
      <w:r>
        <w:instrText xml:space="preserve"> PAGEREF _Toc324765904 \h </w:instrText>
      </w:r>
      <w:r w:rsidR="00A865E4">
        <w:fldChar w:fldCharType="separate"/>
      </w:r>
      <w:r w:rsidR="00BC53FB">
        <w:t>34</w:t>
      </w:r>
      <w:r w:rsidR="00A865E4">
        <w:fldChar w:fldCharType="end"/>
      </w:r>
    </w:p>
    <w:p w:rsidR="00625D75" w:rsidRDefault="00625D75">
      <w:pPr>
        <w:pStyle w:val="TableofFigures"/>
        <w:tabs>
          <w:tab w:val="left" w:pos="1100"/>
        </w:tabs>
        <w:rPr>
          <w:rFonts w:asciiTheme="minorHAnsi" w:eastAsiaTheme="minorEastAsia" w:hAnsiTheme="minorHAnsi" w:cstheme="minorBidi"/>
          <w:color w:val="auto"/>
          <w:sz w:val="22"/>
          <w:szCs w:val="22"/>
          <w:lang w:eastAsia="en-AU"/>
        </w:rPr>
      </w:pPr>
      <w:r>
        <w:t>10</w:t>
      </w:r>
      <w:r>
        <w:rPr>
          <w:rFonts w:asciiTheme="minorHAnsi" w:eastAsiaTheme="minorEastAsia" w:hAnsiTheme="minorHAnsi" w:cstheme="minorBidi"/>
          <w:color w:val="auto"/>
          <w:sz w:val="22"/>
          <w:szCs w:val="22"/>
          <w:lang w:eastAsia="en-AU"/>
        </w:rPr>
        <w:tab/>
      </w:r>
      <w:r>
        <w:t>Regression results Year 12 completion, LSAY Y03 2006 cohort born between October 1987 and March 1988</w:t>
      </w:r>
      <w:r>
        <w:tab/>
      </w:r>
      <w:r w:rsidR="00A865E4">
        <w:fldChar w:fldCharType="begin"/>
      </w:r>
      <w:r>
        <w:instrText xml:space="preserve"> PAGEREF _Toc324765905 \h </w:instrText>
      </w:r>
      <w:r w:rsidR="00A865E4">
        <w:fldChar w:fldCharType="separate"/>
      </w:r>
      <w:r w:rsidR="00BC53FB">
        <w:t>36</w:t>
      </w:r>
      <w:r w:rsidR="00A865E4">
        <w:fldChar w:fldCharType="end"/>
      </w:r>
    </w:p>
    <w:p w:rsidR="00625D75" w:rsidRDefault="00625D75">
      <w:pPr>
        <w:pStyle w:val="TableofFigures"/>
        <w:tabs>
          <w:tab w:val="left" w:pos="1100"/>
        </w:tabs>
        <w:rPr>
          <w:rFonts w:asciiTheme="minorHAnsi" w:eastAsiaTheme="minorEastAsia" w:hAnsiTheme="minorHAnsi" w:cstheme="minorBidi"/>
          <w:color w:val="auto"/>
          <w:sz w:val="22"/>
          <w:szCs w:val="22"/>
          <w:lang w:eastAsia="en-AU"/>
        </w:rPr>
      </w:pPr>
      <w:r>
        <w:t>11</w:t>
      </w:r>
      <w:r>
        <w:rPr>
          <w:rFonts w:asciiTheme="minorHAnsi" w:eastAsiaTheme="minorEastAsia" w:hAnsiTheme="minorHAnsi" w:cstheme="minorBidi"/>
          <w:color w:val="auto"/>
          <w:sz w:val="22"/>
          <w:szCs w:val="22"/>
          <w:lang w:eastAsia="en-AU"/>
        </w:rPr>
        <w:tab/>
      </w:r>
      <w:r>
        <w:t>Regression results Year 12 completion, full LSAY Y03 2006 cohort</w:t>
      </w:r>
      <w:r>
        <w:tab/>
      </w:r>
      <w:r w:rsidR="00A865E4">
        <w:fldChar w:fldCharType="begin"/>
      </w:r>
      <w:r>
        <w:instrText xml:space="preserve"> PAGEREF _Toc324765906 \h </w:instrText>
      </w:r>
      <w:r w:rsidR="00A865E4">
        <w:fldChar w:fldCharType="separate"/>
      </w:r>
      <w:r w:rsidR="00BC53FB">
        <w:t>38</w:t>
      </w:r>
      <w:r w:rsidR="00A865E4">
        <w:fldChar w:fldCharType="end"/>
      </w:r>
    </w:p>
    <w:p w:rsidR="000108B2" w:rsidRPr="00A93867" w:rsidRDefault="00A865E4" w:rsidP="007C3DEC">
      <w:pPr>
        <w:pStyle w:val="Heading2"/>
        <w:rPr>
          <w:b/>
        </w:rPr>
      </w:pPr>
      <w:r>
        <w:fldChar w:fldCharType="end"/>
      </w:r>
    </w:p>
    <w:p w:rsidR="00A93867" w:rsidRPr="00A93867" w:rsidRDefault="00A93867">
      <w:pPr>
        <w:spacing w:before="0" w:line="240" w:lineRule="auto"/>
        <w:rPr>
          <w:rFonts w:ascii="Tahoma" w:hAnsi="Tahoma" w:cs="Tahoma"/>
          <w:b/>
          <w:color w:val="000000"/>
          <w:kern w:val="28"/>
          <w:sz w:val="56"/>
          <w:szCs w:val="56"/>
        </w:rPr>
      </w:pPr>
      <w:r w:rsidRPr="00A93867">
        <w:rPr>
          <w:b/>
        </w:rPr>
        <w:br w:type="page"/>
      </w:r>
    </w:p>
    <w:p w:rsidR="009E231A" w:rsidRDefault="00FE4A2D" w:rsidP="008C0A74">
      <w:pPr>
        <w:pStyle w:val="Heading1"/>
      </w:pPr>
      <w:bookmarkStart w:id="27" w:name="_Toc324765866"/>
      <w:r w:rsidRPr="00B86D06">
        <w:lastRenderedPageBreak/>
        <w:t>Executive summary</w:t>
      </w:r>
      <w:bookmarkEnd w:id="27"/>
    </w:p>
    <w:p w:rsidR="001F5702" w:rsidRPr="007C3DEC" w:rsidRDefault="001F5702" w:rsidP="007C3DEC">
      <w:pPr>
        <w:pStyle w:val="Text"/>
      </w:pPr>
      <w:r>
        <w:t>This paper set out to study how disadvantage affects education outcomes, in this instance, Year 12 completion, a familiar yet important gauge of adolescent academic success in Australia. Using a number of indicators</w:t>
      </w:r>
      <w:r w:rsidRPr="00122C22">
        <w:t xml:space="preserve"> of </w:t>
      </w:r>
      <w:r>
        <w:t xml:space="preserve">the </w:t>
      </w:r>
      <w:r w:rsidRPr="00122C22">
        <w:t xml:space="preserve">social and family circumstances </w:t>
      </w:r>
      <w:r>
        <w:t xml:space="preserve">of young people that </w:t>
      </w:r>
      <w:r w:rsidRPr="00122C22">
        <w:t xml:space="preserve">reflect </w:t>
      </w:r>
      <w:r>
        <w:t>differing dimensions of disadvantage,</w:t>
      </w:r>
      <w:r w:rsidRPr="00217872">
        <w:t xml:space="preserve"> </w:t>
      </w:r>
      <w:r>
        <w:t>the study undertakes a comparative analysis of two datasets with alternative measures of disadvantage</w:t>
      </w:r>
      <w:r w:rsidR="00723990">
        <w:t xml:space="preserve"> — </w:t>
      </w:r>
      <w:r>
        <w:t xml:space="preserve">the </w:t>
      </w:r>
      <w:r w:rsidRPr="00122C22">
        <w:t>Longitudinal Surveys of Australian Youth (</w:t>
      </w:r>
      <w:r>
        <w:t>LSAY</w:t>
      </w:r>
      <w:r w:rsidRPr="00122C22">
        <w:t>)</w:t>
      </w:r>
      <w:r>
        <w:t xml:space="preserve"> and </w:t>
      </w:r>
      <w:r w:rsidRPr="00122C22">
        <w:t>the Youth in Focus (</w:t>
      </w:r>
      <w:r>
        <w:t>YIF</w:t>
      </w:r>
      <w:r w:rsidRPr="00122C22">
        <w:t>)</w:t>
      </w:r>
      <w:r>
        <w:t xml:space="preserve"> survey. The latter, which has rarely been employed to examine this issue, </w:t>
      </w:r>
      <w:r w:rsidRPr="00122C22">
        <w:t xml:space="preserve">provides an additional set of disadvantage measures </w:t>
      </w:r>
      <w:r>
        <w:t>that may be relevant to</w:t>
      </w:r>
      <w:r w:rsidRPr="00122C22">
        <w:t xml:space="preserve"> school completion</w:t>
      </w:r>
      <w:r>
        <w:t xml:space="preserve">, including family income and welfare receipt history. This </w:t>
      </w:r>
      <w:r w:rsidRPr="007C3DEC">
        <w:t xml:space="preserve">study therefore has the potential to provide a better understanding of the role of this extended set of disadvantage measures as they relate to school completion. </w:t>
      </w:r>
    </w:p>
    <w:p w:rsidR="001F5702" w:rsidRPr="007C3DEC" w:rsidRDefault="001F5702" w:rsidP="007C3DEC">
      <w:pPr>
        <w:pStyle w:val="Text"/>
      </w:pPr>
      <w:r w:rsidRPr="007C3DEC">
        <w:t xml:space="preserve">An important feature of this research is that the two datasets cover the same birth cohort of young people. Both the LSAY 2003 (Y03) cohort and the </w:t>
      </w:r>
      <w:r w:rsidR="00BF5D5F">
        <w:t>YIF</w:t>
      </w:r>
      <w:r w:rsidRPr="007C3DEC">
        <w:t xml:space="preserve"> survey include young people who were born between October 1987 and March 1988, and in both datasets subjects’ completion of Year 12 was measured late in the 2006 calendar year. Both sets of data contain overlapping information on their respondents’ background and experiences of schooling. However, each of the surveys also possesses strengths that the other lacks. In particular, LSAY Y03 contains measures of student achievement from the PISA survey that the Y</w:t>
      </w:r>
      <w:r w:rsidR="00BF5D5F">
        <w:t>IF</w:t>
      </w:r>
      <w:r w:rsidRPr="007C3DEC">
        <w:t xml:space="preserve"> data do not, while the </w:t>
      </w:r>
      <w:r w:rsidR="00BF5D5F">
        <w:t>YIF</w:t>
      </w:r>
      <w:r w:rsidRPr="007C3DEC">
        <w:t xml:space="preserve"> data have more information on family background factors (current family income, welfare receipt history, family structure history) and aspects of the young people’s earlier experiences of schooling and their engagement in risky or anti-social behaviour that LSAY Y03 does not. </w:t>
      </w:r>
    </w:p>
    <w:p w:rsidR="001F5702" w:rsidRPr="007C3DEC" w:rsidRDefault="001F5702" w:rsidP="007C3DEC">
      <w:pPr>
        <w:pStyle w:val="Text"/>
      </w:pPr>
      <w:r w:rsidRPr="007C3DEC">
        <w:t xml:space="preserve">The fact that both the LSAY Y03 and the </w:t>
      </w:r>
      <w:r w:rsidR="00BF5D5F">
        <w:t>YIF</w:t>
      </w:r>
      <w:r w:rsidRPr="007C3DEC">
        <w:t xml:space="preserve"> data include information on young people born at a common time makes a comparison possible; however, other aspects of the sampling design of the two surveys may potentially limit the nature of this comparison task. To ensure that our comparison yielded valid outcomes, we drew on an analysis of school completion among the same birth cohort from the </w:t>
      </w:r>
      <w:r w:rsidR="00296EF2" w:rsidRPr="007C3DEC">
        <w:t xml:space="preserve">Australian </w:t>
      </w:r>
      <w:r w:rsidRPr="007C3DEC">
        <w:t xml:space="preserve">2006 </w:t>
      </w:r>
      <w:r w:rsidR="00296EF2">
        <w:t>C</w:t>
      </w:r>
      <w:r w:rsidRPr="007C3DEC">
        <w:t>ensus</w:t>
      </w:r>
      <w:r w:rsidR="00296EF2">
        <w:t xml:space="preserve"> of Population and Housing (hereafter called ‘the Census’</w:t>
      </w:r>
      <w:r w:rsidRPr="007C3DEC">
        <w:t xml:space="preserve">. Encouragingly, the distributions of young people across labour market and education activities in the two datasets appear broadly representative of young people in general from the </w:t>
      </w:r>
      <w:r w:rsidR="00296EF2">
        <w:t>Census</w:t>
      </w:r>
      <w:r w:rsidRPr="007C3DEC">
        <w:t>, once weights that accounted for their differing design features were added to the analysis. One marked exception to this statement is that Year 12 completion in LSAY is overestimated</w:t>
      </w:r>
      <w:r w:rsidR="00FA544D">
        <w:t>. In particular,</w:t>
      </w:r>
      <w:r w:rsidRPr="007C3DEC">
        <w:t xml:space="preserve"> Year 12 completion among Indigenous students in LSAY was much higher than that found in the broader population, while the </w:t>
      </w:r>
      <w:r w:rsidR="00BF5D5F">
        <w:t>YIF</w:t>
      </w:r>
      <w:r w:rsidRPr="007C3DEC">
        <w:t xml:space="preserve"> rates matched what is known about this area from other data. </w:t>
      </w:r>
    </w:p>
    <w:p w:rsidR="001F5702" w:rsidRPr="007C3DEC" w:rsidRDefault="001F5702" w:rsidP="007C3DEC">
      <w:pPr>
        <w:pStyle w:val="Text"/>
      </w:pPr>
      <w:r w:rsidRPr="007C3DEC">
        <w:t>The factors influencing school completion have been widely studied in previous research in different contexts, with the measures of disadvantage considered in Australian studies limited to the standard</w:t>
      </w:r>
      <w:r w:rsidR="001A21DB">
        <w:t> </w:t>
      </w:r>
      <w:r w:rsidRPr="007C3DEC">
        <w:t xml:space="preserve">measures available in the relevant data. Since many studies have relied on LSAY or its predecessors, the measures used have typically involved parental education and occupation-based socioeconomic status. </w:t>
      </w:r>
    </w:p>
    <w:p w:rsidR="001F5702" w:rsidRDefault="001F5702" w:rsidP="007C3DEC">
      <w:pPr>
        <w:pStyle w:val="Text"/>
      </w:pPr>
      <w:r w:rsidRPr="007C3DEC">
        <w:t>Earlier Australian research has identified a strong link between measures of parental education or occupational status and Year 12 completion. This study has been able to include a broader set of measures to capture the multidimensional nature of disadvantage</w:t>
      </w:r>
      <w:r w:rsidR="00723990">
        <w:t xml:space="preserve"> — </w:t>
      </w:r>
      <w:proofErr w:type="gramStart"/>
      <w:r w:rsidRPr="007C3DEC">
        <w:t>its</w:t>
      </w:r>
      <w:proofErr w:type="gramEnd"/>
      <w:r w:rsidRPr="007C3DEC">
        <w:t xml:space="preserve"> cultural and material aspects</w:t>
      </w:r>
      <w:r w:rsidR="00723990">
        <w:t xml:space="preserve"> — </w:t>
      </w:r>
      <w:r w:rsidRPr="007C3DEC">
        <w:t>and its influence on students’ performance. Poor school</w:t>
      </w:r>
      <w:r>
        <w:t xml:space="preserve"> experiences, participation in risky activities and aspirations were revealed as the main predictors of Year 12 completion, while, significantly in contrast to earlier research, the size and importance of the commonly used indicators </w:t>
      </w:r>
      <w:r>
        <w:lastRenderedPageBreak/>
        <w:t>of disadvantage associated with school completion, notably</w:t>
      </w:r>
      <w:r w:rsidR="00FA544D">
        <w:t>,</w:t>
      </w:r>
      <w:r>
        <w:t xml:space="preserve"> parental education and occupational status,</w:t>
      </w:r>
      <w:r w:rsidRPr="000031DC">
        <w:t xml:space="preserve"> </w:t>
      </w:r>
      <w:r>
        <w:t>were lower. Although family income had a positive impact on Year 12 completion, by comparison with these cultural factors, its effect was found to be quite small.</w:t>
      </w:r>
    </w:p>
    <w:p w:rsidR="001F5702" w:rsidRDefault="001F5702" w:rsidP="001F5702">
      <w:pPr>
        <w:pStyle w:val="Text"/>
      </w:pPr>
      <w:r w:rsidRPr="00DE6908">
        <w:t xml:space="preserve">In general, in the LSAY data, disadvantage seems to be played out through its impact on school performance and on the educational aspirations </w:t>
      </w:r>
      <w:r w:rsidR="00FA544D">
        <w:t>of</w:t>
      </w:r>
      <w:r w:rsidRPr="00DE6908">
        <w:t xml:space="preserve"> young people. These are likely to </w:t>
      </w:r>
      <w:r w:rsidR="00FA544D">
        <w:t xml:space="preserve">be </w:t>
      </w:r>
      <w:r w:rsidRPr="00DE6908">
        <w:t xml:space="preserve">different sides to the same coin of the main results found in the </w:t>
      </w:r>
      <w:r w:rsidR="00BF5D5F">
        <w:t>YIF</w:t>
      </w:r>
      <w:r w:rsidRPr="00DE6908">
        <w:t xml:space="preserve"> data, where disadvantage partially </w:t>
      </w:r>
      <w:r>
        <w:t>exerted</w:t>
      </w:r>
      <w:r w:rsidRPr="00DE6908">
        <w:t xml:space="preserve"> its </w:t>
      </w:r>
      <w:r>
        <w:t>influence</w:t>
      </w:r>
      <w:r w:rsidRPr="00DE6908">
        <w:t xml:space="preserve"> through the poor experiences of early schooling among respondents, which lowered their Year 12 completion levels. </w:t>
      </w:r>
    </w:p>
    <w:p w:rsidR="001F5702" w:rsidRPr="007650D8" w:rsidRDefault="001F5702" w:rsidP="001F5702">
      <w:pPr>
        <w:pStyle w:val="Text"/>
      </w:pPr>
      <w:r>
        <w:t>The exercise of considering alternative measures of disadvantage, drawing on both the LSAY and Y</w:t>
      </w:r>
      <w:r w:rsidR="00BF5D5F">
        <w:t>IF</w:t>
      </w:r>
      <w:r>
        <w:t xml:space="preserve"> data, has been informative in identifying a few core factors</w:t>
      </w:r>
      <w:r w:rsidR="00723990">
        <w:t xml:space="preserve"> — </w:t>
      </w:r>
      <w:r>
        <w:t>poor school experiences, risky activities and aspirations</w:t>
      </w:r>
      <w:r w:rsidR="00723990">
        <w:t xml:space="preserve"> — </w:t>
      </w:r>
      <w:r>
        <w:t>that matter for school completion and, importantly, for indicating the direction of further study into the complex linkages between disadvantage and school completion.</w:t>
      </w:r>
    </w:p>
    <w:p w:rsidR="001F5702" w:rsidRDefault="001F5702" w:rsidP="001F5702">
      <w:pPr>
        <w:pStyle w:val="Text"/>
        <w:jc w:val="both"/>
      </w:pPr>
    </w:p>
    <w:p w:rsidR="001F5702" w:rsidRDefault="001F5702" w:rsidP="001F5702">
      <w:pPr>
        <w:spacing w:before="0"/>
        <w:rPr>
          <w:rFonts w:ascii="Garamond" w:hAnsi="Garamond"/>
          <w:kern w:val="28"/>
          <w:sz w:val="60"/>
        </w:rPr>
      </w:pPr>
      <w:bookmarkStart w:id="28" w:name="_Toc274390643"/>
      <w:bookmarkStart w:id="29" w:name="_Toc318282956"/>
      <w:r>
        <w:br w:type="page"/>
      </w:r>
    </w:p>
    <w:p w:rsidR="001F5702" w:rsidRDefault="001F5702" w:rsidP="001F5702">
      <w:pPr>
        <w:pStyle w:val="Heading1"/>
      </w:pPr>
      <w:bookmarkStart w:id="30" w:name="_Toc324765867"/>
      <w:r>
        <w:lastRenderedPageBreak/>
        <w:t>Introduction</w:t>
      </w:r>
      <w:bookmarkEnd w:id="28"/>
      <w:bookmarkEnd w:id="29"/>
      <w:bookmarkEnd w:id="30"/>
    </w:p>
    <w:p w:rsidR="001F5702" w:rsidRPr="001A21DB" w:rsidRDefault="001F5702" w:rsidP="001A21DB">
      <w:pPr>
        <w:pStyle w:val="Text"/>
      </w:pPr>
      <w:r w:rsidRPr="00122C22">
        <w:t xml:space="preserve">The link between different dimensions of family and social circumstances and </w:t>
      </w:r>
      <w:r>
        <w:t xml:space="preserve">the </w:t>
      </w:r>
      <w:r w:rsidRPr="00122C22">
        <w:t xml:space="preserve">probability of adolescents’ success is documented </w:t>
      </w:r>
      <w:r>
        <w:t>in</w:t>
      </w:r>
      <w:r w:rsidRPr="00122C22">
        <w:t xml:space="preserve"> many studies (see, for example, </w:t>
      </w:r>
      <w:r w:rsidR="00A865E4">
        <w:fldChar w:fldCharType="begin"/>
      </w:r>
      <w:r>
        <w:instrText xml:space="preserve"> ADDIN EN.CITE &lt;EndNote&gt;&lt;Cite&gt;&lt;Author&gt;Haveman&lt;/Author&gt;&lt;Year&gt;1995&lt;/Year&gt;&lt;RecNum&gt;34&lt;/RecNum&gt;&lt;record&gt;&lt;rec-number&gt;34&lt;/rec-number&gt;&lt;foreign-keys&gt;&lt;key app="EN" db-id="0sp9t02ao2s908er5duvztshees9x25szs2d"&gt;34&lt;/key&gt;&lt;/foreign-keys&gt;&lt;ref-type name="Journal Article"&gt;17&lt;/ref-type&gt;&lt;contributors&gt;&lt;authors&gt;&lt;author&gt;Haveman, Robert&lt;/author&gt;&lt;author&gt;Wolfe, Barbara&lt;/author&gt;&lt;/authors&gt;&lt;/contributors&gt;&lt;titles&gt;&lt;title&gt;The Determinants of Children&amp;apos;s Attainments: A Review of Methods and Findings&lt;/title&gt;&lt;secondary-title&gt;Journal of Economic Literature&lt;/secondary-title&gt;&lt;/titles&gt;&lt;periodical&gt;&lt;full-title&gt;Journal of Economic Literature&lt;/full-title&gt;&lt;/periodical&gt;&lt;pages&gt;1829-1878&lt;/pages&gt;&lt;volume&gt;33&lt;/volume&gt;&lt;number&gt;4&lt;/number&gt;&lt;dates&gt;&lt;year&gt;1995&lt;/year&gt;&lt;/dates&gt;&lt;publisher&gt;American Economic Association&lt;/publisher&gt;&lt;isbn&gt;00220515&lt;/isbn&gt;&lt;urls&gt;&lt;related-urls&gt;&lt;url&gt;http://www.jstor.org/stable/2729315&lt;/url&gt;&lt;/related-urls&gt;&lt;/urls&gt;&lt;/record&gt;&lt;/Cite&gt;&lt;/EndNote&gt;</w:instrText>
      </w:r>
      <w:r w:rsidR="00A865E4">
        <w:fldChar w:fldCharType="separate"/>
      </w:r>
      <w:r w:rsidRPr="00122C22">
        <w:t xml:space="preserve">Haveman </w:t>
      </w:r>
      <w:r>
        <w:t>&amp;</w:t>
      </w:r>
      <w:r w:rsidRPr="00122C22">
        <w:t xml:space="preserve"> Wolfe 1995</w:t>
      </w:r>
      <w:r w:rsidR="00A865E4">
        <w:fldChar w:fldCharType="end"/>
      </w:r>
      <w:r>
        <w:t xml:space="preserve"> for an early review</w:t>
      </w:r>
      <w:r w:rsidRPr="00122C22">
        <w:t>) and serves as a basis for policy interventions aimed at improving the ou</w:t>
      </w:r>
      <w:r>
        <w:t xml:space="preserve">tcomes of the disadvantaged. Understanding exactly what it is about </w:t>
      </w:r>
      <w:r w:rsidRPr="00122C22">
        <w:t>disadvantage that matter</w:t>
      </w:r>
      <w:r>
        <w:t>s</w:t>
      </w:r>
      <w:r w:rsidRPr="00122C22">
        <w:t xml:space="preserve"> for adolescent outcomes</w:t>
      </w:r>
      <w:r>
        <w:t xml:space="preserve"> is central to any social or educational </w:t>
      </w:r>
      <w:r w:rsidRPr="00122C22">
        <w:t xml:space="preserve">policy </w:t>
      </w:r>
      <w:r>
        <w:t>developed</w:t>
      </w:r>
      <w:r w:rsidRPr="00122C22">
        <w:t xml:space="preserve"> </w:t>
      </w:r>
      <w:r>
        <w:t>to redress its effects</w:t>
      </w:r>
      <w:r w:rsidRPr="00122C22">
        <w:t xml:space="preserve">. Yet, the complexity of </w:t>
      </w:r>
      <w:r>
        <w:t xml:space="preserve">defining and </w:t>
      </w:r>
      <w:r w:rsidRPr="00122C22">
        <w:t>measur</w:t>
      </w:r>
      <w:r>
        <w:t xml:space="preserve">ing </w:t>
      </w:r>
      <w:r w:rsidRPr="00122C22">
        <w:t>disadvantage</w:t>
      </w:r>
      <w:r>
        <w:t>, used in conjunction with</w:t>
      </w:r>
      <w:r w:rsidRPr="00122C22">
        <w:t xml:space="preserve"> data </w:t>
      </w:r>
      <w:r>
        <w:t xml:space="preserve">with often only a limited coverage of its various dimensions, </w:t>
      </w:r>
      <w:r w:rsidRPr="00122C22">
        <w:t>le</w:t>
      </w:r>
      <w:r>
        <w:t>a</w:t>
      </w:r>
      <w:r w:rsidRPr="00122C22">
        <w:t>d</w:t>
      </w:r>
      <w:r>
        <w:t>s</w:t>
      </w:r>
      <w:r w:rsidRPr="00122C22">
        <w:t xml:space="preserve"> to challenges </w:t>
      </w:r>
      <w:r>
        <w:t xml:space="preserve">in the conduct of research and, specifically, </w:t>
      </w:r>
      <w:r w:rsidR="00FA544D">
        <w:t>in producing</w:t>
      </w:r>
      <w:r>
        <w:t xml:space="preserve"> outcomes with </w:t>
      </w:r>
      <w:r w:rsidRPr="001A21DB">
        <w:t xml:space="preserve">the capacity to inform effective policy. </w:t>
      </w:r>
    </w:p>
    <w:p w:rsidR="001F5702" w:rsidRPr="001A21DB" w:rsidRDefault="001F5702" w:rsidP="001A21DB">
      <w:pPr>
        <w:pStyle w:val="Text"/>
      </w:pPr>
      <w:r w:rsidRPr="001A21DB">
        <w:t xml:space="preserve">The key focus of the paper is to study how disadvantage affects educational outcomes, in this instance, Year 12 completion, a familiar yet important indicator of adolescent academic success in Australia. Using a number of indicators of the social and family circumstances of young people that reflect differing dimensions of disadvantage, the study undertakes a comparative analysis of two datasets with alternative measures of disadvantage. One dataset, the Longitudinal Surveys of Australian Youth (LSAY), has been used extensively to study this issue. The other, the Youth in Focus (YIF) survey, has been used very little for this purpose. Since the data from the latter provide an additional set of disadvantage measures that may be relevant to school completion, including family income and welfare receipt history, the study has the potential to provide a better understanding of the relative role of this extended set of disadvantage measures as they relate to school completion. </w:t>
      </w:r>
    </w:p>
    <w:p w:rsidR="001F5702" w:rsidRPr="001A21DB" w:rsidRDefault="001F5702" w:rsidP="001A21DB">
      <w:pPr>
        <w:pStyle w:val="Text"/>
      </w:pPr>
      <w:r w:rsidRPr="001A21DB">
        <w:t xml:space="preserve">There are two by-products of our approach. One is an assessment of how the ‘usual’ variables used to capture disadvantage, such as parental education and occupation-based socioeconomic status measures, fare when supplementary variables are included in the analysis. The second is the provision of a better understanding of the strengths and limitations of the two datasets used in the analysis, since at least one has been used to study many other educational, labour market and social phenomena among young Australians. </w:t>
      </w:r>
    </w:p>
    <w:p w:rsidR="001F5702" w:rsidRPr="001A21DB" w:rsidRDefault="001F5702" w:rsidP="001A21DB">
      <w:pPr>
        <w:pStyle w:val="Text"/>
      </w:pPr>
      <w:r w:rsidRPr="001A21DB">
        <w:t xml:space="preserve">An important feature of this study is that the two datasets cover the same birth cohort of young people. Specifically, both the LSAY 2003 (Y03) cohort and the </w:t>
      </w:r>
      <w:r w:rsidR="00BF5D5F">
        <w:t>YIF</w:t>
      </w:r>
      <w:r w:rsidRPr="001A21DB">
        <w:t xml:space="preserve"> survey include young people who were born between October 1987 and March 1988. In both datasets, subjects’ completion of Year 12 was measured late in the calendar year 2006. </w:t>
      </w:r>
    </w:p>
    <w:p w:rsidR="001F5702" w:rsidRDefault="001F5702" w:rsidP="001A21DB">
      <w:pPr>
        <w:pStyle w:val="Text"/>
      </w:pPr>
      <w:r w:rsidRPr="001A21DB">
        <w:t xml:space="preserve">The </w:t>
      </w:r>
      <w:r w:rsidR="00BF5D5F">
        <w:t>YIF</w:t>
      </w:r>
      <w:r w:rsidRPr="001A21DB">
        <w:t xml:space="preserve"> survey data were drawn from</w:t>
      </w:r>
      <w:r>
        <w:t xml:space="preserve"> people from families who received government payments of some form, so it might be expected that Year 12 completion rates are lower in the </w:t>
      </w:r>
      <w:r w:rsidR="00BF5D5F">
        <w:t>YIF</w:t>
      </w:r>
      <w:r>
        <w:t xml:space="preserve"> data than in the LSAY data. Furthermore, Year 12 completion in the LSAY data may overestimate its extent in the Australian population because it is based on the PISA</w:t>
      </w:r>
      <w:r>
        <w:rPr>
          <w:rStyle w:val="FootnoteReference"/>
        </w:rPr>
        <w:footnoteReference w:id="1"/>
      </w:r>
      <w:r>
        <w:t xml:space="preserve"> survey of </w:t>
      </w:r>
      <w:r w:rsidR="00EC00CB">
        <w:br/>
      </w:r>
      <w:r>
        <w:t>15</w:t>
      </w:r>
      <w:r w:rsidR="00EC00CB">
        <w:t>-</w:t>
      </w:r>
      <w:r>
        <w:t>year-old school students, which was just 93.4% of the population of 15-year-olds in Australia in 2003, the cohort being used (</w:t>
      </w:r>
      <w:r w:rsidR="00A865E4">
        <w:fldChar w:fldCharType="begin"/>
      </w:r>
      <w:r>
        <w:instrText xml:space="preserve"> ADDIN EN.CITE &lt;EndNote&gt;&lt;Cite&gt;&lt;Author&gt;Thomson&lt;/Author&gt;&lt;Year&gt;2004&lt;/Year&gt;&lt;RecNum&gt;118&lt;/RecNum&gt;&lt;record&gt;&lt;rec-number&gt;118&lt;/rec-number&gt;&lt;foreign-keys&gt;&lt;key app="EN" db-id="0sp9t02ao2s908er5duvztshees9x25szs2d"&gt;118&lt;/key&gt;&lt;/foreign-keys&gt;&lt;ref-type name="Report"&gt;27&lt;/ref-type&gt;&lt;contributors&gt;&lt;authors&gt;&lt;author&gt;Thomson, Sue &lt;/author&gt;&lt;author&gt;Cresswell, John&lt;/author&gt;&lt;author&gt;De Bortoli, Lisa&lt;/author&gt;&lt;/authors&gt;&lt;/contributors&gt;&lt;titles&gt;&lt;title&gt;Facing the Future: A Focus on Mathematical Literacy among Australian 15-year-old Students in PISA 2003&lt;/title&gt;&lt;secondary-title&gt;OECD Programme for International Student Assessment (PISA)&lt;/secondary-title&gt;&lt;/titles&gt;&lt;dates&gt;&lt;year&gt;2004&lt;/year&gt;&lt;/dates&gt;&lt;pub-location&gt;Melbourne&lt;/pub-location&gt;&lt;publisher&gt;Australian Council for Educational Research&lt;/publisher&gt;&lt;urls&gt;&lt;/urls&gt;&lt;/record&gt;&lt;/Cite&gt;&lt;/EndNote&gt;</w:instrText>
      </w:r>
      <w:r w:rsidR="00A865E4">
        <w:fldChar w:fldCharType="separate"/>
      </w:r>
      <w:r>
        <w:t>Thomson, Cresswell &amp; De Bortoli 2004</w:t>
      </w:r>
      <w:r w:rsidR="00A865E4">
        <w:fldChar w:fldCharType="end"/>
      </w:r>
      <w:r>
        <w:t>,</w:t>
      </w:r>
      <w:r w:rsidRPr="00AC6A1A">
        <w:t xml:space="preserve"> </w:t>
      </w:r>
      <w:r>
        <w:t xml:space="preserve">table A2.3). Hence, any estimate of Year 12 completion from that sample ignores the 7% of young people who had left school at age 15. But our real interest is whether, despite these features that might make the data unrepresentative of the population in either direction, the relationships estimated over a common set of variables from the two datasets are the same. Since the </w:t>
      </w:r>
      <w:r w:rsidR="00BF5D5F">
        <w:t>YIF</w:t>
      </w:r>
      <w:r>
        <w:t xml:space="preserve"> data are likely to represent a </w:t>
      </w:r>
      <w:r w:rsidRPr="00546D3B">
        <w:t>more disadvantaged group</w:t>
      </w:r>
      <w:r>
        <w:t xml:space="preserve"> of young people than the LSAY cohort (see the more detailed description of the two datasets in a </w:t>
      </w:r>
      <w:r>
        <w:lastRenderedPageBreak/>
        <w:t xml:space="preserve">later chapter), our comparisons provide some kind of basis for addressing how reliable analysis using LSAY data is in assessing the impact of disadvantage on the outcomes of young people. Our second interest lies in how much of the estimated relationships from a common set of variables across the two datasets change as we add variables that reflect the strengths of the alternative data sources. </w:t>
      </w:r>
    </w:p>
    <w:p w:rsidR="001F5702" w:rsidRDefault="001F5702" w:rsidP="001F5702">
      <w:pPr>
        <w:pStyle w:val="Text"/>
      </w:pPr>
      <w:r>
        <w:t xml:space="preserve">The study documents the relationships between certain dimensions of disadvantage and Year 12 completion. It found that poor early school experiences and later engagement in the risky behaviours captured in the </w:t>
      </w:r>
      <w:r w:rsidR="00BF5D5F">
        <w:t>YIF</w:t>
      </w:r>
      <w:r>
        <w:t xml:space="preserve"> data</w:t>
      </w:r>
      <w:r w:rsidR="00723990">
        <w:t xml:space="preserve"> — </w:t>
      </w:r>
      <w:r>
        <w:t>including the consumption of alcohol, marijuana or smoking</w:t>
      </w:r>
      <w:r w:rsidR="00723990">
        <w:t xml:space="preserve"> — </w:t>
      </w:r>
      <w:r>
        <w:t>and differences in student aspirations affect school completion</w:t>
      </w:r>
      <w:r w:rsidRPr="00F849FA">
        <w:t xml:space="preserve"> </w:t>
      </w:r>
      <w:r>
        <w:t xml:space="preserve">significantly. Moreover, inclusion of the variables specific to each of the datasets affects the significance of some of the more commonly utilised indicators of disadvantage found to be associated with school completion, those such as low parental education and occupational status. </w:t>
      </w:r>
    </w:p>
    <w:p w:rsidR="001F5702" w:rsidRDefault="001F5702" w:rsidP="001F5702">
      <w:pPr>
        <w:pStyle w:val="Text"/>
      </w:pPr>
      <w:r>
        <w:t xml:space="preserve">The study proceeds in several stages. First, a review of </w:t>
      </w:r>
      <w:r w:rsidR="00FA544D">
        <w:t xml:space="preserve">the </w:t>
      </w:r>
      <w:r>
        <w:t xml:space="preserve">literature relating to this area is presented, </w:t>
      </w:r>
      <w:r w:rsidR="00FA544D">
        <w:t>enabling</w:t>
      </w:r>
      <w:r>
        <w:t xml:space="preserve"> the contributions of the current study to be further highlighted. Second, the two main data sources are discussed in terms of their comparability and representativeness for the Australian population; this is followed by a descriptive analysis of disadvantage measures as they relate to Year 12 completion. Finally, the results of the econometric analyses on the link between disadvantage and school completion from the two datasets are reported. The study concludes with a summary of the results and their </w:t>
      </w:r>
      <w:r w:rsidR="00AE1DA5">
        <w:t xml:space="preserve">policy </w:t>
      </w:r>
      <w:r>
        <w:t xml:space="preserve">implications. </w:t>
      </w:r>
    </w:p>
    <w:p w:rsidR="001F5702" w:rsidRDefault="001F5702" w:rsidP="001F5702">
      <w:pPr>
        <w:pStyle w:val="Text"/>
      </w:pPr>
      <w:r>
        <w:br w:type="page"/>
      </w:r>
    </w:p>
    <w:p w:rsidR="001F5702" w:rsidRDefault="001F5702" w:rsidP="001F5702">
      <w:pPr>
        <w:pStyle w:val="Heading1"/>
      </w:pPr>
      <w:bookmarkStart w:id="31" w:name="_Toc274390644"/>
      <w:bookmarkStart w:id="32" w:name="_Toc318282957"/>
      <w:bookmarkStart w:id="33" w:name="_Toc324765868"/>
      <w:r>
        <w:lastRenderedPageBreak/>
        <w:t>Disadvantage and school completion: review of</w:t>
      </w:r>
      <w:r w:rsidR="00FA544D">
        <w:t xml:space="preserve"> the</w:t>
      </w:r>
      <w:r>
        <w:t xml:space="preserve"> literature</w:t>
      </w:r>
      <w:bookmarkEnd w:id="31"/>
      <w:bookmarkEnd w:id="32"/>
      <w:bookmarkEnd w:id="33"/>
      <w:r>
        <w:t xml:space="preserve"> </w:t>
      </w:r>
    </w:p>
    <w:p w:rsidR="001F5702" w:rsidRDefault="001F5702" w:rsidP="001F5702">
      <w:pPr>
        <w:pStyle w:val="Text"/>
      </w:pPr>
      <w:r>
        <w:t xml:space="preserve">There are two important strands of literature of relevance to this study. The first is the vast literature on the proper measurement of disadvantage. The second is related to the determinants of educational attainment, notably here, the completion of the highest level of schooling. This section provides an overview of recent developments in these two strands of literature, highlighting the main contributions of the current study. </w:t>
      </w:r>
    </w:p>
    <w:p w:rsidR="001F5702" w:rsidRDefault="001F5702" w:rsidP="001A21DB">
      <w:pPr>
        <w:pStyle w:val="Heading2"/>
      </w:pPr>
      <w:bookmarkStart w:id="34" w:name="_Toc274390645"/>
      <w:bookmarkStart w:id="35" w:name="_Toc318282958"/>
      <w:bookmarkStart w:id="36" w:name="_Toc324765869"/>
      <w:r>
        <w:t xml:space="preserve">Approaches to defining </w:t>
      </w:r>
      <w:r w:rsidRPr="001A21DB">
        <w:t>disadvantage</w:t>
      </w:r>
      <w:bookmarkEnd w:id="34"/>
      <w:bookmarkEnd w:id="35"/>
      <w:bookmarkEnd w:id="36"/>
    </w:p>
    <w:p w:rsidR="001F5702" w:rsidRDefault="001F5702" w:rsidP="001F5702">
      <w:pPr>
        <w:pStyle w:val="Text"/>
      </w:pPr>
      <w:r>
        <w:t>Many</w:t>
      </w:r>
      <w:r w:rsidRPr="00AB19B6">
        <w:t xml:space="preserve"> </w:t>
      </w:r>
      <w:r>
        <w:t xml:space="preserve">of the early </w:t>
      </w:r>
      <w:r w:rsidRPr="00AB19B6">
        <w:t xml:space="preserve">studies </w:t>
      </w:r>
      <w:r>
        <w:t xml:space="preserve">on disadvantage among groups in society adopted a uni-dimensional approach to its extent and consequences. In economics, its analysis has often focused on a lack of material resources, typically captured through some measure of income. This approach has been criticised for a number of reasons. </w:t>
      </w:r>
    </w:p>
    <w:p w:rsidR="001F5702" w:rsidRDefault="001F5702" w:rsidP="001F5702">
      <w:pPr>
        <w:pStyle w:val="Text"/>
      </w:pPr>
      <w:r>
        <w:t>First, concerns have been raised over the loss of information resulting from analytical approaches that divide the population into groups of poor and non-poor individuals, through the use of poverty lines (</w:t>
      </w:r>
      <w:r w:rsidR="00A865E4">
        <w:fldChar w:fldCharType="begin"/>
      </w:r>
      <w:r>
        <w:instrText xml:space="preserve"> ADDIN EN.CITE &lt;EndNote&gt;&lt;Cite&gt;&lt;Author&gt;Pi Alperin&lt;/Author&gt;&lt;Year&gt;2008&lt;/Year&gt;&lt;RecNum&gt;6&lt;/RecNum&gt;&lt;record&gt;&lt;rec-number&gt;6&lt;/rec-number&gt;&lt;foreign-keys&gt;&lt;key app="EN" db-id="0sp9t02ao2s908er5duvztshees9x25szs2d"&gt;6&lt;/key&gt;&lt;/foreign-keys&gt;&lt;ref-type name="Unpublished Work"&gt;34&lt;/ref-type&gt;&lt;contributors&gt;&lt;authors&gt;&lt;author&gt;Pi Alperin, Maria Noel &lt;/author&gt;&lt;/authors&gt;&lt;/contributors&gt;&lt;titles&gt;&lt;title&gt;A comparison of multidimensional deprivation characteristics between natives and immigrants in Luxembourg&lt;/title&gt;&lt;secondary-title&gt;IRISS Working Paper Series&lt;/secondary-title&gt;&lt;/titles&gt;&lt;number&gt;2008-14&lt;/number&gt;&lt;dates&gt;&lt;year&gt;2008&lt;/year&gt;&lt;/dates&gt;&lt;publisher&gt;International Networks for Studies in Technology, Environment, Alternatives and Development&lt;/publisher&gt;&lt;urls&gt;&lt;/urls&gt;&lt;/record&gt;&lt;/Cite&gt;&lt;/EndNote&gt;</w:instrText>
      </w:r>
      <w:r w:rsidR="00A865E4">
        <w:fldChar w:fldCharType="separate"/>
      </w:r>
      <w:r>
        <w:t>Pi Alperin 2008</w:t>
      </w:r>
      <w:r w:rsidR="00A865E4">
        <w:fldChar w:fldCharType="end"/>
      </w:r>
      <w:r>
        <w:t>). In the Australian context, the Henderson Poverty Line</w:t>
      </w:r>
      <w:r>
        <w:rPr>
          <w:rStyle w:val="FootnoteReference"/>
        </w:rPr>
        <w:footnoteReference w:id="2"/>
      </w:r>
      <w:r>
        <w:t xml:space="preserve"> has been criticised for a number of reasons, </w:t>
      </w:r>
      <w:r w:rsidRPr="00F07B5B">
        <w:t>including how the line has been</w:t>
      </w:r>
      <w:r>
        <w:t xml:space="preserve"> </w:t>
      </w:r>
      <w:r w:rsidRPr="00F07B5B">
        <w:t>updated over time and the relevance of an income</w:t>
      </w:r>
      <w:r>
        <w:t xml:space="preserve"> </w:t>
      </w:r>
      <w:r w:rsidRPr="00F07B5B">
        <w:t>measure restricted to cash income</w:t>
      </w:r>
      <w:r>
        <w:t xml:space="preserve"> (</w:t>
      </w:r>
      <w:r w:rsidR="00A865E4">
        <w:fldChar w:fldCharType="begin"/>
      </w:r>
      <w:r>
        <w:instrText xml:space="preserve"> ADDIN EN.CITE &lt;EndNote&gt;&lt;Cite&gt;&lt;Author&gt;Saunders&lt;/Author&gt;&lt;Year&gt;1999&lt;/Year&gt;&lt;RecNum&gt;15&lt;/RecNum&gt;&lt;record&gt;&lt;rec-number&gt;15&lt;/rec-number&gt;&lt;foreign-keys&gt;&lt;key app="EN" db-id="0sp9t02ao2s908er5duvztshees9x25szs2d"&gt;15&lt;/key&gt;&lt;/foreign-keys&gt;&lt;ref-type name="Journal Article"&gt;17&lt;/ref-type&gt;&lt;contributors&gt;&lt;authors&gt;&lt;author&gt;Saunders, Peter &lt;/author&gt;&lt;/authors&gt;&lt;/contributors&gt;&lt;titles&gt;&lt;title&gt;Budget Standards and the Poverty Line&lt;/title&gt;&lt;secondary-title&gt;Australian Economic Review&lt;/secondary-title&gt;&lt;/titles&gt;&lt;periodical&gt;&lt;full-title&gt;Australian Economic Review&lt;/full-title&gt;&lt;/periodical&gt;&lt;pages&gt;43-61&lt;/pages&gt;&lt;volume&gt;32&lt;/volume&gt;&lt;number&gt;1&lt;/number&gt;&lt;dates&gt;&lt;year&gt;1999&lt;/year&gt;&lt;/dates&gt;&lt;urls&gt;&lt;/urls&gt;&lt;/record&gt;&lt;/Cite&gt;&lt;/EndNote&gt;</w:instrText>
      </w:r>
      <w:r w:rsidR="00A865E4">
        <w:fldChar w:fldCharType="separate"/>
      </w:r>
      <w:r>
        <w:t>Saunders 1999</w:t>
      </w:r>
      <w:r w:rsidR="00A865E4">
        <w:fldChar w:fldCharType="end"/>
      </w:r>
      <w:r>
        <w:t xml:space="preserve">). Within the uni-dimensional view of disadvantage, the extent of the suitability of the relative income measure to capture it has also been questioned. As pointed out by </w:t>
      </w:r>
      <w:r w:rsidR="00A865E4">
        <w:fldChar w:fldCharType="begin"/>
      </w:r>
      <w:r>
        <w:instrText xml:space="preserve"> ADDIN EN.CITE &lt;EndNote&gt;&lt;Cite&gt;&lt;Author&gt;Headey&lt;/Author&gt;&lt;Year&gt;2006&lt;/Year&gt;&lt;RecNum&gt;2&lt;/RecNum&gt;&lt;record&gt;&lt;rec-number&gt;2&lt;/rec-number&gt;&lt;foreign-keys&gt;&lt;key app="EN" db-id="0sp9t02ao2s908er5duvztshees9x25szs2d"&gt;2&lt;/key&gt;&lt;/foreign-keys&gt;&lt;ref-type name="Unpublished Work"&gt;34&lt;/ref-type&gt;&lt;contributors&gt;&lt;authors&gt;&lt;author&gt;Headey, Bruce&lt;/author&gt;&lt;/authors&gt;&lt;/contributors&gt;&lt;titles&gt;&lt;title&gt;A Framework for Assessing Poverty, Disadvantage and Low Capabilities in Australia&lt;/title&gt;&lt;secondary-title&gt;Melbourne Institute Report&lt;/secondary-title&gt;&lt;/titles&gt;&lt;number&gt;6&lt;/number&gt;&lt;dates&gt;&lt;year&gt;2006&lt;/year&gt;&lt;/dates&gt;&lt;pub-location&gt;Melbourne&lt;/pub-location&gt;&lt;publisher&gt;The University of Mlebourne&lt;/publisher&gt;&lt;urls&gt;&lt;/urls&gt;&lt;/record&gt;&lt;/Cite&gt;&lt;/EndNote&gt;</w:instrText>
      </w:r>
      <w:r w:rsidR="00A865E4">
        <w:fldChar w:fldCharType="separate"/>
      </w:r>
      <w:r>
        <w:t>Headey (2006</w:t>
      </w:r>
      <w:r w:rsidR="00A865E4">
        <w:fldChar w:fldCharType="end"/>
      </w:r>
      <w:r>
        <w:t xml:space="preserve">), household income is a poor proxy for consumption, </w:t>
      </w:r>
      <w:r w:rsidR="00FA544D">
        <w:t>the latter better reflecting</w:t>
      </w:r>
      <w:r>
        <w:t xml:space="preserve"> a household’s standard of living. </w:t>
      </w:r>
    </w:p>
    <w:p w:rsidR="001F5702" w:rsidRDefault="001F5702" w:rsidP="001F5702">
      <w:pPr>
        <w:pStyle w:val="Text"/>
      </w:pPr>
      <w:r>
        <w:t xml:space="preserve">More generally, studies applying a uni-dimensional approach to disadvantage have been criticised for their failure to fully capture the concept. As </w:t>
      </w:r>
      <w:r w:rsidR="00A865E4">
        <w:fldChar w:fldCharType="begin"/>
      </w:r>
      <w:r>
        <w:instrText xml:space="preserve"> ADDIN EN.CITE &lt;EndNote&gt;&lt;Cite&gt;&lt;Author&gt;Sen&lt;/Author&gt;&lt;Year&gt;2000&lt;/Year&gt;&lt;RecNum&gt;11&lt;/RecNum&gt;&lt;record&gt;&lt;rec-number&gt;11&lt;/rec-number&gt;&lt;foreign-keys&gt;&lt;key app="EN" db-id="0sp9t02ao2s908er5duvztshees9x25szs2d"&gt;11&lt;/key&gt;&lt;/foreign-keys&gt;&lt;ref-type name="Unpublished Work"&gt;34&lt;/ref-type&gt;&lt;contributors&gt;&lt;authors&gt;&lt;author&gt;Sen, Amartya&lt;/author&gt;&lt;/authors&gt;&lt;/contributors&gt;&lt;titles&gt;&lt;title&gt;Social Exclusion: Concept, Application, and Scrutiny &lt;/title&gt;&lt;secondary-title&gt;&lt;style face="normal" font="default" size="11"&gt;Social Development Papers&lt;/style&gt;&lt;/secondary-title&gt;&lt;/titles&gt;&lt;number&gt;1&lt;/number&gt;&lt;dates&gt;&lt;year&gt;2000&lt;/year&gt;&lt;/dates&gt;&lt;pub-location&gt;Manila&lt;/pub-location&gt;&lt;publisher&gt;&lt;style face="normal" font="default" size="11"&gt;Office of Environment and Social Development, Asian Development Bank&lt;/style&gt;&lt;/publisher&gt;&lt;urls&gt;&lt;/urls&gt;&lt;/record&gt;&lt;/Cite&gt;&lt;/EndNote&gt;</w:instrText>
      </w:r>
      <w:r w:rsidR="00A865E4">
        <w:fldChar w:fldCharType="separate"/>
      </w:r>
      <w:r>
        <w:t>Sen (2000</w:t>
      </w:r>
      <w:r w:rsidR="00A865E4">
        <w:fldChar w:fldCharType="end"/>
      </w:r>
      <w:r>
        <w:t>) puts it, ‘i</w:t>
      </w:r>
      <w:r w:rsidRPr="005A235A">
        <w:t>ncome may be the most prominen</w:t>
      </w:r>
      <w:r>
        <w:t xml:space="preserve">t means for a good life without </w:t>
      </w:r>
      <w:r w:rsidRPr="005A235A">
        <w:t>deprivation, but it is not the only inf</w:t>
      </w:r>
      <w:r>
        <w:t xml:space="preserve">luence on the lives we can lead’. According to </w:t>
      </w:r>
      <w:proofErr w:type="spellStart"/>
      <w:r>
        <w:t>Sen</w:t>
      </w:r>
      <w:proofErr w:type="spellEnd"/>
      <w:r>
        <w:t>, the perspective on poverty as the lack of the capabilities to live a minimally decent life makes it ‘</w:t>
      </w:r>
      <w:r w:rsidRPr="00D46D11">
        <w:t xml:space="preserve">inescapably multidimensional, </w:t>
      </w:r>
      <w:r>
        <w:t xml:space="preserve">since </w:t>
      </w:r>
      <w:r w:rsidRPr="00D46D11">
        <w:t xml:space="preserve">there are distinct capabilities and </w:t>
      </w:r>
      <w:proofErr w:type="spellStart"/>
      <w:r w:rsidRPr="00D46D11">
        <w:t>functionings</w:t>
      </w:r>
      <w:proofErr w:type="spellEnd"/>
      <w:r w:rsidRPr="00D46D11">
        <w:t xml:space="preserve"> that we have reason to value</w:t>
      </w:r>
      <w:r>
        <w:t>’. In addition, it has been suggested that any uni-dimensional approach to disadvantage, including those captured by income, do not examine the reasons behind poverty, thus limiting the space for policy interventions (</w:t>
      </w:r>
      <w:r w:rsidR="00A865E4">
        <w:fldChar w:fldCharType="begin"/>
      </w:r>
      <w:r>
        <w:instrText xml:space="preserve"> ADDIN EN.CITE &lt;EndNote&gt;&lt;Cite&gt;&lt;Author&gt;Headey&lt;/Author&gt;&lt;Year&gt;2006&lt;/Year&gt;&lt;RecNum&gt;2&lt;/RecNum&gt;&lt;record&gt;&lt;rec-number&gt;2&lt;/rec-number&gt;&lt;foreign-keys&gt;&lt;key app="EN" db-id="0sp9t02ao2s908er5duvztshees9x25szs2d"&gt;2&lt;/key&gt;&lt;/foreign-keys&gt;&lt;ref-type name="Unpublished Work"&gt;34&lt;/ref-type&gt;&lt;contributors&gt;&lt;authors&gt;&lt;author&gt;Headey, Bruce&lt;/author&gt;&lt;/authors&gt;&lt;/contributors&gt;&lt;titles&gt;&lt;title&gt;A Framework for Assessing Poverty, Disadvantage and Low Capabilities in Australia&lt;/title&gt;&lt;secondary-title&gt;Melbourne Institute Report&lt;/secondary-title&gt;&lt;/titles&gt;&lt;number&gt;6&lt;/number&gt;&lt;dates&gt;&lt;year&gt;2006&lt;/year&gt;&lt;/dates&gt;&lt;pub-location&gt;Melbourne&lt;/pub-location&gt;&lt;publisher&gt;The University of Mlebourne&lt;/publisher&gt;&lt;urls&gt;&lt;/urls&gt;&lt;/record&gt;&lt;/Cite&gt;&lt;/EndNote&gt;</w:instrText>
      </w:r>
      <w:r w:rsidR="00A865E4">
        <w:fldChar w:fldCharType="separate"/>
      </w:r>
      <w:r>
        <w:t>Headey 2006</w:t>
      </w:r>
      <w:r w:rsidR="00A865E4">
        <w:fldChar w:fldCharType="end"/>
      </w:r>
      <w:r>
        <w:t>). Multidimensional approaches, on the other hand, may be helpful in offering a framework to focus on the institutions and actors involved in the processes that cause deprivation (</w:t>
      </w:r>
      <w:r w:rsidR="00A865E4">
        <w:fldChar w:fldCharType="begin"/>
      </w:r>
      <w:r>
        <w:instrText xml:space="preserve"> ADDIN EN.CITE &lt;EndNote&gt;&lt;Cite&gt;&lt;Author&gt;De Haan&lt;/Author&gt;&lt;Year&gt;1998&lt;/Year&gt;&lt;RecNum&gt;13&lt;/RecNum&gt;&lt;record&gt;&lt;rec-number&gt;13&lt;/rec-number&gt;&lt;foreign-keys&gt;&lt;key app="EN" db-id="0sp9t02ao2s908er5duvztshees9x25szs2d"&gt;13&lt;/key&gt;&lt;/foreign-keys&gt;&lt;ref-type name="Journal Article"&gt;17&lt;/ref-type&gt;&lt;contributors&gt;&lt;authors&gt;&lt;author&gt;De Haan, Arjan&lt;/author&gt;&lt;author&gt;Maxwell, Simon&lt;/author&gt;&lt;/authors&gt;&lt;/contributors&gt;&lt;titles&gt;&lt;title&gt;Poverty and Social Exclusion in North and South&lt;/title&gt;&lt;secondary-title&gt;IDS Bulletin&lt;/secondary-title&gt;&lt;/titles&gt;&lt;periodical&gt;&lt;full-title&gt;IDS Bulletin&lt;/full-title&gt;&lt;/periodical&gt;&lt;volume&gt;29&lt;/volume&gt;&lt;number&gt;1&lt;/number&gt;&lt;dates&gt;&lt;year&gt;1998&lt;/year&gt;&lt;/dates&gt;&lt;urls&gt;&lt;/urls&gt;&lt;/record&gt;&lt;/Cite&gt;&lt;/EndNote&gt;</w:instrText>
      </w:r>
      <w:r w:rsidR="00A865E4">
        <w:fldChar w:fldCharType="separate"/>
      </w:r>
      <w:r>
        <w:t>De Haan &amp; Maxwell 1998</w:t>
      </w:r>
      <w:r w:rsidR="00A865E4">
        <w:fldChar w:fldCharType="end"/>
      </w:r>
      <w:r>
        <w:t xml:space="preserve">). </w:t>
      </w:r>
    </w:p>
    <w:p w:rsidR="001F5702" w:rsidRDefault="001F5702" w:rsidP="001F5702">
      <w:pPr>
        <w:pStyle w:val="Text"/>
      </w:pPr>
      <w:r>
        <w:t>These considerations have prompted a multidimensional approach to disadvantage being increasingly applied in more recent studies and includes an emphasis on the concept of ‘social exclusion’, which</w:t>
      </w:r>
      <w:r w:rsidR="00FA544D">
        <w:t>,</w:t>
      </w:r>
      <w:r>
        <w:t xml:space="preserve"> according to </w:t>
      </w:r>
      <w:r w:rsidR="00A865E4">
        <w:fldChar w:fldCharType="begin"/>
      </w:r>
      <w:r>
        <w:instrText xml:space="preserve"> ADDIN EN.CITE &lt;EndNote&gt;&lt;Cite&gt;&lt;Author&gt;Sen&lt;/Author&gt;&lt;Year&gt;2000&lt;/Year&gt;&lt;RecNum&gt;11&lt;/RecNum&gt;&lt;record&gt;&lt;rec-number&gt;11&lt;/rec-number&gt;&lt;foreign-keys&gt;&lt;key app="EN" db-id="0sp9t02ao2s908er5duvztshees9x25szs2d"&gt;11&lt;/key&gt;&lt;/foreign-keys&gt;&lt;ref-type name="Unpublished Work"&gt;34&lt;/ref-type&gt;&lt;contributors&gt;&lt;authors&gt;&lt;author&gt;Sen, Amartya&lt;/author&gt;&lt;/authors&gt;&lt;/contributors&gt;&lt;titles&gt;&lt;title&gt;Social Exclusion: Concept, Application, and Scrutiny &lt;/title&gt;&lt;secondary-title&gt;&lt;style face="normal" font="default" size="11"&gt;Social Development Papers&lt;/style&gt;&lt;/secondary-title&gt;&lt;/titles&gt;&lt;number&gt;1&lt;/number&gt;&lt;dates&gt;&lt;year&gt;2000&lt;/year&gt;&lt;/dates&gt;&lt;pub-location&gt;Manila&lt;/pub-location&gt;&lt;publisher&gt;&lt;style face="normal" font="default" size="11"&gt;Office of Environment and Social Development, Asian Development Bank&lt;/style&gt;&lt;/publisher&gt;&lt;urls&gt;&lt;/urls&gt;&lt;/record&gt;&lt;/Cite&gt;&lt;/EndNote&gt;</w:instrText>
      </w:r>
      <w:r w:rsidR="00A865E4">
        <w:fldChar w:fldCharType="separate"/>
      </w:r>
      <w:r>
        <w:t>Sen (2000</w:t>
      </w:r>
      <w:r w:rsidR="00A865E4">
        <w:fldChar w:fldCharType="end"/>
      </w:r>
      <w:r>
        <w:t xml:space="preserve">), has the potential to provide insights into the phenomenon of disadvantage through its </w:t>
      </w:r>
      <w:r w:rsidRPr="00B40376">
        <w:t>focus</w:t>
      </w:r>
      <w:r>
        <w:t xml:space="preserve"> </w:t>
      </w:r>
      <w:r w:rsidRPr="00B40376">
        <w:t>on relational processes</w:t>
      </w:r>
      <w:r>
        <w:t xml:space="preserve">. Others who do not share </w:t>
      </w:r>
      <w:proofErr w:type="spellStart"/>
      <w:r>
        <w:t>Sen’s</w:t>
      </w:r>
      <w:proofErr w:type="spellEnd"/>
      <w:r>
        <w:t xml:space="preserve"> view on disadvantage and who continue to rely on income as the best indicator of poverty consider the concept of social exclusion separate from poverty. In particular, according to </w:t>
      </w:r>
      <w:r w:rsidR="00A865E4">
        <w:fldChar w:fldCharType="begin"/>
      </w:r>
      <w:r>
        <w:instrText xml:space="preserve"> ADDIN EN.CITE &lt;EndNote&gt;&lt;Cite&gt;&lt;Author&gt;Duffy&lt;/Author&gt;&lt;Year&gt;2005&lt;/Year&gt;&lt;RecNum&gt;18&lt;/RecNum&gt;&lt;record&gt;&lt;rec-number&gt;18&lt;/rec-number&gt;&lt;foreign-keys&gt;&lt;key app="EN" db-id="0sp9t02ao2s908er5duvztshees9x25szs2d"&gt;18&lt;/key&gt;&lt;/foreign-keys&gt;&lt;ref-type name="Report"&gt;27&lt;/ref-type&gt;&lt;contributors&gt;&lt;authors&gt;&lt;author&gt;Duffy, &lt;/author&gt;&lt;/authors&gt;&lt;/contributors&gt;&lt;titles&gt;&lt;title&gt;Social exclusion and human dignity in Europe&lt;/title&gt;&lt;/titles&gt;&lt;dates&gt;&lt;year&gt;2005&lt;/year&gt;&lt;/dates&gt;&lt;publisher&gt;Council of Europe&lt;/publisher&gt;&lt;urls&gt;&lt;/urls&gt;&lt;/record&gt;&lt;/Cite&gt;&lt;/EndNote&gt;</w:instrText>
      </w:r>
      <w:r w:rsidR="00A865E4">
        <w:fldChar w:fldCharType="separate"/>
      </w:r>
      <w:r>
        <w:t xml:space="preserve">Duffy </w:t>
      </w:r>
      <w:r w:rsidR="00FA544D">
        <w:t>(</w:t>
      </w:r>
      <w:r>
        <w:t>2005</w:t>
      </w:r>
      <w:r w:rsidR="00A865E4">
        <w:fldChar w:fldCharType="end"/>
      </w:r>
      <w:r w:rsidR="00FA544D">
        <w:t>)</w:t>
      </w:r>
      <w:r>
        <w:t>, ‘s</w:t>
      </w:r>
      <w:r w:rsidRPr="00FC37E6">
        <w:t xml:space="preserve">ocial exclusion is a </w:t>
      </w:r>
      <w:r w:rsidRPr="00FC37E6">
        <w:lastRenderedPageBreak/>
        <w:t>broader concept than poverty, encompassing not only low material means but the inability to participate effectively in economic, social, political and cultural life and in some characterisations alienation and distance from mainstream society</w:t>
      </w:r>
      <w:r>
        <w:t>’ (</w:t>
      </w:r>
      <w:r w:rsidR="00FA544D">
        <w:t xml:space="preserve">cited in </w:t>
      </w:r>
      <w:r w:rsidR="00A865E4">
        <w:fldChar w:fldCharType="begin"/>
      </w:r>
      <w:r>
        <w:instrText xml:space="preserve"> ADDIN EN.CITE &lt;EndNote&gt;&lt;Cite&gt;&lt;Author&gt;Levitas&lt;/Author&gt;&lt;Year&gt;2007&lt;/Year&gt;&lt;RecNum&gt;16&lt;/RecNum&gt;&lt;record&gt;&lt;rec-number&gt;16&lt;/rec-number&gt;&lt;foreign-keys&gt;&lt;key app="EN" db-id="0sp9t02ao2s908er5duvztshees9x25szs2d"&gt;16&lt;/key&gt;&lt;/foreign-keys&gt;&lt;ref-type name="Report"&gt;27&lt;/ref-type&gt;&lt;contributors&gt;&lt;authors&gt;&lt;author&gt;Levitas, Ruth&lt;/author&gt;&lt;author&gt;Pantazis, Christina&lt;/author&gt;&lt;author&gt;Fahmy, Eldin&lt;/author&gt;&lt;author&gt;Gordon, David&lt;/author&gt;&lt;author&gt;Lloyd, Eva&lt;/author&gt;&lt;author&gt;Patsios, Demi&lt;/author&gt;&lt;/authors&gt;&lt;/contributors&gt;&lt;titles&gt;&lt;title&gt;The Multi-Dimensional Analysis of Social Exlcusion&lt;/title&gt;&lt;/titles&gt;&lt;dates&gt;&lt;year&gt;2007&lt;/year&gt;&lt;/dates&gt;&lt;pub-location&gt;London&lt;/pub-location&gt;&lt;publisher&gt;Social Exclusion Task Force &lt;/publisher&gt;&lt;urls&gt;&lt;/urls&gt;&lt;/record&gt;&lt;/Cite&gt;&lt;/EndNote&gt;</w:instrText>
      </w:r>
      <w:r w:rsidR="00A865E4">
        <w:fldChar w:fldCharType="separate"/>
      </w:r>
      <w:r>
        <w:t>Levitas et al. 2007</w:t>
      </w:r>
      <w:r w:rsidR="00A865E4">
        <w:fldChar w:fldCharType="end"/>
      </w:r>
      <w:r>
        <w:t>)</w:t>
      </w:r>
      <w:r w:rsidRPr="00FC37E6">
        <w:t>.</w:t>
      </w:r>
      <w:r>
        <w:t xml:space="preserve"> </w:t>
      </w:r>
    </w:p>
    <w:p w:rsidR="001F5702" w:rsidRDefault="001F5702" w:rsidP="001A21DB">
      <w:pPr>
        <w:pStyle w:val="Text"/>
        <w:ind w:right="-151"/>
      </w:pPr>
      <w:r>
        <w:t xml:space="preserve">There are numerous views on the definition of the social exclusion concept itself. </w:t>
      </w:r>
      <w:r w:rsidR="00A865E4">
        <w:fldChar w:fldCharType="begin"/>
      </w:r>
      <w:r>
        <w:instrText xml:space="preserve"> ADDIN EN.CITE &lt;EndNote&gt;&lt;Cite&gt;&lt;Author&gt;Lenoir&lt;/Author&gt;&lt;Year&gt;1974&lt;/Year&gt;&lt;RecNum&gt;10&lt;/RecNum&gt;&lt;record&gt;&lt;rec-number&gt;10&lt;/rec-number&gt;&lt;foreign-keys&gt;&lt;key app="EN" db-id="0sp9t02ao2s908er5duvztshees9x25szs2d"&gt;10&lt;/key&gt;&lt;/foreign-keys&gt;&lt;ref-type name="Book"&gt;6&lt;/ref-type&gt;&lt;contributors&gt;&lt;authors&gt;&lt;author&gt;Lenoir, René&lt;/author&gt;&lt;/authors&gt;&lt;/contributors&gt;&lt;titles&gt;&lt;title&gt;Les Exclus: Un Francais sur Dix&lt;/title&gt;&lt;/titles&gt;&lt;dates&gt;&lt;year&gt;1974&lt;/year&gt;&lt;/dates&gt;&lt;pub-location&gt;Paris&lt;/pub-location&gt;&lt;publisher&gt;Editions du Seuil&lt;/publisher&gt;&lt;urls&gt;&lt;/urls&gt;&lt;/record&gt;&lt;/Cite&gt;&lt;/EndNote&gt;</w:instrText>
      </w:r>
      <w:r w:rsidR="00A865E4">
        <w:fldChar w:fldCharType="separate"/>
      </w:r>
      <w:r>
        <w:t>Lenoir (1974</w:t>
      </w:r>
      <w:r w:rsidR="00A865E4">
        <w:fldChar w:fldCharType="end"/>
      </w:r>
      <w:r>
        <w:t>) is credited with the authorship of the term, which at that time was used for those who were administratively excluded by the state (</w:t>
      </w:r>
      <w:r w:rsidR="00A865E4">
        <w:fldChar w:fldCharType="begin"/>
      </w:r>
      <w:r>
        <w:instrText xml:space="preserve"> ADDIN EN.CITE &lt;EndNote&gt;&lt;Cite&gt;&lt;Author&gt;Burchardt&lt;/Author&gt;&lt;Year&gt;1999&lt;/Year&gt;&lt;RecNum&gt;12&lt;/RecNum&gt;&lt;record&gt;&lt;rec-number&gt;12&lt;/rec-number&gt;&lt;foreign-keys&gt;&lt;key app="EN" db-id="0sp9t02ao2s908er5duvztshees9x25szs2d"&gt;12&lt;/key&gt;&lt;/foreign-keys&gt;&lt;ref-type name="Journal Article"&gt;17&lt;/ref-type&gt;&lt;contributors&gt;&lt;authors&gt;&lt;author&gt;Burchardt, Tania&lt;/author&gt;&lt;author&gt;Le Grand, Julian  &lt;/author&gt;&lt;author&gt;Piachaud, David &lt;/author&gt;&lt;/authors&gt;&lt;/contributors&gt;&lt;titles&gt;&lt;title&gt;Social Exclusion in Britain 1991-1995&lt;/title&gt;&lt;secondary-title&gt;Social Policy &amp;amp; Administration&lt;/secondary-title&gt;&lt;/titles&gt;&lt;periodical&gt;&lt;full-title&gt;Social Policy &amp;amp; Administration&lt;/full-title&gt;&lt;/periodical&gt;&lt;pages&gt;227-244&lt;/pages&gt;&lt;volume&gt;33&lt;/volume&gt;&lt;number&gt;3&lt;/number&gt;&lt;dates&gt;&lt;year&gt;1999&lt;/year&gt;&lt;/dates&gt;&lt;urls&gt;&lt;/urls&gt;&lt;/record&gt;&lt;/Cite&gt;&lt;/EndNote&gt;</w:instrText>
      </w:r>
      <w:r w:rsidR="00A865E4">
        <w:fldChar w:fldCharType="separate"/>
      </w:r>
      <w:r>
        <w:t>Burchardt, Le Grand &amp; Piachaud 1999</w:t>
      </w:r>
      <w:r w:rsidR="00A865E4">
        <w:fldChar w:fldCharType="end"/>
      </w:r>
      <w:r>
        <w:t xml:space="preserve">). Many alternative approaches to defining social exclusion have emerged in the literature since then. According to </w:t>
      </w:r>
      <w:r w:rsidR="00A865E4">
        <w:fldChar w:fldCharType="begin"/>
      </w:r>
      <w:r>
        <w:instrText xml:space="preserve"> ADDIN EN.CITE &lt;EndNote&gt;&lt;Cite&gt;&lt;Author&gt;Burchardt&lt;/Author&gt;&lt;Year&gt;1999&lt;/Year&gt;&lt;RecNum&gt;12&lt;/RecNum&gt;&lt;record&gt;&lt;rec-number&gt;12&lt;/rec-number&gt;&lt;foreign-keys&gt;&lt;key app="EN" db-id="0sp9t02ao2s908er5duvztshees9x25szs2d"&gt;12&lt;/key&gt;&lt;/foreign-keys&gt;&lt;ref-type name="Journal Article"&gt;17&lt;/ref-type&gt;&lt;contributors&gt;&lt;authors&gt;&lt;author&gt;Burchardt, Tania&lt;/author&gt;&lt;author&gt;Le Grand, Julian  &lt;/author&gt;&lt;author&gt;Piachaud, David &lt;/author&gt;&lt;/authors&gt;&lt;/contributors&gt;&lt;titles&gt;&lt;title&gt;Social Exclusion in Britain 1991-1995&lt;/title&gt;&lt;secondary-title&gt;Social Policy &amp;amp; Administration&lt;/secondary-title&gt;&lt;/titles&gt;&lt;periodical&gt;&lt;full-title&gt;Social Policy &amp;amp; Administration&lt;/full-title&gt;&lt;/periodical&gt;&lt;pages&gt;227-244&lt;/pages&gt;&lt;volume&gt;33&lt;/volume&gt;&lt;number&gt;3&lt;/number&gt;&lt;dates&gt;&lt;year&gt;1999&lt;/year&gt;&lt;/dates&gt;&lt;urls&gt;&lt;/urls&gt;&lt;/record&gt;&lt;/Cite&gt;&lt;/EndNote&gt;</w:instrText>
      </w:r>
      <w:r w:rsidR="00A865E4">
        <w:fldChar w:fldCharType="separate"/>
      </w:r>
      <w:r>
        <w:t>Burchardt, Le Grand and Piachaud (1999</w:t>
      </w:r>
      <w:r w:rsidR="00A865E4">
        <w:fldChar w:fldCharType="end"/>
      </w:r>
      <w:r>
        <w:t>), an individual is socially excluded if ‘</w:t>
      </w:r>
      <w:r w:rsidRPr="00301AD0">
        <w:t>(a) he or she is geographically</w:t>
      </w:r>
      <w:r>
        <w:t xml:space="preserve"> </w:t>
      </w:r>
      <w:r w:rsidRPr="00301AD0">
        <w:t>resident in a society and (b) he or she does not participate in the normal</w:t>
      </w:r>
      <w:r>
        <w:t xml:space="preserve"> </w:t>
      </w:r>
      <w:r w:rsidRPr="00301AD0">
        <w:t>activities of citizens in that society</w:t>
      </w:r>
      <w:r>
        <w:t>’</w:t>
      </w:r>
      <w:r w:rsidRPr="00301AD0">
        <w:t>.</w:t>
      </w:r>
      <w:r>
        <w:t xml:space="preserve"> The domain of ‘normal activities’ has been elucidated to various extents in further studies. In particular, as </w:t>
      </w:r>
      <w:r w:rsidR="00A865E4">
        <w:fldChar w:fldCharType="begin"/>
      </w:r>
      <w:r>
        <w:instrText xml:space="preserve"> ADDIN EN.CITE &lt;EndNote&gt;&lt;Cite&gt;&lt;Author&gt;Tsakloglou&lt;/Author&gt;&lt;Year&gt;2001&lt;/Year&gt;&lt;RecNum&gt;9&lt;/RecNum&gt;&lt;record&gt;&lt;rec-number&gt;9&lt;/rec-number&gt;&lt;foreign-keys&gt;&lt;key app="EN" db-id="0sp9t02ao2s908er5duvztshees9x25szs2d"&gt;9&lt;/key&gt;&lt;/foreign-keys&gt;&lt;ref-type name="Unpublished Work"&gt;34&lt;/ref-type&gt;&lt;contributors&gt;&lt;authors&gt;&lt;author&gt;Tsakloglou, Panos &lt;/author&gt;&lt;author&gt;Papadopoulos, Fotis&lt;/author&gt;&lt;/authors&gt;&lt;/contributors&gt;&lt;titles&gt;&lt;title&gt;Identifying Population Groups at High Risk of Social Exclusion: Evidence from the ECHP&lt;/title&gt;&lt;secondary-title&gt;&lt;style face="normal" font="default" size="11"&gt;IZA Discussion Paper&lt;/style&gt;&lt;/secondary-title&gt;&lt;/titles&gt;&lt;number&gt;392&lt;/number&gt;&lt;dates&gt;&lt;year&gt;2001&lt;/year&gt;&lt;/dates&gt;&lt;pub-location&gt;Bonn&lt;/pub-location&gt;&lt;publisher&gt;IZA&lt;/publisher&gt;&lt;urls&gt;&lt;/urls&gt;&lt;/record&gt;&lt;/Cite&gt;&lt;/EndNote&gt;</w:instrText>
      </w:r>
      <w:r w:rsidR="00A865E4">
        <w:fldChar w:fldCharType="separate"/>
      </w:r>
      <w:r>
        <w:t>Tsakloglou and Papadopoulos (2001</w:t>
      </w:r>
      <w:r w:rsidR="00A865E4">
        <w:fldChar w:fldCharType="end"/>
      </w:r>
      <w:r>
        <w:t xml:space="preserve">) interpret it, </w:t>
      </w:r>
      <w:r w:rsidRPr="005D7758">
        <w:t>social exclusion</w:t>
      </w:r>
      <w:r>
        <w:t xml:space="preserve"> implies the ‘</w:t>
      </w:r>
      <w:r w:rsidRPr="005D7758">
        <w:t>inability of an individual to participate in the basic political, economic and social</w:t>
      </w:r>
      <w:r>
        <w:t xml:space="preserve"> </w:t>
      </w:r>
      <w:proofErr w:type="spellStart"/>
      <w:r w:rsidRPr="005D7758">
        <w:t>functionings</w:t>
      </w:r>
      <w:proofErr w:type="spellEnd"/>
      <w:r w:rsidRPr="005D7758">
        <w:t xml:space="preserve"> of the society in which he or she lives</w:t>
      </w:r>
      <w:r>
        <w:t xml:space="preserve">’. </w:t>
      </w:r>
      <w:r w:rsidR="00A865E4">
        <w:fldChar w:fldCharType="begin"/>
      </w:r>
      <w:r>
        <w:instrText xml:space="preserve"> ADDIN EN.CITE &lt;EndNote&gt;&lt;Cite&gt;&lt;Author&gt;Levitas&lt;/Author&gt;&lt;Year&gt;2007&lt;/Year&gt;&lt;RecNum&gt;16&lt;/RecNum&gt;&lt;record&gt;&lt;rec-number&gt;16&lt;/rec-number&gt;&lt;foreign-keys&gt;&lt;key app="EN" db-id="0sp9t02ao2s908er5duvztshees9x25szs2d"&gt;16&lt;/key&gt;&lt;/foreign-keys&gt;&lt;ref-type name="Report"&gt;27&lt;/ref-type&gt;&lt;contributors&gt;&lt;authors&gt;&lt;author&gt;Levitas, Ruth&lt;/author&gt;&lt;author&gt;Pantazis, Christina&lt;/author&gt;&lt;author&gt;Fahmy, Eldin&lt;/author&gt;&lt;author&gt;Gordon, David&lt;/author&gt;&lt;author&gt;Lloyd, Eva&lt;/author&gt;&lt;author&gt;Patsios, Demi&lt;/author&gt;&lt;/authors&gt;&lt;/contributors&gt;&lt;titles&gt;&lt;title&gt;The Multi-Dimensional Analysis of Social Exlcusion&lt;/title&gt;&lt;/titles&gt;&lt;dates&gt;&lt;year&gt;2007&lt;/year&gt;&lt;/dates&gt;&lt;pub-location&gt;London&lt;/pub-location&gt;&lt;publisher&gt;Social Exclusion Task Force &lt;/publisher&gt;&lt;urls&gt;&lt;/urls&gt;&lt;/record&gt;&lt;/Cite&gt;&lt;/EndNote&gt;</w:instrText>
      </w:r>
      <w:r w:rsidR="00A865E4">
        <w:fldChar w:fldCharType="separate"/>
      </w:r>
      <w:r>
        <w:t>Levitas et al. (2007</w:t>
      </w:r>
      <w:r w:rsidR="00A865E4">
        <w:fldChar w:fldCharType="end"/>
      </w:r>
      <w:r>
        <w:t>) state that the process of social</w:t>
      </w:r>
      <w:r w:rsidR="001A21DB">
        <w:t xml:space="preserve"> </w:t>
      </w:r>
      <w:r>
        <w:t>exclusion involves ‘</w:t>
      </w:r>
      <w:r w:rsidRPr="00662916">
        <w:t>the lack or denial of resources, rights, goods and services, and the inability to participate in the normal relationships and activities, available to the majority of people in a society, whether in economic, social, cultural or political arenas</w:t>
      </w:r>
      <w:r>
        <w:t>’</w:t>
      </w:r>
      <w:r w:rsidRPr="00662916">
        <w:t>.</w:t>
      </w:r>
      <w:r>
        <w:t xml:space="preserve"> In addition, they consider the concept of ‘deep exclusion’, which implies exclusion across more than one dimension of disadvantage and which leads to ‘</w:t>
      </w:r>
      <w:r w:rsidRPr="00662916">
        <w:t>severe negative consequences for quality of life, well-being and future life chances</w:t>
      </w:r>
      <w:r>
        <w:t>’</w:t>
      </w:r>
      <w:r w:rsidRPr="00662916">
        <w:t>.</w:t>
      </w:r>
    </w:p>
    <w:p w:rsidR="001F5702" w:rsidRDefault="001F5702" w:rsidP="001F5702">
      <w:pPr>
        <w:pStyle w:val="Text"/>
      </w:pPr>
      <w:r>
        <w:t xml:space="preserve">Beyond definitions, there is even less </w:t>
      </w:r>
      <w:r w:rsidRPr="00463EA5">
        <w:t xml:space="preserve">consensus on how the concept </w:t>
      </w:r>
      <w:r>
        <w:t>of social exclusion can</w:t>
      </w:r>
      <w:r w:rsidRPr="00463EA5">
        <w:t xml:space="preserve"> be </w:t>
      </w:r>
      <w:r>
        <w:t xml:space="preserve">measured in empirical analysis, and studies to date have emphasised different dimensions contained within it. For example, </w:t>
      </w:r>
      <w:r w:rsidR="00A865E4">
        <w:fldChar w:fldCharType="begin"/>
      </w:r>
      <w:r>
        <w:instrText xml:space="preserve"> ADDIN EN.CITE &lt;EndNote&gt;&lt;Cite&gt;&lt;Author&gt;Burchardt&lt;/Author&gt;&lt;Year&gt;1999&lt;/Year&gt;&lt;RecNum&gt;12&lt;/RecNum&gt;&lt;record&gt;&lt;rec-number&gt;12&lt;/rec-number&gt;&lt;foreign-keys&gt;&lt;key app="EN" db-id="0sp9t02ao2s908er5duvztshees9x25szs2d"&gt;12&lt;/key&gt;&lt;/foreign-keys&gt;&lt;ref-type name="Journal Article"&gt;17&lt;/ref-type&gt;&lt;contributors&gt;&lt;authors&gt;&lt;author&gt;Burchardt, Tania&lt;/author&gt;&lt;author&gt;Le Grand, Julian  &lt;/author&gt;&lt;author&gt;Piachaud, David &lt;/author&gt;&lt;/authors&gt;&lt;/contributors&gt;&lt;titles&gt;&lt;title&gt;Social Exclusion in Britain 1991-1995&lt;/title&gt;&lt;secondary-title&gt;Social Policy &amp;amp; Administration&lt;/secondary-title&gt;&lt;/titles&gt;&lt;periodical&gt;&lt;full-title&gt;Social Policy &amp;amp; Administration&lt;/full-title&gt;&lt;/periodical&gt;&lt;pages&gt;227-244&lt;/pages&gt;&lt;volume&gt;33&lt;/volume&gt;&lt;number&gt;3&lt;/number&gt;&lt;dates&gt;&lt;year&gt;1999&lt;/year&gt;&lt;/dates&gt;&lt;urls&gt;&lt;/urls&gt;&lt;/record&gt;&lt;/Cite&gt;&lt;/EndNote&gt;</w:instrText>
      </w:r>
      <w:r w:rsidR="00A865E4">
        <w:fldChar w:fldCharType="separate"/>
      </w:r>
      <w:r w:rsidR="00A865E4">
        <w:fldChar w:fldCharType="begin"/>
      </w:r>
      <w:r>
        <w:instrText xml:space="preserve"> ADDIN EN.CITE &lt;EndNote&gt;&lt;Cite&gt;&lt;Author&gt;Burchardt&lt;/Author&gt;&lt;Year&gt;1999&lt;/Year&gt;&lt;RecNum&gt;12&lt;/RecNum&gt;&lt;record&gt;&lt;rec-number&gt;12&lt;/rec-number&gt;&lt;foreign-keys&gt;&lt;key app="EN" db-id="0sp9t02ao2s908er5duvztshees9x25szs2d"&gt;12&lt;/key&gt;&lt;/foreign-keys&gt;&lt;ref-type name="Journal Article"&gt;17&lt;/ref-type&gt;&lt;contributors&gt;&lt;authors&gt;&lt;author&gt;Burchardt, Tania&lt;/author&gt;&lt;author&gt;Le Grand, Julian  &lt;/author&gt;&lt;author&gt;Piachaud, David &lt;/author&gt;&lt;/authors&gt;&lt;/contributors&gt;&lt;titles&gt;&lt;title&gt;Social Exclusion in Britain 1991-1995&lt;/title&gt;&lt;secondary-title&gt;Social Policy &amp;amp; Administration&lt;/secondary-title&gt;&lt;/titles&gt;&lt;periodical&gt;&lt;full-title&gt;Social Policy &amp;amp; Administration&lt;/full-title&gt;&lt;/periodical&gt;&lt;pages&gt;227-244&lt;/pages&gt;&lt;volume&gt;33&lt;/volume&gt;&lt;number&gt;3&lt;/number&gt;&lt;dates&gt;&lt;year&gt;1999&lt;/year&gt;&lt;/dates&gt;&lt;urls&gt;&lt;/urls&gt;&lt;/record&gt;&lt;/Cite&gt;&lt;/EndNote&gt;</w:instrText>
      </w:r>
      <w:r w:rsidR="00A865E4">
        <w:fldChar w:fldCharType="separate"/>
      </w:r>
      <w:r>
        <w:t>Burchardt, Le Grand and Piachaud (1999</w:t>
      </w:r>
      <w:r w:rsidR="00A865E4">
        <w:fldChar w:fldCharType="end"/>
      </w:r>
      <w:r>
        <w:t xml:space="preserve">) </w:t>
      </w:r>
      <w:r w:rsidR="00A865E4">
        <w:fldChar w:fldCharType="end"/>
      </w:r>
      <w:r>
        <w:t xml:space="preserve">measured social inclusion according to participation in consumption, saving, production, political and social activities. </w:t>
      </w:r>
      <w:r w:rsidR="00A865E4">
        <w:fldChar w:fldCharType="begin"/>
      </w:r>
      <w:r>
        <w:instrText xml:space="preserve"> ADDIN EN.CITE &lt;EndNote&gt;&lt;Cite&gt;&lt;Author&gt;Tsakloglou&lt;/Author&gt;&lt;Year&gt;2001&lt;/Year&gt;&lt;RecNum&gt;9&lt;/RecNum&gt;&lt;record&gt;&lt;rec-number&gt;9&lt;/rec-number&gt;&lt;foreign-keys&gt;&lt;key app="EN" db-id="0sp9t02ao2s908er5duvztshees9x25szs2d"&gt;9&lt;/key&gt;&lt;/foreign-keys&gt;&lt;ref-type name="Unpublished Work"&gt;34&lt;/ref-type&gt;&lt;contributors&gt;&lt;authors&gt;&lt;author&gt;Tsakloglou, Panos &lt;/author&gt;&lt;author&gt;Papadopoulos, Fotis&lt;/author&gt;&lt;/authors&gt;&lt;/contributors&gt;&lt;titles&gt;&lt;title&gt;Identifying Population Groups at High Risk of Social Exclusion: Evidence from the ECHP&lt;/title&gt;&lt;secondary-title&gt;&lt;style face="normal" font="default" size="11"&gt;IZA Discussion Paper&lt;/style&gt;&lt;/secondary-title&gt;&lt;/titles&gt;&lt;number&gt;392&lt;/number&gt;&lt;dates&gt;&lt;year&gt;2001&lt;/year&gt;&lt;/dates&gt;&lt;pub-location&gt;Bonn&lt;/pub-location&gt;&lt;publisher&gt;IZA&lt;/publisher&gt;&lt;urls&gt;&lt;/urls&gt;&lt;/record&gt;&lt;/Cite&gt;&lt;/EndNote&gt;</w:instrText>
      </w:r>
      <w:r w:rsidR="00A865E4">
        <w:fldChar w:fldCharType="separate"/>
      </w:r>
      <w:r>
        <w:t>Tsakloglou and Papadopoulos (2001</w:t>
      </w:r>
      <w:r w:rsidR="00A865E4">
        <w:fldChar w:fldCharType="end"/>
      </w:r>
      <w:r>
        <w:t>), on the other hand,</w:t>
      </w:r>
      <w:r w:rsidRPr="004F50D4">
        <w:t xml:space="preserve"> </w:t>
      </w:r>
      <w:r>
        <w:t>used</w:t>
      </w:r>
      <w:r w:rsidRPr="004F50D4">
        <w:t xml:space="preserve"> </w:t>
      </w:r>
      <w:r>
        <w:t xml:space="preserve">indicators of income, living conditions, </w:t>
      </w:r>
      <w:proofErr w:type="gramStart"/>
      <w:r>
        <w:t>necessities</w:t>
      </w:r>
      <w:proofErr w:type="gramEnd"/>
      <w:r>
        <w:t xml:space="preserve"> of life and social r</w:t>
      </w:r>
      <w:r w:rsidRPr="004F50D4">
        <w:t>elations</w:t>
      </w:r>
      <w:r>
        <w:t xml:space="preserve"> to identify the socially excluded</w:t>
      </w:r>
      <w:r w:rsidRPr="004F50D4">
        <w:t>.</w:t>
      </w:r>
      <w:r>
        <w:t xml:space="preserve"> Finally, </w:t>
      </w:r>
      <w:r w:rsidR="00A865E4">
        <w:fldChar w:fldCharType="begin"/>
      </w:r>
      <w:r>
        <w:instrText xml:space="preserve"> ADDIN EN.CITE &lt;EndNote&gt;&lt;Cite&gt;&lt;Author&gt;Levitas&lt;/Author&gt;&lt;Year&gt;2007&lt;/Year&gt;&lt;RecNum&gt;16&lt;/RecNum&gt;&lt;record&gt;&lt;rec-number&gt;16&lt;/rec-number&gt;&lt;foreign-keys&gt;&lt;key app="EN" db-id="0sp9t02ao2s908er5duvztshees9x25szs2d"&gt;16&lt;/key&gt;&lt;/foreign-keys&gt;&lt;ref-type name="Report"&gt;27&lt;/ref-type&gt;&lt;contributors&gt;&lt;authors&gt;&lt;author&gt;Levitas, Ruth&lt;/author&gt;&lt;author&gt;Pantazis, Christina&lt;/author&gt;&lt;author&gt;Fahmy, Eldin&lt;/author&gt;&lt;author&gt;Gordon, David&lt;/author&gt;&lt;author&gt;Lloyd, Eva&lt;/author&gt;&lt;author&gt;Patsios, Demi&lt;/author&gt;&lt;/authors&gt;&lt;/contributors&gt;&lt;titles&gt;&lt;title&gt;The Multi-Dimensional Analysis of Social Exlcusion&lt;/title&gt;&lt;/titles&gt;&lt;dates&gt;&lt;year&gt;2007&lt;/year&gt;&lt;/dates&gt;&lt;pub-location&gt;London&lt;/pub-location&gt;&lt;publisher&gt;Social Exclusion Task Force &lt;/publisher&gt;&lt;urls&gt;&lt;/urls&gt;&lt;/record&gt;&lt;/Cite&gt;&lt;/EndNote&gt;</w:instrText>
      </w:r>
      <w:r w:rsidR="00A865E4">
        <w:fldChar w:fldCharType="separate"/>
      </w:r>
      <w:r>
        <w:t>Levitas et al. (2007</w:t>
      </w:r>
      <w:r w:rsidR="00A865E4">
        <w:fldChar w:fldCharType="end"/>
      </w:r>
      <w:r>
        <w:t xml:space="preserve">) constructed a matrix of ten key domains of social exclusion, </w:t>
      </w:r>
      <w:r w:rsidRPr="008C7DFA">
        <w:t>the Bristol Social Exclusion Matrix</w:t>
      </w:r>
      <w:r>
        <w:t>, or B-SEM, consisting of domains that reflected</w:t>
      </w:r>
      <w:r w:rsidRPr="008C7DFA">
        <w:t>:</w:t>
      </w:r>
      <w:r>
        <w:t xml:space="preserve"> resources</w:t>
      </w:r>
      <w:r w:rsidRPr="008C7DFA">
        <w:t xml:space="preserve"> </w:t>
      </w:r>
      <w:r>
        <w:t>(material/economic resources; a</w:t>
      </w:r>
      <w:r w:rsidRPr="008C7DFA">
        <w:t>ccess to public and private serv</w:t>
      </w:r>
      <w:r>
        <w:t>ices; s</w:t>
      </w:r>
      <w:r w:rsidRPr="008C7DFA">
        <w:t>ocial resources</w:t>
      </w:r>
      <w:r>
        <w:t>); participation (economic; social; culture, education and skills; p</w:t>
      </w:r>
      <w:r w:rsidRPr="008C7DFA">
        <w:t>olitical and civic</w:t>
      </w:r>
      <w:r>
        <w:t>); and quality of life</w:t>
      </w:r>
      <w:r w:rsidRPr="008C7DFA">
        <w:t xml:space="preserve"> </w:t>
      </w:r>
      <w:r>
        <w:t>(health and wellbeing; living environment; c</w:t>
      </w:r>
      <w:r w:rsidRPr="008C7DFA">
        <w:t>rime, harm and criminalisation</w:t>
      </w:r>
      <w:r>
        <w:t>).</w:t>
      </w:r>
      <w:r w:rsidRPr="008C7DFA">
        <w:t xml:space="preserve"> </w:t>
      </w:r>
    </w:p>
    <w:p w:rsidR="001F5702" w:rsidRDefault="00A865E4" w:rsidP="001F5702">
      <w:pPr>
        <w:pStyle w:val="Text"/>
      </w:pPr>
      <w:r>
        <w:fldChar w:fldCharType="begin"/>
      </w:r>
      <w:r w:rsidR="001F5702">
        <w:instrText xml:space="preserve"> ADDIN EN.CITE &lt;EndNote&gt;&lt;Cite&gt;&lt;Author&gt;Scutella&lt;/Author&gt;&lt;Year&gt;2009&lt;/Year&gt;&lt;RecNum&gt;1&lt;/RecNum&gt;&lt;record&gt;&lt;rec-number&gt;1&lt;/rec-number&gt;&lt;foreign-keys&gt;&lt;key app="EN" db-id="0sp9t02ao2s908er5duvztshees9x25szs2d"&gt;1&lt;/key&gt;&lt;/foreign-keys&gt;&lt;ref-type name="Unpublished Work"&gt;34&lt;/ref-type&gt;&lt;contributors&gt;&lt;authors&gt;&lt;author&gt;Scutella, Rosanna&lt;/author&gt;&lt;author&gt;Wilkins, Roger&lt;/author&gt;&lt;author&gt;Horn, Michael &lt;/author&gt;&lt;/authors&gt;&lt;/contributors&gt;&lt;titles&gt;&lt;title&gt;Measuring Poverty and Social Exclusion in Australia: A Proposed Multidimensional Framework for Identifying Socio-Economic Disadvantage&lt;/title&gt;&lt;secondary-title&gt;Melbourne Institute Working Paper Series&lt;/secondary-title&gt;&lt;/titles&gt;&lt;volume&gt;4/09&lt;/volume&gt;&lt;dates&gt;&lt;year&gt;2009&lt;/year&gt;&lt;/dates&gt;&lt;pub-location&gt;Melbourne&lt;/pub-location&gt;&lt;publisher&gt;The University of Melbourne&lt;/publisher&gt;&lt;urls&gt;&lt;/urls&gt;&lt;/record&gt;&lt;/Cite&gt;&lt;/EndNote&gt;</w:instrText>
      </w:r>
      <w:r>
        <w:fldChar w:fldCharType="separate"/>
      </w:r>
      <w:r w:rsidR="001F5702">
        <w:t>Scutella, Wilkins and Horn (2009</w:t>
      </w:r>
      <w:r>
        <w:fldChar w:fldCharType="end"/>
      </w:r>
      <w:r w:rsidR="001F5702">
        <w:t xml:space="preserve">) provide a </w:t>
      </w:r>
      <w:r w:rsidR="001F5702" w:rsidRPr="005D7758">
        <w:t xml:space="preserve">comprehensive survey of </w:t>
      </w:r>
      <w:r w:rsidR="001F5702">
        <w:t>a number of additional uses of the concept of social exclusion,</w:t>
      </w:r>
      <w:r w:rsidR="001F5702" w:rsidRPr="00806379">
        <w:t xml:space="preserve"> </w:t>
      </w:r>
      <w:r w:rsidR="001F5702">
        <w:t>which further emphasise the diversity of approaches to capturing it. They also provide an approach to its measurement in Australia, arranged around the domains of resources and participation. The</w:t>
      </w:r>
      <w:r>
        <w:fldChar w:fldCharType="begin"/>
      </w:r>
      <w:r w:rsidR="001F5702">
        <w:instrText xml:space="preserve"> ADDIN EN.CITE &lt;EndNote&gt;&lt;Cite&gt;&lt;Author&gt;Australian Government&lt;/Author&gt;&lt;Year&gt;2010&lt;/Year&gt;&lt;RecNum&gt;115&lt;/RecNum&gt;&lt;record&gt;&lt;rec-number&gt;115&lt;/rec-number&gt;&lt;foreign-keys&gt;&lt;key app="EN" db-id="0sp9t02ao2s908er5duvztshees9x25szs2d"&gt;115&lt;/key&gt;&lt;/foreign-keys&gt;&lt;ref-type name="Report"&gt;27&lt;/ref-type&gt;&lt;contributors&gt;&lt;authors&gt;&lt;author&gt;Australian Government,&lt;/author&gt;&lt;/authors&gt;&lt;/contributors&gt;&lt;titles&gt;&lt;title&gt;Social Inclusion in Australia: How Australia is faring&lt;/title&gt;&lt;/titles&gt;&lt;dates&gt;&lt;year&gt;2010&lt;/year&gt;&lt;/dates&gt;&lt;pub-location&gt;Canberra&lt;/pub-location&gt;&lt;urls&gt;&lt;/urls&gt;&lt;/record&gt;&lt;/Cite&gt;&lt;/EndNote&gt;</w:instrText>
      </w:r>
      <w:r>
        <w:fldChar w:fldCharType="separate"/>
      </w:r>
      <w:r w:rsidR="001F5702" w:rsidRPr="00652F88">
        <w:t xml:space="preserve"> </w:t>
      </w:r>
      <w:r w:rsidR="001F5702">
        <w:t>Australian Social Inclusion Board (2010</w:t>
      </w:r>
      <w:r>
        <w:fldChar w:fldCharType="end"/>
      </w:r>
      <w:r w:rsidR="001F5702">
        <w:t>) takes a similar stance</w:t>
      </w:r>
      <w:r w:rsidR="00FA544D">
        <w:t>,</w:t>
      </w:r>
      <w:r w:rsidR="001F5702">
        <w:t xml:space="preserve"> by defining as socially included, people who have the resources, opportunities and capabilities they need to learn (participate in education and training); work </w:t>
      </w:r>
      <w:r w:rsidR="001F5702" w:rsidRPr="002E7516">
        <w:t>(participate in employment, unpaid or voluntary work</w:t>
      </w:r>
      <w:r w:rsidR="001F5702">
        <w:t>,</w:t>
      </w:r>
      <w:r w:rsidR="001F5702" w:rsidRPr="002E7516">
        <w:t xml:space="preserve"> including family and carer responsibilities); engage (connect with people, use local services and participate in local, cultural, civic and recreational activities); and have a voice (influence decisions that affect them).</w:t>
      </w:r>
      <w:r w:rsidR="001F5702">
        <w:t xml:space="preserve"> Another Australian study by </w:t>
      </w:r>
      <w:r>
        <w:fldChar w:fldCharType="begin"/>
      </w:r>
      <w:r w:rsidR="001F5702">
        <w:instrText xml:space="preserve"> ADDIN EN.CITE &lt;EndNote&gt;&lt;Cite&gt;&lt;Author&gt;Saunders&lt;/Author&gt;&lt;Year&gt;2009&lt;/Year&gt;&lt;RecNum&gt;112&lt;/RecNum&gt;&lt;record&gt;&lt;rec-number&gt;112&lt;/rec-number&gt;&lt;foreign-keys&gt;&lt;key app="EN" db-id="0sp9t02ao2s908er5duvztshees9x25szs2d"&gt;112&lt;/key&gt;&lt;/foreign-keys&gt;&lt;ref-type name="Journal Article"&gt;17&lt;/ref-type&gt;&lt;contributors&gt;&lt;authors&gt;&lt;author&gt;Saunders, Peter&lt;/author&gt;&lt;author&gt;Naidoo, Yuvisthi&lt;/author&gt;&lt;/authors&gt;&lt;/contributors&gt;&lt;titles&gt;&lt;title&gt;Poverty, deprivation and consistent poverty&lt;/title&gt;&lt;secondary-title&gt;Economic Record&lt;/secondary-title&gt;&lt;/titles&gt;&lt;periodical&gt;&lt;full-title&gt;Economic Record&lt;/full-title&gt;&lt;/periodical&gt;&lt;pages&gt;417-432&lt;/pages&gt;&lt;volume&gt;85&lt;/volume&gt;&lt;number&gt;271&lt;/number&gt;&lt;dates&gt;&lt;year&gt;2009&lt;/year&gt;&lt;/dates&gt;&lt;urls&gt;&lt;/urls&gt;&lt;/record&gt;&lt;/Cite&gt;&lt;/EndNote&gt;</w:instrText>
      </w:r>
      <w:r>
        <w:fldChar w:fldCharType="separate"/>
      </w:r>
      <w:r w:rsidR="001F5702">
        <w:t>Saunders and Naidoo (2009</w:t>
      </w:r>
      <w:r>
        <w:fldChar w:fldCharType="end"/>
      </w:r>
      <w:r w:rsidR="001F5702">
        <w:t xml:space="preserve">) focuses on deprivation as measured by the inability of individuals or households to afford or access items that the majority in the community deem ‘essential’. </w:t>
      </w:r>
    </w:p>
    <w:p w:rsidR="001F5702" w:rsidRDefault="001F5702" w:rsidP="001F5702">
      <w:pPr>
        <w:pStyle w:val="Text"/>
      </w:pPr>
      <w:r w:rsidRPr="00927FB7">
        <w:t xml:space="preserve">Since the consequences of different forms of disadvantage may vary at different points </w:t>
      </w:r>
      <w:r>
        <w:t>of</w:t>
      </w:r>
      <w:r w:rsidRPr="00927FB7">
        <w:t xml:space="preserve"> the life cycle, </w:t>
      </w:r>
      <w:r>
        <w:t xml:space="preserve">some </w:t>
      </w:r>
      <w:r w:rsidRPr="00927FB7">
        <w:t xml:space="preserve">studies have focused on analysing it within different </w:t>
      </w:r>
      <w:r w:rsidRPr="00BC0B2D">
        <w:t xml:space="preserve">age </w:t>
      </w:r>
      <w:r w:rsidRPr="00927FB7">
        <w:t xml:space="preserve">groups. </w:t>
      </w:r>
      <w:r>
        <w:t>Specifically, s</w:t>
      </w:r>
      <w:r w:rsidRPr="00BC0B2D">
        <w:t xml:space="preserve">tudies on youth disadvantage have applied </w:t>
      </w:r>
      <w:r>
        <w:t>tailored</w:t>
      </w:r>
      <w:r w:rsidRPr="00BC0B2D">
        <w:t xml:space="preserve"> approaches to capturing it</w:t>
      </w:r>
      <w:r>
        <w:t xml:space="preserve">. </w:t>
      </w:r>
      <w:r w:rsidRPr="00BC0B2D">
        <w:t>The U</w:t>
      </w:r>
      <w:r>
        <w:t xml:space="preserve">nited </w:t>
      </w:r>
      <w:r w:rsidRPr="00BC0B2D">
        <w:t>K</w:t>
      </w:r>
      <w:r>
        <w:t>ingdom G</w:t>
      </w:r>
      <w:r w:rsidRPr="00BC0B2D">
        <w:t xml:space="preserve">overnment’s Opportunity for All section on children and the New Policy Institute’s </w:t>
      </w:r>
      <w:r w:rsidRPr="00593550">
        <w:rPr>
          <w:i/>
        </w:rPr>
        <w:t>Monitoring poverty and social exclusion</w:t>
      </w:r>
      <w:r>
        <w:t xml:space="preserve"> series </w:t>
      </w:r>
      <w:r w:rsidRPr="00BC0B2D">
        <w:t xml:space="preserve">both cover </w:t>
      </w:r>
      <w:r>
        <w:t xml:space="preserve">family </w:t>
      </w:r>
      <w:r w:rsidRPr="00BC0B2D">
        <w:t>economic circu</w:t>
      </w:r>
      <w:r>
        <w:t xml:space="preserve">mstances, including indicators of low income and workless households, to capture household deprivation. In addition, studies </w:t>
      </w:r>
      <w:proofErr w:type="gramStart"/>
      <w:r>
        <w:t>that focus</w:t>
      </w:r>
      <w:proofErr w:type="gramEnd"/>
      <w:r>
        <w:t xml:space="preserve"> </w:t>
      </w:r>
      <w:r>
        <w:lastRenderedPageBreak/>
        <w:t>on children’s own outcomes point to their further deprivation as adults. Accordingly, these studies include measures of health and wellbeing</w:t>
      </w:r>
      <w:r w:rsidR="00FA544D">
        <w:t>;</w:t>
      </w:r>
      <w:r>
        <w:t xml:space="preserve"> the </w:t>
      </w:r>
      <w:r w:rsidRPr="00BC0B2D">
        <w:t xml:space="preserve">education </w:t>
      </w:r>
      <w:r>
        <w:t>and safety environment, including indicators of teen pregnancy</w:t>
      </w:r>
      <w:r w:rsidR="00FA544D">
        <w:t>;</w:t>
      </w:r>
      <w:r>
        <w:t xml:space="preserve"> non-attendance at school or low attainment</w:t>
      </w:r>
      <w:r w:rsidR="00FA544D">
        <w:t>;</w:t>
      </w:r>
      <w:r>
        <w:t xml:space="preserve"> and engagement in risky or anti-social activities. The </w:t>
      </w:r>
      <w:r w:rsidRPr="00DD176B">
        <w:rPr>
          <w:i/>
        </w:rPr>
        <w:t>Monitoring poverty and social exclusion</w:t>
      </w:r>
      <w:r w:rsidRPr="00BC0B2D">
        <w:t xml:space="preserve"> </w:t>
      </w:r>
      <w:r>
        <w:t>series, in particular, addresses</w:t>
      </w:r>
      <w:r w:rsidRPr="00BC0B2D">
        <w:t xml:space="preserve"> some </w:t>
      </w:r>
      <w:r>
        <w:t>extreme forms of</w:t>
      </w:r>
      <w:r w:rsidRPr="00BC0B2D">
        <w:t xml:space="preserve"> </w:t>
      </w:r>
      <w:r>
        <w:t>youth exclusion</w:t>
      </w:r>
      <w:r w:rsidRPr="00BC0B2D">
        <w:t>, including permane</w:t>
      </w:r>
      <w:r>
        <w:t>nt ex</w:t>
      </w:r>
      <w:r w:rsidRPr="00BC0B2D">
        <w:t>clusion from school</w:t>
      </w:r>
      <w:r>
        <w:t>,</w:t>
      </w:r>
      <w:r w:rsidRPr="00BC0B2D">
        <w:t xml:space="preserve"> </w:t>
      </w:r>
      <w:r>
        <w:t>as well as</w:t>
      </w:r>
      <w:r w:rsidRPr="00BC0B2D">
        <w:t xml:space="preserve"> </w:t>
      </w:r>
      <w:r>
        <w:t>suicides</w:t>
      </w:r>
      <w:r w:rsidRPr="00BC0B2D">
        <w:t xml:space="preserve"> </w:t>
      </w:r>
      <w:r>
        <w:t xml:space="preserve">and </w:t>
      </w:r>
      <w:r w:rsidR="00FA544D">
        <w:t xml:space="preserve">young offenders’ </w:t>
      </w:r>
      <w:r w:rsidRPr="00BC0B2D">
        <w:t>incarceration in institutions</w:t>
      </w:r>
      <w:r>
        <w:t>. Table 1 presents a list of social exclusion indicators</w:t>
      </w:r>
      <w:r w:rsidRPr="00BC0B2D">
        <w:t xml:space="preserve">. </w:t>
      </w:r>
    </w:p>
    <w:p w:rsidR="001F5702" w:rsidRPr="00696DCD" w:rsidRDefault="001F5702" w:rsidP="001A21DB">
      <w:pPr>
        <w:pStyle w:val="tabletitle"/>
      </w:pPr>
      <w:bookmarkStart w:id="37" w:name="_Toc323566748"/>
      <w:bookmarkStart w:id="38" w:name="_Toc324765896"/>
      <w:r w:rsidRPr="00696DCD">
        <w:t>Table 1</w:t>
      </w:r>
      <w:r w:rsidRPr="00696DCD">
        <w:tab/>
        <w:t xml:space="preserve">Themes and indicators in social exclusion studies of </w:t>
      </w:r>
      <w:r w:rsidRPr="001A21DB">
        <w:t>children</w:t>
      </w:r>
      <w:r>
        <w:t>/</w:t>
      </w:r>
      <w:r w:rsidRPr="00696DCD">
        <w:t>youth</w:t>
      </w:r>
      <w:bookmarkEnd w:id="37"/>
      <w:bookmarkEnd w:id="38"/>
    </w:p>
    <w:tbl>
      <w:tblPr>
        <w:tblW w:w="8789" w:type="dxa"/>
        <w:tblInd w:w="96" w:type="dxa"/>
        <w:tblLayout w:type="fixed"/>
        <w:tblLook w:val="0000"/>
      </w:tblPr>
      <w:tblGrid>
        <w:gridCol w:w="1329"/>
        <w:gridCol w:w="2486"/>
        <w:gridCol w:w="2487"/>
        <w:gridCol w:w="2487"/>
      </w:tblGrid>
      <w:tr w:rsidR="001F5702" w:rsidRPr="00D41A46" w:rsidTr="001A21DB">
        <w:trPr>
          <w:tblHeader/>
        </w:trPr>
        <w:tc>
          <w:tcPr>
            <w:tcW w:w="1329" w:type="dxa"/>
            <w:tcBorders>
              <w:top w:val="single" w:sz="4" w:space="0" w:color="auto"/>
            </w:tcBorders>
          </w:tcPr>
          <w:p w:rsidR="001F5702" w:rsidRPr="00CE23A8" w:rsidRDefault="001F5702" w:rsidP="001A21DB">
            <w:pPr>
              <w:pStyle w:val="Tablehead1"/>
            </w:pPr>
          </w:p>
        </w:tc>
        <w:tc>
          <w:tcPr>
            <w:tcW w:w="2486" w:type="dxa"/>
            <w:tcBorders>
              <w:top w:val="single" w:sz="4" w:space="0" w:color="auto"/>
            </w:tcBorders>
          </w:tcPr>
          <w:p w:rsidR="001F5702" w:rsidRPr="00263680" w:rsidRDefault="001F5702" w:rsidP="001A21DB">
            <w:pPr>
              <w:pStyle w:val="Tablehead1"/>
            </w:pPr>
            <w:r>
              <w:t>UK G</w:t>
            </w:r>
            <w:r w:rsidRPr="00263680">
              <w:t>overnment:</w:t>
            </w:r>
            <w:r>
              <w:t xml:space="preserve"> </w:t>
            </w:r>
            <w:r w:rsidRPr="00263680">
              <w:t xml:space="preserve">Opportunities for all (based on </w:t>
            </w:r>
            <w:r w:rsidR="00A865E4">
              <w:fldChar w:fldCharType="begin"/>
            </w:r>
            <w:r>
              <w:instrText xml:space="preserve"> ADDIN EN.CITE &lt;EndNote&gt;&lt;Cite&gt;&lt;Author&gt;Levitas&lt;/Author&gt;&lt;Year&gt;2007&lt;/Year&gt;&lt;RecNum&gt;16&lt;/RecNum&gt;&lt;record&gt;&lt;rec-number&gt;16&lt;/rec-number&gt;&lt;foreign-keys&gt;&lt;key app="EN" db-id="0sp9t02ao2s908er5duvztshees9x25szs2d"&gt;16&lt;/key&gt;&lt;/foreign-keys&gt;&lt;ref-type name="Report"&gt;27&lt;/ref-type&gt;&lt;contributors&gt;&lt;authors&gt;&lt;author&gt;Levitas, Ruth&lt;/author&gt;&lt;author&gt;Pantazis, Christina&lt;/author&gt;&lt;author&gt;Fahmy, Eldin&lt;/author&gt;&lt;author&gt;Gordon, David&lt;/author&gt;&lt;author&gt;Lloyd, Eva&lt;/author&gt;&lt;author&gt;Patsios, Demi&lt;/author&gt;&lt;/authors&gt;&lt;/contributors&gt;&lt;titles&gt;&lt;title&gt;The Multi-Dimensional Analysis of Social Exlcusion&lt;/title&gt;&lt;/titles&gt;&lt;dates&gt;&lt;year&gt;2007&lt;/year&gt;&lt;/dates&gt;&lt;pub-location&gt;London&lt;/pub-location&gt;&lt;publisher&gt;Social Exclusion Task Force &lt;/publisher&gt;&lt;urls&gt;&lt;/urls&gt;&lt;/record&gt;&lt;/Cite&gt;&lt;/EndNote&gt;</w:instrText>
            </w:r>
            <w:r w:rsidR="00A865E4">
              <w:fldChar w:fldCharType="separate"/>
            </w:r>
            <w:r>
              <w:t>Levitas et al. 2007</w:t>
            </w:r>
            <w:r w:rsidR="00A865E4">
              <w:fldChar w:fldCharType="end"/>
            </w:r>
            <w:r w:rsidRPr="00263680">
              <w:t>)</w:t>
            </w:r>
          </w:p>
        </w:tc>
        <w:tc>
          <w:tcPr>
            <w:tcW w:w="2487" w:type="dxa"/>
            <w:tcBorders>
              <w:top w:val="single" w:sz="4" w:space="0" w:color="auto"/>
            </w:tcBorders>
          </w:tcPr>
          <w:p w:rsidR="001F5702" w:rsidRPr="00263680" w:rsidRDefault="001F5702" w:rsidP="001A21DB">
            <w:pPr>
              <w:pStyle w:val="Tablehead1"/>
            </w:pPr>
            <w:r w:rsidRPr="00263680">
              <w:t xml:space="preserve">New Policy Institute: </w:t>
            </w:r>
            <w:r w:rsidRPr="00DD176B">
              <w:rPr>
                <w:i/>
              </w:rPr>
              <w:t>Monitoring poverty and social exclusion</w:t>
            </w:r>
            <w:r w:rsidRPr="00263680">
              <w:t xml:space="preserve"> (based on </w:t>
            </w:r>
            <w:r w:rsidR="00A865E4">
              <w:fldChar w:fldCharType="begin"/>
            </w:r>
            <w:r>
              <w:instrText xml:space="preserve"> ADDIN EN.CITE &lt;EndNote&gt;&lt;Cite&gt;&lt;Author&gt;Levitas&lt;/Author&gt;&lt;Year&gt;2007&lt;/Year&gt;&lt;RecNum&gt;16&lt;/RecNum&gt;&lt;record&gt;&lt;rec-number&gt;16&lt;/rec-number&gt;&lt;foreign-keys&gt;&lt;key app="EN" db-id="0sp9t02ao2s908er5duvztshees9x25szs2d"&gt;16&lt;/key&gt;&lt;/foreign-keys&gt;&lt;ref-type name="Report"&gt;27&lt;/ref-type&gt;&lt;contributors&gt;&lt;authors&gt;&lt;author&gt;Levitas, Ruth&lt;/author&gt;&lt;author&gt;Pantazis, Christina&lt;/author&gt;&lt;author&gt;Fahmy, Eldin&lt;/author&gt;&lt;author&gt;Gordon, David&lt;/author&gt;&lt;author&gt;Lloyd, Eva&lt;/author&gt;&lt;author&gt;Patsios, Demi&lt;/author&gt;&lt;/authors&gt;&lt;/contributors&gt;&lt;titles&gt;&lt;title&gt;The Multi-Dimensional Analysis of Social Exlcusion&lt;/title&gt;&lt;/titles&gt;&lt;dates&gt;&lt;year&gt;2007&lt;/year&gt;&lt;/dates&gt;&lt;pub-location&gt;London&lt;/pub-location&gt;&lt;publisher&gt;Social Exclusion Task Force &lt;/publisher&gt;&lt;urls&gt;&lt;/urls&gt;&lt;/record&gt;&lt;/Cite&gt;&lt;/EndNote&gt;</w:instrText>
            </w:r>
            <w:r w:rsidR="00A865E4">
              <w:fldChar w:fldCharType="separate"/>
            </w:r>
            <w:r>
              <w:t>Levitas et al. 2007</w:t>
            </w:r>
            <w:r w:rsidR="00A865E4">
              <w:fldChar w:fldCharType="end"/>
            </w:r>
            <w:r w:rsidRPr="00263680">
              <w:t>)</w:t>
            </w:r>
          </w:p>
        </w:tc>
        <w:tc>
          <w:tcPr>
            <w:tcW w:w="2487" w:type="dxa"/>
            <w:tcBorders>
              <w:top w:val="single" w:sz="4" w:space="0" w:color="auto"/>
            </w:tcBorders>
          </w:tcPr>
          <w:p w:rsidR="001F5702" w:rsidRPr="00263680" w:rsidRDefault="001F5702" w:rsidP="001A21DB">
            <w:pPr>
              <w:pStyle w:val="Tablehead1"/>
            </w:pPr>
            <w:r w:rsidRPr="00263680">
              <w:t>Mille</w:t>
            </w:r>
            <w:r>
              <w:t>n</w:t>
            </w:r>
            <w:r w:rsidRPr="00263680">
              <w:t>nium Survey of Poverty and Social Exclusion (</w:t>
            </w:r>
            <w:r w:rsidR="00A865E4">
              <w:fldChar w:fldCharType="begin"/>
            </w:r>
            <w:r>
              <w:instrText xml:space="preserve"> ADDIN EN.CITE &lt;EndNote&gt;&lt;Cite&gt;&lt;Author&gt;Gordon&lt;/Author&gt;&lt;Year&gt;2000&lt;/Year&gt;&lt;RecNum&gt;32&lt;/RecNum&gt;&lt;record&gt;&lt;rec-number&gt;32&lt;/rec-number&gt;&lt;foreign-keys&gt;&lt;key app="EN" db-id="0sp9t02ao2s908er5duvztshees9x25szs2d"&gt;32&lt;/key&gt;&lt;/foreign-keys&gt;&lt;ref-type name="Book"&gt;6&lt;/ref-type&gt;&lt;contributors&gt;&lt;authors&gt;&lt;author&gt;Gordon, David&lt;/author&gt;&lt;author&gt;Levitas, Ruth&lt;/author&gt;&lt;author&gt;Pantazis, Christina&lt;/author&gt;&lt;author&gt;Patsios, Demi&lt;/author&gt;&lt;author&gt;Payne, Sarah &lt;/author&gt;&lt;author&gt;Townsend, Peter  &lt;/author&gt;&lt;author&gt;Adelman, Laura &lt;/author&gt;&lt;author&gt;Ashworth, Karl &lt;/author&gt;&lt;author&gt;Middleton, Sue &lt;/author&gt;&lt;author&gt;Bradshaw, Jonathan &lt;/author&gt;&lt;author&gt;Williams, Julie &lt;/author&gt;&lt;/authors&gt;&lt;/contributors&gt;&lt;titles&gt;&lt;title&gt;Poverty and social exclusion in Britain&lt;/title&gt;&lt;/titles&gt;&lt;dates&gt;&lt;year&gt;2000&lt;/year&gt;&lt;/dates&gt;&lt;pub-location&gt;York&lt;/pub-location&gt;&lt;publisher&gt;Joseph Rowntree Foundation&lt;/publisher&gt;&lt;urls&gt;&lt;/urls&gt;&lt;/record&gt;&lt;/Cite&gt;&lt;/EndNote&gt;</w:instrText>
            </w:r>
            <w:r w:rsidR="00A865E4">
              <w:fldChar w:fldCharType="separate"/>
            </w:r>
            <w:r>
              <w:t>Gordon et al. 2000</w:t>
            </w:r>
            <w:r w:rsidR="00A865E4">
              <w:fldChar w:fldCharType="end"/>
            </w:r>
            <w:r w:rsidRPr="00263680">
              <w:t>)</w:t>
            </w:r>
          </w:p>
        </w:tc>
      </w:tr>
      <w:tr w:rsidR="001F5702" w:rsidRPr="00E3169B" w:rsidTr="001A21DB">
        <w:tblPrEx>
          <w:tblLook w:val="00A0"/>
        </w:tblPrEx>
        <w:trPr>
          <w:trHeight w:val="288"/>
          <w:tblHeader/>
        </w:trPr>
        <w:tc>
          <w:tcPr>
            <w:tcW w:w="1329" w:type="dxa"/>
            <w:tcBorders>
              <w:bottom w:val="single" w:sz="4" w:space="0" w:color="auto"/>
            </w:tcBorders>
            <w:noWrap/>
          </w:tcPr>
          <w:p w:rsidR="001F5702" w:rsidRPr="00263680" w:rsidRDefault="001F5702" w:rsidP="001A21DB">
            <w:pPr>
              <w:pStyle w:val="Tablehead2"/>
            </w:pPr>
            <w:r w:rsidRPr="00263680">
              <w:t>Theme</w:t>
            </w:r>
          </w:p>
        </w:tc>
        <w:tc>
          <w:tcPr>
            <w:tcW w:w="2486" w:type="dxa"/>
            <w:tcBorders>
              <w:bottom w:val="single" w:sz="4" w:space="0" w:color="auto"/>
            </w:tcBorders>
          </w:tcPr>
          <w:p w:rsidR="001F5702" w:rsidRPr="00263680" w:rsidRDefault="001F5702" w:rsidP="001A21DB">
            <w:pPr>
              <w:pStyle w:val="Tablehead2"/>
            </w:pPr>
          </w:p>
        </w:tc>
        <w:tc>
          <w:tcPr>
            <w:tcW w:w="2487" w:type="dxa"/>
            <w:tcBorders>
              <w:bottom w:val="single" w:sz="4" w:space="0" w:color="auto"/>
            </w:tcBorders>
          </w:tcPr>
          <w:p w:rsidR="001F5702" w:rsidRPr="00263680" w:rsidRDefault="001F5702" w:rsidP="001A21DB">
            <w:pPr>
              <w:pStyle w:val="Tablehead2"/>
            </w:pPr>
            <w:r w:rsidRPr="00263680">
              <w:t>Indicators</w:t>
            </w:r>
          </w:p>
        </w:tc>
        <w:tc>
          <w:tcPr>
            <w:tcW w:w="2487" w:type="dxa"/>
            <w:tcBorders>
              <w:bottom w:val="single" w:sz="4" w:space="0" w:color="auto"/>
            </w:tcBorders>
          </w:tcPr>
          <w:p w:rsidR="001F5702" w:rsidRPr="00CE23A8" w:rsidRDefault="001F5702" w:rsidP="001A21DB">
            <w:pPr>
              <w:pStyle w:val="Tablehead2"/>
              <w:rPr>
                <w:rFonts w:ascii="Garamond" w:hAnsi="Garamond"/>
                <w:sz w:val="22"/>
              </w:rPr>
            </w:pPr>
          </w:p>
        </w:tc>
      </w:tr>
      <w:tr w:rsidR="001F5702" w:rsidRPr="00E3169B" w:rsidTr="001A21DB">
        <w:tblPrEx>
          <w:tblLook w:val="00A0"/>
        </w:tblPrEx>
        <w:trPr>
          <w:trHeight w:val="288"/>
        </w:trPr>
        <w:tc>
          <w:tcPr>
            <w:tcW w:w="1329" w:type="dxa"/>
            <w:tcBorders>
              <w:top w:val="single" w:sz="4" w:space="0" w:color="auto"/>
            </w:tcBorders>
            <w:noWrap/>
            <w:tcMar>
              <w:right w:w="0" w:type="dxa"/>
            </w:tcMar>
          </w:tcPr>
          <w:p w:rsidR="001F5702" w:rsidRPr="001A21DB" w:rsidRDefault="001F5702" w:rsidP="001A21DB">
            <w:pPr>
              <w:pStyle w:val="Tabletext"/>
              <w:rPr>
                <w:b/>
              </w:rPr>
            </w:pPr>
            <w:r w:rsidRPr="001A21DB">
              <w:rPr>
                <w:b/>
              </w:rPr>
              <w:t>Economic/ material circumstances</w:t>
            </w:r>
          </w:p>
        </w:tc>
        <w:tc>
          <w:tcPr>
            <w:tcW w:w="2486" w:type="dxa"/>
            <w:tcBorders>
              <w:top w:val="single" w:sz="4" w:space="0" w:color="auto"/>
            </w:tcBorders>
          </w:tcPr>
          <w:p w:rsidR="001F5702" w:rsidRPr="00263680" w:rsidRDefault="001F5702" w:rsidP="001A21DB">
            <w:pPr>
              <w:pStyle w:val="Tabletext"/>
            </w:pPr>
            <w:r w:rsidRPr="00263680">
              <w:t>Low income (relative, absolute, persistent)</w:t>
            </w:r>
          </w:p>
        </w:tc>
        <w:tc>
          <w:tcPr>
            <w:tcW w:w="2487" w:type="dxa"/>
            <w:tcBorders>
              <w:top w:val="single" w:sz="4" w:space="0" w:color="auto"/>
            </w:tcBorders>
          </w:tcPr>
          <w:p w:rsidR="001F5702" w:rsidRPr="00263680" w:rsidRDefault="001F5702" w:rsidP="001A21DB">
            <w:pPr>
              <w:pStyle w:val="Tabletext"/>
            </w:pPr>
            <w:r>
              <w:t>In low-</w:t>
            </w:r>
            <w:r w:rsidRPr="00263680">
              <w:t xml:space="preserve">income households </w:t>
            </w:r>
          </w:p>
        </w:tc>
        <w:tc>
          <w:tcPr>
            <w:tcW w:w="2487" w:type="dxa"/>
            <w:tcBorders>
              <w:top w:val="single" w:sz="4" w:space="0" w:color="auto"/>
            </w:tcBorders>
          </w:tcPr>
          <w:p w:rsidR="001F5702" w:rsidRPr="00263680" w:rsidRDefault="001F5702" w:rsidP="001A21DB">
            <w:pPr>
              <w:pStyle w:val="Tabletext"/>
            </w:pPr>
            <w:r w:rsidRPr="00263680">
              <w:t>Fresh fruit or vegetables at least</w:t>
            </w:r>
            <w:r>
              <w:t xml:space="preserve"> </w:t>
            </w:r>
            <w:r w:rsidRPr="00263680">
              <w:t>once a day</w:t>
            </w:r>
          </w:p>
        </w:tc>
      </w:tr>
      <w:tr w:rsidR="001F5702" w:rsidRPr="00E3169B" w:rsidTr="001A21DB">
        <w:tblPrEx>
          <w:tblLook w:val="00A0"/>
        </w:tblPrEx>
        <w:trPr>
          <w:trHeight w:val="288"/>
        </w:trPr>
        <w:tc>
          <w:tcPr>
            <w:tcW w:w="1329" w:type="dxa"/>
            <w:noWrap/>
          </w:tcPr>
          <w:p w:rsidR="001F5702" w:rsidRPr="00300E8A" w:rsidRDefault="001F5702" w:rsidP="001A21DB">
            <w:pPr>
              <w:pStyle w:val="Tabletext"/>
              <w:rPr>
                <w:rFonts w:ascii="Garamond" w:hAnsi="Garamond"/>
                <w:sz w:val="22"/>
              </w:rPr>
            </w:pPr>
          </w:p>
        </w:tc>
        <w:tc>
          <w:tcPr>
            <w:tcW w:w="2486" w:type="dxa"/>
          </w:tcPr>
          <w:p w:rsidR="001F5702" w:rsidRPr="00263680" w:rsidRDefault="001F5702" w:rsidP="001A21DB">
            <w:pPr>
              <w:pStyle w:val="Tabletext"/>
            </w:pPr>
            <w:r w:rsidRPr="00263680">
              <w:t>Children in workless households</w:t>
            </w:r>
          </w:p>
        </w:tc>
        <w:tc>
          <w:tcPr>
            <w:tcW w:w="2487" w:type="dxa"/>
          </w:tcPr>
          <w:p w:rsidR="001F5702" w:rsidRPr="00263680" w:rsidRDefault="001F5702" w:rsidP="001A21DB">
            <w:pPr>
              <w:pStyle w:val="Tabletext"/>
            </w:pPr>
            <w:r w:rsidRPr="00263680">
              <w:t>Children in workless households</w:t>
            </w:r>
          </w:p>
        </w:tc>
        <w:tc>
          <w:tcPr>
            <w:tcW w:w="2487" w:type="dxa"/>
          </w:tcPr>
          <w:p w:rsidR="001F5702" w:rsidRPr="00263680" w:rsidRDefault="001F5702" w:rsidP="001A21DB">
            <w:pPr>
              <w:pStyle w:val="Tabletext"/>
            </w:pPr>
            <w:r w:rsidRPr="00263680">
              <w:t>Three meals a day</w:t>
            </w:r>
          </w:p>
        </w:tc>
      </w:tr>
      <w:tr w:rsidR="001F5702" w:rsidRPr="00E3169B" w:rsidTr="001A21DB">
        <w:tblPrEx>
          <w:tblLook w:val="00A0"/>
        </w:tblPrEx>
        <w:trPr>
          <w:trHeight w:val="288"/>
        </w:trPr>
        <w:tc>
          <w:tcPr>
            <w:tcW w:w="1329" w:type="dxa"/>
            <w:noWrap/>
          </w:tcPr>
          <w:p w:rsidR="001F5702" w:rsidRPr="00300E8A" w:rsidRDefault="001F5702" w:rsidP="001A21DB">
            <w:pPr>
              <w:pStyle w:val="Tabletext"/>
              <w:rPr>
                <w:rFonts w:ascii="Garamond" w:hAnsi="Garamond"/>
                <w:sz w:val="22"/>
              </w:rPr>
            </w:pPr>
          </w:p>
        </w:tc>
        <w:tc>
          <w:tcPr>
            <w:tcW w:w="2486" w:type="dxa"/>
          </w:tcPr>
          <w:p w:rsidR="001F5702" w:rsidRPr="00263680" w:rsidRDefault="001F5702" w:rsidP="001A21DB">
            <w:pPr>
              <w:pStyle w:val="Tabletext"/>
            </w:pPr>
            <w:r w:rsidRPr="00263680">
              <w:t>Housing that falls below the set standard of decency</w:t>
            </w:r>
          </w:p>
        </w:tc>
        <w:tc>
          <w:tcPr>
            <w:tcW w:w="2487" w:type="dxa"/>
          </w:tcPr>
          <w:p w:rsidR="001F5702" w:rsidRPr="00263680" w:rsidRDefault="001F5702" w:rsidP="001A21DB">
            <w:pPr>
              <w:pStyle w:val="Tabletext"/>
            </w:pPr>
            <w:r w:rsidRPr="00263680">
              <w:t>Concentration of children eligible for free school meals</w:t>
            </w:r>
          </w:p>
        </w:tc>
        <w:tc>
          <w:tcPr>
            <w:tcW w:w="2487" w:type="dxa"/>
          </w:tcPr>
          <w:p w:rsidR="001F5702" w:rsidRPr="00263680" w:rsidRDefault="001F5702" w:rsidP="001A21DB">
            <w:pPr>
              <w:pStyle w:val="Tabletext"/>
            </w:pPr>
            <w:r w:rsidRPr="00263680">
              <w:t>Meat, fish or vegetarian</w:t>
            </w:r>
            <w:r>
              <w:t xml:space="preserve"> </w:t>
            </w:r>
            <w:r w:rsidRPr="00263680">
              <w:t>equivalent at least twice a day</w:t>
            </w:r>
          </w:p>
        </w:tc>
      </w:tr>
      <w:tr w:rsidR="001F5702" w:rsidRPr="00E3169B" w:rsidTr="001A21DB">
        <w:tblPrEx>
          <w:tblLook w:val="00A0"/>
        </w:tblPrEx>
        <w:trPr>
          <w:trHeight w:val="288"/>
        </w:trPr>
        <w:tc>
          <w:tcPr>
            <w:tcW w:w="1329" w:type="dxa"/>
            <w:noWrap/>
          </w:tcPr>
          <w:p w:rsidR="001F5702" w:rsidRDefault="001F5702" w:rsidP="001A21DB">
            <w:pPr>
              <w:pStyle w:val="Tabletext"/>
              <w:rPr>
                <w:rFonts w:ascii="Garamond" w:hAnsi="Garamond"/>
                <w:sz w:val="22"/>
              </w:rPr>
            </w:pPr>
          </w:p>
        </w:tc>
        <w:tc>
          <w:tcPr>
            <w:tcW w:w="2486" w:type="dxa"/>
          </w:tcPr>
          <w:p w:rsidR="001F5702" w:rsidRPr="00263680" w:rsidRDefault="001F5702" w:rsidP="001A21DB">
            <w:pPr>
              <w:pStyle w:val="Tabletext"/>
            </w:pPr>
            <w:r w:rsidRPr="00263680">
              <w:t>Families in temporary accommodation</w:t>
            </w:r>
          </w:p>
        </w:tc>
        <w:tc>
          <w:tcPr>
            <w:tcW w:w="2487" w:type="dxa"/>
          </w:tcPr>
          <w:p w:rsidR="001F5702" w:rsidRPr="00263680" w:rsidRDefault="001F5702" w:rsidP="001A21DB">
            <w:pPr>
              <w:pStyle w:val="Tabletext"/>
            </w:pPr>
            <w:r w:rsidRPr="00263680">
              <w:t>Unemployment among young adults</w:t>
            </w:r>
          </w:p>
        </w:tc>
        <w:tc>
          <w:tcPr>
            <w:tcW w:w="2487" w:type="dxa"/>
          </w:tcPr>
          <w:p w:rsidR="001F5702" w:rsidRPr="00263680" w:rsidRDefault="001F5702" w:rsidP="001A21DB">
            <w:pPr>
              <w:pStyle w:val="Tabletext"/>
            </w:pPr>
            <w:r w:rsidRPr="00263680">
              <w:t>New, properly fitted shoes</w:t>
            </w:r>
          </w:p>
        </w:tc>
      </w:tr>
      <w:tr w:rsidR="001F5702" w:rsidRPr="00E3169B" w:rsidTr="001A21DB">
        <w:tblPrEx>
          <w:tblLook w:val="00A0"/>
        </w:tblPrEx>
        <w:trPr>
          <w:trHeight w:val="288"/>
        </w:trPr>
        <w:tc>
          <w:tcPr>
            <w:tcW w:w="1329" w:type="dxa"/>
            <w:noWrap/>
          </w:tcPr>
          <w:p w:rsidR="001F5702" w:rsidRDefault="001F5702" w:rsidP="001A21DB">
            <w:pPr>
              <w:pStyle w:val="Tabletext"/>
              <w:rPr>
                <w:rFonts w:ascii="Garamond" w:hAnsi="Garamond"/>
                <w:sz w:val="22"/>
              </w:rPr>
            </w:pPr>
          </w:p>
        </w:tc>
        <w:tc>
          <w:tcPr>
            <w:tcW w:w="2486" w:type="dxa"/>
          </w:tcPr>
          <w:p w:rsidR="001F5702" w:rsidRPr="00300E8A" w:rsidRDefault="001F5702" w:rsidP="001A21DB">
            <w:pPr>
              <w:pStyle w:val="Tabletext"/>
            </w:pPr>
          </w:p>
        </w:tc>
        <w:tc>
          <w:tcPr>
            <w:tcW w:w="2487" w:type="dxa"/>
          </w:tcPr>
          <w:p w:rsidR="001F5702" w:rsidRPr="00263680" w:rsidRDefault="001F5702" w:rsidP="001A21DB">
            <w:pPr>
              <w:pStyle w:val="Tabletext"/>
            </w:pPr>
            <w:r w:rsidRPr="00263680">
              <w:t>Low pay for young adults</w:t>
            </w:r>
          </w:p>
        </w:tc>
        <w:tc>
          <w:tcPr>
            <w:tcW w:w="2487" w:type="dxa"/>
          </w:tcPr>
          <w:p w:rsidR="001F5702" w:rsidRPr="00263680" w:rsidRDefault="001F5702" w:rsidP="001A21DB">
            <w:pPr>
              <w:pStyle w:val="Tabletext"/>
            </w:pPr>
            <w:r w:rsidRPr="00263680">
              <w:t>Warm, waterproof coat</w:t>
            </w:r>
          </w:p>
        </w:tc>
      </w:tr>
      <w:tr w:rsidR="001F5702" w:rsidRPr="00E3169B" w:rsidTr="001A21DB">
        <w:tblPrEx>
          <w:tblLook w:val="00A0"/>
        </w:tblPrEx>
        <w:trPr>
          <w:trHeight w:val="288"/>
        </w:trPr>
        <w:tc>
          <w:tcPr>
            <w:tcW w:w="1329" w:type="dxa"/>
            <w:noWrap/>
          </w:tcPr>
          <w:p w:rsidR="001F5702" w:rsidRDefault="001F5702" w:rsidP="001A21DB">
            <w:pPr>
              <w:pStyle w:val="Tabletext"/>
              <w:rPr>
                <w:rFonts w:ascii="Garamond" w:hAnsi="Garamond"/>
                <w:sz w:val="22"/>
              </w:rPr>
            </w:pPr>
          </w:p>
        </w:tc>
        <w:tc>
          <w:tcPr>
            <w:tcW w:w="2486" w:type="dxa"/>
          </w:tcPr>
          <w:p w:rsidR="001F5702" w:rsidRPr="00300E8A" w:rsidRDefault="001F5702" w:rsidP="001A21DB">
            <w:pPr>
              <w:pStyle w:val="Tabletext"/>
            </w:pPr>
          </w:p>
        </w:tc>
        <w:tc>
          <w:tcPr>
            <w:tcW w:w="2487" w:type="dxa"/>
          </w:tcPr>
          <w:p w:rsidR="001F5702" w:rsidRPr="00263680" w:rsidRDefault="001F5702" w:rsidP="001A21DB">
            <w:pPr>
              <w:pStyle w:val="Tabletext"/>
            </w:pPr>
          </w:p>
        </w:tc>
        <w:tc>
          <w:tcPr>
            <w:tcW w:w="2487" w:type="dxa"/>
          </w:tcPr>
          <w:p w:rsidR="001F5702" w:rsidRPr="00263680" w:rsidRDefault="001F5702" w:rsidP="001A21DB">
            <w:pPr>
              <w:pStyle w:val="Tabletext"/>
            </w:pPr>
            <w:r w:rsidRPr="00263680">
              <w:t>All required school uniform</w:t>
            </w:r>
          </w:p>
        </w:tc>
      </w:tr>
      <w:tr w:rsidR="001F5702" w:rsidRPr="00E3169B" w:rsidTr="001A21DB">
        <w:tblPrEx>
          <w:tblLook w:val="00A0"/>
        </w:tblPrEx>
        <w:trPr>
          <w:trHeight w:val="288"/>
        </w:trPr>
        <w:tc>
          <w:tcPr>
            <w:tcW w:w="1329" w:type="dxa"/>
            <w:noWrap/>
          </w:tcPr>
          <w:p w:rsidR="001F5702" w:rsidRDefault="001F5702" w:rsidP="001A21DB">
            <w:pPr>
              <w:pStyle w:val="Tabletext"/>
              <w:rPr>
                <w:rFonts w:ascii="Garamond" w:hAnsi="Garamond"/>
                <w:sz w:val="22"/>
              </w:rPr>
            </w:pPr>
          </w:p>
        </w:tc>
        <w:tc>
          <w:tcPr>
            <w:tcW w:w="2486" w:type="dxa"/>
          </w:tcPr>
          <w:p w:rsidR="001F5702" w:rsidRPr="00300E8A" w:rsidRDefault="001F5702" w:rsidP="001A21DB">
            <w:pPr>
              <w:pStyle w:val="Tabletext"/>
            </w:pPr>
          </w:p>
        </w:tc>
        <w:tc>
          <w:tcPr>
            <w:tcW w:w="2487" w:type="dxa"/>
          </w:tcPr>
          <w:p w:rsidR="001F5702" w:rsidRPr="00263680" w:rsidRDefault="001F5702" w:rsidP="001A21DB">
            <w:pPr>
              <w:pStyle w:val="Tabletext"/>
            </w:pPr>
          </w:p>
        </w:tc>
        <w:tc>
          <w:tcPr>
            <w:tcW w:w="2487" w:type="dxa"/>
          </w:tcPr>
          <w:p w:rsidR="001F5702" w:rsidRPr="00263680" w:rsidRDefault="001F5702" w:rsidP="001A21DB">
            <w:pPr>
              <w:pStyle w:val="Tabletext"/>
            </w:pPr>
            <w:r w:rsidRPr="00263680">
              <w:t>At least 7 pairs of new underpants</w:t>
            </w:r>
          </w:p>
        </w:tc>
      </w:tr>
      <w:tr w:rsidR="001F5702" w:rsidRPr="00E3169B" w:rsidTr="001A21DB">
        <w:tblPrEx>
          <w:tblLook w:val="00A0"/>
        </w:tblPrEx>
        <w:trPr>
          <w:trHeight w:val="288"/>
        </w:trPr>
        <w:tc>
          <w:tcPr>
            <w:tcW w:w="1329" w:type="dxa"/>
            <w:noWrap/>
          </w:tcPr>
          <w:p w:rsidR="001F5702" w:rsidRDefault="001F5702" w:rsidP="001A21DB">
            <w:pPr>
              <w:pStyle w:val="Tabletext"/>
              <w:rPr>
                <w:rFonts w:ascii="Garamond" w:hAnsi="Garamond"/>
                <w:sz w:val="22"/>
              </w:rPr>
            </w:pPr>
          </w:p>
        </w:tc>
        <w:tc>
          <w:tcPr>
            <w:tcW w:w="2486" w:type="dxa"/>
          </w:tcPr>
          <w:p w:rsidR="001F5702" w:rsidRPr="00300E8A" w:rsidRDefault="001F5702" w:rsidP="001A21DB">
            <w:pPr>
              <w:pStyle w:val="Tabletext"/>
            </w:pPr>
          </w:p>
        </w:tc>
        <w:tc>
          <w:tcPr>
            <w:tcW w:w="2487" w:type="dxa"/>
          </w:tcPr>
          <w:p w:rsidR="001F5702" w:rsidRPr="00263680" w:rsidRDefault="001F5702" w:rsidP="001A21DB">
            <w:pPr>
              <w:pStyle w:val="Tabletext"/>
            </w:pPr>
          </w:p>
        </w:tc>
        <w:tc>
          <w:tcPr>
            <w:tcW w:w="2487" w:type="dxa"/>
          </w:tcPr>
          <w:p w:rsidR="001F5702" w:rsidRPr="00263680" w:rsidRDefault="001F5702" w:rsidP="001A21DB">
            <w:pPr>
              <w:pStyle w:val="Tabletext"/>
            </w:pPr>
            <w:r w:rsidRPr="00263680">
              <w:t>At least 4 pairs of trousers</w:t>
            </w:r>
          </w:p>
        </w:tc>
      </w:tr>
      <w:tr w:rsidR="001F5702" w:rsidRPr="00E3169B" w:rsidTr="001A21DB">
        <w:tblPrEx>
          <w:tblLook w:val="00A0"/>
        </w:tblPrEx>
        <w:trPr>
          <w:trHeight w:val="288"/>
        </w:trPr>
        <w:tc>
          <w:tcPr>
            <w:tcW w:w="1329" w:type="dxa"/>
            <w:noWrap/>
          </w:tcPr>
          <w:p w:rsidR="001F5702" w:rsidRDefault="001F5702" w:rsidP="001A21DB">
            <w:pPr>
              <w:pStyle w:val="Tabletext"/>
              <w:rPr>
                <w:rFonts w:ascii="Garamond" w:hAnsi="Garamond"/>
                <w:sz w:val="22"/>
              </w:rPr>
            </w:pPr>
          </w:p>
        </w:tc>
        <w:tc>
          <w:tcPr>
            <w:tcW w:w="2486" w:type="dxa"/>
          </w:tcPr>
          <w:p w:rsidR="001F5702" w:rsidRPr="00300E8A" w:rsidRDefault="001F5702" w:rsidP="001A21DB">
            <w:pPr>
              <w:pStyle w:val="Tabletext"/>
            </w:pPr>
          </w:p>
        </w:tc>
        <w:tc>
          <w:tcPr>
            <w:tcW w:w="2487" w:type="dxa"/>
          </w:tcPr>
          <w:p w:rsidR="001F5702" w:rsidRPr="00263680" w:rsidRDefault="001F5702" w:rsidP="001A21DB">
            <w:pPr>
              <w:pStyle w:val="Tabletext"/>
            </w:pPr>
          </w:p>
        </w:tc>
        <w:tc>
          <w:tcPr>
            <w:tcW w:w="2487" w:type="dxa"/>
          </w:tcPr>
          <w:p w:rsidR="001F5702" w:rsidRPr="00263680" w:rsidRDefault="001F5702" w:rsidP="001A21DB">
            <w:pPr>
              <w:pStyle w:val="Tabletext"/>
            </w:pPr>
            <w:r w:rsidRPr="00263680">
              <w:t>At least 4 jumpers/</w:t>
            </w:r>
            <w:r>
              <w:t xml:space="preserve"> </w:t>
            </w:r>
            <w:r w:rsidRPr="00263680">
              <w:t>cardigans/sweatshirts</w:t>
            </w:r>
          </w:p>
        </w:tc>
      </w:tr>
      <w:tr w:rsidR="001F5702" w:rsidRPr="00E3169B" w:rsidTr="001A21DB">
        <w:tblPrEx>
          <w:tblLook w:val="00A0"/>
        </w:tblPrEx>
        <w:trPr>
          <w:trHeight w:val="288"/>
        </w:trPr>
        <w:tc>
          <w:tcPr>
            <w:tcW w:w="1329" w:type="dxa"/>
            <w:noWrap/>
          </w:tcPr>
          <w:p w:rsidR="001F5702" w:rsidRDefault="001F5702" w:rsidP="001A21DB">
            <w:pPr>
              <w:pStyle w:val="Tabletext"/>
              <w:rPr>
                <w:rFonts w:ascii="Garamond" w:hAnsi="Garamond"/>
                <w:sz w:val="22"/>
              </w:rPr>
            </w:pPr>
          </w:p>
        </w:tc>
        <w:tc>
          <w:tcPr>
            <w:tcW w:w="2486" w:type="dxa"/>
          </w:tcPr>
          <w:p w:rsidR="001F5702" w:rsidRPr="00300E8A" w:rsidRDefault="001F5702" w:rsidP="001A21DB">
            <w:pPr>
              <w:pStyle w:val="Tabletext"/>
            </w:pPr>
          </w:p>
        </w:tc>
        <w:tc>
          <w:tcPr>
            <w:tcW w:w="2487" w:type="dxa"/>
          </w:tcPr>
          <w:p w:rsidR="001F5702" w:rsidRPr="00263680" w:rsidRDefault="001F5702" w:rsidP="001A21DB">
            <w:pPr>
              <w:pStyle w:val="Tabletext"/>
            </w:pPr>
          </w:p>
        </w:tc>
        <w:tc>
          <w:tcPr>
            <w:tcW w:w="2487" w:type="dxa"/>
          </w:tcPr>
          <w:p w:rsidR="001F5702" w:rsidRPr="00263680" w:rsidRDefault="001F5702" w:rsidP="001A21DB">
            <w:pPr>
              <w:pStyle w:val="Tabletext"/>
            </w:pPr>
            <w:r w:rsidRPr="00263680">
              <w:t>Some new, not second-hand, clothes</w:t>
            </w:r>
          </w:p>
        </w:tc>
      </w:tr>
      <w:tr w:rsidR="001F5702" w:rsidRPr="00E3169B" w:rsidTr="001A21DB">
        <w:tblPrEx>
          <w:tblLook w:val="00A0"/>
        </w:tblPrEx>
        <w:trPr>
          <w:trHeight w:val="288"/>
        </w:trPr>
        <w:tc>
          <w:tcPr>
            <w:tcW w:w="1329" w:type="dxa"/>
            <w:noWrap/>
          </w:tcPr>
          <w:p w:rsidR="001F5702" w:rsidRDefault="001F5702" w:rsidP="001A21DB">
            <w:pPr>
              <w:pStyle w:val="Tabletext"/>
              <w:rPr>
                <w:rFonts w:ascii="Garamond" w:hAnsi="Garamond"/>
                <w:sz w:val="22"/>
              </w:rPr>
            </w:pPr>
          </w:p>
        </w:tc>
        <w:tc>
          <w:tcPr>
            <w:tcW w:w="2486" w:type="dxa"/>
          </w:tcPr>
          <w:p w:rsidR="001F5702" w:rsidRPr="00300E8A" w:rsidRDefault="001F5702" w:rsidP="001A21DB">
            <w:pPr>
              <w:pStyle w:val="Tabletext"/>
            </w:pPr>
          </w:p>
        </w:tc>
        <w:tc>
          <w:tcPr>
            <w:tcW w:w="2487" w:type="dxa"/>
          </w:tcPr>
          <w:p w:rsidR="001F5702" w:rsidRPr="00263680" w:rsidRDefault="001F5702" w:rsidP="001A21DB">
            <w:pPr>
              <w:pStyle w:val="Tabletext"/>
            </w:pPr>
          </w:p>
        </w:tc>
        <w:tc>
          <w:tcPr>
            <w:tcW w:w="2487" w:type="dxa"/>
          </w:tcPr>
          <w:p w:rsidR="001F5702" w:rsidRPr="00263680" w:rsidRDefault="001F5702" w:rsidP="001A21DB">
            <w:pPr>
              <w:pStyle w:val="Tabletext"/>
            </w:pPr>
            <w:r w:rsidRPr="00263680">
              <w:t>A bed and bedding for self</w:t>
            </w:r>
          </w:p>
        </w:tc>
      </w:tr>
      <w:tr w:rsidR="001F5702" w:rsidRPr="00E3169B" w:rsidTr="001A21DB">
        <w:tblPrEx>
          <w:tblLook w:val="00A0"/>
        </w:tblPrEx>
        <w:trPr>
          <w:trHeight w:val="288"/>
        </w:trPr>
        <w:tc>
          <w:tcPr>
            <w:tcW w:w="1329" w:type="dxa"/>
            <w:noWrap/>
          </w:tcPr>
          <w:p w:rsidR="001F5702" w:rsidRDefault="001F5702" w:rsidP="001A21DB">
            <w:pPr>
              <w:pStyle w:val="Tabletext"/>
              <w:rPr>
                <w:rFonts w:ascii="Garamond" w:hAnsi="Garamond"/>
                <w:sz w:val="22"/>
              </w:rPr>
            </w:pPr>
          </w:p>
        </w:tc>
        <w:tc>
          <w:tcPr>
            <w:tcW w:w="2486" w:type="dxa"/>
          </w:tcPr>
          <w:p w:rsidR="001F5702" w:rsidRPr="00300E8A" w:rsidRDefault="001F5702" w:rsidP="001A21DB">
            <w:pPr>
              <w:pStyle w:val="Tabletext"/>
            </w:pPr>
          </w:p>
        </w:tc>
        <w:tc>
          <w:tcPr>
            <w:tcW w:w="2487" w:type="dxa"/>
          </w:tcPr>
          <w:p w:rsidR="001F5702" w:rsidRPr="00263680" w:rsidRDefault="001F5702" w:rsidP="001A21DB">
            <w:pPr>
              <w:pStyle w:val="Tabletext"/>
            </w:pPr>
          </w:p>
        </w:tc>
        <w:tc>
          <w:tcPr>
            <w:tcW w:w="2487" w:type="dxa"/>
          </w:tcPr>
          <w:p w:rsidR="001F5702" w:rsidRPr="00263680" w:rsidRDefault="001F5702" w:rsidP="001A21DB">
            <w:pPr>
              <w:pStyle w:val="Tabletext"/>
            </w:pPr>
            <w:r w:rsidRPr="00263680">
              <w:t>Bedroom for every child of</w:t>
            </w:r>
            <w:r w:rsidR="00F42EB3">
              <w:t xml:space="preserve"> </w:t>
            </w:r>
            <w:r w:rsidRPr="00263680">
              <w:t>different sex over 10 years</w:t>
            </w:r>
          </w:p>
        </w:tc>
      </w:tr>
      <w:tr w:rsidR="001F5702" w:rsidRPr="00E3169B" w:rsidTr="001A21DB">
        <w:tblPrEx>
          <w:tblLook w:val="00A0"/>
        </w:tblPrEx>
        <w:trPr>
          <w:trHeight w:val="288"/>
        </w:trPr>
        <w:tc>
          <w:tcPr>
            <w:tcW w:w="1329" w:type="dxa"/>
            <w:noWrap/>
          </w:tcPr>
          <w:p w:rsidR="001F5702" w:rsidRDefault="001F5702" w:rsidP="001A21DB">
            <w:pPr>
              <w:pStyle w:val="Tabletext"/>
              <w:rPr>
                <w:rFonts w:ascii="Garamond" w:hAnsi="Garamond"/>
                <w:sz w:val="22"/>
              </w:rPr>
            </w:pPr>
          </w:p>
        </w:tc>
        <w:tc>
          <w:tcPr>
            <w:tcW w:w="2486" w:type="dxa"/>
          </w:tcPr>
          <w:p w:rsidR="001F5702" w:rsidRPr="00300E8A" w:rsidRDefault="001F5702" w:rsidP="001A21DB">
            <w:pPr>
              <w:pStyle w:val="Tabletext"/>
            </w:pPr>
          </w:p>
        </w:tc>
        <w:tc>
          <w:tcPr>
            <w:tcW w:w="2487" w:type="dxa"/>
          </w:tcPr>
          <w:p w:rsidR="001F5702" w:rsidRPr="00263680" w:rsidRDefault="001F5702" w:rsidP="001A21DB">
            <w:pPr>
              <w:pStyle w:val="Tabletext"/>
            </w:pPr>
          </w:p>
        </w:tc>
        <w:tc>
          <w:tcPr>
            <w:tcW w:w="2487" w:type="dxa"/>
          </w:tcPr>
          <w:p w:rsidR="001F5702" w:rsidRPr="00263680" w:rsidRDefault="001F5702" w:rsidP="001A21DB">
            <w:pPr>
              <w:pStyle w:val="Tabletext"/>
            </w:pPr>
            <w:r w:rsidRPr="00263680">
              <w:t>Carpet in bedroom</w:t>
            </w:r>
          </w:p>
        </w:tc>
      </w:tr>
      <w:tr w:rsidR="001F5702" w:rsidRPr="00E3169B" w:rsidTr="001A21DB">
        <w:tblPrEx>
          <w:tblLook w:val="00A0"/>
        </w:tblPrEx>
        <w:trPr>
          <w:trHeight w:val="288"/>
        </w:trPr>
        <w:tc>
          <w:tcPr>
            <w:tcW w:w="1329" w:type="dxa"/>
            <w:tcBorders>
              <w:bottom w:val="single" w:sz="4" w:space="0" w:color="auto"/>
            </w:tcBorders>
            <w:noWrap/>
          </w:tcPr>
          <w:p w:rsidR="001F5702" w:rsidRDefault="001F5702" w:rsidP="001A21DB">
            <w:pPr>
              <w:pStyle w:val="Tabletext"/>
              <w:rPr>
                <w:rFonts w:ascii="Garamond" w:hAnsi="Garamond"/>
                <w:sz w:val="22"/>
              </w:rPr>
            </w:pPr>
          </w:p>
        </w:tc>
        <w:tc>
          <w:tcPr>
            <w:tcW w:w="2486" w:type="dxa"/>
            <w:tcBorders>
              <w:bottom w:val="single" w:sz="4" w:space="0" w:color="auto"/>
            </w:tcBorders>
          </w:tcPr>
          <w:p w:rsidR="001F5702" w:rsidRPr="00300E8A" w:rsidRDefault="001F5702" w:rsidP="001A21DB">
            <w:pPr>
              <w:pStyle w:val="Tabletext"/>
            </w:pPr>
          </w:p>
        </w:tc>
        <w:tc>
          <w:tcPr>
            <w:tcW w:w="2487" w:type="dxa"/>
            <w:tcBorders>
              <w:bottom w:val="single" w:sz="4" w:space="0" w:color="auto"/>
            </w:tcBorders>
          </w:tcPr>
          <w:p w:rsidR="001F5702" w:rsidRPr="00263680" w:rsidRDefault="001F5702" w:rsidP="001A21DB">
            <w:pPr>
              <w:pStyle w:val="Tabletext"/>
            </w:pPr>
          </w:p>
        </w:tc>
        <w:tc>
          <w:tcPr>
            <w:tcW w:w="2487" w:type="dxa"/>
            <w:tcBorders>
              <w:bottom w:val="single" w:sz="4" w:space="0" w:color="auto"/>
            </w:tcBorders>
          </w:tcPr>
          <w:p w:rsidR="001F5702" w:rsidRPr="00263680" w:rsidRDefault="001F5702" w:rsidP="001A21DB">
            <w:pPr>
              <w:pStyle w:val="Tabletext"/>
            </w:pPr>
            <w:r w:rsidRPr="00263680">
              <w:t>Garden to play in</w:t>
            </w:r>
          </w:p>
        </w:tc>
      </w:tr>
      <w:tr w:rsidR="001F5702" w:rsidRPr="00E3169B" w:rsidTr="001A21DB">
        <w:tblPrEx>
          <w:tblLook w:val="00A0"/>
        </w:tblPrEx>
        <w:trPr>
          <w:trHeight w:val="288"/>
        </w:trPr>
        <w:tc>
          <w:tcPr>
            <w:tcW w:w="1329" w:type="dxa"/>
            <w:tcBorders>
              <w:top w:val="single" w:sz="4" w:space="0" w:color="auto"/>
            </w:tcBorders>
            <w:noWrap/>
          </w:tcPr>
          <w:p w:rsidR="001F5702" w:rsidRPr="001A21DB" w:rsidRDefault="001F5702" w:rsidP="001A21DB">
            <w:pPr>
              <w:pStyle w:val="Tabletext"/>
              <w:rPr>
                <w:b/>
              </w:rPr>
            </w:pPr>
            <w:r w:rsidRPr="001A21DB">
              <w:rPr>
                <w:b/>
              </w:rPr>
              <w:t>Health and wellbeing</w:t>
            </w:r>
          </w:p>
        </w:tc>
        <w:tc>
          <w:tcPr>
            <w:tcW w:w="2486" w:type="dxa"/>
            <w:tcBorders>
              <w:top w:val="single" w:sz="4" w:space="0" w:color="auto"/>
            </w:tcBorders>
          </w:tcPr>
          <w:p w:rsidR="001F5702" w:rsidRPr="00D93D2E" w:rsidRDefault="001F5702" w:rsidP="001A21DB">
            <w:pPr>
              <w:pStyle w:val="Tabletext"/>
            </w:pPr>
            <w:r w:rsidRPr="00300E8A">
              <w:t>Serious unintentional injury</w:t>
            </w:r>
          </w:p>
        </w:tc>
        <w:tc>
          <w:tcPr>
            <w:tcW w:w="2487" w:type="dxa"/>
            <w:tcBorders>
              <w:top w:val="single" w:sz="4" w:space="0" w:color="auto"/>
            </w:tcBorders>
          </w:tcPr>
          <w:p w:rsidR="001F5702" w:rsidRPr="00263680" w:rsidRDefault="001F5702" w:rsidP="001A21DB">
            <w:pPr>
              <w:pStyle w:val="Tabletext"/>
            </w:pPr>
            <w:r>
              <w:t>Low-</w:t>
            </w:r>
            <w:proofErr w:type="spellStart"/>
            <w:r w:rsidRPr="00263680">
              <w:t>birthweight</w:t>
            </w:r>
            <w:proofErr w:type="spellEnd"/>
            <w:r w:rsidRPr="00263680">
              <w:t xml:space="preserve"> babies</w:t>
            </w:r>
          </w:p>
        </w:tc>
        <w:tc>
          <w:tcPr>
            <w:tcW w:w="2487" w:type="dxa"/>
            <w:tcBorders>
              <w:top w:val="single" w:sz="4" w:space="0" w:color="auto"/>
            </w:tcBorders>
          </w:tcPr>
          <w:p w:rsidR="001F5702" w:rsidRPr="00E1516D" w:rsidRDefault="001F5702" w:rsidP="001A21DB">
            <w:pPr>
              <w:pStyle w:val="Tabletext"/>
              <w:rPr>
                <w:rFonts w:ascii="Garamond" w:hAnsi="Garamond"/>
              </w:rPr>
            </w:pPr>
          </w:p>
        </w:tc>
      </w:tr>
      <w:tr w:rsidR="001F5702" w:rsidRPr="00E3169B" w:rsidTr="001A21DB">
        <w:tblPrEx>
          <w:tblLook w:val="00A0"/>
        </w:tblPrEx>
        <w:trPr>
          <w:trHeight w:val="288"/>
        </w:trPr>
        <w:tc>
          <w:tcPr>
            <w:tcW w:w="1329" w:type="dxa"/>
            <w:noWrap/>
          </w:tcPr>
          <w:p w:rsidR="001F5702" w:rsidRPr="00263680" w:rsidRDefault="001F5702" w:rsidP="001A21DB">
            <w:pPr>
              <w:pStyle w:val="Tabletext"/>
            </w:pPr>
          </w:p>
        </w:tc>
        <w:tc>
          <w:tcPr>
            <w:tcW w:w="2486" w:type="dxa"/>
          </w:tcPr>
          <w:p w:rsidR="001F5702" w:rsidRPr="00263680" w:rsidRDefault="001F5702" w:rsidP="001A21DB">
            <w:pPr>
              <w:pStyle w:val="Tabletext"/>
            </w:pPr>
            <w:r w:rsidRPr="00263680">
              <w:t>Infant mortality</w:t>
            </w:r>
          </w:p>
        </w:tc>
        <w:tc>
          <w:tcPr>
            <w:tcW w:w="2487" w:type="dxa"/>
          </w:tcPr>
          <w:p w:rsidR="001F5702" w:rsidRPr="00263680" w:rsidRDefault="001F5702" w:rsidP="001A21DB">
            <w:pPr>
              <w:pStyle w:val="Tabletext"/>
            </w:pPr>
            <w:r w:rsidRPr="00263680">
              <w:t>Infant mortality</w:t>
            </w:r>
          </w:p>
        </w:tc>
        <w:tc>
          <w:tcPr>
            <w:tcW w:w="2487" w:type="dxa"/>
          </w:tcPr>
          <w:p w:rsidR="001F5702" w:rsidRPr="00E1516D" w:rsidRDefault="001F5702" w:rsidP="001A21DB">
            <w:pPr>
              <w:pStyle w:val="Tabletext"/>
              <w:rPr>
                <w:rFonts w:ascii="Garamond" w:hAnsi="Garamond"/>
              </w:rPr>
            </w:pPr>
          </w:p>
        </w:tc>
      </w:tr>
      <w:tr w:rsidR="001F5702" w:rsidRPr="00E3169B" w:rsidTr="001A21DB">
        <w:tblPrEx>
          <w:tblLook w:val="00A0"/>
        </w:tblPrEx>
        <w:trPr>
          <w:trHeight w:val="288"/>
        </w:trPr>
        <w:tc>
          <w:tcPr>
            <w:tcW w:w="1329" w:type="dxa"/>
            <w:noWrap/>
          </w:tcPr>
          <w:p w:rsidR="001F5702" w:rsidRPr="00263680" w:rsidRDefault="001F5702" w:rsidP="001A21DB">
            <w:pPr>
              <w:pStyle w:val="Tabletext"/>
            </w:pPr>
          </w:p>
        </w:tc>
        <w:tc>
          <w:tcPr>
            <w:tcW w:w="2486" w:type="dxa"/>
          </w:tcPr>
          <w:p w:rsidR="001F5702" w:rsidRPr="00263680" w:rsidRDefault="001F5702" w:rsidP="001A21DB">
            <w:pPr>
              <w:pStyle w:val="Tabletext"/>
            </w:pPr>
            <w:r w:rsidRPr="00263680">
              <w:t>Teenage pregnancy</w:t>
            </w:r>
          </w:p>
        </w:tc>
        <w:tc>
          <w:tcPr>
            <w:tcW w:w="2487" w:type="dxa"/>
          </w:tcPr>
          <w:p w:rsidR="001F5702" w:rsidRPr="00263680" w:rsidRDefault="001F5702" w:rsidP="001A21DB">
            <w:pPr>
              <w:pStyle w:val="Tabletext"/>
            </w:pPr>
            <w:r w:rsidRPr="00263680">
              <w:t>Dental health</w:t>
            </w:r>
          </w:p>
        </w:tc>
        <w:tc>
          <w:tcPr>
            <w:tcW w:w="2487" w:type="dxa"/>
          </w:tcPr>
          <w:p w:rsidR="001F5702" w:rsidRPr="00E1516D" w:rsidRDefault="001F5702" w:rsidP="001A21DB">
            <w:pPr>
              <w:pStyle w:val="Tabletext"/>
              <w:rPr>
                <w:rFonts w:ascii="Garamond" w:hAnsi="Garamond"/>
              </w:rPr>
            </w:pPr>
          </w:p>
        </w:tc>
      </w:tr>
      <w:tr w:rsidR="001F5702" w:rsidRPr="00E3169B" w:rsidTr="001A21DB">
        <w:tblPrEx>
          <w:tblLook w:val="00A0"/>
        </w:tblPrEx>
        <w:trPr>
          <w:trHeight w:val="288"/>
        </w:trPr>
        <w:tc>
          <w:tcPr>
            <w:tcW w:w="1329" w:type="dxa"/>
            <w:noWrap/>
          </w:tcPr>
          <w:p w:rsidR="001F5702" w:rsidRPr="00263680" w:rsidRDefault="001F5702" w:rsidP="001A21DB">
            <w:pPr>
              <w:pStyle w:val="Tabletext"/>
            </w:pPr>
          </w:p>
        </w:tc>
        <w:tc>
          <w:tcPr>
            <w:tcW w:w="2486" w:type="dxa"/>
          </w:tcPr>
          <w:p w:rsidR="001F5702" w:rsidRPr="00263680" w:rsidRDefault="001F5702" w:rsidP="001A21DB">
            <w:pPr>
              <w:pStyle w:val="Tabletext"/>
            </w:pPr>
            <w:r w:rsidRPr="00263680">
              <w:t>Teenage conceptions</w:t>
            </w:r>
          </w:p>
        </w:tc>
        <w:tc>
          <w:tcPr>
            <w:tcW w:w="2487" w:type="dxa"/>
          </w:tcPr>
          <w:p w:rsidR="001F5702" w:rsidRPr="00263680" w:rsidRDefault="001F5702" w:rsidP="001A21DB">
            <w:pPr>
              <w:pStyle w:val="Tabletext"/>
            </w:pPr>
            <w:r w:rsidRPr="00263680">
              <w:t>Accidental deaths</w:t>
            </w:r>
          </w:p>
        </w:tc>
        <w:tc>
          <w:tcPr>
            <w:tcW w:w="2487" w:type="dxa"/>
          </w:tcPr>
          <w:p w:rsidR="001F5702" w:rsidRPr="00E1516D" w:rsidRDefault="001F5702" w:rsidP="001A21DB">
            <w:pPr>
              <w:pStyle w:val="Tabletext"/>
              <w:rPr>
                <w:rFonts w:ascii="Garamond" w:hAnsi="Garamond"/>
              </w:rPr>
            </w:pPr>
          </w:p>
        </w:tc>
      </w:tr>
      <w:tr w:rsidR="001F5702" w:rsidRPr="00E3169B" w:rsidTr="001A21DB">
        <w:tblPrEx>
          <w:tblLook w:val="00A0"/>
        </w:tblPrEx>
        <w:trPr>
          <w:trHeight w:val="288"/>
        </w:trPr>
        <w:tc>
          <w:tcPr>
            <w:tcW w:w="1329" w:type="dxa"/>
            <w:noWrap/>
          </w:tcPr>
          <w:p w:rsidR="001F5702" w:rsidRPr="00263680" w:rsidRDefault="001F5702" w:rsidP="001A21DB">
            <w:pPr>
              <w:pStyle w:val="Tabletext"/>
            </w:pPr>
          </w:p>
        </w:tc>
        <w:tc>
          <w:tcPr>
            <w:tcW w:w="2486" w:type="dxa"/>
          </w:tcPr>
          <w:p w:rsidR="001F5702" w:rsidRPr="00263680" w:rsidRDefault="001F5702" w:rsidP="001A21DB">
            <w:pPr>
              <w:pStyle w:val="Tabletext"/>
            </w:pPr>
            <w:r w:rsidRPr="00263680">
              <w:t>Smoking prevalence (including for</w:t>
            </w:r>
            <w:r>
              <w:t xml:space="preserve"> pregnant women and children aged 11–</w:t>
            </w:r>
            <w:r w:rsidRPr="00263680">
              <w:t>15)</w:t>
            </w:r>
          </w:p>
        </w:tc>
        <w:tc>
          <w:tcPr>
            <w:tcW w:w="2487" w:type="dxa"/>
          </w:tcPr>
          <w:p w:rsidR="001F5702" w:rsidRPr="00263680" w:rsidRDefault="001F5702" w:rsidP="001A21DB">
            <w:pPr>
              <w:pStyle w:val="Tabletext"/>
            </w:pPr>
            <w:r w:rsidRPr="00263680">
              <w:t>Underage conceptions</w:t>
            </w:r>
          </w:p>
        </w:tc>
        <w:tc>
          <w:tcPr>
            <w:tcW w:w="2487" w:type="dxa"/>
          </w:tcPr>
          <w:p w:rsidR="001F5702" w:rsidRPr="00E1516D" w:rsidRDefault="001F5702" w:rsidP="001A21DB">
            <w:pPr>
              <w:pStyle w:val="Tabletext"/>
              <w:rPr>
                <w:rFonts w:ascii="Garamond" w:hAnsi="Garamond"/>
              </w:rPr>
            </w:pPr>
          </w:p>
        </w:tc>
      </w:tr>
      <w:tr w:rsidR="001F5702" w:rsidRPr="00E3169B" w:rsidTr="001A21DB">
        <w:tblPrEx>
          <w:tblLook w:val="00A0"/>
        </w:tblPrEx>
        <w:trPr>
          <w:trHeight w:val="288"/>
        </w:trPr>
        <w:tc>
          <w:tcPr>
            <w:tcW w:w="1329" w:type="dxa"/>
            <w:tcBorders>
              <w:bottom w:val="single" w:sz="4" w:space="0" w:color="auto"/>
            </w:tcBorders>
            <w:noWrap/>
          </w:tcPr>
          <w:p w:rsidR="001F5702" w:rsidRPr="00263680" w:rsidRDefault="001F5702" w:rsidP="001A21DB">
            <w:pPr>
              <w:pStyle w:val="Tabletext"/>
            </w:pPr>
          </w:p>
        </w:tc>
        <w:tc>
          <w:tcPr>
            <w:tcW w:w="2486" w:type="dxa"/>
            <w:tcBorders>
              <w:bottom w:val="single" w:sz="4" w:space="0" w:color="auto"/>
            </w:tcBorders>
          </w:tcPr>
          <w:p w:rsidR="001F5702" w:rsidRPr="00263680" w:rsidRDefault="001F5702" w:rsidP="001A21DB">
            <w:pPr>
              <w:pStyle w:val="Tabletext"/>
            </w:pPr>
            <w:r>
              <w:t>Obesity in children aged 2–</w:t>
            </w:r>
            <w:r w:rsidRPr="00263680">
              <w:t>10</w:t>
            </w:r>
          </w:p>
        </w:tc>
        <w:tc>
          <w:tcPr>
            <w:tcW w:w="2487" w:type="dxa"/>
            <w:tcBorders>
              <w:bottom w:val="single" w:sz="4" w:space="0" w:color="auto"/>
            </w:tcBorders>
          </w:tcPr>
          <w:p w:rsidR="001F5702" w:rsidRPr="00263680" w:rsidRDefault="001F5702" w:rsidP="001A21DB">
            <w:pPr>
              <w:pStyle w:val="Tabletext"/>
            </w:pPr>
          </w:p>
        </w:tc>
        <w:tc>
          <w:tcPr>
            <w:tcW w:w="2487" w:type="dxa"/>
            <w:tcBorders>
              <w:bottom w:val="single" w:sz="4" w:space="0" w:color="auto"/>
            </w:tcBorders>
          </w:tcPr>
          <w:p w:rsidR="001F5702" w:rsidRPr="005201B9" w:rsidRDefault="001F5702" w:rsidP="001A21DB">
            <w:pPr>
              <w:pStyle w:val="Tabletext"/>
              <w:rPr>
                <w:rFonts w:ascii="Garamond" w:hAnsi="Garamond"/>
                <w:sz w:val="22"/>
              </w:rPr>
            </w:pPr>
          </w:p>
        </w:tc>
      </w:tr>
      <w:tr w:rsidR="001F5702" w:rsidRPr="00E3169B" w:rsidTr="001A21DB">
        <w:tblPrEx>
          <w:tblLook w:val="00A0"/>
        </w:tblPrEx>
        <w:trPr>
          <w:trHeight w:val="288"/>
        </w:trPr>
        <w:tc>
          <w:tcPr>
            <w:tcW w:w="1329" w:type="dxa"/>
            <w:tcBorders>
              <w:top w:val="single" w:sz="4" w:space="0" w:color="auto"/>
            </w:tcBorders>
            <w:noWrap/>
          </w:tcPr>
          <w:p w:rsidR="001F5702" w:rsidRPr="001A21DB" w:rsidRDefault="001F5702" w:rsidP="001A21DB">
            <w:pPr>
              <w:pStyle w:val="Tabletext"/>
              <w:rPr>
                <w:b/>
              </w:rPr>
            </w:pPr>
            <w:r w:rsidRPr="001A21DB">
              <w:rPr>
                <w:b/>
              </w:rPr>
              <w:t>Education and work</w:t>
            </w:r>
          </w:p>
        </w:tc>
        <w:tc>
          <w:tcPr>
            <w:tcW w:w="2486" w:type="dxa"/>
            <w:tcBorders>
              <w:top w:val="single" w:sz="4" w:space="0" w:color="auto"/>
            </w:tcBorders>
          </w:tcPr>
          <w:p w:rsidR="001F5702" w:rsidRPr="00263680" w:rsidRDefault="001F5702" w:rsidP="00FA544D">
            <w:pPr>
              <w:pStyle w:val="Tabletext"/>
            </w:pPr>
            <w:r>
              <w:t xml:space="preserve">Attainment: 11- </w:t>
            </w:r>
            <w:r w:rsidRPr="00263680">
              <w:t xml:space="preserve">and 16-year-olds </w:t>
            </w:r>
          </w:p>
        </w:tc>
        <w:tc>
          <w:tcPr>
            <w:tcW w:w="2487" w:type="dxa"/>
            <w:tcBorders>
              <w:top w:val="single" w:sz="4" w:space="0" w:color="auto"/>
            </w:tcBorders>
          </w:tcPr>
          <w:p w:rsidR="001F5702" w:rsidRPr="00263680" w:rsidRDefault="001F5702" w:rsidP="001A21DB">
            <w:pPr>
              <w:pStyle w:val="Tabletext"/>
            </w:pPr>
            <w:r w:rsidRPr="00263680">
              <w:t>Low attainment at school: 11- and 16-year-olds</w:t>
            </w:r>
          </w:p>
        </w:tc>
        <w:tc>
          <w:tcPr>
            <w:tcW w:w="2487" w:type="dxa"/>
            <w:tcBorders>
              <w:top w:val="single" w:sz="4" w:space="0" w:color="auto"/>
            </w:tcBorders>
          </w:tcPr>
          <w:p w:rsidR="001F5702" w:rsidRPr="005201B9" w:rsidRDefault="001F5702" w:rsidP="001A21DB">
            <w:pPr>
              <w:pStyle w:val="Tabletext"/>
              <w:rPr>
                <w:rFonts w:ascii="Garamond" w:hAnsi="Garamond"/>
                <w:sz w:val="22"/>
              </w:rPr>
            </w:pPr>
          </w:p>
        </w:tc>
      </w:tr>
      <w:tr w:rsidR="001F5702" w:rsidRPr="00E3169B" w:rsidTr="001A21DB">
        <w:tblPrEx>
          <w:tblLook w:val="00A0"/>
        </w:tblPrEx>
        <w:trPr>
          <w:trHeight w:val="288"/>
        </w:trPr>
        <w:tc>
          <w:tcPr>
            <w:tcW w:w="1329" w:type="dxa"/>
            <w:noWrap/>
          </w:tcPr>
          <w:p w:rsidR="001F5702" w:rsidRPr="00300E8A" w:rsidRDefault="001F5702" w:rsidP="001A21DB">
            <w:pPr>
              <w:pStyle w:val="Tabletext"/>
              <w:rPr>
                <w:rFonts w:ascii="Garamond" w:hAnsi="Garamond"/>
                <w:sz w:val="22"/>
              </w:rPr>
            </w:pPr>
          </w:p>
        </w:tc>
        <w:tc>
          <w:tcPr>
            <w:tcW w:w="2486" w:type="dxa"/>
          </w:tcPr>
          <w:p w:rsidR="001F5702" w:rsidRPr="00263680" w:rsidRDefault="001F5702" w:rsidP="001A21DB">
            <w:pPr>
              <w:pStyle w:val="Tabletext"/>
            </w:pPr>
            <w:r w:rsidRPr="00263680">
              <w:t>Schools below floor target</w:t>
            </w:r>
          </w:p>
        </w:tc>
        <w:tc>
          <w:tcPr>
            <w:tcW w:w="2487" w:type="dxa"/>
          </w:tcPr>
          <w:p w:rsidR="001F5702" w:rsidRPr="00263680" w:rsidRDefault="001F5702" w:rsidP="001A21DB">
            <w:pPr>
              <w:pStyle w:val="Tabletext"/>
            </w:pPr>
            <w:r w:rsidRPr="00263680">
              <w:t>Permanent exclusion from school</w:t>
            </w:r>
          </w:p>
        </w:tc>
        <w:tc>
          <w:tcPr>
            <w:tcW w:w="2487" w:type="dxa"/>
          </w:tcPr>
          <w:p w:rsidR="001F5702" w:rsidRPr="005201B9" w:rsidRDefault="001F5702" w:rsidP="001A21DB">
            <w:pPr>
              <w:pStyle w:val="Tabletext"/>
              <w:rPr>
                <w:rFonts w:ascii="Garamond" w:hAnsi="Garamond"/>
                <w:sz w:val="22"/>
              </w:rPr>
            </w:pPr>
          </w:p>
        </w:tc>
      </w:tr>
      <w:tr w:rsidR="001F5702" w:rsidRPr="00E3169B" w:rsidTr="001A21DB">
        <w:tblPrEx>
          <w:tblLook w:val="00A0"/>
        </w:tblPrEx>
        <w:trPr>
          <w:trHeight w:val="288"/>
        </w:trPr>
        <w:tc>
          <w:tcPr>
            <w:tcW w:w="1329" w:type="dxa"/>
            <w:noWrap/>
          </w:tcPr>
          <w:p w:rsidR="001F5702" w:rsidRPr="00300E8A" w:rsidRDefault="001F5702" w:rsidP="001A21DB">
            <w:pPr>
              <w:pStyle w:val="Tabletext"/>
              <w:rPr>
                <w:rFonts w:ascii="Garamond" w:hAnsi="Garamond"/>
                <w:sz w:val="22"/>
              </w:rPr>
            </w:pPr>
          </w:p>
        </w:tc>
        <w:tc>
          <w:tcPr>
            <w:tcW w:w="2486" w:type="dxa"/>
          </w:tcPr>
          <w:p w:rsidR="001F5702" w:rsidRPr="00263680" w:rsidRDefault="001F5702" w:rsidP="001A21DB">
            <w:pPr>
              <w:pStyle w:val="Tabletext"/>
            </w:pPr>
            <w:r>
              <w:t xml:space="preserve">19 </w:t>
            </w:r>
            <w:r w:rsidRPr="00263680">
              <w:t>years old with at least a</w:t>
            </w:r>
            <w:r w:rsidR="00FA544D">
              <w:t>n NVQ</w:t>
            </w:r>
            <w:r w:rsidRPr="00263680">
              <w:t xml:space="preserve"> Level 2 qualification</w:t>
            </w:r>
          </w:p>
        </w:tc>
        <w:tc>
          <w:tcPr>
            <w:tcW w:w="2487" w:type="dxa"/>
          </w:tcPr>
          <w:p w:rsidR="001F5702" w:rsidRPr="00263680" w:rsidRDefault="001F5702" w:rsidP="001A21DB">
            <w:pPr>
              <w:pStyle w:val="Tabletext"/>
            </w:pPr>
            <w:r w:rsidRPr="00263680">
              <w:t>Without a basic qualification</w:t>
            </w:r>
            <w:r>
              <w:t xml:space="preserve"> </w:t>
            </w:r>
            <w:r w:rsidRPr="00263680">
              <w:t>(19-year-olds lacking NVQ Level 2)</w:t>
            </w:r>
          </w:p>
        </w:tc>
        <w:tc>
          <w:tcPr>
            <w:tcW w:w="2487" w:type="dxa"/>
          </w:tcPr>
          <w:p w:rsidR="001F5702" w:rsidRPr="005201B9" w:rsidRDefault="001F5702" w:rsidP="001A21DB">
            <w:pPr>
              <w:pStyle w:val="Tabletext"/>
              <w:rPr>
                <w:rFonts w:ascii="Garamond" w:hAnsi="Garamond"/>
                <w:sz w:val="22"/>
              </w:rPr>
            </w:pPr>
          </w:p>
        </w:tc>
      </w:tr>
      <w:tr w:rsidR="001F5702" w:rsidRPr="00E3169B" w:rsidTr="001A21DB">
        <w:tblPrEx>
          <w:tblLook w:val="00A0"/>
        </w:tblPrEx>
        <w:trPr>
          <w:trHeight w:val="288"/>
        </w:trPr>
        <w:tc>
          <w:tcPr>
            <w:tcW w:w="1329" w:type="dxa"/>
            <w:noWrap/>
          </w:tcPr>
          <w:p w:rsidR="001F5702" w:rsidRPr="00300E8A" w:rsidRDefault="001F5702" w:rsidP="001A21DB">
            <w:pPr>
              <w:pStyle w:val="Tabletext"/>
              <w:rPr>
                <w:rFonts w:ascii="Garamond" w:hAnsi="Garamond"/>
                <w:sz w:val="22"/>
              </w:rPr>
            </w:pPr>
          </w:p>
        </w:tc>
        <w:tc>
          <w:tcPr>
            <w:tcW w:w="2486" w:type="dxa"/>
          </w:tcPr>
          <w:p w:rsidR="001F5702" w:rsidRPr="00263680" w:rsidRDefault="001F5702" w:rsidP="001A21DB">
            <w:pPr>
              <w:pStyle w:val="Tabletext"/>
            </w:pPr>
            <w:r w:rsidRPr="00263680">
              <w:t>School attendance</w:t>
            </w:r>
          </w:p>
        </w:tc>
        <w:tc>
          <w:tcPr>
            <w:tcW w:w="2487" w:type="dxa"/>
          </w:tcPr>
          <w:p w:rsidR="001F5702" w:rsidRPr="00263680" w:rsidRDefault="001F5702" w:rsidP="001A21DB">
            <w:pPr>
              <w:pStyle w:val="Tabletext"/>
            </w:pPr>
            <w:r w:rsidRPr="00263680">
              <w:t>Impact of education on work</w:t>
            </w:r>
          </w:p>
        </w:tc>
        <w:tc>
          <w:tcPr>
            <w:tcW w:w="2487" w:type="dxa"/>
          </w:tcPr>
          <w:p w:rsidR="001F5702" w:rsidRPr="00263680" w:rsidRDefault="001F5702" w:rsidP="001A21DB">
            <w:pPr>
              <w:pStyle w:val="Tabletext"/>
            </w:pPr>
          </w:p>
        </w:tc>
      </w:tr>
      <w:tr w:rsidR="001F5702" w:rsidRPr="00E3169B" w:rsidTr="001A21DB">
        <w:tblPrEx>
          <w:tblLook w:val="00A0"/>
        </w:tblPrEx>
        <w:trPr>
          <w:trHeight w:val="288"/>
        </w:trPr>
        <w:tc>
          <w:tcPr>
            <w:tcW w:w="1329" w:type="dxa"/>
            <w:noWrap/>
          </w:tcPr>
          <w:p w:rsidR="001F5702" w:rsidRPr="00300E8A" w:rsidRDefault="001F5702" w:rsidP="001A21DB">
            <w:pPr>
              <w:pStyle w:val="Tabletext"/>
              <w:rPr>
                <w:rFonts w:ascii="Garamond" w:hAnsi="Garamond"/>
                <w:sz w:val="22"/>
              </w:rPr>
            </w:pPr>
          </w:p>
        </w:tc>
        <w:tc>
          <w:tcPr>
            <w:tcW w:w="2486" w:type="dxa"/>
          </w:tcPr>
          <w:p w:rsidR="001F5702" w:rsidRPr="00263680" w:rsidRDefault="001F5702" w:rsidP="001A21DB">
            <w:pPr>
              <w:pStyle w:val="Tabletext"/>
            </w:pPr>
            <w:r w:rsidRPr="00263680">
              <w:t>Improvement of outcomes for looked-after children</w:t>
            </w:r>
          </w:p>
        </w:tc>
        <w:tc>
          <w:tcPr>
            <w:tcW w:w="2487" w:type="dxa"/>
          </w:tcPr>
          <w:p w:rsidR="001F5702" w:rsidRPr="00263680" w:rsidRDefault="001F5702" w:rsidP="001A21DB">
            <w:pPr>
              <w:pStyle w:val="Tabletext"/>
            </w:pPr>
            <w:r w:rsidRPr="00263680">
              <w:t>School leavers</w:t>
            </w:r>
          </w:p>
        </w:tc>
        <w:tc>
          <w:tcPr>
            <w:tcW w:w="2487" w:type="dxa"/>
          </w:tcPr>
          <w:p w:rsidR="001F5702" w:rsidRPr="00263680" w:rsidRDefault="001F5702" w:rsidP="001A21DB">
            <w:pPr>
              <w:pStyle w:val="Tabletext"/>
            </w:pPr>
          </w:p>
        </w:tc>
      </w:tr>
      <w:tr w:rsidR="001F5702" w:rsidRPr="00E3169B" w:rsidTr="001A21DB">
        <w:tblPrEx>
          <w:tblLook w:val="00A0"/>
        </w:tblPrEx>
        <w:trPr>
          <w:trHeight w:val="288"/>
        </w:trPr>
        <w:tc>
          <w:tcPr>
            <w:tcW w:w="1329" w:type="dxa"/>
            <w:noWrap/>
          </w:tcPr>
          <w:p w:rsidR="001F5702" w:rsidRPr="00300E8A" w:rsidRDefault="001F5702" w:rsidP="001A21DB">
            <w:pPr>
              <w:pStyle w:val="Tabletext"/>
              <w:rPr>
                <w:rFonts w:ascii="Garamond" w:hAnsi="Garamond"/>
                <w:sz w:val="22"/>
              </w:rPr>
            </w:pPr>
          </w:p>
        </w:tc>
        <w:tc>
          <w:tcPr>
            <w:tcW w:w="2486" w:type="dxa"/>
          </w:tcPr>
          <w:p w:rsidR="001F5702" w:rsidRPr="00263680" w:rsidRDefault="001F5702" w:rsidP="001A21DB">
            <w:pPr>
              <w:pStyle w:val="Tabletext"/>
            </w:pPr>
            <w:r>
              <w:t xml:space="preserve">16 </w:t>
            </w:r>
            <w:r w:rsidRPr="00263680">
              <w:t>to 18-year-olds in learning</w:t>
            </w:r>
          </w:p>
        </w:tc>
        <w:tc>
          <w:tcPr>
            <w:tcW w:w="2487" w:type="dxa"/>
          </w:tcPr>
          <w:p w:rsidR="001F5702" w:rsidRPr="00263680" w:rsidRDefault="001F5702" w:rsidP="001A21DB">
            <w:pPr>
              <w:pStyle w:val="Tabletext"/>
            </w:pPr>
          </w:p>
        </w:tc>
        <w:tc>
          <w:tcPr>
            <w:tcW w:w="2487" w:type="dxa"/>
          </w:tcPr>
          <w:p w:rsidR="001F5702" w:rsidRPr="00263680" w:rsidRDefault="001F5702" w:rsidP="001A21DB">
            <w:pPr>
              <w:pStyle w:val="Tabletext"/>
            </w:pPr>
          </w:p>
        </w:tc>
      </w:tr>
      <w:tr w:rsidR="001F5702" w:rsidRPr="00E3169B" w:rsidTr="001A21DB">
        <w:tblPrEx>
          <w:tblLook w:val="00A0"/>
        </w:tblPrEx>
        <w:trPr>
          <w:trHeight w:val="288"/>
        </w:trPr>
        <w:tc>
          <w:tcPr>
            <w:tcW w:w="1329" w:type="dxa"/>
            <w:noWrap/>
          </w:tcPr>
          <w:p w:rsidR="001F5702" w:rsidRPr="00300E8A" w:rsidRDefault="001F5702" w:rsidP="001A21DB">
            <w:pPr>
              <w:pStyle w:val="Tabletext"/>
              <w:rPr>
                <w:rFonts w:ascii="Garamond" w:hAnsi="Garamond"/>
                <w:sz w:val="22"/>
              </w:rPr>
            </w:pPr>
          </w:p>
        </w:tc>
        <w:tc>
          <w:tcPr>
            <w:tcW w:w="2486" w:type="dxa"/>
          </w:tcPr>
          <w:p w:rsidR="001F5702" w:rsidRPr="00263680" w:rsidRDefault="001F5702" w:rsidP="001A21DB">
            <w:pPr>
              <w:pStyle w:val="Tabletext"/>
            </w:pPr>
            <w:r w:rsidRPr="00263680">
              <w:t>Teenage parents in education, employment and training</w:t>
            </w:r>
          </w:p>
        </w:tc>
        <w:tc>
          <w:tcPr>
            <w:tcW w:w="2487" w:type="dxa"/>
          </w:tcPr>
          <w:p w:rsidR="001F5702" w:rsidRPr="00263680" w:rsidRDefault="001F5702" w:rsidP="001A21DB">
            <w:pPr>
              <w:pStyle w:val="Tabletext"/>
            </w:pPr>
          </w:p>
        </w:tc>
        <w:tc>
          <w:tcPr>
            <w:tcW w:w="2487" w:type="dxa"/>
          </w:tcPr>
          <w:p w:rsidR="001F5702" w:rsidRPr="00263680" w:rsidRDefault="001F5702" w:rsidP="001A21DB">
            <w:pPr>
              <w:pStyle w:val="Tabletext"/>
            </w:pPr>
          </w:p>
        </w:tc>
      </w:tr>
      <w:tr w:rsidR="001F5702" w:rsidRPr="00E3169B" w:rsidTr="001A21DB">
        <w:tblPrEx>
          <w:tblLook w:val="00A0"/>
        </w:tblPrEx>
        <w:trPr>
          <w:trHeight w:val="288"/>
        </w:trPr>
        <w:tc>
          <w:tcPr>
            <w:tcW w:w="1329" w:type="dxa"/>
            <w:tcBorders>
              <w:bottom w:val="single" w:sz="4" w:space="0" w:color="auto"/>
            </w:tcBorders>
            <w:noWrap/>
          </w:tcPr>
          <w:p w:rsidR="001F5702" w:rsidRPr="00300E8A" w:rsidRDefault="001F5702" w:rsidP="001A21DB">
            <w:pPr>
              <w:pStyle w:val="Tabletext"/>
              <w:rPr>
                <w:rFonts w:ascii="Garamond" w:hAnsi="Garamond"/>
                <w:sz w:val="22"/>
              </w:rPr>
            </w:pPr>
          </w:p>
        </w:tc>
        <w:tc>
          <w:tcPr>
            <w:tcW w:w="2486" w:type="dxa"/>
            <w:tcBorders>
              <w:bottom w:val="single" w:sz="4" w:space="0" w:color="auto"/>
            </w:tcBorders>
          </w:tcPr>
          <w:p w:rsidR="001F5702" w:rsidRPr="00263680" w:rsidRDefault="001F5702" w:rsidP="001A21DB">
            <w:pPr>
              <w:pStyle w:val="Tabletext"/>
            </w:pPr>
            <w:r w:rsidRPr="00263680">
              <w:t>Children with appropriate level of development in Sure Start areas (communication, language and literacy and personal, social and emotional development)</w:t>
            </w:r>
          </w:p>
        </w:tc>
        <w:tc>
          <w:tcPr>
            <w:tcW w:w="2487" w:type="dxa"/>
            <w:tcBorders>
              <w:bottom w:val="single" w:sz="4" w:space="0" w:color="auto"/>
            </w:tcBorders>
          </w:tcPr>
          <w:p w:rsidR="001F5702" w:rsidRPr="00263680" w:rsidRDefault="001F5702" w:rsidP="001A21DB">
            <w:pPr>
              <w:pStyle w:val="Tabletext"/>
            </w:pPr>
          </w:p>
        </w:tc>
        <w:tc>
          <w:tcPr>
            <w:tcW w:w="2487" w:type="dxa"/>
            <w:tcBorders>
              <w:bottom w:val="single" w:sz="4" w:space="0" w:color="auto"/>
            </w:tcBorders>
          </w:tcPr>
          <w:p w:rsidR="001F5702" w:rsidRPr="00263680" w:rsidRDefault="001F5702" w:rsidP="001A21DB">
            <w:pPr>
              <w:pStyle w:val="Tabletext"/>
            </w:pPr>
          </w:p>
        </w:tc>
      </w:tr>
      <w:tr w:rsidR="001F5702" w:rsidRPr="001A21DB" w:rsidTr="001A21DB">
        <w:tblPrEx>
          <w:tblLook w:val="00A0"/>
        </w:tblPrEx>
        <w:trPr>
          <w:trHeight w:val="288"/>
        </w:trPr>
        <w:tc>
          <w:tcPr>
            <w:tcW w:w="1329" w:type="dxa"/>
            <w:tcBorders>
              <w:top w:val="single" w:sz="4" w:space="0" w:color="auto"/>
            </w:tcBorders>
            <w:noWrap/>
          </w:tcPr>
          <w:p w:rsidR="001F5702" w:rsidRPr="001A21DB" w:rsidRDefault="001F5702" w:rsidP="001A21DB">
            <w:pPr>
              <w:pStyle w:val="Tabletext"/>
              <w:rPr>
                <w:b/>
              </w:rPr>
            </w:pPr>
            <w:r w:rsidRPr="001A21DB">
              <w:rPr>
                <w:b/>
              </w:rPr>
              <w:t>Safety</w:t>
            </w:r>
          </w:p>
        </w:tc>
        <w:tc>
          <w:tcPr>
            <w:tcW w:w="2486" w:type="dxa"/>
            <w:tcBorders>
              <w:top w:val="single" w:sz="4" w:space="0" w:color="auto"/>
            </w:tcBorders>
          </w:tcPr>
          <w:p w:rsidR="001F5702" w:rsidRPr="001A21DB" w:rsidRDefault="001F5702" w:rsidP="001A21DB">
            <w:pPr>
              <w:pStyle w:val="Tabletext"/>
            </w:pPr>
            <w:r w:rsidRPr="001A21DB">
              <w:t>Re-registrations on Child Protection Register</w:t>
            </w:r>
          </w:p>
        </w:tc>
        <w:tc>
          <w:tcPr>
            <w:tcW w:w="2487" w:type="dxa"/>
            <w:tcBorders>
              <w:top w:val="single" w:sz="4" w:space="0" w:color="auto"/>
            </w:tcBorders>
          </w:tcPr>
          <w:p w:rsidR="001F5702" w:rsidRPr="001A21DB" w:rsidRDefault="001F5702" w:rsidP="001A21DB">
            <w:pPr>
              <w:pStyle w:val="Tabletext"/>
            </w:pPr>
            <w:r w:rsidRPr="001A21DB">
              <w:t>18 to 20-year-olds with a criminal record</w:t>
            </w:r>
          </w:p>
        </w:tc>
        <w:tc>
          <w:tcPr>
            <w:tcW w:w="2487" w:type="dxa"/>
            <w:tcBorders>
              <w:top w:val="single" w:sz="4" w:space="0" w:color="auto"/>
            </w:tcBorders>
          </w:tcPr>
          <w:p w:rsidR="001F5702" w:rsidRPr="001A21DB" w:rsidRDefault="001F5702" w:rsidP="001A21DB">
            <w:pPr>
              <w:pStyle w:val="Tabletext"/>
            </w:pPr>
          </w:p>
        </w:tc>
      </w:tr>
      <w:tr w:rsidR="001F5702" w:rsidRPr="001A21DB" w:rsidTr="001A21DB">
        <w:tblPrEx>
          <w:tblLook w:val="00A0"/>
        </w:tblPrEx>
        <w:trPr>
          <w:trHeight w:val="288"/>
        </w:trPr>
        <w:tc>
          <w:tcPr>
            <w:tcW w:w="1329" w:type="dxa"/>
            <w:noWrap/>
          </w:tcPr>
          <w:p w:rsidR="001F5702" w:rsidRPr="001A21DB" w:rsidRDefault="001F5702" w:rsidP="001A21DB">
            <w:pPr>
              <w:pStyle w:val="Tabletext"/>
            </w:pPr>
          </w:p>
        </w:tc>
        <w:tc>
          <w:tcPr>
            <w:tcW w:w="2486" w:type="dxa"/>
          </w:tcPr>
          <w:p w:rsidR="001F5702" w:rsidRPr="001A21DB" w:rsidRDefault="001F5702" w:rsidP="001A21DB">
            <w:pPr>
              <w:pStyle w:val="Tabletext"/>
            </w:pPr>
          </w:p>
        </w:tc>
        <w:tc>
          <w:tcPr>
            <w:tcW w:w="2487" w:type="dxa"/>
          </w:tcPr>
          <w:p w:rsidR="001F5702" w:rsidRPr="001A21DB" w:rsidRDefault="001F5702" w:rsidP="001A21DB">
            <w:pPr>
              <w:pStyle w:val="Tabletext"/>
            </w:pPr>
            <w:r w:rsidRPr="001A21DB">
              <w:t xml:space="preserve">Problem drug users treated </w:t>
            </w:r>
          </w:p>
        </w:tc>
        <w:tc>
          <w:tcPr>
            <w:tcW w:w="2487" w:type="dxa"/>
          </w:tcPr>
          <w:p w:rsidR="001F5702" w:rsidRPr="001A21DB" w:rsidRDefault="001F5702" w:rsidP="001A21DB">
            <w:pPr>
              <w:pStyle w:val="Tabletext"/>
            </w:pPr>
          </w:p>
        </w:tc>
      </w:tr>
      <w:tr w:rsidR="001F5702" w:rsidRPr="001A21DB" w:rsidTr="001A21DB">
        <w:tblPrEx>
          <w:tblLook w:val="00A0"/>
        </w:tblPrEx>
        <w:trPr>
          <w:trHeight w:val="288"/>
        </w:trPr>
        <w:tc>
          <w:tcPr>
            <w:tcW w:w="1329" w:type="dxa"/>
            <w:noWrap/>
          </w:tcPr>
          <w:p w:rsidR="001F5702" w:rsidRPr="001A21DB" w:rsidRDefault="001F5702" w:rsidP="001A21DB">
            <w:pPr>
              <w:pStyle w:val="Tabletext"/>
            </w:pPr>
          </w:p>
        </w:tc>
        <w:tc>
          <w:tcPr>
            <w:tcW w:w="2486" w:type="dxa"/>
          </w:tcPr>
          <w:p w:rsidR="001F5702" w:rsidRPr="001A21DB" w:rsidRDefault="001F5702" w:rsidP="001A21DB">
            <w:pPr>
              <w:pStyle w:val="Tabletext"/>
            </w:pPr>
          </w:p>
        </w:tc>
        <w:tc>
          <w:tcPr>
            <w:tcW w:w="2487" w:type="dxa"/>
          </w:tcPr>
          <w:p w:rsidR="001F5702" w:rsidRPr="001A21DB" w:rsidRDefault="001F5702" w:rsidP="001A21DB">
            <w:pPr>
              <w:pStyle w:val="Tabletext"/>
            </w:pPr>
            <w:r w:rsidRPr="001A21DB">
              <w:t>Suicides</w:t>
            </w:r>
          </w:p>
        </w:tc>
        <w:tc>
          <w:tcPr>
            <w:tcW w:w="2487" w:type="dxa"/>
          </w:tcPr>
          <w:p w:rsidR="001F5702" w:rsidRPr="001A21DB" w:rsidRDefault="001F5702" w:rsidP="001A21DB">
            <w:pPr>
              <w:pStyle w:val="Tabletext"/>
            </w:pPr>
          </w:p>
        </w:tc>
      </w:tr>
      <w:tr w:rsidR="001F5702" w:rsidRPr="001A21DB" w:rsidTr="001A21DB">
        <w:tblPrEx>
          <w:tblLook w:val="00A0"/>
        </w:tblPrEx>
        <w:trPr>
          <w:trHeight w:val="288"/>
        </w:trPr>
        <w:tc>
          <w:tcPr>
            <w:tcW w:w="1329" w:type="dxa"/>
            <w:tcBorders>
              <w:bottom w:val="single" w:sz="4" w:space="0" w:color="auto"/>
            </w:tcBorders>
            <w:noWrap/>
          </w:tcPr>
          <w:p w:rsidR="001F5702" w:rsidRPr="001A21DB" w:rsidRDefault="001F5702" w:rsidP="001A21DB">
            <w:pPr>
              <w:pStyle w:val="Tabletext"/>
            </w:pPr>
          </w:p>
        </w:tc>
        <w:tc>
          <w:tcPr>
            <w:tcW w:w="2486" w:type="dxa"/>
            <w:tcBorders>
              <w:bottom w:val="single" w:sz="4" w:space="0" w:color="auto"/>
            </w:tcBorders>
          </w:tcPr>
          <w:p w:rsidR="001F5702" w:rsidRPr="001A21DB" w:rsidRDefault="001F5702" w:rsidP="001A21DB">
            <w:pPr>
              <w:pStyle w:val="Tabletext"/>
            </w:pPr>
          </w:p>
        </w:tc>
        <w:tc>
          <w:tcPr>
            <w:tcW w:w="2487" w:type="dxa"/>
            <w:tcBorders>
              <w:bottom w:val="single" w:sz="4" w:space="0" w:color="auto"/>
            </w:tcBorders>
          </w:tcPr>
          <w:p w:rsidR="001F5702" w:rsidRPr="001A21DB" w:rsidRDefault="001F5702" w:rsidP="001A21DB">
            <w:pPr>
              <w:pStyle w:val="Tabletext"/>
            </w:pPr>
            <w:r w:rsidRPr="001A21DB">
              <w:t>In young offenders’ institutions</w:t>
            </w:r>
          </w:p>
        </w:tc>
        <w:tc>
          <w:tcPr>
            <w:tcW w:w="2487" w:type="dxa"/>
            <w:tcBorders>
              <w:bottom w:val="single" w:sz="4" w:space="0" w:color="auto"/>
            </w:tcBorders>
          </w:tcPr>
          <w:p w:rsidR="001F5702" w:rsidRPr="001A21DB" w:rsidRDefault="001F5702" w:rsidP="001A21DB">
            <w:pPr>
              <w:pStyle w:val="Tabletext"/>
            </w:pPr>
          </w:p>
        </w:tc>
      </w:tr>
      <w:tr w:rsidR="001F5702" w:rsidRPr="001A21DB" w:rsidTr="001A21DB">
        <w:tblPrEx>
          <w:tblLook w:val="00A0"/>
        </w:tblPrEx>
        <w:trPr>
          <w:trHeight w:val="288"/>
        </w:trPr>
        <w:tc>
          <w:tcPr>
            <w:tcW w:w="1329" w:type="dxa"/>
            <w:tcBorders>
              <w:top w:val="single" w:sz="4" w:space="0" w:color="auto"/>
            </w:tcBorders>
            <w:noWrap/>
          </w:tcPr>
          <w:p w:rsidR="001F5702" w:rsidRPr="001A21DB" w:rsidRDefault="001F5702" w:rsidP="001A21DB">
            <w:pPr>
              <w:pStyle w:val="Tabletext"/>
              <w:rPr>
                <w:b/>
              </w:rPr>
            </w:pPr>
            <w:r w:rsidRPr="001A21DB">
              <w:rPr>
                <w:b/>
              </w:rPr>
              <w:t>Participation and activities</w:t>
            </w:r>
          </w:p>
        </w:tc>
        <w:tc>
          <w:tcPr>
            <w:tcW w:w="2486" w:type="dxa"/>
            <w:tcBorders>
              <w:top w:val="single" w:sz="4" w:space="0" w:color="auto"/>
            </w:tcBorders>
          </w:tcPr>
          <w:p w:rsidR="001F5702" w:rsidRPr="001A21DB" w:rsidRDefault="001F5702" w:rsidP="001A21DB">
            <w:pPr>
              <w:pStyle w:val="Tabletext"/>
            </w:pPr>
          </w:p>
        </w:tc>
        <w:tc>
          <w:tcPr>
            <w:tcW w:w="2487" w:type="dxa"/>
            <w:tcBorders>
              <w:top w:val="single" w:sz="4" w:space="0" w:color="auto"/>
            </w:tcBorders>
          </w:tcPr>
          <w:p w:rsidR="001F5702" w:rsidRPr="001A21DB" w:rsidRDefault="001F5702" w:rsidP="001A21DB">
            <w:pPr>
              <w:pStyle w:val="Tabletext"/>
            </w:pPr>
          </w:p>
        </w:tc>
        <w:tc>
          <w:tcPr>
            <w:tcW w:w="2487" w:type="dxa"/>
            <w:tcBorders>
              <w:top w:val="single" w:sz="4" w:space="0" w:color="auto"/>
            </w:tcBorders>
          </w:tcPr>
          <w:p w:rsidR="001F5702" w:rsidRPr="001A21DB" w:rsidRDefault="001F5702" w:rsidP="001A21DB">
            <w:pPr>
              <w:pStyle w:val="Tabletext"/>
            </w:pPr>
            <w:r w:rsidRPr="001A21DB">
              <w:t>Celebrations on special occasions</w:t>
            </w:r>
          </w:p>
        </w:tc>
      </w:tr>
      <w:tr w:rsidR="001F5702" w:rsidRPr="001A21DB" w:rsidTr="001A21DB">
        <w:tblPrEx>
          <w:tblLook w:val="00A0"/>
        </w:tblPrEx>
        <w:trPr>
          <w:trHeight w:val="288"/>
        </w:trPr>
        <w:tc>
          <w:tcPr>
            <w:tcW w:w="1329" w:type="dxa"/>
            <w:noWrap/>
          </w:tcPr>
          <w:p w:rsidR="001F5702" w:rsidRPr="001A21DB" w:rsidRDefault="001F5702" w:rsidP="001A21DB">
            <w:pPr>
              <w:pStyle w:val="Tabletext"/>
            </w:pPr>
          </w:p>
        </w:tc>
        <w:tc>
          <w:tcPr>
            <w:tcW w:w="2486" w:type="dxa"/>
          </w:tcPr>
          <w:p w:rsidR="001F5702" w:rsidRPr="001A21DB" w:rsidRDefault="001F5702" w:rsidP="001A21DB">
            <w:pPr>
              <w:pStyle w:val="Tabletext"/>
            </w:pPr>
          </w:p>
        </w:tc>
        <w:tc>
          <w:tcPr>
            <w:tcW w:w="2487" w:type="dxa"/>
          </w:tcPr>
          <w:p w:rsidR="001F5702" w:rsidRPr="001A21DB" w:rsidRDefault="001F5702" w:rsidP="001A21DB">
            <w:pPr>
              <w:pStyle w:val="Tabletext"/>
            </w:pPr>
          </w:p>
        </w:tc>
        <w:tc>
          <w:tcPr>
            <w:tcW w:w="2487" w:type="dxa"/>
          </w:tcPr>
          <w:p w:rsidR="001F5702" w:rsidRPr="001A21DB" w:rsidRDefault="001F5702" w:rsidP="001A21DB">
            <w:pPr>
              <w:pStyle w:val="Tabletext"/>
            </w:pPr>
            <w:r w:rsidRPr="001A21DB">
              <w:t>Hobby or leisure activity</w:t>
            </w:r>
          </w:p>
        </w:tc>
      </w:tr>
      <w:tr w:rsidR="001F5702" w:rsidRPr="001A21DB" w:rsidTr="001A21DB">
        <w:tblPrEx>
          <w:tblLook w:val="00A0"/>
        </w:tblPrEx>
        <w:trPr>
          <w:trHeight w:val="288"/>
        </w:trPr>
        <w:tc>
          <w:tcPr>
            <w:tcW w:w="1329" w:type="dxa"/>
            <w:noWrap/>
          </w:tcPr>
          <w:p w:rsidR="001F5702" w:rsidRPr="001A21DB" w:rsidRDefault="001F5702" w:rsidP="001A21DB">
            <w:pPr>
              <w:pStyle w:val="Tabletext"/>
            </w:pPr>
          </w:p>
        </w:tc>
        <w:tc>
          <w:tcPr>
            <w:tcW w:w="2486" w:type="dxa"/>
          </w:tcPr>
          <w:p w:rsidR="001F5702" w:rsidRPr="001A21DB" w:rsidRDefault="001F5702" w:rsidP="001A21DB">
            <w:pPr>
              <w:pStyle w:val="Tabletext"/>
            </w:pPr>
          </w:p>
        </w:tc>
        <w:tc>
          <w:tcPr>
            <w:tcW w:w="2487" w:type="dxa"/>
          </w:tcPr>
          <w:p w:rsidR="001F5702" w:rsidRPr="001A21DB" w:rsidRDefault="001F5702" w:rsidP="001A21DB">
            <w:pPr>
              <w:pStyle w:val="Tabletext"/>
            </w:pPr>
          </w:p>
        </w:tc>
        <w:tc>
          <w:tcPr>
            <w:tcW w:w="2487" w:type="dxa"/>
          </w:tcPr>
          <w:p w:rsidR="001F5702" w:rsidRPr="001A21DB" w:rsidRDefault="001F5702" w:rsidP="001A21DB">
            <w:pPr>
              <w:pStyle w:val="Tabletext"/>
            </w:pPr>
            <w:r w:rsidRPr="001A21DB">
              <w:t>School trip at least once a term</w:t>
            </w:r>
          </w:p>
        </w:tc>
      </w:tr>
      <w:tr w:rsidR="001F5702" w:rsidRPr="001A21DB" w:rsidTr="001A21DB">
        <w:tblPrEx>
          <w:tblLook w:val="00A0"/>
        </w:tblPrEx>
        <w:trPr>
          <w:trHeight w:val="288"/>
        </w:trPr>
        <w:tc>
          <w:tcPr>
            <w:tcW w:w="1329" w:type="dxa"/>
            <w:noWrap/>
          </w:tcPr>
          <w:p w:rsidR="001F5702" w:rsidRPr="001A21DB" w:rsidRDefault="001F5702" w:rsidP="001A21DB">
            <w:pPr>
              <w:pStyle w:val="Tabletext"/>
            </w:pPr>
          </w:p>
        </w:tc>
        <w:tc>
          <w:tcPr>
            <w:tcW w:w="2486" w:type="dxa"/>
          </w:tcPr>
          <w:p w:rsidR="001F5702" w:rsidRPr="001A21DB" w:rsidRDefault="001F5702" w:rsidP="001A21DB">
            <w:pPr>
              <w:pStyle w:val="Tabletext"/>
            </w:pPr>
          </w:p>
        </w:tc>
        <w:tc>
          <w:tcPr>
            <w:tcW w:w="2487" w:type="dxa"/>
          </w:tcPr>
          <w:p w:rsidR="001F5702" w:rsidRPr="001A21DB" w:rsidRDefault="001F5702" w:rsidP="001A21DB">
            <w:pPr>
              <w:pStyle w:val="Tabletext"/>
            </w:pPr>
          </w:p>
        </w:tc>
        <w:tc>
          <w:tcPr>
            <w:tcW w:w="2487" w:type="dxa"/>
          </w:tcPr>
          <w:p w:rsidR="001F5702" w:rsidRPr="001A21DB" w:rsidRDefault="001F5702" w:rsidP="001A21DB">
            <w:pPr>
              <w:pStyle w:val="Tabletext"/>
            </w:pPr>
            <w:r w:rsidRPr="001A21DB">
              <w:t>Swimming at least once a month</w:t>
            </w:r>
          </w:p>
        </w:tc>
      </w:tr>
      <w:tr w:rsidR="001F5702" w:rsidRPr="001A21DB" w:rsidTr="001A21DB">
        <w:tblPrEx>
          <w:tblLook w:val="00A0"/>
        </w:tblPrEx>
        <w:trPr>
          <w:trHeight w:val="288"/>
        </w:trPr>
        <w:tc>
          <w:tcPr>
            <w:tcW w:w="1329" w:type="dxa"/>
            <w:noWrap/>
          </w:tcPr>
          <w:p w:rsidR="001F5702" w:rsidRPr="001A21DB" w:rsidRDefault="001F5702" w:rsidP="001A21DB">
            <w:pPr>
              <w:pStyle w:val="Tabletext"/>
            </w:pPr>
          </w:p>
        </w:tc>
        <w:tc>
          <w:tcPr>
            <w:tcW w:w="2486" w:type="dxa"/>
          </w:tcPr>
          <w:p w:rsidR="001F5702" w:rsidRPr="001A21DB" w:rsidRDefault="001F5702" w:rsidP="001A21DB">
            <w:pPr>
              <w:pStyle w:val="Tabletext"/>
            </w:pPr>
          </w:p>
        </w:tc>
        <w:tc>
          <w:tcPr>
            <w:tcW w:w="2487" w:type="dxa"/>
          </w:tcPr>
          <w:p w:rsidR="001F5702" w:rsidRPr="001A21DB" w:rsidRDefault="001F5702" w:rsidP="001A21DB">
            <w:pPr>
              <w:pStyle w:val="Tabletext"/>
            </w:pPr>
          </w:p>
        </w:tc>
        <w:tc>
          <w:tcPr>
            <w:tcW w:w="2487" w:type="dxa"/>
          </w:tcPr>
          <w:p w:rsidR="001F5702" w:rsidRPr="001A21DB" w:rsidRDefault="001F5702" w:rsidP="00F42EB3">
            <w:pPr>
              <w:pStyle w:val="Tabletext"/>
            </w:pPr>
            <w:r w:rsidRPr="001A21DB">
              <w:t>Holiday away from home at least</w:t>
            </w:r>
            <w:r w:rsidR="00F42EB3">
              <w:t xml:space="preserve"> </w:t>
            </w:r>
            <w:r w:rsidRPr="001A21DB">
              <w:t>one week a year</w:t>
            </w:r>
          </w:p>
        </w:tc>
      </w:tr>
      <w:tr w:rsidR="001F5702" w:rsidRPr="001A21DB" w:rsidTr="001A21DB">
        <w:tblPrEx>
          <w:tblLook w:val="00A0"/>
        </w:tblPrEx>
        <w:trPr>
          <w:trHeight w:val="288"/>
        </w:trPr>
        <w:tc>
          <w:tcPr>
            <w:tcW w:w="1329" w:type="dxa"/>
            <w:noWrap/>
          </w:tcPr>
          <w:p w:rsidR="001F5702" w:rsidRPr="001A21DB" w:rsidRDefault="001F5702" w:rsidP="001A21DB">
            <w:pPr>
              <w:pStyle w:val="Tabletext"/>
            </w:pPr>
          </w:p>
        </w:tc>
        <w:tc>
          <w:tcPr>
            <w:tcW w:w="2486" w:type="dxa"/>
          </w:tcPr>
          <w:p w:rsidR="001F5702" w:rsidRPr="001A21DB" w:rsidRDefault="001F5702" w:rsidP="001A21DB">
            <w:pPr>
              <w:pStyle w:val="Tabletext"/>
            </w:pPr>
          </w:p>
        </w:tc>
        <w:tc>
          <w:tcPr>
            <w:tcW w:w="2487" w:type="dxa"/>
          </w:tcPr>
          <w:p w:rsidR="001F5702" w:rsidRPr="001A21DB" w:rsidRDefault="001F5702" w:rsidP="001A21DB">
            <w:pPr>
              <w:pStyle w:val="Tabletext"/>
            </w:pPr>
          </w:p>
        </w:tc>
        <w:tc>
          <w:tcPr>
            <w:tcW w:w="2487" w:type="dxa"/>
          </w:tcPr>
          <w:p w:rsidR="001F5702" w:rsidRPr="001A21DB" w:rsidRDefault="001F5702" w:rsidP="001A21DB">
            <w:pPr>
              <w:pStyle w:val="Tabletext"/>
            </w:pPr>
            <w:r w:rsidRPr="001A21DB">
              <w:t>Leisure equipment</w:t>
            </w:r>
          </w:p>
        </w:tc>
      </w:tr>
      <w:tr w:rsidR="001F5702" w:rsidRPr="001A21DB" w:rsidTr="001A21DB">
        <w:tblPrEx>
          <w:tblLook w:val="00A0"/>
        </w:tblPrEx>
        <w:trPr>
          <w:trHeight w:val="288"/>
        </w:trPr>
        <w:tc>
          <w:tcPr>
            <w:tcW w:w="1329" w:type="dxa"/>
            <w:tcBorders>
              <w:bottom w:val="single" w:sz="4" w:space="0" w:color="auto"/>
            </w:tcBorders>
            <w:noWrap/>
          </w:tcPr>
          <w:p w:rsidR="001F5702" w:rsidRPr="001A21DB" w:rsidRDefault="001F5702" w:rsidP="001A21DB">
            <w:pPr>
              <w:pStyle w:val="Tabletext"/>
            </w:pPr>
          </w:p>
        </w:tc>
        <w:tc>
          <w:tcPr>
            <w:tcW w:w="2486" w:type="dxa"/>
            <w:tcBorders>
              <w:bottom w:val="single" w:sz="4" w:space="0" w:color="auto"/>
            </w:tcBorders>
          </w:tcPr>
          <w:p w:rsidR="001F5702" w:rsidRPr="001A21DB" w:rsidRDefault="001F5702" w:rsidP="001A21DB">
            <w:pPr>
              <w:pStyle w:val="Tabletext"/>
            </w:pPr>
          </w:p>
        </w:tc>
        <w:tc>
          <w:tcPr>
            <w:tcW w:w="2487" w:type="dxa"/>
            <w:tcBorders>
              <w:bottom w:val="single" w:sz="4" w:space="0" w:color="auto"/>
            </w:tcBorders>
          </w:tcPr>
          <w:p w:rsidR="001F5702" w:rsidRPr="001A21DB" w:rsidRDefault="001F5702" w:rsidP="001A21DB">
            <w:pPr>
              <w:pStyle w:val="Tabletext"/>
            </w:pPr>
          </w:p>
        </w:tc>
        <w:tc>
          <w:tcPr>
            <w:tcW w:w="2487" w:type="dxa"/>
            <w:tcBorders>
              <w:bottom w:val="single" w:sz="4" w:space="0" w:color="auto"/>
            </w:tcBorders>
          </w:tcPr>
          <w:p w:rsidR="001F5702" w:rsidRPr="001A21DB" w:rsidRDefault="001F5702" w:rsidP="001A21DB">
            <w:pPr>
              <w:pStyle w:val="Tabletext"/>
            </w:pPr>
            <w:r w:rsidRPr="001A21DB">
              <w:t>Friends round for tea/snack fortnightly</w:t>
            </w:r>
          </w:p>
        </w:tc>
      </w:tr>
      <w:tr w:rsidR="001F5702" w:rsidRPr="001A21DB" w:rsidTr="001A21DB">
        <w:tblPrEx>
          <w:tblLook w:val="00A0"/>
        </w:tblPrEx>
        <w:trPr>
          <w:trHeight w:val="288"/>
        </w:trPr>
        <w:tc>
          <w:tcPr>
            <w:tcW w:w="1329" w:type="dxa"/>
            <w:tcBorders>
              <w:top w:val="single" w:sz="4" w:space="0" w:color="auto"/>
            </w:tcBorders>
            <w:noWrap/>
            <w:tcMar>
              <w:right w:w="0" w:type="dxa"/>
            </w:tcMar>
          </w:tcPr>
          <w:p w:rsidR="001F5702" w:rsidRPr="001A21DB" w:rsidRDefault="001F5702" w:rsidP="001A21DB">
            <w:pPr>
              <w:pStyle w:val="Tabletext"/>
              <w:rPr>
                <w:b/>
              </w:rPr>
            </w:pPr>
            <w:r w:rsidRPr="001A21DB">
              <w:rPr>
                <w:b/>
              </w:rPr>
              <w:t>Developmental</w:t>
            </w:r>
          </w:p>
        </w:tc>
        <w:tc>
          <w:tcPr>
            <w:tcW w:w="2486" w:type="dxa"/>
            <w:tcBorders>
              <w:top w:val="single" w:sz="4" w:space="0" w:color="auto"/>
            </w:tcBorders>
          </w:tcPr>
          <w:p w:rsidR="001F5702" w:rsidRPr="001A21DB" w:rsidRDefault="001F5702" w:rsidP="001A21DB">
            <w:pPr>
              <w:pStyle w:val="Tabletext"/>
            </w:pPr>
          </w:p>
        </w:tc>
        <w:tc>
          <w:tcPr>
            <w:tcW w:w="2487" w:type="dxa"/>
            <w:tcBorders>
              <w:top w:val="single" w:sz="4" w:space="0" w:color="auto"/>
            </w:tcBorders>
          </w:tcPr>
          <w:p w:rsidR="001F5702" w:rsidRPr="001A21DB" w:rsidRDefault="001F5702" w:rsidP="001A21DB">
            <w:pPr>
              <w:pStyle w:val="Tabletext"/>
            </w:pPr>
          </w:p>
        </w:tc>
        <w:tc>
          <w:tcPr>
            <w:tcW w:w="2487" w:type="dxa"/>
            <w:tcBorders>
              <w:top w:val="single" w:sz="4" w:space="0" w:color="auto"/>
            </w:tcBorders>
          </w:tcPr>
          <w:p w:rsidR="001F5702" w:rsidRPr="001A21DB" w:rsidRDefault="001F5702" w:rsidP="001A21DB">
            <w:pPr>
              <w:pStyle w:val="Tabletext"/>
            </w:pPr>
            <w:r w:rsidRPr="001A21DB">
              <w:t>Books of own</w:t>
            </w:r>
          </w:p>
        </w:tc>
      </w:tr>
      <w:tr w:rsidR="001F5702" w:rsidRPr="001A21DB" w:rsidTr="001A21DB">
        <w:tblPrEx>
          <w:tblLook w:val="00A0"/>
        </w:tblPrEx>
        <w:trPr>
          <w:trHeight w:val="288"/>
        </w:trPr>
        <w:tc>
          <w:tcPr>
            <w:tcW w:w="1329" w:type="dxa"/>
            <w:noWrap/>
          </w:tcPr>
          <w:p w:rsidR="001F5702" w:rsidRPr="001A21DB" w:rsidRDefault="001F5702" w:rsidP="001A21DB">
            <w:pPr>
              <w:pStyle w:val="Tabletext"/>
            </w:pPr>
          </w:p>
        </w:tc>
        <w:tc>
          <w:tcPr>
            <w:tcW w:w="2486" w:type="dxa"/>
          </w:tcPr>
          <w:p w:rsidR="001F5702" w:rsidRPr="001A21DB" w:rsidRDefault="001F5702" w:rsidP="001A21DB">
            <w:pPr>
              <w:pStyle w:val="Tabletext"/>
            </w:pPr>
          </w:p>
        </w:tc>
        <w:tc>
          <w:tcPr>
            <w:tcW w:w="2487" w:type="dxa"/>
          </w:tcPr>
          <w:p w:rsidR="001F5702" w:rsidRPr="001A21DB" w:rsidRDefault="001F5702" w:rsidP="001A21DB">
            <w:pPr>
              <w:pStyle w:val="Tabletext"/>
            </w:pPr>
          </w:p>
        </w:tc>
        <w:tc>
          <w:tcPr>
            <w:tcW w:w="2487" w:type="dxa"/>
          </w:tcPr>
          <w:p w:rsidR="001F5702" w:rsidRPr="001A21DB" w:rsidRDefault="001F5702" w:rsidP="001A21DB">
            <w:pPr>
              <w:pStyle w:val="Tabletext"/>
            </w:pPr>
            <w:r w:rsidRPr="001A21DB">
              <w:t>Play group at least once a week</w:t>
            </w:r>
          </w:p>
          <w:p w:rsidR="001F5702" w:rsidRPr="001A21DB" w:rsidRDefault="001F5702" w:rsidP="001A21DB">
            <w:pPr>
              <w:pStyle w:val="Tabletext"/>
            </w:pPr>
            <w:r w:rsidRPr="001A21DB">
              <w:t>(pre-school age children)</w:t>
            </w:r>
          </w:p>
        </w:tc>
      </w:tr>
      <w:tr w:rsidR="001F5702" w:rsidRPr="001A21DB" w:rsidTr="001A21DB">
        <w:tblPrEx>
          <w:tblLook w:val="00A0"/>
        </w:tblPrEx>
        <w:trPr>
          <w:trHeight w:val="288"/>
        </w:trPr>
        <w:tc>
          <w:tcPr>
            <w:tcW w:w="1329" w:type="dxa"/>
            <w:noWrap/>
          </w:tcPr>
          <w:p w:rsidR="001F5702" w:rsidRPr="001A21DB" w:rsidRDefault="001F5702" w:rsidP="001A21DB">
            <w:pPr>
              <w:pStyle w:val="Tabletext"/>
            </w:pPr>
          </w:p>
        </w:tc>
        <w:tc>
          <w:tcPr>
            <w:tcW w:w="2486" w:type="dxa"/>
          </w:tcPr>
          <w:p w:rsidR="001F5702" w:rsidRPr="001A21DB" w:rsidRDefault="001F5702" w:rsidP="001A21DB">
            <w:pPr>
              <w:pStyle w:val="Tabletext"/>
            </w:pPr>
          </w:p>
        </w:tc>
        <w:tc>
          <w:tcPr>
            <w:tcW w:w="2487" w:type="dxa"/>
          </w:tcPr>
          <w:p w:rsidR="001F5702" w:rsidRPr="001A21DB" w:rsidRDefault="001F5702" w:rsidP="001A21DB">
            <w:pPr>
              <w:pStyle w:val="Tabletext"/>
            </w:pPr>
          </w:p>
        </w:tc>
        <w:tc>
          <w:tcPr>
            <w:tcW w:w="2487" w:type="dxa"/>
          </w:tcPr>
          <w:p w:rsidR="001F5702" w:rsidRPr="001A21DB" w:rsidRDefault="001F5702" w:rsidP="001A21DB">
            <w:pPr>
              <w:pStyle w:val="Tabletext"/>
            </w:pPr>
            <w:r w:rsidRPr="001A21DB">
              <w:t>Educational games</w:t>
            </w:r>
          </w:p>
        </w:tc>
      </w:tr>
      <w:tr w:rsidR="001F5702" w:rsidRPr="001A21DB" w:rsidTr="001A21DB">
        <w:tblPrEx>
          <w:tblLook w:val="00A0"/>
        </w:tblPrEx>
        <w:trPr>
          <w:trHeight w:val="288"/>
        </w:trPr>
        <w:tc>
          <w:tcPr>
            <w:tcW w:w="1329" w:type="dxa"/>
            <w:noWrap/>
          </w:tcPr>
          <w:p w:rsidR="001F5702" w:rsidRPr="001A21DB" w:rsidRDefault="001F5702" w:rsidP="001A21DB">
            <w:pPr>
              <w:pStyle w:val="Tabletext"/>
            </w:pPr>
          </w:p>
        </w:tc>
        <w:tc>
          <w:tcPr>
            <w:tcW w:w="2486" w:type="dxa"/>
          </w:tcPr>
          <w:p w:rsidR="001F5702" w:rsidRPr="001A21DB" w:rsidRDefault="001F5702" w:rsidP="001A21DB">
            <w:pPr>
              <w:pStyle w:val="Tabletext"/>
            </w:pPr>
          </w:p>
        </w:tc>
        <w:tc>
          <w:tcPr>
            <w:tcW w:w="2487" w:type="dxa"/>
          </w:tcPr>
          <w:p w:rsidR="001F5702" w:rsidRPr="001A21DB" w:rsidRDefault="001F5702" w:rsidP="001A21DB">
            <w:pPr>
              <w:pStyle w:val="Tabletext"/>
            </w:pPr>
          </w:p>
        </w:tc>
        <w:tc>
          <w:tcPr>
            <w:tcW w:w="2487" w:type="dxa"/>
          </w:tcPr>
          <w:p w:rsidR="001F5702" w:rsidRPr="001A21DB" w:rsidRDefault="001F5702" w:rsidP="001A21DB">
            <w:pPr>
              <w:pStyle w:val="Tabletext"/>
            </w:pPr>
            <w:r w:rsidRPr="001A21DB">
              <w:t>Toys (e.g. dolls, teddies)</w:t>
            </w:r>
          </w:p>
        </w:tc>
      </w:tr>
      <w:tr w:rsidR="001F5702" w:rsidRPr="001A21DB" w:rsidTr="001A21DB">
        <w:tblPrEx>
          <w:tblLook w:val="00A0"/>
        </w:tblPrEx>
        <w:trPr>
          <w:trHeight w:val="288"/>
        </w:trPr>
        <w:tc>
          <w:tcPr>
            <w:tcW w:w="1329" w:type="dxa"/>
            <w:noWrap/>
          </w:tcPr>
          <w:p w:rsidR="001F5702" w:rsidRPr="001A21DB" w:rsidRDefault="001F5702" w:rsidP="001A21DB">
            <w:pPr>
              <w:pStyle w:val="Tabletext"/>
            </w:pPr>
          </w:p>
        </w:tc>
        <w:tc>
          <w:tcPr>
            <w:tcW w:w="2486" w:type="dxa"/>
          </w:tcPr>
          <w:p w:rsidR="001F5702" w:rsidRPr="001A21DB" w:rsidRDefault="001F5702" w:rsidP="001A21DB">
            <w:pPr>
              <w:pStyle w:val="Tabletext"/>
            </w:pPr>
          </w:p>
        </w:tc>
        <w:tc>
          <w:tcPr>
            <w:tcW w:w="2487" w:type="dxa"/>
          </w:tcPr>
          <w:p w:rsidR="001F5702" w:rsidRPr="001A21DB" w:rsidRDefault="001F5702" w:rsidP="001A21DB">
            <w:pPr>
              <w:pStyle w:val="Tabletext"/>
            </w:pPr>
          </w:p>
        </w:tc>
        <w:tc>
          <w:tcPr>
            <w:tcW w:w="2487" w:type="dxa"/>
          </w:tcPr>
          <w:p w:rsidR="001F5702" w:rsidRPr="001A21DB" w:rsidRDefault="001F5702" w:rsidP="001A21DB">
            <w:pPr>
              <w:pStyle w:val="Tabletext"/>
            </w:pPr>
            <w:r w:rsidRPr="001A21DB">
              <w:t>Construction toys</w:t>
            </w:r>
          </w:p>
        </w:tc>
      </w:tr>
      <w:tr w:rsidR="001F5702" w:rsidRPr="001A21DB" w:rsidTr="001A21DB">
        <w:tblPrEx>
          <w:tblLook w:val="00A0"/>
        </w:tblPrEx>
        <w:trPr>
          <w:trHeight w:val="288"/>
        </w:trPr>
        <w:tc>
          <w:tcPr>
            <w:tcW w:w="1329" w:type="dxa"/>
            <w:noWrap/>
          </w:tcPr>
          <w:p w:rsidR="001F5702" w:rsidRPr="001A21DB" w:rsidRDefault="001F5702" w:rsidP="001A21DB">
            <w:pPr>
              <w:pStyle w:val="Tabletext"/>
            </w:pPr>
          </w:p>
        </w:tc>
        <w:tc>
          <w:tcPr>
            <w:tcW w:w="2486" w:type="dxa"/>
          </w:tcPr>
          <w:p w:rsidR="001F5702" w:rsidRPr="001A21DB" w:rsidRDefault="001F5702" w:rsidP="001A21DB">
            <w:pPr>
              <w:pStyle w:val="Tabletext"/>
            </w:pPr>
          </w:p>
        </w:tc>
        <w:tc>
          <w:tcPr>
            <w:tcW w:w="2487" w:type="dxa"/>
          </w:tcPr>
          <w:p w:rsidR="001F5702" w:rsidRPr="001A21DB" w:rsidRDefault="001F5702" w:rsidP="001A21DB">
            <w:pPr>
              <w:pStyle w:val="Tabletext"/>
            </w:pPr>
          </w:p>
        </w:tc>
        <w:tc>
          <w:tcPr>
            <w:tcW w:w="2487" w:type="dxa"/>
          </w:tcPr>
          <w:p w:rsidR="001F5702" w:rsidRPr="001A21DB" w:rsidRDefault="001F5702" w:rsidP="001A21DB">
            <w:pPr>
              <w:pStyle w:val="Tabletext"/>
            </w:pPr>
            <w:r w:rsidRPr="001A21DB">
              <w:t>Bike: new/second-hand</w:t>
            </w:r>
          </w:p>
        </w:tc>
      </w:tr>
      <w:tr w:rsidR="001F5702" w:rsidRPr="001A21DB" w:rsidTr="001A21DB">
        <w:tblPrEx>
          <w:tblLook w:val="00A0"/>
        </w:tblPrEx>
        <w:trPr>
          <w:trHeight w:val="288"/>
        </w:trPr>
        <w:tc>
          <w:tcPr>
            <w:tcW w:w="1329" w:type="dxa"/>
            <w:noWrap/>
          </w:tcPr>
          <w:p w:rsidR="001F5702" w:rsidRPr="001A21DB" w:rsidRDefault="001F5702" w:rsidP="001A21DB">
            <w:pPr>
              <w:pStyle w:val="Tabletext"/>
            </w:pPr>
          </w:p>
        </w:tc>
        <w:tc>
          <w:tcPr>
            <w:tcW w:w="2486" w:type="dxa"/>
          </w:tcPr>
          <w:p w:rsidR="001F5702" w:rsidRPr="001A21DB" w:rsidRDefault="001F5702" w:rsidP="001A21DB">
            <w:pPr>
              <w:pStyle w:val="Tabletext"/>
            </w:pPr>
          </w:p>
        </w:tc>
        <w:tc>
          <w:tcPr>
            <w:tcW w:w="2487" w:type="dxa"/>
          </w:tcPr>
          <w:p w:rsidR="001F5702" w:rsidRPr="001A21DB" w:rsidRDefault="001F5702" w:rsidP="001A21DB">
            <w:pPr>
              <w:pStyle w:val="Tabletext"/>
            </w:pPr>
          </w:p>
        </w:tc>
        <w:tc>
          <w:tcPr>
            <w:tcW w:w="2487" w:type="dxa"/>
          </w:tcPr>
          <w:p w:rsidR="001F5702" w:rsidRPr="001A21DB" w:rsidRDefault="001F5702" w:rsidP="001A21DB">
            <w:pPr>
              <w:pStyle w:val="Tabletext"/>
            </w:pPr>
            <w:r w:rsidRPr="001A21DB">
              <w:t>At least 50 p. a week for sweets</w:t>
            </w:r>
          </w:p>
        </w:tc>
      </w:tr>
      <w:tr w:rsidR="001F5702" w:rsidRPr="001A21DB" w:rsidTr="001A21DB">
        <w:tblPrEx>
          <w:tblLook w:val="00A0"/>
        </w:tblPrEx>
        <w:trPr>
          <w:trHeight w:val="288"/>
        </w:trPr>
        <w:tc>
          <w:tcPr>
            <w:tcW w:w="1329" w:type="dxa"/>
            <w:noWrap/>
          </w:tcPr>
          <w:p w:rsidR="001F5702" w:rsidRPr="001A21DB" w:rsidRDefault="001F5702" w:rsidP="001A21DB">
            <w:pPr>
              <w:pStyle w:val="Tabletext"/>
            </w:pPr>
          </w:p>
        </w:tc>
        <w:tc>
          <w:tcPr>
            <w:tcW w:w="2486" w:type="dxa"/>
          </w:tcPr>
          <w:p w:rsidR="001F5702" w:rsidRPr="001A21DB" w:rsidRDefault="001F5702" w:rsidP="001A21DB">
            <w:pPr>
              <w:pStyle w:val="Tabletext"/>
            </w:pPr>
          </w:p>
        </w:tc>
        <w:tc>
          <w:tcPr>
            <w:tcW w:w="2487" w:type="dxa"/>
          </w:tcPr>
          <w:p w:rsidR="001F5702" w:rsidRPr="001A21DB" w:rsidRDefault="001F5702" w:rsidP="001A21DB">
            <w:pPr>
              <w:pStyle w:val="Tabletext"/>
            </w:pPr>
          </w:p>
        </w:tc>
        <w:tc>
          <w:tcPr>
            <w:tcW w:w="2487" w:type="dxa"/>
          </w:tcPr>
          <w:p w:rsidR="001F5702" w:rsidRPr="001A21DB" w:rsidRDefault="001F5702" w:rsidP="001A21DB">
            <w:pPr>
              <w:pStyle w:val="Tabletext"/>
            </w:pPr>
            <w:r w:rsidRPr="001A21DB">
              <w:t>Computer suitable for schoolwork</w:t>
            </w:r>
          </w:p>
        </w:tc>
      </w:tr>
      <w:tr w:rsidR="001F5702" w:rsidRPr="001A21DB" w:rsidTr="001A21DB">
        <w:tblPrEx>
          <w:tblLook w:val="00A0"/>
        </w:tblPrEx>
        <w:trPr>
          <w:trHeight w:val="288"/>
        </w:trPr>
        <w:tc>
          <w:tcPr>
            <w:tcW w:w="1329" w:type="dxa"/>
            <w:tcBorders>
              <w:bottom w:val="single" w:sz="4" w:space="0" w:color="auto"/>
            </w:tcBorders>
            <w:noWrap/>
          </w:tcPr>
          <w:p w:rsidR="001F5702" w:rsidRPr="001A21DB" w:rsidRDefault="001F5702" w:rsidP="001A21DB">
            <w:pPr>
              <w:pStyle w:val="Tabletext"/>
            </w:pPr>
          </w:p>
        </w:tc>
        <w:tc>
          <w:tcPr>
            <w:tcW w:w="2486" w:type="dxa"/>
            <w:tcBorders>
              <w:bottom w:val="single" w:sz="4" w:space="0" w:color="auto"/>
            </w:tcBorders>
          </w:tcPr>
          <w:p w:rsidR="001F5702" w:rsidRPr="001A21DB" w:rsidRDefault="001F5702" w:rsidP="001A21DB">
            <w:pPr>
              <w:pStyle w:val="Tabletext"/>
            </w:pPr>
          </w:p>
        </w:tc>
        <w:tc>
          <w:tcPr>
            <w:tcW w:w="2487" w:type="dxa"/>
            <w:tcBorders>
              <w:bottom w:val="single" w:sz="4" w:space="0" w:color="auto"/>
            </w:tcBorders>
          </w:tcPr>
          <w:p w:rsidR="001F5702" w:rsidRPr="001A21DB" w:rsidRDefault="001F5702" w:rsidP="001A21DB">
            <w:pPr>
              <w:pStyle w:val="Tabletext"/>
            </w:pPr>
          </w:p>
        </w:tc>
        <w:tc>
          <w:tcPr>
            <w:tcW w:w="2487" w:type="dxa"/>
            <w:tcBorders>
              <w:bottom w:val="single" w:sz="4" w:space="0" w:color="auto"/>
            </w:tcBorders>
          </w:tcPr>
          <w:p w:rsidR="001F5702" w:rsidRPr="001A21DB" w:rsidRDefault="001F5702" w:rsidP="001A21DB">
            <w:pPr>
              <w:pStyle w:val="Tabletext"/>
            </w:pPr>
            <w:r w:rsidRPr="001A21DB">
              <w:t>Computer games</w:t>
            </w:r>
          </w:p>
        </w:tc>
      </w:tr>
    </w:tbl>
    <w:p w:rsidR="001F5702" w:rsidRDefault="001F5702" w:rsidP="00A35785">
      <w:pPr>
        <w:pStyle w:val="Source"/>
      </w:pPr>
      <w:r>
        <w:t>Source:</w:t>
      </w:r>
      <w:r w:rsidR="00A35785">
        <w:tab/>
      </w:r>
      <w:proofErr w:type="spellStart"/>
      <w:r>
        <w:t>Levitas</w:t>
      </w:r>
      <w:proofErr w:type="spellEnd"/>
      <w:r>
        <w:t xml:space="preserve"> et al. (2007); Gordon et al. (2000).</w:t>
      </w:r>
    </w:p>
    <w:p w:rsidR="001F5702" w:rsidRPr="00A35785" w:rsidRDefault="001F5702" w:rsidP="00A35785">
      <w:pPr>
        <w:pStyle w:val="Textmorebefore"/>
      </w:pPr>
      <w:r w:rsidRPr="00BC0B2D">
        <w:t xml:space="preserve">A wider set of relevant </w:t>
      </w:r>
      <w:r>
        <w:t xml:space="preserve">disadvantage </w:t>
      </w:r>
      <w:r w:rsidRPr="00BC0B2D">
        <w:t xml:space="preserve">indicators are </w:t>
      </w:r>
      <w:r>
        <w:t>encompassed</w:t>
      </w:r>
      <w:r w:rsidRPr="00BC0B2D">
        <w:t xml:space="preserve"> by the children’s indicators </w:t>
      </w:r>
      <w:r>
        <w:t xml:space="preserve">in the </w:t>
      </w:r>
      <w:r w:rsidRPr="00BC0B2D">
        <w:t xml:space="preserve">1999 Millennium Survey of Poverty and Social Exclusion, including age-related participation </w:t>
      </w:r>
      <w:r>
        <w:t xml:space="preserve">in social activities </w:t>
      </w:r>
      <w:r w:rsidRPr="00BC0B2D">
        <w:t xml:space="preserve">and additional indicators of material deprivation. </w:t>
      </w:r>
      <w:r>
        <w:t xml:space="preserve">For the latter dimension, </w:t>
      </w:r>
      <w:r w:rsidR="00A865E4">
        <w:fldChar w:fldCharType="begin"/>
      </w:r>
      <w:r>
        <w:instrText xml:space="preserve"> ADDIN EN.CITE &lt;EndNote&gt;&lt;Cite&gt;&lt;Author&gt;Gordon&lt;/Author&gt;&lt;Year&gt;2000&lt;/Year&gt;&lt;RecNum&gt;32&lt;/RecNum&gt;&lt;record&gt;&lt;rec-number&gt;32&lt;/rec-number&gt;&lt;foreign-keys&gt;&lt;key app="EN" db-id="0sp9t02ao2s908er5duvztshees9x25szs2d"&gt;32&lt;/key&gt;&lt;/foreign-keys&gt;&lt;ref-type name="Book"&gt;6&lt;/ref-type&gt;&lt;contributors&gt;&lt;authors&gt;&lt;author&gt;Gordon, David&lt;/author&gt;&lt;author&gt;Levitas, Ruth&lt;/author&gt;&lt;author&gt;Pantazis, Christina&lt;/author&gt;&lt;author&gt;Patsios, Demi&lt;/author&gt;&lt;author&gt;Payne, Sarah &lt;/author&gt;&lt;author&gt;Townsend, Peter  &lt;/author&gt;&lt;author&gt;Adelman, Laura &lt;/author&gt;&lt;author&gt;Ashworth, Karl &lt;/author&gt;&lt;author&gt;Middleton, Sue &lt;/author&gt;&lt;author&gt;Bradshaw, Jonathan &lt;/author&gt;&lt;author&gt;Williams, Julie &lt;/author&gt;&lt;/authors&gt;&lt;/contributors&gt;&lt;titles&gt;&lt;title&gt;Poverty and social exclusion in Britain&lt;/title&gt;&lt;/titles&gt;&lt;dates&gt;&lt;year&gt;2000&lt;/year&gt;&lt;/dates&gt;&lt;pub-location&gt;York&lt;/pub-location&gt;&lt;publisher&gt;Joseph Rowntree Foundation&lt;/publisher&gt;&lt;urls&gt;&lt;/urls&gt;&lt;/record&gt;&lt;/Cite&gt;&lt;/EndNote&gt;</w:instrText>
      </w:r>
      <w:r w:rsidR="00A865E4">
        <w:fldChar w:fldCharType="separate"/>
      </w:r>
      <w:r>
        <w:t>Gordon et al. (2000</w:t>
      </w:r>
      <w:r w:rsidR="00A865E4">
        <w:fldChar w:fldCharType="end"/>
      </w:r>
      <w:r>
        <w:t>)</w:t>
      </w:r>
      <w:r w:rsidR="00723990">
        <w:t xml:space="preserve"> — </w:t>
      </w:r>
      <w:r>
        <w:t>to reflect the limitations of using household income to measure poverty among children</w:t>
      </w:r>
      <w:r w:rsidR="00723990">
        <w:t xml:space="preserve"> — </w:t>
      </w:r>
      <w:r>
        <w:t xml:space="preserve">propose measuring poverty according to socially perceived necessities. This would allow the development of </w:t>
      </w:r>
      <w:r w:rsidRPr="00090FC7">
        <w:t>a poverty line specifically</w:t>
      </w:r>
      <w:r>
        <w:t xml:space="preserve"> </w:t>
      </w:r>
      <w:r w:rsidRPr="00090FC7">
        <w:t xml:space="preserve">related to </w:t>
      </w:r>
      <w:r w:rsidRPr="00A35785">
        <w:t>children, rather than to adults or households. These measures are also summarised in table 1.</w:t>
      </w:r>
    </w:p>
    <w:p w:rsidR="001F5702" w:rsidRDefault="001F5702" w:rsidP="00A35785">
      <w:pPr>
        <w:pStyle w:val="Text"/>
      </w:pPr>
      <w:r w:rsidRPr="00A35785">
        <w:t>A number of youth-specific measures are included in the Australian</w:t>
      </w:r>
      <w:r>
        <w:t xml:space="preserve"> Government’s list of indicators of social inclusion (</w:t>
      </w:r>
      <w:r w:rsidR="00A865E4">
        <w:fldChar w:fldCharType="begin"/>
      </w:r>
      <w:r>
        <w:instrText xml:space="preserve"> ADDIN EN.CITE &lt;EndNote&gt;&lt;Cite&gt;&lt;Author&gt;Australian Government&lt;/Author&gt;&lt;Year&gt;2010&lt;/Year&gt;&lt;RecNum&gt;115&lt;/RecNum&gt;&lt;record&gt;&lt;rec-number&gt;115&lt;/rec-number&gt;&lt;foreign-keys&gt;&lt;key app="EN" db-id="0sp9t02ao2s908er5duvztshees9x25szs2d"&gt;115&lt;/key&gt;&lt;/foreign-keys&gt;&lt;ref-type name="Report"&gt;27&lt;/ref-type&gt;&lt;contributors&gt;&lt;authors&gt;&lt;author&gt;Australian Government,&lt;/author&gt;&lt;/authors&gt;&lt;/contributors&gt;&lt;titles&gt;&lt;title&gt;Social Inclusion in Australia: How Australia is faring&lt;/title&gt;&lt;/titles&gt;&lt;dates&gt;&lt;year&gt;2010&lt;/year&gt;&lt;/dates&gt;&lt;pub-location&gt;Canberra&lt;/pub-location&gt;&lt;urls&gt;&lt;/urls&gt;&lt;/record&gt;&lt;/Cite&gt;&lt;/EndNote&gt;</w:instrText>
      </w:r>
      <w:r w:rsidR="00A865E4">
        <w:fldChar w:fldCharType="separate"/>
      </w:r>
      <w:r>
        <w:t>Australian Social Inclusion Board 2010</w:t>
      </w:r>
      <w:r w:rsidR="00A865E4">
        <w:fldChar w:fldCharType="end"/>
      </w:r>
      <w:r>
        <w:t>). Being broadly consistent with international approaches, these include, in particular, indicators of y</w:t>
      </w:r>
      <w:r w:rsidRPr="007B3CAD">
        <w:t>oung people not fully en</w:t>
      </w:r>
      <w:r>
        <w:t>gaged in education or work and Y</w:t>
      </w:r>
      <w:r w:rsidRPr="007B3CAD">
        <w:t>ear 12 or equivalent attainment</w:t>
      </w:r>
      <w:r>
        <w:t xml:space="preserve">. The list also includes indicators to capture resources and </w:t>
      </w:r>
      <w:r w:rsidRPr="006D0401">
        <w:lastRenderedPageBreak/>
        <w:t>cover</w:t>
      </w:r>
      <w:r>
        <w:t>s</w:t>
      </w:r>
      <w:r w:rsidRPr="006D0401">
        <w:t xml:space="preserve"> income, </w:t>
      </w:r>
      <w:r>
        <w:t>work, health, education, safety and</w:t>
      </w:r>
      <w:r w:rsidRPr="006D0401">
        <w:t xml:space="preserve"> support</w:t>
      </w:r>
      <w:r>
        <w:t>. W</w:t>
      </w:r>
      <w:r w:rsidRPr="006D0401">
        <w:t xml:space="preserve">hile not in all cases </w:t>
      </w:r>
      <w:r>
        <w:t xml:space="preserve">specifically </w:t>
      </w:r>
      <w:r w:rsidRPr="006D0401">
        <w:t xml:space="preserve">defined for </w:t>
      </w:r>
      <w:r>
        <w:t>youth</w:t>
      </w:r>
      <w:r w:rsidRPr="006D0401">
        <w:t xml:space="preserve">, </w:t>
      </w:r>
      <w:r>
        <w:t xml:space="preserve">these measures </w:t>
      </w:r>
      <w:r w:rsidRPr="006D0401">
        <w:t xml:space="preserve">are instrumental in shedding light </w:t>
      </w:r>
      <w:r>
        <w:t>on</w:t>
      </w:r>
      <w:r w:rsidRPr="006D0401">
        <w:t xml:space="preserve"> the </w:t>
      </w:r>
      <w:r>
        <w:t xml:space="preserve">initial </w:t>
      </w:r>
      <w:r w:rsidRPr="006D0401">
        <w:t>environments where t</w:t>
      </w:r>
      <w:r>
        <w:t xml:space="preserve">hey grow up and which would affect their subsequent participation outcomes in society. </w:t>
      </w:r>
    </w:p>
    <w:p w:rsidR="001F5702" w:rsidRPr="00A35785" w:rsidRDefault="001F5702" w:rsidP="00A35785">
      <w:pPr>
        <w:pStyle w:val="Text"/>
      </w:pPr>
      <w:r>
        <w:t xml:space="preserve">In summary, the literature suggests a number of approaches to defining disadvantage. </w:t>
      </w:r>
      <w:r w:rsidRPr="002E6EF8">
        <w:t>Indicators</w:t>
      </w:r>
      <w:r>
        <w:t xml:space="preserve"> </w:t>
      </w:r>
      <w:r w:rsidRPr="002E6EF8">
        <w:t xml:space="preserve">used to </w:t>
      </w:r>
      <w:r>
        <w:t>measure disadvantage</w:t>
      </w:r>
      <w:r w:rsidRPr="002E6EF8">
        <w:t xml:space="preserve"> </w:t>
      </w:r>
      <w:r>
        <w:t xml:space="preserve">have in some cases been defined for different age groups, including young people. They have also been </w:t>
      </w:r>
      <w:r w:rsidRPr="002E6EF8">
        <w:t>relate</w:t>
      </w:r>
      <w:r>
        <w:t>d</w:t>
      </w:r>
      <w:r w:rsidRPr="002E6EF8">
        <w:t xml:space="preserve"> to </w:t>
      </w:r>
      <w:r>
        <w:t xml:space="preserve">initial or endowed states of deprivation, such as living in families with limited access to economic resources, as well as to outcomes relevant to their own education, health, access to </w:t>
      </w:r>
      <w:r w:rsidRPr="002E6EF8">
        <w:t>services</w:t>
      </w:r>
      <w:r>
        <w:t xml:space="preserve"> and participation in different aspects of a desirable life</w:t>
      </w:r>
      <w:r w:rsidRPr="002E6EF8">
        <w:t>.</w:t>
      </w:r>
      <w:r>
        <w:t xml:space="preserve"> D</w:t>
      </w:r>
      <w:r w:rsidRPr="005D7758">
        <w:t xml:space="preserve">ata </w:t>
      </w:r>
      <w:r>
        <w:t>limitations</w:t>
      </w:r>
      <w:r w:rsidRPr="005D7758">
        <w:t xml:space="preserve"> </w:t>
      </w:r>
      <w:r>
        <w:t xml:space="preserve">appear to pose substantial challenges for researchers </w:t>
      </w:r>
      <w:r w:rsidRPr="00A35785">
        <w:t xml:space="preserve">who wish to study the relative impact of different dimensions of disadvantage on those who experience them. </w:t>
      </w:r>
    </w:p>
    <w:p w:rsidR="001F5702" w:rsidRPr="00A35785" w:rsidRDefault="001F5702" w:rsidP="00A35785">
      <w:pPr>
        <w:pStyle w:val="Text"/>
      </w:pPr>
      <w:r w:rsidRPr="00A35785">
        <w:t xml:space="preserve">While faced with the same challenge, this study uses a broad set of disadvantage measures that encompass many of those proposed in the literature. The datasets used here (described in more detail in the next chapter) jointly capture measures that reflect the states of economic deprivation at formative times in the lives of young people, including family income, history of income support receipt, as well as parental employment and occupational status. In addition, the datasets contain measures of family dissolution and parental re-partnering behaviours. They also include information on respondents’ own early outcomes that might potentially lead to deprivation as adults. For example, they incorporate a large number of measures of the school experiences of young people, including school performance and achievement, histories of </w:t>
      </w:r>
      <w:r w:rsidR="00AE1DA5">
        <w:t>repeating school years</w:t>
      </w:r>
      <w:r w:rsidRPr="00A35785">
        <w:t>, truancy, mobility and suspension from school. The information on school outcomes is complemented by measures of school characteristics that capture the size and socioeconomic composition of the school population, student and teacher motivation levels</w:t>
      </w:r>
      <w:r w:rsidR="00FA544D">
        <w:t>,</w:t>
      </w:r>
      <w:r w:rsidRPr="00A35785">
        <w:t xml:space="preserve"> and assessments of the adequacy of school resources, among others. Finally, information on engagement in risky activities by young people, including consumption of alcohol, marijuana or smoking, is also available.</w:t>
      </w:r>
    </w:p>
    <w:p w:rsidR="001F5702" w:rsidRDefault="001F5702" w:rsidP="00A35785">
      <w:pPr>
        <w:pStyle w:val="Text"/>
        <w:ind w:right="-151"/>
      </w:pPr>
      <w:r w:rsidRPr="00A35785">
        <w:t>Overall, the spectrum of measures jointly offered by the two datasets</w:t>
      </w:r>
      <w:r>
        <w:t xml:space="preserve"> should be very useful in capturing broadly the nature and characteristics of disadvantage among the youth in Australia and for considering its relationship not only with Year 12 completion but potentially with broader youth outcomes. Our outcome variable, Year 12 completion, is one that research has shown is important for adult outcomes in Australia, and may operate in conjunction with other factors as a contributor to multiple </w:t>
      </w:r>
      <w:proofErr w:type="gramStart"/>
      <w:r>
        <w:t>disadvantage</w:t>
      </w:r>
      <w:proofErr w:type="gramEnd"/>
      <w:r>
        <w:t xml:space="preserve"> for adults, although these adult outcomes are not studied here. Our focus is on the effect on an important education outcome, Year 12 completion, of disadvantage while growing up. </w:t>
      </w:r>
    </w:p>
    <w:p w:rsidR="001F5702" w:rsidRDefault="001F5702" w:rsidP="00A35785">
      <w:pPr>
        <w:pStyle w:val="Heading2"/>
      </w:pPr>
      <w:bookmarkStart w:id="39" w:name="_Toc274390646"/>
      <w:bookmarkStart w:id="40" w:name="_Toc318282959"/>
      <w:bookmarkStart w:id="41" w:name="_Toc324765870"/>
      <w:r>
        <w:t xml:space="preserve">Disadvantage and school completion: </w:t>
      </w:r>
      <w:r w:rsidRPr="00A35785">
        <w:t>proposed</w:t>
      </w:r>
      <w:r>
        <w:t xml:space="preserve"> contribution to </w:t>
      </w:r>
      <w:r w:rsidR="00FA544D">
        <w:t xml:space="preserve">the </w:t>
      </w:r>
      <w:r>
        <w:t>existing</w:t>
      </w:r>
      <w:r w:rsidR="00A35785">
        <w:t> </w:t>
      </w:r>
      <w:r>
        <w:t>literature</w:t>
      </w:r>
      <w:bookmarkEnd w:id="39"/>
      <w:bookmarkEnd w:id="40"/>
      <w:bookmarkEnd w:id="41"/>
    </w:p>
    <w:p w:rsidR="001F5702" w:rsidRDefault="001F5702" w:rsidP="00AD3904">
      <w:pPr>
        <w:pStyle w:val="Text"/>
        <w:ind w:right="-151"/>
      </w:pPr>
      <w:r w:rsidRPr="00080FA7">
        <w:t xml:space="preserve">In a review of </w:t>
      </w:r>
      <w:r>
        <w:t xml:space="preserve">the </w:t>
      </w:r>
      <w:r w:rsidRPr="00080FA7">
        <w:t>literature on school completion</w:t>
      </w:r>
      <w:r>
        <w:t xml:space="preserve"> in Australia, </w:t>
      </w:r>
      <w:r w:rsidR="00A865E4">
        <w:fldChar w:fldCharType="begin"/>
      </w:r>
      <w:r>
        <w:instrText xml:space="preserve"> ADDIN EN.CITE &lt;EndNote&gt;&lt;Cite&gt;&lt;Author&gt;Lamb&lt;/Author&gt;&lt;Year&gt;2004&lt;/Year&gt;&lt;RecNum&gt;25&lt;/RecNum&gt;&lt;record&gt;&lt;rec-number&gt;25&lt;/rec-number&gt;&lt;foreign-keys&gt;&lt;key app="EN" db-id="0sp9t02ao2s908er5duvztshees9x25szs2d"&gt;25&lt;/key&gt;&lt;/foreign-keys&gt;&lt;ref-type name="Report"&gt;27&lt;/ref-type&gt;&lt;contributors&gt;&lt;authors&gt;&lt;author&gt;Lamb, Stephen &lt;/author&gt;&lt;author&gt;Walstab, Anne &lt;/author&gt;&lt;author&gt;Teese, Richard &lt;/author&gt;&lt;author&gt;Vickers, Margaret &lt;/author&gt;&lt;author&gt;Rumberger, Russ &lt;/author&gt;&lt;/authors&gt;&lt;/contributors&gt;&lt;titles&gt;&lt;title&gt;Staying on at school: Improving student retention in Australia&lt;/title&gt;&lt;secondary-title&gt;Commissioned by the Queensland Department of Education and the Arts on behalf of the National Fund for Educational Research&lt;/secondary-title&gt;&lt;/titles&gt;&lt;dates&gt;&lt;year&gt;2004&lt;/year&gt;&lt;/dates&gt;&lt;pub-location&gt;Melbourne&lt;/pub-location&gt;&lt;publisher&gt;Centre for Post-compulsory Education and Lifelong Learning, The University of Melbourne&lt;/publisher&gt;&lt;urls&gt;&lt;/urls&gt;&lt;/record&gt;&lt;/Cite&gt;&lt;/EndNote&gt;</w:instrText>
      </w:r>
      <w:r w:rsidR="00A865E4">
        <w:fldChar w:fldCharType="separate"/>
      </w:r>
      <w:r>
        <w:t>Lamb et al. (2004</w:t>
      </w:r>
      <w:r w:rsidR="00A865E4">
        <w:fldChar w:fldCharType="end"/>
      </w:r>
      <w:r>
        <w:t>)</w:t>
      </w:r>
      <w:r w:rsidRPr="00080FA7">
        <w:t xml:space="preserve"> i</w:t>
      </w:r>
      <w:r>
        <w:t>dentified</w:t>
      </w:r>
      <w:r w:rsidRPr="00080FA7">
        <w:t xml:space="preserve"> </w:t>
      </w:r>
      <w:r>
        <w:t>the</w:t>
      </w:r>
      <w:r w:rsidRPr="00080FA7">
        <w:t xml:space="preserve"> i</w:t>
      </w:r>
      <w:r w:rsidRPr="00B72094">
        <w:t xml:space="preserve">mportant </w:t>
      </w:r>
      <w:r>
        <w:t>determinants</w:t>
      </w:r>
      <w:r w:rsidRPr="00B72094">
        <w:t xml:space="preserve"> </w:t>
      </w:r>
      <w:r>
        <w:t xml:space="preserve">as including: </w:t>
      </w:r>
      <w:r w:rsidRPr="00B72094">
        <w:t xml:space="preserve">social and demographic </w:t>
      </w:r>
      <w:r>
        <w:t xml:space="preserve">factors </w:t>
      </w:r>
      <w:r w:rsidRPr="00B72094">
        <w:t>(gender, region, ethnicity, socioeconomic</w:t>
      </w:r>
      <w:r>
        <w:t xml:space="preserve"> status, I</w:t>
      </w:r>
      <w:r w:rsidRPr="00B72094">
        <w:t>ndigenous status)</w:t>
      </w:r>
      <w:r>
        <w:t>;</w:t>
      </w:r>
      <w:r w:rsidRPr="00B72094">
        <w:t xml:space="preserve"> curriculum and certification</w:t>
      </w:r>
      <w:r>
        <w:t xml:space="preserve"> (</w:t>
      </w:r>
      <w:r w:rsidRPr="00B72094">
        <w:t>breadth of offerings,</w:t>
      </w:r>
      <w:r>
        <w:t xml:space="preserve"> VET in S</w:t>
      </w:r>
      <w:r w:rsidRPr="00B72094">
        <w:t>chools, senior school certificate requirements, alternative programs,</w:t>
      </w:r>
      <w:r>
        <w:t xml:space="preserve"> </w:t>
      </w:r>
      <w:r w:rsidRPr="00B72094">
        <w:t>university entry requirements)</w:t>
      </w:r>
      <w:r>
        <w:t>; school organisation (</w:t>
      </w:r>
      <w:r w:rsidRPr="00B72094">
        <w:t>sector, selective entry</w:t>
      </w:r>
      <w:r>
        <w:t xml:space="preserve"> </w:t>
      </w:r>
      <w:r w:rsidRPr="00B72094">
        <w:t>schools, senior</w:t>
      </w:r>
      <w:r>
        <w:t xml:space="preserve"> colleges, middle schools, TAFE</w:t>
      </w:r>
      <w:r w:rsidR="00682BE0">
        <w:t>—</w:t>
      </w:r>
      <w:r w:rsidRPr="00B72094">
        <w:t>school relations, TAFE</w:t>
      </w:r>
      <w:r>
        <w:t xml:space="preserve"> </w:t>
      </w:r>
      <w:r w:rsidRPr="00B72094">
        <w:t>requirements)</w:t>
      </w:r>
      <w:r>
        <w:t>; student performance (</w:t>
      </w:r>
      <w:r w:rsidRPr="00B72094">
        <w:t>early school achievement and academic</w:t>
      </w:r>
      <w:r>
        <w:t xml:space="preserve"> </w:t>
      </w:r>
      <w:r w:rsidRPr="00B72094">
        <w:t>progress)</w:t>
      </w:r>
      <w:r>
        <w:t>; teachers and pedagogy (</w:t>
      </w:r>
      <w:r w:rsidRPr="00B72094">
        <w:t>teacher quality, teaching styles, assessment)</w:t>
      </w:r>
      <w:r>
        <w:t xml:space="preserve">; </w:t>
      </w:r>
      <w:r w:rsidRPr="00B72094">
        <w:t xml:space="preserve">personal </w:t>
      </w:r>
      <w:r>
        <w:t>factors (</w:t>
      </w:r>
      <w:r w:rsidRPr="00B72094">
        <w:t>finances, physical and mental health, disability, psychological,</w:t>
      </w:r>
      <w:r>
        <w:t xml:space="preserve"> </w:t>
      </w:r>
      <w:r w:rsidRPr="00B72094">
        <w:t>pregnancy, drug use, transport, family obligations, family breakdown,</w:t>
      </w:r>
      <w:r>
        <w:t xml:space="preserve"> </w:t>
      </w:r>
      <w:r w:rsidRPr="00B72094">
        <w:t>homelessness)</w:t>
      </w:r>
      <w:r>
        <w:t>;</w:t>
      </w:r>
      <w:r w:rsidRPr="00B72094">
        <w:t xml:space="preserve"> and economic and labour market </w:t>
      </w:r>
      <w:r>
        <w:t>phenomena (</w:t>
      </w:r>
      <w:r w:rsidRPr="00B72094">
        <w:t>employment and</w:t>
      </w:r>
      <w:r>
        <w:t xml:space="preserve"> </w:t>
      </w:r>
      <w:r w:rsidRPr="00B72094">
        <w:t>unemployment, apprenticeships, industry, recession and growth, teenage labour</w:t>
      </w:r>
      <w:r>
        <w:t xml:space="preserve"> </w:t>
      </w:r>
      <w:r w:rsidRPr="00080FA7">
        <w:lastRenderedPageBreak/>
        <w:t xml:space="preserve">market </w:t>
      </w:r>
      <w:r w:rsidRPr="00B72094">
        <w:t>opportunities).</w:t>
      </w:r>
      <w:r>
        <w:t xml:space="preserve"> If anything, the most pronounced gap in completion is between Indigenous and non-Indigenous young people</w:t>
      </w:r>
      <w:r w:rsidR="00723990">
        <w:t xml:space="preserve"> — </w:t>
      </w:r>
      <w:r>
        <w:t>a gap of the order of 40 percentage points (</w:t>
      </w:r>
      <w:r w:rsidR="00A865E4">
        <w:fldChar w:fldCharType="begin"/>
      </w:r>
      <w:r>
        <w:instrText xml:space="preserve"> ADDIN EN.CITE &lt;EndNote&gt;&lt;Cite&gt;&lt;Author&gt;Long&lt;/Author&gt;&lt;Year&gt;1998&lt;/Year&gt;&lt;RecNum&gt;119&lt;/RecNum&gt;&lt;record&gt;&lt;rec-number&gt;119&lt;/rec-number&gt;&lt;foreign-keys&gt;&lt;key app="EN" db-id="0sp9t02ao2s908er5duvztshees9x25szs2d"&gt;119&lt;/key&gt;&lt;/foreign-keys&gt;&lt;ref-type name="Report"&gt;27&lt;/ref-type&gt;&lt;contributors&gt;&lt;authors&gt;&lt;author&gt;Long, Michael&lt;/author&gt;&lt;author&gt;Frigo, Tracey&lt;/author&gt;&lt;author&gt;Batten, Margaret&lt;/author&gt;&lt;/authors&gt;&lt;/contributors&gt;&lt;titles&gt;&lt;title&gt;The school to work transition of Indigenous Australians : Review of the literature and statistical analysis&lt;/title&gt;&lt;/titles&gt;&lt;number&gt;1 July&lt;/number&gt;&lt;dates&gt;&lt;year&gt;1998&lt;/year&gt;&lt;/dates&gt;&lt;pub-location&gt;Canberra&lt;/pub-location&gt;&lt;publisher&gt;Department of Education, Training and Youth Affairs&lt;/publisher&gt;&lt;urls&gt;&lt;/urls&gt;&lt;/record&gt;&lt;/Cite&gt;&lt;/EndNote&gt;</w:instrText>
      </w:r>
      <w:r w:rsidR="00A865E4">
        <w:fldChar w:fldCharType="separate"/>
      </w:r>
      <w:r>
        <w:t>Long, Frigo &amp; Batten 1998</w:t>
      </w:r>
      <w:r w:rsidR="00A865E4">
        <w:fldChar w:fldCharType="end"/>
      </w:r>
      <w:r>
        <w:t>).</w:t>
      </w:r>
      <w:r w:rsidRPr="00080FA7">
        <w:t xml:space="preserve"> </w:t>
      </w:r>
    </w:p>
    <w:p w:rsidR="001F5702" w:rsidRDefault="001F5702" w:rsidP="001F5702">
      <w:pPr>
        <w:pStyle w:val="Text"/>
      </w:pPr>
      <w:r>
        <w:t>The set of d</w:t>
      </w:r>
      <w:r w:rsidRPr="00080FA7">
        <w:t>eterminants of school completion</w:t>
      </w:r>
      <w:r>
        <w:t xml:space="preserve"> identified in the Australian literature is largely limited to information accessible through LSAY or its predecessors, which have served as the main source for studies on the topic, including the independent </w:t>
      </w:r>
      <w:r w:rsidRPr="00080FA7">
        <w:t xml:space="preserve">studies </w:t>
      </w:r>
      <w:r>
        <w:t xml:space="preserve">by </w:t>
      </w:r>
      <w:r w:rsidR="00A865E4">
        <w:fldChar w:fldCharType="begin"/>
      </w:r>
      <w:r>
        <w:instrText xml:space="preserve"> ADDIN EN.CITE &lt;EndNote&gt;&lt;Cite&gt;&lt;Author&gt;Le&lt;/Author&gt;&lt;Year&gt;2003&lt;/Year&gt;&lt;RecNum&gt;20&lt;/RecNum&gt;&lt;record&gt;&lt;rec-number&gt;20&lt;/rec-number&gt;&lt;foreign-keys&gt;&lt;key app="EN" db-id="0sp9t02ao2s908er5duvztshees9x25szs2d"&gt;20&lt;/key&gt;&lt;/foreign-keys&gt;&lt;ref-type name="Journal Article"&gt;17&lt;/ref-type&gt;&lt;contributors&gt;&lt;authors&gt;&lt;author&gt;Le, Anh T.     &lt;/author&gt;&lt;author&gt;Miller, Paul W.&lt;/author&gt;&lt;/authors&gt;&lt;/contributors&gt;&lt;titles&gt;&lt;title&gt;Choice of School in Australia: Determinants and Consequences&lt;/title&gt;&lt;secondary-title&gt;Australian Economic Review&lt;/secondary-title&gt;&lt;/titles&gt;&lt;periodical&gt;&lt;full-title&gt;Australian Economic Review&lt;/full-title&gt;&lt;/periodical&gt;&lt;pages&gt;55-78&lt;/pages&gt;&lt;volume&gt;36&lt;/volume&gt;&lt;number&gt;1&lt;/number&gt;&lt;dates&gt;&lt;year&gt;2003&lt;/year&gt;&lt;/dates&gt;&lt;urls&gt;&lt;/urls&gt;&lt;/record&gt;&lt;/Cite&gt;&lt;/EndNote&gt;</w:instrText>
      </w:r>
      <w:r w:rsidR="00A865E4">
        <w:fldChar w:fldCharType="separate"/>
      </w:r>
      <w:r>
        <w:t>Le and Miller (2003</w:t>
      </w:r>
      <w:r w:rsidR="00A865E4">
        <w:fldChar w:fldCharType="end"/>
      </w:r>
      <w:r>
        <w:t xml:space="preserve">, 2004), </w:t>
      </w:r>
      <w:r w:rsidR="00A865E4">
        <w:fldChar w:fldCharType="begin"/>
      </w:r>
      <w:r>
        <w:instrText xml:space="preserve"> ADDIN EN.CITE &lt;EndNote&gt;&lt;Cite&gt;&lt;Author&gt;Marks&lt;/Author&gt;&lt;Year&gt;2001&lt;/Year&gt;&lt;RecNum&gt;24&lt;/RecNum&gt;&lt;record&gt;&lt;rec-number&gt;24&lt;/rec-number&gt;&lt;foreign-keys&gt;&lt;key app="EN" db-id="0sp9t02ao2s908er5duvztshees9x25szs2d"&gt;24&lt;/key&gt;&lt;/foreign-keys&gt;&lt;ref-type name="Conference Proceedings"&gt;10&lt;/ref-type&gt;&lt;contributors&gt;&lt;authors&gt;&lt;author&gt;Marks, Gary N. &lt;/author&gt;&lt;author&gt;McMillan, Julie &lt;/author&gt;&lt;/authors&gt;&lt;/contributors&gt;&lt;titles&gt;&lt;title&gt;Early school leavers: who are they, why do they leave, and what are the consequences?&lt;/title&gt;&lt;secondary-title&gt;ACER Research Conference: Understanding Youth Pathways: What does the research tell us?&lt;/secondary-title&gt;&lt;/titles&gt;&lt;dates&gt;&lt;year&gt;2001&lt;/year&gt;&lt;/dates&gt;&lt;pub-location&gt;Melbourne&lt;/pub-location&gt;&lt;urls&gt;&lt;/urls&gt;&lt;/record&gt;&lt;/Cite&gt;&lt;/EndNote&gt;</w:instrText>
      </w:r>
      <w:r w:rsidR="00A865E4">
        <w:fldChar w:fldCharType="separate"/>
      </w:r>
      <w:r>
        <w:t>Marks and McMillan (2001</w:t>
      </w:r>
      <w:r w:rsidR="00A865E4">
        <w:fldChar w:fldCharType="end"/>
      </w:r>
      <w:r>
        <w:t>),</w:t>
      </w:r>
      <w:r w:rsidRPr="00080FA7">
        <w:t xml:space="preserve"> </w:t>
      </w:r>
      <w:r w:rsidR="00A865E4">
        <w:fldChar w:fldCharType="begin"/>
      </w:r>
      <w:r>
        <w:instrText xml:space="preserve"> ADDIN EN.CITE &lt;EndNote&gt;&lt;Cite&gt;&lt;Author&gt;Ryan&lt;/Author&gt;&lt;Year&gt;2004&lt;/Year&gt;&lt;RecNum&gt;103&lt;/RecNum&gt;&lt;record&gt;&lt;rec-number&gt;103&lt;/rec-number&gt;&lt;foreign-keys&gt;&lt;key app="EN" db-id="0sp9t02ao2s908er5duvztshees9x25szs2d"&gt;103&lt;/key&gt;&lt;/foreign-keys&gt;&lt;ref-type name="Journal Article"&gt;17&lt;/ref-type&gt;&lt;contributors&gt;&lt;authors&gt;&lt;author&gt;Ryan, Chris &lt;/author&gt;&lt;author&gt;Watson, Louise &lt;/author&gt;&lt;/authors&gt;&lt;/contributors&gt;&lt;titles&gt;&lt;title&gt;Year 12 Completion and Retention in Australia in the 1990s&lt;/title&gt;&lt;secondary-title&gt;Australian Journal of Labour Economics&lt;/secondary-title&gt;&lt;/titles&gt;&lt;periodical&gt;&lt;full-title&gt;Australian Journal of Labour Economics&lt;/full-title&gt;&lt;/periodical&gt;&lt;pages&gt;481-500&lt;/pages&gt;&lt;volume&gt;7&lt;/volume&gt;&lt;number&gt;4&lt;/number&gt;&lt;dates&gt;&lt;year&gt;2004&lt;/year&gt;&lt;/dates&gt;&lt;urls&gt;&lt;/urls&gt;&lt;/record&gt;&lt;/Cite&gt;&lt;/EndNote&gt;</w:instrText>
      </w:r>
      <w:r w:rsidR="00A865E4">
        <w:fldChar w:fldCharType="separate"/>
      </w:r>
      <w:r>
        <w:t>Ryan and Watson (2004</w:t>
      </w:r>
      <w:r w:rsidR="00A865E4">
        <w:fldChar w:fldCharType="end"/>
      </w:r>
      <w:r>
        <w:t xml:space="preserve">), </w:t>
      </w:r>
      <w:r w:rsidR="00A865E4">
        <w:fldChar w:fldCharType="begin"/>
      </w:r>
      <w:r>
        <w:instrText xml:space="preserve"> ADDIN EN.CITE &lt;EndNote&gt;&lt;Cite&gt;&lt;Author&gt;Vella&lt;/Author&gt;&lt;Year&gt;1999&lt;/Year&gt;&lt;RecNum&gt;19&lt;/RecNum&gt;&lt;record&gt;&lt;rec-number&gt;19&lt;/rec-number&gt;&lt;foreign-keys&gt;&lt;key app="EN" db-id="0sp9t02ao2s908er5duvztshees9x25szs2d"&gt;19&lt;/key&gt;&lt;/foreign-keys&gt;&lt;ref-type name="Journal Article"&gt;17&lt;/ref-type&gt;&lt;contributors&gt;&lt;authors&gt;&lt;author&gt;Vella, Francis&lt;/author&gt;&lt;/authors&gt;&lt;/contributors&gt;&lt;titles&gt;&lt;title&gt;Do Catholic schools make a difference? Eidence from Australia&lt;/title&gt;&lt;secondary-title&gt;Journal of Human Resources&lt;/secondary-title&gt;&lt;/titles&gt;&lt;periodical&gt;&lt;full-title&gt;Journal of Human Resources&lt;/full-title&gt;&lt;/periodical&gt;&lt;pages&gt;208-224&lt;/pages&gt;&lt;volume&gt;34&lt;/volume&gt;&lt;number&gt;1&lt;/number&gt;&lt;dates&gt;&lt;year&gt;1999&lt;/year&gt;&lt;/dates&gt;&lt;urls&gt;&lt;/urls&gt;&lt;/record&gt;&lt;/Cite&gt;&lt;/EndNote&gt;</w:instrText>
      </w:r>
      <w:r w:rsidR="00A865E4">
        <w:fldChar w:fldCharType="separate"/>
      </w:r>
      <w:r>
        <w:t>Vella (1999</w:t>
      </w:r>
      <w:r w:rsidR="00A865E4">
        <w:fldChar w:fldCharType="end"/>
      </w:r>
      <w:r>
        <w:t xml:space="preserve">), as well as a series of LSAY reports, including </w:t>
      </w:r>
      <w:r w:rsidR="00A865E4">
        <w:fldChar w:fldCharType="begin"/>
      </w:r>
      <w:r>
        <w:instrText xml:space="preserve"> ADDIN EN.CITE &lt;EndNote&gt;&lt;Cite&gt;&lt;Author&gt;Curtis&lt;/Author&gt;&lt;Year&gt;2008&lt;/Year&gt;&lt;RecNum&gt;99&lt;/RecNum&gt;&lt;record&gt;&lt;rec-number&gt;99&lt;/rec-number&gt;&lt;foreign-keys&gt;&lt;key app="EN" db-id="0sp9t02ao2s908er5duvztshees9x25szs2d"&gt;99&lt;/key&gt;&lt;/foreign-keys&gt;&lt;ref-type name="Report"&gt;27&lt;/ref-type&gt;&lt;contributors&gt;&lt;authors&gt;&lt;author&gt;Curtis, David D. &lt;/author&gt;&lt;author&gt;McMillan, Julie  &lt;/author&gt;&lt;/authors&gt;&lt;/contributors&gt;&lt;titles&gt;&lt;title&gt;School Non-completers: Profiles and Initial Destinations&lt;/title&gt;&lt;secondary-title&gt;LSAY Research Report&lt;/secondary-title&gt;&lt;/titles&gt;&lt;volume&gt;54&lt;/volume&gt;&lt;dates&gt;&lt;year&gt;2008&lt;/year&gt;&lt;/dates&gt;&lt;pub-location&gt;Melbourne&lt;/pub-location&gt;&lt;publisher&gt;Australian Council for Educational Research&lt;/publisher&gt;&lt;urls&gt;&lt;/urls&gt;&lt;/record&gt;&lt;/Cite&gt;&lt;/EndNote&gt;</w:instrText>
      </w:r>
      <w:r w:rsidR="00A865E4">
        <w:fldChar w:fldCharType="separate"/>
      </w:r>
      <w:r>
        <w:t>Curtis and McMillan (2008</w:t>
      </w:r>
      <w:r w:rsidR="00A865E4">
        <w:fldChar w:fldCharType="end"/>
      </w:r>
      <w:r>
        <w:t xml:space="preserve">); </w:t>
      </w:r>
      <w:r w:rsidR="00A865E4">
        <w:fldChar w:fldCharType="begin"/>
      </w:r>
      <w:r>
        <w:instrText xml:space="preserve"> ADDIN EN.CITE &lt;EndNote&gt;&lt;Cite&gt;&lt;Author&gt;Fullarton&lt;/Author&gt;&lt;Year&gt;2003&lt;/Year&gt;&lt;RecNum&gt;113&lt;/RecNum&gt;&lt;record&gt;&lt;rec-number&gt;113&lt;/rec-number&gt;&lt;foreign-keys&gt;&lt;key app="EN" db-id="0sp9t02ao2s908er5duvztshees9x25szs2d"&gt;113&lt;/key&gt;&lt;/foreign-keys&gt;&lt;ref-type name="Report"&gt;27&lt;/ref-type&gt;&lt;contributors&gt;&lt;authors&gt;&lt;author&gt;Fullarton, Sue&lt;/author&gt;&lt;author&gt;Walker, Maurice&lt;/author&gt;&lt;author&gt;Ainley, John&lt;/author&gt;&lt;author&gt;Hillman, Kylie&lt;/author&gt;&lt;/authors&gt;&lt;/contributors&gt;&lt;titles&gt;&lt;title&gt;Patterns of participation in Year 12&lt;/title&gt;&lt;secondary-title&gt;LSAY Research Report&lt;/secondary-title&gt;&lt;/titles&gt;&lt;volume&gt;33&lt;/volume&gt;&lt;dates&gt;&lt;year&gt;2003&lt;/year&gt;&lt;/dates&gt;&lt;pub-location&gt;Melbourne&lt;/pub-location&gt;&lt;publisher&gt;Australian Council for Educational Research&lt;/publisher&gt;&lt;urls&gt;&lt;/urls&gt;&lt;/record&gt;&lt;/Cite&gt;&lt;/EndNote&gt;</w:instrText>
      </w:r>
      <w:r w:rsidR="00A865E4">
        <w:fldChar w:fldCharType="separate"/>
      </w:r>
      <w:r>
        <w:t>Fullarton et al. (2003</w:t>
      </w:r>
      <w:r w:rsidR="00A865E4">
        <w:fldChar w:fldCharType="end"/>
      </w:r>
      <w:r>
        <w:t xml:space="preserve">); </w:t>
      </w:r>
      <w:r w:rsidR="00A865E4">
        <w:fldChar w:fldCharType="begin"/>
      </w:r>
      <w:r>
        <w:instrText xml:space="preserve"> ADDIN EN.CITE &lt;EndNote&gt;&lt;Cite&gt;&lt;Author&gt;Jones&lt;/Author&gt;&lt;Year&gt;2002&lt;/Year&gt;&lt;RecNum&gt;100&lt;/RecNum&gt;&lt;record&gt;&lt;rec-number&gt;100&lt;/rec-number&gt;&lt;foreign-keys&gt;&lt;key app="EN" db-id="0sp9t02ao2s908er5duvztshees9x25szs2d"&gt;100&lt;/key&gt;&lt;/foreign-keys&gt;&lt;ref-type name="Report"&gt;27&lt;/ref-type&gt;&lt;contributors&gt;&lt;authors&gt;&lt;author&gt;Jones, Roger G &lt;/author&gt;&lt;/authors&gt;&lt;/contributors&gt;&lt;titles&gt;&lt;title&gt;Education Participation and Outcomes by Geographic Location &lt;/title&gt;&lt;secondary-title&gt;LSAY Research Report&lt;/secondary-title&gt;&lt;/titles&gt;&lt;volume&gt;26&lt;/volume&gt;&lt;dates&gt;&lt;year&gt;2002&lt;/year&gt;&lt;/dates&gt;&lt;pub-location&gt;Melbourne&lt;/pub-location&gt;&lt;publisher&gt;Australian Council for Educational Research&lt;/publisher&gt;&lt;urls&gt;&lt;/urls&gt;&lt;/record&gt;&lt;/Cite&gt;&lt;/EndNote&gt;</w:instrText>
      </w:r>
      <w:r w:rsidR="00A865E4">
        <w:fldChar w:fldCharType="separate"/>
      </w:r>
      <w:r>
        <w:t>Jones (2002</w:t>
      </w:r>
      <w:r w:rsidR="00A865E4">
        <w:fldChar w:fldCharType="end"/>
      </w:r>
      <w:r>
        <w:t xml:space="preserve">); </w:t>
      </w:r>
      <w:r w:rsidR="00A865E4">
        <w:fldChar w:fldCharType="begin"/>
      </w:r>
      <w:r>
        <w:instrText xml:space="preserve"> ADDIN EN.CITE &lt;EndNote&gt;&lt;Cite&gt;&lt;Author&gt;Khoo&lt;/Author&gt;&lt;Year&gt;2005&lt;/Year&gt;&lt;RecNum&gt;33&lt;/RecNum&gt;&lt;record&gt;&lt;rec-number&gt;33&lt;/rec-number&gt;&lt;foreign-keys&gt;&lt;key app="EN" db-id="0sp9t02ao2s908er5duvztshees9x25szs2d"&gt;33&lt;/key&gt;&lt;/foreign-keys&gt;&lt;ref-type name="Report"&gt;27&lt;/ref-type&gt;&lt;contributors&gt;&lt;authors&gt;&lt;author&gt;Khoo, Siek Toon&lt;/author&gt;&lt;author&gt;Ainley, John&lt;/author&gt;&lt;/authors&gt;&lt;/contributors&gt;&lt;titles&gt;&lt;title&gt;Attitudes, intentions and participation&lt;/title&gt;&lt;secondary-title&gt;LSAY Research Report&lt;/secondary-title&gt;&lt;/titles&gt;&lt;volume&gt;41&lt;/volume&gt;&lt;dates&gt;&lt;year&gt;2005&lt;/year&gt;&lt;/dates&gt;&lt;pub-location&gt;Melbourne&lt;/pub-location&gt;&lt;publisher&gt;Longitudinal Surveys of Australian Youth&lt;/publisher&gt;&lt;urls&gt;&lt;/urls&gt;&lt;/record&gt;&lt;/Cite&gt;&lt;/EndNote&gt;</w:instrText>
      </w:r>
      <w:r w:rsidR="00A865E4">
        <w:fldChar w:fldCharType="separate"/>
      </w:r>
      <w:r>
        <w:t>Khoo and Ainley (2005</w:t>
      </w:r>
      <w:r w:rsidR="00A865E4">
        <w:fldChar w:fldCharType="end"/>
      </w:r>
      <w:r>
        <w:t xml:space="preserve">); </w:t>
      </w:r>
      <w:r w:rsidR="00A865E4">
        <w:fldChar w:fldCharType="begin"/>
      </w:r>
      <w:r>
        <w:instrText xml:space="preserve"> ADDIN EN.CITE &lt;EndNote&gt;&lt;Cite&gt;&lt;Author&gt;Lamb&lt;/Author&gt;&lt;Year&gt;2000&lt;/Year&gt;&lt;RecNum&gt;27&lt;/RecNum&gt;&lt;record&gt;&lt;rec-number&gt;27&lt;/rec-number&gt;&lt;foreign-keys&gt;&lt;key app="EN" db-id="0sp9t02ao2s908er5duvztshees9x25szs2d"&gt;27&lt;/key&gt;&lt;/foreign-keys&gt;&lt;ref-type name="Report"&gt;27&lt;/ref-type&gt;&lt;contributors&gt;&lt;authors&gt;&lt;author&gt;Lamb, Stephen&lt;/author&gt;&lt;author&gt;Dwyer,  Peter&lt;/author&gt;&lt;author&gt;Wyn, Johanna &lt;/author&gt;&lt;/authors&gt;&lt;/contributors&gt;&lt;titles&gt;&lt;title&gt;Non-completion of school in Australia: The changing patterns of participation and outcomes&lt;/title&gt;&lt;secondary-title&gt;LSAY Research Report&lt;/secondary-title&gt;&lt;/titles&gt;&lt;volume&gt;16&lt;/volume&gt;&lt;dates&gt;&lt;year&gt;2000&lt;/year&gt;&lt;/dates&gt;&lt;pub-location&gt;Melbourne&lt;/pub-location&gt;&lt;publisher&gt;Australian Council for Educational Research&lt;/publisher&gt;&lt;urls&gt;&lt;/urls&gt;&lt;/record&gt;&lt;/Cite&gt;&lt;/EndNote&gt;</w:instrText>
      </w:r>
      <w:r w:rsidR="00A865E4">
        <w:fldChar w:fldCharType="separate"/>
      </w:r>
      <w:r>
        <w:t>Lamb, Dwyer and Wyn (2000</w:t>
      </w:r>
      <w:r w:rsidR="00A865E4">
        <w:fldChar w:fldCharType="end"/>
      </w:r>
      <w:r>
        <w:t xml:space="preserve">); </w:t>
      </w:r>
      <w:r w:rsidR="00A865E4">
        <w:fldChar w:fldCharType="begin"/>
      </w:r>
      <w:r>
        <w:instrText xml:space="preserve"> ADDIN EN.CITE &lt;EndNote&gt;&lt;Cite&gt;&lt;Author&gt;Le&lt;/Author&gt;&lt;Year&gt;2002&lt;/Year&gt;&lt;RecNum&gt;101&lt;/RecNum&gt;&lt;record&gt;&lt;rec-number&gt;101&lt;/rec-number&gt;&lt;foreign-keys&gt;&lt;key app="EN" db-id="0sp9t02ao2s908er5duvztshees9x25szs2d"&gt;101&lt;/key&gt;&lt;/foreign-keys&gt;&lt;ref-type name="Report"&gt;27&lt;/ref-type&gt;&lt;contributors&gt;&lt;authors&gt;&lt;author&gt;Le, Anh T. &lt;/author&gt;&lt;author&gt;Miller, Paul W.&lt;/author&gt;&lt;/authors&gt;&lt;/contributors&gt;&lt;titles&gt;&lt;title&gt;Educational Attainment in Australia: a cohort analysis &lt;/title&gt;&lt;secondary-title&gt;LSAY Research Report&lt;/secondary-title&gt;&lt;/titles&gt;&lt;volume&gt;25&lt;/volume&gt;&lt;dates&gt;&lt;year&gt;2002&lt;/year&gt;&lt;/dates&gt;&lt;pub-location&gt;Melbourne&lt;/pub-location&gt;&lt;publisher&gt;Australian Council for Educational Research&lt;/publisher&gt;&lt;urls&gt;&lt;/urls&gt;&lt;/record&gt;&lt;/Cite&gt;&lt;/EndNote&gt;</w:instrText>
      </w:r>
      <w:r w:rsidR="00A865E4">
        <w:fldChar w:fldCharType="separate"/>
      </w:r>
      <w:r>
        <w:t>Le and Miller (2002</w:t>
      </w:r>
      <w:r w:rsidR="00A865E4">
        <w:fldChar w:fldCharType="end"/>
      </w:r>
      <w:r>
        <w:t xml:space="preserve">); </w:t>
      </w:r>
      <w:r w:rsidR="00A865E4">
        <w:fldChar w:fldCharType="begin"/>
      </w:r>
      <w:r>
        <w:instrText xml:space="preserve"> ADDIN EN.CITE &lt;EndNote&gt;&lt;Cite&gt;&lt;Author&gt;Long&lt;/Author&gt;&lt;Year&gt;1998&lt;/Year&gt;&lt;RecNum&gt;29&lt;/RecNum&gt;&lt;record&gt;&lt;rec-number&gt;29&lt;/rec-number&gt;&lt;foreign-keys&gt;&lt;key app='EN' db-id='0sp9t02ao2s908er5duvztshees9x25szs2d'&gt;29&lt;/key&gt;&lt;/foreign-keys&gt;&lt;ref-type name='Report'&gt;27&lt;/ref-type&gt;&lt;contributors&gt;&lt;authors&gt;&lt;author&gt;&lt;style face='normal' font='default' size='11'&gt;Long, Michael &lt;/style&gt;&lt;/author&gt;&lt;author&gt;&lt;style face='normal' font='default' size='11'&gt;Carpenter, Peter &lt;/style&gt;&lt;/author&gt;&lt;author&gt;&lt;style face='normal' font='default' size='11'&gt;Hayden, Martin &lt;/style&gt;&lt;/author&gt;&lt;/authors&gt;&lt;/contributors&gt;&lt;titles&gt;&lt;title&gt;Participation in Education and Training&lt;/title&gt;&lt;secondary-title&gt;LSAY Research Report&lt;/secondary-title&gt;&lt;/titles&gt;&lt;volume&gt;13&lt;/volume&gt;&lt;dates&gt;&lt;year&gt;1999&lt;/year&gt;&lt;/dates&gt;&lt;pub-location&gt;Melbourne&lt;/pub-location&gt;&lt;publisher&gt;&lt;style face='normal' font='default' size='11'&gt;Australian Council for Educational Research&lt;/style&gt;&lt;/publisher&gt;&lt;urls&gt;&lt;/urls&gt;&lt;/record&gt;&lt;/Cite&gt;&lt;/EndNote&gt;</w:instrText>
      </w:r>
      <w:r w:rsidR="00A865E4">
        <w:fldChar w:fldCharType="separate"/>
      </w:r>
      <w:r>
        <w:t>Long, Carpenter and Hayden (1999</w:t>
      </w:r>
      <w:r w:rsidR="00A865E4">
        <w:fldChar w:fldCharType="end"/>
      </w:r>
      <w:r>
        <w:t xml:space="preserve">); </w:t>
      </w:r>
      <w:r w:rsidR="00A865E4">
        <w:fldChar w:fldCharType="begin"/>
      </w:r>
      <w:r>
        <w:instrText xml:space="preserve"> ADDIN EN.CITE &lt;EndNote&gt;&lt;Cite&gt;&lt;Author&gt;Marks&lt;/Author&gt;&lt;Year&gt;1999&lt;/Year&gt;&lt;RecNum&gt;23&lt;/RecNum&gt;&lt;record&gt;&lt;rec-number&gt;23&lt;/rec-number&gt;&lt;foreign-keys&gt;&lt;key app="EN" db-id="0sp9t02ao2s908er5duvztshees9x25szs2d"&gt;23&lt;/key&gt;&lt;/foreign-keys&gt;&lt;ref-type name="Report"&gt;27&lt;/ref-type&gt;&lt;contributors&gt;&lt;authors&gt;&lt;author&gt;Marks, Gary N.  &lt;/author&gt;&lt;author&gt;Fleming, Nicole  &lt;/author&gt;&lt;/authors&gt;&lt;/contributors&gt;&lt;titles&gt;&lt;title&gt;Early School Leaving in Australia: Findings from the 1995 Year 9 LSAY cohort &lt;/title&gt;&lt;secondary-title&gt;LSAY Research Report&lt;/secondary-title&gt;&lt;/titles&gt;&lt;volume&gt;11&lt;/volume&gt;&lt;dates&gt;&lt;year&gt;1999&lt;/year&gt;&lt;/dates&gt;&lt;pub-location&gt;Melbourne&lt;/pub-location&gt;&lt;publisher&gt;Australian Council for Education Research&lt;/publisher&gt;&lt;urls&gt;&lt;/urls&gt;&lt;/record&gt;&lt;/Cite&gt;&lt;/EndNote&gt;</w:instrText>
      </w:r>
      <w:r w:rsidR="00A865E4">
        <w:fldChar w:fldCharType="separate"/>
      </w:r>
      <w:r>
        <w:t>Marks and Fleming (1999</w:t>
      </w:r>
      <w:r w:rsidR="00A865E4">
        <w:fldChar w:fldCharType="end"/>
      </w:r>
      <w:r>
        <w:t xml:space="preserve">); </w:t>
      </w:r>
      <w:r w:rsidR="00A865E4">
        <w:fldChar w:fldCharType="begin"/>
      </w:r>
      <w:r>
        <w:instrText xml:space="preserve"> ADDIN EN.CITE &lt;EndNote&gt;&lt;Cite&gt;&lt;Author&gt;Marks&lt;/Author&gt;&lt;Year&gt;2000&lt;/Year&gt;&lt;RecNum&gt;30&lt;/RecNum&gt;&lt;record&gt;&lt;rec-number&gt;30&lt;/rec-number&gt;&lt;foreign-keys&gt;&lt;key app="EN" db-id="0sp9t02ao2s908er5duvztshees9x25szs2d"&gt;30&lt;/key&gt;&lt;/foreign-keys&gt;&lt;ref-type name="Report"&gt;27&lt;/ref-type&gt;&lt;contributors&gt;&lt;authors&gt;&lt;author&gt;Marks, Gary N. &lt;/author&gt;&lt;author&gt;Fleming, Nicole&lt;/author&gt;&lt;author&gt;Long, Michael&lt;/author&gt;&lt;author&gt;McMillan, Julie&lt;/author&gt;&lt;/authors&gt;&lt;/contributors&gt;&lt;titles&gt;&lt;title&gt;Patterns of participation in year 12 and higher education in Australia: Trends and issues&lt;/title&gt;&lt;secondary-title&gt;LSAY Research Report&lt;/secondary-title&gt;&lt;/titles&gt;&lt;volume&gt;17&lt;/volume&gt;&lt;dates&gt;&lt;year&gt;2000&lt;/year&gt;&lt;/dates&gt;&lt;pub-location&gt;Melbourne&lt;/pub-location&gt;&lt;publisher&gt;Australian Council for Educational Research&lt;/publisher&gt;&lt;urls&gt;&lt;/urls&gt;&lt;/record&gt;&lt;/Cite&gt;&lt;/EndNote&gt;</w:instrText>
      </w:r>
      <w:r w:rsidR="00A865E4">
        <w:fldChar w:fldCharType="separate"/>
      </w:r>
      <w:r>
        <w:t>Marks et al. (2000</w:t>
      </w:r>
      <w:r w:rsidR="00A865E4">
        <w:fldChar w:fldCharType="end"/>
      </w:r>
      <w:r>
        <w:t xml:space="preserve">); </w:t>
      </w:r>
      <w:r w:rsidR="00A865E4">
        <w:fldChar w:fldCharType="begin"/>
      </w:r>
      <w:r>
        <w:instrText xml:space="preserve"> ADDIN EN.CITE &lt;EndNote&gt;&lt;Cite&gt;&lt;Author&gt;McMillan&lt;/Author&gt;&lt;Year&gt;2003&lt;/Year&gt;&lt;RecNum&gt;104&lt;/RecNum&gt;&lt;record&gt;&lt;rec-number&gt;104&lt;/rec-number&gt;&lt;foreign-keys&gt;&lt;key app="EN" db-id="0sp9t02ao2s908er5duvztshees9x25szs2d"&gt;104&lt;/key&gt;&lt;/foreign-keys&gt;&lt;ref-type name="Report"&gt;27&lt;/ref-type&gt;&lt;contributors&gt;&lt;authors&gt;&lt;author&gt;McMillan, Julie &lt;/author&gt;&lt;author&gt;Marks, Gary N.&lt;/author&gt;&lt;/authors&gt;&lt;/contributors&gt;&lt;titles&gt;&lt;title&gt;School Leavers in Australia: Profiles and pathways &lt;/title&gt;&lt;secondary-title&gt;LSAY Research Report&lt;/secondary-title&gt;&lt;/titles&gt;&lt;volume&gt;31&lt;/volume&gt;&lt;dates&gt;&lt;year&gt;2003&lt;/year&gt;&lt;/dates&gt;&lt;pub-location&gt;Melbourne&lt;/pub-location&gt;&lt;publisher&gt;Australian Council for Educational research&lt;/publisher&gt;&lt;urls&gt;&lt;/urls&gt;&lt;/record&gt;&lt;/Cite&gt;&lt;/EndNote&gt;</w:instrText>
      </w:r>
      <w:r w:rsidR="00A865E4">
        <w:fldChar w:fldCharType="separate"/>
      </w:r>
      <w:r>
        <w:t>McMillan and Marks (2003</w:t>
      </w:r>
      <w:r w:rsidR="00A865E4">
        <w:fldChar w:fldCharType="end"/>
      </w:r>
      <w:r>
        <w:t xml:space="preserve">); and </w:t>
      </w:r>
      <w:r w:rsidR="00A865E4">
        <w:fldChar w:fldCharType="begin"/>
      </w:r>
      <w:r>
        <w:instrText xml:space="preserve"> ADDIN EN.CITE &lt;EndNote&gt;&lt;Cite&gt;&lt;Author&gt;Vickers&lt;/Author&gt;&lt;Year&gt;2003&lt;/Year&gt;&lt;RecNum&gt;102&lt;/RecNum&gt;&lt;record&gt;&lt;rec-number&gt;102&lt;/rec-number&gt;&lt;foreign-keys&gt;&lt;key app="EN" db-id="0sp9t02ao2s908er5duvztshees9x25szs2d"&gt;102&lt;/key&gt;&lt;/foreign-keys&gt;&lt;ref-type name="Report"&gt;27&lt;/ref-type&gt;&lt;contributors&gt;&lt;authors&gt;&lt;author&gt;Vickers, Margaret&lt;/author&gt;&lt;author&gt;Lamb, Stephen &lt;/author&gt;&lt;author&gt;Hinkley, John  &lt;/author&gt;&lt;/authors&gt;&lt;/contributors&gt;&lt;titles&gt;&lt;title&gt;Student Workers in High School and Beyond: The effects of part-time employment on participation in education, training and work&lt;/title&gt;&lt;secondary-title&gt;LSAY research Report&lt;/secondary-title&gt;&lt;/titles&gt;&lt;volume&gt;30&lt;/volume&gt;&lt;dates&gt;&lt;year&gt;2003&lt;/year&gt;&lt;/dates&gt;&lt;pub-location&gt;Melbourne&lt;/pub-location&gt;&lt;publisher&gt;Australian Council for Educational Research&lt;/publisher&gt;&lt;urls&gt;&lt;/urls&gt;&lt;/record&gt;&lt;/Cite&gt;&lt;/EndNote&gt;</w:instrText>
      </w:r>
      <w:r w:rsidR="00A865E4">
        <w:fldChar w:fldCharType="separate"/>
      </w:r>
      <w:r>
        <w:t>Vickers, Lamb and Hinkley (2003</w:t>
      </w:r>
      <w:r w:rsidR="00A865E4">
        <w:fldChar w:fldCharType="end"/>
      </w:r>
      <w:r>
        <w:t xml:space="preserve">). </w:t>
      </w:r>
    </w:p>
    <w:p w:rsidR="001F5702" w:rsidRPr="00241E39" w:rsidRDefault="001F5702" w:rsidP="001F5702">
      <w:pPr>
        <w:pStyle w:val="Text"/>
      </w:pPr>
      <w:r w:rsidRPr="00241E39">
        <w:t xml:space="preserve">One </w:t>
      </w:r>
      <w:r>
        <w:t>key</w:t>
      </w:r>
      <w:r w:rsidRPr="00241E39">
        <w:t xml:space="preserve"> dimension of this literature has been the relative importance of different aspects of socioeconomic status for school completion. </w:t>
      </w:r>
      <w:r w:rsidR="00A865E4">
        <w:fldChar w:fldCharType="begin"/>
      </w:r>
      <w:r>
        <w:instrText xml:space="preserve"> ADDIN EN.CITE &lt;EndNote&gt;&lt;Cite&gt;&lt;Author&gt;Marks&lt;/Author&gt;&lt;Year&gt;2000&lt;/Year&gt;&lt;RecNum&gt;117&lt;/RecNum&gt;&lt;record&gt;&lt;rec-number&gt;117&lt;/rec-number&gt;&lt;foreign-keys&gt;&lt;key app="EN" db-id="0sp9t02ao2s908er5duvztshees9x25szs2d"&gt;117&lt;/key&gt;&lt;/foreign-keys&gt;&lt;ref-type name="Report"&gt;27&lt;/ref-type&gt;&lt;contributors&gt;&lt;authors&gt;&lt;author&gt;Marks, Gary N.&lt;/author&gt;&lt;author&gt;McMillan, Julie&lt;/author&gt;&lt;author&gt;Jones, Franki L.&lt;/author&gt;&lt;author&gt;Ainley, John&lt;/author&gt;&lt;/authors&gt;&lt;/contributors&gt;&lt;titles&gt;&lt;title&gt;The Measurement of Socioeconomic Status for the Reporting of Nationally Comparable Outcomes of Schooling&lt;/title&gt;&lt;/titles&gt;&lt;dates&gt;&lt;year&gt;2000&lt;/year&gt;&lt;/dates&gt;&lt;publisher&gt;&lt;style face="normal" font="default" size="100%"&gt;Australian Council for Educational Research and Australian National University&lt;/style&gt;&lt;style face="normal" font="default" size="14"&gt;&amp;#xD;&lt;/style&gt;&lt;/publisher&gt;&lt;urls&gt;&lt;/urls&gt;&lt;/record&gt;&lt;/Cite&gt;&lt;/EndNote&gt;</w:instrText>
      </w:r>
      <w:r w:rsidR="00A865E4">
        <w:fldChar w:fldCharType="separate"/>
      </w:r>
      <w:r w:rsidRPr="00241E39">
        <w:t xml:space="preserve">Marks et al. </w:t>
      </w:r>
      <w:r>
        <w:t>(</w:t>
      </w:r>
      <w:r w:rsidRPr="00241E39">
        <w:t>2000</w:t>
      </w:r>
      <w:r w:rsidR="00A865E4">
        <w:fldChar w:fldCharType="end"/>
      </w:r>
      <w:r>
        <w:t>) argued that</w:t>
      </w:r>
      <w:r w:rsidRPr="00241E39">
        <w:t xml:space="preserve"> factors at student, family, school or community levels affecting school o</w:t>
      </w:r>
      <w:r>
        <w:t>utcomes can be broadly categoris</w:t>
      </w:r>
      <w:r w:rsidRPr="00241E39">
        <w:t xml:space="preserve">ed into material (ability, parents’ income, class sizes, physical environment of </w:t>
      </w:r>
      <w:r>
        <w:t>community) and cultural (</w:t>
      </w:r>
      <w:r w:rsidRPr="00241E39">
        <w:t xml:space="preserve">own aspirations, parental attitudes to education, attitude of teachers, social capital). </w:t>
      </w:r>
      <w:r>
        <w:t>These researchers</w:t>
      </w:r>
      <w:r w:rsidRPr="00241E39">
        <w:t xml:space="preserve"> concluded that cultural factors</w:t>
      </w:r>
      <w:r>
        <w:t>,</w:t>
      </w:r>
      <w:r w:rsidRPr="00241E39">
        <w:t xml:space="preserve"> as measured by parents’ education</w:t>
      </w:r>
      <w:r>
        <w:t>,</w:t>
      </w:r>
      <w:r w:rsidRPr="00820B16">
        <w:t xml:space="preserve"> ha</w:t>
      </w:r>
      <w:r w:rsidRPr="00241E39">
        <w:t>d</w:t>
      </w:r>
      <w:r w:rsidRPr="00820B16">
        <w:t xml:space="preserve"> a stronger relationship </w:t>
      </w:r>
      <w:r w:rsidRPr="00241E39">
        <w:t xml:space="preserve">with participation in </w:t>
      </w:r>
      <w:r>
        <w:t>Y</w:t>
      </w:r>
      <w:r w:rsidRPr="00241E39">
        <w:t>ear 12 than wealth</w:t>
      </w:r>
      <w:r w:rsidRPr="00820B16">
        <w:t>.</w:t>
      </w:r>
      <w:r w:rsidRPr="00241E39">
        <w:t xml:space="preserve"> In addition, they </w:t>
      </w:r>
      <w:r>
        <w:t>found that</w:t>
      </w:r>
      <w:r w:rsidRPr="00241E39">
        <w:t xml:space="preserve"> the importance of family education and occupation factors had declined </w:t>
      </w:r>
      <w:r>
        <w:t>for cohorts born more recently</w:t>
      </w:r>
      <w:r w:rsidRPr="00241E39">
        <w:t xml:space="preserve">. </w:t>
      </w:r>
      <w:r>
        <w:t>In general</w:t>
      </w:r>
      <w:r w:rsidRPr="00241E39">
        <w:t xml:space="preserve">, </w:t>
      </w:r>
      <w:r>
        <w:t xml:space="preserve">however, studies have </w:t>
      </w:r>
      <w:r w:rsidRPr="00241E39">
        <w:t xml:space="preserve">commonly </w:t>
      </w:r>
      <w:r>
        <w:t xml:space="preserve">relied on the </w:t>
      </w:r>
      <w:r w:rsidRPr="00241E39">
        <w:t xml:space="preserve">measures of socioeconomic </w:t>
      </w:r>
      <w:r>
        <w:t>position,</w:t>
      </w:r>
      <w:r w:rsidRPr="00241E39">
        <w:t xml:space="preserve"> such as</w:t>
      </w:r>
      <w:r>
        <w:t xml:space="preserve"> occupational status and parent</w:t>
      </w:r>
      <w:r w:rsidRPr="00241E39">
        <w:t>s</w:t>
      </w:r>
      <w:r>
        <w:t>’</w:t>
      </w:r>
      <w:r w:rsidRPr="00241E39">
        <w:t xml:space="preserve"> education</w:t>
      </w:r>
      <w:r>
        <w:t>,</w:t>
      </w:r>
      <w:r w:rsidRPr="00241E39">
        <w:t xml:space="preserve"> </w:t>
      </w:r>
      <w:r>
        <w:t xml:space="preserve">to investigate school completion and have been unable to distinguish between </w:t>
      </w:r>
      <w:r w:rsidRPr="00241E39">
        <w:t xml:space="preserve">cultural </w:t>
      </w:r>
      <w:r>
        <w:t xml:space="preserve">and resource </w:t>
      </w:r>
      <w:r w:rsidRPr="00241E39">
        <w:t>explanation</w:t>
      </w:r>
      <w:r>
        <w:t>s of the role of the family background</w:t>
      </w:r>
      <w:r w:rsidRPr="00241E39">
        <w:t>.</w:t>
      </w:r>
    </w:p>
    <w:p w:rsidR="001F5702" w:rsidRDefault="001F5702" w:rsidP="001F5702">
      <w:pPr>
        <w:pStyle w:val="Text"/>
      </w:pPr>
      <w:r>
        <w:t xml:space="preserve">The determinants of a broader set of indicators of educational attainment, including high school completion, have been widely studied overseas, as well as in Australia. </w:t>
      </w:r>
      <w:r w:rsidR="00A865E4">
        <w:fldChar w:fldCharType="begin"/>
      </w:r>
      <w:r>
        <w:instrText xml:space="preserve"> ADDIN EN.CITE &lt;EndNote&gt;&lt;Cite&gt;&lt;Author&gt;Haveman&lt;/Author&gt;&lt;Year&gt;1995&lt;/Year&gt;&lt;RecNum&gt;34&lt;/RecNum&gt;&lt;record&gt;&lt;rec-number&gt;34&lt;/rec-number&gt;&lt;foreign-keys&gt;&lt;key app="EN" db-id="0sp9t02ao2s908er5duvztshees9x25szs2d"&gt;34&lt;/key&gt;&lt;/foreign-keys&gt;&lt;ref-type name="Journal Article"&gt;17&lt;/ref-type&gt;&lt;contributors&gt;&lt;authors&gt;&lt;author&gt;Haveman, Robert&lt;/author&gt;&lt;author&gt;Wolfe, Barbara&lt;/author&gt;&lt;/authors&gt;&lt;/contributors&gt;&lt;titles&gt;&lt;title&gt;The Determinants of Children&amp;apos;s Attainments: A Review of Methods and Findings&lt;/title&gt;&lt;secondary-title&gt;Journal of Economic Literature&lt;/secondary-title&gt;&lt;/titles&gt;&lt;periodical&gt;&lt;full-title&gt;Journal of Economic Literature&lt;/full-title&gt;&lt;/periodical&gt;&lt;pages&gt;1829-1878&lt;/pages&gt;&lt;volume&gt;33&lt;/volume&gt;&lt;number&gt;4&lt;/number&gt;&lt;dates&gt;&lt;year&gt;1995&lt;/year&gt;&lt;/dates&gt;&lt;publisher&gt;American Economic Association&lt;/publisher&gt;&lt;isbn&gt;00220515&lt;/isbn&gt;&lt;urls&gt;&lt;related-urls&gt;&lt;url&gt;http://www.jstor.org/stable/2729315&lt;/url&gt;&lt;/related-urls&gt;&lt;/urls&gt;&lt;/record&gt;&lt;/Cite&gt;&lt;/EndNote&gt;</w:instrText>
      </w:r>
      <w:r w:rsidR="00A865E4">
        <w:fldChar w:fldCharType="separate"/>
      </w:r>
      <w:r>
        <w:t>Haveman and Wolfe (1995</w:t>
      </w:r>
      <w:r w:rsidR="00A865E4">
        <w:fldChar w:fldCharType="end"/>
      </w:r>
      <w:r>
        <w:t>)</w:t>
      </w:r>
      <w:r w:rsidRPr="00BB2927">
        <w:t xml:space="preserve"> provide an </w:t>
      </w:r>
      <w:r>
        <w:t xml:space="preserve">extensive </w:t>
      </w:r>
      <w:r w:rsidRPr="00BB2927">
        <w:t xml:space="preserve">review of </w:t>
      </w:r>
      <w:r>
        <w:t xml:space="preserve">the international </w:t>
      </w:r>
      <w:r w:rsidRPr="00BB2927">
        <w:t>literature</w:t>
      </w:r>
      <w:r>
        <w:t xml:space="preserve"> on the linkages between individual, family and community characteristics and youth attainment, including education, demonstrating the consensus on the important predictive power of a wide range of disadvantage measures on </w:t>
      </w:r>
      <w:r w:rsidRPr="00EC1E81">
        <w:t xml:space="preserve">youth </w:t>
      </w:r>
      <w:r>
        <w:t xml:space="preserve">educational and other </w:t>
      </w:r>
      <w:r w:rsidRPr="00EC1E81">
        <w:t>outcomes</w:t>
      </w:r>
      <w:r>
        <w:t xml:space="preserve">. </w:t>
      </w:r>
    </w:p>
    <w:p w:rsidR="001F5702" w:rsidRDefault="001F5702" w:rsidP="001F5702">
      <w:pPr>
        <w:pStyle w:val="Text"/>
      </w:pPr>
      <w:r>
        <w:t>Some of the common family characteristics whose effect on school attainment have been studied include family structure (</w:t>
      </w:r>
      <w:r w:rsidR="00A865E4">
        <w:fldChar w:fldCharType="begin"/>
      </w:r>
      <w:r>
        <w:instrText xml:space="preserve"> ADDIN EN.CITE &lt;EndNote&gt;&lt;Cite&gt;&lt;Author&gt;Bogges&lt;/Author&gt;&lt;Year&gt;1998&lt;/Year&gt;&lt;RecNum&gt;54&lt;/RecNum&gt;&lt;record&gt;&lt;rec-number&gt;54&lt;/rec-number&gt;&lt;foreign-keys&gt;&lt;key app="EN" db-id="0sp9t02ao2s908er5duvztshees9x25szs2d"&gt;54&lt;/key&gt;&lt;/foreign-keys&gt;&lt;ref-type name="Journal Article"&gt;17&lt;/ref-type&gt;&lt;contributors&gt;&lt;authors&gt;&lt;author&gt;Bogges, Scott&lt;/author&gt;&lt;/authors&gt;&lt;/contributors&gt;&lt;titles&gt;&lt;title&gt;Family structure, economic status, and educational attainment&lt;/title&gt;&lt;secondary-title&gt;Journal of Population Economics&lt;/secondary-title&gt;&lt;/titles&gt;&lt;periodical&gt;&lt;full-title&gt;Journal of Population Economics&lt;/full-title&gt;&lt;/periodical&gt;&lt;pages&gt;205-222&lt;/pages&gt;&lt;volume&gt;11&lt;/volume&gt;&lt;number&gt;2&lt;/number&gt;&lt;dates&gt;&lt;year&gt;1998&lt;/year&gt;&lt;/dates&gt;&lt;urls&gt;&lt;/urls&gt;&lt;/record&gt;&lt;/Cite&gt;&lt;/EndNote&gt;</w:instrText>
      </w:r>
      <w:r w:rsidR="00A865E4">
        <w:fldChar w:fldCharType="separate"/>
      </w:r>
      <w:r>
        <w:t>Bogges 1998</w:t>
      </w:r>
      <w:r w:rsidR="00A865E4">
        <w:fldChar w:fldCharType="end"/>
      </w:r>
      <w:r>
        <w:t xml:space="preserve">; </w:t>
      </w:r>
      <w:r w:rsidR="00A865E4">
        <w:fldChar w:fldCharType="begin"/>
      </w:r>
      <w:r>
        <w:instrText xml:space="preserve"> ADDIN EN.CITE &lt;EndNote&gt;&lt;Cite&gt;&lt;Author&gt;Hill&lt;/Author&gt;&lt;Year&gt;2001&lt;/Year&gt;&lt;RecNum&gt;53&lt;/RecNum&gt;&lt;record&gt;&lt;rec-number&gt;53&lt;/rec-number&gt;&lt;foreign-keys&gt;&lt;key app="EN" db-id="0sp9t02ao2s908er5duvztshees9x25szs2d"&gt;53&lt;/key&gt;&lt;/foreign-keys&gt;&lt;ref-type name="Journal Article"&gt;17&lt;/ref-type&gt;&lt;contributors&gt;&lt;authors&gt;&lt;author&gt;Hill, Martha S. &lt;/author&gt;&lt;author&gt;Yeung, Wei-Jun J.  &lt;/author&gt;&lt;author&gt;Duncan, Greg J. &lt;/author&gt;&lt;/authors&gt;&lt;/contributors&gt;&lt;titles&gt;&lt;title&gt;Childhood family structure and young adults behaviors&lt;/title&gt;&lt;secondary-title&gt;Journal of Population Economics&lt;/secondary-title&gt;&lt;/titles&gt;&lt;periodical&gt;&lt;full-title&gt;Journal of Population Economics&lt;/full-title&gt;&lt;/periodical&gt;&lt;pages&gt;271-299&lt;/pages&gt;&lt;volume&gt;14&lt;/volume&gt;&lt;number&gt;2&lt;/number&gt;&lt;dates&gt;&lt;year&gt;2001&lt;/year&gt;&lt;/dates&gt;&lt;urls&gt;&lt;/urls&gt;&lt;/record&gt;&lt;/Cite&gt;&lt;/EndNote&gt;</w:instrText>
      </w:r>
      <w:r w:rsidR="00A865E4">
        <w:fldChar w:fldCharType="separate"/>
      </w:r>
      <w:r>
        <w:t>Hill, Yeung &amp; Duncan 2001</w:t>
      </w:r>
      <w:r w:rsidR="00A865E4">
        <w:fldChar w:fldCharType="end"/>
      </w:r>
      <w:r>
        <w:t xml:space="preserve">; </w:t>
      </w:r>
      <w:r w:rsidR="00A865E4">
        <w:fldChar w:fldCharType="begin"/>
      </w:r>
      <w:r>
        <w:instrText xml:space="preserve"> ADDIN EN.CITE &lt;EndNote&gt;&lt;Cite&gt;&lt;Author&gt;Krein&lt;/Author&gt;&lt;Year&gt;1988&lt;/Year&gt;&lt;RecNum&gt;52&lt;/RecNum&gt;&lt;record&gt;&lt;rec-number&gt;52&lt;/rec-number&gt;&lt;foreign-keys&gt;&lt;key app="EN" db-id="0sp9t02ao2s908er5duvztshees9x25szs2d"&gt;52&lt;/key&gt;&lt;/foreign-keys&gt;&lt;ref-type name="Journal Article"&gt;17&lt;/ref-type&gt;&lt;contributors&gt;&lt;authors&gt;&lt;author&gt;Krein, Sheila Fitzgerald&lt;/author&gt;&lt;author&gt;Beller, Andrea H.&lt;/author&gt;&lt;/authors&gt;&lt;/contributors&gt;&lt;titles&gt;&lt;title&gt;Educational Attainment of Children From Single-Parent Families: Differences by Exposure, Gender, and Race&lt;/title&gt;&lt;secondary-title&gt;Demography&lt;/secondary-title&gt;&lt;/titles&gt;&lt;periodical&gt;&lt;full-title&gt;Demography&lt;/full-title&gt;&lt;/periodical&gt;&lt;pages&gt;221-234&lt;/pages&gt;&lt;volume&gt;25&lt;/volume&gt;&lt;number&gt;2&lt;/number&gt;&lt;dates&gt;&lt;year&gt;1988&lt;/year&gt;&lt;/dates&gt;&lt;publisher&gt;Population Association of America&lt;/publisher&gt;&lt;isbn&gt;00703370&lt;/isbn&gt;&lt;urls&gt;&lt;related-urls&gt;&lt;url&gt;http://www.jstor.org/stable/2061290&lt;/url&gt;&lt;/related-urls&gt;&lt;/urls&gt;&lt;/record&gt;&lt;/Cite&gt;&lt;/EndNote&gt;</w:instrText>
      </w:r>
      <w:r w:rsidR="00A865E4">
        <w:fldChar w:fldCharType="separate"/>
      </w:r>
      <w:r>
        <w:t>Krein &amp; Beller 1988</w:t>
      </w:r>
      <w:r w:rsidR="00A865E4">
        <w:fldChar w:fldCharType="end"/>
      </w:r>
      <w:r>
        <w:t>); size (</w:t>
      </w:r>
      <w:r w:rsidR="00A865E4">
        <w:fldChar w:fldCharType="begin"/>
      </w:r>
      <w:r>
        <w:instrText xml:space="preserve"> ADDIN EN.CITE &lt;EndNote&gt;&lt;Cite&gt;&lt;Author&gt;Blake&lt;/Author&gt;&lt;Year&gt;1989&lt;/Year&gt;&lt;RecNum&gt;55&lt;/RecNum&gt;&lt;record&gt;&lt;rec-number&gt;55&lt;/rec-number&gt;&lt;foreign-keys&gt;&lt;key app="EN" db-id="0sp9t02ao2s908er5duvztshees9x25szs2d"&gt;55&lt;/key&gt;&lt;/foreign-keys&gt;&lt;ref-type name="Journal Article"&gt;17&lt;/ref-type&gt;&lt;contributors&gt;&lt;authors&gt;&lt;author&gt;Blake, J&lt;/author&gt;&lt;/authors&gt;&lt;/contributors&gt;&lt;titles&gt;&lt;title&gt;Number of siblings and educational attainment &lt;/title&gt;&lt;secondary-title&gt;Science&lt;/secondary-title&gt;&lt;/titles&gt;&lt;periodical&gt;&lt;full-title&gt;Science&lt;/full-title&gt;&lt;/periodical&gt;&lt;pages&gt;32-36&lt;/pages&gt;&lt;volume&gt;245&lt;/volume&gt;&lt;number&gt;4913&lt;/number&gt;&lt;dates&gt;&lt;year&gt;1989&lt;/year&gt;&lt;/dates&gt;&lt;urls&gt;&lt;/urls&gt;&lt;/record&gt;&lt;/Cite&gt;&lt;/EndNote&gt;</w:instrText>
      </w:r>
      <w:r w:rsidR="00A865E4">
        <w:fldChar w:fldCharType="separate"/>
      </w:r>
      <w:r>
        <w:t>Blake 1989</w:t>
      </w:r>
      <w:r w:rsidR="00A865E4">
        <w:fldChar w:fldCharType="end"/>
      </w:r>
      <w:r>
        <w:t xml:space="preserve">; </w:t>
      </w:r>
      <w:r w:rsidR="00A865E4">
        <w:fldChar w:fldCharType="begin"/>
      </w:r>
      <w:r>
        <w:instrText xml:space="preserve"> ADDIN EN.CITE &lt;EndNote&gt;&lt;Cite&gt;&lt;Author&gt;Downey&lt;/Author&gt;&lt;Year&gt;1995&lt;/Year&gt;&lt;RecNum&gt;56&lt;/RecNum&gt;&lt;record&gt;&lt;rec-number&gt;56&lt;/rec-number&gt;&lt;foreign-keys&gt;&lt;key app="EN" db-id="0sp9t02ao2s908er5duvztshees9x25szs2d"&gt;56&lt;/key&gt;&lt;/foreign-keys&gt;&lt;ref-type name="Journal Article"&gt;17&lt;/ref-type&gt;&lt;contributors&gt;&lt;authors&gt;&lt;author&gt;Downey, Douglas B.&lt;/author&gt;&lt;/authors&gt;&lt;/contributors&gt;&lt;titles&gt;&lt;title&gt;When Bigger Is Not Better: Family Size, Parental Resources, and Children&amp;apos;s Educational Performance&lt;/title&gt;&lt;secondary-title&gt;American Sociological Review&lt;/secondary-title&gt;&lt;/titles&gt;&lt;periodical&gt;&lt;full-title&gt;American Sociological Review&lt;/full-title&gt;&lt;/periodical&gt;&lt;pages&gt;746-761&lt;/pages&gt;&lt;volume&gt;60&lt;/volume&gt;&lt;number&gt;5&lt;/number&gt;&lt;dates&gt;&lt;year&gt;1995&lt;/year&gt;&lt;/dates&gt;&lt;publisher&gt;American Sociological Association&lt;/publisher&gt;&lt;isbn&gt;00031224&lt;/isbn&gt;&lt;urls&gt;&lt;related-urls&gt;&lt;url&gt;http://www.jstor.org/stable/2096320&lt;/url&gt;&lt;/related-urls&gt;&lt;/urls&gt;&lt;/record&gt;&lt;/Cite&gt;&lt;/EndNote&gt;</w:instrText>
      </w:r>
      <w:r w:rsidR="00A865E4">
        <w:fldChar w:fldCharType="separate"/>
      </w:r>
      <w:r>
        <w:t>Downey 1995</w:t>
      </w:r>
      <w:r w:rsidR="00A865E4">
        <w:fldChar w:fldCharType="end"/>
      </w:r>
      <w:r>
        <w:t xml:space="preserve">; </w:t>
      </w:r>
      <w:r w:rsidR="00A865E4">
        <w:fldChar w:fldCharType="begin"/>
      </w:r>
      <w:r>
        <w:instrText xml:space="preserve"> ADDIN EN.CITE &lt;EndNote&gt;&lt;Cite&gt;&lt;Author&gt;Eloundou-Enyegue&lt;/Author&gt;&lt;Year&gt;2006&lt;/Year&gt;&lt;RecNum&gt;57&lt;/RecNum&gt;&lt;record&gt;&lt;rec-number&gt;57&lt;/rec-number&gt;&lt;foreign-keys&gt;&lt;key app="EN" db-id="0sp9t02ao2s908er5duvztshees9x25szs2d"&gt;57&lt;/key&gt;&lt;/foreign-keys&gt;&lt;ref-type name="Journal Article"&gt;17&lt;/ref-type&gt;&lt;contributors&gt;&lt;authors&gt;&lt;author&gt;Eloundou-Enyegue, Parfait M.&lt;/author&gt;&lt;author&gt;Williams, Lindy B.&lt;/author&gt;&lt;/authors&gt;&lt;/contributors&gt;&lt;titles&gt;&lt;title&gt;Family Size and Schooling in Sub-Saharan African Settings: A Reexamination&lt;/title&gt;&lt;secondary-title&gt;Demography&lt;/secondary-title&gt;&lt;/titles&gt;&lt;periodical&gt;&lt;full-title&gt;Demography&lt;/full-title&gt;&lt;/periodical&gt;&lt;pages&gt;25-52&lt;/pages&gt;&lt;volume&gt;43&lt;/volume&gt;&lt;number&gt;1&lt;/number&gt;&lt;dates&gt;&lt;year&gt;2006&lt;/year&gt;&lt;/dates&gt;&lt;publisher&gt;Population Association of America&lt;/publisher&gt;&lt;isbn&gt;00703370&lt;/isbn&gt;&lt;urls&gt;&lt;related-urls&gt;&lt;url&gt;http://www.jstor.org/stable/4137231&lt;/url&gt;&lt;/related-urls&gt;&lt;/urls&gt;&lt;/record&gt;&lt;/Cite&gt;&lt;/EndNote&gt;</w:instrText>
      </w:r>
      <w:r w:rsidR="00A865E4">
        <w:fldChar w:fldCharType="separate"/>
      </w:r>
      <w:r>
        <w:t>Eloundou-Enyegue &amp; Williams 2006</w:t>
      </w:r>
      <w:r w:rsidR="00A865E4">
        <w:fldChar w:fldCharType="end"/>
      </w:r>
      <w:r>
        <w:t>); parents’ educational and occupational characteristics (</w:t>
      </w:r>
      <w:r w:rsidR="00A865E4">
        <w:fldChar w:fldCharType="begin"/>
      </w:r>
      <w:r>
        <w:instrText xml:space="preserve"> ADDIN EN.CITE &lt;EndNote&gt;&lt;Cite&gt;&lt;Author&gt;Davis-Kean&lt;/Author&gt;&lt;Year&gt;2005&lt;/Year&gt;&lt;RecNum&gt;58&lt;/RecNum&gt;&lt;record&gt;&lt;rec-number&gt;58&lt;/rec-number&gt;&lt;foreign-keys&gt;&lt;key app="EN" db-id="0sp9t02ao2s908er5duvztshees9x25szs2d"&gt;58&lt;/key&gt;&lt;/foreign-keys&gt;&lt;ref-type name="Journal Article"&gt;17&lt;/ref-type&gt;&lt;contributors&gt;&lt;authors&gt;&lt;author&gt;Davis-Kean, Pamela E. &lt;/author&gt;&lt;/authors&gt;&lt;/contributors&gt;&lt;titles&gt;&lt;title&gt;The Influence of Parent Education and Family Income on Child Achievement: The Indirect Role of Parental Expectations and the&amp;#xD;Home Environment&lt;/title&gt;&lt;secondary-title&gt;Journal of Family Psychology&lt;/secondary-title&gt;&lt;/titles&gt;&lt;periodical&gt;&lt;full-title&gt;Journal of Family Psychology&lt;/full-title&gt;&lt;/periodical&gt;&lt;pages&gt;294-304&lt;/pages&gt;&lt;volume&gt;19&lt;/volume&gt;&lt;number&gt;2&lt;/number&gt;&lt;dates&gt;&lt;year&gt;2005&lt;/year&gt;&lt;/dates&gt;&lt;urls&gt;&lt;/urls&gt;&lt;/record&gt;&lt;/Cite&gt;&lt;/EndNote&gt;</w:instrText>
      </w:r>
      <w:r w:rsidR="00A865E4">
        <w:fldChar w:fldCharType="separate"/>
      </w:r>
      <w:r>
        <w:t>Davis-Kean 2005</w:t>
      </w:r>
      <w:r w:rsidR="00A865E4">
        <w:fldChar w:fldCharType="end"/>
      </w:r>
      <w:r>
        <w:t xml:space="preserve">; </w:t>
      </w:r>
      <w:r w:rsidR="00A865E4">
        <w:fldChar w:fldCharType="begin"/>
      </w:r>
      <w:r>
        <w:instrText xml:space="preserve"> ADDIN EN.CITE &lt;EndNote&gt;&lt;Cite&gt;&lt;Author&gt;Kalmijn&lt;/Author&gt;&lt;Year&gt;1994&lt;/Year&gt;&lt;RecNum&gt;60&lt;/RecNum&gt;&lt;record&gt;&lt;rec-number&gt;60&lt;/rec-number&gt;&lt;foreign-keys&gt;&lt;key app="EN" db-id="0sp9t02ao2s908er5duvztshees9x25szs2d"&gt;60&lt;/key&gt;&lt;/foreign-keys&gt;&lt;ref-type name="Journal Article"&gt;17&lt;/ref-type&gt;&lt;contributors&gt;&lt;authors&gt;&lt;author&gt;Kalmijn, Matthijs&lt;/author&gt;&lt;/authors&gt;&lt;/contributors&gt;&lt;titles&gt;&lt;title&gt;Mother&amp;apos;s Occupational Status and Children&amp;apos;s Schooling&lt;/title&gt;&lt;secondary-title&gt;American Sociological Review&lt;/secondary-title&gt;&lt;/titles&gt;&lt;periodical&gt;&lt;full-title&gt;American Sociological Review&lt;/full-title&gt;&lt;/periodical&gt;&lt;pages&gt;257-275&lt;/pages&gt;&lt;volume&gt;59&lt;/volume&gt;&lt;number&gt;2&lt;/number&gt;&lt;dates&gt;&lt;year&gt;1994&lt;/year&gt;&lt;/dates&gt;&lt;publisher&gt;American Sociological Association&lt;/publisher&gt;&lt;isbn&gt;00031224&lt;/isbn&gt;&lt;urls&gt;&lt;related-urls&gt;&lt;url&gt;http://www.jstor.org/stable/2096230&lt;/url&gt;&lt;/related-urls&gt;&lt;/urls&gt;&lt;/record&gt;&lt;/Cite&gt;&lt;/EndNote&gt;</w:instrText>
      </w:r>
      <w:r w:rsidR="00A865E4">
        <w:fldChar w:fldCharType="separate"/>
      </w:r>
      <w:r>
        <w:t>Kalmijn 1994</w:t>
      </w:r>
      <w:r w:rsidR="00A865E4">
        <w:fldChar w:fldCharType="end"/>
      </w:r>
      <w:r>
        <w:t xml:space="preserve">; </w:t>
      </w:r>
      <w:r w:rsidR="00A865E4">
        <w:fldChar w:fldCharType="begin"/>
      </w:r>
      <w:r>
        <w:instrText xml:space="preserve"> ADDIN EN.CITE &lt;EndNote&gt;&lt;Cite&gt;&lt;Author&gt;Tansel&lt;/Author&gt;&lt;Year&gt;1997&lt;/Year&gt;&lt;RecNum&gt;59&lt;/RecNum&gt;&lt;record&gt;&lt;rec-number&gt;59&lt;/rec-number&gt;&lt;foreign-keys&gt;&lt;key app="EN" db-id="0sp9t02ao2s908er5duvztshees9x25szs2d"&gt;59&lt;/key&gt;&lt;/foreign-keys&gt;&lt;ref-type name="Journal Article"&gt;17&lt;/ref-type&gt;&lt;contributors&gt;&lt;authors&gt;&lt;author&gt;Tansel, Aysit&lt;/author&gt;&lt;/authors&gt;&lt;/contributors&gt;&lt;titles&gt;&lt;title&gt;Schooling Attainment, Parental Education, and Gender in CÃ´te d&amp;apos;Ivoire and Ghana&lt;/title&gt;&lt;secondary-title&gt;Economic Development and Cultural Change&lt;/secondary-title&gt;&lt;/titles&gt;&lt;periodical&gt;&lt;full-title&gt;Economic Development and Cultural Change&lt;/full-title&gt;&lt;/periodical&gt;&lt;pages&gt;825-856&lt;/pages&gt;&lt;volume&gt;45&lt;/volume&gt;&lt;number&gt;4&lt;/number&gt;&lt;dates&gt;&lt;year&gt;1997&lt;/year&gt;&lt;/dates&gt;&lt;urls&gt;&lt;related-urls&gt;&lt;url&gt;http://www.journals.uchicago.edu/doi/abs/10.1086/452309&lt;/url&gt;&lt;/related-urls&gt;&lt;/urls&gt;&lt;electronic-resource-num&gt;doi:10.1086/452309&lt;/electronic-resource-num&gt;&lt;/record&gt;&lt;/Cite&gt;&lt;/EndNote&gt;</w:instrText>
      </w:r>
      <w:r w:rsidR="00A865E4">
        <w:fldChar w:fldCharType="separate"/>
      </w:r>
      <w:r>
        <w:t>Tansel 1997</w:t>
      </w:r>
      <w:r w:rsidR="00A865E4">
        <w:fldChar w:fldCharType="end"/>
      </w:r>
      <w:r>
        <w:t>); and residential mobility (</w:t>
      </w:r>
      <w:r w:rsidR="00A865E4">
        <w:fldChar w:fldCharType="begin"/>
      </w:r>
      <w:r>
        <w:instrText xml:space="preserve"> ADDIN EN.CITE &lt;EndNote&gt;&lt;Cite&gt;&lt;Author&gt;Astone&lt;/Author&gt;&lt;Year&gt;1994&lt;/Year&gt;&lt;RecNum&gt;90&lt;/RecNum&gt;&lt;record&gt;&lt;rec-number&gt;90&lt;/rec-number&gt;&lt;foreign-keys&gt;&lt;key app="EN" db-id="0sp9t02ao2s908er5duvztshees9x25szs2d"&gt;90&lt;/key&gt;&lt;/foreign-keys&gt;&lt;ref-type name="Journal Article"&gt;17&lt;/ref-type&gt;&lt;contributors&gt;&lt;authors&gt;&lt;author&gt;Astone, Nan Marie&lt;/author&gt;&lt;author&gt;McLanahan, Sara S.&lt;/author&gt;&lt;/authors&gt;&lt;/contributors&gt;&lt;titles&gt;&lt;title&gt;Family Structure, Residential Mobility, and School Dropout: A Research Note&lt;/title&gt;&lt;secondary-title&gt;Demography&lt;/secondary-title&gt;&lt;/titles&gt;&lt;periodical&gt;&lt;full-title&gt;Demography&lt;/full-title&gt;&lt;/periodical&gt;&lt;pages&gt;575-584&lt;/pages&gt;&lt;volume&gt;31&lt;/volume&gt;&lt;number&gt;4&lt;/number&gt;&lt;dates&gt;&lt;year&gt;1994&lt;/year&gt;&lt;/dates&gt;&lt;publisher&gt;Population Association of America&lt;/publisher&gt;&lt;isbn&gt;00703370&lt;/isbn&gt;&lt;urls&gt;&lt;related-urls&gt;&lt;url&gt;http://www.jstor.org/stable/2061791&lt;/url&gt;&lt;/related-urls&gt;&lt;/urls&gt;&lt;/record&gt;&lt;/Cite&gt;&lt;/EndNote&gt;</w:instrText>
      </w:r>
      <w:r w:rsidR="00A865E4">
        <w:fldChar w:fldCharType="separate"/>
      </w:r>
      <w:r>
        <w:t>Astone &amp; McLanahan 1994</w:t>
      </w:r>
      <w:r w:rsidR="00A865E4">
        <w:fldChar w:fldCharType="end"/>
      </w:r>
      <w:r>
        <w:t xml:space="preserve">; </w:t>
      </w:r>
      <w:r w:rsidR="00A865E4">
        <w:fldChar w:fldCharType="begin"/>
      </w:r>
      <w:r>
        <w:instrText xml:space="preserve"> ADDIN EN.CITE &lt;EndNote&gt;&lt;Cite&gt;&lt;Author&gt;Pribesh&lt;/Author&gt;&lt;Year&gt;1999&lt;/Year&gt;&lt;RecNum&gt;91&lt;/RecNum&gt;&lt;record&gt;&lt;rec-number&gt;91&lt;/rec-number&gt;&lt;foreign-keys&gt;&lt;key app="EN" db-id="0sp9t02ao2s908er5duvztshees9x25szs2d"&gt;91&lt;/key&gt;&lt;/foreign-keys&gt;&lt;ref-type name="Journal Article"&gt;17&lt;/ref-type&gt;&lt;contributors&gt;&lt;authors&gt;&lt;author&gt;Pribesh, Shana&lt;/author&gt;&lt;author&gt;Downey, Douglas B.&lt;/author&gt;&lt;/authors&gt;&lt;/contributors&gt;&lt;titles&gt;&lt;title&gt;Why Are Residential and School Moves Associated with Poor School Performance?&lt;/title&gt;&lt;secondary-title&gt;Demography&lt;/secondary-title&gt;&lt;/titles&gt;&lt;periodical&gt;&lt;full-title&gt;Demography&lt;/full-title&gt;&lt;/periodical&gt;&lt;pages&gt;521-534&lt;/pages&gt;&lt;volume&gt;36&lt;/volume&gt;&lt;number&gt;4&lt;/number&gt;&lt;dates&gt;&lt;year&gt;1999&lt;/year&gt;&lt;/dates&gt;&lt;publisher&gt;Population Association of America&lt;/publisher&gt;&lt;isbn&gt;00703370&lt;/isbn&gt;&lt;urls&gt;&lt;related-urls&gt;&lt;url&gt;http://www.jstor.org/stable/2648088&lt;/url&gt;&lt;/related-urls&gt;&lt;/urls&gt;&lt;/record&gt;&lt;/Cite&gt;&lt;/EndNote&gt;</w:instrText>
      </w:r>
      <w:r w:rsidR="00A865E4">
        <w:fldChar w:fldCharType="separate"/>
      </w:r>
      <w:r>
        <w:t>Pribesh &amp; Downey 1999</w:t>
      </w:r>
      <w:r w:rsidR="00A865E4">
        <w:fldChar w:fldCharType="end"/>
      </w:r>
      <w:r>
        <w:t xml:space="preserve">; </w:t>
      </w:r>
      <w:r w:rsidR="00A865E4">
        <w:fldChar w:fldCharType="begin"/>
      </w:r>
      <w:r>
        <w:instrText xml:space="preserve"> ADDIN EN.CITE &lt;EndNote&gt;&lt;Cite&gt;&lt;Author&gt;Scanlon&lt;/Author&gt;&lt;Year&gt;2001&lt;/Year&gt;&lt;RecNum&gt;92&lt;/RecNum&gt;&lt;record&gt;&lt;rec-number&gt;92&lt;/rec-number&gt;&lt;foreign-keys&gt;&lt;key app="EN" db-id="0sp9t02ao2s908er5duvztshees9x25szs2d"&gt;92&lt;/key&gt;&lt;/foreign-keys&gt;&lt;ref-type name="Journal Article"&gt;17&lt;/ref-type&gt;&lt;contributors&gt;&lt;authors&gt;&lt;author&gt;Scanlon, Edward &lt;/author&gt;&lt;author&gt;Devine, Kevin &lt;/author&gt;&lt;/authors&gt;&lt;/contributors&gt;&lt;titles&gt;&lt;title&gt;Residential Mobility and Youth Well-Being: Research, Policy, and Practice Issues&lt;/title&gt;&lt;secondary-title&gt;Journal of Sociology and Social Welfare&lt;/secondary-title&gt;&lt;/titles&gt;&lt;periodical&gt;&lt;full-title&gt;Journal of Sociology and Social Welfare&lt;/full-title&gt;&lt;/periodical&gt;&lt;pages&gt;119-138&lt;/pages&gt;&lt;volume&gt;28&lt;/volume&gt;&lt;number&gt;1&lt;/number&gt;&lt;dates&gt;&lt;year&gt;2001&lt;/year&gt;&lt;/dates&gt;&lt;urls&gt;&lt;/urls&gt;&lt;/record&gt;&lt;/Cite&gt;&lt;/EndNote&gt;</w:instrText>
      </w:r>
      <w:r w:rsidR="00A865E4">
        <w:fldChar w:fldCharType="separate"/>
      </w:r>
      <w:r>
        <w:t>Scanlon &amp; Devine 2001</w:t>
      </w:r>
      <w:r w:rsidR="00A865E4">
        <w:fldChar w:fldCharType="end"/>
      </w:r>
      <w:r>
        <w:t xml:space="preserve">). </w:t>
      </w:r>
    </w:p>
    <w:p w:rsidR="001F5702" w:rsidRDefault="001F5702" w:rsidP="001F5702">
      <w:pPr>
        <w:pStyle w:val="Text"/>
      </w:pPr>
      <w:r>
        <w:t xml:space="preserve">While family income appears to be an important determinant of education attainment across most studies, its source is also important. Earned income positively affects schooling, while the impact of welfare programs is often found to be negative (for example, </w:t>
      </w:r>
      <w:r w:rsidR="00A865E4">
        <w:fldChar w:fldCharType="begin"/>
      </w:r>
      <w:r>
        <w:instrText xml:space="preserve"> ADDIN EN.CITE &lt;EndNote&gt;&lt;Cite&gt;&lt;Author&gt;Barón&lt;/Author&gt;&lt;Year&gt;2009&lt;/Year&gt;&lt;RecNum&gt;114&lt;/RecNum&gt;&lt;record&gt;&lt;rec-number&gt;114&lt;/rec-number&gt;&lt;foreign-keys&gt;&lt;key app="EN" db-id="0sp9t02ao2s908er5duvztshees9x25szs2d"&gt;114&lt;/key&gt;&lt;/foreign-keys&gt;&lt;ref-type name="Journal Article"&gt;17&lt;/ref-type&gt;&lt;contributors&gt;&lt;authors&gt;&lt;author&gt;Barón, Juan D. &lt;/author&gt;&lt;/authors&gt;&lt;/contributors&gt;&lt;titles&gt;&lt;title&gt;Exploring the Factors Associated with Youths’ Educational Outcomes: The Role of Locus of Control and Parental Socio-Economic Background&lt;/title&gt;&lt;secondary-title&gt;Centre for Economic Policy Research Discussion Paper&lt;/secondary-title&gt;&lt;/titles&gt;&lt;volume&gt;598&lt;/volume&gt;&lt;dates&gt;&lt;year&gt;2009&lt;/year&gt;&lt;/dates&gt;&lt;pub-location&gt;Canberra&lt;/pub-location&gt;&lt;publisher&gt;Australian National University&lt;/publisher&gt;&lt;urls&gt;&lt;/urls&gt;&lt;/record&gt;&lt;/Cite&gt;&lt;/EndNote&gt;</w:instrText>
      </w:r>
      <w:r w:rsidR="00A865E4">
        <w:fldChar w:fldCharType="separate"/>
      </w:r>
      <w:r>
        <w:t>Barón 2009</w:t>
      </w:r>
      <w:r w:rsidR="00A865E4">
        <w:fldChar w:fldCharType="end"/>
      </w:r>
      <w:r>
        <w:t xml:space="preserve">; </w:t>
      </w:r>
      <w:r w:rsidR="00A865E4">
        <w:fldChar w:fldCharType="begin"/>
      </w:r>
      <w:r>
        <w:instrText xml:space="preserve"> ADDIN EN.CITE &lt;EndNote&gt;&lt;Cite&gt;&lt;Author&gt;Haveman&lt;/Author&gt;&lt;Year&gt;1991&lt;/Year&gt;&lt;RecNum&gt;61&lt;/RecNum&gt;&lt;record&gt;&lt;rec-number&gt;61&lt;/rec-number&gt;&lt;foreign-keys&gt;&lt;key app="EN" db-id="0sp9t02ao2s908er5duvztshees9x25szs2d"&gt;61&lt;/key&gt;&lt;/foreign-keys&gt;&lt;ref-type name="Journal Article"&gt;17&lt;/ref-type&gt;&lt;contributors&gt;&lt;authors&gt;&lt;author&gt;Haveman, Robert&lt;/author&gt;&lt;author&gt;Wolfe, Barbara&lt;/author&gt;&lt;author&gt;Spaulding, James&lt;/author&gt;&lt;/authors&gt;&lt;/contributors&gt;&lt;titles&gt;&lt;title&gt;Childhood Events and Circumstances Influencing High School Completion&lt;/title&gt;&lt;secondary-title&gt;Demography&lt;/secondary-title&gt;&lt;/titles&gt;&lt;periodical&gt;&lt;full-title&gt;Demography&lt;/full-title&gt;&lt;/periodical&gt;&lt;pages&gt;133-157&lt;/pages&gt;&lt;volume&gt;28&lt;/volume&gt;&lt;number&gt;1&lt;/number&gt;&lt;dates&gt;&lt;year&gt;1991&lt;/year&gt;&lt;/dates&gt;&lt;publisher&gt;Population Association of America&lt;/publisher&gt;&lt;isbn&gt;00703370&lt;/isbn&gt;&lt;urls&gt;&lt;related-urls&gt;&lt;url&gt;http://www.jstor.org/stable/2061340&lt;/url&gt;&lt;/related-urls&gt;&lt;/urls&gt;&lt;/record&gt;&lt;/Cite&gt;&lt;/EndNote&gt;</w:instrText>
      </w:r>
      <w:r w:rsidR="00A865E4">
        <w:fldChar w:fldCharType="separate"/>
      </w:r>
      <w:r>
        <w:t>Haveman, Wolfe &amp; Spaulding 1991</w:t>
      </w:r>
      <w:r w:rsidR="00A865E4">
        <w:fldChar w:fldCharType="end"/>
      </w:r>
      <w:r>
        <w:t xml:space="preserve">; </w:t>
      </w:r>
      <w:r w:rsidR="00A865E4">
        <w:fldChar w:fldCharType="begin"/>
      </w:r>
      <w:r>
        <w:instrText xml:space="preserve"> ADDIN EN.CITE &lt;EndNote&gt;&lt;Cite&gt;&lt;Author&gt;Ku&lt;/Author&gt;&lt;Year&gt;2001&lt;/Year&gt;&lt;RecNum&gt;62&lt;/RecNum&gt;&lt;record&gt;&lt;rec-number&gt;62&lt;/rec-number&gt;&lt;foreign-keys&gt;&lt;key app="EN" db-id="0sp9t02ao2s908er5duvztshees9x25szs2d"&gt;62&lt;/key&gt;&lt;/foreign-keys&gt;&lt;ref-type name="Journal Article"&gt;17&lt;/ref-type&gt;&lt;contributors&gt;&lt;authors&gt;&lt;author&gt;Ku, Inhoe &lt;/author&gt;&lt;/authors&gt;&lt;/contributors&gt;&lt;titles&gt;&lt;title&gt;The effect of welfare on children&amp;apos;s education&lt;/title&gt;&lt;secondary-title&gt;The Social Service Review&lt;/secondary-title&gt;&lt;/titles&gt;&lt;periodical&gt;&lt;full-title&gt;The Social Service Review&lt;/full-title&gt;&lt;/periodical&gt;&lt;pages&gt;245-270&lt;/pages&gt;&lt;volume&gt;75&lt;/volume&gt;&lt;number&gt;2&lt;/number&gt;&lt;dates&gt;&lt;year&gt;2001&lt;/year&gt;&lt;/dates&gt;&lt;urls&gt;&lt;/urls&gt;&lt;/record&gt;&lt;/Cite&gt;&lt;/EndNote&gt;</w:instrText>
      </w:r>
      <w:r w:rsidR="00A865E4">
        <w:fldChar w:fldCharType="separate"/>
      </w:r>
      <w:r>
        <w:t>Ku 2001</w:t>
      </w:r>
      <w:r w:rsidR="00A865E4">
        <w:fldChar w:fldCharType="end"/>
      </w:r>
      <w:r>
        <w:t xml:space="preserve">; </w:t>
      </w:r>
      <w:r w:rsidR="00A865E4">
        <w:fldChar w:fldCharType="begin"/>
      </w:r>
      <w:r>
        <w:instrText xml:space="preserve"> ADDIN EN.CITE &lt;EndNote&gt;&lt;Cite&gt;&lt;Author&gt;Ku&lt;/Author&gt;&lt;Year&gt;2003&lt;/Year&gt;&lt;RecNum&gt;39&lt;/RecNum&gt;&lt;record&gt;&lt;rec-number&gt;39&lt;/rec-number&gt;&lt;foreign-keys&gt;&lt;key app="EN" db-id="0sp9t02ao2s908er5duvztshees9x25szs2d"&gt;39&lt;/key&gt;&lt;/foreign-keys&gt;&lt;ref-type name="Journal Article"&gt;17&lt;/ref-type&gt;&lt;contributors&gt;&lt;authors&gt;&lt;author&gt;Ku, Inhoe&lt;/author&gt;&lt;author&gt;Plotnick, Robert&lt;/author&gt;&lt;/authors&gt;&lt;/contributors&gt;&lt;titles&gt;&lt;title&gt;Do Children from Welfare Families Obtain Less Education?&lt;/title&gt;&lt;secondary-title&gt;Demography&lt;/secondary-title&gt;&lt;/titles&gt;&lt;periodical&gt;&lt;full-title&gt;Demography&lt;/full-title&gt;&lt;/periodical&gt;&lt;pages&gt;151-170&lt;/pages&gt;&lt;volume&gt;40&lt;/volume&gt;&lt;number&gt;1&lt;/number&gt;&lt;dates&gt;&lt;year&gt;2003&lt;/year&gt;&lt;/dates&gt;&lt;publisher&gt;Population Association of America&lt;/publisher&gt;&lt;isbn&gt;00703370&lt;/isbn&gt;&lt;urls&gt;&lt;related-urls&gt;&lt;url&gt;http://www.jstor.org/stable/3180816&lt;/url&gt;&lt;/related-urls&gt;&lt;/urls&gt;&lt;/record&gt;&lt;/Cite&gt;&lt;/EndNote&gt;</w:instrText>
      </w:r>
      <w:r w:rsidR="00A865E4">
        <w:fldChar w:fldCharType="separate"/>
      </w:r>
      <w:r>
        <w:t>Ku &amp; Plotnick 2003</w:t>
      </w:r>
      <w:r w:rsidR="00A865E4">
        <w:fldChar w:fldCharType="end"/>
      </w:r>
      <w:r>
        <w:t>).</w:t>
      </w:r>
    </w:p>
    <w:p w:rsidR="001F5702" w:rsidRDefault="001F5702" w:rsidP="001F5702">
      <w:pPr>
        <w:pStyle w:val="Text"/>
      </w:pPr>
      <w:r>
        <w:t>Individual characteristics and behaviours that have been found to affect school attainment include alcohol consumption (</w:t>
      </w:r>
      <w:r w:rsidR="00A865E4">
        <w:fldChar w:fldCharType="begin"/>
      </w:r>
      <w:r>
        <w:instrText xml:space="preserve"> ADDIN EN.CITE &lt;EndNote&gt;&lt;Cite&gt;&lt;Author&gt;Koch&lt;/Author&gt;&lt;Year&gt;2005&lt;/Year&gt;&lt;RecNum&gt;80&lt;/RecNum&gt;&lt;record&gt;&lt;rec-number&gt;80&lt;/rec-number&gt;&lt;foreign-keys&gt;&lt;key app="EN" db-id="0sp9t02ao2s908er5duvztshees9x25szs2d"&gt;80&lt;/key&gt;&lt;/foreign-keys&gt;&lt;ref-type name="Journal Article"&gt;17&lt;/ref-type&gt;&lt;contributors&gt;&lt;authors&gt;&lt;author&gt;Koch, Steven F.&lt;/author&gt;&lt;author&gt;McGeary, Kerry Anne&lt;/author&gt;&lt;/authors&gt;&lt;/contributors&gt;&lt;titles&gt;&lt;title&gt;The Effect of Youth Alcohol Initiation on High School Completion&lt;/title&gt;&lt;secondary-title&gt;Economic Inquiry&lt;/secondary-title&gt;&lt;/titles&gt;&lt;periodical&gt;&lt;full-title&gt;Economic Inquiry&lt;/full-title&gt;&lt;/periodical&gt;&lt;pages&gt;750-765&lt;/pages&gt;&lt;volume&gt;43&lt;/volume&gt;&lt;dates&gt;&lt;year&gt;2005&lt;/year&gt;&lt;/dates&gt;&lt;urls&gt;&lt;related-urls&gt;&lt;url&gt;http://www.ingentaconnect.com/content/oup/ecoinq/2005/00000043/00000004/art00750&lt;/url&gt;&lt;url&gt;http://dx.doi.org/10.1093/ei/cbi052&lt;/url&gt;&lt;/related-urls&gt;&lt;/urls&gt;&lt;/record&gt;&lt;/Cite&gt;&lt;/EndNote&gt;</w:instrText>
      </w:r>
      <w:r w:rsidR="00A865E4">
        <w:fldChar w:fldCharType="separate"/>
      </w:r>
      <w:r>
        <w:t>Koch &amp; McGeary 2005</w:t>
      </w:r>
      <w:r w:rsidR="00A865E4">
        <w:fldChar w:fldCharType="end"/>
      </w:r>
      <w:r>
        <w:t xml:space="preserve">; </w:t>
      </w:r>
      <w:r w:rsidR="00A865E4">
        <w:fldChar w:fldCharType="begin"/>
      </w:r>
      <w:r>
        <w:instrText xml:space="preserve"> ADDIN EN.CITE &lt;EndNote&gt;&lt;Cite&gt;&lt;Author&gt;Renna&lt;/Author&gt;&lt;Year&gt;2007&lt;/Year&gt;&lt;RecNum&gt;79&lt;/RecNum&gt;&lt;record&gt;&lt;rec-number&gt;79&lt;/rec-number&gt;&lt;foreign-keys&gt;&lt;key app="EN" db-id="0sp9t02ao2s908er5duvztshees9x25szs2d"&gt;79&lt;/key&gt;&lt;/foreign-keys&gt;&lt;ref-type name="Journal Article"&gt;17&lt;/ref-type&gt;&lt;contributors&gt;&lt;authors&gt;&lt;author&gt;Francesco Renna&lt;/author&gt;&lt;/authors&gt;&lt;/contributors&gt;&lt;auth-address&gt;Department of Economics, The University of Akron, USA&lt;/auth-address&gt;&lt;titles&gt;&lt;title&gt;The economic cost of teen drinking: late graduation and lowered earnings&lt;/title&gt;&lt;secondary-title&gt;Health Economics&lt;/secondary-title&gt;&lt;/titles&gt;&lt;periodical&gt;&lt;full-title&gt;Health Economics&lt;/full-title&gt;&lt;/periodical&gt;&lt;pages&gt;407-419&lt;/pages&gt;&lt;volume&gt;16&lt;/volume&gt;&lt;number&gt;4&lt;/number&gt;&lt;dates&gt;&lt;year&gt;2007&lt;/year&gt;&lt;/dates&gt;&lt;isbn&gt;1099-1050&lt;/isbn&gt;&lt;urls&gt;&lt;related-urls&gt;&lt;url&gt;http://dx.doi.org/10.1002/hec.1178&lt;/url&gt;&lt;/related-urls&gt;&lt;/urls&gt;&lt;/record&gt;&lt;/Cite&gt;&lt;/EndNote&gt;</w:instrText>
      </w:r>
      <w:r w:rsidR="00A865E4">
        <w:fldChar w:fldCharType="separate"/>
      </w:r>
      <w:r>
        <w:t>Renna 2007</w:t>
      </w:r>
      <w:r w:rsidR="00A865E4">
        <w:fldChar w:fldCharType="end"/>
      </w:r>
      <w:r>
        <w:t xml:space="preserve">; </w:t>
      </w:r>
      <w:r w:rsidR="00A865E4">
        <w:fldChar w:fldCharType="begin"/>
      </w:r>
      <w:r>
        <w:instrText xml:space="preserve"> ADDIN EN.CITE &lt;EndNote&gt;&lt;Cite&gt;&lt;Author&gt;Yamada&lt;/Author&gt;&lt;Year&gt;1996&lt;/Year&gt;&lt;RecNum&gt;78&lt;/RecNum&gt;&lt;record&gt;&lt;rec-number&gt;78&lt;/rec-number&gt;&lt;foreign-keys&gt;&lt;key app="EN" db-id="0sp9t02ao2s908er5duvztshees9x25szs2d"&gt;78&lt;/key&gt;&lt;/foreign-keys&gt;&lt;ref-type name="Journal Article"&gt;17&lt;/ref-type&gt;&lt;contributors&gt;&lt;authors&gt;&lt;author&gt;Tetsuji Yamada&lt;/author&gt;&lt;author&gt;Michael Kendix&lt;/author&gt;&lt;author&gt;Tadashi Yamada&lt;/author&gt;&lt;/authors&gt;&lt;/contributors&gt;&lt;auth-address&gt;Department of Economics, Rutgers University, USA; Health Care Financing Administration, Office of Research &amp;amp; Demonstrations, USA; Institute of Socio-Economic Planning, University of Tsukuba, Japan&lt;/auth-address&gt;&lt;titles&gt;&lt;title&gt;The impact of alcohol consumption and marijuana use on high school graduation&lt;/title&gt;&lt;secondary-title&gt;Health Economics&lt;/secondary-title&gt;&lt;/titles&gt;&lt;periodical&gt;&lt;full-title&gt;Health Economics&lt;/full-title&gt;&lt;/periodical&gt;&lt;pages&gt;77-92&lt;/pages&gt;&lt;volume&gt;5&lt;/volume&gt;&lt;number&gt;1&lt;/number&gt;&lt;dates&gt;&lt;year&gt;1996&lt;/year&gt;&lt;/dates&gt;&lt;isbn&gt;1099-1050&lt;/isbn&gt;&lt;urls&gt;&lt;related-urls&gt;&lt;url&gt;http://dx.doi.org/10.1002/(SICI)1099-1050(199601)5:1&amp;lt;77::AID-HEC184&amp;gt;3.0.CO;2-W&lt;/url&gt;&lt;/related-urls&gt;&lt;/urls&gt;&lt;/record&gt;&lt;/Cite&gt;&lt;/EndNote&gt;</w:instrText>
      </w:r>
      <w:r w:rsidR="00A865E4">
        <w:fldChar w:fldCharType="separate"/>
      </w:r>
      <w:r>
        <w:t>Yamada, Kendix &amp; Yamada 1996</w:t>
      </w:r>
      <w:r w:rsidR="00A865E4">
        <w:fldChar w:fldCharType="end"/>
      </w:r>
      <w:r>
        <w:t>); drug use (</w:t>
      </w:r>
      <w:r w:rsidR="00A865E4">
        <w:fldChar w:fldCharType="begin"/>
      </w:r>
      <w:r>
        <w:instrText xml:space="preserve"> ADDIN EN.CITE &lt;EndNote&gt;&lt;Cite&gt;&lt;Author&gt;Bray&lt;/Author&gt;&lt;Year&gt;2000&lt;/Year&gt;&lt;RecNum&gt;75&lt;/RecNum&gt;&lt;record&gt;&lt;rec-number&gt;75&lt;/rec-number&gt;&lt;foreign-keys&gt;&lt;key app="EN" db-id="0sp9t02ao2s908er5duvztshees9x25szs2d"&gt;75&lt;/key&gt;&lt;/foreign-keys&gt;&lt;ref-type name="Journal Article"&gt;17&lt;/ref-type&gt;&lt;contributors&gt;&lt;authors&gt;&lt;author&gt;Jeremy W. Bray&lt;/author&gt;&lt;author&gt;Gary A. Zarkin&lt;/author&gt;&lt;author&gt;Chris Ringwalt&lt;/author&gt;&lt;author&gt;Junfeng Qi&lt;/author&gt;&lt;/authors&gt;&lt;/contributors&gt;&lt;auth-address&gt;Research Triangle Institute, Research Triangle Park, NC 27709, USA; DFI/Aeronomics, Atlanta, GA 30337-5609, USA&lt;/auth-address&gt;&lt;titles&gt;&lt;title&gt;The relationship between marijuana initiation and dropping out of high school&lt;/title&gt;&lt;secondary-title&gt;Health Economics&lt;/secondary-title&gt;&lt;/titles&gt;&lt;periodical&gt;&lt;full-title&gt;Health Economics&lt;/full-title&gt;&lt;/periodical&gt;&lt;pages&gt;9-18&lt;/pages&gt;&lt;volume&gt;9&lt;/volume&gt;&lt;number&gt;1&lt;/number&gt;&lt;dates&gt;&lt;year&gt;2000&lt;/year&gt;&lt;/dates&gt;&lt;isbn&gt;1099-1050&lt;/isbn&gt;&lt;urls&gt;&lt;related-urls&gt;&lt;url&gt;http://dx.doi.org/10.1002/(SICI)1099-1050(200001)9:1&amp;lt;9::AID-HEC471&amp;gt;3.0.CO;2-Z&lt;/url&gt;&lt;/related-urls&gt;&lt;/urls&gt;&lt;/record&gt;&lt;/Cite&gt;&lt;/EndNote&gt;</w:instrText>
      </w:r>
      <w:r w:rsidR="00A865E4">
        <w:fldChar w:fldCharType="separate"/>
      </w:r>
      <w:r>
        <w:t>Bray et al. 2000</w:t>
      </w:r>
      <w:r w:rsidR="00A865E4">
        <w:fldChar w:fldCharType="end"/>
      </w:r>
      <w:r>
        <w:t xml:space="preserve">; </w:t>
      </w:r>
      <w:r w:rsidR="00A865E4">
        <w:fldChar w:fldCharType="begin"/>
      </w:r>
      <w:r>
        <w:instrText xml:space="preserve"> ADDIN EN.CITE &lt;EndNote&gt;&lt;Cite&gt;&lt;Author&gt;Chatterji&lt;/Author&gt;&lt;Year&gt;2006&lt;/Year&gt;&lt;RecNum&gt;77&lt;/RecNum&gt;&lt;record&gt;&lt;rec-number&gt;77&lt;/rec-number&gt;&lt;foreign-keys&gt;&lt;key app="EN" db-id="0sp9t02ao2s908er5duvztshees9x25szs2d"&gt;77&lt;/key&gt;&lt;/foreign-keys&gt;&lt;ref-type name="Journal Article"&gt;17&lt;/ref-type&gt;&lt;contributors&gt;&lt;authors&gt;&lt;author&gt;Pinka Chatterji&lt;/author&gt;&lt;/authors&gt;&lt;/contributors&gt;&lt;auth-address&gt;Center for Multicultural Mental Health Research, Cambridge Health Alliance/Harvard Medical School, USA; National Bureau of Economic Research, USA&lt;/auth-address&gt;&lt;titles&gt;&lt;title&gt;Illicit drug use and educational attainment&lt;/title&gt;&lt;secondary-title&gt;Health Economics&lt;/secondary-title&gt;&lt;/titles&gt;&lt;periodical&gt;&lt;full-title&gt;Health Economics&lt;/full-title&gt;&lt;/periodical&gt;&lt;pages&gt;489-511&lt;/pages&gt;&lt;volume&gt;15&lt;/volume&gt;&lt;number&gt;5&lt;/number&gt;&lt;dates&gt;&lt;year&gt;2006&lt;/year&gt;&lt;/dates&gt;&lt;isbn&gt;1099-1050&lt;/isbn&gt;&lt;urls&gt;&lt;related-urls&gt;&lt;url&gt;http://dx.doi.org/10.1002/hec.1085&lt;/url&gt;&lt;/related-urls&gt;&lt;/urls&gt;&lt;/record&gt;&lt;/Cite&gt;&lt;/EndNote&gt;</w:instrText>
      </w:r>
      <w:r w:rsidR="00A865E4">
        <w:fldChar w:fldCharType="separate"/>
      </w:r>
      <w:r>
        <w:t>Chatterji 2006</w:t>
      </w:r>
      <w:r w:rsidR="00A865E4">
        <w:fldChar w:fldCharType="end"/>
      </w:r>
      <w:r>
        <w:t xml:space="preserve">; </w:t>
      </w:r>
      <w:r w:rsidR="00A865E4">
        <w:fldChar w:fldCharType="begin"/>
      </w:r>
      <w:r>
        <w:instrText xml:space="preserve"> ADDIN EN.CITE &lt;EndNote&gt;&lt;Cite&gt;&lt;Author&gt;McCaffrey&lt;/Author&gt;&lt;Year&gt;2008&lt;/Year&gt;&lt;RecNum&gt;76&lt;/RecNum&gt;&lt;record&gt;&lt;rec-number&gt;76&lt;/rec-number&gt;&lt;foreign-keys&gt;&lt;key app="EN" db-id="0sp9t02ao2s908er5duvztshees9x25szs2d"&gt;76&lt;/key&gt;&lt;/foreign-keys&gt;&lt;ref-type name="Report"&gt;27&lt;/ref-type&gt;&lt;contributors&gt;&lt;authors&gt;&lt;author&gt;Daniel F. McCaffrey&lt;/author&gt;&lt;author&gt;Rosalie Liccardo Pacula&lt;/author&gt;&lt;author&gt;Bing Han&lt;/author&gt;&lt;author&gt;Phyllis Ellickson&lt;/author&gt;&lt;/authors&gt;&lt;/contributors&gt;&lt;auth-address&gt;The RAND Corporation, Pittsburgh, PA, USA; The RAND Corporation, Santa Monica, CA, USA&lt;/auth-address&gt;&lt;titles&gt;&lt;title&gt;Marijuana use and high school dropout: the influence of unobservables&lt;/title&gt;&lt;secondary-title&gt;NBER Working Paper Series&lt;/secondary-title&gt;&lt;/titles&gt;&lt;volume&gt;&lt;style face="normal" font="Times New Roman" size="100%"&gt;14102&lt;/style&gt;&lt;/volume&gt;&lt;number&gt;9999&lt;/number&gt;&lt;dates&gt;&lt;year&gt;2008&lt;/year&gt;&lt;/dates&gt;&lt;pub-location&gt;Cambridge, MA&lt;/pub-location&gt;&lt;isbn&gt;1099-1050&lt;/isbn&gt;&lt;urls&gt;&lt;related-urls&gt;&lt;url&gt;http://dx.doi.org/10.1002/hec.1561&lt;/url&gt;&lt;/related-urls&gt;&lt;/urls&gt;&lt;/record&gt;&lt;/Cite&gt;&lt;/EndNote&gt;</w:instrText>
      </w:r>
      <w:r w:rsidR="00A865E4">
        <w:fldChar w:fldCharType="separate"/>
      </w:r>
      <w:r>
        <w:t>McCaffrey et al. 2008</w:t>
      </w:r>
      <w:r w:rsidR="00A865E4">
        <w:fldChar w:fldCharType="end"/>
      </w:r>
      <w:r>
        <w:t>); health (</w:t>
      </w:r>
      <w:r w:rsidR="00A865E4">
        <w:fldChar w:fldCharType="begin"/>
      </w:r>
      <w:r>
        <w:instrText xml:space="preserve"> ADDIN EN.CITE &lt;EndNote&gt;&lt;Cite&gt;&lt;Author&gt;Alderman&lt;/Author&gt;&lt;Year&gt;2009&lt;/Year&gt;&lt;RecNum&gt;83&lt;/RecNum&gt;&lt;record&gt;&lt;rec-number&gt;83&lt;/rec-number&gt;&lt;foreign-keys&gt;&lt;key app="EN" db-id="0sp9t02ao2s908er5duvztshees9x25szs2d"&gt;83&lt;/key&gt;&lt;/foreign-keys&gt;&lt;ref-type name="Journal Article"&gt;17&lt;/ref-type&gt;&lt;contributors&gt;&lt;authors&gt;&lt;author&gt;Alderman, Harold&lt;/author&gt;&lt;author&gt;Hoogeveen, Hans&lt;/author&gt;&lt;author&gt;Rossi, Mariacristina&lt;/author&gt;&lt;/authors&gt;&lt;/contributors&gt;&lt;titles&gt;&lt;title&gt;Preschool Nutrition and Subsequent Schooling Attainment: Longitudinal Evidence from Tanzania&lt;/title&gt;&lt;secondary-title&gt;Economic Development and Cultural Change&lt;/secondary-title&gt;&lt;/titles&gt;&lt;periodical&gt;&lt;full-title&gt;Economic Development and Cultural Change&lt;/full-title&gt;&lt;/periodical&gt;&lt;pages&gt;239-260&lt;/pages&gt;&lt;volume&gt;57&lt;/volume&gt;&lt;number&gt;2&lt;/number&gt;&lt;dates&gt;&lt;year&gt;2009&lt;/year&gt;&lt;/dates&gt;&lt;urls&gt;&lt;related-urls&gt;&lt;url&gt;http://www.journals.uchicago.edu/doi/abs/10.1086/592875&lt;/url&gt;&lt;/related-urls&gt;&lt;/urls&gt;&lt;electronic-resource-num&gt;doi:10.1086/592875&lt;/electronic-resource-num&gt;&lt;/record&gt;&lt;/Cite&gt;&lt;/EndNote&gt;</w:instrText>
      </w:r>
      <w:r w:rsidR="00A865E4">
        <w:fldChar w:fldCharType="separate"/>
      </w:r>
      <w:r>
        <w:t>Alderman, Hoogeveen &amp; Rossi 2009</w:t>
      </w:r>
      <w:r w:rsidR="00A865E4">
        <w:fldChar w:fldCharType="end"/>
      </w:r>
      <w:r>
        <w:t xml:space="preserve">; </w:t>
      </w:r>
      <w:r w:rsidR="00A865E4">
        <w:fldChar w:fldCharType="begin"/>
      </w:r>
      <w:r>
        <w:instrText xml:space="preserve"> ADDIN EN.CITE &lt;EndNote&gt;&lt;Cite&gt;&lt;Author&gt;Currie&lt;/Author&gt;&lt;Year&gt;2008&lt;/Year&gt;&lt;RecNum&gt;82&lt;/RecNum&gt;&lt;record&gt;&lt;rec-number&gt;82&lt;/rec-number&gt;&lt;foreign-keys&gt;&lt;key app="EN" db-id="0sp9t02ao2s908er5duvztshees9x25szs2d"&gt;82&lt;/key&gt;&lt;/foreign-keys&gt;&lt;ref-type name="Report"&gt;27&lt;/ref-type&gt;&lt;contributors&gt;&lt;authors&gt;&lt;author&gt;&lt;style face="normal" font="Times New Roman" size="100%"&gt;Currie, Janet &lt;/style&gt;&lt;/author&gt;&lt;author&gt;&lt;style face="normal" font="Times New Roman" size="100%"&gt;Stabile, Mark &lt;/style&gt;&lt;/author&gt;&lt;author&gt;&lt;style face="normal" font="Times New Roman" size="100%"&gt;Manivong, Phongsack &lt;/style&gt;&lt;/author&gt;&lt;author&gt;&lt;style face="normal" font="Times New Roman" size="100%"&gt;Roos, Leslie L. &lt;/style&gt;&lt;/author&gt;&lt;/authors&gt;&lt;/contributors&gt;&lt;titles&gt;&lt;title&gt;&lt;style face="normal" font="Times New Roman" size="100%"&gt;Child health and young adult outcomes&lt;/style&gt;&lt;/title&gt;&lt;secondary-title&gt;NBER Working Paper Series&lt;/secondary-title&gt;&lt;/titles&gt;&lt;dates&gt;&lt;year&gt;2008&lt;/year&gt;&lt;/dates&gt;&lt;pub-location&gt;Cambridge, MA&lt;/pub-location&gt;&lt;publisher&gt;NBER&lt;/publisher&gt;&lt;urls&gt;&lt;/urls&gt;&lt;/record&gt;&lt;/Cite&gt;&lt;/EndNote&gt;</w:instrText>
      </w:r>
      <w:r w:rsidR="00A865E4">
        <w:fldChar w:fldCharType="separate"/>
      </w:r>
      <w:r w:rsidRPr="00122C22">
        <w:t>Currie</w:t>
      </w:r>
      <w:r>
        <w:t xml:space="preserve"> et al. 2008</w:t>
      </w:r>
      <w:r w:rsidR="00A865E4">
        <w:fldChar w:fldCharType="end"/>
      </w:r>
      <w:r>
        <w:t xml:space="preserve">; </w:t>
      </w:r>
      <w:r w:rsidR="00A865E4">
        <w:fldChar w:fldCharType="begin"/>
      </w:r>
      <w:r>
        <w:instrText xml:space="preserve"> ADDIN EN.CITE &lt;EndNote&gt;&lt;Cite&gt;&lt;Author&gt;Salm&lt;/Author&gt;&lt;Year&gt;2008&lt;/Year&gt;&lt;RecNum&gt;81&lt;/RecNum&gt;&lt;record&gt;&lt;rec-number&gt;81&lt;/rec-number&gt;&lt;foreign-keys&gt;&lt;key app="EN" db-id="0sp9t02ao2s908er5duvztshees9x25szs2d"&gt;81&lt;/key&gt;&lt;/foreign-keys&gt;&lt;ref-type name="Report"&gt;27&lt;/ref-type&gt;&lt;contributors&gt;&lt;authors&gt;&lt;author&gt;Salm, Martin &lt;/author&gt;&lt;author&gt;Schunk, Daniel &lt;/author&gt;&lt;/authors&gt;&lt;/contributors&gt;&lt;titles&gt;&lt;title&gt;The Role of Childhood Health for the Intergenerational Transmission of Human Capital: Evidence from Administrative Data&lt;/title&gt;&lt;secondary-title&gt;&lt;style face="normal" font="default" size="100%"&gt;IZA &lt;/style&gt;&lt;style face="normal" font="default" size="11"&gt;Discussion Paper&lt;/style&gt;&lt;/secondary-title&gt;&lt;/titles&gt;&lt;volume&gt;3646&lt;/volume&gt;&lt;dates&gt;&lt;year&gt;2008&lt;/year&gt;&lt;/dates&gt;&lt;pub-location&gt;Bonn&lt;/pub-location&gt;&lt;publisher&gt;IZA&lt;/publisher&gt;&lt;urls&gt;&lt;/urls&gt;&lt;/record&gt;&lt;/Cite&gt;&lt;/EndNote&gt;</w:instrText>
      </w:r>
      <w:r w:rsidR="00A865E4">
        <w:fldChar w:fldCharType="separate"/>
      </w:r>
      <w:r>
        <w:t>Salm &amp; Schunk 2008</w:t>
      </w:r>
      <w:r w:rsidR="00A865E4">
        <w:fldChar w:fldCharType="end"/>
      </w:r>
      <w:r>
        <w:t>); religion and religiosity (</w:t>
      </w:r>
      <w:r w:rsidR="00A865E4">
        <w:fldChar w:fldCharType="begin"/>
      </w:r>
      <w:r>
        <w:instrText xml:space="preserve"> ADDIN EN.CITE &lt;EndNote&gt;&lt;Cite&gt;&lt;Author&gt;Darnell&lt;/Author&gt;&lt;Year&gt;1997&lt;/Year&gt;&lt;RecNum&gt;86&lt;/RecNum&gt;&lt;record&gt;&lt;rec-number&gt;86&lt;/rec-number&gt;&lt;foreign-keys&gt;&lt;key app="EN" db-id="0sp9t02ao2s908er5duvztshees9x25szs2d"&gt;86&lt;/key&gt;&lt;/foreign-keys&gt;&lt;ref-type name="Journal Article"&gt;17&lt;/ref-type&gt;&lt;contributors&gt;&lt;authors&gt;&lt;author&gt;Darnell, Alfred&lt;/author&gt;&lt;author&gt;Sherkat, Darren E.&lt;/author&gt;&lt;/authors&gt;&lt;/contributors&gt;&lt;titles&gt;&lt;title&gt;The Impact of Protestant Fundamentalism on Educational Attainment&lt;/title&gt;&lt;secondary-title&gt;American Sociological Review&lt;/secondary-title&gt;&lt;/titles&gt;&lt;periodical&gt;&lt;full-title&gt;American Sociological Review&lt;/full-title&gt;&lt;/periodical&gt;&lt;pages&gt;306-315&lt;/pages&gt;&lt;volume&gt;62&lt;/volume&gt;&lt;number&gt;2&lt;/number&gt;&lt;dates&gt;&lt;year&gt;1997&lt;/year&gt;&lt;/dates&gt;&lt;publisher&gt;American Sociological Association&lt;/publisher&gt;&lt;isbn&gt;00031224&lt;/isbn&gt;&lt;urls&gt;&lt;related-urls&gt;&lt;url&gt;http://www.jstor.org/stable/2657306&lt;/url&gt;&lt;/related-urls&gt;&lt;/urls&gt;&lt;/record&gt;&lt;/Cite&gt;&lt;/EndNote&gt;</w:instrText>
      </w:r>
      <w:r w:rsidR="00A865E4">
        <w:fldChar w:fldCharType="separate"/>
      </w:r>
      <w:r>
        <w:t>Darnell &amp; Sherkat 1997</w:t>
      </w:r>
      <w:r w:rsidR="00A865E4">
        <w:fldChar w:fldCharType="end"/>
      </w:r>
      <w:r>
        <w:t xml:space="preserve">; </w:t>
      </w:r>
      <w:r w:rsidR="00A865E4">
        <w:fldChar w:fldCharType="begin"/>
      </w:r>
      <w:r>
        <w:instrText xml:space="preserve"> ADDIN EN.CITE &lt;EndNote&gt;&lt;Cite&gt;&lt;Author&gt;Lehrer&lt;/Author&gt;&lt;Year&gt;2004&lt;/Year&gt;&lt;RecNum&gt;84&lt;/RecNum&gt;&lt;record&gt;&lt;rec-number&gt;84&lt;/rec-number&gt;&lt;foreign-keys&gt;&lt;key app="EN" db-id="0sp9t02ao2s908er5duvztshees9x25szs2d"&gt;84&lt;/key&gt;&lt;/foreign-keys&gt;&lt;ref-type name="Journal Article"&gt;17&lt;/ref-type&gt;&lt;contributors&gt;&lt;authors&gt;&lt;author&gt;Lehrer, Evelyn&lt;/author&gt;&lt;/authors&gt;&lt;/contributors&gt;&lt;titles&gt;&lt;title&gt;Religiosity as a Determinant of Educational Attainment: The Case of Conservative Protestant Women in the United States&lt;/title&gt;&lt;secondary-title&gt;Review of Economics of the Household&lt;/secondary-title&gt;&lt;/titles&gt;&lt;periodical&gt;&lt;full-title&gt;Review of Economics of the Household&lt;/full-title&gt;&lt;/periodical&gt;&lt;pages&gt;203-219&lt;/pages&gt;&lt;volume&gt;2&lt;/volume&gt;&lt;number&gt;2&lt;/number&gt;&lt;dates&gt;&lt;year&gt;2004&lt;/year&gt;&lt;/dates&gt;&lt;urls&gt;&lt;/urls&gt;&lt;/record&gt;&lt;/Cite&gt;&lt;/EndNote&gt;</w:instrText>
      </w:r>
      <w:r w:rsidR="00A865E4">
        <w:fldChar w:fldCharType="separate"/>
      </w:r>
      <w:r>
        <w:t>Lehrer 2004</w:t>
      </w:r>
      <w:r w:rsidR="00A865E4">
        <w:fldChar w:fldCharType="end"/>
      </w:r>
      <w:r w:rsidR="00A57C1F">
        <w:t>,</w:t>
      </w:r>
      <w:r>
        <w:t xml:space="preserve"> 2006); psychological factors such as self-esteem, locus of control, persistence (</w:t>
      </w:r>
      <w:r w:rsidR="00A865E4">
        <w:fldChar w:fldCharType="begin"/>
      </w:r>
      <w:r>
        <w:instrText xml:space="preserve"> ADDIN EN.CITE &lt;EndNote&gt;&lt;Cite&gt;&lt;Author&gt;Barón&lt;/Author&gt;&lt;Year&gt;2009&lt;/Year&gt;&lt;RecNum&gt;114&lt;/RecNum&gt;&lt;record&gt;&lt;rec-number&gt;114&lt;/rec-number&gt;&lt;foreign-keys&gt;&lt;key app="EN" db-id="0sp9t02ao2s908er5duvztshees9x25szs2d"&gt;114&lt;/key&gt;&lt;/foreign-keys&gt;&lt;ref-type name="Journal Article"&gt;17&lt;/ref-type&gt;&lt;contributors&gt;&lt;authors&gt;&lt;author&gt;Barón, Juan D. &lt;/author&gt;&lt;/authors&gt;&lt;/contributors&gt;&lt;titles&gt;&lt;title&gt;Exploring the Factors Associated with Youths’ Educational Outcomes: The Role of Locus of Control and Parental Socio-Economic Background&lt;/title&gt;&lt;secondary-title&gt;Centre for Economic Policy Research Discussion Paper&lt;/secondary-title&gt;&lt;/titles&gt;&lt;volume&gt;598&lt;/volume&gt;&lt;dates&gt;&lt;year&gt;2009&lt;/year&gt;&lt;/dates&gt;&lt;pub-location&gt;Canberra&lt;/pub-location&gt;&lt;publisher&gt;Australian National University&lt;/publisher&gt;&lt;urls&gt;&lt;/urls&gt;&lt;/record&gt;&lt;/Cite&gt;&lt;/EndNote&gt;</w:instrText>
      </w:r>
      <w:r w:rsidR="00A865E4">
        <w:fldChar w:fldCharType="separate"/>
      </w:r>
      <w:r>
        <w:t>Barón 2009</w:t>
      </w:r>
      <w:r w:rsidR="00A865E4">
        <w:fldChar w:fldCharType="end"/>
      </w:r>
      <w:r>
        <w:t xml:space="preserve">; </w:t>
      </w:r>
      <w:r w:rsidR="00A865E4">
        <w:fldChar w:fldCharType="begin"/>
      </w:r>
      <w:r>
        <w:instrText xml:space="preserve"> ADDIN EN.CITE &lt;EndNote&gt;&lt;Cite&gt;&lt;Author&gt;Flouri&lt;/Author&gt;&lt;Year&gt;2006&lt;/Year&gt;&lt;RecNum&gt;87&lt;/RecNum&gt;&lt;record&gt;&lt;rec-number&gt;87&lt;/rec-number&gt;&lt;foreign-keys&gt;&lt;key app="EN" db-id="0sp9t02ao2s908er5duvztshees9x25szs2d"&gt;87&lt;/key&gt;&lt;/foreign-keys&gt;&lt;ref-type name="Journal Article"&gt;17&lt;/ref-type&gt;&lt;contributors&gt;&lt;authors&gt;&lt;author&gt;Flouri, Eirini&lt;/author&gt;&lt;/authors&gt;&lt;/contributors&gt;&lt;titles&gt;&lt;title&gt;Parental interest in children&amp;apos;s education, children&amp;apos;s self-esteem and locus of control, and later educational attainment: Twenty-six year follow-up of the 1970 British Birth Cohort&lt;/title&gt;&lt;secondary-title&gt;British Journal of Educational Psychology&lt;/secondary-title&gt;&lt;/titles&gt;&lt;periodical&gt;&lt;full-title&gt;British Journal of Educational Psychology&lt;/full-title&gt;&lt;/periodical&gt;&lt;pages&gt;41-55&lt;/pages&gt;&lt;volume&gt;76&lt;/volume&gt;&lt;dates&gt;&lt;year&gt;2006&lt;/year&gt;&lt;/dates&gt;&lt;urls&gt;&lt;related-urls&gt;&lt;url&gt;http://www.ingentaconnect.com/content/bpsoc/bjep/2006/00000076/00000001/art00003&lt;/url&gt;&lt;url&gt;http://dx.doi.org/10.1348/000709905X52508&lt;/url&gt;&lt;/related-urls&gt;&lt;/urls&gt;&lt;/record&gt;&lt;/Cite&gt;&lt;/EndNote&gt;</w:instrText>
      </w:r>
      <w:r w:rsidR="00A865E4">
        <w:fldChar w:fldCharType="separate"/>
      </w:r>
      <w:r>
        <w:t>Flouri 2006</w:t>
      </w:r>
      <w:r w:rsidR="00A865E4">
        <w:fldChar w:fldCharType="end"/>
      </w:r>
      <w:r>
        <w:t xml:space="preserve">; </w:t>
      </w:r>
      <w:r w:rsidR="00A865E4">
        <w:fldChar w:fldCharType="begin"/>
      </w:r>
      <w:r>
        <w:instrText xml:space="preserve"> ADDIN EN.CITE &lt;EndNote&gt;&lt;Cite&gt;&lt;Author&gt;Flowers&lt;/Author&gt;&lt;Year&gt;2003&lt;/Year&gt;&lt;RecNum&gt;88&lt;/RecNum&gt;&lt;record&gt;&lt;rec-number&gt;88&lt;/rec-number&gt;&lt;foreign-keys&gt;&lt;key app="EN" db-id="0sp9t02ao2s908er5duvztshees9x25szs2d"&gt;88&lt;/key&gt;&lt;/foreign-keys&gt;&lt;ref-type name="Journal Article"&gt;17&lt;/ref-type&gt;&lt;contributors&gt;&lt;authors&gt;&lt;author&gt;Flowers, Lamont A. &lt;/author&gt;&lt;author&gt;Milner, H. Richard &lt;/author&gt;&lt;author&gt;Moore III, James L. &lt;/author&gt;&lt;/authors&gt;&lt;/contributors&gt;&lt;titles&gt;&lt;title&gt;Effects of Locus of Control on African American High School Seniors&amp;apos; Educational Aspirations: Implications for Preservice and Inservice High School Teachers and Counselors&lt;/title&gt;&lt;secondary-title&gt;High School Journal&lt;/secondary-title&gt;&lt;/titles&gt;&lt;periodical&gt;&lt;full-title&gt;High School Journal&lt;/full-title&gt;&lt;/periodical&gt;&lt;pages&gt;39-50&lt;/pages&gt;&lt;volume&gt;87&lt;/volume&gt;&lt;number&gt;1&lt;/number&gt;&lt;dates&gt;&lt;year&gt;2003&lt;/year&gt;&lt;/dates&gt;&lt;urls&gt;&lt;/urls&gt;&lt;/record&gt;&lt;/Cite&gt;&lt;/EndNote&gt;</w:instrText>
      </w:r>
      <w:r w:rsidR="00A865E4">
        <w:fldChar w:fldCharType="separate"/>
      </w:r>
      <w:r>
        <w:t>Flowers, Milner &amp; Moore 2003</w:t>
      </w:r>
      <w:r w:rsidR="00A865E4">
        <w:fldChar w:fldCharType="end"/>
      </w:r>
      <w:r>
        <w:t xml:space="preserve">; </w:t>
      </w:r>
      <w:r w:rsidR="00A865E4">
        <w:fldChar w:fldCharType="begin"/>
      </w:r>
      <w:r>
        <w:instrText xml:space="preserve"> ADDIN EN.CITE &lt;EndNote&gt;&lt;Cite&gt;&lt;Author&gt;Somers&lt;/Author&gt;&lt;Year&gt;2007&lt;/Year&gt;&lt;RecNum&gt;89&lt;/RecNum&gt;&lt;record&gt;&lt;rec-number&gt;89&lt;/rec-number&gt;&lt;foreign-keys&gt;&lt;key app="EN" db-id="0sp9t02ao2s908er5duvztshees9x25szs2d"&gt;89&lt;/key&gt;&lt;/foreign-keys&gt;&lt;ref-type name="Journal Article"&gt;17&lt;/ref-type&gt;&lt;contributors&gt;&lt;authors&gt;&lt;author&gt;Somers, Cheryl L. &lt;/author&gt;&lt;author&gt;Owens, Delila &lt;/author&gt;&lt;author&gt;Piliawsky, Monte  &lt;/author&gt;&lt;/authors&gt;&lt;/contributors&gt;&lt;titles&gt;&lt;title&gt;Individual and Social Factors Related to Urban African American Adolescents&amp;apos; School Performance &lt;/title&gt;&lt;secondary-title&gt;High School Journal&lt;/secondary-title&gt;&lt;/titles&gt;&lt;periodical&gt;&lt;full-title&gt;High School Journal&lt;/full-title&gt;&lt;/periodical&gt;&lt;pages&gt;1-11&lt;/pages&gt;&lt;volume&gt;91&lt;/volume&gt;&lt;number&gt;3&lt;/number&gt;&lt;dates&gt;&lt;year&gt;2007&lt;/year&gt;&lt;/dates&gt;&lt;urls&gt;&lt;/urls&gt;&lt;/record&gt;&lt;/Cite&gt;&lt;/EndNote&gt;</w:instrText>
      </w:r>
      <w:r w:rsidR="00A865E4">
        <w:fldChar w:fldCharType="separate"/>
      </w:r>
      <w:r>
        <w:t>Somers, Owens &amp; Piliawsky 2007</w:t>
      </w:r>
      <w:r w:rsidR="00A865E4">
        <w:fldChar w:fldCharType="end"/>
      </w:r>
      <w:r>
        <w:t>); and motivation for learning (</w:t>
      </w:r>
      <w:r w:rsidR="00A865E4">
        <w:fldChar w:fldCharType="begin"/>
      </w:r>
      <w:r>
        <w:instrText xml:space="preserve"> ADDIN EN.CITE &lt;EndNote&gt;&lt;Cite&gt;&lt;Author&gt;Kaplan&lt;/Author&gt;&lt;Year&gt;1997&lt;/Year&gt;&lt;RecNum&gt;107&lt;/RecNum&gt;&lt;record&gt;&lt;rec-number&gt;107&lt;/rec-number&gt;&lt;foreign-keys&gt;&lt;key app="EN" db-id="0sp9t02ao2s908er5duvztshees9x25szs2d"&gt;107&lt;/key&gt;&lt;/foreign-keys&gt;&lt;ref-type name="Journal Article"&gt;17&lt;/ref-type&gt;&lt;contributors&gt;&lt;authors&gt;&lt;author&gt;Kaplan, Diane S.&lt;/author&gt;&lt;author&gt;Peck, Mitchell B.&lt;/author&gt;&lt;author&gt;Kaplan, Howard B. &lt;/author&gt;&lt;/authors&gt;&lt;/contributors&gt;&lt;titles&gt;&lt;title&gt;Decomposing the academic failure-dropout relationship: A longitudinal analysis&lt;/title&gt;&lt;secondary-title&gt;Journal of Educational Research&lt;/secondary-title&gt;&lt;/titles&gt;&lt;periodical&gt;&lt;full-title&gt;Journal of Educational Research&lt;/full-title&gt;&lt;/periodical&gt;&lt;pages&gt;331-343&lt;/pages&gt;&lt;volume&gt;90&lt;/volume&gt;&lt;number&gt;6&lt;/number&gt;&lt;dates&gt;&lt;year&gt;1997&lt;/year&gt;&lt;/dates&gt;&lt;urls&gt;&lt;/urls&gt;&lt;/record&gt;&lt;/Cite&gt;&lt;/EndNote&gt;</w:instrText>
      </w:r>
      <w:r w:rsidR="00A865E4">
        <w:fldChar w:fldCharType="separate"/>
      </w:r>
      <w:r>
        <w:t>Kaplan, Peck &amp; Kaplan 1997</w:t>
      </w:r>
      <w:r w:rsidR="00A865E4">
        <w:fldChar w:fldCharType="end"/>
      </w:r>
      <w:r>
        <w:t>).</w:t>
      </w:r>
    </w:p>
    <w:p w:rsidR="001F5702" w:rsidRDefault="001F5702" w:rsidP="001F5702">
      <w:pPr>
        <w:pStyle w:val="Text"/>
      </w:pPr>
      <w:r>
        <w:lastRenderedPageBreak/>
        <w:t>After controlling for individual and family-level characteristics, school quality measures (</w:t>
      </w:r>
      <w:r w:rsidR="00A865E4">
        <w:fldChar w:fldCharType="begin"/>
      </w:r>
      <w:r>
        <w:instrText xml:space="preserve"> ADDIN EN.CITE &lt;EndNote&gt;&lt;Cite&gt;&lt;Author&gt;Aaronson&lt;/Author&gt;&lt;Year&gt;2007&lt;/Year&gt;&lt;RecNum&gt;74&lt;/RecNum&gt;&lt;record&gt;&lt;rec-number&gt;74&lt;/rec-number&gt;&lt;foreign-keys&gt;&lt;key app="EN" db-id="0sp9t02ao2s908er5duvztshees9x25szs2d"&gt;74&lt;/key&gt;&lt;/foreign-keys&gt;&lt;ref-type name="Journal Article"&gt;17&lt;/ref-type&gt;&lt;contributors&gt;&lt;authors&gt;&lt;author&gt;Aaronson, Daniel&lt;/author&gt;&lt;author&gt;Barrow, Lisa&lt;/author&gt;&lt;author&gt;Sander, William&lt;/author&gt;&lt;/authors&gt;&lt;/contributors&gt;&lt;titles&gt;&lt;title&gt;Teachers and Student Achievement in the Chicago Public High Schools&lt;/title&gt;&lt;secondary-title&gt;Journal of Labor Economics&lt;/secondary-title&gt;&lt;/titles&gt;&lt;periodical&gt;&lt;full-title&gt;Journal of Labor Economics&lt;/full-title&gt;&lt;/periodical&gt;&lt;pages&gt;95-135&lt;/pages&gt;&lt;volume&gt;25&lt;/volume&gt;&lt;number&gt;1&lt;/number&gt;&lt;dates&gt;&lt;year&gt;2007&lt;/year&gt;&lt;/dates&gt;&lt;urls&gt;&lt;related-urls&gt;&lt;url&gt;http://www.journals.uchicago.edu/doi/abs/10.1086/508733&lt;/url&gt;&lt;/related-urls&gt;&lt;/urls&gt;&lt;electronic-resource-num&gt;doi:10.1086/508733&lt;/electronic-resource-num&gt;&lt;/record&gt;&lt;/Cite&gt;&lt;/EndNote&gt;</w:instrText>
      </w:r>
      <w:r w:rsidR="00A865E4">
        <w:fldChar w:fldCharType="separate"/>
      </w:r>
      <w:r>
        <w:t>Aaronson, Barrow &amp; Sander 2007</w:t>
      </w:r>
      <w:r w:rsidR="00A865E4">
        <w:fldChar w:fldCharType="end"/>
      </w:r>
      <w:r>
        <w:t xml:space="preserve">; </w:t>
      </w:r>
      <w:r w:rsidR="00A865E4">
        <w:fldChar w:fldCharType="begin"/>
      </w:r>
      <w:r>
        <w:instrText xml:space="preserve"> ADDIN EN.CITE &lt;EndNote&gt;&lt;Cite&gt;&lt;Author&gt;Rivkin&lt;/Author&gt;&lt;Year&gt;2005&lt;/Year&gt;&lt;RecNum&gt;72&lt;/RecNum&gt;&lt;record&gt;&lt;rec-number&gt;72&lt;/rec-number&gt;&lt;foreign-keys&gt;&lt;key app="EN" db-id="0sp9t02ao2s908er5duvztshees9x25szs2d"&gt;72&lt;/key&gt;&lt;/foreign-keys&gt;&lt;ref-type name="Journal Article"&gt;17&lt;/ref-type&gt;&lt;contributors&gt;&lt;authors&gt;&lt;author&gt;Rivkin, Steven G.&lt;/author&gt;&lt;author&gt;Hanushek, Eric A.&lt;/author&gt;&lt;author&gt;Kain, John F.&lt;/author&gt;&lt;/authors&gt;&lt;/contributors&gt;&lt;titles&gt;&lt;title&gt;Teachers, Schools, and Academic Achievement&lt;/title&gt;&lt;secondary-title&gt;Econometrica&lt;/secondary-title&gt;&lt;/titles&gt;&lt;periodical&gt;&lt;full-title&gt;Econometrica&lt;/full-title&gt;&lt;/periodical&gt;&lt;pages&gt;417-458&lt;/pages&gt;&lt;volume&gt;73&lt;/volume&gt;&lt;number&gt;2&lt;/number&gt;&lt;dates&gt;&lt;year&gt;2005&lt;/year&gt;&lt;/dates&gt;&lt;publisher&gt;The Econometric Society&lt;/publisher&gt;&lt;isbn&gt;00129682&lt;/isbn&gt;&lt;urls&gt;&lt;related-urls&gt;&lt;url&gt;http://www.jstor.org/stable/3598793&lt;/url&gt;&lt;/related-urls&gt;&lt;/urls&gt;&lt;/record&gt;&lt;/Cite&gt;&lt;/EndNote&gt;</w:instrText>
      </w:r>
      <w:r w:rsidR="00A865E4">
        <w:fldChar w:fldCharType="separate"/>
      </w:r>
      <w:r>
        <w:t>Rivkin, Hunushek &amp; Kain 2005</w:t>
      </w:r>
      <w:r w:rsidR="00A865E4">
        <w:fldChar w:fldCharType="end"/>
      </w:r>
      <w:r>
        <w:t xml:space="preserve">; </w:t>
      </w:r>
      <w:r w:rsidR="00A865E4">
        <w:fldChar w:fldCharType="begin"/>
      </w:r>
      <w:r>
        <w:instrText xml:space="preserve"> ADDIN EN.CITE &lt;EndNote&gt;&lt;Cite&gt;&lt;Author&gt;Rockoff&lt;/Author&gt;&lt;Year&gt;2004&lt;/Year&gt;&lt;RecNum&gt;73&lt;/RecNum&gt;&lt;record&gt;&lt;rec-number&gt;73&lt;/rec-number&gt;&lt;foreign-keys&gt;&lt;key app="EN" db-id="0sp9t02ao2s908er5duvztshees9x25szs2d"&gt;73&lt;/key&gt;&lt;/foreign-keys&gt;&lt;ref-type name="Journal Article"&gt;17&lt;/ref-type&gt;&lt;contributors&gt;&lt;authors&gt;&lt;author&gt;Rockoff, Jonah E.&lt;/author&gt;&lt;/authors&gt;&lt;/contributors&gt;&lt;titles&gt;&lt;title&gt;The Impact of Individual Teachers on Student Achievement: Evidence from Panel Data&lt;/title&gt;&lt;secondary-title&gt;The American Economic Review&lt;/secondary-title&gt;&lt;/titles&gt;&lt;periodical&gt;&lt;full-title&gt;The American Economic Review&lt;/full-title&gt;&lt;/periodical&gt;&lt;pages&gt;247-252&lt;/pages&gt;&lt;volume&gt;94&lt;/volume&gt;&lt;number&gt;2&lt;/number&gt;&lt;dates&gt;&lt;year&gt;2004&lt;/year&gt;&lt;/dates&gt;&lt;publisher&gt;American Economic Association&lt;/publisher&gt;&lt;isbn&gt;00028282&lt;/isbn&gt;&lt;urls&gt;&lt;related-urls&gt;&lt;url&gt;http://www.jstor.org/stable/3592891&lt;/url&gt;&lt;/related-urls&gt;&lt;/urls&gt;&lt;/record&gt;&lt;/Cite&gt;&lt;/EndNote&gt;</w:instrText>
      </w:r>
      <w:r w:rsidR="00A865E4">
        <w:fldChar w:fldCharType="separate"/>
      </w:r>
      <w:r>
        <w:t>Rockoff 2004</w:t>
      </w:r>
      <w:r w:rsidR="00A865E4">
        <w:fldChar w:fldCharType="end"/>
      </w:r>
      <w:r>
        <w:t>) and socioeconomic status (</w:t>
      </w:r>
      <w:r w:rsidR="00A865E4">
        <w:fldChar w:fldCharType="begin"/>
      </w:r>
      <w:r>
        <w:instrText xml:space="preserve"> ADDIN EN.CITE &lt;EndNote&gt;&lt;Cite&gt;&lt;Author&gt;Crowder&lt;/Author&gt;&lt;Year&gt;2003&lt;/Year&gt;&lt;RecNum&gt;70&lt;/RecNum&gt;&lt;record&gt;&lt;rec-number&gt;70&lt;/rec-number&gt;&lt;foreign-keys&gt;&lt;key app="EN" db-id="0sp9t02ao2s908er5duvztshees9x25szs2d"&gt;70&lt;/key&gt;&lt;/foreign-keys&gt;&lt;ref-type name="Journal Article"&gt;17&lt;/ref-type&gt;&lt;contributors&gt;&lt;authors&gt;&lt;author&gt;Crowder, Kyle&lt;/author&gt;&lt;author&gt;South, Scott J.&lt;/author&gt;&lt;/authors&gt;&lt;/contributors&gt;&lt;titles&gt;&lt;title&gt;Neighborhood distress and school dropout: the variable significance of community context&lt;/title&gt;&lt;secondary-title&gt;Social Science Research&lt;/secondary-title&gt;&lt;/titles&gt;&lt;periodical&gt;&lt;full-title&gt;Social Science Research&lt;/full-title&gt;&lt;/periodical&gt;&lt;pages&gt;659-698&lt;/pages&gt;&lt;volume&gt;32&lt;/volume&gt;&lt;number&gt;4&lt;/number&gt;&lt;keywords&gt;&lt;keyword&gt;Social capital&lt;/keyword&gt;&lt;keyword&gt;Social control&lt;/keyword&gt;&lt;keyword&gt;Collective socialization&lt;/keyword&gt;&lt;keyword&gt;Dropout&lt;/keyword&gt;&lt;keyword&gt;Neighborhood distress&lt;/keyword&gt;&lt;/keywords&gt;&lt;dates&gt;&lt;year&gt;2003&lt;/year&gt;&lt;/dates&gt;&lt;isbn&gt;0049-089X&lt;/isbn&gt;&lt;urls&gt;&lt;related-urls&gt;&lt;url&gt;http://www.sciencedirect.com/science/article/B6WX8-48V91PB-1/2/2cd41e456348180753f66b30dbe21094&lt;/url&gt;&lt;/related-urls&gt;&lt;/urls&gt;&lt;/record&gt;&lt;/Cite&gt;&lt;/EndNote&gt;</w:instrText>
      </w:r>
      <w:r w:rsidR="00A865E4">
        <w:fldChar w:fldCharType="separate"/>
      </w:r>
      <w:r>
        <w:t>Crowder &amp; South 2003</w:t>
      </w:r>
      <w:r w:rsidR="00A865E4">
        <w:fldChar w:fldCharType="end"/>
      </w:r>
      <w:r>
        <w:t xml:space="preserve">; </w:t>
      </w:r>
      <w:r w:rsidR="00A865E4">
        <w:fldChar w:fldCharType="begin"/>
      </w:r>
      <w:r>
        <w:instrText xml:space="preserve"> ADDIN EN.CITE &lt;EndNote&gt;&lt;Cite&gt;&lt;Author&gt;Harding&lt;/Author&gt;&lt;Year&gt;2003&lt;/Year&gt;&lt;RecNum&gt;69&lt;/RecNum&gt;&lt;record&gt;&lt;rec-number&gt;69&lt;/rec-number&gt;&lt;foreign-keys&gt;&lt;key app="EN" db-id="0sp9t02ao2s908er5duvztshees9x25szs2d"&gt;69&lt;/key&gt;&lt;/foreign-keys&gt;&lt;ref-type name="Journal Article"&gt;17&lt;/ref-type&gt;&lt;contributors&gt;&lt;authors&gt;&lt;author&gt;Harding, David J.&lt;/author&gt;&lt;/authors&gt;&lt;/contributors&gt;&lt;titles&gt;&lt;title&gt;Counterfactual Models of Neighborhood Effects: The Effect of Neighborhood Poverty on Dropping Out and Teenage Pregnancy&lt;/title&gt;&lt;secondary-title&gt;American Journal of Sociology&lt;/secondary-title&gt;&lt;/titles&gt;&lt;periodical&gt;&lt;full-title&gt;American Journal of Sociology&lt;/full-title&gt;&lt;/periodical&gt;&lt;pages&gt;676-719&lt;/pages&gt;&lt;volume&gt;109&lt;/volume&gt;&lt;number&gt;3&lt;/number&gt;&lt;dates&gt;&lt;year&gt;2003&lt;/year&gt;&lt;/dates&gt;&lt;urls&gt;&lt;related-urls&gt;&lt;url&gt;http://www.journals.uchicago.edu/doi/abs/10.1086/379217&lt;/url&gt;&lt;/related-urls&gt;&lt;/urls&gt;&lt;electronic-resource-num&gt;doi:10.1086/379217&lt;/electronic-resource-num&gt;&lt;/record&gt;&lt;/Cite&gt;&lt;/EndNote&gt;</w:instrText>
      </w:r>
      <w:r w:rsidR="00A865E4">
        <w:fldChar w:fldCharType="separate"/>
      </w:r>
      <w:r>
        <w:t>Harding 2003</w:t>
      </w:r>
      <w:r w:rsidR="00A865E4">
        <w:fldChar w:fldCharType="end"/>
      </w:r>
      <w:r>
        <w:t xml:space="preserve">; </w:t>
      </w:r>
      <w:r w:rsidR="00A865E4">
        <w:fldChar w:fldCharType="begin"/>
      </w:r>
      <w:r>
        <w:instrText xml:space="preserve"> ADDIN EN.CITE &lt;EndNote&gt;&lt;Cite&gt;&lt;Author&gt;Sykes&lt;/Author&gt;&lt;Year&gt;2009&lt;/Year&gt;&lt;RecNum&gt;71&lt;/RecNum&gt;&lt;record&gt;&lt;rec-number&gt;71&lt;/rec-number&gt;&lt;foreign-keys&gt;&lt;key app="EN" db-id="0sp9t02ao2s908er5duvztshees9x25szs2d"&gt;71&lt;/key&gt;&lt;/foreign-keys&gt;&lt;ref-type name="Journal Article"&gt;17&lt;/ref-type&gt;&lt;contributors&gt;&lt;authors&gt;&lt;author&gt;Sykes, Brooke&lt;/author&gt;&lt;author&gt;Kuyper, Hans &lt;/author&gt;&lt;/authors&gt;&lt;/contributors&gt;&lt;titles&gt;&lt;title&gt;Neighbourhood effects on youth educational achievement in the Netherlands: can effects be identified and do they vary by student background characteristics?&lt;/title&gt;&lt;secondary-title&gt;Environment and Planning&lt;/secondary-title&gt;&lt;/titles&gt;&lt;periodical&gt;&lt;full-title&gt;Environment and Planning&lt;/full-title&gt;&lt;/periodical&gt;&lt;pages&gt;2417-2436&lt;/pages&gt;&lt;volume&gt;41&lt;/volume&gt;&lt;number&gt;10&lt;/number&gt;&lt;dates&gt;&lt;year&gt;2009&lt;/year&gt;&lt;/dates&gt;&lt;urls&gt;&lt;/urls&gt;&lt;/record&gt;&lt;/Cite&gt;&lt;/EndNote&gt;</w:instrText>
      </w:r>
      <w:r w:rsidR="00A865E4">
        <w:fldChar w:fldCharType="separate"/>
      </w:r>
      <w:r>
        <w:t>Sykes &amp; Kuyper 2009</w:t>
      </w:r>
      <w:r w:rsidR="00A865E4">
        <w:fldChar w:fldCharType="end"/>
      </w:r>
      <w:r>
        <w:t xml:space="preserve"> ); safety (</w:t>
      </w:r>
      <w:r w:rsidR="00A865E4">
        <w:fldChar w:fldCharType="begin"/>
      </w:r>
      <w:r>
        <w:instrText xml:space="preserve"> ADDIN EN.CITE &lt;EndNote&gt;&lt;Cite&gt;&lt;Author&gt;Bowen&lt;/Author&gt;&lt;Year&gt;1999&lt;/Year&gt;&lt;RecNum&gt;66&lt;/RecNum&gt;&lt;record&gt;&lt;rec-number&gt;66&lt;/rec-number&gt;&lt;foreign-keys&gt;&lt;key app="EN" db-id="0sp9t02ao2s908er5duvztshees9x25szs2d"&gt;66&lt;/key&gt;&lt;/foreign-keys&gt;&lt;ref-type name="Journal Article"&gt;17&lt;/ref-type&gt;&lt;contributors&gt;&lt;authors&gt;&lt;author&gt;Bowen, Natasha K. &lt;/author&gt;&lt;author&gt;Bowen, Gary L. &lt;/author&gt;&lt;/authors&gt;&lt;/contributors&gt;&lt;titles&gt;&lt;title&gt;Effects of Crime and Violence in Neighborhoods and Schools on the School Behavior and Performance of Adolescents &lt;/title&gt;&lt;secondary-title&gt;Journal of Adolescent Research&lt;/secondary-title&gt;&lt;/titles&gt;&lt;periodical&gt;&lt;full-title&gt;Journal of Adolescent Research&lt;/full-title&gt;&lt;/periodical&gt;&lt;pages&gt;319-342&lt;/pages&gt;&lt;volume&gt;14&lt;/volume&gt;&lt;number&gt;3&lt;/number&gt;&lt;dates&gt;&lt;year&gt;1999&lt;/year&gt;&lt;/dates&gt;&lt;urls&gt;&lt;/urls&gt;&lt;/record&gt;&lt;/Cite&gt;&lt;/EndNote&gt;</w:instrText>
      </w:r>
      <w:r w:rsidR="00A865E4">
        <w:fldChar w:fldCharType="separate"/>
      </w:r>
      <w:r>
        <w:t>Bowen &amp; Bowen 1999</w:t>
      </w:r>
      <w:r w:rsidR="00A865E4">
        <w:fldChar w:fldCharType="end"/>
      </w:r>
      <w:r>
        <w:t xml:space="preserve">; </w:t>
      </w:r>
      <w:r w:rsidR="00A865E4">
        <w:fldChar w:fldCharType="begin">
          <w:fldData xml:space="preserve">PEVuZE5vdGU+PENpdGU+PEF1dGhvcj5IZW5yaWNoPC9BdXRob3I+PFJlY051bT42ODwvUmVjTnVt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</w:fldData>
        </w:fldChar>
      </w:r>
      <w:r>
        <w:instrText xml:space="preserve"> ADDIN EN.CITE </w:instrText>
      </w:r>
      <w:r w:rsidR="00A865E4">
        <w:fldChar w:fldCharType="begin">
          <w:fldData xml:space="preserve">PEVuZE5vdGU+PENpdGU+PEF1dGhvcj5IZW5yaWNoPC9BdXRob3I+PFJlY051bT42ODwvUmVjTnVt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</w:fldData>
        </w:fldChar>
      </w:r>
      <w:r>
        <w:instrText xml:space="preserve"> ADDIN EN.CITE.DATA </w:instrText>
      </w:r>
      <w:r w:rsidR="00A865E4">
        <w:fldChar w:fldCharType="end"/>
      </w:r>
      <w:r w:rsidR="00A865E4">
        <w:fldChar w:fldCharType="separate"/>
      </w:r>
      <w:r>
        <w:t>Henrich et al. 2004 ; Schwartz &amp; Gorman 2003</w:t>
      </w:r>
      <w:r w:rsidR="00A865E4">
        <w:fldChar w:fldCharType="end"/>
      </w:r>
      <w:r>
        <w:t>); ethnic diversity (</w:t>
      </w:r>
      <w:r w:rsidR="00A865E4">
        <w:fldChar w:fldCharType="begin"/>
      </w:r>
      <w:r>
        <w:instrText xml:space="preserve"> ADDIN EN.CITE &lt;EndNote&gt;&lt;Cite&gt;&lt;Author&gt;Betts&lt;/Author&gt;&lt;Year&gt;1997&lt;/Year&gt;&lt;RecNum&gt;64&lt;/RecNum&gt;&lt;record&gt;&lt;rec-number&gt;64&lt;/rec-number&gt;&lt;foreign-keys&gt;&lt;key app="EN" db-id="0sp9t02ao2s908er5duvztshees9x25szs2d"&gt;64&lt;/key&gt;&lt;/foreign-keys&gt;&lt;ref-type name="Report"&gt;27&lt;/ref-type&gt;&lt;contributors&gt;&lt;authors&gt;&lt;author&gt;Betts, Julian R. &lt;/author&gt;&lt;/authors&gt;&lt;/contributors&gt;&lt;titles&gt;&lt;title&gt;Educational Crowding Out: Do Immigrants Affect the Educational Attainment of American Minorities?&lt;/title&gt;&lt;secondary-title&gt;Discussion paper&lt;/secondary-title&gt;&lt;/titles&gt;&lt;volume&gt;98-04&lt;/volume&gt;&lt;dates&gt;&lt;year&gt;1997&lt;/year&gt;&lt;/dates&gt;&lt;pub-location&gt;La Jolla, CA&lt;/pub-location&gt;&lt;publisher&gt;University of California, San Diego&lt;/publisher&gt;&lt;urls&gt;&lt;/urls&gt;&lt;/record&gt;&lt;/Cite&gt;&lt;/EndNote&gt;</w:instrText>
      </w:r>
      <w:r w:rsidR="00A865E4">
        <w:fldChar w:fldCharType="separate"/>
      </w:r>
      <w:r>
        <w:t>Betts 1997</w:t>
      </w:r>
      <w:r w:rsidR="00A865E4">
        <w:fldChar w:fldCharType="end"/>
      </w:r>
      <w:r>
        <w:t xml:space="preserve">; </w:t>
      </w:r>
      <w:r w:rsidR="00A865E4">
        <w:fldChar w:fldCharType="begin"/>
      </w:r>
      <w:r>
        <w:instrText xml:space="preserve"> ADDIN EN.CITE &lt;EndNote&gt;&lt;Cite&gt;&lt;Author&gt;Gould&lt;/Author&gt;&lt;Year&gt;2005&lt;/Year&gt;&lt;RecNum&gt;63&lt;/RecNum&gt;&lt;record&gt;&lt;rec-number&gt;63&lt;/rec-number&gt;&lt;foreign-keys&gt;&lt;key app="EN" db-id="0sp9t02ao2s908er5duvztshees9x25szs2d"&gt;63&lt;/key&gt;&lt;/foreign-keys&gt;&lt;ref-type name="Report"&gt;27&lt;/ref-type&gt;&lt;contributors&gt;&lt;authors&gt;&lt;author&gt;Gould, Eric D. &lt;/author&gt;&lt;author&gt;Lavy, Victor &lt;/author&gt;&lt;author&gt;Paserman, M. Daniele &lt;/author&gt;&lt;/authors&gt;&lt;/contributors&gt;&lt;titles&gt;&lt;title&gt;Does Immigration Affect the Long-Term Educational Outcomes of Natives? Quasi-Experimental Evidence&lt;/title&gt;&lt;secondary-title&gt;&lt;style face="normal" font="default" size="11"&gt;IZA Discussion Paper&lt;/style&gt;&lt;/secondary-title&gt;&lt;/titles&gt;&lt;volume&gt;1883&lt;/volume&gt;&lt;dates&gt;&lt;year&gt;2005&lt;/year&gt;&lt;/dates&gt;&lt;pub-location&gt;Bonn&lt;/pub-location&gt;&lt;publisher&gt;IZA&lt;/publisher&gt;&lt;urls&gt;&lt;/urls&gt;&lt;/record&gt;&lt;/Cite&gt;&lt;/EndNote&gt;</w:instrText>
      </w:r>
      <w:r w:rsidR="00A865E4">
        <w:fldChar w:fldCharType="separate"/>
      </w:r>
      <w:r>
        <w:t>Gould, Lavy &amp; Paserman 2005</w:t>
      </w:r>
      <w:r w:rsidR="00A865E4">
        <w:fldChar w:fldCharType="end"/>
      </w:r>
      <w:r>
        <w:t xml:space="preserve">; </w:t>
      </w:r>
      <w:r w:rsidR="00A865E4">
        <w:fldChar w:fldCharType="begin"/>
      </w:r>
      <w:r>
        <w:instrText xml:space="preserve"> ADDIN EN.CITE &lt;EndNote&gt;&lt;Cite&gt;&lt;Author&gt;Rumberger&lt;/Author&gt;&lt;Year&gt;1992&lt;/Year&gt;&lt;RecNum&gt;65&lt;/RecNum&gt;&lt;record&gt;&lt;rec-number&gt;65&lt;/rec-number&gt;&lt;foreign-keys&gt;&lt;key app="EN" db-id="0sp9t02ao2s908er5duvztshees9x25szs2d"&gt;65&lt;/key&gt;&lt;/foreign-keys&gt;&lt;ref-type name="Journal Article"&gt;17&lt;/ref-type&gt;&lt;contributors&gt;&lt;authors&gt;&lt;author&gt;Rumberger, Russell W. &lt;/author&gt;&lt;author&gt;Willms, J. Douglas &lt;/author&gt;&lt;/authors&gt;&lt;/contributors&gt;&lt;titles&gt;&lt;title&gt;The Impact of Racial and Ethnic Segregation on the Achievement Gap in California High Schools&lt;/title&gt;&lt;secondary-title&gt;Educational Evaluation and Policy Analysis&lt;/secondary-title&gt;&lt;/titles&gt;&lt;periodical&gt;&lt;full-title&gt;Educational Evaluation and Policy Analysis&lt;/full-title&gt;&lt;/periodical&gt;&lt;pages&gt; 377-396&lt;/pages&gt;&lt;volume&gt;14&lt;/volume&gt;&lt;number&gt;4&lt;/number&gt;&lt;dates&gt;&lt;year&gt;1992&lt;/year&gt;&lt;/dates&gt;&lt;urls&gt;&lt;/urls&gt;&lt;/record&gt;&lt;/Cite&gt;&lt;/EndNote&gt;</w:instrText>
      </w:r>
      <w:r w:rsidR="00A865E4">
        <w:fldChar w:fldCharType="separate"/>
      </w:r>
      <w:r>
        <w:t>Rumberger &amp; Willms 1992</w:t>
      </w:r>
      <w:r w:rsidR="00A865E4">
        <w:fldChar w:fldCharType="end"/>
      </w:r>
      <w:r>
        <w:t xml:space="preserve">) and other features of neighbourhoods have also been shown to affect the education attainment of young people. </w:t>
      </w:r>
    </w:p>
    <w:p w:rsidR="001F5702" w:rsidRPr="003562A6" w:rsidRDefault="001F5702" w:rsidP="001F5702">
      <w:pPr>
        <w:pStyle w:val="Text"/>
      </w:pPr>
      <w:r>
        <w:t>In summary, the determinants of school completion have been widely studied in previous studies in different contexts, including in Australia. T</w:t>
      </w:r>
      <w:r w:rsidRPr="00B72094">
        <w:t xml:space="preserve">he measures of disadvantage considered in </w:t>
      </w:r>
      <w:r>
        <w:t>Australian</w:t>
      </w:r>
      <w:r w:rsidRPr="00B72094">
        <w:t xml:space="preserve"> studies have been limited to the standard measures available in the </w:t>
      </w:r>
      <w:r>
        <w:t xml:space="preserve">relevant </w:t>
      </w:r>
      <w:r w:rsidRPr="00B72094">
        <w:t>data</w:t>
      </w:r>
      <w:r>
        <w:t>. Since many studies have r</w:t>
      </w:r>
      <w:r w:rsidRPr="00B72094">
        <w:t>eli</w:t>
      </w:r>
      <w:r>
        <w:t xml:space="preserve">ed </w:t>
      </w:r>
      <w:r w:rsidRPr="00B72094">
        <w:t>on LSAY</w:t>
      </w:r>
      <w:r>
        <w:t xml:space="preserve"> or its predecessors, the measures of disadvantage used have typically involved parental education and occupation-based socioeconomic status measures, and in some cases neighbourhood-based measures. In this study, we are able to exploit data that contain more information on family background (current family income, </w:t>
      </w:r>
      <w:r w:rsidR="00AE1DA5">
        <w:t>income support</w:t>
      </w:r>
      <w:r>
        <w:t xml:space="preserve"> history, </w:t>
      </w:r>
      <w:proofErr w:type="gramStart"/>
      <w:r>
        <w:t>family</w:t>
      </w:r>
      <w:proofErr w:type="gramEnd"/>
      <w:r>
        <w:t xml:space="preserve"> structure history) and aspects of the young people’s earlier experiences of schooling and engagement in risky and/or antisocial behaviour. Since these are factors that international studies indicate are important for school attainment, it is of some interest to see whether the inferences that are drawn about the role of conventional socioeconomic status-related variables change as these other factors are incorporated in our analysis. This is not to say that no previous Australian studies</w:t>
      </w:r>
      <w:r w:rsidRPr="00366916">
        <w:t xml:space="preserve"> have </w:t>
      </w:r>
      <w:r>
        <w:t>identified and studied the impact of</w:t>
      </w:r>
      <w:r w:rsidRPr="00366916">
        <w:t xml:space="preserve"> </w:t>
      </w:r>
      <w:r>
        <w:t>other</w:t>
      </w:r>
      <w:r w:rsidRPr="00366916">
        <w:t xml:space="preserve"> measures</w:t>
      </w:r>
      <w:r>
        <w:t xml:space="preserve"> of </w:t>
      </w:r>
      <w:r w:rsidRPr="00366916">
        <w:t xml:space="preserve">disadvantage </w:t>
      </w:r>
      <w:r>
        <w:t>on school outcomes, but they have been sporadic. There have been studies on the role of substance use, on antisocial behaviour and</w:t>
      </w:r>
      <w:r w:rsidRPr="00366916">
        <w:t xml:space="preserve"> </w:t>
      </w:r>
      <w:r>
        <w:t xml:space="preserve">on the influence of the school environment </w:t>
      </w:r>
      <w:r w:rsidRPr="00366916">
        <w:t>on school completion</w:t>
      </w:r>
      <w:r>
        <w:t>, but these tend to have been limited to smaller contexts (</w:t>
      </w:r>
      <w:r w:rsidR="00A865E4">
        <w:fldChar w:fldCharType="begin"/>
      </w:r>
      <w:r>
        <w:instrText xml:space="preserve"> ADDIN EN.CITE &lt;EndNote&gt;&lt;Cite&gt;&lt;Author&gt;Ainley&lt;/Author&gt;&lt;Year&gt;1991&lt;/Year&gt;&lt;RecNum&gt;26&lt;/RecNum&gt;&lt;record&gt;&lt;rec-number&gt;26&lt;/rec-number&gt;&lt;foreign-keys&gt;&lt;key app="EN" db-id="0sp9t02ao2s908er5duvztshees9x25szs2d"&gt;26&lt;/key&gt;&lt;/foreign-keys&gt;&lt;ref-type name="Journal Article"&gt;17&lt;/ref-type&gt;&lt;contributors&gt;&lt;authors&gt;&lt;author&gt;Ainley, John &lt;/author&gt;&lt;author&gt;Foreman, Jane&lt;/author&gt;&lt;author&gt;Sheret, Michael&lt;/author&gt;&lt;/authors&gt;&lt;/contributors&gt;&lt;titles&gt;&lt;title&gt;High School Factors That Influence Students to Remain in School&lt;/title&gt;&lt;secondary-title&gt;Journal of Education Research&lt;/secondary-title&gt;&lt;/titles&gt;&lt;periodical&gt;&lt;full-title&gt;Journal of Education Research&lt;/full-title&gt;&lt;/periodical&gt;&lt;pages&gt;69-80&lt;/pages&gt;&lt;volume&gt;85&lt;/volume&gt;&lt;number&gt;2&lt;/number&gt;&lt;dates&gt;&lt;year&gt;1991&lt;/year&gt;&lt;/dates&gt;&lt;urls&gt;&lt;/urls&gt;&lt;/record&gt;&lt;/Cite&gt;&lt;/EndNote&gt;</w:instrText>
      </w:r>
      <w:r w:rsidR="00A865E4">
        <w:fldChar w:fldCharType="separate"/>
      </w:r>
      <w:r>
        <w:t>Ainley, Foreman &amp; Sheret 1991</w:t>
      </w:r>
      <w:r w:rsidR="00A865E4">
        <w:fldChar w:fldCharType="end"/>
      </w:r>
      <w:r>
        <w:t xml:space="preserve"> study of New South Wales; </w:t>
      </w:r>
      <w:r w:rsidR="00A865E4">
        <w:fldChar w:fldCharType="begin"/>
      </w:r>
      <w:r>
        <w:instrText xml:space="preserve"> ADDIN EN.CITE &lt;EndNote&gt;&lt;Cite&gt;&lt;Author&gt;Lynskey&lt;/Author&gt;&lt;Year&gt;2003&lt;/Year&gt;&lt;RecNum&gt;22&lt;/RecNum&gt;&lt;record&gt;&lt;rec-number&gt;22&lt;/rec-number&gt;&lt;foreign-keys&gt;&lt;key app="EN" db-id="0sp9t02ao2s908er5duvztshees9x25szs2d"&gt;22&lt;/key&gt;&lt;/foreign-keys&gt;&lt;ref-type name="Journal Article"&gt;17&lt;/ref-type&gt;&lt;contributors&gt;&lt;authors&gt;&lt;author&gt;Lynskey, Michael T.     &lt;/author&gt;&lt;author&gt;Coffey, Carolyn   &lt;/author&gt;&lt;author&gt;Degenhardt, Louisa  &lt;/author&gt;&lt;author&gt;Carlin, John B.   &lt;/author&gt;&lt;author&gt;Patton, George     &lt;/author&gt;&lt;/authors&gt;&lt;/contributors&gt;&lt;titles&gt;&lt;title&gt;A longitudinal study of the effects of adolescent cannabis use on high school completion&lt;/title&gt;&lt;secondary-title&gt;Addiction&lt;/secondary-title&gt;&lt;/titles&gt;&lt;periodical&gt;&lt;full-title&gt;Addiction&lt;/full-title&gt;&lt;/periodical&gt;&lt;pages&gt;685-692&lt;/pages&gt;&lt;volume&gt;98&lt;/volume&gt;&lt;number&gt;5&lt;/number&gt;&lt;dates&gt;&lt;year&gt;2003&lt;/year&gt;&lt;/dates&gt;&lt;urls&gt;&lt;/urls&gt;&lt;/record&gt;&lt;/Cite&gt;&lt;/EndNote&gt;</w:instrText>
      </w:r>
      <w:r w:rsidR="00A865E4">
        <w:fldChar w:fldCharType="separate"/>
      </w:r>
      <w:r>
        <w:t>Lynskey et al. 2003</w:t>
      </w:r>
      <w:r w:rsidR="00A865E4">
        <w:fldChar w:fldCharType="end"/>
      </w:r>
      <w:r>
        <w:t xml:space="preserve"> study of Melbourne; </w:t>
      </w:r>
      <w:r w:rsidR="00A865E4">
        <w:fldChar w:fldCharType="begin"/>
      </w:r>
      <w:r>
        <w:instrText xml:space="preserve"> ADDIN EN.CITE &lt;EndNote&gt;&lt;Cite&gt;&lt;Author&gt;Pitman&lt;/Author&gt;&lt;Year&gt;2002&lt;/Year&gt;&lt;RecNum&gt;28&lt;/RecNum&gt;&lt;record&gt;&lt;rec-number&gt;28&lt;/rec-number&gt;&lt;foreign-keys&gt;&lt;key app="EN" db-id="0sp9t02ao2s908er5duvztshees9x25szs2d"&gt;28&lt;/key&gt;&lt;/foreign-keys&gt;&lt;ref-type name="Report"&gt;27&lt;/ref-type&gt;&lt;contributors&gt;&lt;authors&gt;&lt;author&gt;Pitman, J.&lt;/author&gt;&lt;author&gt;Herschell, P.&lt;/author&gt;&lt;/authors&gt;&lt;/contributors&gt;&lt;titles&gt;&lt;title&gt;The Senior Certificate: A New Deal&lt;/title&gt;&lt;/titles&gt;&lt;dates&gt;&lt;year&gt;2002&lt;/year&gt;&lt;/dates&gt;&lt;pub-location&gt;Brisbane&lt;/pub-location&gt;&lt;publisher&gt;Queensland Department of Education&lt;/publisher&gt;&lt;urls&gt;&lt;/urls&gt;&lt;/record&gt;&lt;/Cite&gt;&lt;/EndNote&gt;</w:instrText>
      </w:r>
      <w:r w:rsidR="00A865E4">
        <w:fldChar w:fldCharType="separate"/>
      </w:r>
      <w:r>
        <w:t>Pitman &amp; Herschell 2002</w:t>
      </w:r>
      <w:r w:rsidR="00A865E4">
        <w:fldChar w:fldCharType="end"/>
      </w:r>
      <w:r>
        <w:t xml:space="preserve"> study of Queensland). </w:t>
      </w:r>
      <w:r w:rsidR="00A865E4">
        <w:fldChar w:fldCharType="begin"/>
      </w:r>
      <w:r>
        <w:instrText xml:space="preserve"> ADDIN EN.CITE &lt;EndNote&gt;&lt;Cite&gt;&lt;Author&gt;Barón&lt;/Author&gt;&lt;Year&gt;2009&lt;/Year&gt;&lt;RecNum&gt;114&lt;/RecNum&gt;&lt;record&gt;&lt;rec-number&gt;114&lt;/rec-number&gt;&lt;foreign-keys&gt;&lt;key app="EN" db-id="0sp9t02ao2s908er5duvztshees9x25szs2d"&gt;114&lt;/key&gt;&lt;/foreign-keys&gt;&lt;ref-type name="Journal Article"&gt;17&lt;/ref-type&gt;&lt;contributors&gt;&lt;authors&gt;&lt;author&gt;Barón, Juan D. &lt;/author&gt;&lt;/authors&gt;&lt;/contributors&gt;&lt;titles&gt;&lt;title&gt;Exploring the Factors Associated with Youths’ Educational Outcomes: The Role of Locus of Control and Parental Socio-Economic Background&lt;/title&gt;&lt;secondary-title&gt;Centre for Economic Policy Research Discussion Paper&lt;/secondary-title&gt;&lt;/titles&gt;&lt;volume&gt;598&lt;/volume&gt;&lt;dates&gt;&lt;year&gt;2009&lt;/year&gt;&lt;/dates&gt;&lt;pub-location&gt;Canberra&lt;/pub-location&gt;&lt;publisher&gt;Australian National University&lt;/publisher&gt;&lt;urls&gt;&lt;/urls&gt;&lt;/record&gt;&lt;/Cite&gt;&lt;/EndNote&gt;</w:instrText>
      </w:r>
      <w:r w:rsidR="00A865E4">
        <w:fldChar w:fldCharType="separate"/>
      </w:r>
      <w:r>
        <w:t>Barón (2009</w:t>
      </w:r>
      <w:r w:rsidR="00A865E4">
        <w:fldChar w:fldCharType="end"/>
      </w:r>
      <w:r>
        <w:t>)</w:t>
      </w:r>
      <w:r w:rsidRPr="003562A6">
        <w:t xml:space="preserve"> studied the role of locus of control on school completion using the </w:t>
      </w:r>
      <w:r w:rsidR="00BF5D5F">
        <w:t>YIF</w:t>
      </w:r>
      <w:r w:rsidRPr="003562A6">
        <w:t xml:space="preserve"> data, finding</w:t>
      </w:r>
      <w:r>
        <w:t>,</w:t>
      </w:r>
      <w:r w:rsidRPr="003562A6">
        <w:t xml:space="preserve"> like earlier studies</w:t>
      </w:r>
      <w:r>
        <w:t>,</w:t>
      </w:r>
      <w:r w:rsidRPr="003562A6">
        <w:t xml:space="preserve"> that those with a more </w:t>
      </w:r>
      <w:r w:rsidRPr="003562A6">
        <w:rPr>
          <w:i/>
        </w:rPr>
        <w:t>internal</w:t>
      </w:r>
      <w:r w:rsidRPr="003562A6">
        <w:t xml:space="preserve"> locus were more likely to complete Year 12, but that this effect was independent of any </w:t>
      </w:r>
      <w:r>
        <w:t>socioeconomic status</w:t>
      </w:r>
      <w:r w:rsidRPr="003562A6">
        <w:t xml:space="preserve"> effect.</w:t>
      </w:r>
      <w:r>
        <w:t xml:space="preserve"> </w:t>
      </w:r>
    </w:p>
    <w:p w:rsidR="001F5702" w:rsidRDefault="001F5702" w:rsidP="001F5702">
      <w:pPr>
        <w:pStyle w:val="Text"/>
      </w:pPr>
      <w:r>
        <w:t>Overall, t</w:t>
      </w:r>
      <w:r w:rsidRPr="00217872">
        <w:t xml:space="preserve">his study </w:t>
      </w:r>
      <w:r>
        <w:t>offers an opportunity to obtain</w:t>
      </w:r>
      <w:r w:rsidRPr="00217872">
        <w:t xml:space="preserve"> a better understanding of differences in school completion by </w:t>
      </w:r>
      <w:r w:rsidR="00FA544D">
        <w:t>undertaking</w:t>
      </w:r>
      <w:r>
        <w:t xml:space="preserve"> a comparative analysis of the traditionally used LSAY data </w:t>
      </w:r>
      <w:r w:rsidR="00FA544D">
        <w:t>and that</w:t>
      </w:r>
      <w:r>
        <w:t xml:space="preserve"> </w:t>
      </w:r>
      <w:r w:rsidR="00FA544D">
        <w:t xml:space="preserve">from </w:t>
      </w:r>
      <w:r>
        <w:t xml:space="preserve">the </w:t>
      </w:r>
      <w:r w:rsidR="00BF5D5F">
        <w:t>YIF</w:t>
      </w:r>
      <w:r>
        <w:t xml:space="preserve"> survey, which has not been used extensiv</w:t>
      </w:r>
      <w:r w:rsidR="00FA544D">
        <w:t>ely in studies of this nature. An analysis such as this will provide</w:t>
      </w:r>
      <w:r>
        <w:t xml:space="preserve"> a robustness test for the previously established linkages between conventional socioeconomic-related disadvantage measures and school completion. Importantly, by allowing some role for an additional set of disadvantage indicators on school completion, we can see the extent to which their inclusion challenges or modifies our understanding of previously established links between traditional measures of disadvantage and school completion. </w:t>
      </w:r>
    </w:p>
    <w:p w:rsidR="001F5702" w:rsidRDefault="001F5702" w:rsidP="001F5702">
      <w:pPr>
        <w:spacing w:before="0"/>
        <w:rPr>
          <w:rFonts w:ascii="Garamond" w:hAnsi="Garamond"/>
          <w:kern w:val="28"/>
          <w:sz w:val="60"/>
        </w:rPr>
      </w:pPr>
      <w:r>
        <w:br w:type="page"/>
      </w:r>
    </w:p>
    <w:p w:rsidR="001F5702" w:rsidRDefault="001F5702" w:rsidP="001F5702">
      <w:pPr>
        <w:pStyle w:val="Heading1"/>
      </w:pPr>
      <w:bookmarkStart w:id="42" w:name="_Toc274390647"/>
      <w:bookmarkStart w:id="43" w:name="_Toc318282960"/>
      <w:bookmarkStart w:id="44" w:name="_Toc324765871"/>
      <w:r>
        <w:lastRenderedPageBreak/>
        <w:t>Data</w:t>
      </w:r>
      <w:bookmarkEnd w:id="42"/>
      <w:bookmarkEnd w:id="43"/>
      <w:bookmarkEnd w:id="44"/>
      <w:r>
        <w:t xml:space="preserve"> </w:t>
      </w:r>
    </w:p>
    <w:p w:rsidR="001F5702" w:rsidRDefault="001F5702" w:rsidP="001F5702">
      <w:pPr>
        <w:pStyle w:val="Text"/>
      </w:pPr>
      <w:r>
        <w:t>This chapter describes</w:t>
      </w:r>
      <w:r w:rsidR="00FA544D">
        <w:t xml:space="preserve"> the</w:t>
      </w:r>
      <w:r>
        <w:t xml:space="preserve"> key features of the data used in this study, providing first of all details on the sources and features of the two main datasets used. Second, it contains an examination of the degree of comparability of the datasets, as well as some analysis of their representativeness of the Australian population of similarly aged young people. To this end, Year 12 completion rates and other features of the data at individual, family, school and locality levels are presented, as well as contrasted with relevant measures from the 2006 Australian Census of Population and Housing, where possible. Finally, this chapter takes a look at the way in which Year 12 completion varies with the selected characteristics of young people in the data as a means of foreshadowing our analysis of the potential role of different dimensions of disadvantage in determining Year 12 completion. </w:t>
      </w:r>
    </w:p>
    <w:p w:rsidR="001F5702" w:rsidRDefault="001F5702" w:rsidP="001F5702">
      <w:pPr>
        <w:pStyle w:val="Heading2"/>
      </w:pPr>
      <w:bookmarkStart w:id="45" w:name="_Toc274390648"/>
      <w:bookmarkStart w:id="46" w:name="_Toc318282961"/>
      <w:bookmarkStart w:id="47" w:name="_Toc324765872"/>
      <w:r>
        <w:t>Sources</w:t>
      </w:r>
      <w:bookmarkEnd w:id="45"/>
      <w:bookmarkEnd w:id="46"/>
      <w:bookmarkEnd w:id="47"/>
      <w:r>
        <w:t xml:space="preserve"> </w:t>
      </w:r>
    </w:p>
    <w:p w:rsidR="001F5702" w:rsidRDefault="001F5702" w:rsidP="001F5702">
      <w:pPr>
        <w:pStyle w:val="Text"/>
      </w:pPr>
      <w:r>
        <w:t>This study relies on two main sources to analyse how Year 12 completion is related to disadvantage</w:t>
      </w:r>
      <w:r w:rsidRPr="005019B9">
        <w:t xml:space="preserve">: the Longitudinal Surveys of Australian Youth (LSAY) and the Youth in Focus (YIF) </w:t>
      </w:r>
      <w:r>
        <w:t>survey</w:t>
      </w:r>
      <w:r w:rsidRPr="005019B9">
        <w:t xml:space="preserve">. </w:t>
      </w:r>
    </w:p>
    <w:p w:rsidR="001F5702" w:rsidRDefault="001F5702" w:rsidP="001F5702">
      <w:pPr>
        <w:pStyle w:val="Text"/>
      </w:pPr>
      <w:r>
        <w:t>LSAY</w:t>
      </w:r>
      <w:r w:rsidRPr="002709C7">
        <w:t xml:space="preserve"> is a program of surveys </w:t>
      </w:r>
      <w:r>
        <w:t>that traces</w:t>
      </w:r>
      <w:r w:rsidRPr="002709C7">
        <w:t xml:space="preserve"> the </w:t>
      </w:r>
      <w:r>
        <w:t>experiences</w:t>
      </w:r>
      <w:r w:rsidRPr="002709C7">
        <w:t xml:space="preserve"> of young people as they move from secondary school into the workforce and tertiary education and training. Information </w:t>
      </w:r>
      <w:r>
        <w:t xml:space="preserve">on </w:t>
      </w:r>
      <w:r w:rsidRPr="002709C7">
        <w:t xml:space="preserve">demographic background and other social </w:t>
      </w:r>
      <w:r>
        <w:t xml:space="preserve">activities and </w:t>
      </w:r>
      <w:r w:rsidRPr="002709C7">
        <w:t>outcomes is also collected. Respondents are first surveyed in the midd</w:t>
      </w:r>
      <w:r>
        <w:t>le years of secondary schooling</w:t>
      </w:r>
      <w:r w:rsidRPr="002709C7">
        <w:t xml:space="preserve"> and </w:t>
      </w:r>
      <w:r>
        <w:t>interviewed</w:t>
      </w:r>
      <w:r w:rsidRPr="002709C7">
        <w:t xml:space="preserve"> each </w:t>
      </w:r>
      <w:r>
        <w:t xml:space="preserve">following </w:t>
      </w:r>
      <w:r w:rsidRPr="002709C7">
        <w:t xml:space="preserve">year for approximately </w:t>
      </w:r>
      <w:r>
        <w:t>ten</w:t>
      </w:r>
      <w:r w:rsidRPr="002709C7">
        <w:t xml:space="preserve"> years. </w:t>
      </w:r>
    </w:p>
    <w:p w:rsidR="001F5702" w:rsidRDefault="001F5702" w:rsidP="001F5702">
      <w:pPr>
        <w:pStyle w:val="Text"/>
      </w:pPr>
      <w:r w:rsidRPr="002709C7">
        <w:t xml:space="preserve">The Y03 LSAY survey </w:t>
      </w:r>
      <w:r>
        <w:t xml:space="preserve">used in this study </w:t>
      </w:r>
      <w:r w:rsidRPr="002709C7">
        <w:t>commenced in 2003, in con</w:t>
      </w:r>
      <w:r>
        <w:t>jun</w:t>
      </w:r>
      <w:r w:rsidRPr="002709C7">
        <w:t>ction with the OECD’s Programme for International Student Assessment (PISA). A nationally</w:t>
      </w:r>
      <w:r>
        <w:t xml:space="preserve"> representative sample of 12</w:t>
      </w:r>
      <w:r w:rsidR="00EC00CB">
        <w:t> </w:t>
      </w:r>
      <w:r>
        <w:t>551 15-year-</w:t>
      </w:r>
      <w:r w:rsidRPr="002709C7">
        <w:t xml:space="preserve">old </w:t>
      </w:r>
      <w:r>
        <w:t xml:space="preserve">Australian school </w:t>
      </w:r>
      <w:r w:rsidRPr="002709C7">
        <w:t>students was selected to participate in PISA. Of th</w:t>
      </w:r>
      <w:r>
        <w:t>ese, 10 </w:t>
      </w:r>
      <w:r w:rsidRPr="002709C7">
        <w:t xml:space="preserve">370 became the LSAY Y03 cohort. This study uses data from students who </w:t>
      </w:r>
      <w:r>
        <w:t>were still in the study in 2006</w:t>
      </w:r>
      <w:r w:rsidRPr="002709C7">
        <w:t xml:space="preserve">. </w:t>
      </w:r>
      <w:r>
        <w:t xml:space="preserve">Consequently, the main sample for analysis is restricted to 7721 young people (table 2 provides details on the sample sizes employed). Subjects in the PISA survey were a 12-month birth cohort born between May 1987 and April 1988. This birth range encompasses the six-month range represented by the </w:t>
      </w:r>
      <w:r w:rsidR="00BF5D5F">
        <w:t>YIF</w:t>
      </w:r>
      <w:r>
        <w:t xml:space="preserve"> sample cohort. Analysis of the Y03 data below reports results for both the ‘full’ Y03 cohort and the birth group that coincides exactly with that of the </w:t>
      </w:r>
      <w:r w:rsidR="00BF5D5F">
        <w:t>YIF</w:t>
      </w:r>
      <w:r>
        <w:t xml:space="preserve"> sample. </w:t>
      </w:r>
    </w:p>
    <w:p w:rsidR="001F5702" w:rsidRDefault="001F5702" w:rsidP="001F5702">
      <w:pPr>
        <w:pStyle w:val="Text"/>
      </w:pPr>
      <w:r>
        <w:t>Features of the original PISA survey design and subsequent sample loss through attrition need to be taken into account in the analysis of the LSAY Y03 data. The original survey design involved a sample stratified by state and by school sector, but also involved the oversampling of Indigenous students.</w:t>
      </w:r>
      <w:r>
        <w:rPr>
          <w:rStyle w:val="FootnoteReference"/>
        </w:rPr>
        <w:footnoteReference w:id="3"/>
      </w:r>
      <w:r>
        <w:t xml:space="preserve"> Weights are therefore provided with the PISA data to weight the achieved sample back to the population of 15-year-old Australian school students. Later drop-out from the sample (from 12 551 to 10 370 in 2003 and attrition from the sample between 2003 and 2006) was greatest among those from more disadvantaged backgrounds and among low</w:t>
      </w:r>
      <w:r w:rsidR="00FA544D">
        <w:t>-</w:t>
      </w:r>
      <w:r>
        <w:t>achievement groups. Weights, somewhat similar to those developed in Rothman (2007), have been developed to deal with attrition from the Y03 data (as described in the accompanying support document available at &lt;http://www.ncver.edu.au/</w:t>
      </w:r>
      <w:r w:rsidR="00A35785">
        <w:t xml:space="preserve"> </w:t>
      </w:r>
      <w:r>
        <w:t xml:space="preserve">publications/2503.html&gt;). These weights are used in generating descriptive statistics and </w:t>
      </w:r>
      <w:r w:rsidR="00A05A99">
        <w:t xml:space="preserve">in </w:t>
      </w:r>
      <w:r>
        <w:t xml:space="preserve">the regression analysis conducted in this paper, such that the results are intended to reflect Year 12 completion patterns in the population.  </w:t>
      </w:r>
    </w:p>
    <w:p w:rsidR="001F5702" w:rsidRPr="00730E26" w:rsidRDefault="001F5702" w:rsidP="001F5702">
      <w:pPr>
        <w:pStyle w:val="Text"/>
      </w:pPr>
      <w:r w:rsidRPr="00730E26">
        <w:lastRenderedPageBreak/>
        <w:t xml:space="preserve">The </w:t>
      </w:r>
      <w:r w:rsidR="00BF5D5F">
        <w:t>YIF</w:t>
      </w:r>
      <w:r w:rsidRPr="00730E26">
        <w:t xml:space="preserve"> survey </w:t>
      </w:r>
      <w:r>
        <w:t xml:space="preserve">is </w:t>
      </w:r>
      <w:r w:rsidRPr="00730E26">
        <w:t xml:space="preserve">managed by the Australian National University (see </w:t>
      </w:r>
      <w:r w:rsidR="00A865E4">
        <w:fldChar w:fldCharType="begin"/>
      </w:r>
      <w:r>
        <w:instrText xml:space="preserve"> ADDIN EN.CITE &lt;EndNote&gt;&lt;Cite&gt;&lt;Author&gt;Breunig&lt;/Author&gt;&lt;Year&gt;2007&lt;/Year&gt;&lt;RecNum&gt;105&lt;/RecNum&gt;&lt;record&gt;&lt;rec-number&gt;105&lt;/rec-number&gt;&lt;foreign-keys&gt;&lt;key app="EN" db-id="0sp9t02ao2s908er5duvztshees9x25szs2d"&gt;105&lt;/key&gt;&lt;/foreign-keys&gt;&lt;ref-type name="Report"&gt;27&lt;/ref-type&gt;&lt;contributors&gt;&lt;authors&gt;&lt;author&gt;Breunig, Robert&lt;/author&gt;&lt;author&gt;Cobb-Clark, Deborah A.&lt;/author&gt;&lt;author&gt;Gørgens, Tue&lt;/author&gt;&lt;author&gt;Sartbayeva, Anastasia&lt;/author&gt;&lt;/authors&gt;&lt;/contributors&gt;&lt;titles&gt;&lt;title&gt;User’s Guide to the Youth in Focus Data Version 1.0&lt;/title&gt;&lt;secondary-title&gt;Youth in Focus Project Discussion Paper Series &lt;/secondary-title&gt;&lt;/titles&gt;&lt;volume&gt;1&lt;/volume&gt;&lt;dates&gt;&lt;year&gt;2007&lt;/year&gt;&lt;/dates&gt;&lt;pub-location&gt;Canberra&lt;/pub-location&gt;&lt;publisher&gt;Australian National University&lt;/publisher&gt;&lt;urls&gt;&lt;/urls&gt;&lt;/record&gt;&lt;/Cite&gt;&lt;/EndNote&gt;</w:instrText>
      </w:r>
      <w:r w:rsidR="00A865E4">
        <w:fldChar w:fldCharType="separate"/>
      </w:r>
      <w:r>
        <w:t>Breunig et al. 2009</w:t>
      </w:r>
      <w:r w:rsidR="00A865E4">
        <w:fldChar w:fldCharType="end"/>
      </w:r>
      <w:r w:rsidRPr="00730E26">
        <w:t xml:space="preserve"> for detailed description of the project). It fo</w:t>
      </w:r>
      <w:r>
        <w:t>cuses on understanding the well</w:t>
      </w:r>
      <w:r w:rsidRPr="00730E26">
        <w:t xml:space="preserve">being </w:t>
      </w:r>
      <w:r>
        <w:t xml:space="preserve">of young people </w:t>
      </w:r>
      <w:r w:rsidRPr="00730E26">
        <w:t>and the</w:t>
      </w:r>
      <w:r>
        <w:t>ir</w:t>
      </w:r>
      <w:r w:rsidRPr="00730E26">
        <w:t xml:space="preserve"> progress </w:t>
      </w:r>
      <w:r>
        <w:t>towards</w:t>
      </w:r>
      <w:r w:rsidRPr="00730E26">
        <w:t xml:space="preserve"> achieving economic and social independe</w:t>
      </w:r>
      <w:r>
        <w:t>nce</w:t>
      </w:r>
      <w:r w:rsidRPr="00730E26">
        <w:t>.</w:t>
      </w:r>
      <w:r>
        <w:t xml:space="preserve"> </w:t>
      </w:r>
      <w:r w:rsidRPr="00730E26">
        <w:t xml:space="preserve">The </w:t>
      </w:r>
      <w:r w:rsidR="00BF5D5F">
        <w:t>YIF</w:t>
      </w:r>
      <w:r w:rsidRPr="00730E26">
        <w:t xml:space="preserve"> </w:t>
      </w:r>
      <w:r>
        <w:t>data uniquely combine</w:t>
      </w:r>
      <w:r w:rsidRPr="00730E26">
        <w:t xml:space="preserve"> </w:t>
      </w:r>
      <w:r w:rsidRPr="00EB3787">
        <w:t xml:space="preserve">historical </w:t>
      </w:r>
      <w:r>
        <w:t xml:space="preserve">government </w:t>
      </w:r>
      <w:r w:rsidRPr="00EB3787">
        <w:t xml:space="preserve">administrative </w:t>
      </w:r>
      <w:r>
        <w:t xml:space="preserve">data </w:t>
      </w:r>
      <w:r w:rsidRPr="00EB3787">
        <w:t xml:space="preserve">on payments </w:t>
      </w:r>
      <w:r w:rsidRPr="00730E26">
        <w:t xml:space="preserve">made </w:t>
      </w:r>
      <w:r w:rsidRPr="00EB3787">
        <w:t xml:space="preserve">to </w:t>
      </w:r>
      <w:r w:rsidRPr="00730E26">
        <w:t xml:space="preserve">the </w:t>
      </w:r>
      <w:r w:rsidRPr="00EB3787">
        <w:t xml:space="preserve">young person </w:t>
      </w:r>
      <w:r w:rsidRPr="00730E26">
        <w:t>and</w:t>
      </w:r>
      <w:r>
        <w:t>/or</w:t>
      </w:r>
      <w:r w:rsidRPr="00730E26">
        <w:t xml:space="preserve"> their </w:t>
      </w:r>
      <w:r w:rsidRPr="00EB3787">
        <w:t xml:space="preserve">family with survey data from both the young person and from one of </w:t>
      </w:r>
      <w:r w:rsidRPr="00730E26">
        <w:t>the</w:t>
      </w:r>
      <w:r>
        <w:t>ir</w:t>
      </w:r>
      <w:r w:rsidRPr="00730E26">
        <w:t xml:space="preserve"> parents (</w:t>
      </w:r>
      <w:r>
        <w:t>typically</w:t>
      </w:r>
      <w:r w:rsidRPr="00730E26">
        <w:t>, the</w:t>
      </w:r>
      <w:r>
        <w:t>ir</w:t>
      </w:r>
      <w:r w:rsidRPr="00730E26">
        <w:t xml:space="preserve"> mother).</w:t>
      </w:r>
      <w:r>
        <w:t xml:space="preserve"> The dataset includes detailed information</w:t>
      </w:r>
      <w:r w:rsidR="00A05A99">
        <w:t>,</w:t>
      </w:r>
      <w:r>
        <w:t xml:space="preserve"> not only on the current state and activities of the young person and the parent, but also on the circumstances under which the young person grew up. </w:t>
      </w:r>
    </w:p>
    <w:p w:rsidR="001F5702" w:rsidRDefault="001F5702" w:rsidP="001F5702">
      <w:pPr>
        <w:pStyle w:val="Text"/>
      </w:pPr>
      <w:r>
        <w:t>As table 2 indicates, t</w:t>
      </w:r>
      <w:r w:rsidRPr="00730E26">
        <w:t>he sample is drawn</w:t>
      </w:r>
      <w:r>
        <w:t xml:space="preserve"> from 4079</w:t>
      </w:r>
      <w:r w:rsidRPr="00730E26">
        <w:t xml:space="preserve"> young people</w:t>
      </w:r>
      <w:r>
        <w:t>, who were interviewed between August and November of 2006. These people were</w:t>
      </w:r>
      <w:r w:rsidRPr="00730E26">
        <w:t xml:space="preserve"> born between October 1987 and March 1988 </w:t>
      </w:r>
      <w:r>
        <w:t xml:space="preserve">and </w:t>
      </w:r>
      <w:r w:rsidRPr="00730E26">
        <w:t xml:space="preserve">had </w:t>
      </w:r>
      <w:r>
        <w:t xml:space="preserve">contact </w:t>
      </w:r>
      <w:r w:rsidRPr="00730E26">
        <w:t xml:space="preserve">with the social security system </w:t>
      </w:r>
      <w:r>
        <w:t xml:space="preserve">in the period </w:t>
      </w:r>
      <w:r w:rsidRPr="00730E26">
        <w:t xml:space="preserve">between 1991 and 2006 as recipients of government payments themselves, or because their </w:t>
      </w:r>
      <w:r w:rsidRPr="00A44095">
        <w:t>par</w:t>
      </w:r>
      <w:r>
        <w:t>ents received payments or child-</w:t>
      </w:r>
      <w:r w:rsidRPr="00A44095">
        <w:t>related allowances and benefits</w:t>
      </w:r>
      <w:r>
        <w:t>. While t</w:t>
      </w:r>
      <w:r w:rsidRPr="00A44095">
        <w:t xml:space="preserve">he data </w:t>
      </w:r>
      <w:r>
        <w:t xml:space="preserve">should </w:t>
      </w:r>
      <w:r w:rsidRPr="00A44095">
        <w:t xml:space="preserve">not </w:t>
      </w:r>
      <w:r>
        <w:t xml:space="preserve">be viewed as </w:t>
      </w:r>
      <w:r w:rsidRPr="00A44095">
        <w:t>representative of young people whose families were at the very</w:t>
      </w:r>
      <w:r>
        <w:t xml:space="preserve"> top of the income distribution and therefore ineligible for, in particular, Family Allowance, a comparison between the </w:t>
      </w:r>
      <w:r w:rsidR="00BF5D5F">
        <w:t>YIF</w:t>
      </w:r>
      <w:r>
        <w:t xml:space="preserve"> sample and the Australian </w:t>
      </w:r>
      <w:r w:rsidR="00296EF2">
        <w:t>Census</w:t>
      </w:r>
      <w:r>
        <w:t xml:space="preserve"> data suggests that the administrative data capture about 98% of the youths born in the period (</w:t>
      </w:r>
      <w:r w:rsidR="00A865E4">
        <w:fldChar w:fldCharType="begin"/>
      </w:r>
      <w:r>
        <w:instrText xml:space="preserve"> ADDIN EN.CITE &lt;EndNote&gt;&lt;Cite&gt;&lt;Author&gt;Breunig&lt;/Author&gt;&lt;Year&gt;2007&lt;/Year&gt;&lt;RecNum&gt;105&lt;/RecNum&gt;&lt;record&gt;&lt;rec-number&gt;105&lt;/rec-number&gt;&lt;foreign-keys&gt;&lt;key app="EN" db-id="0sp9t02ao2s908er5duvztshees9x25szs2d"&gt;105&lt;/key&gt;&lt;/foreign-keys&gt;&lt;ref-type name="Report"&gt;27&lt;/ref-type&gt;&lt;contributors&gt;&lt;authors&gt;&lt;author&gt;Breunig, Robert&lt;/author&gt;&lt;author&gt;Cobb-Clark, Deborah A.&lt;/author&gt;&lt;author&gt;Gørgens, Tue&lt;/author&gt;&lt;author&gt;Sartbayeva, Anastasia&lt;/author&gt;&lt;/authors&gt;&lt;/contributors&gt;&lt;titles&gt;&lt;title&gt;User’s Guide to the Youth in Focus Data Version 1.0&lt;/title&gt;&lt;secondary-title&gt;Youth in Focus Project Discussion Paper Series &lt;/secondary-title&gt;&lt;/titles&gt;&lt;volume&gt;1&lt;/volume&gt;&lt;dates&gt;&lt;year&gt;2007&lt;/year&gt;&lt;/dates&gt;&lt;pub-location&gt;Canberra&lt;/pub-location&gt;&lt;publisher&gt;Australian National University&lt;/publisher&gt;&lt;urls&gt;&lt;/urls&gt;&lt;/record&gt;&lt;/Cite&gt;&lt;/EndNote&gt;</w:instrText>
      </w:r>
      <w:r w:rsidR="00A865E4">
        <w:fldChar w:fldCharType="separate"/>
      </w:r>
      <w:r>
        <w:t>Breunig et al. 2009</w:t>
      </w:r>
      <w:r w:rsidR="00A865E4">
        <w:fldChar w:fldCharType="end"/>
      </w:r>
      <w:r>
        <w:t>). The analysis in this study is restricted to a sub-sample of those whose parent-participant in the interview was their biological mother. As a result, the sample includes a maximum of 1746 observations</w:t>
      </w:r>
      <w:r w:rsidR="00A05A99">
        <w:t>,</w:t>
      </w:r>
      <w:r>
        <w:t xml:space="preserve"> which is less than a half of the matching Y03 sub-sample.</w:t>
      </w:r>
      <w:r w:rsidRPr="00BD62E4">
        <w:rPr>
          <w:vertAlign w:val="superscript"/>
        </w:rPr>
        <w:footnoteReference w:id="4"/>
      </w:r>
      <w:r>
        <w:t xml:space="preserve"> </w:t>
      </w:r>
    </w:p>
    <w:p w:rsidR="001F5702" w:rsidRDefault="001F5702" w:rsidP="001F5702">
      <w:pPr>
        <w:pStyle w:val="Text"/>
      </w:pPr>
      <w:r>
        <w:t xml:space="preserve">The </w:t>
      </w:r>
      <w:r w:rsidR="00BF5D5F">
        <w:t>YIF</w:t>
      </w:r>
      <w:r>
        <w:t xml:space="preserve"> data are based on a stratified sample of the population of young people whose families had received government payments, such that those with the longest histories of receipt of welfare payments were oversampled, and those who received family payments were </w:t>
      </w:r>
      <w:proofErr w:type="spellStart"/>
      <w:r>
        <w:t>undersampled</w:t>
      </w:r>
      <w:proofErr w:type="spellEnd"/>
      <w:r>
        <w:t>. Once more, weights have been used to re-weight the achieved sample back to match the proportions in the actual population of recipients and these weights are used in all of the reported analysis in this</w:t>
      </w:r>
      <w:r w:rsidR="008318B0">
        <w:t> </w:t>
      </w:r>
      <w:r>
        <w:t xml:space="preserve">study. </w:t>
      </w:r>
    </w:p>
    <w:p w:rsidR="001F5702" w:rsidRDefault="001F5702" w:rsidP="001F5702">
      <w:pPr>
        <w:pStyle w:val="Text"/>
      </w:pPr>
      <w:r>
        <w:t>Both the LSAY Y03 and Y</w:t>
      </w:r>
      <w:r w:rsidR="00BF5D5F">
        <w:t>IF</w:t>
      </w:r>
      <w:r>
        <w:t xml:space="preserve"> data include information on Year 12</w:t>
      </w:r>
      <w:r w:rsidRPr="00730E26">
        <w:t xml:space="preserve"> completion of </w:t>
      </w:r>
      <w:r>
        <w:t>young people born at a common time,</w:t>
      </w:r>
      <w:r w:rsidRPr="00730E26">
        <w:t xml:space="preserve"> </w:t>
      </w:r>
      <w:r>
        <w:t>as well as</w:t>
      </w:r>
      <w:r w:rsidRPr="00730E26">
        <w:t xml:space="preserve"> other </w:t>
      </w:r>
      <w:r>
        <w:t xml:space="preserve">overlapping information on </w:t>
      </w:r>
      <w:r w:rsidRPr="00730E26">
        <w:t xml:space="preserve">their </w:t>
      </w:r>
      <w:r>
        <w:t xml:space="preserve">background and experiences of schooling. However, each of the surveys also possesses strengths that the other lacks. In particular, as table 3 indicates, LSAY </w:t>
      </w:r>
      <w:r w:rsidRPr="00730E26">
        <w:t xml:space="preserve">Y03 contains measures of student achievement </w:t>
      </w:r>
      <w:r>
        <w:t xml:space="preserve">from the PISA survey </w:t>
      </w:r>
      <w:r w:rsidRPr="00730E26">
        <w:t xml:space="preserve">that the </w:t>
      </w:r>
      <w:r>
        <w:t>Y</w:t>
      </w:r>
      <w:r w:rsidR="00BF5D5F">
        <w:t>IF</w:t>
      </w:r>
      <w:r>
        <w:t xml:space="preserve"> data do</w:t>
      </w:r>
      <w:r w:rsidRPr="00730E26">
        <w:t xml:space="preserve"> not, while the </w:t>
      </w:r>
      <w:r w:rsidR="00BF5D5F">
        <w:t>YIF</w:t>
      </w:r>
      <w:r w:rsidRPr="00730E26">
        <w:t xml:space="preserve"> </w:t>
      </w:r>
      <w:r w:rsidR="00A05A99">
        <w:t>data have</w:t>
      </w:r>
      <w:r w:rsidRPr="00730E26">
        <w:t xml:space="preserve"> more information on family background factors (current family income, welfare receipt history, family structure history) and aspects of the young pe</w:t>
      </w:r>
      <w:r>
        <w:t>ople</w:t>
      </w:r>
      <w:r w:rsidRPr="00730E26">
        <w:t>’</w:t>
      </w:r>
      <w:r>
        <w:t>s</w:t>
      </w:r>
      <w:r w:rsidRPr="00730E26">
        <w:t xml:space="preserve"> earlier experiences of schooling and </w:t>
      </w:r>
      <w:r>
        <w:t xml:space="preserve">their </w:t>
      </w:r>
      <w:r w:rsidRPr="00730E26">
        <w:t xml:space="preserve">engagement in risky and or anti-social behaviour that </w:t>
      </w:r>
      <w:r>
        <w:t xml:space="preserve">LSAY </w:t>
      </w:r>
      <w:r w:rsidRPr="00730E26">
        <w:t xml:space="preserve">Y03 does not. </w:t>
      </w:r>
    </w:p>
    <w:p w:rsidR="006D431D" w:rsidRDefault="006D431D">
      <w:pPr>
        <w:spacing w:before="0" w:line="240" w:lineRule="auto"/>
        <w:rPr>
          <w:rFonts w:ascii="Tahoma" w:hAnsi="Tahoma"/>
          <w:b/>
          <w:sz w:val="17"/>
        </w:rPr>
      </w:pPr>
      <w:bookmarkStart w:id="48" w:name="_Toc239664657"/>
      <w:bookmarkStart w:id="49" w:name="_Toc323566750"/>
      <w:bookmarkStart w:id="50" w:name="_Toc239664663"/>
      <w:bookmarkStart w:id="51" w:name="_Toc274390649"/>
      <w:r>
        <w:br w:type="page"/>
      </w:r>
    </w:p>
    <w:p w:rsidR="001F5702" w:rsidRPr="0031761A" w:rsidRDefault="001F5702" w:rsidP="006D431D">
      <w:pPr>
        <w:pStyle w:val="tabletitle"/>
      </w:pPr>
      <w:bookmarkStart w:id="52" w:name="_Toc324765897"/>
      <w:r w:rsidRPr="00C2775E">
        <w:lastRenderedPageBreak/>
        <w:t xml:space="preserve">Table </w:t>
      </w:r>
      <w:r>
        <w:t>2</w:t>
      </w:r>
      <w:r w:rsidRPr="00C2775E">
        <w:tab/>
      </w:r>
      <w:r>
        <w:t xml:space="preserve">Sample sizes: Youth in </w:t>
      </w:r>
      <w:r w:rsidRPr="006D431D">
        <w:t>Focus</w:t>
      </w:r>
      <w:r>
        <w:t xml:space="preserve"> and LSAY Y03</w:t>
      </w:r>
      <w:bookmarkEnd w:id="48"/>
      <w:bookmarkEnd w:id="49"/>
      <w:bookmarkEnd w:id="52"/>
      <w:r>
        <w:t xml:space="preserve"> </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36"/>
        <w:gridCol w:w="2126"/>
        <w:gridCol w:w="2127"/>
      </w:tblGrid>
      <w:tr w:rsidR="001F5702" w:rsidRPr="00D41A46" w:rsidTr="006D431D">
        <w:tc>
          <w:tcPr>
            <w:tcW w:w="4536" w:type="dxa"/>
            <w:tcBorders>
              <w:top w:val="single" w:sz="4" w:space="0" w:color="auto"/>
              <w:left w:val="nil"/>
              <w:bottom w:val="single" w:sz="4" w:space="0" w:color="auto"/>
              <w:right w:val="nil"/>
            </w:tcBorders>
            <w:vAlign w:val="bottom"/>
          </w:tcPr>
          <w:p w:rsidR="001F5702" w:rsidRPr="0031761A" w:rsidRDefault="001F5702" w:rsidP="006D431D">
            <w:pPr>
              <w:pStyle w:val="Tablehead1"/>
            </w:pPr>
          </w:p>
        </w:tc>
        <w:tc>
          <w:tcPr>
            <w:tcW w:w="2126" w:type="dxa"/>
            <w:tcBorders>
              <w:top w:val="single" w:sz="4" w:space="0" w:color="auto"/>
              <w:left w:val="nil"/>
              <w:bottom w:val="single" w:sz="4" w:space="0" w:color="auto"/>
              <w:right w:val="nil"/>
            </w:tcBorders>
          </w:tcPr>
          <w:p w:rsidR="001F5702" w:rsidRPr="0031761A" w:rsidRDefault="001F5702" w:rsidP="006D431D">
            <w:pPr>
              <w:pStyle w:val="Tablehead1"/>
              <w:jc w:val="center"/>
            </w:pPr>
            <w:r>
              <w:t>LSAY Y03</w:t>
            </w:r>
          </w:p>
        </w:tc>
        <w:tc>
          <w:tcPr>
            <w:tcW w:w="2127" w:type="dxa"/>
            <w:tcBorders>
              <w:top w:val="single" w:sz="4" w:space="0" w:color="auto"/>
              <w:left w:val="nil"/>
              <w:bottom w:val="single" w:sz="4" w:space="0" w:color="auto"/>
              <w:right w:val="nil"/>
            </w:tcBorders>
          </w:tcPr>
          <w:p w:rsidR="001F5702" w:rsidRPr="0031761A" w:rsidRDefault="001F5702" w:rsidP="006D431D">
            <w:pPr>
              <w:pStyle w:val="Tablehead1"/>
              <w:jc w:val="center"/>
            </w:pPr>
            <w:r>
              <w:t>Youth in Focus</w:t>
            </w:r>
          </w:p>
        </w:tc>
      </w:tr>
      <w:tr w:rsidR="001F5702" w:rsidRPr="006D431D" w:rsidTr="006D431D">
        <w:tc>
          <w:tcPr>
            <w:tcW w:w="4536" w:type="dxa"/>
            <w:tcBorders>
              <w:top w:val="single" w:sz="4" w:space="0" w:color="auto"/>
              <w:left w:val="nil"/>
              <w:bottom w:val="nil"/>
              <w:right w:val="nil"/>
            </w:tcBorders>
            <w:shd w:val="clear" w:color="auto" w:fill="auto"/>
            <w:vAlign w:val="bottom"/>
          </w:tcPr>
          <w:p w:rsidR="001F5702" w:rsidRPr="006D431D" w:rsidRDefault="001F5702" w:rsidP="006D431D">
            <w:pPr>
              <w:pStyle w:val="Tabletext"/>
              <w:rPr>
                <w:b/>
              </w:rPr>
            </w:pPr>
            <w:r w:rsidRPr="006D431D">
              <w:rPr>
                <w:b/>
              </w:rPr>
              <w:t>LSAY</w:t>
            </w:r>
          </w:p>
        </w:tc>
        <w:tc>
          <w:tcPr>
            <w:tcW w:w="2126" w:type="dxa"/>
            <w:tcBorders>
              <w:top w:val="single" w:sz="4" w:space="0" w:color="auto"/>
              <w:left w:val="nil"/>
              <w:bottom w:val="nil"/>
              <w:right w:val="nil"/>
            </w:tcBorders>
            <w:shd w:val="clear" w:color="auto" w:fill="auto"/>
            <w:vAlign w:val="bottom"/>
          </w:tcPr>
          <w:p w:rsidR="001F5702" w:rsidRPr="006D431D" w:rsidRDefault="001F5702" w:rsidP="006D431D">
            <w:pPr>
              <w:pStyle w:val="Tabletext"/>
            </w:pPr>
          </w:p>
        </w:tc>
        <w:tc>
          <w:tcPr>
            <w:tcW w:w="2127" w:type="dxa"/>
            <w:tcBorders>
              <w:top w:val="single" w:sz="4" w:space="0" w:color="auto"/>
              <w:left w:val="nil"/>
              <w:bottom w:val="nil"/>
              <w:right w:val="nil"/>
            </w:tcBorders>
            <w:shd w:val="clear" w:color="auto" w:fill="auto"/>
            <w:vAlign w:val="bottom"/>
          </w:tcPr>
          <w:p w:rsidR="001F5702" w:rsidRPr="006D431D" w:rsidRDefault="001F5702" w:rsidP="006D431D">
            <w:pPr>
              <w:pStyle w:val="Tabletext"/>
            </w:pPr>
          </w:p>
        </w:tc>
      </w:tr>
      <w:tr w:rsidR="001F5702" w:rsidRPr="006D431D" w:rsidTr="006D431D">
        <w:tc>
          <w:tcPr>
            <w:tcW w:w="4536" w:type="dxa"/>
            <w:tcBorders>
              <w:top w:val="nil"/>
              <w:left w:val="nil"/>
              <w:bottom w:val="nil"/>
              <w:right w:val="nil"/>
            </w:tcBorders>
            <w:vAlign w:val="bottom"/>
          </w:tcPr>
          <w:p w:rsidR="001F5702" w:rsidRPr="006D431D" w:rsidRDefault="001F5702" w:rsidP="006D431D">
            <w:pPr>
              <w:pStyle w:val="Tabletext"/>
            </w:pPr>
            <w:r w:rsidRPr="006D431D">
              <w:t>Full PISA sample in 2003</w:t>
            </w:r>
          </w:p>
        </w:tc>
        <w:tc>
          <w:tcPr>
            <w:tcW w:w="2126" w:type="dxa"/>
            <w:tcBorders>
              <w:top w:val="nil"/>
              <w:left w:val="nil"/>
              <w:bottom w:val="nil"/>
              <w:right w:val="nil"/>
            </w:tcBorders>
          </w:tcPr>
          <w:p w:rsidR="001F5702" w:rsidRPr="006D431D" w:rsidRDefault="001F5702" w:rsidP="006D431D">
            <w:pPr>
              <w:pStyle w:val="Tabletext"/>
              <w:ind w:right="680"/>
              <w:jc w:val="right"/>
            </w:pPr>
            <w:r w:rsidRPr="006D431D">
              <w:t>12 551</w:t>
            </w:r>
          </w:p>
        </w:tc>
        <w:tc>
          <w:tcPr>
            <w:tcW w:w="2127" w:type="dxa"/>
            <w:tcBorders>
              <w:top w:val="nil"/>
              <w:left w:val="nil"/>
              <w:bottom w:val="nil"/>
              <w:right w:val="nil"/>
            </w:tcBorders>
          </w:tcPr>
          <w:p w:rsidR="001F5702" w:rsidRPr="006D431D" w:rsidRDefault="001F5702" w:rsidP="006D431D">
            <w:pPr>
              <w:pStyle w:val="Tabletext"/>
              <w:jc w:val="center"/>
            </w:pPr>
            <w:r w:rsidRPr="006D431D">
              <w:t>-</w:t>
            </w:r>
          </w:p>
        </w:tc>
      </w:tr>
      <w:tr w:rsidR="001F5702" w:rsidRPr="006D431D" w:rsidTr="006D431D">
        <w:tc>
          <w:tcPr>
            <w:tcW w:w="4536" w:type="dxa"/>
            <w:tcBorders>
              <w:top w:val="nil"/>
              <w:left w:val="nil"/>
              <w:bottom w:val="nil"/>
              <w:right w:val="nil"/>
            </w:tcBorders>
            <w:vAlign w:val="bottom"/>
          </w:tcPr>
          <w:p w:rsidR="001F5702" w:rsidRPr="006D431D" w:rsidRDefault="001F5702" w:rsidP="006D431D">
            <w:pPr>
              <w:pStyle w:val="Tabletext"/>
            </w:pPr>
            <w:r w:rsidRPr="006D431D">
              <w:t>LSAY in 2003</w:t>
            </w:r>
          </w:p>
        </w:tc>
        <w:tc>
          <w:tcPr>
            <w:tcW w:w="2126" w:type="dxa"/>
            <w:tcBorders>
              <w:top w:val="nil"/>
              <w:left w:val="nil"/>
              <w:bottom w:val="nil"/>
              <w:right w:val="nil"/>
            </w:tcBorders>
          </w:tcPr>
          <w:p w:rsidR="001F5702" w:rsidRPr="006D431D" w:rsidRDefault="001F5702" w:rsidP="006D431D">
            <w:pPr>
              <w:pStyle w:val="Tabletext"/>
              <w:ind w:right="680"/>
              <w:jc w:val="right"/>
            </w:pPr>
            <w:r w:rsidRPr="006D431D">
              <w:t>10 370</w:t>
            </w:r>
          </w:p>
        </w:tc>
        <w:tc>
          <w:tcPr>
            <w:tcW w:w="2127" w:type="dxa"/>
            <w:tcBorders>
              <w:top w:val="nil"/>
              <w:left w:val="nil"/>
              <w:bottom w:val="nil"/>
              <w:right w:val="nil"/>
            </w:tcBorders>
          </w:tcPr>
          <w:p w:rsidR="001F5702" w:rsidRPr="006D431D" w:rsidRDefault="001F5702" w:rsidP="006D431D">
            <w:pPr>
              <w:pStyle w:val="Tabletext"/>
              <w:jc w:val="center"/>
            </w:pPr>
            <w:r w:rsidRPr="006D431D">
              <w:t>-</w:t>
            </w:r>
          </w:p>
        </w:tc>
      </w:tr>
      <w:tr w:rsidR="001F5702" w:rsidRPr="006D431D" w:rsidTr="006D431D">
        <w:tc>
          <w:tcPr>
            <w:tcW w:w="4536" w:type="dxa"/>
            <w:tcBorders>
              <w:top w:val="nil"/>
              <w:left w:val="nil"/>
              <w:bottom w:val="nil"/>
              <w:right w:val="nil"/>
            </w:tcBorders>
            <w:vAlign w:val="bottom"/>
          </w:tcPr>
          <w:p w:rsidR="001F5702" w:rsidRPr="006D431D" w:rsidRDefault="001F5702" w:rsidP="006D431D">
            <w:pPr>
              <w:pStyle w:val="Tabletext"/>
            </w:pPr>
            <w:r w:rsidRPr="006D431D">
              <w:t>LSAY respondents in 2006</w:t>
            </w:r>
          </w:p>
        </w:tc>
        <w:tc>
          <w:tcPr>
            <w:tcW w:w="2126" w:type="dxa"/>
            <w:tcBorders>
              <w:top w:val="nil"/>
              <w:left w:val="nil"/>
              <w:bottom w:val="nil"/>
              <w:right w:val="nil"/>
            </w:tcBorders>
          </w:tcPr>
          <w:p w:rsidR="001F5702" w:rsidRPr="006D431D" w:rsidRDefault="001F5702" w:rsidP="006D431D">
            <w:pPr>
              <w:pStyle w:val="Tabletext"/>
              <w:ind w:right="680"/>
              <w:jc w:val="right"/>
            </w:pPr>
            <w:r w:rsidRPr="006D431D">
              <w:t>7 721</w:t>
            </w:r>
          </w:p>
        </w:tc>
        <w:tc>
          <w:tcPr>
            <w:tcW w:w="2127" w:type="dxa"/>
            <w:tcBorders>
              <w:top w:val="nil"/>
              <w:left w:val="nil"/>
              <w:bottom w:val="nil"/>
              <w:right w:val="nil"/>
            </w:tcBorders>
          </w:tcPr>
          <w:p w:rsidR="001F5702" w:rsidRPr="006D431D" w:rsidRDefault="001F5702" w:rsidP="006D431D">
            <w:pPr>
              <w:pStyle w:val="Tabletext"/>
              <w:jc w:val="center"/>
            </w:pPr>
            <w:r w:rsidRPr="006D431D">
              <w:t>-</w:t>
            </w:r>
          </w:p>
        </w:tc>
      </w:tr>
      <w:tr w:rsidR="001F5702" w:rsidRPr="006D431D" w:rsidTr="006D431D">
        <w:tc>
          <w:tcPr>
            <w:tcW w:w="4536" w:type="dxa"/>
            <w:tcBorders>
              <w:top w:val="nil"/>
              <w:left w:val="nil"/>
              <w:bottom w:val="nil"/>
              <w:right w:val="nil"/>
            </w:tcBorders>
            <w:vAlign w:val="bottom"/>
          </w:tcPr>
          <w:p w:rsidR="001F5702" w:rsidRPr="006D431D" w:rsidRDefault="001F5702" w:rsidP="006D431D">
            <w:pPr>
              <w:pStyle w:val="Tabletext"/>
            </w:pPr>
            <w:r w:rsidRPr="006D431D">
              <w:t>LSAY respondents in 2006 from same birth months as the Youth in Focus sample</w:t>
            </w:r>
          </w:p>
        </w:tc>
        <w:tc>
          <w:tcPr>
            <w:tcW w:w="2126" w:type="dxa"/>
            <w:tcBorders>
              <w:top w:val="nil"/>
              <w:left w:val="nil"/>
              <w:bottom w:val="nil"/>
              <w:right w:val="nil"/>
            </w:tcBorders>
          </w:tcPr>
          <w:p w:rsidR="001F5702" w:rsidRPr="006D431D" w:rsidRDefault="001F5702" w:rsidP="006D431D">
            <w:pPr>
              <w:pStyle w:val="Tabletext"/>
              <w:ind w:right="680"/>
              <w:jc w:val="right"/>
            </w:pPr>
            <w:r w:rsidRPr="006D431D">
              <w:t>3 975</w:t>
            </w:r>
          </w:p>
        </w:tc>
        <w:tc>
          <w:tcPr>
            <w:tcW w:w="2127" w:type="dxa"/>
            <w:tcBorders>
              <w:top w:val="nil"/>
              <w:left w:val="nil"/>
              <w:bottom w:val="nil"/>
              <w:right w:val="nil"/>
            </w:tcBorders>
          </w:tcPr>
          <w:p w:rsidR="001F5702" w:rsidRPr="006D431D" w:rsidRDefault="001F5702" w:rsidP="006D431D">
            <w:pPr>
              <w:pStyle w:val="Tabletext"/>
              <w:jc w:val="center"/>
            </w:pPr>
            <w:r w:rsidRPr="006D431D">
              <w:t>-</w:t>
            </w:r>
          </w:p>
        </w:tc>
      </w:tr>
      <w:tr w:rsidR="001F5702" w:rsidRPr="006D431D" w:rsidTr="006D431D">
        <w:trPr>
          <w:trHeight w:val="337"/>
        </w:trPr>
        <w:tc>
          <w:tcPr>
            <w:tcW w:w="4536" w:type="dxa"/>
            <w:tcBorders>
              <w:top w:val="nil"/>
              <w:left w:val="nil"/>
              <w:bottom w:val="nil"/>
              <w:right w:val="nil"/>
            </w:tcBorders>
            <w:shd w:val="clear" w:color="auto" w:fill="auto"/>
            <w:vAlign w:val="bottom"/>
          </w:tcPr>
          <w:p w:rsidR="001F5702" w:rsidRPr="006D431D" w:rsidRDefault="001F5702" w:rsidP="006D431D">
            <w:pPr>
              <w:pStyle w:val="Tabletext"/>
              <w:rPr>
                <w:b/>
              </w:rPr>
            </w:pPr>
            <w:r w:rsidRPr="006D431D">
              <w:rPr>
                <w:b/>
              </w:rPr>
              <w:t>Youth in Focus</w:t>
            </w:r>
          </w:p>
        </w:tc>
        <w:tc>
          <w:tcPr>
            <w:tcW w:w="2126" w:type="dxa"/>
            <w:tcBorders>
              <w:top w:val="nil"/>
              <w:left w:val="nil"/>
              <w:bottom w:val="nil"/>
              <w:right w:val="nil"/>
            </w:tcBorders>
            <w:shd w:val="clear" w:color="auto" w:fill="auto"/>
            <w:vAlign w:val="bottom"/>
          </w:tcPr>
          <w:p w:rsidR="001F5702" w:rsidRPr="006D431D" w:rsidRDefault="001F5702" w:rsidP="006D431D">
            <w:pPr>
              <w:pStyle w:val="Tabletext"/>
            </w:pPr>
          </w:p>
        </w:tc>
        <w:tc>
          <w:tcPr>
            <w:tcW w:w="2127" w:type="dxa"/>
            <w:tcBorders>
              <w:top w:val="nil"/>
              <w:left w:val="nil"/>
              <w:bottom w:val="nil"/>
              <w:right w:val="nil"/>
            </w:tcBorders>
            <w:shd w:val="clear" w:color="auto" w:fill="auto"/>
            <w:vAlign w:val="bottom"/>
          </w:tcPr>
          <w:p w:rsidR="001F5702" w:rsidRPr="006D431D" w:rsidRDefault="001F5702" w:rsidP="006D431D">
            <w:pPr>
              <w:pStyle w:val="Tabletext"/>
            </w:pPr>
          </w:p>
        </w:tc>
      </w:tr>
      <w:tr w:rsidR="001F5702" w:rsidRPr="006D431D" w:rsidTr="006D431D">
        <w:trPr>
          <w:trHeight w:val="68"/>
        </w:trPr>
        <w:tc>
          <w:tcPr>
            <w:tcW w:w="4536" w:type="dxa"/>
            <w:tcBorders>
              <w:top w:val="nil"/>
              <w:left w:val="nil"/>
              <w:bottom w:val="nil"/>
              <w:right w:val="nil"/>
            </w:tcBorders>
            <w:vAlign w:val="bottom"/>
          </w:tcPr>
          <w:p w:rsidR="001F5702" w:rsidRPr="006D431D" w:rsidRDefault="001F5702" w:rsidP="006D431D">
            <w:pPr>
              <w:pStyle w:val="Tabletext"/>
            </w:pPr>
            <w:r w:rsidRPr="006D431D">
              <w:t>Youth in Focus respondents in 2006</w:t>
            </w:r>
          </w:p>
        </w:tc>
        <w:tc>
          <w:tcPr>
            <w:tcW w:w="2126" w:type="dxa"/>
            <w:tcBorders>
              <w:top w:val="nil"/>
              <w:left w:val="nil"/>
              <w:bottom w:val="nil"/>
              <w:right w:val="nil"/>
            </w:tcBorders>
            <w:vAlign w:val="bottom"/>
          </w:tcPr>
          <w:p w:rsidR="001F5702" w:rsidRPr="006D431D" w:rsidRDefault="001F5702" w:rsidP="006D431D">
            <w:pPr>
              <w:pStyle w:val="Tabletext"/>
              <w:jc w:val="center"/>
            </w:pPr>
            <w:r w:rsidRPr="006D431D">
              <w:t>-</w:t>
            </w:r>
          </w:p>
        </w:tc>
        <w:tc>
          <w:tcPr>
            <w:tcW w:w="2127" w:type="dxa"/>
            <w:tcBorders>
              <w:top w:val="nil"/>
              <w:left w:val="nil"/>
              <w:bottom w:val="nil"/>
              <w:right w:val="nil"/>
            </w:tcBorders>
          </w:tcPr>
          <w:p w:rsidR="001F5702" w:rsidRPr="006D431D" w:rsidRDefault="001F5702" w:rsidP="006D431D">
            <w:pPr>
              <w:pStyle w:val="Tabletext"/>
              <w:ind w:right="680"/>
              <w:jc w:val="right"/>
            </w:pPr>
            <w:r w:rsidRPr="006D431D">
              <w:t>4 079</w:t>
            </w:r>
          </w:p>
        </w:tc>
      </w:tr>
      <w:tr w:rsidR="001F5702" w:rsidRPr="006D431D" w:rsidTr="006D431D">
        <w:tc>
          <w:tcPr>
            <w:tcW w:w="4536" w:type="dxa"/>
            <w:tcBorders>
              <w:top w:val="nil"/>
              <w:left w:val="nil"/>
              <w:bottom w:val="nil"/>
              <w:right w:val="nil"/>
            </w:tcBorders>
            <w:vAlign w:val="bottom"/>
          </w:tcPr>
          <w:p w:rsidR="001F5702" w:rsidRPr="006D431D" w:rsidRDefault="001F5702" w:rsidP="006D431D">
            <w:pPr>
              <w:pStyle w:val="Tabletext"/>
            </w:pPr>
            <w:r w:rsidRPr="006D431D">
              <w:t>Parent respondents in 2006</w:t>
            </w:r>
          </w:p>
        </w:tc>
        <w:tc>
          <w:tcPr>
            <w:tcW w:w="2126" w:type="dxa"/>
            <w:tcBorders>
              <w:top w:val="nil"/>
              <w:left w:val="nil"/>
              <w:bottom w:val="nil"/>
              <w:right w:val="nil"/>
            </w:tcBorders>
            <w:vAlign w:val="center"/>
          </w:tcPr>
          <w:p w:rsidR="001F5702" w:rsidRPr="006D431D" w:rsidRDefault="001F5702" w:rsidP="006D431D">
            <w:pPr>
              <w:pStyle w:val="Tabletext"/>
              <w:jc w:val="center"/>
            </w:pPr>
            <w:r w:rsidRPr="006D431D">
              <w:t>-</w:t>
            </w:r>
          </w:p>
        </w:tc>
        <w:tc>
          <w:tcPr>
            <w:tcW w:w="2127" w:type="dxa"/>
            <w:tcBorders>
              <w:top w:val="nil"/>
              <w:left w:val="nil"/>
              <w:bottom w:val="nil"/>
              <w:right w:val="nil"/>
            </w:tcBorders>
          </w:tcPr>
          <w:p w:rsidR="001F5702" w:rsidRPr="006D431D" w:rsidRDefault="001F5702" w:rsidP="006D431D">
            <w:pPr>
              <w:pStyle w:val="Tabletext"/>
              <w:ind w:right="680"/>
              <w:jc w:val="right"/>
            </w:pPr>
            <w:r w:rsidRPr="006D431D">
              <w:t>3 964</w:t>
            </w:r>
          </w:p>
        </w:tc>
      </w:tr>
      <w:tr w:rsidR="001F5702" w:rsidRPr="006D431D" w:rsidTr="006D431D">
        <w:tc>
          <w:tcPr>
            <w:tcW w:w="4536" w:type="dxa"/>
            <w:tcBorders>
              <w:top w:val="nil"/>
              <w:left w:val="nil"/>
              <w:bottom w:val="nil"/>
              <w:right w:val="nil"/>
            </w:tcBorders>
            <w:vAlign w:val="bottom"/>
          </w:tcPr>
          <w:p w:rsidR="001F5702" w:rsidRPr="006D431D" w:rsidRDefault="001F5702" w:rsidP="006D431D">
            <w:pPr>
              <w:pStyle w:val="Tabletext"/>
            </w:pPr>
            <w:r w:rsidRPr="006D431D">
              <w:t>Youth-parent pair respondents in 2006</w:t>
            </w:r>
          </w:p>
        </w:tc>
        <w:tc>
          <w:tcPr>
            <w:tcW w:w="2126" w:type="dxa"/>
            <w:tcBorders>
              <w:top w:val="nil"/>
              <w:left w:val="nil"/>
              <w:bottom w:val="nil"/>
              <w:right w:val="nil"/>
            </w:tcBorders>
            <w:vAlign w:val="center"/>
          </w:tcPr>
          <w:p w:rsidR="001F5702" w:rsidRPr="006D431D" w:rsidRDefault="001F5702" w:rsidP="006D431D">
            <w:pPr>
              <w:pStyle w:val="Tabletext"/>
              <w:jc w:val="center"/>
            </w:pPr>
            <w:r w:rsidRPr="006D431D">
              <w:t>-</w:t>
            </w:r>
          </w:p>
        </w:tc>
        <w:tc>
          <w:tcPr>
            <w:tcW w:w="2127" w:type="dxa"/>
            <w:tcBorders>
              <w:top w:val="nil"/>
              <w:left w:val="nil"/>
              <w:bottom w:val="nil"/>
              <w:right w:val="nil"/>
            </w:tcBorders>
          </w:tcPr>
          <w:p w:rsidR="001F5702" w:rsidRPr="006D431D" w:rsidRDefault="001F5702" w:rsidP="006D431D">
            <w:pPr>
              <w:pStyle w:val="Tabletext"/>
              <w:ind w:right="680"/>
              <w:jc w:val="right"/>
            </w:pPr>
            <w:r w:rsidRPr="006D431D">
              <w:t>2 430</w:t>
            </w:r>
          </w:p>
        </w:tc>
      </w:tr>
      <w:tr w:rsidR="001F5702" w:rsidRPr="006D431D" w:rsidTr="006D431D">
        <w:tc>
          <w:tcPr>
            <w:tcW w:w="4536" w:type="dxa"/>
            <w:tcBorders>
              <w:top w:val="nil"/>
              <w:left w:val="nil"/>
              <w:bottom w:val="single" w:sz="4" w:space="0" w:color="auto"/>
              <w:right w:val="nil"/>
            </w:tcBorders>
            <w:vAlign w:val="bottom"/>
          </w:tcPr>
          <w:p w:rsidR="001F5702" w:rsidRPr="006D431D" w:rsidRDefault="001F5702" w:rsidP="006D431D">
            <w:pPr>
              <w:pStyle w:val="Tabletext"/>
            </w:pPr>
            <w:r w:rsidRPr="006D431D">
              <w:t xml:space="preserve">Restricted sample of youth-parent pair respondents in 2006 </w:t>
            </w:r>
          </w:p>
        </w:tc>
        <w:tc>
          <w:tcPr>
            <w:tcW w:w="2126" w:type="dxa"/>
            <w:tcBorders>
              <w:top w:val="nil"/>
              <w:left w:val="nil"/>
              <w:bottom w:val="single" w:sz="4" w:space="0" w:color="auto"/>
              <w:right w:val="nil"/>
            </w:tcBorders>
            <w:vAlign w:val="center"/>
          </w:tcPr>
          <w:p w:rsidR="001F5702" w:rsidRPr="006D431D" w:rsidRDefault="001F5702" w:rsidP="006D431D">
            <w:pPr>
              <w:pStyle w:val="Tabletext"/>
            </w:pPr>
          </w:p>
        </w:tc>
        <w:tc>
          <w:tcPr>
            <w:tcW w:w="2127" w:type="dxa"/>
            <w:tcBorders>
              <w:top w:val="nil"/>
              <w:left w:val="nil"/>
              <w:bottom w:val="single" w:sz="4" w:space="0" w:color="auto"/>
              <w:right w:val="nil"/>
            </w:tcBorders>
          </w:tcPr>
          <w:p w:rsidR="001F5702" w:rsidRPr="006D431D" w:rsidRDefault="001F5702" w:rsidP="006D431D">
            <w:pPr>
              <w:pStyle w:val="Tabletext"/>
              <w:ind w:right="680"/>
              <w:jc w:val="right"/>
            </w:pPr>
            <w:r w:rsidRPr="006D431D">
              <w:t>1 746</w:t>
            </w:r>
          </w:p>
        </w:tc>
      </w:tr>
    </w:tbl>
    <w:p w:rsidR="008318B0" w:rsidRDefault="008318B0" w:rsidP="008318B0">
      <w:pPr>
        <w:pStyle w:val="tabletitle"/>
      </w:pPr>
      <w:bookmarkStart w:id="53" w:name="_Toc324765898"/>
      <w:bookmarkEnd w:id="50"/>
      <w:r w:rsidRPr="00C2775E">
        <w:t xml:space="preserve">Table </w:t>
      </w:r>
      <w:r>
        <w:t>3</w:t>
      </w:r>
      <w:r w:rsidRPr="00C2775E">
        <w:tab/>
      </w:r>
      <w:r>
        <w:t xml:space="preserve">Information contained in LSAY and </w:t>
      </w:r>
      <w:r w:rsidR="00A05A99">
        <w:t>Youth in Focus</w:t>
      </w:r>
      <w:r>
        <w:t xml:space="preserve"> data</w:t>
      </w:r>
      <w:bookmarkEnd w:id="53"/>
    </w:p>
    <w:tbl>
      <w:tblPr>
        <w:tblW w:w="8789" w:type="dxa"/>
        <w:tblInd w:w="96" w:type="dxa"/>
        <w:tblLayout w:type="fixed"/>
        <w:tblLook w:val="0000"/>
      </w:tblPr>
      <w:tblGrid>
        <w:gridCol w:w="3131"/>
        <w:gridCol w:w="2829"/>
        <w:gridCol w:w="2829"/>
      </w:tblGrid>
      <w:tr w:rsidR="001F5702" w:rsidRPr="00D41A46" w:rsidTr="0024301D">
        <w:tc>
          <w:tcPr>
            <w:tcW w:w="3131" w:type="dxa"/>
            <w:tcBorders>
              <w:top w:val="single" w:sz="4" w:space="0" w:color="auto"/>
              <w:bottom w:val="single" w:sz="4" w:space="0" w:color="auto"/>
            </w:tcBorders>
            <w:vAlign w:val="bottom"/>
          </w:tcPr>
          <w:p w:rsidR="001F5702" w:rsidRPr="00E443F9" w:rsidRDefault="001F5702" w:rsidP="006D431D">
            <w:pPr>
              <w:pStyle w:val="Tablehead1"/>
            </w:pPr>
            <w:r>
              <w:t>Unique to LSAY</w:t>
            </w:r>
          </w:p>
        </w:tc>
        <w:tc>
          <w:tcPr>
            <w:tcW w:w="2829" w:type="dxa"/>
            <w:tcBorders>
              <w:top w:val="single" w:sz="4" w:space="0" w:color="auto"/>
              <w:bottom w:val="single" w:sz="4" w:space="0" w:color="auto"/>
            </w:tcBorders>
            <w:vAlign w:val="bottom"/>
          </w:tcPr>
          <w:p w:rsidR="001F5702" w:rsidRPr="00D41A46" w:rsidRDefault="001F5702" w:rsidP="006D431D">
            <w:pPr>
              <w:pStyle w:val="Tablehead1"/>
              <w:rPr>
                <w:sz w:val="16"/>
              </w:rPr>
            </w:pPr>
            <w:r>
              <w:rPr>
                <w:sz w:val="16"/>
              </w:rPr>
              <w:t>Overlapping items</w:t>
            </w:r>
          </w:p>
        </w:tc>
        <w:tc>
          <w:tcPr>
            <w:tcW w:w="2829" w:type="dxa"/>
            <w:tcBorders>
              <w:top w:val="single" w:sz="4" w:space="0" w:color="auto"/>
              <w:bottom w:val="single" w:sz="4" w:space="0" w:color="auto"/>
            </w:tcBorders>
            <w:vAlign w:val="bottom"/>
          </w:tcPr>
          <w:p w:rsidR="001F5702" w:rsidRPr="00D41A46" w:rsidRDefault="001F5702" w:rsidP="006D431D">
            <w:pPr>
              <w:pStyle w:val="Tablehead1"/>
              <w:rPr>
                <w:sz w:val="16"/>
              </w:rPr>
            </w:pPr>
            <w:r>
              <w:rPr>
                <w:sz w:val="16"/>
              </w:rPr>
              <w:t>Unique to Youth in Focus</w:t>
            </w:r>
          </w:p>
        </w:tc>
      </w:tr>
      <w:tr w:rsidR="001F5702" w:rsidRPr="006D431D" w:rsidTr="0024301D">
        <w:tblPrEx>
          <w:tblLook w:val="00A0"/>
        </w:tblPrEx>
        <w:trPr>
          <w:trHeight w:val="288"/>
        </w:trPr>
        <w:tc>
          <w:tcPr>
            <w:tcW w:w="3131" w:type="dxa"/>
            <w:tcBorders>
              <w:top w:val="single" w:sz="4" w:space="0" w:color="auto"/>
            </w:tcBorders>
            <w:noWrap/>
          </w:tcPr>
          <w:p w:rsidR="001F5702" w:rsidRPr="006D431D" w:rsidRDefault="001F5702" w:rsidP="006D431D">
            <w:pPr>
              <w:pStyle w:val="Tabletext"/>
            </w:pPr>
            <w:r w:rsidRPr="006D431D">
              <w:t>School achievement measures based on</w:t>
            </w:r>
            <w:r w:rsidR="006D431D">
              <w:t> </w:t>
            </w:r>
            <w:r w:rsidRPr="006D431D">
              <w:t>performance in tests</w:t>
            </w:r>
          </w:p>
        </w:tc>
        <w:tc>
          <w:tcPr>
            <w:tcW w:w="2829" w:type="dxa"/>
            <w:tcBorders>
              <w:top w:val="single" w:sz="4" w:space="0" w:color="auto"/>
            </w:tcBorders>
          </w:tcPr>
          <w:p w:rsidR="001F5702" w:rsidRPr="006D431D" w:rsidRDefault="001F5702" w:rsidP="006D431D">
            <w:pPr>
              <w:pStyle w:val="Tabletext"/>
            </w:pPr>
            <w:r w:rsidRPr="006D431D">
              <w:t>Gender</w:t>
            </w:r>
          </w:p>
        </w:tc>
        <w:tc>
          <w:tcPr>
            <w:tcW w:w="2829" w:type="dxa"/>
            <w:tcBorders>
              <w:top w:val="single" w:sz="4" w:space="0" w:color="auto"/>
            </w:tcBorders>
          </w:tcPr>
          <w:p w:rsidR="001F5702" w:rsidRPr="006D431D" w:rsidRDefault="001F5702" w:rsidP="006D431D">
            <w:pPr>
              <w:pStyle w:val="Tabletext"/>
            </w:pPr>
            <w:r w:rsidRPr="006D431D">
              <w:t>Family income</w:t>
            </w:r>
          </w:p>
        </w:tc>
      </w:tr>
      <w:tr w:rsidR="001F5702" w:rsidRPr="006D431D" w:rsidTr="0024301D">
        <w:tblPrEx>
          <w:tblLook w:val="00A0"/>
        </w:tblPrEx>
        <w:trPr>
          <w:trHeight w:val="288"/>
        </w:trPr>
        <w:tc>
          <w:tcPr>
            <w:tcW w:w="3131" w:type="dxa"/>
            <w:noWrap/>
          </w:tcPr>
          <w:p w:rsidR="001F5702" w:rsidRPr="006D431D" w:rsidRDefault="001F5702" w:rsidP="006D431D">
            <w:pPr>
              <w:pStyle w:val="Tabletext"/>
            </w:pPr>
            <w:r w:rsidRPr="006D431D">
              <w:t>School characteristics</w:t>
            </w:r>
          </w:p>
        </w:tc>
        <w:tc>
          <w:tcPr>
            <w:tcW w:w="2829" w:type="dxa"/>
          </w:tcPr>
          <w:p w:rsidR="001F5702" w:rsidRPr="006D431D" w:rsidRDefault="001F5702" w:rsidP="006D431D">
            <w:pPr>
              <w:pStyle w:val="Tabletext"/>
            </w:pPr>
            <w:r w:rsidRPr="006D431D">
              <w:t>Parental employment</w:t>
            </w:r>
          </w:p>
        </w:tc>
        <w:tc>
          <w:tcPr>
            <w:tcW w:w="2829" w:type="dxa"/>
          </w:tcPr>
          <w:p w:rsidR="001F5702" w:rsidRPr="006D431D" w:rsidRDefault="001F5702" w:rsidP="006D431D">
            <w:pPr>
              <w:pStyle w:val="Tabletext"/>
            </w:pPr>
            <w:r w:rsidRPr="006D431D">
              <w:t>Experience of early schooling</w:t>
            </w:r>
          </w:p>
        </w:tc>
      </w:tr>
      <w:tr w:rsidR="001F5702" w:rsidRPr="006D431D" w:rsidTr="0024301D">
        <w:tblPrEx>
          <w:tblLook w:val="00A0"/>
        </w:tblPrEx>
        <w:trPr>
          <w:trHeight w:val="288"/>
        </w:trPr>
        <w:tc>
          <w:tcPr>
            <w:tcW w:w="3131" w:type="dxa"/>
            <w:noWrap/>
          </w:tcPr>
          <w:p w:rsidR="001F5702" w:rsidRPr="006D431D" w:rsidRDefault="001F5702" w:rsidP="006D431D">
            <w:pPr>
              <w:pStyle w:val="Tabletext"/>
            </w:pPr>
            <w:r w:rsidRPr="006D431D">
              <w:t>Study programs/subjects undertaken</w:t>
            </w:r>
          </w:p>
        </w:tc>
        <w:tc>
          <w:tcPr>
            <w:tcW w:w="2829" w:type="dxa"/>
          </w:tcPr>
          <w:p w:rsidR="001F5702" w:rsidRPr="006D431D" w:rsidRDefault="001F5702" w:rsidP="006D431D">
            <w:pPr>
              <w:pStyle w:val="Tabletext"/>
            </w:pPr>
            <w:r w:rsidRPr="006D431D">
              <w:t xml:space="preserve">Parents’ occupations </w:t>
            </w:r>
          </w:p>
        </w:tc>
        <w:tc>
          <w:tcPr>
            <w:tcW w:w="2829" w:type="dxa"/>
          </w:tcPr>
          <w:p w:rsidR="001F5702" w:rsidRPr="006D431D" w:rsidRDefault="001F5702" w:rsidP="006D431D">
            <w:pPr>
              <w:pStyle w:val="Tabletext"/>
            </w:pPr>
            <w:r w:rsidRPr="006D431D">
              <w:t>Government income support receipt history</w:t>
            </w:r>
          </w:p>
        </w:tc>
      </w:tr>
      <w:tr w:rsidR="001F5702" w:rsidRPr="006D431D" w:rsidTr="0024301D">
        <w:tblPrEx>
          <w:tblLook w:val="00A0"/>
        </w:tblPrEx>
        <w:trPr>
          <w:trHeight w:val="288"/>
        </w:trPr>
        <w:tc>
          <w:tcPr>
            <w:tcW w:w="3131" w:type="dxa"/>
            <w:noWrap/>
          </w:tcPr>
          <w:p w:rsidR="001F5702" w:rsidRPr="006D431D" w:rsidRDefault="001F5702" w:rsidP="006D431D">
            <w:pPr>
              <w:pStyle w:val="Tabletext"/>
            </w:pPr>
            <w:r w:rsidRPr="006D431D">
              <w:t>Student study plans and occupational ambitions</w:t>
            </w:r>
          </w:p>
        </w:tc>
        <w:tc>
          <w:tcPr>
            <w:tcW w:w="2829" w:type="dxa"/>
          </w:tcPr>
          <w:p w:rsidR="001F5702" w:rsidRPr="006D431D" w:rsidRDefault="001F5702" w:rsidP="006D431D">
            <w:pPr>
              <w:pStyle w:val="Tabletext"/>
            </w:pPr>
            <w:r w:rsidRPr="006D431D">
              <w:t>Parental education</w:t>
            </w:r>
          </w:p>
        </w:tc>
        <w:tc>
          <w:tcPr>
            <w:tcW w:w="2829" w:type="dxa"/>
          </w:tcPr>
          <w:p w:rsidR="001F5702" w:rsidRPr="006D431D" w:rsidRDefault="001F5702" w:rsidP="006D431D">
            <w:pPr>
              <w:pStyle w:val="Tabletext"/>
            </w:pPr>
            <w:r w:rsidRPr="006D431D">
              <w:t>Family background</w:t>
            </w:r>
          </w:p>
        </w:tc>
      </w:tr>
      <w:tr w:rsidR="001F5702" w:rsidRPr="006D431D" w:rsidTr="0024301D">
        <w:tblPrEx>
          <w:tblLook w:val="00A0"/>
        </w:tblPrEx>
        <w:trPr>
          <w:trHeight w:val="288"/>
        </w:trPr>
        <w:tc>
          <w:tcPr>
            <w:tcW w:w="3131" w:type="dxa"/>
            <w:noWrap/>
          </w:tcPr>
          <w:p w:rsidR="001F5702" w:rsidRPr="006D431D" w:rsidRDefault="001F5702" w:rsidP="006D431D">
            <w:pPr>
              <w:pStyle w:val="Tabletext"/>
            </w:pPr>
          </w:p>
        </w:tc>
        <w:tc>
          <w:tcPr>
            <w:tcW w:w="2829" w:type="dxa"/>
          </w:tcPr>
          <w:p w:rsidR="001F5702" w:rsidRPr="006D431D" w:rsidRDefault="001F5702" w:rsidP="006D431D">
            <w:pPr>
              <w:pStyle w:val="Tabletext"/>
            </w:pPr>
            <w:r w:rsidRPr="006D431D">
              <w:t xml:space="preserve">Location and postcode </w:t>
            </w:r>
          </w:p>
        </w:tc>
        <w:tc>
          <w:tcPr>
            <w:tcW w:w="2829" w:type="dxa"/>
          </w:tcPr>
          <w:p w:rsidR="001F5702" w:rsidRPr="006D431D" w:rsidRDefault="001F5702" w:rsidP="006D431D">
            <w:pPr>
              <w:pStyle w:val="Tabletext"/>
            </w:pPr>
            <w:r w:rsidRPr="006D431D">
              <w:t>Parental marital histories</w:t>
            </w:r>
          </w:p>
        </w:tc>
      </w:tr>
      <w:tr w:rsidR="001F5702" w:rsidRPr="006D431D" w:rsidTr="0024301D">
        <w:tblPrEx>
          <w:tblLook w:val="00A0"/>
        </w:tblPrEx>
        <w:trPr>
          <w:trHeight w:val="288"/>
        </w:trPr>
        <w:tc>
          <w:tcPr>
            <w:tcW w:w="3131" w:type="dxa"/>
            <w:noWrap/>
          </w:tcPr>
          <w:p w:rsidR="001F5702" w:rsidRPr="006D431D" w:rsidRDefault="001F5702" w:rsidP="006D431D">
            <w:pPr>
              <w:pStyle w:val="Tabletext"/>
            </w:pPr>
          </w:p>
        </w:tc>
        <w:tc>
          <w:tcPr>
            <w:tcW w:w="2829" w:type="dxa"/>
          </w:tcPr>
          <w:p w:rsidR="001F5702" w:rsidRPr="006D431D" w:rsidRDefault="001F5702" w:rsidP="006D431D">
            <w:pPr>
              <w:pStyle w:val="Tabletext"/>
            </w:pPr>
            <w:r w:rsidRPr="006D431D">
              <w:t xml:space="preserve">Number of siblings </w:t>
            </w:r>
          </w:p>
        </w:tc>
        <w:tc>
          <w:tcPr>
            <w:tcW w:w="2829" w:type="dxa"/>
          </w:tcPr>
          <w:p w:rsidR="001F5702" w:rsidRPr="006D431D" w:rsidRDefault="001F5702" w:rsidP="006D431D">
            <w:pPr>
              <w:pStyle w:val="Tabletext"/>
            </w:pPr>
            <w:r w:rsidRPr="006D431D">
              <w:t>Engagement in risky activities</w:t>
            </w:r>
          </w:p>
        </w:tc>
      </w:tr>
      <w:tr w:rsidR="001F5702" w:rsidRPr="006D431D" w:rsidTr="0024301D">
        <w:tblPrEx>
          <w:tblLook w:val="00A0"/>
        </w:tblPrEx>
        <w:trPr>
          <w:trHeight w:val="288"/>
        </w:trPr>
        <w:tc>
          <w:tcPr>
            <w:tcW w:w="3131" w:type="dxa"/>
            <w:noWrap/>
          </w:tcPr>
          <w:p w:rsidR="001F5702" w:rsidRPr="006D431D" w:rsidRDefault="001F5702" w:rsidP="006D431D">
            <w:pPr>
              <w:pStyle w:val="Tabletext"/>
            </w:pPr>
          </w:p>
        </w:tc>
        <w:tc>
          <w:tcPr>
            <w:tcW w:w="2829" w:type="dxa"/>
          </w:tcPr>
          <w:p w:rsidR="001F5702" w:rsidRPr="006D431D" w:rsidRDefault="001F5702" w:rsidP="006D431D">
            <w:pPr>
              <w:pStyle w:val="Tabletext"/>
            </w:pPr>
            <w:r w:rsidRPr="006D431D">
              <w:t>Country of birth</w:t>
            </w:r>
          </w:p>
        </w:tc>
        <w:tc>
          <w:tcPr>
            <w:tcW w:w="2829" w:type="dxa"/>
          </w:tcPr>
          <w:p w:rsidR="001F5702" w:rsidRPr="006D431D" w:rsidRDefault="001F5702" w:rsidP="006D431D">
            <w:pPr>
              <w:pStyle w:val="Tabletext"/>
            </w:pPr>
            <w:r w:rsidRPr="006D431D">
              <w:t>Attitudes towards education</w:t>
            </w:r>
          </w:p>
        </w:tc>
      </w:tr>
      <w:tr w:rsidR="001F5702" w:rsidRPr="006D431D" w:rsidTr="0024301D">
        <w:tblPrEx>
          <w:tblLook w:val="00A0"/>
        </w:tblPrEx>
        <w:trPr>
          <w:trHeight w:val="288"/>
        </w:trPr>
        <w:tc>
          <w:tcPr>
            <w:tcW w:w="3131" w:type="dxa"/>
            <w:noWrap/>
          </w:tcPr>
          <w:p w:rsidR="001F5702" w:rsidRPr="006D431D" w:rsidRDefault="001F5702" w:rsidP="006D431D">
            <w:pPr>
              <w:pStyle w:val="Tabletext"/>
            </w:pPr>
          </w:p>
        </w:tc>
        <w:tc>
          <w:tcPr>
            <w:tcW w:w="2829" w:type="dxa"/>
          </w:tcPr>
          <w:p w:rsidR="001F5702" w:rsidRPr="006D431D" w:rsidRDefault="001F5702" w:rsidP="006D431D">
            <w:pPr>
              <w:pStyle w:val="Tabletext"/>
            </w:pPr>
            <w:r w:rsidRPr="006D431D">
              <w:t>Type of school attended</w:t>
            </w:r>
          </w:p>
        </w:tc>
        <w:tc>
          <w:tcPr>
            <w:tcW w:w="2829" w:type="dxa"/>
          </w:tcPr>
          <w:p w:rsidR="001F5702" w:rsidRPr="006D431D" w:rsidRDefault="001F5702" w:rsidP="006D431D">
            <w:pPr>
              <w:pStyle w:val="Tabletext"/>
            </w:pPr>
            <w:r w:rsidRPr="006D431D">
              <w:t>Parental involvement with schools</w:t>
            </w:r>
          </w:p>
        </w:tc>
      </w:tr>
      <w:tr w:rsidR="001F5702" w:rsidRPr="006D431D" w:rsidTr="0024301D">
        <w:tblPrEx>
          <w:tblLook w:val="00A0"/>
        </w:tblPrEx>
        <w:trPr>
          <w:trHeight w:val="288"/>
        </w:trPr>
        <w:tc>
          <w:tcPr>
            <w:tcW w:w="3131" w:type="dxa"/>
            <w:noWrap/>
          </w:tcPr>
          <w:p w:rsidR="001F5702" w:rsidRPr="006D431D" w:rsidRDefault="001F5702" w:rsidP="006D431D">
            <w:pPr>
              <w:pStyle w:val="Tabletext"/>
            </w:pPr>
          </w:p>
        </w:tc>
        <w:tc>
          <w:tcPr>
            <w:tcW w:w="2829" w:type="dxa"/>
          </w:tcPr>
          <w:p w:rsidR="001F5702" w:rsidRPr="006D431D" w:rsidRDefault="001F5702" w:rsidP="006D431D">
            <w:pPr>
              <w:pStyle w:val="Tabletext"/>
            </w:pPr>
            <w:r w:rsidRPr="006D431D">
              <w:t>Indigenous status</w:t>
            </w:r>
          </w:p>
        </w:tc>
        <w:tc>
          <w:tcPr>
            <w:tcW w:w="2829" w:type="dxa"/>
          </w:tcPr>
          <w:p w:rsidR="001F5702" w:rsidRPr="006D431D" w:rsidRDefault="001F5702" w:rsidP="006D431D">
            <w:pPr>
              <w:pStyle w:val="Tabletext"/>
            </w:pPr>
          </w:p>
        </w:tc>
      </w:tr>
      <w:tr w:rsidR="001F5702" w:rsidRPr="006D431D" w:rsidTr="0024301D">
        <w:tblPrEx>
          <w:tblLook w:val="00A0"/>
        </w:tblPrEx>
        <w:trPr>
          <w:trHeight w:val="288"/>
        </w:trPr>
        <w:tc>
          <w:tcPr>
            <w:tcW w:w="3131" w:type="dxa"/>
            <w:noWrap/>
          </w:tcPr>
          <w:p w:rsidR="001F5702" w:rsidRPr="006D431D" w:rsidRDefault="001F5702" w:rsidP="006D431D">
            <w:pPr>
              <w:pStyle w:val="Tabletext"/>
            </w:pPr>
          </w:p>
        </w:tc>
        <w:tc>
          <w:tcPr>
            <w:tcW w:w="2829" w:type="dxa"/>
          </w:tcPr>
          <w:p w:rsidR="001F5702" w:rsidRPr="006D431D" w:rsidRDefault="001F5702" w:rsidP="006D431D">
            <w:pPr>
              <w:pStyle w:val="Tabletext"/>
            </w:pPr>
            <w:r w:rsidRPr="006D431D">
              <w:t>Self-assessed school performance relative to peers</w:t>
            </w:r>
          </w:p>
        </w:tc>
        <w:tc>
          <w:tcPr>
            <w:tcW w:w="2829" w:type="dxa"/>
          </w:tcPr>
          <w:p w:rsidR="001F5702" w:rsidRPr="006D431D" w:rsidRDefault="001F5702" w:rsidP="006D431D">
            <w:pPr>
              <w:pStyle w:val="Tabletext"/>
            </w:pPr>
          </w:p>
        </w:tc>
      </w:tr>
      <w:tr w:rsidR="001F5702" w:rsidRPr="006D431D" w:rsidTr="0024301D">
        <w:tblPrEx>
          <w:tblLook w:val="00A0"/>
        </w:tblPrEx>
        <w:trPr>
          <w:trHeight w:val="288"/>
        </w:trPr>
        <w:tc>
          <w:tcPr>
            <w:tcW w:w="3131" w:type="dxa"/>
            <w:noWrap/>
          </w:tcPr>
          <w:p w:rsidR="001F5702" w:rsidRPr="006D431D" w:rsidRDefault="001F5702" w:rsidP="006D431D">
            <w:pPr>
              <w:pStyle w:val="Tabletext"/>
            </w:pPr>
          </w:p>
        </w:tc>
        <w:tc>
          <w:tcPr>
            <w:tcW w:w="2829" w:type="dxa"/>
          </w:tcPr>
          <w:p w:rsidR="001F5702" w:rsidRPr="006D431D" w:rsidRDefault="001F5702" w:rsidP="006D431D">
            <w:pPr>
              <w:pStyle w:val="Tabletext"/>
            </w:pPr>
            <w:r w:rsidRPr="006D431D">
              <w:t>State of residence</w:t>
            </w:r>
          </w:p>
        </w:tc>
        <w:tc>
          <w:tcPr>
            <w:tcW w:w="2829" w:type="dxa"/>
          </w:tcPr>
          <w:p w:rsidR="001F5702" w:rsidRPr="006D431D" w:rsidRDefault="001F5702" w:rsidP="006D431D">
            <w:pPr>
              <w:pStyle w:val="Tabletext"/>
            </w:pPr>
          </w:p>
        </w:tc>
      </w:tr>
      <w:tr w:rsidR="001F5702" w:rsidRPr="006D431D" w:rsidTr="0024301D">
        <w:tblPrEx>
          <w:tblLook w:val="00A0"/>
        </w:tblPrEx>
        <w:trPr>
          <w:trHeight w:val="288"/>
        </w:trPr>
        <w:tc>
          <w:tcPr>
            <w:tcW w:w="3131" w:type="dxa"/>
            <w:noWrap/>
          </w:tcPr>
          <w:p w:rsidR="001F5702" w:rsidRPr="006D431D" w:rsidRDefault="001F5702" w:rsidP="006D431D">
            <w:pPr>
              <w:pStyle w:val="Tabletext"/>
            </w:pPr>
          </w:p>
        </w:tc>
        <w:tc>
          <w:tcPr>
            <w:tcW w:w="2829" w:type="dxa"/>
          </w:tcPr>
          <w:p w:rsidR="001F5702" w:rsidRPr="006D431D" w:rsidRDefault="001F5702" w:rsidP="006D431D">
            <w:pPr>
              <w:pStyle w:val="Tabletext"/>
            </w:pPr>
            <w:r w:rsidRPr="006D431D">
              <w:t>Current education participation</w:t>
            </w:r>
          </w:p>
        </w:tc>
        <w:tc>
          <w:tcPr>
            <w:tcW w:w="2829" w:type="dxa"/>
          </w:tcPr>
          <w:p w:rsidR="001F5702" w:rsidRPr="006D431D" w:rsidRDefault="001F5702" w:rsidP="006D431D">
            <w:pPr>
              <w:pStyle w:val="Tabletext"/>
            </w:pPr>
          </w:p>
        </w:tc>
      </w:tr>
      <w:tr w:rsidR="001F5702" w:rsidRPr="006D431D" w:rsidTr="0024301D">
        <w:tblPrEx>
          <w:tblLook w:val="00A0"/>
        </w:tblPrEx>
        <w:trPr>
          <w:trHeight w:val="288"/>
        </w:trPr>
        <w:tc>
          <w:tcPr>
            <w:tcW w:w="3131" w:type="dxa"/>
            <w:noWrap/>
          </w:tcPr>
          <w:p w:rsidR="001F5702" w:rsidRPr="006D431D" w:rsidRDefault="001F5702" w:rsidP="006D431D">
            <w:pPr>
              <w:pStyle w:val="Tabletext"/>
            </w:pPr>
          </w:p>
        </w:tc>
        <w:tc>
          <w:tcPr>
            <w:tcW w:w="2829" w:type="dxa"/>
          </w:tcPr>
          <w:p w:rsidR="001F5702" w:rsidRPr="006D431D" w:rsidRDefault="001F5702" w:rsidP="006D431D">
            <w:pPr>
              <w:pStyle w:val="Tabletext"/>
            </w:pPr>
            <w:r w:rsidRPr="006D431D">
              <w:t>Completed education</w:t>
            </w:r>
          </w:p>
        </w:tc>
        <w:tc>
          <w:tcPr>
            <w:tcW w:w="2829" w:type="dxa"/>
          </w:tcPr>
          <w:p w:rsidR="001F5702" w:rsidRPr="006D431D" w:rsidRDefault="001F5702" w:rsidP="006D431D">
            <w:pPr>
              <w:pStyle w:val="Tabletext"/>
            </w:pPr>
          </w:p>
        </w:tc>
      </w:tr>
      <w:tr w:rsidR="001F5702" w:rsidRPr="006D431D" w:rsidTr="0024301D">
        <w:tblPrEx>
          <w:tblLook w:val="00A0"/>
        </w:tblPrEx>
        <w:trPr>
          <w:trHeight w:val="288"/>
        </w:trPr>
        <w:tc>
          <w:tcPr>
            <w:tcW w:w="3131" w:type="dxa"/>
            <w:noWrap/>
          </w:tcPr>
          <w:p w:rsidR="001F5702" w:rsidRPr="006D431D" w:rsidRDefault="001F5702" w:rsidP="006D431D">
            <w:pPr>
              <w:pStyle w:val="Tabletext"/>
            </w:pPr>
          </w:p>
        </w:tc>
        <w:tc>
          <w:tcPr>
            <w:tcW w:w="2829" w:type="dxa"/>
          </w:tcPr>
          <w:p w:rsidR="001F5702" w:rsidRPr="006D431D" w:rsidRDefault="001F5702" w:rsidP="006D431D">
            <w:pPr>
              <w:pStyle w:val="Tabletext"/>
            </w:pPr>
            <w:r w:rsidRPr="006D431D">
              <w:t>Current employment status</w:t>
            </w:r>
          </w:p>
        </w:tc>
        <w:tc>
          <w:tcPr>
            <w:tcW w:w="2829" w:type="dxa"/>
          </w:tcPr>
          <w:p w:rsidR="001F5702" w:rsidRPr="006D431D" w:rsidRDefault="001F5702" w:rsidP="006D431D">
            <w:pPr>
              <w:pStyle w:val="Tabletext"/>
            </w:pPr>
          </w:p>
        </w:tc>
      </w:tr>
      <w:tr w:rsidR="001F5702" w:rsidRPr="006D431D" w:rsidTr="0024301D">
        <w:tblPrEx>
          <w:tblLook w:val="00A0"/>
        </w:tblPrEx>
        <w:trPr>
          <w:trHeight w:val="288"/>
        </w:trPr>
        <w:tc>
          <w:tcPr>
            <w:tcW w:w="3131" w:type="dxa"/>
            <w:tcBorders>
              <w:bottom w:val="single" w:sz="4" w:space="0" w:color="auto"/>
            </w:tcBorders>
            <w:noWrap/>
          </w:tcPr>
          <w:p w:rsidR="001F5702" w:rsidRPr="006D431D" w:rsidRDefault="001F5702" w:rsidP="006D431D">
            <w:pPr>
              <w:pStyle w:val="Tabletext"/>
            </w:pPr>
          </w:p>
        </w:tc>
        <w:tc>
          <w:tcPr>
            <w:tcW w:w="2829" w:type="dxa"/>
            <w:tcBorders>
              <w:bottom w:val="single" w:sz="4" w:space="0" w:color="auto"/>
            </w:tcBorders>
          </w:tcPr>
          <w:p w:rsidR="001F5702" w:rsidRPr="006D431D" w:rsidRDefault="001F5702" w:rsidP="006D431D">
            <w:pPr>
              <w:pStyle w:val="Tabletext"/>
            </w:pPr>
            <w:r w:rsidRPr="006D431D">
              <w:t>Current living arrangements</w:t>
            </w:r>
          </w:p>
        </w:tc>
        <w:tc>
          <w:tcPr>
            <w:tcW w:w="2829" w:type="dxa"/>
            <w:tcBorders>
              <w:bottom w:val="single" w:sz="4" w:space="0" w:color="auto"/>
            </w:tcBorders>
          </w:tcPr>
          <w:p w:rsidR="001F5702" w:rsidRPr="006D431D" w:rsidRDefault="001F5702" w:rsidP="006D431D">
            <w:pPr>
              <w:pStyle w:val="Tabletext"/>
            </w:pPr>
          </w:p>
        </w:tc>
      </w:tr>
    </w:tbl>
    <w:p w:rsidR="001F5702" w:rsidRDefault="001F5702" w:rsidP="0024301D">
      <w:pPr>
        <w:pStyle w:val="Textmorebefore"/>
      </w:pPr>
      <w:r>
        <w:t>Together</w:t>
      </w:r>
      <w:r w:rsidR="00A05A99">
        <w:t>,</w:t>
      </w:r>
      <w:r>
        <w:t xml:space="preserve"> the datasets offer a broad set of information that captures different dimensions of disadvantage, including measures of initial socioeconomic circumstances when the respondent was younger, as well as of their own early educational and labour market and social outcomes. As a result, the datasets jointly capture many of the important dimensions of disadvantage identified in previous studies and reported in table 1, including, among others, family income and income support receipt, school achievement and engagement in risky activities. </w:t>
      </w:r>
    </w:p>
    <w:p w:rsidR="001F5702" w:rsidRDefault="001F5702" w:rsidP="001F5702">
      <w:pPr>
        <w:pStyle w:val="Text"/>
      </w:pPr>
      <w:r>
        <w:t xml:space="preserve">Overall, the joint use of the datasets offers the potential for a better understanding of </w:t>
      </w:r>
      <w:r w:rsidRPr="00730E26">
        <w:t xml:space="preserve">both Year 12 completion </w:t>
      </w:r>
      <w:r>
        <w:t xml:space="preserve">and the relative importance of different aspects of disadvantage, </w:t>
      </w:r>
      <w:r w:rsidRPr="00730E26">
        <w:t xml:space="preserve">and </w:t>
      </w:r>
      <w:r>
        <w:t xml:space="preserve">of </w:t>
      </w:r>
      <w:r w:rsidRPr="00730E26">
        <w:t xml:space="preserve">the strengths and limitations of </w:t>
      </w:r>
      <w:r>
        <w:t>each of the datasets</w:t>
      </w:r>
      <w:r w:rsidRPr="00730E26">
        <w:t xml:space="preserve"> for the analysis of other issues</w:t>
      </w:r>
      <w:r>
        <w:t xml:space="preserve">. </w:t>
      </w:r>
    </w:p>
    <w:p w:rsidR="001F5702" w:rsidRDefault="001F5702" w:rsidP="001F5702">
      <w:pPr>
        <w:pStyle w:val="Heading2"/>
      </w:pPr>
      <w:bookmarkStart w:id="54" w:name="_Toc318282962"/>
      <w:bookmarkStart w:id="55" w:name="_Toc324765873"/>
      <w:r>
        <w:t>Descriptive patterns</w:t>
      </w:r>
      <w:bookmarkEnd w:id="51"/>
      <w:bookmarkEnd w:id="54"/>
      <w:bookmarkEnd w:id="55"/>
    </w:p>
    <w:p w:rsidR="001F5702" w:rsidRDefault="001F5702" w:rsidP="001F5702">
      <w:pPr>
        <w:pStyle w:val="Text"/>
      </w:pPr>
      <w:r>
        <w:t xml:space="preserve">This study is based on a comparative analysis of the two datasets to assess the effect on Year 12 completion of a broad set of measures that reflect disadvantage. While the fact that both the LSAY </w:t>
      </w:r>
      <w:r>
        <w:lastRenderedPageBreak/>
        <w:t xml:space="preserve">Y03 and the </w:t>
      </w:r>
      <w:r w:rsidR="00BF5D5F">
        <w:t>YIF</w:t>
      </w:r>
      <w:r>
        <w:t xml:space="preserve"> survey include information on young people born at a common time</w:t>
      </w:r>
      <w:r w:rsidRPr="00730E26">
        <w:t xml:space="preserve"> </w:t>
      </w:r>
      <w:r>
        <w:t>makes this comparison</w:t>
      </w:r>
      <w:r w:rsidRPr="00117FA8">
        <w:t xml:space="preserve"> </w:t>
      </w:r>
      <w:r>
        <w:t>possible, other aspects of the sampling design of the two surveys may potentially limit the nature of this comparison task. Therefore, our first task is to examine whether the key measures used in this study are sufficiently similar in definition and/or magnitude to provide further grounds for comparison.</w:t>
      </w:r>
    </w:p>
    <w:p w:rsidR="001F5702" w:rsidRDefault="001F5702" w:rsidP="001F5702">
      <w:pPr>
        <w:pStyle w:val="Text"/>
      </w:pPr>
      <w:r>
        <w:t>In addition, for this study to be of significance, the extent to which its findings can be potentially generalised to the population at large needs to be established. To this end, the representativeness of the measures from the two datasets for the general population is assessed through a comparison with the relevant measures from the 2006 Australian Census of Population and Housing. Special tables were constructed by the Australian Bureau of Statistics (ABS) for individuals born in the same birth months as both the LSAY and YIF cohorts</w:t>
      </w:r>
      <w:r w:rsidRPr="00812E83">
        <w:t xml:space="preserve"> </w:t>
      </w:r>
      <w:r>
        <w:t>to compare education, training and employment participation in the various data sources.</w:t>
      </w:r>
      <w:r>
        <w:rPr>
          <w:rStyle w:val="FootnoteReference"/>
        </w:rPr>
        <w:footnoteReference w:id="5"/>
      </w:r>
      <w:r>
        <w:t xml:space="preserve"> In a few other cases, we rely on data for all 18-year-olds taken from the </w:t>
      </w:r>
      <w:r w:rsidR="00296EF2">
        <w:t>Census</w:t>
      </w:r>
      <w:r>
        <w:t xml:space="preserve"> and compare these data with patterns in the </w:t>
      </w:r>
      <w:r w:rsidR="00BF5D5F">
        <w:t>YIF</w:t>
      </w:r>
      <w:r>
        <w:t xml:space="preserve"> and LSAY data. </w:t>
      </w:r>
    </w:p>
    <w:p w:rsidR="001F5702" w:rsidRDefault="001F5702" w:rsidP="001F5702">
      <w:pPr>
        <w:pStyle w:val="Text"/>
      </w:pPr>
      <w:r>
        <w:t xml:space="preserve">We begin with a simple comparison of (various definitions of) Year 12 completion rates across the various data sources. Next, the comparability and the representativeness of the datasets are discussed, based on the measures of respondents’ engagement in different activities in 2006. Finally, the demographic characteristics of individuals in the three sets of data are compared, along with the way in which Year 12 completion varies with these selected characteristics. </w:t>
      </w:r>
    </w:p>
    <w:p w:rsidR="001F5702" w:rsidRPr="001047D7" w:rsidRDefault="001F5702" w:rsidP="001F5702">
      <w:pPr>
        <w:pStyle w:val="Heading2"/>
        <w:rPr>
          <w:szCs w:val="28"/>
        </w:rPr>
      </w:pPr>
      <w:bookmarkStart w:id="56" w:name="_Toc274390650"/>
      <w:bookmarkStart w:id="57" w:name="_Toc318282963"/>
      <w:bookmarkStart w:id="58" w:name="_Toc324765874"/>
      <w:r w:rsidRPr="001047D7">
        <w:rPr>
          <w:szCs w:val="28"/>
        </w:rPr>
        <w:t>Year 12 completion</w:t>
      </w:r>
      <w:bookmarkEnd w:id="56"/>
      <w:bookmarkEnd w:id="57"/>
      <w:bookmarkEnd w:id="58"/>
    </w:p>
    <w:p w:rsidR="001F5702" w:rsidRDefault="001F5702" w:rsidP="001F5702">
      <w:pPr>
        <w:pStyle w:val="Text"/>
      </w:pPr>
      <w:r w:rsidRPr="009A6959">
        <w:t xml:space="preserve">The </w:t>
      </w:r>
      <w:r>
        <w:t>main measure of completion of Year 12 used in this paper is based on whether individuals report they had received a Y</w:t>
      </w:r>
      <w:r w:rsidRPr="009A6959">
        <w:t>ear 12 certificate</w:t>
      </w:r>
      <w:r>
        <w:t xml:space="preserve"> from their relevant state certifying authority</w:t>
      </w:r>
      <w:r w:rsidRPr="009A6959">
        <w:t>.</w:t>
      </w:r>
      <w:r>
        <w:t xml:space="preserve"> Subjects report this outcome in both the LSAY Y03 and the </w:t>
      </w:r>
      <w:r w:rsidR="00BF5D5F">
        <w:t>YIF</w:t>
      </w:r>
      <w:r>
        <w:t xml:space="preserve"> survey data. Subjects may also report that they ‘completed’ Year 12, even if they did not receive a certificate, which we take as meaning they remained at school until the end of their Year 12 year. Finally, subjects may have been ‘participants’ in Year 12. In addition to completers, the term ‘participants’ includes people who either attended school in Year 12 at some time in the relevant calendar year and dropped out, or who were in Year 12 at the time of the survey in 2006, and hence had not completed Year 12 yet.</w:t>
      </w:r>
      <w:r>
        <w:rPr>
          <w:rStyle w:val="FootnoteReference"/>
        </w:rPr>
        <w:footnoteReference w:id="6"/>
      </w:r>
      <w:r>
        <w:t xml:space="preserve"> The Y03 and YIF data allow all three measures to be calculated, while the </w:t>
      </w:r>
      <w:r w:rsidR="00296EF2">
        <w:t>Census</w:t>
      </w:r>
      <w:r>
        <w:t xml:space="preserve"> data provide estimates of those who report they completed Year 12 or were current students. Since it is not clear that the first measure</w:t>
      </w:r>
      <w:r w:rsidR="00A05A99">
        <w:t xml:space="preserve"> (that is, completed Year 12)</w:t>
      </w:r>
      <w:r>
        <w:t xml:space="preserve"> is directly comparable with the ‘receipt of a Year 12 certificate’ in the other two datasets, we equate the ABS measure with the YIF and Y03 measures of reported completion. These various proportions are reported in table 4. </w:t>
      </w:r>
    </w:p>
    <w:p w:rsidR="001F5702" w:rsidRDefault="001F5702" w:rsidP="001F5702">
      <w:pPr>
        <w:pStyle w:val="Text"/>
      </w:pPr>
      <w:r>
        <w:t xml:space="preserve">The proportions are reported for five different ‘samples’: the full Y03 cohort; the Y03 cohort that matches the YIF birth cohort; the YIF sample; and two cohorts taken from the </w:t>
      </w:r>
      <w:r w:rsidR="00296EF2">
        <w:t>Census</w:t>
      </w:r>
      <w:r>
        <w:t xml:space="preserve"> data, one matching the Y03 cohort and the other the YIF cohort. </w:t>
      </w:r>
    </w:p>
    <w:p w:rsidR="001F5702" w:rsidRDefault="001F5702" w:rsidP="00BA6511">
      <w:pPr>
        <w:pStyle w:val="Text"/>
        <w:rPr>
          <w:rFonts w:ascii="Arial" w:hAnsi="Arial"/>
          <w:b/>
          <w:sz w:val="17"/>
          <w:szCs w:val="17"/>
        </w:rPr>
      </w:pPr>
      <w:r>
        <w:t xml:space="preserve">Measured Year 12 participation and completion rates are higher in the Y03 data than </w:t>
      </w:r>
      <w:r w:rsidR="00A05A99">
        <w:t xml:space="preserve">in </w:t>
      </w:r>
      <w:r>
        <w:t xml:space="preserve">the </w:t>
      </w:r>
      <w:r w:rsidR="00A05A99">
        <w:t>YIF</w:t>
      </w:r>
      <w:r>
        <w:t xml:space="preserve"> data, which in turn appear slightly higher than those reported in the </w:t>
      </w:r>
      <w:r w:rsidR="00296EF2">
        <w:t>Census</w:t>
      </w:r>
      <w:r>
        <w:t>.</w:t>
      </w:r>
      <w:r>
        <w:rPr>
          <w:szCs w:val="17"/>
        </w:rPr>
        <w:br w:type="page"/>
      </w:r>
    </w:p>
    <w:p w:rsidR="001F5702" w:rsidRPr="005D446B" w:rsidRDefault="001F5702" w:rsidP="00BA6511">
      <w:pPr>
        <w:pStyle w:val="tabletitle"/>
      </w:pPr>
      <w:bookmarkStart w:id="59" w:name="_Toc323566752"/>
      <w:bookmarkStart w:id="60" w:name="_Toc324765899"/>
      <w:r w:rsidRPr="00C132B9">
        <w:lastRenderedPageBreak/>
        <w:t xml:space="preserve">Table </w:t>
      </w:r>
      <w:r>
        <w:t>4</w:t>
      </w:r>
      <w:r>
        <w:tab/>
        <w:t>Year 12 completion by 2006:</w:t>
      </w:r>
      <w:r w:rsidRPr="00C132B9">
        <w:t xml:space="preserve"> LSAY Y03, </w:t>
      </w:r>
      <w:r>
        <w:t xml:space="preserve">Youth in Focus, and 18-year-olds in </w:t>
      </w:r>
      <w:r w:rsidRPr="00BA6511">
        <w:t>2006</w:t>
      </w:r>
      <w:r>
        <w:t xml:space="preserve"> </w:t>
      </w:r>
      <w:r w:rsidR="00296EF2">
        <w:t>Census</w:t>
      </w:r>
      <w:bookmarkEnd w:id="59"/>
      <w:bookmarkEnd w:id="60"/>
      <w:r>
        <w:t xml:space="preserve"> </w:t>
      </w:r>
    </w:p>
    <w:tbl>
      <w:tblPr>
        <w:tblW w:w="878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2694"/>
        <w:gridCol w:w="1219"/>
        <w:gridCol w:w="1219"/>
        <w:gridCol w:w="1219"/>
        <w:gridCol w:w="1219"/>
        <w:gridCol w:w="1219"/>
      </w:tblGrid>
      <w:tr w:rsidR="00BA6511" w:rsidRPr="00D41A46" w:rsidTr="00BA6511">
        <w:tc>
          <w:tcPr>
            <w:tcW w:w="2694" w:type="dxa"/>
            <w:tcBorders>
              <w:top w:val="single" w:sz="4" w:space="0" w:color="auto"/>
              <w:left w:val="nil"/>
              <w:bottom w:val="nil"/>
              <w:right w:val="nil"/>
            </w:tcBorders>
          </w:tcPr>
          <w:p w:rsidR="00BA6511" w:rsidRPr="0031761A" w:rsidRDefault="00BA6511" w:rsidP="00BA6511">
            <w:pPr>
              <w:pStyle w:val="Tablehead1"/>
            </w:pPr>
          </w:p>
        </w:tc>
        <w:tc>
          <w:tcPr>
            <w:tcW w:w="2438" w:type="dxa"/>
            <w:gridSpan w:val="2"/>
            <w:tcBorders>
              <w:top w:val="single" w:sz="4" w:space="0" w:color="auto"/>
              <w:left w:val="nil"/>
              <w:bottom w:val="nil"/>
              <w:right w:val="nil"/>
            </w:tcBorders>
          </w:tcPr>
          <w:p w:rsidR="00BA6511" w:rsidRPr="00117FA8" w:rsidRDefault="00BA6511" w:rsidP="00BA6511">
            <w:pPr>
              <w:pStyle w:val="Tablehead1"/>
              <w:jc w:val="center"/>
            </w:pPr>
            <w:r w:rsidRPr="00117FA8">
              <w:t>LSAY Y03</w:t>
            </w:r>
          </w:p>
        </w:tc>
        <w:tc>
          <w:tcPr>
            <w:tcW w:w="1219" w:type="dxa"/>
            <w:tcBorders>
              <w:top w:val="single" w:sz="4" w:space="0" w:color="auto"/>
              <w:left w:val="nil"/>
              <w:bottom w:val="nil"/>
              <w:right w:val="nil"/>
            </w:tcBorders>
          </w:tcPr>
          <w:p w:rsidR="00BA6511" w:rsidRDefault="00BA6511" w:rsidP="00BA6511">
            <w:pPr>
              <w:pStyle w:val="Tablehead1"/>
              <w:jc w:val="center"/>
            </w:pPr>
            <w:r>
              <w:t>Youth in Focus</w:t>
            </w:r>
          </w:p>
        </w:tc>
        <w:tc>
          <w:tcPr>
            <w:tcW w:w="2438" w:type="dxa"/>
            <w:gridSpan w:val="2"/>
            <w:tcBorders>
              <w:top w:val="single" w:sz="4" w:space="0" w:color="auto"/>
              <w:left w:val="nil"/>
              <w:bottom w:val="nil"/>
              <w:right w:val="nil"/>
            </w:tcBorders>
          </w:tcPr>
          <w:p w:rsidR="00BA6511" w:rsidRDefault="00BA6511" w:rsidP="00BA6511">
            <w:pPr>
              <w:pStyle w:val="Tablehead1"/>
              <w:jc w:val="center"/>
            </w:pPr>
            <w:r>
              <w:t>Census 2006</w:t>
            </w:r>
          </w:p>
        </w:tc>
      </w:tr>
      <w:tr w:rsidR="001F5702" w:rsidRPr="00D41A46" w:rsidTr="00BA6511">
        <w:tc>
          <w:tcPr>
            <w:tcW w:w="2694" w:type="dxa"/>
            <w:tcBorders>
              <w:top w:val="nil"/>
              <w:left w:val="nil"/>
              <w:bottom w:val="single" w:sz="4" w:space="0" w:color="auto"/>
              <w:right w:val="nil"/>
            </w:tcBorders>
          </w:tcPr>
          <w:p w:rsidR="001F5702" w:rsidRPr="0031761A" w:rsidRDefault="001F5702" w:rsidP="00BA6511">
            <w:pPr>
              <w:pStyle w:val="Tablehead2"/>
            </w:pPr>
          </w:p>
        </w:tc>
        <w:tc>
          <w:tcPr>
            <w:tcW w:w="1219" w:type="dxa"/>
            <w:tcBorders>
              <w:top w:val="nil"/>
              <w:left w:val="nil"/>
              <w:bottom w:val="single" w:sz="4" w:space="0" w:color="auto"/>
              <w:right w:val="nil"/>
            </w:tcBorders>
          </w:tcPr>
          <w:p w:rsidR="001F5702" w:rsidRPr="0031761A" w:rsidRDefault="001F5702" w:rsidP="00BA6511">
            <w:pPr>
              <w:pStyle w:val="Tablehead2"/>
              <w:jc w:val="center"/>
            </w:pPr>
            <w:r>
              <w:t>Full 2006 sample</w:t>
            </w:r>
          </w:p>
        </w:tc>
        <w:tc>
          <w:tcPr>
            <w:tcW w:w="1219" w:type="dxa"/>
            <w:tcBorders>
              <w:top w:val="nil"/>
              <w:left w:val="nil"/>
              <w:bottom w:val="single" w:sz="4" w:space="0" w:color="auto"/>
              <w:right w:val="nil"/>
            </w:tcBorders>
          </w:tcPr>
          <w:p w:rsidR="001F5702" w:rsidRDefault="001F5702" w:rsidP="00BA6511">
            <w:pPr>
              <w:pStyle w:val="Tablehead2"/>
              <w:jc w:val="center"/>
            </w:pPr>
            <w:r>
              <w:t>Matching YIF birth cohort</w:t>
            </w:r>
          </w:p>
        </w:tc>
        <w:tc>
          <w:tcPr>
            <w:tcW w:w="1219" w:type="dxa"/>
            <w:tcBorders>
              <w:top w:val="nil"/>
              <w:left w:val="nil"/>
              <w:bottom w:val="single" w:sz="4" w:space="0" w:color="auto"/>
              <w:right w:val="nil"/>
            </w:tcBorders>
          </w:tcPr>
          <w:p w:rsidR="001F5702" w:rsidRPr="005A0A06" w:rsidRDefault="001F5702" w:rsidP="00BA6511">
            <w:pPr>
              <w:pStyle w:val="Tablehead2"/>
              <w:jc w:val="center"/>
            </w:pPr>
          </w:p>
        </w:tc>
        <w:tc>
          <w:tcPr>
            <w:tcW w:w="1219" w:type="dxa"/>
            <w:tcBorders>
              <w:top w:val="nil"/>
              <w:left w:val="nil"/>
              <w:bottom w:val="single" w:sz="4" w:space="0" w:color="auto"/>
              <w:right w:val="nil"/>
            </w:tcBorders>
          </w:tcPr>
          <w:p w:rsidR="001F5702" w:rsidRDefault="001F5702" w:rsidP="00BA6511">
            <w:pPr>
              <w:pStyle w:val="Tablehead2"/>
              <w:jc w:val="center"/>
            </w:pPr>
            <w:r>
              <w:t>Matching LSAY cohort</w:t>
            </w:r>
          </w:p>
        </w:tc>
        <w:tc>
          <w:tcPr>
            <w:tcW w:w="1219" w:type="dxa"/>
            <w:tcBorders>
              <w:top w:val="nil"/>
              <w:left w:val="nil"/>
              <w:bottom w:val="single" w:sz="4" w:space="0" w:color="auto"/>
              <w:right w:val="nil"/>
            </w:tcBorders>
          </w:tcPr>
          <w:p w:rsidR="001F5702" w:rsidRPr="0031761A" w:rsidRDefault="001F5702" w:rsidP="00BA6511">
            <w:pPr>
              <w:pStyle w:val="Tablehead2"/>
              <w:jc w:val="center"/>
            </w:pPr>
            <w:r>
              <w:t xml:space="preserve">Matching </w:t>
            </w:r>
            <w:r w:rsidR="00EC00CB">
              <w:br/>
            </w:r>
            <w:r>
              <w:t>YIF cohort</w:t>
            </w:r>
          </w:p>
        </w:tc>
      </w:tr>
      <w:tr w:rsidR="001F5702" w:rsidRPr="00BA6511" w:rsidTr="00BA6511">
        <w:tc>
          <w:tcPr>
            <w:tcW w:w="2694" w:type="dxa"/>
            <w:tcBorders>
              <w:top w:val="single" w:sz="4" w:space="0" w:color="auto"/>
              <w:left w:val="nil"/>
              <w:bottom w:val="nil"/>
              <w:right w:val="nil"/>
            </w:tcBorders>
            <w:shd w:val="clear" w:color="auto" w:fill="auto"/>
          </w:tcPr>
          <w:p w:rsidR="001F5702" w:rsidRPr="00BA6511" w:rsidRDefault="001F5702" w:rsidP="00BA6511">
            <w:pPr>
              <w:pStyle w:val="Tabletext"/>
              <w:rPr>
                <w:b/>
              </w:rPr>
            </w:pPr>
            <w:r w:rsidRPr="00BA6511">
              <w:rPr>
                <w:b/>
              </w:rPr>
              <w:t>Completion measure</w:t>
            </w:r>
          </w:p>
        </w:tc>
        <w:tc>
          <w:tcPr>
            <w:tcW w:w="1219" w:type="dxa"/>
            <w:tcBorders>
              <w:top w:val="single" w:sz="4" w:space="0" w:color="auto"/>
              <w:left w:val="nil"/>
              <w:bottom w:val="nil"/>
              <w:right w:val="nil"/>
            </w:tcBorders>
            <w:shd w:val="clear" w:color="auto" w:fill="auto"/>
          </w:tcPr>
          <w:p w:rsidR="001F5702" w:rsidRPr="00BA6511" w:rsidRDefault="001F5702" w:rsidP="00BA6511">
            <w:pPr>
              <w:pStyle w:val="Tabletext"/>
            </w:pPr>
          </w:p>
        </w:tc>
        <w:tc>
          <w:tcPr>
            <w:tcW w:w="1219" w:type="dxa"/>
            <w:tcBorders>
              <w:top w:val="single" w:sz="4" w:space="0" w:color="auto"/>
              <w:left w:val="nil"/>
              <w:bottom w:val="nil"/>
              <w:right w:val="nil"/>
            </w:tcBorders>
            <w:shd w:val="clear" w:color="auto" w:fill="auto"/>
          </w:tcPr>
          <w:p w:rsidR="001F5702" w:rsidRPr="00BA6511" w:rsidRDefault="001F5702" w:rsidP="00BA6511">
            <w:pPr>
              <w:pStyle w:val="Tabletext"/>
            </w:pPr>
          </w:p>
        </w:tc>
        <w:tc>
          <w:tcPr>
            <w:tcW w:w="1219" w:type="dxa"/>
            <w:tcBorders>
              <w:top w:val="single" w:sz="4" w:space="0" w:color="auto"/>
              <w:left w:val="nil"/>
              <w:bottom w:val="nil"/>
              <w:right w:val="nil"/>
            </w:tcBorders>
            <w:shd w:val="clear" w:color="auto" w:fill="auto"/>
          </w:tcPr>
          <w:p w:rsidR="001F5702" w:rsidRPr="00BA6511" w:rsidRDefault="001F5702" w:rsidP="00BA6511">
            <w:pPr>
              <w:pStyle w:val="Tabletext"/>
            </w:pPr>
          </w:p>
        </w:tc>
        <w:tc>
          <w:tcPr>
            <w:tcW w:w="1219" w:type="dxa"/>
            <w:tcBorders>
              <w:top w:val="single" w:sz="4" w:space="0" w:color="auto"/>
              <w:left w:val="nil"/>
              <w:bottom w:val="nil"/>
              <w:right w:val="nil"/>
            </w:tcBorders>
            <w:shd w:val="clear" w:color="auto" w:fill="auto"/>
          </w:tcPr>
          <w:p w:rsidR="001F5702" w:rsidRPr="00BA6511" w:rsidRDefault="001F5702" w:rsidP="00BA6511">
            <w:pPr>
              <w:pStyle w:val="Tabletext"/>
            </w:pPr>
          </w:p>
        </w:tc>
        <w:tc>
          <w:tcPr>
            <w:tcW w:w="1219" w:type="dxa"/>
            <w:tcBorders>
              <w:top w:val="single" w:sz="4" w:space="0" w:color="auto"/>
              <w:left w:val="nil"/>
              <w:bottom w:val="nil"/>
              <w:right w:val="nil"/>
            </w:tcBorders>
            <w:shd w:val="clear" w:color="auto" w:fill="auto"/>
          </w:tcPr>
          <w:p w:rsidR="001F5702" w:rsidRPr="00BA6511" w:rsidRDefault="001F5702" w:rsidP="00BA6511">
            <w:pPr>
              <w:pStyle w:val="Tabletext"/>
            </w:pPr>
          </w:p>
        </w:tc>
      </w:tr>
      <w:tr w:rsidR="001F5702" w:rsidRPr="00BA6511" w:rsidTr="00BA6511">
        <w:tc>
          <w:tcPr>
            <w:tcW w:w="2694" w:type="dxa"/>
            <w:tcBorders>
              <w:top w:val="nil"/>
              <w:left w:val="nil"/>
              <w:bottom w:val="nil"/>
              <w:right w:val="nil"/>
            </w:tcBorders>
          </w:tcPr>
          <w:p w:rsidR="001F5702" w:rsidRPr="00BA6511" w:rsidRDefault="001F5702" w:rsidP="00BA6511">
            <w:pPr>
              <w:pStyle w:val="Tabletext"/>
            </w:pPr>
            <w:r w:rsidRPr="00BA6511">
              <w:t>Received a Year 12 certificate</w:t>
            </w:r>
          </w:p>
        </w:tc>
        <w:tc>
          <w:tcPr>
            <w:tcW w:w="1219" w:type="dxa"/>
            <w:tcBorders>
              <w:top w:val="nil"/>
              <w:left w:val="nil"/>
              <w:bottom w:val="nil"/>
              <w:right w:val="nil"/>
            </w:tcBorders>
          </w:tcPr>
          <w:p w:rsidR="001F5702" w:rsidRPr="00BA6511" w:rsidRDefault="001F5702" w:rsidP="00BA6511">
            <w:pPr>
              <w:pStyle w:val="Tabletext"/>
              <w:tabs>
                <w:tab w:val="decimal" w:pos="567"/>
              </w:tabs>
            </w:pPr>
            <w:r w:rsidRPr="00BA6511">
              <w:t>72.2</w:t>
            </w:r>
          </w:p>
        </w:tc>
        <w:tc>
          <w:tcPr>
            <w:tcW w:w="1219" w:type="dxa"/>
            <w:tcBorders>
              <w:top w:val="nil"/>
              <w:left w:val="nil"/>
              <w:bottom w:val="nil"/>
              <w:right w:val="nil"/>
            </w:tcBorders>
          </w:tcPr>
          <w:p w:rsidR="001F5702" w:rsidRPr="00BA6511" w:rsidRDefault="001F5702" w:rsidP="00BA6511">
            <w:pPr>
              <w:pStyle w:val="Tabletext"/>
              <w:tabs>
                <w:tab w:val="decimal" w:pos="567"/>
              </w:tabs>
            </w:pPr>
            <w:r w:rsidRPr="00BA6511">
              <w:t>70.5</w:t>
            </w:r>
          </w:p>
        </w:tc>
        <w:tc>
          <w:tcPr>
            <w:tcW w:w="1219" w:type="dxa"/>
            <w:tcBorders>
              <w:top w:val="nil"/>
              <w:left w:val="nil"/>
              <w:bottom w:val="nil"/>
              <w:right w:val="nil"/>
            </w:tcBorders>
          </w:tcPr>
          <w:p w:rsidR="001F5702" w:rsidRPr="00BA6511" w:rsidRDefault="001F5702" w:rsidP="00BA6511">
            <w:pPr>
              <w:pStyle w:val="Tabletext"/>
              <w:tabs>
                <w:tab w:val="decimal" w:pos="567"/>
              </w:tabs>
            </w:pPr>
            <w:r w:rsidRPr="00BA6511">
              <w:t>63.6</w:t>
            </w:r>
          </w:p>
        </w:tc>
        <w:tc>
          <w:tcPr>
            <w:tcW w:w="1219" w:type="dxa"/>
            <w:tcBorders>
              <w:top w:val="nil"/>
              <w:left w:val="nil"/>
              <w:bottom w:val="nil"/>
              <w:right w:val="nil"/>
            </w:tcBorders>
          </w:tcPr>
          <w:p w:rsidR="001F5702" w:rsidRPr="00BA6511" w:rsidRDefault="001F5702" w:rsidP="00BA6511">
            <w:pPr>
              <w:pStyle w:val="Tabletext"/>
              <w:jc w:val="center"/>
            </w:pPr>
            <w:r w:rsidRPr="00BA6511">
              <w:t>n/a</w:t>
            </w:r>
          </w:p>
        </w:tc>
        <w:tc>
          <w:tcPr>
            <w:tcW w:w="1219" w:type="dxa"/>
            <w:tcBorders>
              <w:top w:val="nil"/>
              <w:left w:val="nil"/>
              <w:bottom w:val="nil"/>
              <w:right w:val="nil"/>
            </w:tcBorders>
          </w:tcPr>
          <w:p w:rsidR="001F5702" w:rsidRPr="00BA6511" w:rsidRDefault="001F5702" w:rsidP="00BA6511">
            <w:pPr>
              <w:pStyle w:val="Tabletext"/>
              <w:jc w:val="center"/>
            </w:pPr>
            <w:r w:rsidRPr="00BA6511">
              <w:t>n/a</w:t>
            </w:r>
          </w:p>
        </w:tc>
      </w:tr>
      <w:tr w:rsidR="001F5702" w:rsidRPr="00BA6511" w:rsidTr="00BA6511">
        <w:tc>
          <w:tcPr>
            <w:tcW w:w="2694" w:type="dxa"/>
            <w:tcBorders>
              <w:top w:val="nil"/>
              <w:left w:val="nil"/>
              <w:bottom w:val="nil"/>
              <w:right w:val="nil"/>
            </w:tcBorders>
          </w:tcPr>
          <w:p w:rsidR="001F5702" w:rsidRPr="00BA6511" w:rsidRDefault="001F5702" w:rsidP="00BA6511">
            <w:pPr>
              <w:pStyle w:val="Tabletext"/>
            </w:pPr>
            <w:r w:rsidRPr="00BA6511">
              <w:t>Attended Year 12</w:t>
            </w:r>
          </w:p>
        </w:tc>
        <w:tc>
          <w:tcPr>
            <w:tcW w:w="1219" w:type="dxa"/>
            <w:tcBorders>
              <w:top w:val="nil"/>
              <w:left w:val="nil"/>
              <w:bottom w:val="nil"/>
              <w:right w:val="nil"/>
            </w:tcBorders>
          </w:tcPr>
          <w:p w:rsidR="001F5702" w:rsidRPr="00BA6511" w:rsidRDefault="001F5702" w:rsidP="00BA6511">
            <w:pPr>
              <w:pStyle w:val="Tabletext"/>
              <w:tabs>
                <w:tab w:val="decimal" w:pos="567"/>
              </w:tabs>
            </w:pPr>
            <w:r w:rsidRPr="00BA6511">
              <w:t>83.2</w:t>
            </w:r>
          </w:p>
        </w:tc>
        <w:tc>
          <w:tcPr>
            <w:tcW w:w="1219" w:type="dxa"/>
            <w:tcBorders>
              <w:top w:val="nil"/>
              <w:left w:val="nil"/>
              <w:bottom w:val="nil"/>
              <w:right w:val="nil"/>
            </w:tcBorders>
          </w:tcPr>
          <w:p w:rsidR="001F5702" w:rsidRPr="00BA6511" w:rsidRDefault="001F5702" w:rsidP="00BA6511">
            <w:pPr>
              <w:pStyle w:val="Tabletext"/>
              <w:tabs>
                <w:tab w:val="decimal" w:pos="567"/>
              </w:tabs>
            </w:pPr>
            <w:r w:rsidRPr="00BA6511">
              <w:t>82.1</w:t>
            </w:r>
          </w:p>
        </w:tc>
        <w:tc>
          <w:tcPr>
            <w:tcW w:w="1219" w:type="dxa"/>
            <w:tcBorders>
              <w:top w:val="nil"/>
              <w:left w:val="nil"/>
              <w:bottom w:val="nil"/>
              <w:right w:val="nil"/>
            </w:tcBorders>
          </w:tcPr>
          <w:p w:rsidR="001F5702" w:rsidRPr="00BA6511" w:rsidRDefault="001F5702" w:rsidP="00BA6511">
            <w:pPr>
              <w:pStyle w:val="Tabletext"/>
              <w:tabs>
                <w:tab w:val="decimal" w:pos="567"/>
              </w:tabs>
            </w:pPr>
            <w:r w:rsidRPr="00BA6511">
              <w:t>80.1</w:t>
            </w:r>
          </w:p>
        </w:tc>
        <w:tc>
          <w:tcPr>
            <w:tcW w:w="1219" w:type="dxa"/>
            <w:tcBorders>
              <w:top w:val="nil"/>
              <w:left w:val="nil"/>
              <w:bottom w:val="nil"/>
              <w:right w:val="nil"/>
            </w:tcBorders>
          </w:tcPr>
          <w:p w:rsidR="001F5702" w:rsidRPr="00BA6511" w:rsidRDefault="001F5702" w:rsidP="00BA6511">
            <w:pPr>
              <w:pStyle w:val="Tabletext"/>
              <w:tabs>
                <w:tab w:val="decimal" w:pos="567"/>
              </w:tabs>
            </w:pPr>
            <w:r w:rsidRPr="00BA6511">
              <w:t>72.8</w:t>
            </w:r>
          </w:p>
        </w:tc>
        <w:tc>
          <w:tcPr>
            <w:tcW w:w="1219" w:type="dxa"/>
            <w:tcBorders>
              <w:top w:val="nil"/>
              <w:left w:val="nil"/>
              <w:bottom w:val="nil"/>
              <w:right w:val="nil"/>
            </w:tcBorders>
          </w:tcPr>
          <w:p w:rsidR="001F5702" w:rsidRPr="00BA6511" w:rsidRDefault="001F5702" w:rsidP="00BA6511">
            <w:pPr>
              <w:pStyle w:val="Tabletext"/>
              <w:tabs>
                <w:tab w:val="decimal" w:pos="567"/>
              </w:tabs>
            </w:pPr>
            <w:r w:rsidRPr="00BA6511">
              <w:t>72.6</w:t>
            </w:r>
          </w:p>
        </w:tc>
      </w:tr>
      <w:tr w:rsidR="001F5702" w:rsidRPr="00BA6511" w:rsidTr="00BA6511">
        <w:tc>
          <w:tcPr>
            <w:tcW w:w="2694" w:type="dxa"/>
            <w:tcBorders>
              <w:top w:val="nil"/>
              <w:left w:val="nil"/>
              <w:bottom w:val="single" w:sz="4" w:space="0" w:color="auto"/>
              <w:right w:val="nil"/>
            </w:tcBorders>
          </w:tcPr>
          <w:p w:rsidR="001F5702" w:rsidRPr="00BA6511" w:rsidRDefault="001F5702" w:rsidP="00BA6511">
            <w:pPr>
              <w:pStyle w:val="Tabletext"/>
            </w:pPr>
            <w:r w:rsidRPr="00BA6511">
              <w:t>Reported completion of Year 12</w:t>
            </w:r>
          </w:p>
        </w:tc>
        <w:tc>
          <w:tcPr>
            <w:tcW w:w="1219" w:type="dxa"/>
            <w:tcBorders>
              <w:top w:val="nil"/>
              <w:left w:val="nil"/>
              <w:bottom w:val="single" w:sz="4" w:space="0" w:color="auto"/>
              <w:right w:val="nil"/>
            </w:tcBorders>
          </w:tcPr>
          <w:p w:rsidR="001F5702" w:rsidRPr="00BA6511" w:rsidRDefault="001F5702" w:rsidP="00BA6511">
            <w:pPr>
              <w:pStyle w:val="Tabletext"/>
              <w:tabs>
                <w:tab w:val="decimal" w:pos="567"/>
              </w:tabs>
            </w:pPr>
            <w:r w:rsidRPr="00BA6511">
              <w:t>77.1</w:t>
            </w:r>
          </w:p>
        </w:tc>
        <w:tc>
          <w:tcPr>
            <w:tcW w:w="1219" w:type="dxa"/>
            <w:tcBorders>
              <w:top w:val="nil"/>
              <w:left w:val="nil"/>
              <w:bottom w:val="single" w:sz="4" w:space="0" w:color="auto"/>
              <w:right w:val="nil"/>
            </w:tcBorders>
          </w:tcPr>
          <w:p w:rsidR="001F5702" w:rsidRPr="00BA6511" w:rsidRDefault="001F5702" w:rsidP="00BA6511">
            <w:pPr>
              <w:pStyle w:val="Tabletext"/>
              <w:tabs>
                <w:tab w:val="decimal" w:pos="567"/>
              </w:tabs>
            </w:pPr>
            <w:r w:rsidRPr="00BA6511">
              <w:t>74.9</w:t>
            </w:r>
          </w:p>
        </w:tc>
        <w:tc>
          <w:tcPr>
            <w:tcW w:w="1219" w:type="dxa"/>
            <w:tcBorders>
              <w:top w:val="nil"/>
              <w:left w:val="nil"/>
              <w:bottom w:val="single" w:sz="4" w:space="0" w:color="auto"/>
              <w:right w:val="nil"/>
            </w:tcBorders>
          </w:tcPr>
          <w:p w:rsidR="001F5702" w:rsidRPr="00BA6511" w:rsidRDefault="001F5702" w:rsidP="00BA6511">
            <w:pPr>
              <w:pStyle w:val="Tabletext"/>
              <w:tabs>
                <w:tab w:val="decimal" w:pos="567"/>
              </w:tabs>
            </w:pPr>
            <w:r w:rsidRPr="00BA6511">
              <w:t>68.2</w:t>
            </w:r>
          </w:p>
        </w:tc>
        <w:tc>
          <w:tcPr>
            <w:tcW w:w="1219" w:type="dxa"/>
            <w:tcBorders>
              <w:top w:val="nil"/>
              <w:left w:val="nil"/>
              <w:bottom w:val="single" w:sz="4" w:space="0" w:color="auto"/>
              <w:right w:val="nil"/>
            </w:tcBorders>
          </w:tcPr>
          <w:p w:rsidR="001F5702" w:rsidRPr="00BA6511" w:rsidRDefault="001F5702" w:rsidP="00BA6511">
            <w:pPr>
              <w:pStyle w:val="Tabletext"/>
              <w:tabs>
                <w:tab w:val="decimal" w:pos="567"/>
              </w:tabs>
            </w:pPr>
            <w:r w:rsidRPr="00BA6511">
              <w:t>68.2</w:t>
            </w:r>
          </w:p>
        </w:tc>
        <w:tc>
          <w:tcPr>
            <w:tcW w:w="1219" w:type="dxa"/>
            <w:tcBorders>
              <w:top w:val="nil"/>
              <w:left w:val="nil"/>
              <w:bottom w:val="single" w:sz="4" w:space="0" w:color="auto"/>
              <w:right w:val="nil"/>
            </w:tcBorders>
          </w:tcPr>
          <w:p w:rsidR="001F5702" w:rsidRPr="00BA6511" w:rsidRDefault="001F5702" w:rsidP="00BA6511">
            <w:pPr>
              <w:pStyle w:val="Tabletext"/>
              <w:tabs>
                <w:tab w:val="decimal" w:pos="567"/>
              </w:tabs>
            </w:pPr>
            <w:r w:rsidRPr="00BA6511">
              <w:t>67.1</w:t>
            </w:r>
          </w:p>
        </w:tc>
      </w:tr>
    </w:tbl>
    <w:p w:rsidR="001F5702" w:rsidRPr="0028342B" w:rsidRDefault="001F5702" w:rsidP="00EC00CB">
      <w:pPr>
        <w:pStyle w:val="Textmorebefore"/>
        <w:ind w:right="-151"/>
      </w:pPr>
      <w:r>
        <w:t>The first column of t</w:t>
      </w:r>
      <w:r w:rsidRPr="0028342B">
        <w:t xml:space="preserve">able 4 contains the estimates for the </w:t>
      </w:r>
      <w:r>
        <w:t>full Y03 sample. Around 72%</w:t>
      </w:r>
      <w:r w:rsidRPr="0028342B">
        <w:t xml:space="preserve"> of Y03 respondents had received a Year 12 ce</w:t>
      </w:r>
      <w:r>
        <w:t>rtificate by 2006 and 77%</w:t>
      </w:r>
      <w:r w:rsidRPr="0028342B">
        <w:t xml:space="preserve"> reported they had ‘completed’ Year</w:t>
      </w:r>
      <w:r w:rsidR="00EC00CB">
        <w:t> </w:t>
      </w:r>
      <w:r w:rsidRPr="0028342B">
        <w:t>12, while 83% had at least commenced Year 12. The proportions</w:t>
      </w:r>
      <w:r>
        <w:t xml:space="preserve"> from the Y03 sample that match</w:t>
      </w:r>
      <w:r w:rsidRPr="0028342B">
        <w:t xml:space="preserve"> the YIF cohort were a few points smaller in all cases.</w:t>
      </w:r>
      <w:r>
        <w:t xml:space="preserve"> </w:t>
      </w:r>
    </w:p>
    <w:p w:rsidR="001F5702" w:rsidRDefault="001F5702" w:rsidP="001F5702">
      <w:pPr>
        <w:pStyle w:val="Text"/>
      </w:pPr>
      <w:r>
        <w:t xml:space="preserve">Reported completion and participation patterns in the YIF sample were smaller. Specifically, only 63.6% of respondents reported possession of Year 12 certificates in this case, while around 68% reported ‘completion’ of Year 12, which means that there is a difference of six to seven percentage points in the estimated Year 12 completion rate between the two datasets. </w:t>
      </w:r>
    </w:p>
    <w:p w:rsidR="001F5702" w:rsidRDefault="001F5702" w:rsidP="001F5702">
      <w:pPr>
        <w:pStyle w:val="Text"/>
      </w:pPr>
      <w:r>
        <w:t xml:space="preserve">The last two columns of table 4 report Year 12 attendance and reported completion rates based on the matching birth cohorts in the 2006 </w:t>
      </w:r>
      <w:r w:rsidR="00296EF2">
        <w:t>Census</w:t>
      </w:r>
      <w:r>
        <w:t>. Some 67</w:t>
      </w:r>
      <w:r w:rsidR="00682BE0">
        <w:t>—</w:t>
      </w:r>
      <w:r>
        <w:t>68% of comparable youth had completed Year</w:t>
      </w:r>
      <w:r w:rsidR="00EC00CB">
        <w:t> </w:t>
      </w:r>
      <w:r>
        <w:t>12, much closer in magnitude to the estimates from the YIF data than that that given by LSAY. Specifically, the difference in reported Year 12 completion rates is 1.1 percentage points with YIF and 8.9 percentage points with LSAY.</w:t>
      </w:r>
    </w:p>
    <w:p w:rsidR="001F5702" w:rsidRDefault="001F5702" w:rsidP="001F5702">
      <w:pPr>
        <w:pStyle w:val="Text"/>
      </w:pPr>
      <w:r>
        <w:t xml:space="preserve">Most of this difference (more than five percentage points) between reported completion in LSAY and the matching </w:t>
      </w:r>
      <w:r w:rsidR="00296EF2">
        <w:t>Census</w:t>
      </w:r>
      <w:r>
        <w:t xml:space="preserve"> cohort appears to arise because some 7% of 15-year-olds had already left school by the time the PISA tests were conducted in 2003, leaving the Y03 completion rate around three percentage points higher than the </w:t>
      </w:r>
      <w:r w:rsidR="00296EF2">
        <w:t>Census</w:t>
      </w:r>
      <w:r>
        <w:t xml:space="preserve"> figure. The numbers who ‘attended Year 12’ are higher in both Y03 and YIF than the </w:t>
      </w:r>
      <w:r w:rsidR="00296EF2">
        <w:t>Census</w:t>
      </w:r>
      <w:r w:rsidR="00AE1DA5">
        <w:t>. This is</w:t>
      </w:r>
      <w:r>
        <w:t xml:space="preserve"> because the former surveys allow identification of those who at least commenced Year 12 as well as those who completed it or were studying towards it at the time of the survey, while the latter collects information only on the highest level of current or completed schooling, not on those who may have commenced Year 12 but not have completed it. </w:t>
      </w:r>
    </w:p>
    <w:p w:rsidR="001F5702" w:rsidRPr="001047D7" w:rsidRDefault="001F5702" w:rsidP="001F5702">
      <w:pPr>
        <w:pStyle w:val="Heading2"/>
        <w:rPr>
          <w:szCs w:val="28"/>
        </w:rPr>
      </w:pPr>
      <w:bookmarkStart w:id="61" w:name="_Toc274390651"/>
      <w:bookmarkStart w:id="62" w:name="_Toc318282964"/>
      <w:bookmarkStart w:id="63" w:name="_Toc324765875"/>
      <w:r w:rsidRPr="001047D7">
        <w:rPr>
          <w:szCs w:val="28"/>
        </w:rPr>
        <w:t>Activities of young people</w:t>
      </w:r>
      <w:bookmarkEnd w:id="61"/>
      <w:bookmarkEnd w:id="62"/>
      <w:bookmarkEnd w:id="63"/>
    </w:p>
    <w:p w:rsidR="001F5702" w:rsidRDefault="001F5702" w:rsidP="00EC00CB">
      <w:pPr>
        <w:pStyle w:val="Text"/>
        <w:ind w:right="-151"/>
      </w:pPr>
      <w:r>
        <w:t>Another way of gauging the comparability of the LSAY Y03 and YIF data is to look at the activities young</w:t>
      </w:r>
      <w:r w:rsidR="00EC00CB">
        <w:t> </w:t>
      </w:r>
      <w:r>
        <w:t>people report themselves as engaging in when surveyed in 2006. The distributions of young males and females in the two datasets across a set of activities are presented in table 5. These activities include study at school, at university and in vocational education (VET) courses, in combination with and separate from labour force participation. In general, the distributions are similar between the Y03 cohort that matches the YIF cohort and the YIF survey data, although there are some differences. More people report studying full-time in VET courses in the YIF data; fewer people in YIF report doing apprenticeships or traineeships while working full-time; more people in YIF were looking for work and fewer people were employed full-time. The differences are far more pronounced between the activities</w:t>
      </w:r>
      <w:r w:rsidR="00EC00CB">
        <w:t> </w:t>
      </w:r>
      <w:r>
        <w:t>males and females engage in (more females are at university; fewer are in apprenticeships or</w:t>
      </w:r>
      <w:r w:rsidR="00EC00CB">
        <w:t> </w:t>
      </w:r>
      <w:r>
        <w:t xml:space="preserve">traineeships or working full-time) than between the two datasets. In general, the activities young people engage in seem broadly comparable </w:t>
      </w:r>
      <w:r w:rsidR="00A05A99">
        <w:t>across</w:t>
      </w:r>
      <w:r>
        <w:t xml:space="preserve"> the Y03 and YIF data.</w:t>
      </w:r>
    </w:p>
    <w:p w:rsidR="001F5702" w:rsidRDefault="001F5702" w:rsidP="001F5702">
      <w:pPr>
        <w:pStyle w:val="Text"/>
      </w:pPr>
      <w:r>
        <w:lastRenderedPageBreak/>
        <w:t xml:space="preserve">Apprenticeships and traineeships are not activities separately identified in the </w:t>
      </w:r>
      <w:r w:rsidR="00296EF2">
        <w:t>Census</w:t>
      </w:r>
      <w:r>
        <w:t xml:space="preserve"> data. Hence, the set of activities reported in the </w:t>
      </w:r>
      <w:r w:rsidR="00296EF2">
        <w:t>Census</w:t>
      </w:r>
      <w:r>
        <w:t xml:space="preserve"> data in the final two columns of table 5 are not directly comparable with those for the Y03 and YIF surveys. Nevertheless, some of the categories are directly comparable; for example, those at school or studying at university full-time or who are not working and not studying. The proportion at university in both the Y03 and YIF data is a little higher than in the comparable </w:t>
      </w:r>
      <w:r w:rsidR="00296EF2">
        <w:t>Census</w:t>
      </w:r>
      <w:r>
        <w:t xml:space="preserve"> data, presumably reflecting higher rates of Year 12 completion in the two surveys. More people are reported as working full-time in the </w:t>
      </w:r>
      <w:r w:rsidR="00296EF2">
        <w:t>Census</w:t>
      </w:r>
      <w:r>
        <w:t xml:space="preserve"> data, no doubt including some of those categorised as apprentices or trainees in the surveys. More people are not studying and not working in the </w:t>
      </w:r>
      <w:r w:rsidR="00296EF2">
        <w:t>Census</w:t>
      </w:r>
      <w:r>
        <w:t xml:space="preserve"> data than</w:t>
      </w:r>
      <w:r w:rsidR="00A05A99">
        <w:t xml:space="preserve"> in</w:t>
      </w:r>
      <w:r>
        <w:t xml:space="preserve"> the two surveys, although the numbers in either category are much smaller than those either working or studying. In general, however, it appears that the Y03 and the YIF data provide similar pictures of the activities young Australians engage in, and that this picture is broadly representative of such activities in the population. </w:t>
      </w:r>
    </w:p>
    <w:p w:rsidR="001F5702" w:rsidRPr="005D446B" w:rsidRDefault="001F5702" w:rsidP="009956B5">
      <w:pPr>
        <w:pStyle w:val="tabletitle"/>
      </w:pPr>
      <w:bookmarkStart w:id="64" w:name="_Toc239664661"/>
      <w:bookmarkStart w:id="65" w:name="_Toc323566753"/>
      <w:bookmarkStart w:id="66" w:name="_Toc324765900"/>
      <w:r>
        <w:t>Table 5</w:t>
      </w:r>
      <w:r w:rsidRPr="005D446B">
        <w:tab/>
        <w:t>Activitie</w:t>
      </w:r>
      <w:r>
        <w:t>s engaged in by cohort members:</w:t>
      </w:r>
      <w:r w:rsidRPr="005D446B">
        <w:t xml:space="preserve"> </w:t>
      </w:r>
      <w:r>
        <w:t xml:space="preserve">Youth in Focus, LSAY </w:t>
      </w:r>
      <w:r w:rsidRPr="009956B5">
        <w:t>Y03</w:t>
      </w:r>
      <w:r>
        <w:t xml:space="preserve"> and 18-year-olds in 2006 </w:t>
      </w:r>
      <w:r w:rsidR="00296EF2">
        <w:t>Census</w:t>
      </w:r>
      <w:bookmarkEnd w:id="64"/>
      <w:bookmarkEnd w:id="65"/>
      <w:bookmarkEnd w:id="66"/>
    </w:p>
    <w:tbl>
      <w:tblPr>
        <w:tblW w:w="878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3570"/>
        <w:gridCol w:w="1043"/>
        <w:gridCol w:w="1044"/>
        <w:gridCol w:w="1044"/>
        <w:gridCol w:w="1044"/>
        <w:gridCol w:w="1044"/>
      </w:tblGrid>
      <w:tr w:rsidR="009956B5" w:rsidRPr="00D41A46" w:rsidTr="009956B5">
        <w:tc>
          <w:tcPr>
            <w:tcW w:w="3570" w:type="dxa"/>
            <w:tcBorders>
              <w:top w:val="single" w:sz="4" w:space="0" w:color="auto"/>
              <w:left w:val="nil"/>
              <w:bottom w:val="nil"/>
              <w:right w:val="nil"/>
            </w:tcBorders>
          </w:tcPr>
          <w:p w:rsidR="009956B5" w:rsidRPr="0031761A" w:rsidRDefault="009956B5" w:rsidP="009956B5">
            <w:pPr>
              <w:pStyle w:val="Tablehead1"/>
            </w:pPr>
          </w:p>
        </w:tc>
        <w:tc>
          <w:tcPr>
            <w:tcW w:w="1043" w:type="dxa"/>
            <w:tcBorders>
              <w:top w:val="single" w:sz="4" w:space="0" w:color="auto"/>
              <w:left w:val="nil"/>
              <w:bottom w:val="nil"/>
              <w:right w:val="nil"/>
            </w:tcBorders>
          </w:tcPr>
          <w:p w:rsidR="009956B5" w:rsidRDefault="009956B5" w:rsidP="00A05A99">
            <w:pPr>
              <w:pStyle w:val="Tablehead1"/>
              <w:jc w:val="center"/>
            </w:pPr>
            <w:r>
              <w:t>LSAY Y03</w:t>
            </w:r>
          </w:p>
        </w:tc>
        <w:tc>
          <w:tcPr>
            <w:tcW w:w="1044" w:type="dxa"/>
            <w:tcBorders>
              <w:top w:val="single" w:sz="4" w:space="0" w:color="auto"/>
              <w:left w:val="nil"/>
              <w:bottom w:val="nil"/>
              <w:right w:val="nil"/>
            </w:tcBorders>
          </w:tcPr>
          <w:p w:rsidR="009956B5" w:rsidRDefault="009956B5" w:rsidP="00A05A99">
            <w:pPr>
              <w:pStyle w:val="Tablehead1"/>
              <w:jc w:val="center"/>
            </w:pPr>
            <w:r>
              <w:t>LSAY Y03</w:t>
            </w:r>
          </w:p>
        </w:tc>
        <w:tc>
          <w:tcPr>
            <w:tcW w:w="1044" w:type="dxa"/>
            <w:tcBorders>
              <w:top w:val="single" w:sz="4" w:space="0" w:color="auto"/>
              <w:left w:val="nil"/>
              <w:bottom w:val="nil"/>
              <w:right w:val="nil"/>
            </w:tcBorders>
          </w:tcPr>
          <w:p w:rsidR="009956B5" w:rsidRDefault="009956B5" w:rsidP="009956B5">
            <w:pPr>
              <w:pStyle w:val="Tablehead1"/>
              <w:jc w:val="center"/>
            </w:pPr>
            <w:r>
              <w:t>Youth in Focus</w:t>
            </w:r>
          </w:p>
        </w:tc>
        <w:tc>
          <w:tcPr>
            <w:tcW w:w="2088" w:type="dxa"/>
            <w:gridSpan w:val="2"/>
            <w:tcBorders>
              <w:top w:val="single" w:sz="4" w:space="0" w:color="auto"/>
              <w:left w:val="nil"/>
              <w:bottom w:val="nil"/>
              <w:right w:val="nil"/>
            </w:tcBorders>
          </w:tcPr>
          <w:p w:rsidR="009956B5" w:rsidRPr="008B55B3" w:rsidRDefault="009956B5" w:rsidP="009956B5">
            <w:pPr>
              <w:pStyle w:val="Tablehead1"/>
              <w:jc w:val="center"/>
            </w:pPr>
            <w:r w:rsidRPr="008B55B3">
              <w:t>Census 2006</w:t>
            </w:r>
          </w:p>
        </w:tc>
      </w:tr>
      <w:tr w:rsidR="009956B5" w:rsidRPr="00D41A46" w:rsidTr="009956B5">
        <w:tc>
          <w:tcPr>
            <w:tcW w:w="3570" w:type="dxa"/>
            <w:tcBorders>
              <w:top w:val="nil"/>
              <w:left w:val="nil"/>
              <w:bottom w:val="single" w:sz="4" w:space="0" w:color="auto"/>
              <w:right w:val="nil"/>
            </w:tcBorders>
          </w:tcPr>
          <w:p w:rsidR="009956B5" w:rsidRPr="0031761A" w:rsidRDefault="009956B5" w:rsidP="009956B5">
            <w:pPr>
              <w:pStyle w:val="Tablehead2"/>
            </w:pPr>
          </w:p>
        </w:tc>
        <w:tc>
          <w:tcPr>
            <w:tcW w:w="1043" w:type="dxa"/>
            <w:tcBorders>
              <w:top w:val="nil"/>
              <w:left w:val="nil"/>
              <w:bottom w:val="single" w:sz="4" w:space="0" w:color="auto"/>
              <w:right w:val="nil"/>
            </w:tcBorders>
          </w:tcPr>
          <w:p w:rsidR="009956B5" w:rsidRDefault="00A05A99" w:rsidP="009956B5">
            <w:pPr>
              <w:pStyle w:val="Tablehead2"/>
              <w:jc w:val="center"/>
            </w:pPr>
            <w:r>
              <w:t>F</w:t>
            </w:r>
            <w:r w:rsidRPr="00A05A99">
              <w:t>ull 2006 sample</w:t>
            </w:r>
          </w:p>
        </w:tc>
        <w:tc>
          <w:tcPr>
            <w:tcW w:w="1044" w:type="dxa"/>
            <w:tcBorders>
              <w:top w:val="nil"/>
              <w:left w:val="nil"/>
              <w:bottom w:val="single" w:sz="4" w:space="0" w:color="auto"/>
              <w:right w:val="nil"/>
            </w:tcBorders>
          </w:tcPr>
          <w:p w:rsidR="009956B5" w:rsidRDefault="00A05A99" w:rsidP="009956B5">
            <w:pPr>
              <w:pStyle w:val="Tablehead2"/>
              <w:jc w:val="center"/>
            </w:pPr>
            <w:r>
              <w:t>M</w:t>
            </w:r>
            <w:r w:rsidRPr="00A05A99">
              <w:t>atching YIF birth cohort</w:t>
            </w:r>
          </w:p>
        </w:tc>
        <w:tc>
          <w:tcPr>
            <w:tcW w:w="1044" w:type="dxa"/>
            <w:tcBorders>
              <w:top w:val="nil"/>
              <w:left w:val="nil"/>
              <w:bottom w:val="single" w:sz="4" w:space="0" w:color="auto"/>
              <w:right w:val="nil"/>
            </w:tcBorders>
          </w:tcPr>
          <w:p w:rsidR="009956B5" w:rsidRDefault="009956B5" w:rsidP="009956B5">
            <w:pPr>
              <w:pStyle w:val="Tablehead2"/>
              <w:jc w:val="center"/>
            </w:pPr>
          </w:p>
        </w:tc>
        <w:tc>
          <w:tcPr>
            <w:tcW w:w="1044" w:type="dxa"/>
            <w:tcBorders>
              <w:top w:val="nil"/>
              <w:left w:val="nil"/>
              <w:bottom w:val="single" w:sz="4" w:space="0" w:color="auto"/>
              <w:right w:val="nil"/>
            </w:tcBorders>
          </w:tcPr>
          <w:p w:rsidR="009956B5" w:rsidRDefault="009956B5" w:rsidP="009956B5">
            <w:pPr>
              <w:pStyle w:val="Tablehead2"/>
              <w:jc w:val="center"/>
            </w:pPr>
            <w:r>
              <w:t>Matching LSAY cohort</w:t>
            </w:r>
          </w:p>
        </w:tc>
        <w:tc>
          <w:tcPr>
            <w:tcW w:w="1044" w:type="dxa"/>
            <w:tcBorders>
              <w:top w:val="nil"/>
              <w:left w:val="nil"/>
              <w:bottom w:val="single" w:sz="4" w:space="0" w:color="auto"/>
              <w:right w:val="nil"/>
            </w:tcBorders>
          </w:tcPr>
          <w:p w:rsidR="009956B5" w:rsidRPr="0031761A" w:rsidRDefault="009956B5" w:rsidP="009956B5">
            <w:pPr>
              <w:pStyle w:val="Tablehead2"/>
              <w:jc w:val="center"/>
            </w:pPr>
            <w:r>
              <w:t>Matching YIF cohort</w:t>
            </w:r>
          </w:p>
        </w:tc>
      </w:tr>
      <w:tr w:rsidR="009956B5" w:rsidRPr="009956B5" w:rsidTr="009956B5">
        <w:tc>
          <w:tcPr>
            <w:tcW w:w="3570" w:type="dxa"/>
            <w:tcBorders>
              <w:top w:val="single" w:sz="4" w:space="0" w:color="auto"/>
              <w:left w:val="nil"/>
              <w:bottom w:val="nil"/>
              <w:right w:val="nil"/>
            </w:tcBorders>
            <w:shd w:val="clear" w:color="auto" w:fill="auto"/>
          </w:tcPr>
          <w:p w:rsidR="009956B5" w:rsidRPr="009956B5" w:rsidRDefault="009956B5" w:rsidP="009956B5">
            <w:pPr>
              <w:pStyle w:val="Tabletext"/>
              <w:rPr>
                <w:b/>
              </w:rPr>
            </w:pPr>
            <w:r w:rsidRPr="009956B5">
              <w:rPr>
                <w:b/>
              </w:rPr>
              <w:t>Current activity in 2006</w:t>
            </w:r>
          </w:p>
        </w:tc>
        <w:tc>
          <w:tcPr>
            <w:tcW w:w="1043" w:type="dxa"/>
            <w:tcBorders>
              <w:top w:val="single" w:sz="4" w:space="0" w:color="auto"/>
              <w:left w:val="nil"/>
              <w:bottom w:val="nil"/>
              <w:right w:val="nil"/>
            </w:tcBorders>
            <w:shd w:val="clear" w:color="auto" w:fill="auto"/>
          </w:tcPr>
          <w:p w:rsidR="009956B5" w:rsidRPr="009956B5" w:rsidRDefault="009956B5" w:rsidP="009956B5">
            <w:pPr>
              <w:pStyle w:val="Tabletext"/>
            </w:pPr>
          </w:p>
        </w:tc>
        <w:tc>
          <w:tcPr>
            <w:tcW w:w="1044" w:type="dxa"/>
            <w:tcBorders>
              <w:top w:val="single" w:sz="4" w:space="0" w:color="auto"/>
              <w:left w:val="nil"/>
              <w:bottom w:val="nil"/>
              <w:right w:val="nil"/>
            </w:tcBorders>
            <w:shd w:val="clear" w:color="auto" w:fill="auto"/>
          </w:tcPr>
          <w:p w:rsidR="009956B5" w:rsidRPr="009956B5" w:rsidRDefault="009956B5" w:rsidP="009956B5">
            <w:pPr>
              <w:pStyle w:val="Tabletext"/>
            </w:pPr>
          </w:p>
        </w:tc>
        <w:tc>
          <w:tcPr>
            <w:tcW w:w="1044" w:type="dxa"/>
            <w:tcBorders>
              <w:top w:val="single" w:sz="4" w:space="0" w:color="auto"/>
              <w:left w:val="nil"/>
              <w:bottom w:val="nil"/>
              <w:right w:val="nil"/>
            </w:tcBorders>
            <w:shd w:val="clear" w:color="auto" w:fill="auto"/>
          </w:tcPr>
          <w:p w:rsidR="009956B5" w:rsidRPr="009956B5" w:rsidRDefault="009956B5" w:rsidP="009956B5">
            <w:pPr>
              <w:pStyle w:val="Tabletext"/>
            </w:pPr>
          </w:p>
        </w:tc>
        <w:tc>
          <w:tcPr>
            <w:tcW w:w="1044" w:type="dxa"/>
            <w:tcBorders>
              <w:top w:val="single" w:sz="4" w:space="0" w:color="auto"/>
              <w:left w:val="nil"/>
              <w:bottom w:val="nil"/>
              <w:right w:val="nil"/>
            </w:tcBorders>
            <w:shd w:val="clear" w:color="auto" w:fill="auto"/>
          </w:tcPr>
          <w:p w:rsidR="009956B5" w:rsidRPr="009956B5" w:rsidRDefault="009956B5" w:rsidP="009956B5">
            <w:pPr>
              <w:pStyle w:val="Tabletext"/>
            </w:pPr>
          </w:p>
        </w:tc>
        <w:tc>
          <w:tcPr>
            <w:tcW w:w="1044" w:type="dxa"/>
            <w:tcBorders>
              <w:top w:val="single" w:sz="4" w:space="0" w:color="auto"/>
              <w:left w:val="nil"/>
              <w:bottom w:val="nil"/>
              <w:right w:val="nil"/>
            </w:tcBorders>
            <w:shd w:val="clear" w:color="auto" w:fill="auto"/>
          </w:tcPr>
          <w:p w:rsidR="009956B5" w:rsidRPr="009956B5" w:rsidRDefault="009956B5" w:rsidP="009956B5">
            <w:pPr>
              <w:pStyle w:val="Tabletext"/>
            </w:pP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rPr>
                <w:i/>
              </w:rPr>
            </w:pPr>
            <w:r w:rsidRPr="009956B5">
              <w:rPr>
                <w:i/>
              </w:rPr>
              <w:t>Males</w:t>
            </w:r>
          </w:p>
        </w:tc>
        <w:tc>
          <w:tcPr>
            <w:tcW w:w="1043" w:type="dxa"/>
            <w:tcBorders>
              <w:top w:val="nil"/>
              <w:left w:val="nil"/>
              <w:bottom w:val="nil"/>
              <w:right w:val="nil"/>
            </w:tcBorders>
          </w:tcPr>
          <w:p w:rsidR="009956B5" w:rsidRPr="009956B5" w:rsidRDefault="009956B5" w:rsidP="009956B5">
            <w:pPr>
              <w:pStyle w:val="Tabletext"/>
            </w:pPr>
          </w:p>
        </w:tc>
        <w:tc>
          <w:tcPr>
            <w:tcW w:w="1044" w:type="dxa"/>
            <w:tcBorders>
              <w:top w:val="nil"/>
              <w:left w:val="nil"/>
              <w:bottom w:val="nil"/>
              <w:right w:val="nil"/>
            </w:tcBorders>
          </w:tcPr>
          <w:p w:rsidR="009956B5" w:rsidRPr="009956B5" w:rsidRDefault="009956B5" w:rsidP="009956B5">
            <w:pPr>
              <w:pStyle w:val="Tabletext"/>
            </w:pPr>
          </w:p>
        </w:tc>
        <w:tc>
          <w:tcPr>
            <w:tcW w:w="1044" w:type="dxa"/>
            <w:tcBorders>
              <w:top w:val="nil"/>
              <w:left w:val="nil"/>
              <w:bottom w:val="nil"/>
              <w:right w:val="nil"/>
            </w:tcBorders>
          </w:tcPr>
          <w:p w:rsidR="009956B5" w:rsidRPr="009956B5" w:rsidRDefault="009956B5" w:rsidP="009956B5">
            <w:pPr>
              <w:pStyle w:val="Tabletext"/>
            </w:pPr>
          </w:p>
        </w:tc>
        <w:tc>
          <w:tcPr>
            <w:tcW w:w="1044" w:type="dxa"/>
            <w:tcBorders>
              <w:top w:val="nil"/>
              <w:left w:val="nil"/>
              <w:bottom w:val="nil"/>
              <w:right w:val="nil"/>
            </w:tcBorders>
          </w:tcPr>
          <w:p w:rsidR="009956B5" w:rsidRPr="009956B5" w:rsidRDefault="009956B5" w:rsidP="009956B5">
            <w:pPr>
              <w:pStyle w:val="Tabletext"/>
            </w:pPr>
          </w:p>
        </w:tc>
        <w:tc>
          <w:tcPr>
            <w:tcW w:w="1044" w:type="dxa"/>
            <w:tcBorders>
              <w:top w:val="nil"/>
              <w:left w:val="nil"/>
              <w:bottom w:val="nil"/>
              <w:right w:val="nil"/>
            </w:tcBorders>
          </w:tcPr>
          <w:p w:rsidR="009956B5" w:rsidRPr="009956B5" w:rsidRDefault="009956B5" w:rsidP="009956B5">
            <w:pPr>
              <w:pStyle w:val="Tabletext"/>
            </w:pP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At school</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6.7</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8.2</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9.6</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8.6</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10.2</w:t>
            </w: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At university full-time</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22.8</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21.3</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21.7</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21.1</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20.4</w:t>
            </w: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In VET study full-time</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7.4</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7.3</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11.5</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10.1</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10.5</w:t>
            </w: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Apprenticeship/traineeship, full-time work</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19.5</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19.9</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14.9</w:t>
            </w:r>
          </w:p>
        </w:tc>
        <w:tc>
          <w:tcPr>
            <w:tcW w:w="1044" w:type="dxa"/>
            <w:tcBorders>
              <w:top w:val="nil"/>
              <w:left w:val="nil"/>
              <w:bottom w:val="nil"/>
              <w:right w:val="nil"/>
            </w:tcBorders>
          </w:tcPr>
          <w:p w:rsidR="009956B5" w:rsidRPr="009956B5" w:rsidRDefault="009956B5" w:rsidP="00042FE5">
            <w:pPr>
              <w:pStyle w:val="Tabletext"/>
              <w:jc w:val="center"/>
            </w:pPr>
            <w:r w:rsidRPr="009956B5">
              <w:t>n/a</w:t>
            </w:r>
          </w:p>
        </w:tc>
        <w:tc>
          <w:tcPr>
            <w:tcW w:w="1044" w:type="dxa"/>
            <w:tcBorders>
              <w:top w:val="nil"/>
              <w:left w:val="nil"/>
              <w:bottom w:val="nil"/>
              <w:right w:val="nil"/>
            </w:tcBorders>
          </w:tcPr>
          <w:p w:rsidR="009956B5" w:rsidRPr="009956B5" w:rsidRDefault="009956B5" w:rsidP="00042FE5">
            <w:pPr>
              <w:pStyle w:val="Tabletext"/>
              <w:jc w:val="center"/>
            </w:pPr>
            <w:r w:rsidRPr="009956B5">
              <w:t>n/a</w:t>
            </w: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Apprenticeship/traineeship, not working full-time</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1.5</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1.7</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1.8</w:t>
            </w:r>
          </w:p>
        </w:tc>
        <w:tc>
          <w:tcPr>
            <w:tcW w:w="1044" w:type="dxa"/>
            <w:tcBorders>
              <w:top w:val="nil"/>
              <w:left w:val="nil"/>
              <w:bottom w:val="nil"/>
              <w:right w:val="nil"/>
            </w:tcBorders>
          </w:tcPr>
          <w:p w:rsidR="009956B5" w:rsidRPr="009956B5" w:rsidRDefault="009956B5" w:rsidP="00042FE5">
            <w:pPr>
              <w:pStyle w:val="Tabletext"/>
              <w:jc w:val="center"/>
            </w:pPr>
            <w:r w:rsidRPr="009956B5">
              <w:t>n/a</w:t>
            </w:r>
          </w:p>
        </w:tc>
        <w:tc>
          <w:tcPr>
            <w:tcW w:w="1044" w:type="dxa"/>
            <w:tcBorders>
              <w:top w:val="nil"/>
              <w:left w:val="nil"/>
              <w:bottom w:val="nil"/>
              <w:right w:val="nil"/>
            </w:tcBorders>
          </w:tcPr>
          <w:p w:rsidR="009956B5" w:rsidRPr="009956B5" w:rsidRDefault="009956B5" w:rsidP="00042FE5">
            <w:pPr>
              <w:pStyle w:val="Tabletext"/>
              <w:jc w:val="center"/>
            </w:pPr>
            <w:r w:rsidRPr="009956B5">
              <w:t>n/a</w:t>
            </w: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Post-school study part-time, not working</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0.1</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0.1</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0.7</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1.4</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1.5</w:t>
            </w: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Post-school study part-time, part-time work</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0.7</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0.6</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1.5</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1.8</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1.8</w:t>
            </w: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Part-time work, no study</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13.2</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12.5</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11.3</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9.4</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9.4</w:t>
            </w: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Full-time work, no study</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20.3</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20.1</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15.9</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26.1</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25.1</w:t>
            </w: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Full-time work, part-time study</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0.7</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0.6</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3.4</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9.2</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8.8</w:t>
            </w: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No study, not working and looking for work</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4.0</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4.2</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6.0</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7.3</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7.4</w:t>
            </w:r>
          </w:p>
        </w:tc>
      </w:tr>
      <w:tr w:rsidR="009956B5" w:rsidRPr="009956B5" w:rsidTr="009956B5">
        <w:tc>
          <w:tcPr>
            <w:tcW w:w="3570" w:type="dxa"/>
            <w:tcBorders>
              <w:top w:val="nil"/>
              <w:left w:val="nil"/>
              <w:bottom w:val="single" w:sz="4" w:space="0" w:color="auto"/>
              <w:right w:val="nil"/>
            </w:tcBorders>
          </w:tcPr>
          <w:p w:rsidR="009956B5" w:rsidRPr="009956B5" w:rsidRDefault="009956B5" w:rsidP="009956B5">
            <w:pPr>
              <w:pStyle w:val="Tabletext"/>
            </w:pPr>
            <w:r w:rsidRPr="009956B5">
              <w:t>No study, not working, not looking for work</w:t>
            </w:r>
          </w:p>
        </w:tc>
        <w:tc>
          <w:tcPr>
            <w:tcW w:w="1043" w:type="dxa"/>
            <w:tcBorders>
              <w:top w:val="nil"/>
              <w:left w:val="nil"/>
              <w:bottom w:val="single" w:sz="4" w:space="0" w:color="auto"/>
              <w:right w:val="nil"/>
            </w:tcBorders>
          </w:tcPr>
          <w:p w:rsidR="009956B5" w:rsidRPr="009956B5" w:rsidRDefault="009956B5" w:rsidP="00042FE5">
            <w:pPr>
              <w:pStyle w:val="Tabletext"/>
              <w:tabs>
                <w:tab w:val="decimal" w:pos="454"/>
              </w:tabs>
            </w:pPr>
            <w:r w:rsidRPr="009956B5">
              <w:t>3.1</w:t>
            </w:r>
          </w:p>
        </w:tc>
        <w:tc>
          <w:tcPr>
            <w:tcW w:w="1044" w:type="dxa"/>
            <w:tcBorders>
              <w:top w:val="nil"/>
              <w:left w:val="nil"/>
              <w:bottom w:val="single" w:sz="4" w:space="0" w:color="auto"/>
              <w:right w:val="nil"/>
            </w:tcBorders>
          </w:tcPr>
          <w:p w:rsidR="009956B5" w:rsidRPr="009956B5" w:rsidRDefault="009956B5" w:rsidP="00042FE5">
            <w:pPr>
              <w:pStyle w:val="Tabletext"/>
              <w:tabs>
                <w:tab w:val="decimal" w:pos="454"/>
              </w:tabs>
            </w:pPr>
            <w:r w:rsidRPr="009956B5">
              <w:t>3.5</w:t>
            </w:r>
          </w:p>
        </w:tc>
        <w:tc>
          <w:tcPr>
            <w:tcW w:w="1044" w:type="dxa"/>
            <w:tcBorders>
              <w:top w:val="nil"/>
              <w:left w:val="nil"/>
              <w:bottom w:val="single" w:sz="4" w:space="0" w:color="auto"/>
              <w:right w:val="nil"/>
            </w:tcBorders>
          </w:tcPr>
          <w:p w:rsidR="009956B5" w:rsidRPr="009956B5" w:rsidRDefault="009956B5" w:rsidP="00042FE5">
            <w:pPr>
              <w:pStyle w:val="Tabletext"/>
              <w:tabs>
                <w:tab w:val="decimal" w:pos="454"/>
              </w:tabs>
            </w:pPr>
            <w:r w:rsidRPr="009956B5">
              <w:t>1.7</w:t>
            </w:r>
          </w:p>
        </w:tc>
        <w:tc>
          <w:tcPr>
            <w:tcW w:w="1044" w:type="dxa"/>
            <w:tcBorders>
              <w:top w:val="nil"/>
              <w:left w:val="nil"/>
              <w:bottom w:val="single" w:sz="4" w:space="0" w:color="auto"/>
              <w:right w:val="nil"/>
            </w:tcBorders>
            <w:shd w:val="clear" w:color="auto" w:fill="FFFFFF"/>
          </w:tcPr>
          <w:p w:rsidR="009956B5" w:rsidRPr="009956B5" w:rsidRDefault="009956B5" w:rsidP="00042FE5">
            <w:pPr>
              <w:pStyle w:val="Tabletext"/>
              <w:tabs>
                <w:tab w:val="decimal" w:pos="454"/>
              </w:tabs>
            </w:pPr>
            <w:r w:rsidRPr="009956B5">
              <w:t>5.1</w:t>
            </w:r>
          </w:p>
        </w:tc>
        <w:tc>
          <w:tcPr>
            <w:tcW w:w="1044" w:type="dxa"/>
            <w:tcBorders>
              <w:top w:val="nil"/>
              <w:left w:val="nil"/>
              <w:bottom w:val="single" w:sz="4" w:space="0" w:color="auto"/>
              <w:right w:val="nil"/>
            </w:tcBorders>
            <w:shd w:val="clear" w:color="auto" w:fill="FFFFFF"/>
          </w:tcPr>
          <w:p w:rsidR="009956B5" w:rsidRPr="009956B5" w:rsidRDefault="009956B5" w:rsidP="00042FE5">
            <w:pPr>
              <w:pStyle w:val="Tabletext"/>
              <w:tabs>
                <w:tab w:val="decimal" w:pos="454"/>
              </w:tabs>
            </w:pPr>
            <w:r w:rsidRPr="009956B5">
              <w:t>4.9</w:t>
            </w:r>
          </w:p>
        </w:tc>
      </w:tr>
      <w:tr w:rsidR="009956B5" w:rsidRPr="009956B5" w:rsidTr="009956B5">
        <w:tc>
          <w:tcPr>
            <w:tcW w:w="3570" w:type="dxa"/>
            <w:tcBorders>
              <w:top w:val="single" w:sz="4" w:space="0" w:color="auto"/>
              <w:left w:val="nil"/>
              <w:bottom w:val="nil"/>
              <w:right w:val="nil"/>
            </w:tcBorders>
          </w:tcPr>
          <w:p w:rsidR="009956B5" w:rsidRPr="009956B5" w:rsidRDefault="009956B5" w:rsidP="009956B5">
            <w:pPr>
              <w:pStyle w:val="Tabletext"/>
              <w:rPr>
                <w:i/>
              </w:rPr>
            </w:pPr>
            <w:r w:rsidRPr="009956B5">
              <w:rPr>
                <w:i/>
              </w:rPr>
              <w:t xml:space="preserve">Females </w:t>
            </w:r>
          </w:p>
        </w:tc>
        <w:tc>
          <w:tcPr>
            <w:tcW w:w="1043" w:type="dxa"/>
            <w:tcBorders>
              <w:top w:val="single" w:sz="4" w:space="0" w:color="auto"/>
              <w:left w:val="nil"/>
              <w:bottom w:val="nil"/>
              <w:right w:val="nil"/>
            </w:tcBorders>
          </w:tcPr>
          <w:p w:rsidR="009956B5" w:rsidRPr="009956B5" w:rsidRDefault="009956B5" w:rsidP="00042FE5">
            <w:pPr>
              <w:pStyle w:val="Tabletext"/>
              <w:tabs>
                <w:tab w:val="decimal" w:pos="454"/>
              </w:tabs>
            </w:pPr>
          </w:p>
        </w:tc>
        <w:tc>
          <w:tcPr>
            <w:tcW w:w="1044" w:type="dxa"/>
            <w:tcBorders>
              <w:top w:val="single" w:sz="4" w:space="0" w:color="auto"/>
              <w:left w:val="nil"/>
              <w:bottom w:val="nil"/>
              <w:right w:val="nil"/>
            </w:tcBorders>
          </w:tcPr>
          <w:p w:rsidR="009956B5" w:rsidRPr="009956B5" w:rsidRDefault="009956B5" w:rsidP="00042FE5">
            <w:pPr>
              <w:pStyle w:val="Tabletext"/>
              <w:tabs>
                <w:tab w:val="decimal" w:pos="454"/>
              </w:tabs>
              <w:rPr>
                <w:highlight w:val="yellow"/>
              </w:rPr>
            </w:pPr>
          </w:p>
        </w:tc>
        <w:tc>
          <w:tcPr>
            <w:tcW w:w="1044" w:type="dxa"/>
            <w:tcBorders>
              <w:top w:val="single" w:sz="4" w:space="0" w:color="auto"/>
              <w:left w:val="nil"/>
              <w:bottom w:val="nil"/>
              <w:right w:val="nil"/>
            </w:tcBorders>
          </w:tcPr>
          <w:p w:rsidR="009956B5" w:rsidRPr="009956B5" w:rsidRDefault="009956B5" w:rsidP="00042FE5">
            <w:pPr>
              <w:pStyle w:val="Tabletext"/>
              <w:tabs>
                <w:tab w:val="decimal" w:pos="454"/>
              </w:tabs>
            </w:pPr>
          </w:p>
        </w:tc>
        <w:tc>
          <w:tcPr>
            <w:tcW w:w="1044" w:type="dxa"/>
            <w:tcBorders>
              <w:top w:val="single" w:sz="4" w:space="0" w:color="auto"/>
              <w:left w:val="nil"/>
              <w:bottom w:val="nil"/>
              <w:right w:val="nil"/>
            </w:tcBorders>
            <w:shd w:val="clear" w:color="auto" w:fill="FFFFFF"/>
          </w:tcPr>
          <w:p w:rsidR="009956B5" w:rsidRPr="009956B5" w:rsidRDefault="009956B5" w:rsidP="00042FE5">
            <w:pPr>
              <w:pStyle w:val="Tabletext"/>
              <w:tabs>
                <w:tab w:val="decimal" w:pos="454"/>
              </w:tabs>
            </w:pPr>
          </w:p>
        </w:tc>
        <w:tc>
          <w:tcPr>
            <w:tcW w:w="1044" w:type="dxa"/>
            <w:tcBorders>
              <w:top w:val="single" w:sz="4" w:space="0" w:color="auto"/>
              <w:left w:val="nil"/>
              <w:bottom w:val="nil"/>
              <w:right w:val="nil"/>
            </w:tcBorders>
            <w:shd w:val="clear" w:color="auto" w:fill="FFFFFF"/>
          </w:tcPr>
          <w:p w:rsidR="009956B5" w:rsidRPr="009956B5" w:rsidRDefault="009956B5" w:rsidP="00042FE5">
            <w:pPr>
              <w:pStyle w:val="Tabletext"/>
              <w:tabs>
                <w:tab w:val="decimal" w:pos="454"/>
              </w:tabs>
            </w:pP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At school</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5.7</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6.4</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8.2</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7.6</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9.0</w:t>
            </w: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At university full-time</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32.5</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31.9</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32.6</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29.9</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29.3</w:t>
            </w: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In VET study full-time</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7.7</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7.5</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12.7</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11.3</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11.6</w:t>
            </w: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Apprenticeship/traineeship, full-time work</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6.0</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5.9</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3.4</w:t>
            </w:r>
          </w:p>
        </w:tc>
        <w:tc>
          <w:tcPr>
            <w:tcW w:w="1044" w:type="dxa"/>
            <w:tcBorders>
              <w:top w:val="nil"/>
              <w:left w:val="nil"/>
              <w:bottom w:val="nil"/>
              <w:right w:val="nil"/>
            </w:tcBorders>
            <w:shd w:val="clear" w:color="auto" w:fill="FFFFFF"/>
          </w:tcPr>
          <w:p w:rsidR="009956B5" w:rsidRPr="009956B5" w:rsidRDefault="009956B5" w:rsidP="00042FE5">
            <w:pPr>
              <w:pStyle w:val="Tabletext"/>
              <w:jc w:val="center"/>
            </w:pPr>
            <w:r w:rsidRPr="009956B5">
              <w:t>n/a</w:t>
            </w:r>
          </w:p>
        </w:tc>
        <w:tc>
          <w:tcPr>
            <w:tcW w:w="1044" w:type="dxa"/>
            <w:tcBorders>
              <w:top w:val="nil"/>
              <w:left w:val="nil"/>
              <w:bottom w:val="nil"/>
              <w:right w:val="nil"/>
            </w:tcBorders>
            <w:shd w:val="clear" w:color="auto" w:fill="FFFFFF"/>
          </w:tcPr>
          <w:p w:rsidR="009956B5" w:rsidRPr="009956B5" w:rsidRDefault="009956B5" w:rsidP="00042FE5">
            <w:pPr>
              <w:pStyle w:val="Tabletext"/>
              <w:jc w:val="center"/>
            </w:pPr>
            <w:r w:rsidRPr="009956B5">
              <w:t>n/a</w:t>
            </w: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Apprenticeship/traineeship, not working full-time</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1.0</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0.8</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0.9</w:t>
            </w:r>
          </w:p>
        </w:tc>
        <w:tc>
          <w:tcPr>
            <w:tcW w:w="1044" w:type="dxa"/>
            <w:tcBorders>
              <w:top w:val="nil"/>
              <w:left w:val="nil"/>
              <w:bottom w:val="nil"/>
              <w:right w:val="nil"/>
            </w:tcBorders>
            <w:shd w:val="clear" w:color="auto" w:fill="FFFFFF"/>
          </w:tcPr>
          <w:p w:rsidR="009956B5" w:rsidRPr="009956B5" w:rsidRDefault="009956B5" w:rsidP="00042FE5">
            <w:pPr>
              <w:pStyle w:val="Tabletext"/>
              <w:jc w:val="center"/>
            </w:pPr>
            <w:r w:rsidRPr="009956B5">
              <w:t>n/a</w:t>
            </w:r>
          </w:p>
        </w:tc>
        <w:tc>
          <w:tcPr>
            <w:tcW w:w="1044" w:type="dxa"/>
            <w:tcBorders>
              <w:top w:val="nil"/>
              <w:left w:val="nil"/>
              <w:bottom w:val="nil"/>
              <w:right w:val="nil"/>
            </w:tcBorders>
            <w:shd w:val="clear" w:color="auto" w:fill="FFFFFF"/>
          </w:tcPr>
          <w:p w:rsidR="009956B5" w:rsidRPr="009956B5" w:rsidRDefault="009956B5" w:rsidP="00042FE5">
            <w:pPr>
              <w:pStyle w:val="Tabletext"/>
              <w:jc w:val="center"/>
            </w:pPr>
            <w:r w:rsidRPr="009956B5">
              <w:t>n/a</w:t>
            </w: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Post-school study part-time, not working</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0.2</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0.1</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1.1</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1.7</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1.7</w:t>
            </w: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Post-school study part-time, part-time work</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1.7</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1.7</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2.6</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2.7</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2.6</w:t>
            </w: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Part-time work, no study</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18.9</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19.7</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13.9</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13.2</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13.2</w:t>
            </w: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Full-time work, no study</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16.7</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16.3</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12.2</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18.1</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17.3</w:t>
            </w: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Full-time work, part-time study</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1.5</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1.2</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2.7</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3.5</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3.5</w:t>
            </w:r>
          </w:p>
        </w:tc>
      </w:tr>
      <w:tr w:rsidR="009956B5" w:rsidRPr="009956B5" w:rsidTr="009956B5">
        <w:tc>
          <w:tcPr>
            <w:tcW w:w="3570" w:type="dxa"/>
            <w:tcBorders>
              <w:top w:val="nil"/>
              <w:left w:val="nil"/>
              <w:bottom w:val="nil"/>
              <w:right w:val="nil"/>
            </w:tcBorders>
          </w:tcPr>
          <w:p w:rsidR="009956B5" w:rsidRPr="009956B5" w:rsidRDefault="009956B5" w:rsidP="009956B5">
            <w:pPr>
              <w:pStyle w:val="Tabletext"/>
            </w:pPr>
            <w:r w:rsidRPr="009956B5">
              <w:t>No study, not working and looking for work</w:t>
            </w:r>
          </w:p>
        </w:tc>
        <w:tc>
          <w:tcPr>
            <w:tcW w:w="1043" w:type="dxa"/>
            <w:tcBorders>
              <w:top w:val="nil"/>
              <w:left w:val="nil"/>
              <w:bottom w:val="nil"/>
              <w:right w:val="nil"/>
            </w:tcBorders>
          </w:tcPr>
          <w:p w:rsidR="009956B5" w:rsidRPr="009956B5" w:rsidRDefault="009956B5" w:rsidP="00042FE5">
            <w:pPr>
              <w:pStyle w:val="Tabletext"/>
              <w:tabs>
                <w:tab w:val="decimal" w:pos="454"/>
              </w:tabs>
            </w:pPr>
            <w:r w:rsidRPr="009956B5">
              <w:t>3.9</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3.6</w:t>
            </w:r>
          </w:p>
        </w:tc>
        <w:tc>
          <w:tcPr>
            <w:tcW w:w="1044" w:type="dxa"/>
            <w:tcBorders>
              <w:top w:val="nil"/>
              <w:left w:val="nil"/>
              <w:bottom w:val="nil"/>
              <w:right w:val="nil"/>
            </w:tcBorders>
          </w:tcPr>
          <w:p w:rsidR="009956B5" w:rsidRPr="009956B5" w:rsidRDefault="009956B5" w:rsidP="00042FE5">
            <w:pPr>
              <w:pStyle w:val="Tabletext"/>
              <w:tabs>
                <w:tab w:val="decimal" w:pos="454"/>
              </w:tabs>
            </w:pPr>
            <w:r w:rsidRPr="009956B5">
              <w:t>5.7</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6.1</w:t>
            </w:r>
          </w:p>
        </w:tc>
        <w:tc>
          <w:tcPr>
            <w:tcW w:w="1044" w:type="dxa"/>
            <w:tcBorders>
              <w:top w:val="nil"/>
              <w:left w:val="nil"/>
              <w:bottom w:val="nil"/>
              <w:right w:val="nil"/>
            </w:tcBorders>
            <w:shd w:val="clear" w:color="auto" w:fill="FFFFFF"/>
          </w:tcPr>
          <w:p w:rsidR="009956B5" w:rsidRPr="009956B5" w:rsidRDefault="009956B5" w:rsidP="00042FE5">
            <w:pPr>
              <w:pStyle w:val="Tabletext"/>
              <w:tabs>
                <w:tab w:val="decimal" w:pos="454"/>
              </w:tabs>
            </w:pPr>
            <w:r w:rsidRPr="009956B5">
              <w:t>6.1</w:t>
            </w:r>
          </w:p>
        </w:tc>
      </w:tr>
      <w:tr w:rsidR="009956B5" w:rsidRPr="009956B5" w:rsidTr="009956B5">
        <w:tc>
          <w:tcPr>
            <w:tcW w:w="3570" w:type="dxa"/>
            <w:tcBorders>
              <w:top w:val="nil"/>
              <w:left w:val="nil"/>
              <w:bottom w:val="single" w:sz="4" w:space="0" w:color="auto"/>
              <w:right w:val="nil"/>
            </w:tcBorders>
          </w:tcPr>
          <w:p w:rsidR="009956B5" w:rsidRPr="009956B5" w:rsidRDefault="009956B5" w:rsidP="009956B5">
            <w:pPr>
              <w:pStyle w:val="Tabletext"/>
            </w:pPr>
            <w:r w:rsidRPr="009956B5">
              <w:t>No study, not working, not looking for work</w:t>
            </w:r>
          </w:p>
        </w:tc>
        <w:tc>
          <w:tcPr>
            <w:tcW w:w="1043" w:type="dxa"/>
            <w:tcBorders>
              <w:top w:val="nil"/>
              <w:left w:val="nil"/>
              <w:bottom w:val="single" w:sz="4" w:space="0" w:color="auto"/>
              <w:right w:val="nil"/>
            </w:tcBorders>
          </w:tcPr>
          <w:p w:rsidR="009956B5" w:rsidRPr="009956B5" w:rsidRDefault="009956B5" w:rsidP="00042FE5">
            <w:pPr>
              <w:pStyle w:val="Tabletext"/>
              <w:tabs>
                <w:tab w:val="decimal" w:pos="454"/>
              </w:tabs>
            </w:pPr>
            <w:r w:rsidRPr="009956B5">
              <w:t>4.3</w:t>
            </w:r>
          </w:p>
        </w:tc>
        <w:tc>
          <w:tcPr>
            <w:tcW w:w="1044" w:type="dxa"/>
            <w:tcBorders>
              <w:top w:val="nil"/>
              <w:left w:val="nil"/>
              <w:bottom w:val="single" w:sz="4" w:space="0" w:color="auto"/>
              <w:right w:val="nil"/>
            </w:tcBorders>
          </w:tcPr>
          <w:p w:rsidR="009956B5" w:rsidRPr="009956B5" w:rsidRDefault="009956B5" w:rsidP="00042FE5">
            <w:pPr>
              <w:pStyle w:val="Tabletext"/>
              <w:tabs>
                <w:tab w:val="decimal" w:pos="454"/>
              </w:tabs>
            </w:pPr>
            <w:r w:rsidRPr="009956B5">
              <w:t>5.0</w:t>
            </w:r>
          </w:p>
        </w:tc>
        <w:tc>
          <w:tcPr>
            <w:tcW w:w="1044" w:type="dxa"/>
            <w:tcBorders>
              <w:top w:val="nil"/>
              <w:left w:val="nil"/>
              <w:bottom w:val="single" w:sz="4" w:space="0" w:color="auto"/>
              <w:right w:val="nil"/>
            </w:tcBorders>
          </w:tcPr>
          <w:p w:rsidR="009956B5" w:rsidRPr="009956B5" w:rsidRDefault="009956B5" w:rsidP="00042FE5">
            <w:pPr>
              <w:pStyle w:val="Tabletext"/>
              <w:tabs>
                <w:tab w:val="decimal" w:pos="454"/>
              </w:tabs>
            </w:pPr>
            <w:r w:rsidRPr="009956B5">
              <w:t>3.9</w:t>
            </w:r>
          </w:p>
        </w:tc>
        <w:tc>
          <w:tcPr>
            <w:tcW w:w="1044" w:type="dxa"/>
            <w:tcBorders>
              <w:top w:val="nil"/>
              <w:left w:val="nil"/>
              <w:bottom w:val="single" w:sz="4" w:space="0" w:color="auto"/>
              <w:right w:val="nil"/>
            </w:tcBorders>
            <w:shd w:val="clear" w:color="auto" w:fill="FFFFFF"/>
          </w:tcPr>
          <w:p w:rsidR="009956B5" w:rsidRPr="009956B5" w:rsidRDefault="009956B5" w:rsidP="00042FE5">
            <w:pPr>
              <w:pStyle w:val="Tabletext"/>
              <w:tabs>
                <w:tab w:val="decimal" w:pos="454"/>
              </w:tabs>
            </w:pPr>
            <w:r w:rsidRPr="009956B5">
              <w:t>6.0</w:t>
            </w:r>
          </w:p>
        </w:tc>
        <w:tc>
          <w:tcPr>
            <w:tcW w:w="1044" w:type="dxa"/>
            <w:tcBorders>
              <w:top w:val="nil"/>
              <w:left w:val="nil"/>
              <w:bottom w:val="single" w:sz="4" w:space="0" w:color="auto"/>
              <w:right w:val="nil"/>
            </w:tcBorders>
            <w:shd w:val="clear" w:color="auto" w:fill="FFFFFF"/>
          </w:tcPr>
          <w:p w:rsidR="009956B5" w:rsidRPr="009956B5" w:rsidRDefault="009956B5" w:rsidP="00042FE5">
            <w:pPr>
              <w:pStyle w:val="Tabletext"/>
              <w:tabs>
                <w:tab w:val="decimal" w:pos="454"/>
              </w:tabs>
            </w:pPr>
            <w:r w:rsidRPr="009956B5">
              <w:t>5.8</w:t>
            </w:r>
          </w:p>
        </w:tc>
      </w:tr>
    </w:tbl>
    <w:p w:rsidR="00042FE5" w:rsidRDefault="00042FE5" w:rsidP="001F5702">
      <w:pPr>
        <w:pStyle w:val="Text"/>
        <w:rPr>
          <w:sz w:val="28"/>
          <w:szCs w:val="28"/>
        </w:rPr>
      </w:pPr>
    </w:p>
    <w:p w:rsidR="00042FE5" w:rsidRDefault="00042FE5">
      <w:pPr>
        <w:spacing w:before="0" w:line="240" w:lineRule="auto"/>
        <w:rPr>
          <w:sz w:val="28"/>
          <w:szCs w:val="28"/>
        </w:rPr>
      </w:pPr>
      <w:r>
        <w:rPr>
          <w:sz w:val="28"/>
          <w:szCs w:val="28"/>
        </w:rPr>
        <w:br w:type="page"/>
      </w:r>
    </w:p>
    <w:p w:rsidR="001F5702" w:rsidRPr="001047D7" w:rsidRDefault="001F5702" w:rsidP="00042FE5">
      <w:pPr>
        <w:pStyle w:val="Heading2"/>
      </w:pPr>
      <w:bookmarkStart w:id="67" w:name="_Toc324765876"/>
      <w:r w:rsidRPr="001047D7">
        <w:lastRenderedPageBreak/>
        <w:t>Demographic characteristics</w:t>
      </w:r>
      <w:bookmarkEnd w:id="67"/>
    </w:p>
    <w:p w:rsidR="001F5702" w:rsidRDefault="001F5702" w:rsidP="001F5702">
      <w:pPr>
        <w:pStyle w:val="Text"/>
      </w:pPr>
      <w:r>
        <w:t xml:space="preserve">Tables 6 and 7 report the distribution of the sample across the key demographic variables used in the study, depicting in most cases comparable patterns in the Y03 and YIF data, which are also broadly consistent with those evident in the </w:t>
      </w:r>
      <w:r w:rsidR="00296EF2">
        <w:t>Census</w:t>
      </w:r>
      <w:r>
        <w:t xml:space="preserve">, where relevant data are available. The variables include background demographic and family characteristics, including parental education and employment, individual birthplace and region of residence. </w:t>
      </w:r>
    </w:p>
    <w:p w:rsidR="001F5702" w:rsidRDefault="001F5702" w:rsidP="001F5702">
      <w:pPr>
        <w:pStyle w:val="Text"/>
      </w:pPr>
      <w:r>
        <w:t xml:space="preserve">Exceptions include some of the family characteristics and are indicative of the YIF sample being a less advantaged group compared with the LSAY Y03 sample. Specifically, the proportion of parents with a university degree is almost twice as large in Y03 data by comparison with the YIF sample (table 6). More than 37% of respondents in Y03 have a mother (father) who holds a degree, while only around 20% in the YIF sample do. The family structures of the respondents in the two datasets also differ in important ways. In particular, as indicated in table 7, around a quarter of young people in YIF live with just one parent, while only around 16% of males and around 18% of females in Y03 do. </w:t>
      </w:r>
    </w:p>
    <w:p w:rsidR="001F5702" w:rsidRDefault="001F5702" w:rsidP="001F5702">
      <w:pPr>
        <w:pStyle w:val="Text"/>
      </w:pPr>
      <w:r>
        <w:t>The respondents in the two datasets report comparable but not exactly similar school-related characteristics. Young people in Y03 report higher assessments of their school performance relative to their peers than do YIF respondents. The share of those with above-average self-assessed school performance is around 56% in Y03</w:t>
      </w:r>
      <w:r w:rsidR="00A05A99">
        <w:t>,</w:t>
      </w:r>
      <w:r>
        <w:t xml:space="preserve"> which is more than ten percentage points higher than the reports of those in the YIF survey (table 7). Around 20% of respondents in both datasets attended Catholic schools in their last year, while the share of those from independent schools is four percentage points higher in the Y03 sample than in the YIF data (table 7). </w:t>
      </w:r>
    </w:p>
    <w:p w:rsidR="001F5702" w:rsidRDefault="001F5702" w:rsidP="001F5702">
      <w:pPr>
        <w:pStyle w:val="Text"/>
      </w:pPr>
      <w:r>
        <w:t>Overall, respondents in the YIF sample appear more disadvantaged relative to those in Y03</w:t>
      </w:r>
      <w:r w:rsidR="00A05A99">
        <w:t>,</w:t>
      </w:r>
      <w:r>
        <w:t xml:space="preserve"> due to the observed larger shares of those from single-parent families, with parents with </w:t>
      </w:r>
      <w:r w:rsidR="00AE1DA5">
        <w:t xml:space="preserve">comparably </w:t>
      </w:r>
      <w:r>
        <w:t xml:space="preserve">lower average education levels and with respondents having </w:t>
      </w:r>
      <w:r w:rsidR="00AE1DA5">
        <w:t>negative</w:t>
      </w:r>
      <w:r>
        <w:t xml:space="preserve"> views about their own school performance. As the review of literature suggests, these factors are all likely to affect Year 12 completion (table 7). </w:t>
      </w:r>
    </w:p>
    <w:p w:rsidR="001F5702" w:rsidRDefault="001F5702" w:rsidP="001F5702">
      <w:pPr>
        <w:pStyle w:val="Text"/>
      </w:pPr>
      <w:r>
        <w:t>Table 8</w:t>
      </w:r>
      <w:r w:rsidRPr="00672881">
        <w:t xml:space="preserve"> </w:t>
      </w:r>
      <w:r>
        <w:t>indicates how Year 12 completion rates, measured by reports that individuals received a Year</w:t>
      </w:r>
      <w:r w:rsidR="00042FE5">
        <w:t> </w:t>
      </w:r>
      <w:r>
        <w:t>12 certificate from their jurisdiction, vary in the two datasets by these selected individual, family, school and locality characteristics</w:t>
      </w:r>
      <w:r w:rsidRPr="00672881">
        <w:t>.</w:t>
      </w:r>
      <w:r>
        <w:t xml:space="preserve"> </w:t>
      </w:r>
      <w:r w:rsidRPr="00672881">
        <w:t xml:space="preserve">There are </w:t>
      </w:r>
      <w:r>
        <w:t xml:space="preserve">broad differences in completion patterns across demographic groups that are familiar from the existing literature. Females have higher Year 12 completion rates than do males. Year 12 completion rates are the highest among the respondents born in a non-English-speaking country, followed by those from overseas English-speaking countries; the lowest are among the Australian-born population. Residents of major cities have higher completion rates than those from other places in Australia. Differences in family characteristics also affect school completion patterns. Those whose parents work have slightly higher completion rates than those whose parents do not work; higher completion rates are associated with higher levels of parental education and with smaller sized families. Completion rates are higher among those who attended </w:t>
      </w:r>
      <w:r w:rsidR="00AE1DA5">
        <w:t>Catholic and independent</w:t>
      </w:r>
      <w:r>
        <w:t xml:space="preserve"> schools. These patterns are broadly comparable across the various data sources. </w:t>
      </w:r>
    </w:p>
    <w:p w:rsidR="001F5702" w:rsidRPr="00042FE5" w:rsidRDefault="001F5702" w:rsidP="001F5702">
      <w:pPr>
        <w:pStyle w:val="Text"/>
      </w:pPr>
      <w:r>
        <w:t xml:space="preserve">Comparisons with </w:t>
      </w:r>
      <w:r w:rsidR="00296EF2">
        <w:t>Census</w:t>
      </w:r>
      <w:r>
        <w:t xml:space="preserve"> data are possible for the two sets of data, and these appear in the final two columns</w:t>
      </w:r>
      <w:r w:rsidR="00A05A99">
        <w:t xml:space="preserve"> of table 8</w:t>
      </w:r>
      <w:r>
        <w:t xml:space="preserve">. The measure of school completion used for the </w:t>
      </w:r>
      <w:r w:rsidR="00296EF2">
        <w:t>Census</w:t>
      </w:r>
      <w:r>
        <w:t xml:space="preserve"> data is ‘reported completion’, so the magnitudes tend to be higher than for the Y03 and YIF columns, although the differences between groups are very similar, regardless of the measure used (for example 8</w:t>
      </w:r>
      <w:r w:rsidR="00042FE5">
        <w:t>—</w:t>
      </w:r>
      <w:r>
        <w:t xml:space="preserve">11 percentage points between genders, similar patterns by birthplace and broadly comparable jurisdictional patterns). </w:t>
      </w:r>
    </w:p>
    <w:p w:rsidR="00A05A99" w:rsidRPr="005D446B" w:rsidRDefault="00A05A99" w:rsidP="00A05A99">
      <w:pPr>
        <w:pStyle w:val="tabletitle"/>
      </w:pPr>
      <w:bookmarkStart w:id="68" w:name="_Toc323566754"/>
      <w:bookmarkStart w:id="69" w:name="_Toc324765901"/>
      <w:r w:rsidRPr="005D446B">
        <w:lastRenderedPageBreak/>
        <w:t xml:space="preserve">Table </w:t>
      </w:r>
      <w:r>
        <w:t>6</w:t>
      </w:r>
      <w:r w:rsidRPr="005D446B">
        <w:tab/>
        <w:t>Distribution of sample across key</w:t>
      </w:r>
      <w:r>
        <w:t xml:space="preserve"> demographic variables in </w:t>
      </w:r>
      <w:r w:rsidRPr="00042FE5">
        <w:t>2006</w:t>
      </w:r>
      <w:r>
        <w:t>:</w:t>
      </w:r>
      <w:r w:rsidRPr="005D446B">
        <w:t xml:space="preserve"> Youth in Focus, LSA</w:t>
      </w:r>
      <w:r>
        <w:t xml:space="preserve">Y Y03 and 18-year-olds in 2006 </w:t>
      </w:r>
      <w:r w:rsidR="00296EF2">
        <w:t>Census</w:t>
      </w:r>
      <w:bookmarkEnd w:id="68"/>
      <w:bookmarkEnd w:id="69"/>
    </w:p>
    <w:tbl>
      <w:tblPr>
        <w:tblW w:w="878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3969"/>
        <w:gridCol w:w="1205"/>
        <w:gridCol w:w="1205"/>
        <w:gridCol w:w="1205"/>
        <w:gridCol w:w="1205"/>
      </w:tblGrid>
      <w:tr w:rsidR="00A05A99" w:rsidRPr="00D41A46" w:rsidTr="00A05A99">
        <w:trPr>
          <w:cantSplit/>
          <w:tblHeader/>
        </w:trPr>
        <w:tc>
          <w:tcPr>
            <w:tcW w:w="3969" w:type="dxa"/>
            <w:tcBorders>
              <w:top w:val="single" w:sz="4" w:space="0" w:color="auto"/>
              <w:left w:val="nil"/>
              <w:bottom w:val="single" w:sz="4" w:space="0" w:color="auto"/>
              <w:right w:val="nil"/>
            </w:tcBorders>
          </w:tcPr>
          <w:p w:rsidR="00A05A99" w:rsidRPr="0031761A" w:rsidRDefault="00A05A99" w:rsidP="00A05A99">
            <w:pPr>
              <w:pStyle w:val="Tablehead1"/>
            </w:pPr>
          </w:p>
        </w:tc>
        <w:tc>
          <w:tcPr>
            <w:tcW w:w="1205" w:type="dxa"/>
            <w:tcBorders>
              <w:top w:val="single" w:sz="4" w:space="0" w:color="auto"/>
              <w:left w:val="nil"/>
              <w:bottom w:val="single" w:sz="4" w:space="0" w:color="auto"/>
              <w:right w:val="nil"/>
            </w:tcBorders>
          </w:tcPr>
          <w:p w:rsidR="00A05A99" w:rsidRPr="0031761A" w:rsidRDefault="00A05A99" w:rsidP="00A05A99">
            <w:pPr>
              <w:pStyle w:val="Tablehead1"/>
              <w:jc w:val="center"/>
            </w:pPr>
            <w:r>
              <w:t>LSAY Y03 (full 2006 sample)</w:t>
            </w:r>
          </w:p>
        </w:tc>
        <w:tc>
          <w:tcPr>
            <w:tcW w:w="1205" w:type="dxa"/>
            <w:tcBorders>
              <w:top w:val="single" w:sz="4" w:space="0" w:color="auto"/>
              <w:left w:val="nil"/>
              <w:bottom w:val="single" w:sz="4" w:space="0" w:color="auto"/>
              <w:right w:val="nil"/>
            </w:tcBorders>
          </w:tcPr>
          <w:p w:rsidR="00A05A99" w:rsidRDefault="00A05A99" w:rsidP="00A05A99">
            <w:pPr>
              <w:pStyle w:val="Tablehead1"/>
              <w:jc w:val="center"/>
            </w:pPr>
            <w:r>
              <w:t>LSAY Y03 (matching YIF birth cohort)</w:t>
            </w:r>
          </w:p>
        </w:tc>
        <w:tc>
          <w:tcPr>
            <w:tcW w:w="1205" w:type="dxa"/>
            <w:tcBorders>
              <w:top w:val="single" w:sz="4" w:space="0" w:color="auto"/>
              <w:left w:val="nil"/>
              <w:bottom w:val="single" w:sz="4" w:space="0" w:color="auto"/>
              <w:right w:val="nil"/>
            </w:tcBorders>
          </w:tcPr>
          <w:p w:rsidR="00A05A99" w:rsidRDefault="00A05A99" w:rsidP="00A05A99">
            <w:pPr>
              <w:pStyle w:val="Tablehead1"/>
              <w:jc w:val="center"/>
            </w:pPr>
            <w:r>
              <w:t>Youth in Focus</w:t>
            </w:r>
          </w:p>
        </w:tc>
        <w:tc>
          <w:tcPr>
            <w:tcW w:w="1205" w:type="dxa"/>
            <w:tcBorders>
              <w:top w:val="single" w:sz="4" w:space="0" w:color="auto"/>
              <w:left w:val="nil"/>
              <w:bottom w:val="single" w:sz="4" w:space="0" w:color="auto"/>
              <w:right w:val="nil"/>
            </w:tcBorders>
          </w:tcPr>
          <w:p w:rsidR="00A05A99" w:rsidRPr="0031761A" w:rsidRDefault="00A05A99" w:rsidP="00A05A99">
            <w:pPr>
              <w:pStyle w:val="Tablehead1"/>
              <w:jc w:val="center"/>
            </w:pPr>
            <w:r>
              <w:t>Census 2006</w:t>
            </w:r>
          </w:p>
        </w:tc>
      </w:tr>
      <w:tr w:rsidR="00A05A99" w:rsidRPr="00D41A46" w:rsidTr="00A05A99">
        <w:trPr>
          <w:cantSplit/>
        </w:trPr>
        <w:tc>
          <w:tcPr>
            <w:tcW w:w="3969" w:type="dxa"/>
            <w:tcBorders>
              <w:top w:val="single" w:sz="4" w:space="0" w:color="auto"/>
              <w:left w:val="nil"/>
              <w:bottom w:val="nil"/>
              <w:right w:val="nil"/>
            </w:tcBorders>
            <w:shd w:val="clear" w:color="auto" w:fill="auto"/>
          </w:tcPr>
          <w:p w:rsidR="00A05A99" w:rsidRPr="00042FE5" w:rsidRDefault="00A05A99" w:rsidP="00A05A99">
            <w:pPr>
              <w:pStyle w:val="Tabletext"/>
              <w:rPr>
                <w:b/>
              </w:rPr>
            </w:pPr>
            <w:r w:rsidRPr="00042FE5">
              <w:rPr>
                <w:b/>
              </w:rPr>
              <w:t>Categorical variables</w:t>
            </w:r>
          </w:p>
        </w:tc>
        <w:tc>
          <w:tcPr>
            <w:tcW w:w="1205" w:type="dxa"/>
            <w:tcBorders>
              <w:top w:val="single" w:sz="4" w:space="0" w:color="auto"/>
              <w:left w:val="nil"/>
              <w:bottom w:val="nil"/>
              <w:right w:val="nil"/>
            </w:tcBorders>
            <w:shd w:val="clear" w:color="auto" w:fill="auto"/>
          </w:tcPr>
          <w:p w:rsidR="00A05A99" w:rsidRPr="00D41A46" w:rsidRDefault="00A05A99" w:rsidP="00A05A99">
            <w:pPr>
              <w:pStyle w:val="Tabletext"/>
            </w:pPr>
          </w:p>
        </w:tc>
        <w:tc>
          <w:tcPr>
            <w:tcW w:w="1205" w:type="dxa"/>
            <w:tcBorders>
              <w:top w:val="single" w:sz="4" w:space="0" w:color="auto"/>
              <w:left w:val="nil"/>
              <w:bottom w:val="nil"/>
              <w:right w:val="nil"/>
            </w:tcBorders>
            <w:shd w:val="clear" w:color="auto" w:fill="auto"/>
          </w:tcPr>
          <w:p w:rsidR="00A05A99" w:rsidRPr="00D41A46" w:rsidRDefault="00A05A99" w:rsidP="00A05A99">
            <w:pPr>
              <w:pStyle w:val="Tabletext"/>
            </w:pPr>
          </w:p>
        </w:tc>
        <w:tc>
          <w:tcPr>
            <w:tcW w:w="1205" w:type="dxa"/>
            <w:tcBorders>
              <w:top w:val="single" w:sz="4" w:space="0" w:color="auto"/>
              <w:left w:val="nil"/>
              <w:bottom w:val="nil"/>
              <w:right w:val="nil"/>
            </w:tcBorders>
            <w:shd w:val="clear" w:color="auto" w:fill="auto"/>
          </w:tcPr>
          <w:p w:rsidR="00A05A99" w:rsidRPr="00D41A46" w:rsidRDefault="00A05A99" w:rsidP="00A05A99">
            <w:pPr>
              <w:pStyle w:val="Tabletext"/>
            </w:pPr>
          </w:p>
        </w:tc>
        <w:tc>
          <w:tcPr>
            <w:tcW w:w="1205" w:type="dxa"/>
            <w:tcBorders>
              <w:top w:val="single" w:sz="4" w:space="0" w:color="auto"/>
              <w:left w:val="nil"/>
              <w:bottom w:val="nil"/>
              <w:right w:val="nil"/>
            </w:tcBorders>
            <w:shd w:val="clear" w:color="auto" w:fill="auto"/>
          </w:tcPr>
          <w:p w:rsidR="00A05A99" w:rsidRPr="00D41A46" w:rsidRDefault="00A05A99" w:rsidP="00A05A99">
            <w:pPr>
              <w:pStyle w:val="Tabletext"/>
            </w:pPr>
          </w:p>
        </w:tc>
      </w:tr>
      <w:tr w:rsidR="00A05A99" w:rsidRPr="00D41A46"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Male</w:t>
            </w:r>
          </w:p>
        </w:tc>
        <w:tc>
          <w:tcPr>
            <w:tcW w:w="1205" w:type="dxa"/>
            <w:tcBorders>
              <w:top w:val="nil"/>
              <w:left w:val="nil"/>
              <w:bottom w:val="nil"/>
              <w:right w:val="nil"/>
            </w:tcBorders>
          </w:tcPr>
          <w:p w:rsidR="00A05A99" w:rsidRPr="00A54282" w:rsidRDefault="00A05A99" w:rsidP="00A05A99">
            <w:pPr>
              <w:pStyle w:val="Tabletext"/>
              <w:tabs>
                <w:tab w:val="decimal" w:pos="567"/>
              </w:tabs>
            </w:pPr>
            <w:r>
              <w:t>50.6</w:t>
            </w:r>
          </w:p>
        </w:tc>
        <w:tc>
          <w:tcPr>
            <w:tcW w:w="1205" w:type="dxa"/>
            <w:tcBorders>
              <w:top w:val="nil"/>
              <w:left w:val="nil"/>
              <w:bottom w:val="nil"/>
              <w:right w:val="nil"/>
            </w:tcBorders>
          </w:tcPr>
          <w:p w:rsidR="00A05A99" w:rsidRPr="00575C82" w:rsidRDefault="00A05A99" w:rsidP="00A05A99">
            <w:pPr>
              <w:pStyle w:val="Tabletext"/>
              <w:tabs>
                <w:tab w:val="decimal" w:pos="567"/>
              </w:tabs>
            </w:pPr>
            <w:r>
              <w:t>50.4</w:t>
            </w:r>
          </w:p>
        </w:tc>
        <w:tc>
          <w:tcPr>
            <w:tcW w:w="1205" w:type="dxa"/>
            <w:tcBorders>
              <w:top w:val="nil"/>
              <w:left w:val="nil"/>
              <w:bottom w:val="nil"/>
              <w:right w:val="nil"/>
            </w:tcBorders>
          </w:tcPr>
          <w:p w:rsidR="00A05A99" w:rsidRPr="00575C82" w:rsidRDefault="00A05A99" w:rsidP="00A05A99">
            <w:pPr>
              <w:pStyle w:val="Tabletext"/>
              <w:tabs>
                <w:tab w:val="decimal" w:pos="567"/>
              </w:tabs>
            </w:pPr>
            <w:r>
              <w:t>51.3</w:t>
            </w:r>
          </w:p>
        </w:tc>
        <w:tc>
          <w:tcPr>
            <w:tcW w:w="1205" w:type="dxa"/>
            <w:tcBorders>
              <w:top w:val="nil"/>
              <w:left w:val="nil"/>
              <w:bottom w:val="nil"/>
              <w:right w:val="nil"/>
            </w:tcBorders>
          </w:tcPr>
          <w:p w:rsidR="00A05A99" w:rsidRPr="00361FCD" w:rsidRDefault="00A05A99" w:rsidP="00A05A99">
            <w:pPr>
              <w:pStyle w:val="Tabletext"/>
              <w:tabs>
                <w:tab w:val="decimal" w:pos="567"/>
              </w:tabs>
            </w:pPr>
            <w:r>
              <w:t>50.7</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Female</w:t>
            </w:r>
          </w:p>
        </w:tc>
        <w:tc>
          <w:tcPr>
            <w:tcW w:w="1205" w:type="dxa"/>
            <w:tcBorders>
              <w:top w:val="nil"/>
              <w:left w:val="nil"/>
              <w:bottom w:val="nil"/>
              <w:right w:val="nil"/>
            </w:tcBorders>
          </w:tcPr>
          <w:p w:rsidR="00A05A99" w:rsidRPr="00A54282" w:rsidRDefault="00A05A99" w:rsidP="00A05A99">
            <w:pPr>
              <w:pStyle w:val="Tabletext"/>
              <w:tabs>
                <w:tab w:val="decimal" w:pos="567"/>
              </w:tabs>
            </w:pPr>
            <w:r>
              <w:t>49.4</w:t>
            </w:r>
          </w:p>
        </w:tc>
        <w:tc>
          <w:tcPr>
            <w:tcW w:w="1205" w:type="dxa"/>
            <w:tcBorders>
              <w:top w:val="nil"/>
              <w:left w:val="nil"/>
              <w:bottom w:val="nil"/>
              <w:right w:val="nil"/>
            </w:tcBorders>
          </w:tcPr>
          <w:p w:rsidR="00A05A99" w:rsidRPr="00575C82" w:rsidRDefault="00A05A99" w:rsidP="00A05A99">
            <w:pPr>
              <w:pStyle w:val="Tabletext"/>
              <w:tabs>
                <w:tab w:val="decimal" w:pos="567"/>
              </w:tabs>
            </w:pPr>
            <w:r>
              <w:t>49.6</w:t>
            </w:r>
          </w:p>
        </w:tc>
        <w:tc>
          <w:tcPr>
            <w:tcW w:w="1205" w:type="dxa"/>
            <w:tcBorders>
              <w:top w:val="nil"/>
              <w:left w:val="nil"/>
              <w:bottom w:val="nil"/>
              <w:right w:val="nil"/>
            </w:tcBorders>
          </w:tcPr>
          <w:p w:rsidR="00A05A99" w:rsidRPr="00575C82" w:rsidRDefault="00A05A99" w:rsidP="00A05A99">
            <w:pPr>
              <w:pStyle w:val="Tabletext"/>
              <w:tabs>
                <w:tab w:val="decimal" w:pos="567"/>
              </w:tabs>
            </w:pPr>
            <w:r>
              <w:t>48.7</w:t>
            </w:r>
          </w:p>
        </w:tc>
        <w:tc>
          <w:tcPr>
            <w:tcW w:w="1205" w:type="dxa"/>
            <w:tcBorders>
              <w:top w:val="nil"/>
              <w:left w:val="nil"/>
              <w:bottom w:val="nil"/>
              <w:right w:val="nil"/>
            </w:tcBorders>
          </w:tcPr>
          <w:p w:rsidR="00A05A99" w:rsidRPr="00361FCD" w:rsidRDefault="00A05A99" w:rsidP="00A05A99">
            <w:pPr>
              <w:pStyle w:val="Tabletext"/>
              <w:tabs>
                <w:tab w:val="decimal" w:pos="567"/>
              </w:tabs>
            </w:pPr>
            <w:r>
              <w:t>49.3</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Lives in major city</w:t>
            </w:r>
            <w:r>
              <w:t xml:space="preserve"> </w:t>
            </w:r>
          </w:p>
        </w:tc>
        <w:tc>
          <w:tcPr>
            <w:tcW w:w="1205" w:type="dxa"/>
            <w:tcBorders>
              <w:top w:val="nil"/>
              <w:left w:val="nil"/>
              <w:bottom w:val="nil"/>
              <w:right w:val="nil"/>
            </w:tcBorders>
          </w:tcPr>
          <w:p w:rsidR="00A05A99" w:rsidRPr="00A54282" w:rsidRDefault="00A05A99" w:rsidP="00A05A99">
            <w:pPr>
              <w:pStyle w:val="Tabletext"/>
              <w:tabs>
                <w:tab w:val="decimal" w:pos="567"/>
              </w:tabs>
            </w:pPr>
            <w:r>
              <w:t>67.2</w:t>
            </w:r>
          </w:p>
        </w:tc>
        <w:tc>
          <w:tcPr>
            <w:tcW w:w="1205" w:type="dxa"/>
            <w:tcBorders>
              <w:top w:val="nil"/>
              <w:left w:val="nil"/>
              <w:bottom w:val="nil"/>
              <w:right w:val="nil"/>
            </w:tcBorders>
          </w:tcPr>
          <w:p w:rsidR="00A05A99" w:rsidRPr="00575C82" w:rsidRDefault="00A05A99" w:rsidP="00A05A99">
            <w:pPr>
              <w:pStyle w:val="Tabletext"/>
              <w:tabs>
                <w:tab w:val="decimal" w:pos="567"/>
              </w:tabs>
            </w:pPr>
            <w:r>
              <w:t>66.8</w:t>
            </w:r>
          </w:p>
        </w:tc>
        <w:tc>
          <w:tcPr>
            <w:tcW w:w="1205" w:type="dxa"/>
            <w:tcBorders>
              <w:top w:val="nil"/>
              <w:left w:val="nil"/>
              <w:bottom w:val="nil"/>
              <w:right w:val="nil"/>
            </w:tcBorders>
          </w:tcPr>
          <w:p w:rsidR="00A05A99" w:rsidRPr="00575C82" w:rsidRDefault="00A05A99" w:rsidP="00A05A99">
            <w:pPr>
              <w:pStyle w:val="Tabletext"/>
              <w:tabs>
                <w:tab w:val="decimal" w:pos="567"/>
              </w:tabs>
            </w:pPr>
            <w:r w:rsidRPr="00575C82">
              <w:t>62.</w:t>
            </w:r>
            <w:r>
              <w:t>5</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Lives elsewhere in Australia</w:t>
            </w:r>
          </w:p>
        </w:tc>
        <w:tc>
          <w:tcPr>
            <w:tcW w:w="1205" w:type="dxa"/>
            <w:tcBorders>
              <w:top w:val="nil"/>
              <w:left w:val="nil"/>
              <w:bottom w:val="nil"/>
              <w:right w:val="nil"/>
            </w:tcBorders>
          </w:tcPr>
          <w:p w:rsidR="00A05A99" w:rsidRPr="00A54282" w:rsidRDefault="00A05A99" w:rsidP="00A05A99">
            <w:pPr>
              <w:pStyle w:val="Tabletext"/>
              <w:tabs>
                <w:tab w:val="decimal" w:pos="567"/>
              </w:tabs>
            </w:pPr>
            <w:r>
              <w:t>32.8</w:t>
            </w:r>
          </w:p>
        </w:tc>
        <w:tc>
          <w:tcPr>
            <w:tcW w:w="1205" w:type="dxa"/>
            <w:tcBorders>
              <w:top w:val="nil"/>
              <w:left w:val="nil"/>
              <w:bottom w:val="nil"/>
              <w:right w:val="nil"/>
            </w:tcBorders>
          </w:tcPr>
          <w:p w:rsidR="00A05A99" w:rsidRPr="00575C82" w:rsidRDefault="00A05A99" w:rsidP="00A05A99">
            <w:pPr>
              <w:pStyle w:val="Tabletext"/>
              <w:tabs>
                <w:tab w:val="decimal" w:pos="567"/>
              </w:tabs>
            </w:pPr>
            <w:r>
              <w:t>33.2</w:t>
            </w:r>
          </w:p>
        </w:tc>
        <w:tc>
          <w:tcPr>
            <w:tcW w:w="1205" w:type="dxa"/>
            <w:tcBorders>
              <w:top w:val="nil"/>
              <w:left w:val="nil"/>
              <w:bottom w:val="nil"/>
              <w:right w:val="nil"/>
            </w:tcBorders>
          </w:tcPr>
          <w:p w:rsidR="00A05A99" w:rsidRPr="00575C82" w:rsidRDefault="00A05A99" w:rsidP="00A05A99">
            <w:pPr>
              <w:pStyle w:val="Tabletext"/>
              <w:tabs>
                <w:tab w:val="decimal" w:pos="567"/>
              </w:tabs>
            </w:pPr>
            <w:r w:rsidRPr="00575C82">
              <w:t>37.</w:t>
            </w:r>
            <w:r>
              <w:t>5</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Indigenous Australian</w:t>
            </w:r>
          </w:p>
        </w:tc>
        <w:tc>
          <w:tcPr>
            <w:tcW w:w="1205" w:type="dxa"/>
            <w:tcBorders>
              <w:top w:val="nil"/>
              <w:left w:val="nil"/>
              <w:bottom w:val="nil"/>
              <w:right w:val="nil"/>
            </w:tcBorders>
          </w:tcPr>
          <w:p w:rsidR="00A05A99" w:rsidRPr="00A54282" w:rsidRDefault="00A05A99" w:rsidP="00A05A99">
            <w:pPr>
              <w:pStyle w:val="Tabletext"/>
              <w:tabs>
                <w:tab w:val="decimal" w:pos="567"/>
              </w:tabs>
            </w:pPr>
            <w:r>
              <w:t>2.1</w:t>
            </w:r>
          </w:p>
        </w:tc>
        <w:tc>
          <w:tcPr>
            <w:tcW w:w="1205" w:type="dxa"/>
            <w:tcBorders>
              <w:top w:val="nil"/>
              <w:left w:val="nil"/>
              <w:bottom w:val="nil"/>
              <w:right w:val="nil"/>
            </w:tcBorders>
          </w:tcPr>
          <w:p w:rsidR="00A05A99" w:rsidRPr="00575C82" w:rsidRDefault="00A05A99" w:rsidP="00A05A99">
            <w:pPr>
              <w:pStyle w:val="Tabletext"/>
              <w:tabs>
                <w:tab w:val="decimal" w:pos="567"/>
              </w:tabs>
            </w:pPr>
            <w:r>
              <w:t>2.2</w:t>
            </w:r>
          </w:p>
        </w:tc>
        <w:tc>
          <w:tcPr>
            <w:tcW w:w="1205" w:type="dxa"/>
            <w:tcBorders>
              <w:top w:val="nil"/>
              <w:left w:val="nil"/>
              <w:bottom w:val="nil"/>
              <w:right w:val="nil"/>
            </w:tcBorders>
          </w:tcPr>
          <w:p w:rsidR="00A05A99" w:rsidRPr="00575C82" w:rsidRDefault="00A05A99" w:rsidP="00A05A99">
            <w:pPr>
              <w:pStyle w:val="Tabletext"/>
              <w:tabs>
                <w:tab w:val="decimal" w:pos="567"/>
              </w:tabs>
            </w:pPr>
            <w:r w:rsidRPr="00575C82">
              <w:t>3.</w:t>
            </w:r>
            <w:r>
              <w:t>3</w:t>
            </w:r>
          </w:p>
        </w:tc>
        <w:tc>
          <w:tcPr>
            <w:tcW w:w="1205" w:type="dxa"/>
            <w:tcBorders>
              <w:top w:val="nil"/>
              <w:left w:val="nil"/>
              <w:bottom w:val="nil"/>
              <w:right w:val="nil"/>
            </w:tcBorders>
            <w:shd w:val="clear" w:color="auto" w:fill="FFFFFF"/>
          </w:tcPr>
          <w:p w:rsidR="00A05A99" w:rsidRPr="00361FCD" w:rsidRDefault="00A05A99" w:rsidP="00A05A99">
            <w:pPr>
              <w:pStyle w:val="Tabletext"/>
              <w:tabs>
                <w:tab w:val="decimal" w:pos="567"/>
              </w:tabs>
            </w:pPr>
            <w:r>
              <w:t>3.4</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Non-Indigenous Australian</w:t>
            </w:r>
          </w:p>
        </w:tc>
        <w:tc>
          <w:tcPr>
            <w:tcW w:w="1205" w:type="dxa"/>
            <w:tcBorders>
              <w:top w:val="nil"/>
              <w:left w:val="nil"/>
              <w:bottom w:val="nil"/>
              <w:right w:val="nil"/>
            </w:tcBorders>
          </w:tcPr>
          <w:p w:rsidR="00A05A99" w:rsidRPr="00A54282" w:rsidRDefault="00A05A99" w:rsidP="00A05A99">
            <w:pPr>
              <w:pStyle w:val="Tabletext"/>
              <w:tabs>
                <w:tab w:val="decimal" w:pos="567"/>
              </w:tabs>
            </w:pPr>
            <w:r>
              <w:t>97.9</w:t>
            </w:r>
          </w:p>
        </w:tc>
        <w:tc>
          <w:tcPr>
            <w:tcW w:w="1205" w:type="dxa"/>
            <w:tcBorders>
              <w:top w:val="nil"/>
              <w:left w:val="nil"/>
              <w:bottom w:val="nil"/>
              <w:right w:val="nil"/>
            </w:tcBorders>
          </w:tcPr>
          <w:p w:rsidR="00A05A99" w:rsidRPr="00575C82" w:rsidRDefault="00A05A99" w:rsidP="00A05A99">
            <w:pPr>
              <w:pStyle w:val="Tabletext"/>
              <w:tabs>
                <w:tab w:val="decimal" w:pos="567"/>
              </w:tabs>
            </w:pPr>
            <w:r>
              <w:t>97.8</w:t>
            </w:r>
          </w:p>
        </w:tc>
        <w:tc>
          <w:tcPr>
            <w:tcW w:w="1205" w:type="dxa"/>
            <w:tcBorders>
              <w:top w:val="nil"/>
              <w:left w:val="nil"/>
              <w:bottom w:val="nil"/>
              <w:right w:val="nil"/>
            </w:tcBorders>
          </w:tcPr>
          <w:p w:rsidR="00A05A99" w:rsidRPr="00575C82" w:rsidRDefault="00A05A99" w:rsidP="00A05A99">
            <w:pPr>
              <w:pStyle w:val="Tabletext"/>
              <w:tabs>
                <w:tab w:val="decimal" w:pos="567"/>
              </w:tabs>
            </w:pPr>
            <w:r w:rsidRPr="00575C82">
              <w:t>96.</w:t>
            </w:r>
            <w:r>
              <w:t>7</w:t>
            </w:r>
          </w:p>
        </w:tc>
        <w:tc>
          <w:tcPr>
            <w:tcW w:w="1205" w:type="dxa"/>
            <w:tcBorders>
              <w:top w:val="nil"/>
              <w:left w:val="nil"/>
              <w:bottom w:val="nil"/>
              <w:right w:val="nil"/>
            </w:tcBorders>
          </w:tcPr>
          <w:p w:rsidR="00A05A99" w:rsidRPr="00361FCD" w:rsidRDefault="00A05A99" w:rsidP="00A05A99">
            <w:pPr>
              <w:pStyle w:val="Tabletext"/>
              <w:tabs>
                <w:tab w:val="decimal" w:pos="567"/>
              </w:tabs>
            </w:pPr>
            <w:r>
              <w:t>96.6</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Father works</w:t>
            </w:r>
          </w:p>
        </w:tc>
        <w:tc>
          <w:tcPr>
            <w:tcW w:w="1205" w:type="dxa"/>
            <w:tcBorders>
              <w:top w:val="nil"/>
              <w:left w:val="nil"/>
              <w:bottom w:val="nil"/>
              <w:right w:val="nil"/>
            </w:tcBorders>
          </w:tcPr>
          <w:p w:rsidR="00A05A99" w:rsidRPr="00A54282" w:rsidRDefault="00A05A99" w:rsidP="00A05A99">
            <w:pPr>
              <w:pStyle w:val="Tabletext"/>
              <w:tabs>
                <w:tab w:val="decimal" w:pos="567"/>
              </w:tabs>
            </w:pPr>
            <w:r>
              <w:t>86.4</w:t>
            </w:r>
          </w:p>
        </w:tc>
        <w:tc>
          <w:tcPr>
            <w:tcW w:w="1205" w:type="dxa"/>
            <w:tcBorders>
              <w:top w:val="nil"/>
              <w:left w:val="nil"/>
              <w:bottom w:val="nil"/>
              <w:right w:val="nil"/>
            </w:tcBorders>
          </w:tcPr>
          <w:p w:rsidR="00A05A99" w:rsidRPr="00575C82" w:rsidRDefault="00A05A99" w:rsidP="00A05A99">
            <w:pPr>
              <w:pStyle w:val="Tabletext"/>
              <w:tabs>
                <w:tab w:val="decimal" w:pos="567"/>
              </w:tabs>
            </w:pPr>
            <w:r>
              <w:t>86.5</w:t>
            </w:r>
          </w:p>
        </w:tc>
        <w:tc>
          <w:tcPr>
            <w:tcW w:w="1205" w:type="dxa"/>
            <w:tcBorders>
              <w:top w:val="nil"/>
              <w:left w:val="nil"/>
              <w:bottom w:val="nil"/>
              <w:right w:val="nil"/>
            </w:tcBorders>
          </w:tcPr>
          <w:p w:rsidR="00A05A99" w:rsidRPr="00575C82" w:rsidRDefault="00A05A99" w:rsidP="00A05A99">
            <w:pPr>
              <w:pStyle w:val="Tabletext"/>
              <w:tabs>
                <w:tab w:val="decimal" w:pos="567"/>
              </w:tabs>
            </w:pPr>
            <w:r>
              <w:t>91.2</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Father does not work</w:t>
            </w:r>
          </w:p>
        </w:tc>
        <w:tc>
          <w:tcPr>
            <w:tcW w:w="1205" w:type="dxa"/>
            <w:tcBorders>
              <w:top w:val="nil"/>
              <w:left w:val="nil"/>
              <w:bottom w:val="nil"/>
              <w:right w:val="nil"/>
            </w:tcBorders>
          </w:tcPr>
          <w:p w:rsidR="00A05A99" w:rsidRPr="00A54282" w:rsidRDefault="00A05A99" w:rsidP="00A05A99">
            <w:pPr>
              <w:pStyle w:val="Tabletext"/>
              <w:tabs>
                <w:tab w:val="decimal" w:pos="567"/>
              </w:tabs>
            </w:pPr>
            <w:r>
              <w:t>13.6</w:t>
            </w:r>
          </w:p>
        </w:tc>
        <w:tc>
          <w:tcPr>
            <w:tcW w:w="1205" w:type="dxa"/>
            <w:tcBorders>
              <w:top w:val="nil"/>
              <w:left w:val="nil"/>
              <w:bottom w:val="nil"/>
              <w:right w:val="nil"/>
            </w:tcBorders>
          </w:tcPr>
          <w:p w:rsidR="00A05A99" w:rsidRPr="00575C82" w:rsidRDefault="00A05A99" w:rsidP="00A05A99">
            <w:pPr>
              <w:pStyle w:val="Tabletext"/>
              <w:tabs>
                <w:tab w:val="decimal" w:pos="567"/>
              </w:tabs>
            </w:pPr>
            <w:r>
              <w:t>13.5</w:t>
            </w:r>
          </w:p>
        </w:tc>
        <w:tc>
          <w:tcPr>
            <w:tcW w:w="1205" w:type="dxa"/>
            <w:tcBorders>
              <w:top w:val="nil"/>
              <w:left w:val="nil"/>
              <w:bottom w:val="nil"/>
              <w:right w:val="nil"/>
            </w:tcBorders>
          </w:tcPr>
          <w:p w:rsidR="00A05A99" w:rsidRPr="00575C82" w:rsidRDefault="00A05A99" w:rsidP="00A05A99">
            <w:pPr>
              <w:pStyle w:val="Tabletext"/>
              <w:tabs>
                <w:tab w:val="decimal" w:pos="567"/>
              </w:tabs>
            </w:pPr>
            <w:r>
              <w:t>8.8</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t>Mother works</w:t>
            </w:r>
          </w:p>
        </w:tc>
        <w:tc>
          <w:tcPr>
            <w:tcW w:w="1205" w:type="dxa"/>
            <w:tcBorders>
              <w:top w:val="nil"/>
              <w:left w:val="nil"/>
              <w:bottom w:val="nil"/>
              <w:right w:val="nil"/>
            </w:tcBorders>
          </w:tcPr>
          <w:p w:rsidR="00A05A99" w:rsidRDefault="00A05A99" w:rsidP="00A05A99">
            <w:pPr>
              <w:pStyle w:val="Tabletext"/>
              <w:tabs>
                <w:tab w:val="decimal" w:pos="567"/>
              </w:tabs>
            </w:pPr>
            <w:r>
              <w:t>68.6</w:t>
            </w:r>
          </w:p>
        </w:tc>
        <w:tc>
          <w:tcPr>
            <w:tcW w:w="1205" w:type="dxa"/>
            <w:tcBorders>
              <w:top w:val="nil"/>
              <w:left w:val="nil"/>
              <w:bottom w:val="nil"/>
              <w:right w:val="nil"/>
            </w:tcBorders>
          </w:tcPr>
          <w:p w:rsidR="00A05A99" w:rsidRDefault="00A05A99" w:rsidP="00A05A99">
            <w:pPr>
              <w:pStyle w:val="Tabletext"/>
              <w:tabs>
                <w:tab w:val="decimal" w:pos="567"/>
              </w:tabs>
            </w:pPr>
            <w:r>
              <w:t>69.1</w:t>
            </w:r>
          </w:p>
        </w:tc>
        <w:tc>
          <w:tcPr>
            <w:tcW w:w="1205" w:type="dxa"/>
            <w:tcBorders>
              <w:top w:val="nil"/>
              <w:left w:val="nil"/>
              <w:bottom w:val="nil"/>
              <w:right w:val="nil"/>
            </w:tcBorders>
          </w:tcPr>
          <w:p w:rsidR="00A05A99" w:rsidRPr="00575C82" w:rsidRDefault="00A05A99" w:rsidP="00A05A99">
            <w:pPr>
              <w:pStyle w:val="Tabletext"/>
              <w:tabs>
                <w:tab w:val="decimal" w:pos="567"/>
              </w:tabs>
            </w:pPr>
            <w:r>
              <w:t>69.5</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t>Mother does not work</w:t>
            </w:r>
          </w:p>
        </w:tc>
        <w:tc>
          <w:tcPr>
            <w:tcW w:w="1205" w:type="dxa"/>
            <w:tcBorders>
              <w:top w:val="nil"/>
              <w:left w:val="nil"/>
              <w:bottom w:val="nil"/>
              <w:right w:val="nil"/>
            </w:tcBorders>
          </w:tcPr>
          <w:p w:rsidR="00A05A99" w:rsidRDefault="00A05A99" w:rsidP="00A05A99">
            <w:pPr>
              <w:pStyle w:val="Tabletext"/>
              <w:tabs>
                <w:tab w:val="decimal" w:pos="567"/>
              </w:tabs>
            </w:pPr>
            <w:r>
              <w:t>31.5</w:t>
            </w:r>
          </w:p>
        </w:tc>
        <w:tc>
          <w:tcPr>
            <w:tcW w:w="1205" w:type="dxa"/>
            <w:tcBorders>
              <w:top w:val="nil"/>
              <w:left w:val="nil"/>
              <w:bottom w:val="nil"/>
              <w:right w:val="nil"/>
            </w:tcBorders>
          </w:tcPr>
          <w:p w:rsidR="00A05A99" w:rsidRDefault="00A05A99" w:rsidP="00A05A99">
            <w:pPr>
              <w:pStyle w:val="Tabletext"/>
              <w:tabs>
                <w:tab w:val="decimal" w:pos="567"/>
              </w:tabs>
            </w:pPr>
            <w:r>
              <w:t>30.9</w:t>
            </w:r>
          </w:p>
        </w:tc>
        <w:tc>
          <w:tcPr>
            <w:tcW w:w="1205" w:type="dxa"/>
            <w:tcBorders>
              <w:top w:val="nil"/>
              <w:left w:val="nil"/>
              <w:bottom w:val="nil"/>
              <w:right w:val="nil"/>
            </w:tcBorders>
          </w:tcPr>
          <w:p w:rsidR="00A05A99" w:rsidRPr="00575C82" w:rsidRDefault="00A05A99" w:rsidP="00A05A99">
            <w:pPr>
              <w:pStyle w:val="Tabletext"/>
              <w:tabs>
                <w:tab w:val="decimal" w:pos="567"/>
              </w:tabs>
            </w:pPr>
            <w:r>
              <w:t>30.5</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Father has a degree</w:t>
            </w:r>
          </w:p>
        </w:tc>
        <w:tc>
          <w:tcPr>
            <w:tcW w:w="1205" w:type="dxa"/>
            <w:tcBorders>
              <w:top w:val="nil"/>
              <w:left w:val="nil"/>
              <w:bottom w:val="nil"/>
              <w:right w:val="nil"/>
            </w:tcBorders>
          </w:tcPr>
          <w:p w:rsidR="00A05A99" w:rsidRPr="00A54282" w:rsidRDefault="00A05A99" w:rsidP="00A05A99">
            <w:pPr>
              <w:pStyle w:val="Tabletext"/>
              <w:tabs>
                <w:tab w:val="decimal" w:pos="567"/>
              </w:tabs>
            </w:pPr>
            <w:r>
              <w:t>39.2</w:t>
            </w:r>
          </w:p>
        </w:tc>
        <w:tc>
          <w:tcPr>
            <w:tcW w:w="1205" w:type="dxa"/>
            <w:tcBorders>
              <w:top w:val="nil"/>
              <w:left w:val="nil"/>
              <w:bottom w:val="nil"/>
              <w:right w:val="nil"/>
            </w:tcBorders>
          </w:tcPr>
          <w:p w:rsidR="00A05A99" w:rsidRPr="00575C82" w:rsidRDefault="00A05A99" w:rsidP="00A05A99">
            <w:pPr>
              <w:pStyle w:val="Tabletext"/>
              <w:tabs>
                <w:tab w:val="decimal" w:pos="567"/>
              </w:tabs>
            </w:pPr>
            <w:r>
              <w:t>39.2</w:t>
            </w:r>
          </w:p>
        </w:tc>
        <w:tc>
          <w:tcPr>
            <w:tcW w:w="1205" w:type="dxa"/>
            <w:tcBorders>
              <w:top w:val="nil"/>
              <w:left w:val="nil"/>
              <w:bottom w:val="nil"/>
              <w:right w:val="nil"/>
            </w:tcBorders>
          </w:tcPr>
          <w:p w:rsidR="00A05A99" w:rsidRPr="00575C82" w:rsidRDefault="00A05A99" w:rsidP="00A05A99">
            <w:pPr>
              <w:pStyle w:val="Tabletext"/>
              <w:tabs>
                <w:tab w:val="decimal" w:pos="567"/>
              </w:tabs>
            </w:pPr>
            <w:r>
              <w:t>18.8</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Father does not have a degree</w:t>
            </w:r>
          </w:p>
        </w:tc>
        <w:tc>
          <w:tcPr>
            <w:tcW w:w="1205" w:type="dxa"/>
            <w:tcBorders>
              <w:top w:val="nil"/>
              <w:left w:val="nil"/>
              <w:bottom w:val="nil"/>
              <w:right w:val="nil"/>
            </w:tcBorders>
          </w:tcPr>
          <w:p w:rsidR="00A05A99" w:rsidRPr="00A54282" w:rsidRDefault="00A05A99" w:rsidP="00A05A99">
            <w:pPr>
              <w:pStyle w:val="Tabletext"/>
              <w:tabs>
                <w:tab w:val="decimal" w:pos="567"/>
              </w:tabs>
            </w:pPr>
            <w:r>
              <w:t>60.8</w:t>
            </w:r>
          </w:p>
        </w:tc>
        <w:tc>
          <w:tcPr>
            <w:tcW w:w="1205" w:type="dxa"/>
            <w:tcBorders>
              <w:top w:val="nil"/>
              <w:left w:val="nil"/>
              <w:bottom w:val="nil"/>
              <w:right w:val="nil"/>
            </w:tcBorders>
          </w:tcPr>
          <w:p w:rsidR="00A05A99" w:rsidRPr="00575C82" w:rsidRDefault="00A05A99" w:rsidP="00A05A99">
            <w:pPr>
              <w:pStyle w:val="Tabletext"/>
              <w:tabs>
                <w:tab w:val="decimal" w:pos="567"/>
              </w:tabs>
            </w:pPr>
            <w:r>
              <w:t>60.8</w:t>
            </w:r>
          </w:p>
        </w:tc>
        <w:tc>
          <w:tcPr>
            <w:tcW w:w="1205" w:type="dxa"/>
            <w:tcBorders>
              <w:top w:val="nil"/>
              <w:left w:val="nil"/>
              <w:bottom w:val="nil"/>
              <w:right w:val="nil"/>
            </w:tcBorders>
          </w:tcPr>
          <w:p w:rsidR="00A05A99" w:rsidRPr="00575C82" w:rsidRDefault="00A05A99" w:rsidP="00A05A99">
            <w:pPr>
              <w:pStyle w:val="Tabletext"/>
              <w:tabs>
                <w:tab w:val="decimal" w:pos="567"/>
              </w:tabs>
            </w:pPr>
            <w:r>
              <w:t>81.2</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Mother has a degree</w:t>
            </w:r>
          </w:p>
        </w:tc>
        <w:tc>
          <w:tcPr>
            <w:tcW w:w="1205" w:type="dxa"/>
            <w:tcBorders>
              <w:top w:val="nil"/>
              <w:left w:val="nil"/>
              <w:bottom w:val="nil"/>
              <w:right w:val="nil"/>
            </w:tcBorders>
          </w:tcPr>
          <w:p w:rsidR="00A05A99" w:rsidRPr="00A54282" w:rsidRDefault="00A05A99" w:rsidP="00A05A99">
            <w:pPr>
              <w:pStyle w:val="Tabletext"/>
              <w:tabs>
                <w:tab w:val="decimal" w:pos="567"/>
              </w:tabs>
            </w:pPr>
            <w:r>
              <w:t>38.8</w:t>
            </w:r>
          </w:p>
        </w:tc>
        <w:tc>
          <w:tcPr>
            <w:tcW w:w="1205" w:type="dxa"/>
            <w:tcBorders>
              <w:top w:val="nil"/>
              <w:left w:val="nil"/>
              <w:bottom w:val="nil"/>
              <w:right w:val="nil"/>
            </w:tcBorders>
          </w:tcPr>
          <w:p w:rsidR="00A05A99" w:rsidRPr="00575C82" w:rsidRDefault="00A05A99" w:rsidP="00A05A99">
            <w:pPr>
              <w:pStyle w:val="Tabletext"/>
              <w:tabs>
                <w:tab w:val="decimal" w:pos="567"/>
              </w:tabs>
            </w:pPr>
            <w:r>
              <w:t>37.5</w:t>
            </w:r>
          </w:p>
        </w:tc>
        <w:tc>
          <w:tcPr>
            <w:tcW w:w="1205" w:type="dxa"/>
            <w:tcBorders>
              <w:top w:val="nil"/>
              <w:left w:val="nil"/>
              <w:bottom w:val="nil"/>
              <w:right w:val="nil"/>
            </w:tcBorders>
          </w:tcPr>
          <w:p w:rsidR="00A05A99" w:rsidRPr="00575C82" w:rsidRDefault="00A05A99" w:rsidP="00A05A99">
            <w:pPr>
              <w:pStyle w:val="Tabletext"/>
              <w:tabs>
                <w:tab w:val="decimal" w:pos="567"/>
              </w:tabs>
            </w:pPr>
            <w:r>
              <w:t>20.6</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Mother does not have a degree</w:t>
            </w:r>
          </w:p>
        </w:tc>
        <w:tc>
          <w:tcPr>
            <w:tcW w:w="1205" w:type="dxa"/>
            <w:tcBorders>
              <w:top w:val="nil"/>
              <w:left w:val="nil"/>
              <w:bottom w:val="nil"/>
              <w:right w:val="nil"/>
            </w:tcBorders>
          </w:tcPr>
          <w:p w:rsidR="00A05A99" w:rsidRPr="00A54282" w:rsidRDefault="00A05A99" w:rsidP="00A05A99">
            <w:pPr>
              <w:pStyle w:val="Tabletext"/>
              <w:tabs>
                <w:tab w:val="decimal" w:pos="567"/>
              </w:tabs>
            </w:pPr>
            <w:r>
              <w:t>61.2</w:t>
            </w:r>
          </w:p>
        </w:tc>
        <w:tc>
          <w:tcPr>
            <w:tcW w:w="1205" w:type="dxa"/>
            <w:tcBorders>
              <w:top w:val="nil"/>
              <w:left w:val="nil"/>
              <w:bottom w:val="nil"/>
              <w:right w:val="nil"/>
            </w:tcBorders>
          </w:tcPr>
          <w:p w:rsidR="00A05A99" w:rsidRPr="00575C82" w:rsidRDefault="00A05A99" w:rsidP="00A05A99">
            <w:pPr>
              <w:pStyle w:val="Tabletext"/>
              <w:tabs>
                <w:tab w:val="decimal" w:pos="567"/>
              </w:tabs>
            </w:pPr>
            <w:r>
              <w:t>62.5</w:t>
            </w:r>
          </w:p>
        </w:tc>
        <w:tc>
          <w:tcPr>
            <w:tcW w:w="1205" w:type="dxa"/>
            <w:tcBorders>
              <w:top w:val="nil"/>
              <w:left w:val="nil"/>
              <w:bottom w:val="nil"/>
              <w:right w:val="nil"/>
            </w:tcBorders>
          </w:tcPr>
          <w:p w:rsidR="00A05A99" w:rsidRPr="00575C82" w:rsidRDefault="00A05A99" w:rsidP="00A05A99">
            <w:pPr>
              <w:pStyle w:val="Tabletext"/>
              <w:tabs>
                <w:tab w:val="decimal" w:pos="567"/>
              </w:tabs>
            </w:pPr>
            <w:r>
              <w:t>79.4</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0B008C" w:rsidRDefault="00A05A99" w:rsidP="000B008C">
            <w:pPr>
              <w:pStyle w:val="Tabletext"/>
            </w:pPr>
            <w:r w:rsidRPr="000B008C">
              <w:t>No siblings</w:t>
            </w:r>
          </w:p>
        </w:tc>
        <w:tc>
          <w:tcPr>
            <w:tcW w:w="1205" w:type="dxa"/>
            <w:tcBorders>
              <w:top w:val="nil"/>
              <w:left w:val="nil"/>
              <w:bottom w:val="nil"/>
              <w:right w:val="nil"/>
            </w:tcBorders>
          </w:tcPr>
          <w:p w:rsidR="00A05A99" w:rsidRPr="00A54282" w:rsidRDefault="00A05A99" w:rsidP="00A05A99">
            <w:pPr>
              <w:pStyle w:val="Tabletext"/>
              <w:tabs>
                <w:tab w:val="decimal" w:pos="567"/>
              </w:tabs>
            </w:pPr>
            <w:r>
              <w:t>6.7</w:t>
            </w:r>
          </w:p>
        </w:tc>
        <w:tc>
          <w:tcPr>
            <w:tcW w:w="1205" w:type="dxa"/>
            <w:tcBorders>
              <w:top w:val="nil"/>
              <w:left w:val="nil"/>
              <w:bottom w:val="nil"/>
              <w:right w:val="nil"/>
            </w:tcBorders>
          </w:tcPr>
          <w:p w:rsidR="00A05A99" w:rsidRPr="00575C82" w:rsidRDefault="00A05A99" w:rsidP="00A05A99">
            <w:pPr>
              <w:pStyle w:val="Tabletext"/>
              <w:tabs>
                <w:tab w:val="decimal" w:pos="567"/>
              </w:tabs>
            </w:pPr>
            <w:r>
              <w:t>7.1</w:t>
            </w:r>
          </w:p>
        </w:tc>
        <w:tc>
          <w:tcPr>
            <w:tcW w:w="1205" w:type="dxa"/>
            <w:tcBorders>
              <w:top w:val="nil"/>
              <w:left w:val="nil"/>
              <w:bottom w:val="nil"/>
              <w:right w:val="nil"/>
            </w:tcBorders>
          </w:tcPr>
          <w:p w:rsidR="00A05A99" w:rsidRPr="00575C82" w:rsidRDefault="00A05A99" w:rsidP="00A05A99">
            <w:pPr>
              <w:pStyle w:val="Tabletext"/>
              <w:tabs>
                <w:tab w:val="decimal" w:pos="567"/>
              </w:tabs>
            </w:pPr>
            <w:r w:rsidRPr="00575C82">
              <w:t>4.</w:t>
            </w:r>
            <w:r>
              <w:t>8</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0B008C" w:rsidRDefault="00A05A99" w:rsidP="00A05A99">
            <w:pPr>
              <w:pStyle w:val="Tabletext"/>
            </w:pPr>
            <w:r w:rsidRPr="000B008C">
              <w:t>One sibling</w:t>
            </w:r>
          </w:p>
        </w:tc>
        <w:tc>
          <w:tcPr>
            <w:tcW w:w="1205" w:type="dxa"/>
            <w:tcBorders>
              <w:top w:val="nil"/>
              <w:left w:val="nil"/>
              <w:bottom w:val="nil"/>
              <w:right w:val="nil"/>
            </w:tcBorders>
          </w:tcPr>
          <w:p w:rsidR="00A05A99" w:rsidRPr="00A54282" w:rsidRDefault="00A05A99" w:rsidP="00A05A99">
            <w:pPr>
              <w:pStyle w:val="Tabletext"/>
              <w:tabs>
                <w:tab w:val="decimal" w:pos="567"/>
              </w:tabs>
            </w:pPr>
            <w:r>
              <w:t>35.0</w:t>
            </w:r>
          </w:p>
        </w:tc>
        <w:tc>
          <w:tcPr>
            <w:tcW w:w="1205" w:type="dxa"/>
            <w:tcBorders>
              <w:top w:val="nil"/>
              <w:left w:val="nil"/>
              <w:bottom w:val="nil"/>
              <w:right w:val="nil"/>
            </w:tcBorders>
          </w:tcPr>
          <w:p w:rsidR="00A05A99" w:rsidRPr="00575C82" w:rsidRDefault="00A05A99" w:rsidP="00A05A99">
            <w:pPr>
              <w:pStyle w:val="Tabletext"/>
              <w:tabs>
                <w:tab w:val="decimal" w:pos="567"/>
              </w:tabs>
            </w:pPr>
            <w:r>
              <w:t>35.0</w:t>
            </w:r>
          </w:p>
        </w:tc>
        <w:tc>
          <w:tcPr>
            <w:tcW w:w="1205" w:type="dxa"/>
            <w:tcBorders>
              <w:top w:val="nil"/>
              <w:left w:val="nil"/>
              <w:bottom w:val="nil"/>
              <w:right w:val="nil"/>
            </w:tcBorders>
          </w:tcPr>
          <w:p w:rsidR="00A05A99" w:rsidRPr="00575C82" w:rsidRDefault="00A05A99" w:rsidP="00A05A99">
            <w:pPr>
              <w:pStyle w:val="Tabletext"/>
              <w:tabs>
                <w:tab w:val="decimal" w:pos="567"/>
              </w:tabs>
            </w:pPr>
            <w:r w:rsidRPr="00575C82">
              <w:t>3</w:t>
            </w:r>
            <w:r>
              <w:t>4.6</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0B008C" w:rsidRDefault="00A05A99" w:rsidP="00A05A99">
            <w:pPr>
              <w:pStyle w:val="Tabletext"/>
            </w:pPr>
            <w:r w:rsidRPr="000B008C">
              <w:t>Two siblings</w:t>
            </w:r>
          </w:p>
        </w:tc>
        <w:tc>
          <w:tcPr>
            <w:tcW w:w="1205" w:type="dxa"/>
            <w:tcBorders>
              <w:top w:val="nil"/>
              <w:left w:val="nil"/>
              <w:bottom w:val="nil"/>
              <w:right w:val="nil"/>
            </w:tcBorders>
          </w:tcPr>
          <w:p w:rsidR="00A05A99" w:rsidRPr="00A54282" w:rsidRDefault="00A05A99" w:rsidP="00A05A99">
            <w:pPr>
              <w:pStyle w:val="Tabletext"/>
              <w:tabs>
                <w:tab w:val="decimal" w:pos="567"/>
              </w:tabs>
            </w:pPr>
            <w:r>
              <w:t>32.1</w:t>
            </w:r>
          </w:p>
        </w:tc>
        <w:tc>
          <w:tcPr>
            <w:tcW w:w="1205" w:type="dxa"/>
            <w:tcBorders>
              <w:top w:val="nil"/>
              <w:left w:val="nil"/>
              <w:bottom w:val="nil"/>
              <w:right w:val="nil"/>
            </w:tcBorders>
          </w:tcPr>
          <w:p w:rsidR="00A05A99" w:rsidRPr="00575C82" w:rsidRDefault="00A05A99" w:rsidP="00A05A99">
            <w:pPr>
              <w:pStyle w:val="Tabletext"/>
              <w:tabs>
                <w:tab w:val="decimal" w:pos="567"/>
              </w:tabs>
            </w:pPr>
            <w:r>
              <w:t>33.0</w:t>
            </w:r>
          </w:p>
        </w:tc>
        <w:tc>
          <w:tcPr>
            <w:tcW w:w="1205" w:type="dxa"/>
            <w:tcBorders>
              <w:top w:val="nil"/>
              <w:left w:val="nil"/>
              <w:bottom w:val="nil"/>
              <w:right w:val="nil"/>
            </w:tcBorders>
          </w:tcPr>
          <w:p w:rsidR="00A05A99" w:rsidRPr="00575C82" w:rsidRDefault="00A05A99" w:rsidP="00A05A99">
            <w:pPr>
              <w:pStyle w:val="Tabletext"/>
              <w:tabs>
                <w:tab w:val="decimal" w:pos="567"/>
              </w:tabs>
            </w:pPr>
            <w:r w:rsidRPr="00575C82">
              <w:t>3</w:t>
            </w:r>
            <w:r>
              <w:t>4.0</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0B008C" w:rsidRDefault="00A05A99" w:rsidP="00A05A99">
            <w:pPr>
              <w:pStyle w:val="Tabletext"/>
            </w:pPr>
            <w:r w:rsidRPr="000B008C">
              <w:t>Three siblings</w:t>
            </w:r>
          </w:p>
        </w:tc>
        <w:tc>
          <w:tcPr>
            <w:tcW w:w="1205" w:type="dxa"/>
            <w:tcBorders>
              <w:top w:val="nil"/>
              <w:left w:val="nil"/>
              <w:bottom w:val="nil"/>
              <w:right w:val="nil"/>
            </w:tcBorders>
          </w:tcPr>
          <w:p w:rsidR="00A05A99" w:rsidRPr="00A54282" w:rsidRDefault="00A05A99" w:rsidP="00A05A99">
            <w:pPr>
              <w:pStyle w:val="Tabletext"/>
              <w:tabs>
                <w:tab w:val="decimal" w:pos="567"/>
              </w:tabs>
            </w:pPr>
            <w:r>
              <w:t>15.2</w:t>
            </w:r>
          </w:p>
        </w:tc>
        <w:tc>
          <w:tcPr>
            <w:tcW w:w="1205" w:type="dxa"/>
            <w:tcBorders>
              <w:top w:val="nil"/>
              <w:left w:val="nil"/>
              <w:bottom w:val="nil"/>
              <w:right w:val="nil"/>
            </w:tcBorders>
          </w:tcPr>
          <w:p w:rsidR="00A05A99" w:rsidRPr="00575C82" w:rsidRDefault="00A05A99" w:rsidP="00A05A99">
            <w:pPr>
              <w:pStyle w:val="Tabletext"/>
              <w:tabs>
                <w:tab w:val="decimal" w:pos="567"/>
              </w:tabs>
            </w:pPr>
            <w:r>
              <w:t>14.2</w:t>
            </w:r>
          </w:p>
        </w:tc>
        <w:tc>
          <w:tcPr>
            <w:tcW w:w="1205" w:type="dxa"/>
            <w:tcBorders>
              <w:top w:val="nil"/>
              <w:left w:val="nil"/>
              <w:bottom w:val="nil"/>
              <w:right w:val="nil"/>
            </w:tcBorders>
          </w:tcPr>
          <w:p w:rsidR="00A05A99" w:rsidRPr="00575C82" w:rsidRDefault="00A05A99" w:rsidP="00A05A99">
            <w:pPr>
              <w:pStyle w:val="Tabletext"/>
              <w:tabs>
                <w:tab w:val="decimal" w:pos="567"/>
              </w:tabs>
            </w:pPr>
            <w:r w:rsidRPr="00575C82">
              <w:t>17.</w:t>
            </w:r>
            <w:r>
              <w:t>0</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0B008C" w:rsidRDefault="00A05A99" w:rsidP="00A05A99">
            <w:pPr>
              <w:pStyle w:val="Tabletext"/>
            </w:pPr>
            <w:r w:rsidRPr="000B008C">
              <w:t>Four or more siblings</w:t>
            </w:r>
          </w:p>
        </w:tc>
        <w:tc>
          <w:tcPr>
            <w:tcW w:w="1205" w:type="dxa"/>
            <w:tcBorders>
              <w:top w:val="nil"/>
              <w:left w:val="nil"/>
              <w:bottom w:val="nil"/>
              <w:right w:val="nil"/>
            </w:tcBorders>
          </w:tcPr>
          <w:p w:rsidR="00A05A99" w:rsidRPr="00A54282" w:rsidRDefault="00A05A99" w:rsidP="00A05A99">
            <w:pPr>
              <w:pStyle w:val="Tabletext"/>
              <w:tabs>
                <w:tab w:val="decimal" w:pos="567"/>
              </w:tabs>
            </w:pPr>
            <w:r>
              <w:t>11.0</w:t>
            </w:r>
          </w:p>
        </w:tc>
        <w:tc>
          <w:tcPr>
            <w:tcW w:w="1205" w:type="dxa"/>
            <w:tcBorders>
              <w:top w:val="nil"/>
              <w:left w:val="nil"/>
              <w:bottom w:val="nil"/>
              <w:right w:val="nil"/>
            </w:tcBorders>
          </w:tcPr>
          <w:p w:rsidR="00A05A99" w:rsidRPr="00575C82" w:rsidRDefault="00A05A99" w:rsidP="00A05A99">
            <w:pPr>
              <w:pStyle w:val="Tabletext"/>
              <w:tabs>
                <w:tab w:val="decimal" w:pos="567"/>
              </w:tabs>
            </w:pPr>
            <w:r>
              <w:t>10.6</w:t>
            </w:r>
          </w:p>
        </w:tc>
        <w:tc>
          <w:tcPr>
            <w:tcW w:w="1205" w:type="dxa"/>
            <w:tcBorders>
              <w:top w:val="nil"/>
              <w:left w:val="nil"/>
              <w:bottom w:val="nil"/>
              <w:right w:val="nil"/>
            </w:tcBorders>
          </w:tcPr>
          <w:p w:rsidR="00A05A99" w:rsidRPr="00575C82" w:rsidRDefault="00A05A99" w:rsidP="00A05A99">
            <w:pPr>
              <w:pStyle w:val="Tabletext"/>
              <w:tabs>
                <w:tab w:val="decimal" w:pos="567"/>
              </w:tabs>
            </w:pPr>
            <w:r>
              <w:t>9.6</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0B008C" w:rsidRDefault="00A05A99" w:rsidP="000B008C">
            <w:pPr>
              <w:pStyle w:val="Tabletext"/>
            </w:pPr>
            <w:r w:rsidRPr="000B008C">
              <w:t>Respondent born overseas in English-speaking country</w:t>
            </w:r>
          </w:p>
        </w:tc>
        <w:tc>
          <w:tcPr>
            <w:tcW w:w="1205" w:type="dxa"/>
            <w:tcBorders>
              <w:top w:val="nil"/>
              <w:left w:val="nil"/>
              <w:bottom w:val="nil"/>
              <w:right w:val="nil"/>
            </w:tcBorders>
          </w:tcPr>
          <w:p w:rsidR="00A05A99" w:rsidRPr="00A54282" w:rsidRDefault="00A05A99" w:rsidP="00A05A99">
            <w:pPr>
              <w:pStyle w:val="Tabletext"/>
              <w:tabs>
                <w:tab w:val="decimal" w:pos="567"/>
              </w:tabs>
            </w:pPr>
            <w:r>
              <w:t>4.0</w:t>
            </w:r>
          </w:p>
        </w:tc>
        <w:tc>
          <w:tcPr>
            <w:tcW w:w="1205" w:type="dxa"/>
            <w:tcBorders>
              <w:top w:val="nil"/>
              <w:left w:val="nil"/>
              <w:bottom w:val="nil"/>
              <w:right w:val="nil"/>
            </w:tcBorders>
          </w:tcPr>
          <w:p w:rsidR="00A05A99" w:rsidRPr="00575C82" w:rsidRDefault="00A05A99" w:rsidP="00A05A99">
            <w:pPr>
              <w:pStyle w:val="Tabletext"/>
              <w:tabs>
                <w:tab w:val="decimal" w:pos="567"/>
              </w:tabs>
            </w:pPr>
            <w:r>
              <w:t>3.8</w:t>
            </w:r>
          </w:p>
        </w:tc>
        <w:tc>
          <w:tcPr>
            <w:tcW w:w="1205" w:type="dxa"/>
            <w:tcBorders>
              <w:top w:val="nil"/>
              <w:left w:val="nil"/>
              <w:bottom w:val="nil"/>
              <w:right w:val="nil"/>
            </w:tcBorders>
          </w:tcPr>
          <w:p w:rsidR="00A05A99" w:rsidRPr="00575C82" w:rsidRDefault="00A05A99" w:rsidP="00A05A99">
            <w:pPr>
              <w:pStyle w:val="Tabletext"/>
              <w:tabs>
                <w:tab w:val="decimal" w:pos="567"/>
              </w:tabs>
            </w:pPr>
            <w:r w:rsidRPr="00575C82">
              <w:t>3.</w:t>
            </w:r>
            <w:r>
              <w:t>2</w:t>
            </w:r>
          </w:p>
        </w:tc>
        <w:tc>
          <w:tcPr>
            <w:tcW w:w="1205" w:type="dxa"/>
            <w:tcBorders>
              <w:top w:val="nil"/>
              <w:left w:val="nil"/>
              <w:bottom w:val="nil"/>
              <w:right w:val="nil"/>
            </w:tcBorders>
          </w:tcPr>
          <w:p w:rsidR="00A05A99" w:rsidRPr="00361FCD" w:rsidRDefault="00A05A99" w:rsidP="00A05A99">
            <w:pPr>
              <w:pStyle w:val="Tabletext"/>
              <w:tabs>
                <w:tab w:val="decimal" w:pos="567"/>
              </w:tabs>
            </w:pPr>
            <w:r>
              <w:t>1.3</w:t>
            </w:r>
          </w:p>
        </w:tc>
      </w:tr>
      <w:tr w:rsidR="00A05A99" w:rsidTr="00A05A99">
        <w:trPr>
          <w:cantSplit/>
        </w:trPr>
        <w:tc>
          <w:tcPr>
            <w:tcW w:w="3969" w:type="dxa"/>
            <w:tcBorders>
              <w:top w:val="nil"/>
              <w:left w:val="nil"/>
              <w:bottom w:val="nil"/>
              <w:right w:val="nil"/>
            </w:tcBorders>
          </w:tcPr>
          <w:p w:rsidR="00A05A99" w:rsidRPr="000B008C" w:rsidRDefault="00A05A99" w:rsidP="000B008C">
            <w:pPr>
              <w:pStyle w:val="Tabletext"/>
            </w:pPr>
            <w:r w:rsidRPr="000B008C">
              <w:t>Respondent born overseas in non-English-speaking country</w:t>
            </w:r>
          </w:p>
        </w:tc>
        <w:tc>
          <w:tcPr>
            <w:tcW w:w="1205" w:type="dxa"/>
            <w:tcBorders>
              <w:top w:val="nil"/>
              <w:left w:val="nil"/>
              <w:bottom w:val="nil"/>
              <w:right w:val="nil"/>
            </w:tcBorders>
          </w:tcPr>
          <w:p w:rsidR="00A05A99" w:rsidRPr="00A54282" w:rsidRDefault="00A05A99" w:rsidP="00A05A99">
            <w:pPr>
              <w:pStyle w:val="Tabletext"/>
              <w:tabs>
                <w:tab w:val="decimal" w:pos="567"/>
              </w:tabs>
            </w:pPr>
            <w:r>
              <w:t>8.9</w:t>
            </w:r>
          </w:p>
        </w:tc>
        <w:tc>
          <w:tcPr>
            <w:tcW w:w="1205" w:type="dxa"/>
            <w:tcBorders>
              <w:top w:val="nil"/>
              <w:left w:val="nil"/>
              <w:bottom w:val="nil"/>
              <w:right w:val="nil"/>
            </w:tcBorders>
          </w:tcPr>
          <w:p w:rsidR="00A05A99" w:rsidRPr="00575C82" w:rsidRDefault="00A05A99" w:rsidP="00A05A99">
            <w:pPr>
              <w:pStyle w:val="Tabletext"/>
              <w:tabs>
                <w:tab w:val="decimal" w:pos="567"/>
              </w:tabs>
            </w:pPr>
            <w:r>
              <w:t>8.1</w:t>
            </w:r>
          </w:p>
        </w:tc>
        <w:tc>
          <w:tcPr>
            <w:tcW w:w="1205" w:type="dxa"/>
            <w:tcBorders>
              <w:top w:val="nil"/>
              <w:left w:val="nil"/>
              <w:bottom w:val="nil"/>
              <w:right w:val="nil"/>
            </w:tcBorders>
          </w:tcPr>
          <w:p w:rsidR="00A05A99" w:rsidRPr="00575C82" w:rsidRDefault="00A05A99" w:rsidP="00A05A99">
            <w:pPr>
              <w:pStyle w:val="Tabletext"/>
              <w:tabs>
                <w:tab w:val="decimal" w:pos="567"/>
              </w:tabs>
            </w:pPr>
            <w:r w:rsidRPr="00575C82">
              <w:t>7.</w:t>
            </w:r>
            <w:r>
              <w:t>1</w:t>
            </w:r>
          </w:p>
        </w:tc>
        <w:tc>
          <w:tcPr>
            <w:tcW w:w="1205" w:type="dxa"/>
            <w:tcBorders>
              <w:top w:val="nil"/>
              <w:left w:val="nil"/>
              <w:bottom w:val="nil"/>
              <w:right w:val="nil"/>
            </w:tcBorders>
          </w:tcPr>
          <w:p w:rsidR="00A05A99" w:rsidRPr="00361FCD" w:rsidRDefault="00A05A99" w:rsidP="00A05A99">
            <w:pPr>
              <w:pStyle w:val="Tabletext"/>
              <w:tabs>
                <w:tab w:val="decimal" w:pos="567"/>
              </w:tabs>
            </w:pPr>
            <w:r>
              <w:t>5.7</w:t>
            </w:r>
          </w:p>
        </w:tc>
      </w:tr>
      <w:tr w:rsidR="00A05A99" w:rsidTr="00A05A99">
        <w:trPr>
          <w:cantSplit/>
        </w:trPr>
        <w:tc>
          <w:tcPr>
            <w:tcW w:w="3969" w:type="dxa"/>
            <w:tcBorders>
              <w:top w:val="nil"/>
              <w:left w:val="nil"/>
              <w:bottom w:val="nil"/>
              <w:right w:val="nil"/>
            </w:tcBorders>
          </w:tcPr>
          <w:p w:rsidR="00A05A99" w:rsidRPr="000B008C" w:rsidRDefault="00A05A99" w:rsidP="000B008C">
            <w:pPr>
              <w:pStyle w:val="Tabletext"/>
            </w:pPr>
            <w:r w:rsidRPr="000B008C">
              <w:t>Respondent born in Australia</w:t>
            </w:r>
          </w:p>
        </w:tc>
        <w:tc>
          <w:tcPr>
            <w:tcW w:w="1205" w:type="dxa"/>
            <w:tcBorders>
              <w:top w:val="nil"/>
              <w:left w:val="nil"/>
              <w:bottom w:val="nil"/>
              <w:right w:val="nil"/>
            </w:tcBorders>
          </w:tcPr>
          <w:p w:rsidR="00A05A99" w:rsidRPr="00A54282" w:rsidRDefault="00A05A99" w:rsidP="00A05A99">
            <w:pPr>
              <w:pStyle w:val="Tabletext"/>
              <w:tabs>
                <w:tab w:val="decimal" w:pos="567"/>
              </w:tabs>
            </w:pPr>
            <w:r>
              <w:t>87.2</w:t>
            </w:r>
          </w:p>
        </w:tc>
        <w:tc>
          <w:tcPr>
            <w:tcW w:w="1205" w:type="dxa"/>
            <w:tcBorders>
              <w:top w:val="nil"/>
              <w:left w:val="nil"/>
              <w:bottom w:val="nil"/>
              <w:right w:val="nil"/>
            </w:tcBorders>
          </w:tcPr>
          <w:p w:rsidR="00A05A99" w:rsidRPr="00575C82" w:rsidRDefault="00A05A99" w:rsidP="00A05A99">
            <w:pPr>
              <w:pStyle w:val="Tabletext"/>
              <w:tabs>
                <w:tab w:val="decimal" w:pos="567"/>
              </w:tabs>
            </w:pPr>
            <w:r>
              <w:t>88.2</w:t>
            </w:r>
          </w:p>
        </w:tc>
        <w:tc>
          <w:tcPr>
            <w:tcW w:w="1205" w:type="dxa"/>
            <w:tcBorders>
              <w:top w:val="nil"/>
              <w:left w:val="nil"/>
              <w:bottom w:val="nil"/>
              <w:right w:val="nil"/>
            </w:tcBorders>
          </w:tcPr>
          <w:p w:rsidR="00A05A99" w:rsidRPr="00575C82" w:rsidRDefault="00A05A99" w:rsidP="00A05A99">
            <w:pPr>
              <w:pStyle w:val="Tabletext"/>
              <w:tabs>
                <w:tab w:val="decimal" w:pos="567"/>
              </w:tabs>
            </w:pPr>
            <w:r w:rsidRPr="00575C82">
              <w:t>89.</w:t>
            </w:r>
            <w:r>
              <w:t>7</w:t>
            </w:r>
          </w:p>
        </w:tc>
        <w:tc>
          <w:tcPr>
            <w:tcW w:w="1205" w:type="dxa"/>
            <w:tcBorders>
              <w:top w:val="nil"/>
              <w:left w:val="nil"/>
              <w:bottom w:val="nil"/>
              <w:right w:val="nil"/>
            </w:tcBorders>
          </w:tcPr>
          <w:p w:rsidR="00A05A99" w:rsidRPr="00361FCD" w:rsidRDefault="00A05A99" w:rsidP="00A05A99">
            <w:pPr>
              <w:pStyle w:val="Tabletext"/>
              <w:tabs>
                <w:tab w:val="decimal" w:pos="567"/>
              </w:tabs>
            </w:pPr>
            <w:r>
              <w:t>93.0</w:t>
            </w:r>
          </w:p>
        </w:tc>
      </w:tr>
      <w:tr w:rsidR="00A05A99" w:rsidTr="00A05A99">
        <w:trPr>
          <w:cantSplit/>
        </w:trPr>
        <w:tc>
          <w:tcPr>
            <w:tcW w:w="3969" w:type="dxa"/>
            <w:tcBorders>
              <w:top w:val="nil"/>
              <w:left w:val="nil"/>
              <w:bottom w:val="nil"/>
              <w:right w:val="nil"/>
            </w:tcBorders>
          </w:tcPr>
          <w:p w:rsidR="00A05A99" w:rsidRPr="000B008C" w:rsidRDefault="00A05A99" w:rsidP="000B008C">
            <w:pPr>
              <w:pStyle w:val="Tabletext"/>
            </w:pPr>
            <w:r w:rsidRPr="000B008C">
              <w:t>Self-assessed school performance – well above average</w:t>
            </w:r>
          </w:p>
        </w:tc>
        <w:tc>
          <w:tcPr>
            <w:tcW w:w="1205" w:type="dxa"/>
            <w:tcBorders>
              <w:top w:val="nil"/>
              <w:left w:val="nil"/>
              <w:bottom w:val="nil"/>
              <w:right w:val="nil"/>
            </w:tcBorders>
          </w:tcPr>
          <w:p w:rsidR="00A05A99" w:rsidRPr="00A54282" w:rsidRDefault="00A05A99" w:rsidP="00A05A99">
            <w:pPr>
              <w:pStyle w:val="Tabletext"/>
              <w:tabs>
                <w:tab w:val="decimal" w:pos="567"/>
              </w:tabs>
            </w:pPr>
            <w:r>
              <w:t>14.9</w:t>
            </w:r>
          </w:p>
        </w:tc>
        <w:tc>
          <w:tcPr>
            <w:tcW w:w="1205" w:type="dxa"/>
            <w:tcBorders>
              <w:top w:val="nil"/>
              <w:left w:val="nil"/>
              <w:bottom w:val="nil"/>
              <w:right w:val="nil"/>
            </w:tcBorders>
          </w:tcPr>
          <w:p w:rsidR="00A05A99" w:rsidRPr="00575C82" w:rsidRDefault="00A05A99" w:rsidP="00A05A99">
            <w:pPr>
              <w:pStyle w:val="Tabletext"/>
              <w:tabs>
                <w:tab w:val="decimal" w:pos="567"/>
              </w:tabs>
            </w:pPr>
            <w:r>
              <w:t>14.7</w:t>
            </w:r>
          </w:p>
        </w:tc>
        <w:tc>
          <w:tcPr>
            <w:tcW w:w="1205" w:type="dxa"/>
            <w:tcBorders>
              <w:top w:val="nil"/>
              <w:left w:val="nil"/>
              <w:bottom w:val="nil"/>
              <w:right w:val="nil"/>
            </w:tcBorders>
          </w:tcPr>
          <w:p w:rsidR="00A05A99" w:rsidRPr="00575C82" w:rsidRDefault="00A05A99" w:rsidP="00A05A99">
            <w:pPr>
              <w:pStyle w:val="Tabletext"/>
              <w:tabs>
                <w:tab w:val="decimal" w:pos="567"/>
              </w:tabs>
            </w:pPr>
            <w:r>
              <w:t>8.5</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0B008C" w:rsidRDefault="00A05A99" w:rsidP="000B008C">
            <w:pPr>
              <w:pStyle w:val="Tabletext"/>
            </w:pPr>
            <w:r w:rsidRPr="000B008C">
              <w:t>Self-assessed school performance – better than average</w:t>
            </w:r>
          </w:p>
        </w:tc>
        <w:tc>
          <w:tcPr>
            <w:tcW w:w="1205" w:type="dxa"/>
            <w:tcBorders>
              <w:top w:val="nil"/>
              <w:left w:val="nil"/>
              <w:bottom w:val="nil"/>
              <w:right w:val="nil"/>
            </w:tcBorders>
          </w:tcPr>
          <w:p w:rsidR="00A05A99" w:rsidRPr="00A54282" w:rsidRDefault="00A05A99" w:rsidP="00A05A99">
            <w:pPr>
              <w:pStyle w:val="Tabletext"/>
              <w:tabs>
                <w:tab w:val="decimal" w:pos="567"/>
              </w:tabs>
            </w:pPr>
            <w:r>
              <w:t>40.3</w:t>
            </w:r>
          </w:p>
        </w:tc>
        <w:tc>
          <w:tcPr>
            <w:tcW w:w="1205" w:type="dxa"/>
            <w:tcBorders>
              <w:top w:val="nil"/>
              <w:left w:val="nil"/>
              <w:bottom w:val="nil"/>
              <w:right w:val="nil"/>
            </w:tcBorders>
          </w:tcPr>
          <w:p w:rsidR="00A05A99" w:rsidRPr="00575C82" w:rsidRDefault="00A05A99" w:rsidP="00A05A99">
            <w:pPr>
              <w:pStyle w:val="Tabletext"/>
              <w:tabs>
                <w:tab w:val="decimal" w:pos="567"/>
              </w:tabs>
            </w:pPr>
            <w:r>
              <w:t>41.1</w:t>
            </w:r>
          </w:p>
        </w:tc>
        <w:tc>
          <w:tcPr>
            <w:tcW w:w="1205" w:type="dxa"/>
            <w:tcBorders>
              <w:top w:val="nil"/>
              <w:left w:val="nil"/>
              <w:bottom w:val="nil"/>
              <w:right w:val="nil"/>
            </w:tcBorders>
          </w:tcPr>
          <w:p w:rsidR="00A05A99" w:rsidRPr="00575C82" w:rsidRDefault="00A05A99" w:rsidP="00A05A99">
            <w:pPr>
              <w:pStyle w:val="Tabletext"/>
              <w:tabs>
                <w:tab w:val="decimal" w:pos="567"/>
              </w:tabs>
            </w:pPr>
            <w:r w:rsidRPr="00575C82">
              <w:t>3</w:t>
            </w:r>
            <w:r>
              <w:t>6.0</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0B008C" w:rsidRDefault="00A05A99" w:rsidP="000B008C">
            <w:pPr>
              <w:pStyle w:val="Tabletext"/>
            </w:pPr>
            <w:r w:rsidRPr="000B008C">
              <w:t>Self-assessed school performance – average</w:t>
            </w:r>
          </w:p>
        </w:tc>
        <w:tc>
          <w:tcPr>
            <w:tcW w:w="1205" w:type="dxa"/>
            <w:tcBorders>
              <w:top w:val="nil"/>
              <w:left w:val="nil"/>
              <w:bottom w:val="nil"/>
              <w:right w:val="nil"/>
            </w:tcBorders>
          </w:tcPr>
          <w:p w:rsidR="00A05A99" w:rsidRPr="00A54282" w:rsidRDefault="00A05A99" w:rsidP="00A05A99">
            <w:pPr>
              <w:pStyle w:val="Tabletext"/>
              <w:tabs>
                <w:tab w:val="decimal" w:pos="567"/>
              </w:tabs>
            </w:pPr>
            <w:r>
              <w:t>43.0</w:t>
            </w:r>
          </w:p>
        </w:tc>
        <w:tc>
          <w:tcPr>
            <w:tcW w:w="1205" w:type="dxa"/>
            <w:tcBorders>
              <w:top w:val="nil"/>
              <w:left w:val="nil"/>
              <w:bottom w:val="nil"/>
              <w:right w:val="nil"/>
            </w:tcBorders>
          </w:tcPr>
          <w:p w:rsidR="00A05A99" w:rsidRPr="00575C82" w:rsidRDefault="00A05A99" w:rsidP="00A05A99">
            <w:pPr>
              <w:pStyle w:val="Tabletext"/>
              <w:tabs>
                <w:tab w:val="decimal" w:pos="567"/>
              </w:tabs>
            </w:pPr>
            <w:r>
              <w:t>42.9</w:t>
            </w:r>
          </w:p>
        </w:tc>
        <w:tc>
          <w:tcPr>
            <w:tcW w:w="1205" w:type="dxa"/>
            <w:tcBorders>
              <w:top w:val="nil"/>
              <w:left w:val="nil"/>
              <w:bottom w:val="nil"/>
              <w:right w:val="nil"/>
            </w:tcBorders>
          </w:tcPr>
          <w:p w:rsidR="00A05A99" w:rsidRPr="00575C82" w:rsidRDefault="00A05A99" w:rsidP="00A05A99">
            <w:pPr>
              <w:pStyle w:val="Tabletext"/>
              <w:tabs>
                <w:tab w:val="decimal" w:pos="567"/>
              </w:tabs>
            </w:pPr>
            <w:r>
              <w:t>49.1</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0B008C" w:rsidRDefault="00A05A99" w:rsidP="000B008C">
            <w:pPr>
              <w:pStyle w:val="Tabletext"/>
              <w:jc w:val="center"/>
            </w:pPr>
            <w:r w:rsidRPr="000B008C">
              <w:t>Self-assessed school performance – below average</w:t>
            </w:r>
          </w:p>
        </w:tc>
        <w:tc>
          <w:tcPr>
            <w:tcW w:w="1205" w:type="dxa"/>
            <w:tcBorders>
              <w:top w:val="nil"/>
              <w:left w:val="nil"/>
              <w:bottom w:val="nil"/>
              <w:right w:val="nil"/>
            </w:tcBorders>
          </w:tcPr>
          <w:p w:rsidR="00A05A99" w:rsidRPr="00A54282" w:rsidRDefault="00A05A99" w:rsidP="00A05A99">
            <w:pPr>
              <w:pStyle w:val="Tabletext"/>
              <w:tabs>
                <w:tab w:val="decimal" w:pos="567"/>
              </w:tabs>
            </w:pPr>
            <w:r>
              <w:t>1.6</w:t>
            </w:r>
          </w:p>
        </w:tc>
        <w:tc>
          <w:tcPr>
            <w:tcW w:w="1205" w:type="dxa"/>
            <w:tcBorders>
              <w:top w:val="nil"/>
              <w:left w:val="nil"/>
              <w:bottom w:val="nil"/>
              <w:right w:val="nil"/>
            </w:tcBorders>
          </w:tcPr>
          <w:p w:rsidR="00A05A99" w:rsidRPr="00575C82" w:rsidRDefault="00A05A99" w:rsidP="00A05A99">
            <w:pPr>
              <w:pStyle w:val="Tabletext"/>
              <w:tabs>
                <w:tab w:val="decimal" w:pos="567"/>
              </w:tabs>
            </w:pPr>
            <w:r>
              <w:t>1.2</w:t>
            </w:r>
          </w:p>
        </w:tc>
        <w:tc>
          <w:tcPr>
            <w:tcW w:w="1205" w:type="dxa"/>
            <w:tcBorders>
              <w:top w:val="nil"/>
              <w:left w:val="nil"/>
              <w:bottom w:val="nil"/>
              <w:right w:val="nil"/>
            </w:tcBorders>
          </w:tcPr>
          <w:p w:rsidR="00A05A99" w:rsidRPr="00575C82" w:rsidRDefault="00A05A99" w:rsidP="00A05A99">
            <w:pPr>
              <w:pStyle w:val="Tabletext"/>
              <w:tabs>
                <w:tab w:val="decimal" w:pos="567"/>
              </w:tabs>
            </w:pPr>
            <w:r w:rsidRPr="00575C82">
              <w:t>6.</w:t>
            </w:r>
            <w:r>
              <w:t>3</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Attended Catholic school in last year</w:t>
            </w:r>
            <w:r>
              <w:t xml:space="preserve"> </w:t>
            </w:r>
            <w:r w:rsidRPr="00B90227">
              <w:t>at school</w:t>
            </w:r>
          </w:p>
        </w:tc>
        <w:tc>
          <w:tcPr>
            <w:tcW w:w="1205" w:type="dxa"/>
            <w:tcBorders>
              <w:top w:val="nil"/>
              <w:left w:val="nil"/>
              <w:bottom w:val="nil"/>
              <w:right w:val="nil"/>
            </w:tcBorders>
          </w:tcPr>
          <w:p w:rsidR="00A05A99" w:rsidRPr="00A54282" w:rsidRDefault="00A05A99" w:rsidP="00A05A99">
            <w:pPr>
              <w:pStyle w:val="Tabletext"/>
              <w:tabs>
                <w:tab w:val="decimal" w:pos="567"/>
              </w:tabs>
            </w:pPr>
            <w:r>
              <w:t>21.7</w:t>
            </w:r>
          </w:p>
        </w:tc>
        <w:tc>
          <w:tcPr>
            <w:tcW w:w="1205" w:type="dxa"/>
            <w:tcBorders>
              <w:top w:val="nil"/>
              <w:left w:val="nil"/>
              <w:bottom w:val="nil"/>
              <w:right w:val="nil"/>
            </w:tcBorders>
          </w:tcPr>
          <w:p w:rsidR="00A05A99" w:rsidRPr="00575C82" w:rsidRDefault="00A05A99" w:rsidP="00A05A99">
            <w:pPr>
              <w:pStyle w:val="Tabletext"/>
              <w:tabs>
                <w:tab w:val="decimal" w:pos="567"/>
              </w:tabs>
            </w:pPr>
            <w:r>
              <w:t>20.9</w:t>
            </w:r>
          </w:p>
        </w:tc>
        <w:tc>
          <w:tcPr>
            <w:tcW w:w="1205" w:type="dxa"/>
            <w:tcBorders>
              <w:top w:val="nil"/>
              <w:left w:val="nil"/>
              <w:bottom w:val="nil"/>
              <w:right w:val="nil"/>
            </w:tcBorders>
          </w:tcPr>
          <w:p w:rsidR="00A05A99" w:rsidRPr="00575C82" w:rsidRDefault="00A05A99" w:rsidP="00A05A99">
            <w:pPr>
              <w:pStyle w:val="Tabletext"/>
              <w:tabs>
                <w:tab w:val="decimal" w:pos="567"/>
              </w:tabs>
            </w:pPr>
            <w:r>
              <w:t>20.4</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Independent school</w:t>
            </w:r>
            <w:r>
              <w:t xml:space="preserve"> </w:t>
            </w:r>
            <w:r w:rsidRPr="00B90227">
              <w:t>in last year at school</w:t>
            </w:r>
          </w:p>
        </w:tc>
        <w:tc>
          <w:tcPr>
            <w:tcW w:w="1205" w:type="dxa"/>
            <w:tcBorders>
              <w:top w:val="nil"/>
              <w:left w:val="nil"/>
              <w:bottom w:val="nil"/>
              <w:right w:val="nil"/>
            </w:tcBorders>
          </w:tcPr>
          <w:p w:rsidR="00A05A99" w:rsidRPr="00A54282" w:rsidRDefault="00A05A99" w:rsidP="00A05A99">
            <w:pPr>
              <w:pStyle w:val="Tabletext"/>
              <w:tabs>
                <w:tab w:val="decimal" w:pos="567"/>
              </w:tabs>
            </w:pPr>
            <w:r>
              <w:t>16.5</w:t>
            </w:r>
          </w:p>
        </w:tc>
        <w:tc>
          <w:tcPr>
            <w:tcW w:w="1205" w:type="dxa"/>
            <w:tcBorders>
              <w:top w:val="nil"/>
              <w:left w:val="nil"/>
              <w:bottom w:val="nil"/>
              <w:right w:val="nil"/>
            </w:tcBorders>
          </w:tcPr>
          <w:p w:rsidR="00A05A99" w:rsidRPr="00575C82" w:rsidRDefault="00A05A99" w:rsidP="00A05A99">
            <w:pPr>
              <w:pStyle w:val="Tabletext"/>
              <w:tabs>
                <w:tab w:val="decimal" w:pos="567"/>
              </w:tabs>
            </w:pPr>
            <w:r>
              <w:t>17.2</w:t>
            </w:r>
          </w:p>
        </w:tc>
        <w:tc>
          <w:tcPr>
            <w:tcW w:w="1205" w:type="dxa"/>
            <w:tcBorders>
              <w:top w:val="nil"/>
              <w:left w:val="nil"/>
              <w:bottom w:val="nil"/>
              <w:right w:val="nil"/>
            </w:tcBorders>
          </w:tcPr>
          <w:p w:rsidR="00A05A99" w:rsidRPr="00575C82" w:rsidRDefault="00A05A99" w:rsidP="00A05A99">
            <w:pPr>
              <w:pStyle w:val="Tabletext"/>
              <w:tabs>
                <w:tab w:val="decimal" w:pos="567"/>
              </w:tabs>
            </w:pPr>
            <w:r w:rsidRPr="00575C82">
              <w:t>1</w:t>
            </w:r>
            <w:r>
              <w:t>3.1</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Government school</w:t>
            </w:r>
            <w:r>
              <w:t xml:space="preserve"> </w:t>
            </w:r>
            <w:r w:rsidRPr="00B90227">
              <w:t>in last year at school</w:t>
            </w:r>
          </w:p>
        </w:tc>
        <w:tc>
          <w:tcPr>
            <w:tcW w:w="1205" w:type="dxa"/>
            <w:tcBorders>
              <w:top w:val="nil"/>
              <w:left w:val="nil"/>
              <w:bottom w:val="nil"/>
              <w:right w:val="nil"/>
            </w:tcBorders>
          </w:tcPr>
          <w:p w:rsidR="00A05A99" w:rsidRPr="00A54282" w:rsidRDefault="00A05A99" w:rsidP="00A05A99">
            <w:pPr>
              <w:pStyle w:val="Tabletext"/>
              <w:tabs>
                <w:tab w:val="decimal" w:pos="567"/>
              </w:tabs>
            </w:pPr>
            <w:r>
              <w:t>61.8</w:t>
            </w:r>
          </w:p>
        </w:tc>
        <w:tc>
          <w:tcPr>
            <w:tcW w:w="1205" w:type="dxa"/>
            <w:tcBorders>
              <w:top w:val="nil"/>
              <w:left w:val="nil"/>
              <w:bottom w:val="nil"/>
              <w:right w:val="nil"/>
            </w:tcBorders>
          </w:tcPr>
          <w:p w:rsidR="00A05A99" w:rsidRPr="00575C82" w:rsidRDefault="00A05A99" w:rsidP="00A05A99">
            <w:pPr>
              <w:pStyle w:val="Tabletext"/>
              <w:tabs>
                <w:tab w:val="decimal" w:pos="567"/>
              </w:tabs>
            </w:pPr>
            <w:r>
              <w:t>62.0</w:t>
            </w:r>
          </w:p>
        </w:tc>
        <w:tc>
          <w:tcPr>
            <w:tcW w:w="1205" w:type="dxa"/>
            <w:tcBorders>
              <w:top w:val="nil"/>
              <w:left w:val="nil"/>
              <w:bottom w:val="nil"/>
              <w:right w:val="nil"/>
            </w:tcBorders>
          </w:tcPr>
          <w:p w:rsidR="00A05A99" w:rsidRPr="00575C82" w:rsidRDefault="00A05A99" w:rsidP="00A05A99">
            <w:pPr>
              <w:pStyle w:val="Tabletext"/>
              <w:tabs>
                <w:tab w:val="decimal" w:pos="567"/>
              </w:tabs>
            </w:pPr>
            <w:r w:rsidRPr="00575C82">
              <w:t>6</w:t>
            </w:r>
            <w:r>
              <w:t>6.5</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NSW</w:t>
            </w:r>
          </w:p>
        </w:tc>
        <w:tc>
          <w:tcPr>
            <w:tcW w:w="1205" w:type="dxa"/>
            <w:tcBorders>
              <w:top w:val="nil"/>
              <w:left w:val="nil"/>
              <w:bottom w:val="nil"/>
              <w:right w:val="nil"/>
            </w:tcBorders>
          </w:tcPr>
          <w:p w:rsidR="00A05A99" w:rsidRPr="00A54282" w:rsidRDefault="00A05A99" w:rsidP="00A05A99">
            <w:pPr>
              <w:pStyle w:val="Tabletext"/>
              <w:tabs>
                <w:tab w:val="decimal" w:pos="567"/>
              </w:tabs>
            </w:pPr>
            <w:r>
              <w:t>31.8</w:t>
            </w:r>
          </w:p>
        </w:tc>
        <w:tc>
          <w:tcPr>
            <w:tcW w:w="1205" w:type="dxa"/>
            <w:tcBorders>
              <w:top w:val="nil"/>
              <w:left w:val="nil"/>
              <w:bottom w:val="nil"/>
              <w:right w:val="nil"/>
            </w:tcBorders>
          </w:tcPr>
          <w:p w:rsidR="00A05A99" w:rsidRPr="00575C82" w:rsidRDefault="00A05A99" w:rsidP="00A05A99">
            <w:pPr>
              <w:pStyle w:val="Tabletext"/>
              <w:tabs>
                <w:tab w:val="decimal" w:pos="567"/>
              </w:tabs>
            </w:pPr>
            <w:r>
              <w:t>31.9</w:t>
            </w:r>
          </w:p>
        </w:tc>
        <w:tc>
          <w:tcPr>
            <w:tcW w:w="1205" w:type="dxa"/>
            <w:tcBorders>
              <w:top w:val="nil"/>
              <w:left w:val="nil"/>
              <w:bottom w:val="nil"/>
              <w:right w:val="nil"/>
            </w:tcBorders>
          </w:tcPr>
          <w:p w:rsidR="00A05A99" w:rsidRPr="00575C82" w:rsidRDefault="00A05A99" w:rsidP="00A05A99">
            <w:pPr>
              <w:pStyle w:val="Tabletext"/>
              <w:tabs>
                <w:tab w:val="decimal" w:pos="567"/>
              </w:tabs>
            </w:pPr>
            <w:r w:rsidRPr="00575C82">
              <w:t>30.</w:t>
            </w:r>
            <w:r>
              <w:t>7</w:t>
            </w:r>
          </w:p>
        </w:tc>
        <w:tc>
          <w:tcPr>
            <w:tcW w:w="1205" w:type="dxa"/>
            <w:tcBorders>
              <w:top w:val="nil"/>
              <w:left w:val="nil"/>
              <w:bottom w:val="nil"/>
              <w:right w:val="nil"/>
            </w:tcBorders>
          </w:tcPr>
          <w:p w:rsidR="00A05A99" w:rsidRPr="00361FCD" w:rsidRDefault="00A05A99" w:rsidP="00A05A99">
            <w:pPr>
              <w:pStyle w:val="Tabletext"/>
              <w:tabs>
                <w:tab w:val="decimal" w:pos="567"/>
              </w:tabs>
            </w:pPr>
            <w:r w:rsidRPr="00361FCD">
              <w:t>32.</w:t>
            </w:r>
            <w:r>
              <w:t>8</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V</w:t>
            </w:r>
            <w:r>
              <w:t>ic.</w:t>
            </w:r>
          </w:p>
        </w:tc>
        <w:tc>
          <w:tcPr>
            <w:tcW w:w="1205" w:type="dxa"/>
            <w:tcBorders>
              <w:top w:val="nil"/>
              <w:left w:val="nil"/>
              <w:bottom w:val="nil"/>
              <w:right w:val="nil"/>
            </w:tcBorders>
          </w:tcPr>
          <w:p w:rsidR="00A05A99" w:rsidRPr="00A54282" w:rsidRDefault="00A05A99" w:rsidP="00A05A99">
            <w:pPr>
              <w:pStyle w:val="Tabletext"/>
              <w:tabs>
                <w:tab w:val="decimal" w:pos="567"/>
              </w:tabs>
            </w:pPr>
            <w:r>
              <w:t>24.3</w:t>
            </w:r>
          </w:p>
        </w:tc>
        <w:tc>
          <w:tcPr>
            <w:tcW w:w="1205" w:type="dxa"/>
            <w:tcBorders>
              <w:top w:val="nil"/>
              <w:left w:val="nil"/>
              <w:bottom w:val="nil"/>
              <w:right w:val="nil"/>
            </w:tcBorders>
          </w:tcPr>
          <w:p w:rsidR="00A05A99" w:rsidRPr="00575C82" w:rsidRDefault="00A05A99" w:rsidP="00A05A99">
            <w:pPr>
              <w:pStyle w:val="Tabletext"/>
              <w:tabs>
                <w:tab w:val="decimal" w:pos="567"/>
              </w:tabs>
            </w:pPr>
            <w:r>
              <w:t>24.0</w:t>
            </w:r>
          </w:p>
        </w:tc>
        <w:tc>
          <w:tcPr>
            <w:tcW w:w="1205" w:type="dxa"/>
            <w:tcBorders>
              <w:top w:val="nil"/>
              <w:left w:val="nil"/>
              <w:bottom w:val="nil"/>
              <w:right w:val="nil"/>
            </w:tcBorders>
          </w:tcPr>
          <w:p w:rsidR="00A05A99" w:rsidRPr="00575C82" w:rsidRDefault="00A05A99" w:rsidP="00A05A99">
            <w:pPr>
              <w:pStyle w:val="Tabletext"/>
              <w:tabs>
                <w:tab w:val="decimal" w:pos="567"/>
              </w:tabs>
            </w:pPr>
            <w:r w:rsidRPr="00575C82">
              <w:t>26.</w:t>
            </w:r>
            <w:r>
              <w:t>5</w:t>
            </w:r>
          </w:p>
        </w:tc>
        <w:tc>
          <w:tcPr>
            <w:tcW w:w="1205" w:type="dxa"/>
            <w:tcBorders>
              <w:top w:val="nil"/>
              <w:left w:val="nil"/>
              <w:bottom w:val="nil"/>
              <w:right w:val="nil"/>
            </w:tcBorders>
          </w:tcPr>
          <w:p w:rsidR="00A05A99" w:rsidRPr="00361FCD" w:rsidRDefault="00A05A99" w:rsidP="00A05A99">
            <w:pPr>
              <w:pStyle w:val="Tabletext"/>
              <w:tabs>
                <w:tab w:val="decimal" w:pos="567"/>
              </w:tabs>
            </w:pPr>
            <w:r w:rsidRPr="00361FCD">
              <w:t>25.</w:t>
            </w:r>
            <w:r>
              <w:t>6</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Q</w:t>
            </w:r>
            <w:r>
              <w:t>ld</w:t>
            </w:r>
          </w:p>
        </w:tc>
        <w:tc>
          <w:tcPr>
            <w:tcW w:w="1205" w:type="dxa"/>
            <w:tcBorders>
              <w:top w:val="nil"/>
              <w:left w:val="nil"/>
              <w:bottom w:val="nil"/>
              <w:right w:val="nil"/>
            </w:tcBorders>
          </w:tcPr>
          <w:p w:rsidR="00A05A99" w:rsidRPr="00A54282" w:rsidRDefault="00A05A99" w:rsidP="00A05A99">
            <w:pPr>
              <w:pStyle w:val="Tabletext"/>
              <w:tabs>
                <w:tab w:val="decimal" w:pos="567"/>
              </w:tabs>
            </w:pPr>
            <w:r>
              <w:t>19.2</w:t>
            </w:r>
          </w:p>
        </w:tc>
        <w:tc>
          <w:tcPr>
            <w:tcW w:w="1205" w:type="dxa"/>
            <w:tcBorders>
              <w:top w:val="nil"/>
              <w:left w:val="nil"/>
              <w:bottom w:val="nil"/>
              <w:right w:val="nil"/>
            </w:tcBorders>
          </w:tcPr>
          <w:p w:rsidR="00A05A99" w:rsidRPr="00575C82" w:rsidRDefault="00A05A99" w:rsidP="00A05A99">
            <w:pPr>
              <w:pStyle w:val="Tabletext"/>
              <w:tabs>
                <w:tab w:val="decimal" w:pos="567"/>
              </w:tabs>
            </w:pPr>
            <w:r>
              <w:t>20.4</w:t>
            </w:r>
          </w:p>
        </w:tc>
        <w:tc>
          <w:tcPr>
            <w:tcW w:w="1205" w:type="dxa"/>
            <w:tcBorders>
              <w:top w:val="nil"/>
              <w:left w:val="nil"/>
              <w:bottom w:val="nil"/>
              <w:right w:val="nil"/>
            </w:tcBorders>
          </w:tcPr>
          <w:p w:rsidR="00A05A99" w:rsidRPr="00575C82" w:rsidRDefault="00A05A99" w:rsidP="00A05A99">
            <w:pPr>
              <w:pStyle w:val="Tabletext"/>
              <w:tabs>
                <w:tab w:val="decimal" w:pos="567"/>
              </w:tabs>
            </w:pPr>
            <w:r>
              <w:t>19.8</w:t>
            </w:r>
          </w:p>
        </w:tc>
        <w:tc>
          <w:tcPr>
            <w:tcW w:w="1205" w:type="dxa"/>
            <w:tcBorders>
              <w:top w:val="nil"/>
              <w:left w:val="nil"/>
              <w:bottom w:val="nil"/>
              <w:right w:val="nil"/>
            </w:tcBorders>
          </w:tcPr>
          <w:p w:rsidR="00A05A99" w:rsidRPr="00361FCD" w:rsidRDefault="00A05A99" w:rsidP="00A05A99">
            <w:pPr>
              <w:pStyle w:val="Tabletext"/>
              <w:tabs>
                <w:tab w:val="decimal" w:pos="567"/>
              </w:tabs>
            </w:pPr>
            <w:r>
              <w:t>20.0</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SA</w:t>
            </w:r>
          </w:p>
        </w:tc>
        <w:tc>
          <w:tcPr>
            <w:tcW w:w="1205" w:type="dxa"/>
            <w:tcBorders>
              <w:top w:val="nil"/>
              <w:left w:val="nil"/>
              <w:bottom w:val="nil"/>
              <w:right w:val="nil"/>
            </w:tcBorders>
          </w:tcPr>
          <w:p w:rsidR="00A05A99" w:rsidRPr="00A54282" w:rsidRDefault="00A05A99" w:rsidP="00A05A99">
            <w:pPr>
              <w:pStyle w:val="Tabletext"/>
              <w:tabs>
                <w:tab w:val="decimal" w:pos="567"/>
              </w:tabs>
            </w:pPr>
            <w:r>
              <w:t>8.8</w:t>
            </w:r>
          </w:p>
        </w:tc>
        <w:tc>
          <w:tcPr>
            <w:tcW w:w="1205" w:type="dxa"/>
            <w:tcBorders>
              <w:top w:val="nil"/>
              <w:left w:val="nil"/>
              <w:bottom w:val="nil"/>
              <w:right w:val="nil"/>
            </w:tcBorders>
          </w:tcPr>
          <w:p w:rsidR="00A05A99" w:rsidRPr="00575C82" w:rsidRDefault="00A05A99" w:rsidP="00A05A99">
            <w:pPr>
              <w:pStyle w:val="Tabletext"/>
              <w:tabs>
                <w:tab w:val="decimal" w:pos="567"/>
              </w:tabs>
            </w:pPr>
            <w:r>
              <w:t>8.0</w:t>
            </w:r>
          </w:p>
        </w:tc>
        <w:tc>
          <w:tcPr>
            <w:tcW w:w="1205" w:type="dxa"/>
            <w:tcBorders>
              <w:top w:val="nil"/>
              <w:left w:val="nil"/>
              <w:bottom w:val="nil"/>
              <w:right w:val="nil"/>
            </w:tcBorders>
          </w:tcPr>
          <w:p w:rsidR="00A05A99" w:rsidRPr="00575C82" w:rsidRDefault="00A05A99" w:rsidP="00A05A99">
            <w:pPr>
              <w:pStyle w:val="Tabletext"/>
              <w:tabs>
                <w:tab w:val="decimal" w:pos="567"/>
              </w:tabs>
            </w:pPr>
            <w:r w:rsidRPr="00575C82">
              <w:t>7.9</w:t>
            </w:r>
          </w:p>
        </w:tc>
        <w:tc>
          <w:tcPr>
            <w:tcW w:w="1205" w:type="dxa"/>
            <w:tcBorders>
              <w:top w:val="nil"/>
              <w:left w:val="nil"/>
              <w:bottom w:val="nil"/>
              <w:right w:val="nil"/>
            </w:tcBorders>
          </w:tcPr>
          <w:p w:rsidR="00A05A99" w:rsidRPr="00361FCD" w:rsidRDefault="00A05A99" w:rsidP="00A05A99">
            <w:pPr>
              <w:pStyle w:val="Tabletext"/>
              <w:tabs>
                <w:tab w:val="decimal" w:pos="567"/>
              </w:tabs>
            </w:pPr>
            <w:r w:rsidRPr="00361FCD">
              <w:t>7.</w:t>
            </w:r>
            <w:r>
              <w:t>7</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WA</w:t>
            </w:r>
          </w:p>
        </w:tc>
        <w:tc>
          <w:tcPr>
            <w:tcW w:w="1205" w:type="dxa"/>
            <w:tcBorders>
              <w:top w:val="nil"/>
              <w:left w:val="nil"/>
              <w:bottom w:val="nil"/>
              <w:right w:val="nil"/>
            </w:tcBorders>
          </w:tcPr>
          <w:p w:rsidR="00A05A99" w:rsidRPr="00A54282" w:rsidRDefault="00A05A99" w:rsidP="00A05A99">
            <w:pPr>
              <w:pStyle w:val="Tabletext"/>
              <w:tabs>
                <w:tab w:val="decimal" w:pos="567"/>
              </w:tabs>
            </w:pPr>
            <w:r>
              <w:t>11.0</w:t>
            </w:r>
          </w:p>
        </w:tc>
        <w:tc>
          <w:tcPr>
            <w:tcW w:w="1205" w:type="dxa"/>
            <w:tcBorders>
              <w:top w:val="nil"/>
              <w:left w:val="nil"/>
              <w:bottom w:val="nil"/>
              <w:right w:val="nil"/>
            </w:tcBorders>
          </w:tcPr>
          <w:p w:rsidR="00A05A99" w:rsidRPr="00575C82" w:rsidRDefault="00A05A99" w:rsidP="00A05A99">
            <w:pPr>
              <w:pStyle w:val="Tabletext"/>
              <w:tabs>
                <w:tab w:val="decimal" w:pos="567"/>
              </w:tabs>
            </w:pPr>
            <w:r>
              <w:t>10.7</w:t>
            </w:r>
          </w:p>
        </w:tc>
        <w:tc>
          <w:tcPr>
            <w:tcW w:w="1205" w:type="dxa"/>
            <w:tcBorders>
              <w:top w:val="nil"/>
              <w:left w:val="nil"/>
              <w:bottom w:val="nil"/>
              <w:right w:val="nil"/>
            </w:tcBorders>
          </w:tcPr>
          <w:p w:rsidR="00A05A99" w:rsidRPr="00575C82" w:rsidRDefault="00A05A99" w:rsidP="00A05A99">
            <w:pPr>
              <w:pStyle w:val="Tabletext"/>
              <w:tabs>
                <w:tab w:val="decimal" w:pos="567"/>
              </w:tabs>
            </w:pPr>
            <w:r>
              <w:t>10.1</w:t>
            </w:r>
          </w:p>
        </w:tc>
        <w:tc>
          <w:tcPr>
            <w:tcW w:w="1205" w:type="dxa"/>
            <w:tcBorders>
              <w:top w:val="nil"/>
              <w:left w:val="nil"/>
              <w:bottom w:val="nil"/>
              <w:right w:val="nil"/>
            </w:tcBorders>
          </w:tcPr>
          <w:p w:rsidR="00A05A99" w:rsidRPr="00361FCD" w:rsidRDefault="00A05A99" w:rsidP="00A05A99">
            <w:pPr>
              <w:pStyle w:val="Tabletext"/>
              <w:tabs>
                <w:tab w:val="decimal" w:pos="567"/>
              </w:tabs>
            </w:pPr>
            <w:r>
              <w:t>8.8</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T</w:t>
            </w:r>
            <w:r>
              <w:t>as.</w:t>
            </w:r>
          </w:p>
        </w:tc>
        <w:tc>
          <w:tcPr>
            <w:tcW w:w="1205" w:type="dxa"/>
            <w:tcBorders>
              <w:top w:val="nil"/>
              <w:left w:val="nil"/>
              <w:bottom w:val="nil"/>
              <w:right w:val="nil"/>
            </w:tcBorders>
          </w:tcPr>
          <w:p w:rsidR="00A05A99" w:rsidRPr="00A54282" w:rsidRDefault="00A05A99" w:rsidP="00A05A99">
            <w:pPr>
              <w:pStyle w:val="Tabletext"/>
              <w:tabs>
                <w:tab w:val="decimal" w:pos="567"/>
              </w:tabs>
            </w:pPr>
            <w:r>
              <w:t>2.2</w:t>
            </w:r>
          </w:p>
        </w:tc>
        <w:tc>
          <w:tcPr>
            <w:tcW w:w="1205" w:type="dxa"/>
            <w:tcBorders>
              <w:top w:val="nil"/>
              <w:left w:val="nil"/>
              <w:bottom w:val="nil"/>
              <w:right w:val="nil"/>
            </w:tcBorders>
          </w:tcPr>
          <w:p w:rsidR="00A05A99" w:rsidRPr="00575C82" w:rsidRDefault="00A05A99" w:rsidP="00A05A99">
            <w:pPr>
              <w:pStyle w:val="Tabletext"/>
              <w:tabs>
                <w:tab w:val="decimal" w:pos="567"/>
              </w:tabs>
            </w:pPr>
            <w:r>
              <w:t>2.4</w:t>
            </w:r>
          </w:p>
        </w:tc>
        <w:tc>
          <w:tcPr>
            <w:tcW w:w="1205" w:type="dxa"/>
            <w:tcBorders>
              <w:top w:val="nil"/>
              <w:left w:val="nil"/>
              <w:bottom w:val="nil"/>
              <w:right w:val="nil"/>
            </w:tcBorders>
          </w:tcPr>
          <w:p w:rsidR="00A05A99" w:rsidRPr="00575C82" w:rsidRDefault="00A05A99" w:rsidP="00A05A99">
            <w:pPr>
              <w:pStyle w:val="Tabletext"/>
              <w:tabs>
                <w:tab w:val="decimal" w:pos="567"/>
              </w:tabs>
            </w:pPr>
            <w:r w:rsidRPr="00575C82">
              <w:t>3.</w:t>
            </w:r>
            <w:r>
              <w:t>0</w:t>
            </w:r>
          </w:p>
        </w:tc>
        <w:tc>
          <w:tcPr>
            <w:tcW w:w="1205" w:type="dxa"/>
            <w:tcBorders>
              <w:top w:val="nil"/>
              <w:left w:val="nil"/>
              <w:bottom w:val="nil"/>
              <w:right w:val="nil"/>
            </w:tcBorders>
          </w:tcPr>
          <w:p w:rsidR="00A05A99" w:rsidRPr="00361FCD" w:rsidRDefault="00A05A99" w:rsidP="00A05A99">
            <w:pPr>
              <w:pStyle w:val="Tabletext"/>
              <w:tabs>
                <w:tab w:val="decimal" w:pos="567"/>
              </w:tabs>
            </w:pPr>
            <w:r w:rsidRPr="00361FCD">
              <w:t>2.</w:t>
            </w:r>
            <w:r>
              <w:t>3</w:t>
            </w:r>
          </w:p>
        </w:tc>
      </w:tr>
      <w:tr w:rsidR="00A05A99" w:rsidTr="00A05A99">
        <w:trPr>
          <w:cantSplit/>
        </w:trPr>
        <w:tc>
          <w:tcPr>
            <w:tcW w:w="3969" w:type="dxa"/>
            <w:tcBorders>
              <w:top w:val="nil"/>
              <w:left w:val="nil"/>
              <w:bottom w:val="nil"/>
              <w:right w:val="nil"/>
            </w:tcBorders>
          </w:tcPr>
          <w:p w:rsidR="00A05A99" w:rsidRPr="00B90227" w:rsidRDefault="00A05A99" w:rsidP="00A05A99">
            <w:pPr>
              <w:pStyle w:val="Tabletext"/>
            </w:pPr>
            <w:r w:rsidRPr="00B90227">
              <w:t>NT</w:t>
            </w:r>
          </w:p>
        </w:tc>
        <w:tc>
          <w:tcPr>
            <w:tcW w:w="1205" w:type="dxa"/>
            <w:tcBorders>
              <w:top w:val="nil"/>
              <w:left w:val="nil"/>
              <w:bottom w:val="nil"/>
              <w:right w:val="nil"/>
            </w:tcBorders>
          </w:tcPr>
          <w:p w:rsidR="00A05A99" w:rsidRPr="00A54282" w:rsidRDefault="00A05A99" w:rsidP="00A05A99">
            <w:pPr>
              <w:pStyle w:val="Tabletext"/>
              <w:tabs>
                <w:tab w:val="decimal" w:pos="567"/>
              </w:tabs>
            </w:pPr>
            <w:r>
              <w:t>0.7</w:t>
            </w:r>
          </w:p>
        </w:tc>
        <w:tc>
          <w:tcPr>
            <w:tcW w:w="1205" w:type="dxa"/>
            <w:tcBorders>
              <w:top w:val="nil"/>
              <w:left w:val="nil"/>
              <w:bottom w:val="nil"/>
              <w:right w:val="nil"/>
            </w:tcBorders>
          </w:tcPr>
          <w:p w:rsidR="00A05A99" w:rsidRPr="00575C82" w:rsidRDefault="00A05A99" w:rsidP="00A05A99">
            <w:pPr>
              <w:pStyle w:val="Tabletext"/>
              <w:tabs>
                <w:tab w:val="decimal" w:pos="567"/>
              </w:tabs>
            </w:pPr>
            <w:r>
              <w:t>0.7</w:t>
            </w:r>
          </w:p>
        </w:tc>
        <w:tc>
          <w:tcPr>
            <w:tcW w:w="1205" w:type="dxa"/>
            <w:tcBorders>
              <w:top w:val="nil"/>
              <w:left w:val="nil"/>
              <w:bottom w:val="nil"/>
              <w:right w:val="nil"/>
            </w:tcBorders>
          </w:tcPr>
          <w:p w:rsidR="00A05A99" w:rsidRPr="00575C82" w:rsidRDefault="00A05A99" w:rsidP="00A05A99">
            <w:pPr>
              <w:pStyle w:val="Tabletext"/>
              <w:tabs>
                <w:tab w:val="decimal" w:pos="567"/>
              </w:tabs>
            </w:pPr>
            <w:r w:rsidRPr="00575C82">
              <w:t>0.3</w:t>
            </w:r>
          </w:p>
        </w:tc>
        <w:tc>
          <w:tcPr>
            <w:tcW w:w="1205" w:type="dxa"/>
            <w:tcBorders>
              <w:top w:val="nil"/>
              <w:left w:val="nil"/>
              <w:bottom w:val="nil"/>
              <w:right w:val="nil"/>
            </w:tcBorders>
          </w:tcPr>
          <w:p w:rsidR="00A05A99" w:rsidRPr="00361FCD" w:rsidRDefault="00A05A99" w:rsidP="00A05A99">
            <w:pPr>
              <w:pStyle w:val="Tabletext"/>
              <w:tabs>
                <w:tab w:val="decimal" w:pos="567"/>
              </w:tabs>
            </w:pPr>
            <w:r>
              <w:t>0.9</w:t>
            </w:r>
          </w:p>
        </w:tc>
      </w:tr>
      <w:tr w:rsidR="00A05A99" w:rsidTr="00A05A99">
        <w:trPr>
          <w:cantSplit/>
        </w:trPr>
        <w:tc>
          <w:tcPr>
            <w:tcW w:w="3969" w:type="dxa"/>
            <w:tcBorders>
              <w:top w:val="nil"/>
              <w:left w:val="nil"/>
              <w:bottom w:val="single" w:sz="4" w:space="0" w:color="auto"/>
              <w:right w:val="nil"/>
            </w:tcBorders>
          </w:tcPr>
          <w:p w:rsidR="00A05A99" w:rsidRPr="00B90227" w:rsidRDefault="00A05A99" w:rsidP="00A05A99">
            <w:pPr>
              <w:pStyle w:val="Tabletext"/>
            </w:pPr>
            <w:r w:rsidRPr="00B90227">
              <w:t>ACT</w:t>
            </w:r>
          </w:p>
        </w:tc>
        <w:tc>
          <w:tcPr>
            <w:tcW w:w="1205" w:type="dxa"/>
            <w:tcBorders>
              <w:top w:val="nil"/>
              <w:left w:val="nil"/>
              <w:bottom w:val="single" w:sz="4" w:space="0" w:color="auto"/>
              <w:right w:val="nil"/>
            </w:tcBorders>
          </w:tcPr>
          <w:p w:rsidR="00A05A99" w:rsidRPr="00A54282" w:rsidRDefault="00A05A99" w:rsidP="00A05A99">
            <w:pPr>
              <w:pStyle w:val="Tabletext"/>
              <w:tabs>
                <w:tab w:val="decimal" w:pos="567"/>
              </w:tabs>
            </w:pPr>
            <w:r>
              <w:t>1.9</w:t>
            </w:r>
          </w:p>
        </w:tc>
        <w:tc>
          <w:tcPr>
            <w:tcW w:w="1205" w:type="dxa"/>
            <w:tcBorders>
              <w:top w:val="nil"/>
              <w:left w:val="nil"/>
              <w:bottom w:val="single" w:sz="4" w:space="0" w:color="auto"/>
              <w:right w:val="nil"/>
            </w:tcBorders>
          </w:tcPr>
          <w:p w:rsidR="00A05A99" w:rsidRPr="00575C82" w:rsidRDefault="00A05A99" w:rsidP="00A05A99">
            <w:pPr>
              <w:pStyle w:val="Tabletext"/>
              <w:tabs>
                <w:tab w:val="decimal" w:pos="567"/>
              </w:tabs>
            </w:pPr>
            <w:r>
              <w:t>1.9</w:t>
            </w:r>
          </w:p>
        </w:tc>
        <w:tc>
          <w:tcPr>
            <w:tcW w:w="1205" w:type="dxa"/>
            <w:tcBorders>
              <w:top w:val="nil"/>
              <w:left w:val="nil"/>
              <w:bottom w:val="single" w:sz="4" w:space="0" w:color="auto"/>
              <w:right w:val="nil"/>
            </w:tcBorders>
          </w:tcPr>
          <w:p w:rsidR="00A05A99" w:rsidRPr="00575C82" w:rsidRDefault="00A05A99" w:rsidP="00A05A99">
            <w:pPr>
              <w:pStyle w:val="Tabletext"/>
              <w:tabs>
                <w:tab w:val="decimal" w:pos="567"/>
              </w:tabs>
            </w:pPr>
            <w:r w:rsidRPr="00575C82">
              <w:t>1.</w:t>
            </w:r>
            <w:r>
              <w:t>7</w:t>
            </w:r>
          </w:p>
        </w:tc>
        <w:tc>
          <w:tcPr>
            <w:tcW w:w="1205" w:type="dxa"/>
            <w:tcBorders>
              <w:top w:val="nil"/>
              <w:left w:val="nil"/>
              <w:bottom w:val="single" w:sz="4" w:space="0" w:color="auto"/>
              <w:right w:val="nil"/>
            </w:tcBorders>
          </w:tcPr>
          <w:p w:rsidR="00A05A99" w:rsidRPr="00361FCD" w:rsidRDefault="00A05A99" w:rsidP="00A05A99">
            <w:pPr>
              <w:pStyle w:val="Tabletext"/>
              <w:tabs>
                <w:tab w:val="decimal" w:pos="567"/>
              </w:tabs>
            </w:pPr>
            <w:r>
              <w:t>1.9</w:t>
            </w:r>
          </w:p>
        </w:tc>
      </w:tr>
      <w:tr w:rsidR="000B008C" w:rsidRPr="00042FE5" w:rsidTr="00296EF2">
        <w:trPr>
          <w:cantSplit/>
        </w:trPr>
        <w:tc>
          <w:tcPr>
            <w:tcW w:w="3969" w:type="dxa"/>
            <w:tcBorders>
              <w:top w:val="single" w:sz="4" w:space="0" w:color="auto"/>
              <w:left w:val="nil"/>
              <w:bottom w:val="nil"/>
              <w:right w:val="nil"/>
            </w:tcBorders>
            <w:shd w:val="clear" w:color="auto" w:fill="auto"/>
          </w:tcPr>
          <w:p w:rsidR="000B008C" w:rsidRPr="00042FE5" w:rsidRDefault="000B008C" w:rsidP="00A05A99">
            <w:pPr>
              <w:pStyle w:val="Tabletext"/>
              <w:rPr>
                <w:b/>
              </w:rPr>
            </w:pPr>
            <w:r w:rsidRPr="00042FE5">
              <w:rPr>
                <w:b/>
              </w:rPr>
              <w:t>Continuous variables</w:t>
            </w:r>
          </w:p>
        </w:tc>
        <w:tc>
          <w:tcPr>
            <w:tcW w:w="4820" w:type="dxa"/>
            <w:gridSpan w:val="4"/>
            <w:tcBorders>
              <w:top w:val="single" w:sz="4" w:space="0" w:color="auto"/>
              <w:left w:val="nil"/>
              <w:bottom w:val="nil"/>
              <w:right w:val="nil"/>
            </w:tcBorders>
            <w:shd w:val="clear" w:color="auto" w:fill="auto"/>
          </w:tcPr>
          <w:p w:rsidR="000B008C" w:rsidRPr="00042FE5" w:rsidRDefault="000B008C" w:rsidP="000B008C">
            <w:pPr>
              <w:pStyle w:val="Tabletext"/>
              <w:jc w:val="center"/>
              <w:rPr>
                <w:b/>
              </w:rPr>
            </w:pPr>
            <w:r w:rsidRPr="00042FE5">
              <w:rPr>
                <w:b/>
              </w:rPr>
              <w:t>Mean (SE)</w:t>
            </w:r>
          </w:p>
        </w:tc>
      </w:tr>
      <w:tr w:rsidR="00A05A99" w:rsidRPr="003309CF" w:rsidTr="00A05A99">
        <w:trPr>
          <w:cantSplit/>
        </w:trPr>
        <w:tc>
          <w:tcPr>
            <w:tcW w:w="3969" w:type="dxa"/>
            <w:tcBorders>
              <w:top w:val="nil"/>
              <w:left w:val="nil"/>
              <w:bottom w:val="nil"/>
              <w:right w:val="nil"/>
            </w:tcBorders>
          </w:tcPr>
          <w:p w:rsidR="00A05A99" w:rsidRPr="000F4E4F" w:rsidRDefault="00A05A99" w:rsidP="00A05A99">
            <w:pPr>
              <w:pStyle w:val="Tabletext"/>
            </w:pPr>
            <w:r w:rsidRPr="000F4E4F">
              <w:t>Head of household ANU 4</w:t>
            </w:r>
          </w:p>
        </w:tc>
        <w:tc>
          <w:tcPr>
            <w:tcW w:w="1205" w:type="dxa"/>
            <w:tcBorders>
              <w:top w:val="nil"/>
              <w:left w:val="nil"/>
              <w:bottom w:val="nil"/>
              <w:right w:val="nil"/>
            </w:tcBorders>
          </w:tcPr>
          <w:p w:rsidR="00A05A99" w:rsidRPr="00A54282" w:rsidRDefault="00A05A99" w:rsidP="005901CD">
            <w:pPr>
              <w:pStyle w:val="Tabletext"/>
              <w:jc w:val="right"/>
            </w:pPr>
            <w:r>
              <w:t>46.4 (0.6)</w:t>
            </w:r>
          </w:p>
        </w:tc>
        <w:tc>
          <w:tcPr>
            <w:tcW w:w="1205" w:type="dxa"/>
            <w:tcBorders>
              <w:top w:val="nil"/>
              <w:left w:val="nil"/>
              <w:bottom w:val="nil"/>
              <w:right w:val="nil"/>
            </w:tcBorders>
          </w:tcPr>
          <w:p w:rsidR="00A05A99" w:rsidRPr="00361FCD" w:rsidRDefault="00A05A99" w:rsidP="005901CD">
            <w:pPr>
              <w:pStyle w:val="Tabletext"/>
              <w:jc w:val="right"/>
            </w:pPr>
            <w:r>
              <w:t>46.0 (0.6)</w:t>
            </w:r>
          </w:p>
        </w:tc>
        <w:tc>
          <w:tcPr>
            <w:tcW w:w="1205" w:type="dxa"/>
            <w:tcBorders>
              <w:top w:val="nil"/>
              <w:left w:val="nil"/>
              <w:bottom w:val="nil"/>
              <w:right w:val="nil"/>
            </w:tcBorders>
          </w:tcPr>
          <w:p w:rsidR="00A05A99" w:rsidRPr="00361FCD" w:rsidRDefault="00A05A99" w:rsidP="005901CD">
            <w:pPr>
              <w:pStyle w:val="Tabletext"/>
              <w:jc w:val="right"/>
            </w:pPr>
            <w:r>
              <w:t>46.4 (0.5)</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RPr="003309CF" w:rsidTr="00A05A99">
        <w:trPr>
          <w:cantSplit/>
        </w:trPr>
        <w:tc>
          <w:tcPr>
            <w:tcW w:w="3969" w:type="dxa"/>
            <w:tcBorders>
              <w:top w:val="nil"/>
              <w:left w:val="nil"/>
              <w:bottom w:val="nil"/>
              <w:right w:val="nil"/>
            </w:tcBorders>
          </w:tcPr>
          <w:p w:rsidR="00A05A99" w:rsidRPr="00561EAD" w:rsidRDefault="00A05A99" w:rsidP="00A05A99">
            <w:pPr>
              <w:pStyle w:val="Tabletext"/>
            </w:pPr>
            <w:r>
              <w:t>SEIFA 2001 –</w:t>
            </w:r>
            <w:r w:rsidRPr="00561EAD">
              <w:t xml:space="preserve"> advantage-disadvantage index</w:t>
            </w:r>
          </w:p>
        </w:tc>
        <w:tc>
          <w:tcPr>
            <w:tcW w:w="1205" w:type="dxa"/>
            <w:tcBorders>
              <w:top w:val="nil"/>
              <w:left w:val="nil"/>
              <w:bottom w:val="nil"/>
              <w:right w:val="nil"/>
            </w:tcBorders>
          </w:tcPr>
          <w:p w:rsidR="00A05A99" w:rsidRPr="00A54282" w:rsidRDefault="00A05A99" w:rsidP="005901CD">
            <w:pPr>
              <w:pStyle w:val="Tabletext"/>
              <w:jc w:val="right"/>
            </w:pPr>
            <w:r>
              <w:t>1002.3 (3.7)</w:t>
            </w:r>
          </w:p>
        </w:tc>
        <w:tc>
          <w:tcPr>
            <w:tcW w:w="1205" w:type="dxa"/>
            <w:tcBorders>
              <w:top w:val="nil"/>
              <w:left w:val="nil"/>
              <w:bottom w:val="nil"/>
              <w:right w:val="nil"/>
            </w:tcBorders>
          </w:tcPr>
          <w:p w:rsidR="00A05A99" w:rsidRPr="00361FCD" w:rsidRDefault="00A05A99" w:rsidP="005901CD">
            <w:pPr>
              <w:pStyle w:val="Tabletext"/>
              <w:jc w:val="right"/>
            </w:pPr>
            <w:r>
              <w:t>1002.0 (3.7)</w:t>
            </w:r>
          </w:p>
        </w:tc>
        <w:tc>
          <w:tcPr>
            <w:tcW w:w="1205" w:type="dxa"/>
            <w:tcBorders>
              <w:top w:val="nil"/>
              <w:left w:val="nil"/>
              <w:bottom w:val="nil"/>
              <w:right w:val="nil"/>
            </w:tcBorders>
          </w:tcPr>
          <w:p w:rsidR="00A05A99" w:rsidRPr="00361FCD" w:rsidRDefault="00A05A99" w:rsidP="005901CD">
            <w:pPr>
              <w:pStyle w:val="Tabletext"/>
              <w:jc w:val="right"/>
            </w:pPr>
            <w:r w:rsidRPr="00361FCD">
              <w:t>9</w:t>
            </w:r>
            <w:r>
              <w:t>94.2 (1.3)</w:t>
            </w:r>
          </w:p>
        </w:tc>
        <w:tc>
          <w:tcPr>
            <w:tcW w:w="1205" w:type="dxa"/>
            <w:tcBorders>
              <w:top w:val="nil"/>
              <w:left w:val="nil"/>
              <w:bottom w:val="nil"/>
              <w:right w:val="nil"/>
            </w:tcBorders>
          </w:tcPr>
          <w:p w:rsidR="00A05A99" w:rsidRPr="00361FCD" w:rsidRDefault="00A05A99" w:rsidP="00A05A99">
            <w:pPr>
              <w:pStyle w:val="Tabletext"/>
              <w:jc w:val="center"/>
            </w:pPr>
            <w:r w:rsidRPr="00361FCD">
              <w:t>n/a</w:t>
            </w:r>
          </w:p>
        </w:tc>
      </w:tr>
      <w:tr w:rsidR="00A05A99" w:rsidRPr="003309CF" w:rsidTr="00A05A99">
        <w:trPr>
          <w:cantSplit/>
        </w:trPr>
        <w:tc>
          <w:tcPr>
            <w:tcW w:w="3969" w:type="dxa"/>
            <w:tcBorders>
              <w:top w:val="nil"/>
              <w:left w:val="nil"/>
              <w:bottom w:val="single" w:sz="4" w:space="0" w:color="auto"/>
              <w:right w:val="nil"/>
            </w:tcBorders>
          </w:tcPr>
          <w:p w:rsidR="00A05A99" w:rsidRPr="00561EAD" w:rsidRDefault="00A05A99" w:rsidP="00A05A99">
            <w:pPr>
              <w:pStyle w:val="Tabletext"/>
            </w:pPr>
            <w:r>
              <w:t>SEIFA 2001 – education and occupation index</w:t>
            </w:r>
          </w:p>
        </w:tc>
        <w:tc>
          <w:tcPr>
            <w:tcW w:w="1205" w:type="dxa"/>
            <w:tcBorders>
              <w:top w:val="nil"/>
              <w:left w:val="nil"/>
              <w:bottom w:val="single" w:sz="4" w:space="0" w:color="auto"/>
              <w:right w:val="nil"/>
            </w:tcBorders>
          </w:tcPr>
          <w:p w:rsidR="00A05A99" w:rsidRDefault="00A05A99" w:rsidP="005901CD">
            <w:pPr>
              <w:pStyle w:val="Tabletext"/>
              <w:jc w:val="right"/>
            </w:pPr>
            <w:r>
              <w:t>996.2 (3.6)</w:t>
            </w:r>
          </w:p>
        </w:tc>
        <w:tc>
          <w:tcPr>
            <w:tcW w:w="1205" w:type="dxa"/>
            <w:tcBorders>
              <w:top w:val="nil"/>
              <w:left w:val="nil"/>
              <w:bottom w:val="single" w:sz="4" w:space="0" w:color="auto"/>
              <w:right w:val="nil"/>
            </w:tcBorders>
          </w:tcPr>
          <w:p w:rsidR="00A05A99" w:rsidRPr="00361FCD" w:rsidRDefault="00A05A99" w:rsidP="005901CD">
            <w:pPr>
              <w:pStyle w:val="Tabletext"/>
              <w:jc w:val="right"/>
            </w:pPr>
            <w:r>
              <w:t>996.4 (3.8)</w:t>
            </w:r>
          </w:p>
        </w:tc>
        <w:tc>
          <w:tcPr>
            <w:tcW w:w="1205" w:type="dxa"/>
            <w:tcBorders>
              <w:top w:val="nil"/>
              <w:left w:val="nil"/>
              <w:bottom w:val="single" w:sz="4" w:space="0" w:color="auto"/>
              <w:right w:val="nil"/>
            </w:tcBorders>
          </w:tcPr>
          <w:p w:rsidR="00A05A99" w:rsidRPr="00361FCD" w:rsidRDefault="00A05A99" w:rsidP="005901CD">
            <w:pPr>
              <w:pStyle w:val="Tabletext"/>
              <w:jc w:val="right"/>
            </w:pPr>
            <w:r w:rsidRPr="00361FCD">
              <w:t>98</w:t>
            </w:r>
            <w:r>
              <w:t>8.8 (1.3)</w:t>
            </w:r>
          </w:p>
        </w:tc>
        <w:tc>
          <w:tcPr>
            <w:tcW w:w="1205" w:type="dxa"/>
            <w:tcBorders>
              <w:top w:val="nil"/>
              <w:left w:val="nil"/>
              <w:bottom w:val="single" w:sz="4" w:space="0" w:color="auto"/>
              <w:right w:val="nil"/>
            </w:tcBorders>
          </w:tcPr>
          <w:p w:rsidR="00A05A99" w:rsidRPr="00361FCD" w:rsidRDefault="00A05A99" w:rsidP="00A05A99">
            <w:pPr>
              <w:pStyle w:val="Tabletext"/>
              <w:jc w:val="center"/>
            </w:pPr>
            <w:r w:rsidRPr="00361FCD">
              <w:t>n/a</w:t>
            </w:r>
          </w:p>
        </w:tc>
      </w:tr>
    </w:tbl>
    <w:p w:rsidR="00A05A99" w:rsidRPr="00EA4173" w:rsidRDefault="00A05A99" w:rsidP="00A05A99">
      <w:pPr>
        <w:pStyle w:val="Source"/>
      </w:pPr>
      <w:r w:rsidRPr="00EA4173">
        <w:t>Note:</w:t>
      </w:r>
      <w:r>
        <w:tab/>
      </w:r>
      <w:r w:rsidRPr="00EA4173">
        <w:t>YIF: Parents’ information on work, education is not available from Youth’s questionnaire for current time (only available when the youth was</w:t>
      </w:r>
      <w:r>
        <w:t xml:space="preserve"> aged</w:t>
      </w:r>
      <w:r w:rsidRPr="00EA4173">
        <w:t xml:space="preserve"> 14)</w:t>
      </w:r>
      <w:r>
        <w:t>.</w:t>
      </w:r>
    </w:p>
    <w:p w:rsidR="00A05A99" w:rsidRDefault="00A05A99" w:rsidP="00A05A99">
      <w:pPr>
        <w:pStyle w:val="Source"/>
      </w:pPr>
      <w:r w:rsidRPr="00EA4173">
        <w:t>Source:</w:t>
      </w:r>
      <w:r>
        <w:tab/>
      </w:r>
      <w:r w:rsidRPr="00EA4173">
        <w:t>Estimated from the LSAY Y03</w:t>
      </w:r>
      <w:r>
        <w:t xml:space="preserve"> and YIF cohorts</w:t>
      </w:r>
      <w:r w:rsidRPr="00EA4173">
        <w:t xml:space="preserve"> (based on weighted data)</w:t>
      </w:r>
      <w:r>
        <w:t>.</w:t>
      </w:r>
      <w:r w:rsidRPr="00EA4173">
        <w:t xml:space="preserve"> </w:t>
      </w:r>
    </w:p>
    <w:p w:rsidR="00A05A99" w:rsidRPr="00670504" w:rsidRDefault="00A05A99" w:rsidP="00A05A99">
      <w:pPr>
        <w:pStyle w:val="tabletitle"/>
        <w:rPr>
          <w:kern w:val="28"/>
        </w:rPr>
      </w:pPr>
      <w:bookmarkStart w:id="70" w:name="_Toc324765902"/>
      <w:r w:rsidRPr="00670504">
        <w:lastRenderedPageBreak/>
        <w:t>Table 7</w:t>
      </w:r>
      <w:r w:rsidRPr="00670504">
        <w:tab/>
        <w:t xml:space="preserve">Other comparisons of </w:t>
      </w:r>
      <w:r>
        <w:t>situations of cohort members:</w:t>
      </w:r>
      <w:r w:rsidRPr="00670504">
        <w:t xml:space="preserve"> </w:t>
      </w:r>
      <w:r>
        <w:t xml:space="preserve">Youth in Focus, LSAY Y03 and 18-year-olds in 2006 </w:t>
      </w:r>
      <w:r w:rsidR="00296EF2">
        <w:t>Census</w:t>
      </w:r>
      <w:bookmarkEnd w:id="70"/>
      <w:r w:rsidRPr="00670504">
        <w:t xml:space="preserve"> </w:t>
      </w:r>
    </w:p>
    <w:tbl>
      <w:tblPr>
        <w:tblW w:w="878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3828"/>
        <w:gridCol w:w="1240"/>
        <w:gridCol w:w="1240"/>
        <w:gridCol w:w="1240"/>
        <w:gridCol w:w="1241"/>
      </w:tblGrid>
      <w:tr w:rsidR="00A05A99" w:rsidRPr="00D41A46" w:rsidTr="00A05A99">
        <w:tc>
          <w:tcPr>
            <w:tcW w:w="3828" w:type="dxa"/>
            <w:tcBorders>
              <w:top w:val="single" w:sz="4" w:space="0" w:color="auto"/>
              <w:left w:val="nil"/>
              <w:bottom w:val="single" w:sz="4" w:space="0" w:color="auto"/>
              <w:right w:val="nil"/>
            </w:tcBorders>
          </w:tcPr>
          <w:p w:rsidR="00A05A99" w:rsidRPr="0031761A" w:rsidRDefault="00A05A99" w:rsidP="00A05A99">
            <w:pPr>
              <w:pStyle w:val="Tablehead1"/>
            </w:pPr>
          </w:p>
        </w:tc>
        <w:tc>
          <w:tcPr>
            <w:tcW w:w="1240" w:type="dxa"/>
            <w:tcBorders>
              <w:top w:val="single" w:sz="4" w:space="0" w:color="auto"/>
              <w:left w:val="nil"/>
              <w:bottom w:val="single" w:sz="4" w:space="0" w:color="auto"/>
              <w:right w:val="nil"/>
            </w:tcBorders>
          </w:tcPr>
          <w:p w:rsidR="00A05A99" w:rsidRPr="0031761A" w:rsidRDefault="00A05A99" w:rsidP="00A05A99">
            <w:pPr>
              <w:pStyle w:val="Tablehead1"/>
              <w:jc w:val="center"/>
            </w:pPr>
            <w:r>
              <w:t>LSAY Y03 (full 2006 sample)</w:t>
            </w:r>
          </w:p>
        </w:tc>
        <w:tc>
          <w:tcPr>
            <w:tcW w:w="1240" w:type="dxa"/>
            <w:tcBorders>
              <w:top w:val="single" w:sz="4" w:space="0" w:color="auto"/>
              <w:left w:val="nil"/>
              <w:bottom w:val="single" w:sz="4" w:space="0" w:color="auto"/>
              <w:right w:val="nil"/>
            </w:tcBorders>
          </w:tcPr>
          <w:p w:rsidR="00A05A99" w:rsidRDefault="00A05A99" w:rsidP="00A05A99">
            <w:pPr>
              <w:pStyle w:val="Tablehead1"/>
              <w:jc w:val="center"/>
            </w:pPr>
            <w:r>
              <w:t>LSAY Y03 (matching YIF birth cohort)</w:t>
            </w:r>
          </w:p>
        </w:tc>
        <w:tc>
          <w:tcPr>
            <w:tcW w:w="1240" w:type="dxa"/>
            <w:tcBorders>
              <w:top w:val="single" w:sz="4" w:space="0" w:color="auto"/>
              <w:left w:val="nil"/>
              <w:bottom w:val="single" w:sz="4" w:space="0" w:color="auto"/>
              <w:right w:val="nil"/>
            </w:tcBorders>
          </w:tcPr>
          <w:p w:rsidR="00A05A99" w:rsidRDefault="00A05A99" w:rsidP="00A05A99">
            <w:pPr>
              <w:pStyle w:val="Tablehead1"/>
              <w:jc w:val="center"/>
            </w:pPr>
            <w:r>
              <w:t>Youth in Focus</w:t>
            </w:r>
          </w:p>
        </w:tc>
        <w:tc>
          <w:tcPr>
            <w:tcW w:w="1241" w:type="dxa"/>
            <w:tcBorders>
              <w:top w:val="single" w:sz="4" w:space="0" w:color="auto"/>
              <w:left w:val="nil"/>
              <w:bottom w:val="single" w:sz="4" w:space="0" w:color="auto"/>
              <w:right w:val="nil"/>
            </w:tcBorders>
          </w:tcPr>
          <w:p w:rsidR="00A05A99" w:rsidRPr="0031761A" w:rsidRDefault="00A05A99" w:rsidP="00A05A99">
            <w:pPr>
              <w:pStyle w:val="Tablehead1"/>
              <w:jc w:val="center"/>
            </w:pPr>
            <w:r>
              <w:t>Census 2006</w:t>
            </w:r>
          </w:p>
        </w:tc>
      </w:tr>
      <w:tr w:rsidR="00A05A99" w:rsidRPr="00930A1E" w:rsidTr="00A05A99">
        <w:tc>
          <w:tcPr>
            <w:tcW w:w="3828" w:type="dxa"/>
            <w:tcBorders>
              <w:top w:val="single" w:sz="4" w:space="0" w:color="auto"/>
              <w:left w:val="nil"/>
              <w:bottom w:val="nil"/>
              <w:right w:val="nil"/>
            </w:tcBorders>
            <w:shd w:val="clear" w:color="auto" w:fill="auto"/>
          </w:tcPr>
          <w:p w:rsidR="00A05A99" w:rsidRPr="00930A1E" w:rsidRDefault="00A05A99" w:rsidP="00A05A99">
            <w:pPr>
              <w:pStyle w:val="Tabletext"/>
              <w:rPr>
                <w:b/>
              </w:rPr>
            </w:pPr>
            <w:r w:rsidRPr="00930A1E">
              <w:rPr>
                <w:b/>
              </w:rPr>
              <w:t>Situation</w:t>
            </w:r>
          </w:p>
        </w:tc>
        <w:tc>
          <w:tcPr>
            <w:tcW w:w="1240" w:type="dxa"/>
            <w:tcBorders>
              <w:top w:val="single" w:sz="4" w:space="0" w:color="auto"/>
              <w:left w:val="nil"/>
              <w:bottom w:val="nil"/>
              <w:right w:val="nil"/>
            </w:tcBorders>
            <w:shd w:val="clear" w:color="auto" w:fill="auto"/>
          </w:tcPr>
          <w:p w:rsidR="00A05A99" w:rsidRPr="00930A1E" w:rsidRDefault="00A05A99" w:rsidP="00A05A99">
            <w:pPr>
              <w:pStyle w:val="Tabletext"/>
            </w:pPr>
          </w:p>
        </w:tc>
        <w:tc>
          <w:tcPr>
            <w:tcW w:w="1240" w:type="dxa"/>
            <w:tcBorders>
              <w:top w:val="single" w:sz="4" w:space="0" w:color="auto"/>
              <w:left w:val="nil"/>
              <w:bottom w:val="nil"/>
              <w:right w:val="nil"/>
            </w:tcBorders>
            <w:shd w:val="clear" w:color="auto" w:fill="auto"/>
          </w:tcPr>
          <w:p w:rsidR="00A05A99" w:rsidRPr="00930A1E" w:rsidRDefault="00A05A99" w:rsidP="00A05A99">
            <w:pPr>
              <w:pStyle w:val="Tabletext"/>
            </w:pPr>
          </w:p>
        </w:tc>
        <w:tc>
          <w:tcPr>
            <w:tcW w:w="1240" w:type="dxa"/>
            <w:tcBorders>
              <w:top w:val="single" w:sz="4" w:space="0" w:color="auto"/>
              <w:left w:val="nil"/>
              <w:bottom w:val="nil"/>
              <w:right w:val="nil"/>
            </w:tcBorders>
            <w:shd w:val="clear" w:color="auto" w:fill="auto"/>
          </w:tcPr>
          <w:p w:rsidR="00A05A99" w:rsidRPr="00930A1E" w:rsidRDefault="00A05A99" w:rsidP="00A05A99">
            <w:pPr>
              <w:pStyle w:val="Tabletext"/>
            </w:pPr>
          </w:p>
        </w:tc>
        <w:tc>
          <w:tcPr>
            <w:tcW w:w="1241" w:type="dxa"/>
            <w:tcBorders>
              <w:top w:val="single" w:sz="4" w:space="0" w:color="auto"/>
              <w:left w:val="nil"/>
              <w:bottom w:val="nil"/>
              <w:right w:val="nil"/>
            </w:tcBorders>
            <w:shd w:val="clear" w:color="auto" w:fill="auto"/>
          </w:tcPr>
          <w:p w:rsidR="00A05A99" w:rsidRPr="00930A1E" w:rsidRDefault="00A05A99" w:rsidP="00A05A99">
            <w:pPr>
              <w:pStyle w:val="Tabletext"/>
            </w:pPr>
          </w:p>
        </w:tc>
      </w:tr>
      <w:tr w:rsidR="00A05A99" w:rsidRPr="00930A1E" w:rsidTr="00A05A99">
        <w:tc>
          <w:tcPr>
            <w:tcW w:w="3828" w:type="dxa"/>
            <w:tcBorders>
              <w:top w:val="nil"/>
              <w:left w:val="nil"/>
              <w:bottom w:val="nil"/>
              <w:right w:val="nil"/>
            </w:tcBorders>
          </w:tcPr>
          <w:p w:rsidR="00A05A99" w:rsidRPr="00930A1E" w:rsidRDefault="00A05A99" w:rsidP="00A05A99">
            <w:pPr>
              <w:pStyle w:val="Tabletext"/>
              <w:rPr>
                <w:i/>
              </w:rPr>
            </w:pPr>
            <w:r w:rsidRPr="00930A1E">
              <w:rPr>
                <w:i/>
              </w:rPr>
              <w:t>Males</w:t>
            </w:r>
          </w:p>
        </w:tc>
        <w:tc>
          <w:tcPr>
            <w:tcW w:w="1240" w:type="dxa"/>
            <w:tcBorders>
              <w:top w:val="nil"/>
              <w:left w:val="nil"/>
              <w:bottom w:val="nil"/>
              <w:right w:val="nil"/>
            </w:tcBorders>
          </w:tcPr>
          <w:p w:rsidR="00A05A99" w:rsidRPr="00930A1E" w:rsidRDefault="00A05A99" w:rsidP="00A05A99">
            <w:pPr>
              <w:pStyle w:val="Tabletext"/>
            </w:pPr>
          </w:p>
        </w:tc>
        <w:tc>
          <w:tcPr>
            <w:tcW w:w="1240" w:type="dxa"/>
            <w:tcBorders>
              <w:top w:val="nil"/>
              <w:left w:val="nil"/>
              <w:bottom w:val="nil"/>
              <w:right w:val="nil"/>
            </w:tcBorders>
          </w:tcPr>
          <w:p w:rsidR="00A05A99" w:rsidRPr="00930A1E" w:rsidRDefault="00A05A99" w:rsidP="00A05A99">
            <w:pPr>
              <w:pStyle w:val="Tabletext"/>
            </w:pPr>
          </w:p>
        </w:tc>
        <w:tc>
          <w:tcPr>
            <w:tcW w:w="1240" w:type="dxa"/>
            <w:tcBorders>
              <w:top w:val="nil"/>
              <w:left w:val="nil"/>
              <w:bottom w:val="nil"/>
              <w:right w:val="nil"/>
            </w:tcBorders>
          </w:tcPr>
          <w:p w:rsidR="00A05A99" w:rsidRPr="00930A1E" w:rsidRDefault="00A05A99" w:rsidP="00A05A99">
            <w:pPr>
              <w:pStyle w:val="Tabletext"/>
            </w:pPr>
          </w:p>
        </w:tc>
        <w:tc>
          <w:tcPr>
            <w:tcW w:w="1241" w:type="dxa"/>
            <w:tcBorders>
              <w:top w:val="nil"/>
              <w:left w:val="nil"/>
              <w:bottom w:val="nil"/>
              <w:right w:val="nil"/>
            </w:tcBorders>
          </w:tcPr>
          <w:p w:rsidR="00A05A99" w:rsidRPr="00930A1E" w:rsidRDefault="00A05A99" w:rsidP="00A05A99">
            <w:pPr>
              <w:pStyle w:val="Tabletext"/>
            </w:pPr>
          </w:p>
        </w:tc>
      </w:tr>
      <w:tr w:rsidR="00A05A99" w:rsidRPr="00930A1E" w:rsidTr="00A05A99">
        <w:tc>
          <w:tcPr>
            <w:tcW w:w="3828" w:type="dxa"/>
            <w:tcBorders>
              <w:top w:val="nil"/>
              <w:left w:val="nil"/>
              <w:bottom w:val="nil"/>
              <w:right w:val="nil"/>
            </w:tcBorders>
          </w:tcPr>
          <w:p w:rsidR="00A05A99" w:rsidRPr="00930A1E" w:rsidRDefault="00A05A99" w:rsidP="00A05A99">
            <w:pPr>
              <w:pStyle w:val="Tabletext"/>
            </w:pPr>
            <w:r w:rsidRPr="00930A1E">
              <w:t>Living with two parents</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67.5</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68.9</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57.9</w:t>
            </w:r>
          </w:p>
        </w:tc>
        <w:tc>
          <w:tcPr>
            <w:tcW w:w="1241" w:type="dxa"/>
            <w:vMerge w:val="restart"/>
            <w:tcBorders>
              <w:top w:val="nil"/>
              <w:left w:val="nil"/>
              <w:right w:val="nil"/>
            </w:tcBorders>
            <w:vAlign w:val="center"/>
          </w:tcPr>
          <w:p w:rsidR="00A05A99" w:rsidRPr="00930A1E" w:rsidRDefault="00A05A99" w:rsidP="00A05A99">
            <w:pPr>
              <w:pStyle w:val="Tabletext"/>
              <w:tabs>
                <w:tab w:val="decimal" w:pos="595"/>
              </w:tabs>
            </w:pPr>
            <w:r w:rsidRPr="00930A1E">
              <w:t>80.2</w:t>
            </w:r>
          </w:p>
        </w:tc>
      </w:tr>
      <w:tr w:rsidR="00A05A99" w:rsidRPr="00930A1E" w:rsidTr="00A05A99">
        <w:tc>
          <w:tcPr>
            <w:tcW w:w="3828" w:type="dxa"/>
            <w:tcBorders>
              <w:top w:val="nil"/>
              <w:left w:val="nil"/>
              <w:bottom w:val="nil"/>
              <w:right w:val="nil"/>
            </w:tcBorders>
          </w:tcPr>
          <w:p w:rsidR="00A05A99" w:rsidRPr="00930A1E" w:rsidRDefault="00A05A99" w:rsidP="00A05A99">
            <w:pPr>
              <w:pStyle w:val="Tabletext"/>
            </w:pPr>
            <w:r w:rsidRPr="00930A1E">
              <w:t>Living with one parent</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15.7</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15.8</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25.9</w:t>
            </w:r>
          </w:p>
        </w:tc>
        <w:tc>
          <w:tcPr>
            <w:tcW w:w="1241" w:type="dxa"/>
            <w:vMerge/>
            <w:tcBorders>
              <w:left w:val="nil"/>
              <w:bottom w:val="nil"/>
              <w:right w:val="nil"/>
            </w:tcBorders>
          </w:tcPr>
          <w:p w:rsidR="00A05A99" w:rsidRPr="00930A1E" w:rsidRDefault="00A05A99" w:rsidP="00A05A99">
            <w:pPr>
              <w:pStyle w:val="Tabletext"/>
              <w:tabs>
                <w:tab w:val="decimal" w:pos="595"/>
              </w:tabs>
            </w:pPr>
          </w:p>
        </w:tc>
      </w:tr>
      <w:tr w:rsidR="00A05A99" w:rsidRPr="00930A1E" w:rsidTr="00A05A99">
        <w:tc>
          <w:tcPr>
            <w:tcW w:w="3828" w:type="dxa"/>
            <w:tcBorders>
              <w:top w:val="nil"/>
              <w:left w:val="nil"/>
              <w:bottom w:val="nil"/>
              <w:right w:val="nil"/>
            </w:tcBorders>
          </w:tcPr>
          <w:p w:rsidR="00A05A99" w:rsidRPr="00930A1E" w:rsidRDefault="00A05A99" w:rsidP="00A05A99">
            <w:pPr>
              <w:pStyle w:val="Tabletext"/>
            </w:pPr>
            <w:r w:rsidRPr="00930A1E">
              <w:t xml:space="preserve">Not living with parents and not studying </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14.7</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14.4</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7.1</w:t>
            </w:r>
          </w:p>
        </w:tc>
        <w:tc>
          <w:tcPr>
            <w:tcW w:w="1241" w:type="dxa"/>
            <w:tcBorders>
              <w:top w:val="nil"/>
              <w:left w:val="nil"/>
              <w:bottom w:val="nil"/>
              <w:right w:val="nil"/>
            </w:tcBorders>
          </w:tcPr>
          <w:p w:rsidR="00A05A99" w:rsidRPr="00930A1E" w:rsidRDefault="00A05A99" w:rsidP="00A05A99">
            <w:pPr>
              <w:pStyle w:val="Tabletext"/>
              <w:tabs>
                <w:tab w:val="decimal" w:pos="595"/>
              </w:tabs>
            </w:pPr>
            <w:r w:rsidRPr="00930A1E">
              <w:t>10.4</w:t>
            </w:r>
          </w:p>
        </w:tc>
      </w:tr>
      <w:tr w:rsidR="00A05A99" w:rsidRPr="00930A1E" w:rsidTr="00A05A99">
        <w:tc>
          <w:tcPr>
            <w:tcW w:w="3828" w:type="dxa"/>
            <w:tcBorders>
              <w:top w:val="nil"/>
              <w:left w:val="nil"/>
              <w:bottom w:val="nil"/>
              <w:right w:val="nil"/>
            </w:tcBorders>
          </w:tcPr>
          <w:p w:rsidR="00A05A99" w:rsidRPr="00930A1E" w:rsidRDefault="00A05A99" w:rsidP="00A05A99">
            <w:pPr>
              <w:pStyle w:val="Tabletext"/>
            </w:pPr>
            <w:r w:rsidRPr="00930A1E">
              <w:t>Living with partner</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3.9</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3.3</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2.6</w:t>
            </w:r>
          </w:p>
        </w:tc>
        <w:tc>
          <w:tcPr>
            <w:tcW w:w="1241" w:type="dxa"/>
            <w:tcBorders>
              <w:top w:val="nil"/>
              <w:left w:val="nil"/>
              <w:bottom w:val="nil"/>
              <w:right w:val="nil"/>
            </w:tcBorders>
          </w:tcPr>
          <w:p w:rsidR="00A05A99" w:rsidRPr="00930A1E" w:rsidRDefault="00A05A99" w:rsidP="00A05A99">
            <w:pPr>
              <w:pStyle w:val="Tabletext"/>
              <w:jc w:val="center"/>
            </w:pPr>
            <w:r w:rsidRPr="00930A1E">
              <w:t>n/a</w:t>
            </w:r>
          </w:p>
        </w:tc>
      </w:tr>
      <w:tr w:rsidR="00A05A99" w:rsidRPr="00930A1E" w:rsidTr="00A05A99">
        <w:tc>
          <w:tcPr>
            <w:tcW w:w="3828" w:type="dxa"/>
            <w:tcBorders>
              <w:top w:val="nil"/>
              <w:left w:val="nil"/>
              <w:bottom w:val="nil"/>
              <w:right w:val="nil"/>
            </w:tcBorders>
          </w:tcPr>
          <w:p w:rsidR="00A05A99" w:rsidRPr="00930A1E" w:rsidRDefault="00A05A99" w:rsidP="00A05A99">
            <w:pPr>
              <w:pStyle w:val="Tabletext"/>
            </w:pPr>
            <w:r w:rsidRPr="00930A1E">
              <w:t>Living with own children</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0.5</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0.5</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0.5</w:t>
            </w:r>
          </w:p>
        </w:tc>
        <w:tc>
          <w:tcPr>
            <w:tcW w:w="1241" w:type="dxa"/>
            <w:tcBorders>
              <w:top w:val="nil"/>
              <w:left w:val="nil"/>
              <w:bottom w:val="nil"/>
              <w:right w:val="nil"/>
            </w:tcBorders>
          </w:tcPr>
          <w:p w:rsidR="00A05A99" w:rsidRPr="00930A1E" w:rsidRDefault="00A05A99" w:rsidP="00A05A99">
            <w:pPr>
              <w:pStyle w:val="Tabletext"/>
              <w:tabs>
                <w:tab w:val="decimal" w:pos="595"/>
              </w:tabs>
            </w:pPr>
            <w:r w:rsidRPr="00930A1E">
              <w:t>0.0</w:t>
            </w:r>
          </w:p>
        </w:tc>
      </w:tr>
      <w:tr w:rsidR="00A05A99" w:rsidRPr="00930A1E" w:rsidTr="00A05A99">
        <w:tc>
          <w:tcPr>
            <w:tcW w:w="3828" w:type="dxa"/>
            <w:tcBorders>
              <w:top w:val="nil"/>
              <w:left w:val="nil"/>
              <w:bottom w:val="nil"/>
              <w:right w:val="nil"/>
            </w:tcBorders>
          </w:tcPr>
          <w:p w:rsidR="00A05A99" w:rsidRPr="00930A1E" w:rsidRDefault="00A05A99" w:rsidP="00A05A99">
            <w:pPr>
              <w:pStyle w:val="Tabletext"/>
            </w:pPr>
            <w:r w:rsidRPr="00930A1E">
              <w:t xml:space="preserve">Receiving Youth Allowance, not studying </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2.9</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2.5</w:t>
            </w:r>
          </w:p>
        </w:tc>
        <w:tc>
          <w:tcPr>
            <w:tcW w:w="1240" w:type="dxa"/>
            <w:tcBorders>
              <w:top w:val="nil"/>
              <w:left w:val="nil"/>
              <w:bottom w:val="nil"/>
              <w:right w:val="nil"/>
            </w:tcBorders>
          </w:tcPr>
          <w:p w:rsidR="00A05A99" w:rsidRPr="00930A1E" w:rsidRDefault="00A05A99" w:rsidP="00A05A99">
            <w:pPr>
              <w:pStyle w:val="Tabletext"/>
              <w:jc w:val="center"/>
            </w:pPr>
            <w:r w:rsidRPr="00930A1E">
              <w:t>n/a</w:t>
            </w:r>
          </w:p>
        </w:tc>
        <w:tc>
          <w:tcPr>
            <w:tcW w:w="1241" w:type="dxa"/>
            <w:tcBorders>
              <w:top w:val="nil"/>
              <w:left w:val="nil"/>
              <w:bottom w:val="nil"/>
              <w:right w:val="nil"/>
            </w:tcBorders>
          </w:tcPr>
          <w:p w:rsidR="00A05A99" w:rsidRPr="00930A1E" w:rsidRDefault="00A05A99" w:rsidP="00A05A99">
            <w:pPr>
              <w:pStyle w:val="Tabletext"/>
              <w:jc w:val="center"/>
            </w:pPr>
            <w:r w:rsidRPr="00930A1E">
              <w:t>n/a</w:t>
            </w:r>
          </w:p>
        </w:tc>
      </w:tr>
      <w:tr w:rsidR="00A05A99" w:rsidRPr="00930A1E" w:rsidTr="00A05A99">
        <w:tc>
          <w:tcPr>
            <w:tcW w:w="3828" w:type="dxa"/>
            <w:tcBorders>
              <w:top w:val="nil"/>
              <w:left w:val="nil"/>
              <w:bottom w:val="single" w:sz="4" w:space="0" w:color="auto"/>
              <w:right w:val="nil"/>
            </w:tcBorders>
          </w:tcPr>
          <w:p w:rsidR="00A05A99" w:rsidRPr="00930A1E" w:rsidRDefault="00A05A99" w:rsidP="00A05A99">
            <w:pPr>
              <w:pStyle w:val="Tabletext"/>
            </w:pPr>
            <w:r w:rsidRPr="00930A1E">
              <w:t>Receiving other government payments</w:t>
            </w:r>
          </w:p>
        </w:tc>
        <w:tc>
          <w:tcPr>
            <w:tcW w:w="1240" w:type="dxa"/>
            <w:tcBorders>
              <w:top w:val="nil"/>
              <w:left w:val="nil"/>
              <w:bottom w:val="single" w:sz="4" w:space="0" w:color="auto"/>
              <w:right w:val="nil"/>
            </w:tcBorders>
          </w:tcPr>
          <w:p w:rsidR="00A05A99" w:rsidRPr="00930A1E" w:rsidRDefault="00A05A99" w:rsidP="00A05A99">
            <w:pPr>
              <w:pStyle w:val="Tabletext"/>
              <w:tabs>
                <w:tab w:val="decimal" w:pos="595"/>
              </w:tabs>
            </w:pPr>
            <w:r w:rsidRPr="00930A1E">
              <w:t>3.4</w:t>
            </w:r>
          </w:p>
        </w:tc>
        <w:tc>
          <w:tcPr>
            <w:tcW w:w="1240" w:type="dxa"/>
            <w:tcBorders>
              <w:top w:val="nil"/>
              <w:left w:val="nil"/>
              <w:bottom w:val="single" w:sz="4" w:space="0" w:color="auto"/>
              <w:right w:val="nil"/>
            </w:tcBorders>
          </w:tcPr>
          <w:p w:rsidR="00A05A99" w:rsidRPr="00930A1E" w:rsidRDefault="00A05A99" w:rsidP="00A05A99">
            <w:pPr>
              <w:pStyle w:val="Tabletext"/>
              <w:tabs>
                <w:tab w:val="decimal" w:pos="595"/>
              </w:tabs>
            </w:pPr>
            <w:r w:rsidRPr="00930A1E">
              <w:t>2.4</w:t>
            </w:r>
          </w:p>
        </w:tc>
        <w:tc>
          <w:tcPr>
            <w:tcW w:w="1240" w:type="dxa"/>
            <w:tcBorders>
              <w:top w:val="nil"/>
              <w:left w:val="nil"/>
              <w:bottom w:val="single" w:sz="4" w:space="0" w:color="auto"/>
              <w:right w:val="nil"/>
            </w:tcBorders>
          </w:tcPr>
          <w:p w:rsidR="00A05A99" w:rsidRPr="00930A1E" w:rsidRDefault="00A05A99" w:rsidP="00A05A99">
            <w:pPr>
              <w:pStyle w:val="Tabletext"/>
              <w:jc w:val="center"/>
            </w:pPr>
            <w:r w:rsidRPr="00930A1E">
              <w:t>n/a</w:t>
            </w:r>
          </w:p>
        </w:tc>
        <w:tc>
          <w:tcPr>
            <w:tcW w:w="1241" w:type="dxa"/>
            <w:tcBorders>
              <w:top w:val="nil"/>
              <w:left w:val="nil"/>
              <w:bottom w:val="single" w:sz="4" w:space="0" w:color="auto"/>
              <w:right w:val="nil"/>
            </w:tcBorders>
          </w:tcPr>
          <w:p w:rsidR="00A05A99" w:rsidRPr="00930A1E" w:rsidRDefault="00A05A99" w:rsidP="00A05A99">
            <w:pPr>
              <w:pStyle w:val="Tabletext"/>
              <w:jc w:val="center"/>
            </w:pPr>
            <w:r w:rsidRPr="00930A1E">
              <w:t>n/a</w:t>
            </w:r>
          </w:p>
        </w:tc>
      </w:tr>
      <w:tr w:rsidR="00A05A99" w:rsidRPr="00930A1E" w:rsidTr="00A05A99">
        <w:tc>
          <w:tcPr>
            <w:tcW w:w="3828" w:type="dxa"/>
            <w:tcBorders>
              <w:top w:val="nil"/>
              <w:left w:val="nil"/>
              <w:bottom w:val="nil"/>
              <w:right w:val="nil"/>
            </w:tcBorders>
          </w:tcPr>
          <w:p w:rsidR="00A05A99" w:rsidRPr="00930A1E" w:rsidRDefault="00A05A99" w:rsidP="00A05A99">
            <w:pPr>
              <w:pStyle w:val="Tabletext"/>
              <w:rPr>
                <w:i/>
              </w:rPr>
            </w:pPr>
            <w:r w:rsidRPr="00930A1E">
              <w:rPr>
                <w:i/>
              </w:rPr>
              <w:t>Females</w:t>
            </w:r>
          </w:p>
        </w:tc>
        <w:tc>
          <w:tcPr>
            <w:tcW w:w="1240" w:type="dxa"/>
            <w:tcBorders>
              <w:top w:val="nil"/>
              <w:left w:val="nil"/>
              <w:bottom w:val="nil"/>
              <w:right w:val="nil"/>
            </w:tcBorders>
          </w:tcPr>
          <w:p w:rsidR="00A05A99" w:rsidRPr="00930A1E" w:rsidRDefault="00A05A99" w:rsidP="00A05A99">
            <w:pPr>
              <w:pStyle w:val="Tabletext"/>
              <w:tabs>
                <w:tab w:val="decimal" w:pos="595"/>
              </w:tabs>
            </w:pPr>
          </w:p>
        </w:tc>
        <w:tc>
          <w:tcPr>
            <w:tcW w:w="1240" w:type="dxa"/>
            <w:tcBorders>
              <w:top w:val="nil"/>
              <w:left w:val="nil"/>
              <w:bottom w:val="nil"/>
              <w:right w:val="nil"/>
            </w:tcBorders>
          </w:tcPr>
          <w:p w:rsidR="00A05A99" w:rsidRPr="00930A1E" w:rsidRDefault="00A05A99" w:rsidP="00A05A99">
            <w:pPr>
              <w:pStyle w:val="Tabletext"/>
              <w:tabs>
                <w:tab w:val="decimal" w:pos="595"/>
              </w:tabs>
            </w:pPr>
          </w:p>
        </w:tc>
        <w:tc>
          <w:tcPr>
            <w:tcW w:w="1240" w:type="dxa"/>
            <w:tcBorders>
              <w:top w:val="nil"/>
              <w:left w:val="nil"/>
              <w:bottom w:val="nil"/>
              <w:right w:val="nil"/>
            </w:tcBorders>
          </w:tcPr>
          <w:p w:rsidR="00A05A99" w:rsidRPr="00930A1E" w:rsidRDefault="00A05A99" w:rsidP="00A05A99">
            <w:pPr>
              <w:pStyle w:val="Tabletext"/>
            </w:pPr>
          </w:p>
        </w:tc>
        <w:tc>
          <w:tcPr>
            <w:tcW w:w="1241" w:type="dxa"/>
            <w:tcBorders>
              <w:top w:val="nil"/>
              <w:left w:val="nil"/>
              <w:bottom w:val="nil"/>
              <w:right w:val="nil"/>
            </w:tcBorders>
          </w:tcPr>
          <w:p w:rsidR="00A05A99" w:rsidRPr="00930A1E" w:rsidRDefault="00A05A99" w:rsidP="00A05A99">
            <w:pPr>
              <w:pStyle w:val="Tabletext"/>
            </w:pPr>
          </w:p>
        </w:tc>
      </w:tr>
      <w:tr w:rsidR="00A05A99" w:rsidRPr="00930A1E" w:rsidTr="00A05A99">
        <w:tc>
          <w:tcPr>
            <w:tcW w:w="3828" w:type="dxa"/>
            <w:tcBorders>
              <w:top w:val="nil"/>
              <w:left w:val="nil"/>
              <w:bottom w:val="nil"/>
              <w:right w:val="nil"/>
            </w:tcBorders>
          </w:tcPr>
          <w:p w:rsidR="00A05A99" w:rsidRPr="00930A1E" w:rsidRDefault="00A05A99" w:rsidP="00A05A99">
            <w:pPr>
              <w:pStyle w:val="Tabletext"/>
            </w:pPr>
            <w:r w:rsidRPr="00930A1E">
              <w:t>Living with two parents</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63.4</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62.7</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53.6</w:t>
            </w:r>
          </w:p>
        </w:tc>
        <w:tc>
          <w:tcPr>
            <w:tcW w:w="1241" w:type="dxa"/>
            <w:vMerge w:val="restart"/>
            <w:tcBorders>
              <w:top w:val="nil"/>
              <w:left w:val="nil"/>
              <w:right w:val="nil"/>
            </w:tcBorders>
            <w:vAlign w:val="center"/>
          </w:tcPr>
          <w:p w:rsidR="00A05A99" w:rsidRPr="00930A1E" w:rsidRDefault="00A05A99" w:rsidP="00A05A99">
            <w:pPr>
              <w:pStyle w:val="Tabletext"/>
              <w:tabs>
                <w:tab w:val="decimal" w:pos="595"/>
              </w:tabs>
            </w:pPr>
            <w:r w:rsidRPr="00930A1E">
              <w:t>74.2</w:t>
            </w:r>
          </w:p>
        </w:tc>
      </w:tr>
      <w:tr w:rsidR="00A05A99" w:rsidRPr="00930A1E" w:rsidTr="00A05A99">
        <w:tc>
          <w:tcPr>
            <w:tcW w:w="3828" w:type="dxa"/>
            <w:tcBorders>
              <w:top w:val="nil"/>
              <w:left w:val="nil"/>
              <w:bottom w:val="nil"/>
              <w:right w:val="nil"/>
            </w:tcBorders>
          </w:tcPr>
          <w:p w:rsidR="00A05A99" w:rsidRPr="00930A1E" w:rsidRDefault="00A05A99" w:rsidP="00A05A99">
            <w:pPr>
              <w:pStyle w:val="Tabletext"/>
            </w:pPr>
            <w:r w:rsidRPr="00930A1E">
              <w:t>Living with one parent</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16.7</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18.1</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23.9</w:t>
            </w:r>
          </w:p>
        </w:tc>
        <w:tc>
          <w:tcPr>
            <w:tcW w:w="1241" w:type="dxa"/>
            <w:vMerge/>
            <w:tcBorders>
              <w:left w:val="nil"/>
              <w:bottom w:val="nil"/>
              <w:right w:val="nil"/>
            </w:tcBorders>
          </w:tcPr>
          <w:p w:rsidR="00A05A99" w:rsidRPr="00930A1E" w:rsidRDefault="00A05A99" w:rsidP="00A05A99">
            <w:pPr>
              <w:pStyle w:val="Tabletext"/>
              <w:tabs>
                <w:tab w:val="decimal" w:pos="595"/>
              </w:tabs>
            </w:pPr>
          </w:p>
        </w:tc>
      </w:tr>
      <w:tr w:rsidR="00A05A99" w:rsidRPr="00930A1E" w:rsidTr="00A05A99">
        <w:tc>
          <w:tcPr>
            <w:tcW w:w="3828" w:type="dxa"/>
            <w:tcBorders>
              <w:top w:val="nil"/>
              <w:left w:val="nil"/>
              <w:bottom w:val="nil"/>
              <w:right w:val="nil"/>
            </w:tcBorders>
          </w:tcPr>
          <w:p w:rsidR="00A05A99" w:rsidRPr="00930A1E" w:rsidRDefault="00A05A99" w:rsidP="00A05A99">
            <w:pPr>
              <w:pStyle w:val="Tabletext"/>
            </w:pPr>
            <w:r w:rsidRPr="00930A1E">
              <w:t xml:space="preserve">Not living with parents and not studying </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14.1</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14.0</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9.4</w:t>
            </w:r>
          </w:p>
        </w:tc>
        <w:tc>
          <w:tcPr>
            <w:tcW w:w="1241" w:type="dxa"/>
            <w:tcBorders>
              <w:top w:val="nil"/>
              <w:left w:val="nil"/>
              <w:bottom w:val="nil"/>
              <w:right w:val="nil"/>
            </w:tcBorders>
          </w:tcPr>
          <w:p w:rsidR="00A05A99" w:rsidRPr="00930A1E" w:rsidRDefault="00A05A99" w:rsidP="00A05A99">
            <w:pPr>
              <w:pStyle w:val="Tabletext"/>
              <w:tabs>
                <w:tab w:val="decimal" w:pos="595"/>
              </w:tabs>
            </w:pPr>
            <w:r w:rsidRPr="00930A1E">
              <w:t>12.9</w:t>
            </w:r>
          </w:p>
        </w:tc>
      </w:tr>
      <w:tr w:rsidR="00A05A99" w:rsidRPr="00930A1E" w:rsidTr="00A05A99">
        <w:tc>
          <w:tcPr>
            <w:tcW w:w="3828" w:type="dxa"/>
            <w:tcBorders>
              <w:top w:val="nil"/>
              <w:left w:val="nil"/>
              <w:bottom w:val="nil"/>
              <w:right w:val="nil"/>
            </w:tcBorders>
          </w:tcPr>
          <w:p w:rsidR="00A05A99" w:rsidRPr="00930A1E" w:rsidRDefault="00A05A99" w:rsidP="00A05A99">
            <w:pPr>
              <w:pStyle w:val="Tabletext"/>
            </w:pPr>
            <w:r w:rsidRPr="00930A1E">
              <w:t>Living with partner</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7.4</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7.4</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6.3</w:t>
            </w:r>
          </w:p>
        </w:tc>
        <w:tc>
          <w:tcPr>
            <w:tcW w:w="1241" w:type="dxa"/>
            <w:tcBorders>
              <w:top w:val="nil"/>
              <w:left w:val="nil"/>
              <w:bottom w:val="nil"/>
              <w:right w:val="nil"/>
            </w:tcBorders>
          </w:tcPr>
          <w:p w:rsidR="00A05A99" w:rsidRPr="00930A1E" w:rsidRDefault="00A05A99" w:rsidP="00A05A99">
            <w:pPr>
              <w:pStyle w:val="Tabletext"/>
              <w:jc w:val="center"/>
            </w:pPr>
            <w:r w:rsidRPr="00930A1E">
              <w:t>n/a</w:t>
            </w:r>
          </w:p>
        </w:tc>
      </w:tr>
      <w:tr w:rsidR="00A05A99" w:rsidRPr="00930A1E" w:rsidTr="00A05A99">
        <w:tc>
          <w:tcPr>
            <w:tcW w:w="3828" w:type="dxa"/>
            <w:tcBorders>
              <w:top w:val="nil"/>
              <w:left w:val="nil"/>
              <w:bottom w:val="nil"/>
              <w:right w:val="nil"/>
            </w:tcBorders>
          </w:tcPr>
          <w:p w:rsidR="00A05A99" w:rsidRPr="00930A1E" w:rsidRDefault="00A05A99" w:rsidP="00A05A99">
            <w:pPr>
              <w:pStyle w:val="Tabletext"/>
            </w:pPr>
            <w:r w:rsidRPr="00930A1E">
              <w:t>Living with own children</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1.2</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1.2</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2.6</w:t>
            </w:r>
          </w:p>
        </w:tc>
        <w:tc>
          <w:tcPr>
            <w:tcW w:w="1241" w:type="dxa"/>
            <w:tcBorders>
              <w:top w:val="nil"/>
              <w:left w:val="nil"/>
              <w:bottom w:val="nil"/>
              <w:right w:val="nil"/>
            </w:tcBorders>
          </w:tcPr>
          <w:p w:rsidR="00A05A99" w:rsidRPr="00930A1E" w:rsidRDefault="00A05A99" w:rsidP="00A05A99">
            <w:pPr>
              <w:pStyle w:val="Tabletext"/>
              <w:tabs>
                <w:tab w:val="decimal" w:pos="595"/>
              </w:tabs>
            </w:pPr>
            <w:r w:rsidRPr="00930A1E">
              <w:t>3.0</w:t>
            </w:r>
          </w:p>
        </w:tc>
      </w:tr>
      <w:tr w:rsidR="00A05A99" w:rsidRPr="00930A1E" w:rsidTr="00A05A99">
        <w:tc>
          <w:tcPr>
            <w:tcW w:w="3828" w:type="dxa"/>
            <w:tcBorders>
              <w:top w:val="nil"/>
              <w:left w:val="nil"/>
              <w:bottom w:val="nil"/>
              <w:right w:val="nil"/>
            </w:tcBorders>
          </w:tcPr>
          <w:p w:rsidR="00A05A99" w:rsidRPr="00930A1E" w:rsidRDefault="00A05A99" w:rsidP="00A05A99">
            <w:pPr>
              <w:pStyle w:val="Tabletext"/>
            </w:pPr>
            <w:r w:rsidRPr="00930A1E">
              <w:t xml:space="preserve">Receiving Youth Allowance, not studying </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4.2</w:t>
            </w:r>
          </w:p>
        </w:tc>
        <w:tc>
          <w:tcPr>
            <w:tcW w:w="1240" w:type="dxa"/>
            <w:tcBorders>
              <w:top w:val="nil"/>
              <w:left w:val="nil"/>
              <w:bottom w:val="nil"/>
              <w:right w:val="nil"/>
            </w:tcBorders>
          </w:tcPr>
          <w:p w:rsidR="00A05A99" w:rsidRPr="00930A1E" w:rsidRDefault="00A05A99" w:rsidP="00A05A99">
            <w:pPr>
              <w:pStyle w:val="Tabletext"/>
              <w:tabs>
                <w:tab w:val="decimal" w:pos="595"/>
              </w:tabs>
            </w:pPr>
            <w:r w:rsidRPr="00930A1E">
              <w:t>4.2</w:t>
            </w:r>
          </w:p>
        </w:tc>
        <w:tc>
          <w:tcPr>
            <w:tcW w:w="1240" w:type="dxa"/>
            <w:tcBorders>
              <w:top w:val="nil"/>
              <w:left w:val="nil"/>
              <w:bottom w:val="nil"/>
              <w:right w:val="nil"/>
            </w:tcBorders>
          </w:tcPr>
          <w:p w:rsidR="00A05A99" w:rsidRPr="00930A1E" w:rsidRDefault="00A05A99" w:rsidP="00A05A99">
            <w:pPr>
              <w:pStyle w:val="Tabletext"/>
              <w:jc w:val="center"/>
            </w:pPr>
            <w:r w:rsidRPr="00930A1E">
              <w:t>n/a</w:t>
            </w:r>
          </w:p>
        </w:tc>
        <w:tc>
          <w:tcPr>
            <w:tcW w:w="1241" w:type="dxa"/>
            <w:tcBorders>
              <w:top w:val="nil"/>
              <w:left w:val="nil"/>
              <w:bottom w:val="nil"/>
              <w:right w:val="nil"/>
            </w:tcBorders>
          </w:tcPr>
          <w:p w:rsidR="00A05A99" w:rsidRPr="00930A1E" w:rsidRDefault="00A05A99" w:rsidP="00A05A99">
            <w:pPr>
              <w:pStyle w:val="Tabletext"/>
              <w:jc w:val="center"/>
            </w:pPr>
            <w:r w:rsidRPr="00930A1E">
              <w:t>n/a</w:t>
            </w:r>
          </w:p>
        </w:tc>
      </w:tr>
      <w:tr w:rsidR="00A05A99" w:rsidRPr="00930A1E" w:rsidTr="00A05A99">
        <w:tc>
          <w:tcPr>
            <w:tcW w:w="3828" w:type="dxa"/>
            <w:tcBorders>
              <w:top w:val="nil"/>
              <w:left w:val="nil"/>
              <w:bottom w:val="single" w:sz="4" w:space="0" w:color="auto"/>
              <w:right w:val="nil"/>
            </w:tcBorders>
          </w:tcPr>
          <w:p w:rsidR="00A05A99" w:rsidRPr="00930A1E" w:rsidRDefault="00A05A99" w:rsidP="00A05A99">
            <w:pPr>
              <w:pStyle w:val="Tabletext"/>
            </w:pPr>
            <w:r w:rsidRPr="00930A1E">
              <w:t>Receiving other government payments</w:t>
            </w:r>
          </w:p>
        </w:tc>
        <w:tc>
          <w:tcPr>
            <w:tcW w:w="1240" w:type="dxa"/>
            <w:tcBorders>
              <w:top w:val="nil"/>
              <w:left w:val="nil"/>
              <w:bottom w:val="single" w:sz="4" w:space="0" w:color="auto"/>
              <w:right w:val="nil"/>
            </w:tcBorders>
          </w:tcPr>
          <w:p w:rsidR="00A05A99" w:rsidRPr="00930A1E" w:rsidRDefault="00A05A99" w:rsidP="00A05A99">
            <w:pPr>
              <w:pStyle w:val="Tabletext"/>
              <w:tabs>
                <w:tab w:val="decimal" w:pos="595"/>
              </w:tabs>
            </w:pPr>
            <w:r w:rsidRPr="00930A1E">
              <w:t>3.9</w:t>
            </w:r>
          </w:p>
        </w:tc>
        <w:tc>
          <w:tcPr>
            <w:tcW w:w="1240" w:type="dxa"/>
            <w:tcBorders>
              <w:top w:val="nil"/>
              <w:left w:val="nil"/>
              <w:bottom w:val="single" w:sz="4" w:space="0" w:color="auto"/>
              <w:right w:val="nil"/>
            </w:tcBorders>
          </w:tcPr>
          <w:p w:rsidR="00A05A99" w:rsidRPr="00930A1E" w:rsidRDefault="00A05A99" w:rsidP="00A05A99">
            <w:pPr>
              <w:pStyle w:val="Tabletext"/>
              <w:tabs>
                <w:tab w:val="decimal" w:pos="595"/>
              </w:tabs>
            </w:pPr>
            <w:r w:rsidRPr="00930A1E">
              <w:t>4.1</w:t>
            </w:r>
          </w:p>
        </w:tc>
        <w:tc>
          <w:tcPr>
            <w:tcW w:w="1240" w:type="dxa"/>
            <w:tcBorders>
              <w:top w:val="nil"/>
              <w:left w:val="nil"/>
              <w:bottom w:val="single" w:sz="4" w:space="0" w:color="auto"/>
              <w:right w:val="nil"/>
            </w:tcBorders>
          </w:tcPr>
          <w:p w:rsidR="00A05A99" w:rsidRPr="00930A1E" w:rsidRDefault="00A05A99" w:rsidP="00A05A99">
            <w:pPr>
              <w:pStyle w:val="Tabletext"/>
              <w:jc w:val="center"/>
            </w:pPr>
            <w:r w:rsidRPr="00930A1E">
              <w:t>n/a</w:t>
            </w:r>
          </w:p>
        </w:tc>
        <w:tc>
          <w:tcPr>
            <w:tcW w:w="1241" w:type="dxa"/>
            <w:tcBorders>
              <w:top w:val="nil"/>
              <w:left w:val="nil"/>
              <w:bottom w:val="single" w:sz="4" w:space="0" w:color="auto"/>
              <w:right w:val="nil"/>
            </w:tcBorders>
          </w:tcPr>
          <w:p w:rsidR="00A05A99" w:rsidRPr="00930A1E" w:rsidRDefault="00A05A99" w:rsidP="00A05A99">
            <w:pPr>
              <w:pStyle w:val="Tabletext"/>
              <w:jc w:val="center"/>
            </w:pPr>
            <w:r w:rsidRPr="00930A1E">
              <w:t>n/a</w:t>
            </w:r>
          </w:p>
        </w:tc>
      </w:tr>
    </w:tbl>
    <w:p w:rsidR="001F5702" w:rsidRDefault="001F5702" w:rsidP="001F5702">
      <w:pPr>
        <w:pStyle w:val="Text"/>
      </w:pPr>
      <w:r>
        <w:t xml:space="preserve">There are differences in completion rates between the datasets that are, nevertheless, striking. The key one is across Indigenous and non-Indigenous groups, where the differences are much more pronounced in YIF than in the Y03 data. The completion rate in the non-Indigenous population is around 65%, in contrast to 36% among Indigenous young people in YIF. This gap between the groups is comparable with the </w:t>
      </w:r>
      <w:r w:rsidR="00296EF2">
        <w:t>Census</w:t>
      </w:r>
      <w:r>
        <w:t xml:space="preserve">-generated completion rates in the final two columns, and </w:t>
      </w:r>
      <w:r w:rsidR="005901CD">
        <w:t xml:space="preserve">with </w:t>
      </w:r>
      <w:r>
        <w:t>that found in earlier studies (</w:t>
      </w:r>
      <w:r w:rsidR="00A865E4">
        <w:fldChar w:fldCharType="begin"/>
      </w:r>
      <w:r>
        <w:instrText xml:space="preserve"> ADDIN EN.CITE &lt;EndNote&gt;&lt;Cite&gt;&lt;Author&gt;Long&lt;/Author&gt;&lt;Year&gt;1998&lt;/Year&gt;&lt;RecNum&gt;119&lt;/RecNum&gt;&lt;record&gt;&lt;rec-number&gt;119&lt;/rec-number&gt;&lt;foreign-keys&gt;&lt;key app="EN" db-id="0sp9t02ao2s908er5duvztshees9x25szs2d"&gt;119&lt;/key&gt;&lt;/foreign-keys&gt;&lt;ref-type name="Report"&gt;27&lt;/ref-type&gt;&lt;contributors&gt;&lt;authors&gt;&lt;author&gt;Long, Michael&lt;/author&gt;&lt;author&gt;Frigo, Tracey&lt;/author&gt;&lt;author&gt;Batten, Margaret&lt;/author&gt;&lt;/authors&gt;&lt;/contributors&gt;&lt;titles&gt;&lt;title&gt;The school to work transition of Indigenous Australians : Review of the literature and statistical analysis&lt;/title&gt;&lt;/titles&gt;&lt;number&gt;1 July&lt;/number&gt;&lt;dates&gt;&lt;year&gt;1998&lt;/year&gt;&lt;/dates&gt;&lt;pub-location&gt;Canberra&lt;/pub-location&gt;&lt;publisher&gt;Department of Education, Training and Youth Affairs&lt;/publisher&gt;&lt;urls&gt;&lt;/urls&gt;&lt;/record&gt;&lt;/Cite&gt;&lt;/EndNote&gt;</w:instrText>
      </w:r>
      <w:r w:rsidR="00A865E4">
        <w:fldChar w:fldCharType="separate"/>
      </w:r>
      <w:r>
        <w:t>Long, Frigo &amp; Batten 1998</w:t>
      </w:r>
      <w:r w:rsidR="00A865E4">
        <w:fldChar w:fldCharType="end"/>
      </w:r>
      <w:r>
        <w:t xml:space="preserve">). In contrast, the completion gap in the Y03 sample is just ten percentage points, largely driven by much higher completion rates among the Indigenous group in the Y03 sample than </w:t>
      </w:r>
      <w:r w:rsidR="005901CD">
        <w:t xml:space="preserve">in </w:t>
      </w:r>
      <w:r>
        <w:t>the other data. Clearly, the group of young Indigenous people who remained in the LSAY Y03 sample do not appear to be representative of the</w:t>
      </w:r>
      <w:r w:rsidR="00AE1DA5">
        <w:t xml:space="preserve"> general</w:t>
      </w:r>
      <w:r>
        <w:t xml:space="preserve"> population of Indigenous youth in terms of their educational attainment. Whether this is the result of oversampling of Indigenous students in PISA (</w:t>
      </w:r>
      <w:r w:rsidR="00A865E4">
        <w:fldChar w:fldCharType="begin"/>
      </w:r>
      <w:r>
        <w:instrText xml:space="preserve"> ADDIN EN.CITE &lt;EndNote&gt;&lt;Cite&gt;&lt;Author&gt;Rothman&lt;/Author&gt;&lt;Year&gt;2007&lt;/Year&gt;&lt;RecNum&gt;110&lt;/RecNum&gt;&lt;record&gt;&lt;rec-number&gt;110&lt;/rec-number&gt;&lt;foreign-keys&gt;&lt;key app="EN" db-id="0sp9t02ao2s908er5duvztshees9x25szs2d"&gt;110&lt;/key&gt;&lt;/foreign-keys&gt;&lt;ref-type name="Report"&gt;27&lt;/ref-type&gt;&lt;contributors&gt;&lt;authors&gt;&lt;author&gt;Rothman, Sheldon &lt;/author&gt;&lt;/authors&gt;&lt;/contributors&gt;&lt;titles&gt;&lt;title&gt;Sampling and weighting of the 2003 LSAY cohort &lt;/title&gt;&lt;secondary-title&gt;LSAY Technicla Report&lt;/secondary-title&gt;&lt;/titles&gt;&lt;volume&gt;43&lt;/volume&gt;&lt;dates&gt;&lt;year&gt;2007&lt;/year&gt;&lt;/dates&gt;&lt;pub-location&gt;Melbourne&lt;/pub-location&gt;&lt;publisher&gt;Australian Council for Educational Research&lt;/publisher&gt;&lt;urls&gt;&lt;/urls&gt;&lt;/record&gt;&lt;/Cite&gt;&lt;/EndNote&gt;</w:instrText>
      </w:r>
      <w:r w:rsidR="00A865E4">
        <w:fldChar w:fldCharType="separate"/>
      </w:r>
      <w:r>
        <w:t>Rothman 2007</w:t>
      </w:r>
      <w:r w:rsidR="00A865E4">
        <w:fldChar w:fldCharType="end"/>
      </w:r>
      <w:r>
        <w:t xml:space="preserve">), an Indigenous bias in the LSAY sample attrition, or some other factor is unclear. </w:t>
      </w:r>
    </w:p>
    <w:p w:rsidR="001F5702" w:rsidRDefault="001F5702" w:rsidP="00042FE5">
      <w:pPr>
        <w:pStyle w:val="Text"/>
        <w:ind w:right="-151"/>
      </w:pPr>
      <w:r>
        <w:t xml:space="preserve">Another key difference between the groups lies in the role of self-assessed school performance. The gap in completion rates between those rating themselves as well above average by comparison with below average was about 40 percentage points in the Y03 data and over 50 points in the YIF data. </w:t>
      </w:r>
      <w:r w:rsidR="00AE1DA5">
        <w:t>As indicated earlier,</w:t>
      </w:r>
      <w:r>
        <w:t xml:space="preserve"> there were also differences in the distributions across categories in the data, with relatively more people in LSAY rating </w:t>
      </w:r>
      <w:proofErr w:type="gramStart"/>
      <w:r>
        <w:t>themselves</w:t>
      </w:r>
      <w:proofErr w:type="gramEnd"/>
      <w:r>
        <w:t xml:space="preserve"> favourably compared with their peers than in the YIF data. </w:t>
      </w:r>
    </w:p>
    <w:p w:rsidR="001F5702" w:rsidRDefault="001F5702" w:rsidP="001F5702">
      <w:pPr>
        <w:pStyle w:val="Text"/>
      </w:pPr>
      <w:r>
        <w:t xml:space="preserve">The observed patterns of Year 12 completion described here are broadly consistent with those reported in previous studies. For example, the observed pattern of completion rates among those </w:t>
      </w:r>
      <w:r w:rsidR="00AE1DA5">
        <w:t xml:space="preserve">respondents </w:t>
      </w:r>
      <w:r>
        <w:t xml:space="preserve">whose mothers did and did not have a degree is similar in </w:t>
      </w:r>
      <w:r w:rsidR="00A865E4">
        <w:fldChar w:fldCharType="begin"/>
      </w:r>
      <w:r>
        <w:instrText xml:space="preserve"> ADDIN EN.CITE &lt;EndNote&gt;&lt;Cite&gt;&lt;Author&gt;Long&lt;/Author&gt;&lt;Year&gt;1998&lt;/Year&gt;&lt;RecNum&gt;29&lt;/RecNum&gt;&lt;record&gt;&lt;rec-number&gt;29&lt;/rec-number&gt;&lt;foreign-keys&gt;&lt;key app='EN' db-id='0sp9t02ao2s908er5duvztshees9x25szs2d'&gt;29&lt;/key&gt;&lt;/foreign-keys&gt;&lt;ref-type name='Report'&gt;27&lt;/ref-type&gt;&lt;contributors&gt;&lt;authors&gt;&lt;author&gt;&lt;style face='normal' font='default' size='11'&gt;Long, Michael &lt;/style&gt;&lt;/author&gt;&lt;author&gt;&lt;style face='normal' font='default' size='11'&gt;Carpenter, Peter &lt;/style&gt;&lt;/author&gt;&lt;author&gt;&lt;style face='normal' font='default' size='11'&gt;Hayden, Martin &lt;/style&gt;&lt;/author&gt;&lt;/authors&gt;&lt;/contributors&gt;&lt;titles&gt;&lt;title&gt;Participation in Education and Training&lt;/title&gt;&lt;secondary-title&gt;LSAY Research Report&lt;/secondary-title&gt;&lt;/titles&gt;&lt;volume&gt;13&lt;/volume&gt;&lt;dates&gt;&lt;year&gt;1999&lt;/year&gt;&lt;/dates&gt;&lt;pub-location&gt;Melbourne&lt;/pub-location&gt;&lt;publisher&gt;&lt;style face='normal' font='default' size='11'&gt;Australian Council for Educational Research&lt;/style&gt;&lt;/publisher&gt;&lt;urls&gt;&lt;/urls&gt;&lt;/record&gt;&lt;/Cite&gt;&lt;/EndNote&gt;</w:instrText>
      </w:r>
      <w:r w:rsidR="00A865E4">
        <w:fldChar w:fldCharType="separate"/>
      </w:r>
      <w:r>
        <w:t>Long, Carpenter and Hayden (1999</w:t>
      </w:r>
      <w:r w:rsidR="00A865E4">
        <w:fldChar w:fldCharType="end"/>
      </w:r>
      <w:r>
        <w:t xml:space="preserve">, who analysed the </w:t>
      </w:r>
      <w:r w:rsidRPr="00515CD2">
        <w:t>Youth in Transition surveys</w:t>
      </w:r>
      <w:r>
        <w:t xml:space="preserve">) to that found in this study, as is the pattern of completion across government and non-government schools. Further, like this study, </w:t>
      </w:r>
      <w:r w:rsidR="00A865E4">
        <w:fldChar w:fldCharType="begin"/>
      </w:r>
      <w:r>
        <w:instrText xml:space="preserve"> ADDIN EN.CITE &lt;EndNote&gt;&lt;Cite&gt;&lt;Author&gt;Long&lt;/Author&gt;&lt;Year&gt;1998&lt;/Year&gt;&lt;RecNum&gt;29&lt;/RecNum&gt;&lt;record&gt;&lt;rec-number&gt;29&lt;/rec-number&gt;&lt;foreign-keys&gt;&lt;key app='EN' db-id='0sp9t02ao2s908er5duvztshees9x25szs2d'&gt;29&lt;/key&gt;&lt;/foreign-keys&gt;&lt;ref-type name='Report'&gt;27&lt;/ref-type&gt;&lt;contributors&gt;&lt;authors&gt;&lt;author&gt;&lt;style face='normal' font='default' size='11'&gt;Long, Michael &lt;/style&gt;&lt;/author&gt;&lt;author&gt;&lt;style face='normal' font='default' size='11'&gt;Carpenter, Peter &lt;/style&gt;&lt;/author&gt;&lt;author&gt;&lt;style face='normal' font='default' size='11'&gt;Hayden, Martin &lt;/style&gt;&lt;/author&gt;&lt;/authors&gt;&lt;/contributors&gt;&lt;titles&gt;&lt;title&gt;Participation in Education and Training&lt;/title&gt;&lt;secondary-title&gt;LSAY Research Report&lt;/secondary-title&gt;&lt;/titles&gt;&lt;volume&gt;13&lt;/volume&gt;&lt;dates&gt;&lt;year&gt;1999&lt;/year&gt;&lt;/dates&gt;&lt;pub-location&gt;Melbourne&lt;/pub-location&gt;&lt;publisher&gt;&lt;style face='normal' font='default' size='11'&gt;Australian Council for Educational Research&lt;/style&gt;&lt;/publisher&gt;&lt;urls&gt;&lt;/urls&gt;&lt;/record&gt;&lt;/Cite&gt;&lt;/EndNote&gt;</w:instrText>
      </w:r>
      <w:r w:rsidR="00A865E4">
        <w:fldChar w:fldCharType="separate"/>
      </w:r>
      <w:r>
        <w:t>Long, Carpenter and Hayden (1999</w:t>
      </w:r>
      <w:r w:rsidR="00A865E4">
        <w:fldChar w:fldCharType="end"/>
      </w:r>
      <w:r>
        <w:t>) document a difference in female and male Year 12 completion rates</w:t>
      </w:r>
      <w:r w:rsidRPr="00AF12DC">
        <w:t xml:space="preserve"> </w:t>
      </w:r>
      <w:r>
        <w:t xml:space="preserve">of </w:t>
      </w:r>
      <w:r w:rsidRPr="00AF12DC">
        <w:t>eight percentage points</w:t>
      </w:r>
      <w:r>
        <w:t>; in this study it is around ten percentage points higher for females.</w:t>
      </w:r>
    </w:p>
    <w:p w:rsidR="001F5702" w:rsidRDefault="00A865E4" w:rsidP="001F5702">
      <w:pPr>
        <w:pStyle w:val="Text"/>
        <w:rPr>
          <w:szCs w:val="22"/>
        </w:rPr>
      </w:pPr>
      <w:r>
        <w:lastRenderedPageBreak/>
        <w:fldChar w:fldCharType="begin"/>
      </w:r>
      <w:r w:rsidR="001F5702">
        <w:instrText xml:space="preserve"> ADDIN EN.CITE &lt;EndNote&gt;&lt;Cite&gt;&lt;Author&gt;Fullarton&lt;/Author&gt;&lt;Year&gt;2003&lt;/Year&gt;&lt;RecNum&gt;113&lt;/RecNum&gt;&lt;record&gt;&lt;rec-number&gt;113&lt;/rec-number&gt;&lt;foreign-keys&gt;&lt;key app="EN" db-id="0sp9t02ao2s908er5duvztshees9x25szs2d"&gt;113&lt;/key&gt;&lt;/foreign-keys&gt;&lt;ref-type name="Report"&gt;27&lt;/ref-type&gt;&lt;contributors&gt;&lt;authors&gt;&lt;author&gt;Fullarton, Sue&lt;/author&gt;&lt;author&gt;Walker, Maurice&lt;/author&gt;&lt;author&gt;Ainley, John&lt;/author&gt;&lt;author&gt;Hillman, Kylie&lt;/author&gt;&lt;/authors&gt;&lt;/contributors&gt;&lt;titles&gt;&lt;title&gt;Patterns of participation in Year 12&lt;/title&gt;&lt;secondary-title&gt;LSAY Research Report&lt;/secondary-title&gt;&lt;/titles&gt;&lt;volume&gt;33&lt;/volume&gt;&lt;dates&gt;&lt;year&gt;2003&lt;/year&gt;&lt;/dates&gt;&lt;pub-location&gt;Melbourne&lt;/pub-location&gt;&lt;publisher&gt;Australian Council for Educational Research&lt;/publisher&gt;&lt;urls&gt;&lt;/urls&gt;&lt;/record&gt;&lt;/Cite&gt;&lt;/EndNote&gt;</w:instrText>
      </w:r>
      <w:r>
        <w:fldChar w:fldCharType="separate"/>
      </w:r>
      <w:r w:rsidR="001F5702" w:rsidRPr="00515CD2">
        <w:t xml:space="preserve">Fullarton et al. </w:t>
      </w:r>
      <w:r w:rsidR="001F5702">
        <w:t>(</w:t>
      </w:r>
      <w:r w:rsidR="001F5702" w:rsidRPr="00515CD2">
        <w:t>2003</w:t>
      </w:r>
      <w:r>
        <w:fldChar w:fldCharType="end"/>
      </w:r>
      <w:r w:rsidR="001F5702">
        <w:t xml:space="preserve">) </w:t>
      </w:r>
      <w:r w:rsidR="001F5702" w:rsidRPr="00515CD2">
        <w:t xml:space="preserve">consider participation in Year 12 based on </w:t>
      </w:r>
      <w:r w:rsidR="001F5702">
        <w:t xml:space="preserve">the </w:t>
      </w:r>
      <w:r w:rsidR="001F5702" w:rsidRPr="00515CD2">
        <w:t xml:space="preserve">Youth in Transition surveys </w:t>
      </w:r>
      <w:r w:rsidR="001F5702">
        <w:t>and</w:t>
      </w:r>
      <w:r w:rsidR="001F5702" w:rsidRPr="00515CD2">
        <w:t xml:space="preserve"> </w:t>
      </w:r>
      <w:r w:rsidR="001F5702">
        <w:t xml:space="preserve">the </w:t>
      </w:r>
      <w:r w:rsidR="001F5702" w:rsidRPr="00515CD2">
        <w:t>19</w:t>
      </w:r>
      <w:r w:rsidR="001F5702">
        <w:t>95 and 1998 Year 9 LSAY cohorts. Their</w:t>
      </w:r>
      <w:r w:rsidR="001F5702" w:rsidRPr="00515CD2">
        <w:t xml:space="preserve"> comparisons over time indicate that many of the observed differences between groups in Year 12 participation declined during the expansion of the 1980s but remained stable from 1992 onwards.</w:t>
      </w:r>
      <w:r w:rsidR="001F5702">
        <w:t xml:space="preserve"> Therefore, the reported participation rates by groups for the last year of their analysis, 2001, are similar in magnitude to the completion rates reported for 1994 in </w:t>
      </w:r>
      <w:r>
        <w:fldChar w:fldCharType="begin"/>
      </w:r>
      <w:r w:rsidR="001F5702">
        <w:instrText xml:space="preserve"> ADDIN EN.CITE &lt;EndNote&gt;&lt;Cite&gt;&lt;Author&gt;Long&lt;/Author&gt;&lt;Year&gt;1998&lt;/Year&gt;&lt;RecNum&gt;29&lt;/RecNum&gt;&lt;record&gt;&lt;rec-number&gt;29&lt;/rec-number&gt;&lt;foreign-keys&gt;&lt;key app='EN' db-id='0sp9t02ao2s908er5duvztshees9x25szs2d'&gt;29&lt;/key&gt;&lt;/foreign-keys&gt;&lt;ref-type name='Report'&gt;27&lt;/ref-type&gt;&lt;contributors&gt;&lt;authors&gt;&lt;author&gt;&lt;style face='normal' font='default' size='11'&gt;Long, Michael &lt;/style&gt;&lt;/author&gt;&lt;author&gt;&lt;style face='normal' font='default' size='11'&gt;Carpenter, Peter &lt;/style&gt;&lt;/author&gt;&lt;author&gt;&lt;style face='normal' font='default' size='11'&gt;Hayden, Martin &lt;/style&gt;&lt;/author&gt;&lt;/authors&gt;&lt;/contributors&gt;&lt;titles&gt;&lt;title&gt;Participation in Education and Training&lt;/title&gt;&lt;secondary-title&gt;LSAY Research Report&lt;/secondary-title&gt;&lt;/titles&gt;&lt;volume&gt;13&lt;/volume&gt;&lt;dates&gt;&lt;year&gt;1999&lt;/year&gt;&lt;/dates&gt;&lt;pub-location&gt;Melbourne&lt;/pub-location&gt;&lt;publisher&gt;&lt;style face='normal' font='default' size='11'&gt;Australian Council for Educational Research&lt;/style&gt;&lt;/publisher&gt;&lt;urls&gt;&lt;/urls&gt;&lt;/record&gt;&lt;/Cite&gt;&lt;/EndNote&gt;</w:instrText>
      </w:r>
      <w:r>
        <w:fldChar w:fldCharType="separate"/>
      </w:r>
      <w:r w:rsidR="001F5702">
        <w:t>Long, Carpenter and Hayden (1999</w:t>
      </w:r>
      <w:r>
        <w:fldChar w:fldCharType="end"/>
      </w:r>
      <w:r w:rsidR="001F5702">
        <w:t>).</w:t>
      </w:r>
    </w:p>
    <w:p w:rsidR="001F5702" w:rsidRDefault="001F5702" w:rsidP="001F5702">
      <w:pPr>
        <w:pStyle w:val="Text"/>
      </w:pPr>
      <w:r>
        <w:t xml:space="preserve">In summary, school completion, as well as the series of measures that reflect disadvantage in the Y03 and YIF data, appears comparable in most cases. They are also broadly consistent with measures calculated from </w:t>
      </w:r>
      <w:r w:rsidR="00296EF2">
        <w:t>Census</w:t>
      </w:r>
      <w:r>
        <w:t xml:space="preserve"> data. The simple analysis of completion rates across selected individual, family, school and locality characteristics is generally indicative of similar relationships between disadvantage and Year 12 completion in the two datasets. The relationships identified are also consistent with those reported in previous studies. </w:t>
      </w:r>
    </w:p>
    <w:p w:rsidR="00A05A99" w:rsidRDefault="00A05A99">
      <w:pPr>
        <w:spacing w:before="0" w:line="240" w:lineRule="auto"/>
        <w:rPr>
          <w:rFonts w:ascii="Tahoma" w:hAnsi="Tahoma"/>
          <w:b/>
          <w:sz w:val="17"/>
        </w:rPr>
      </w:pPr>
      <w:bookmarkStart w:id="71" w:name="_Toc239664660"/>
      <w:bookmarkStart w:id="72" w:name="_Toc323566755"/>
      <w:bookmarkStart w:id="73" w:name="_Toc324765903"/>
      <w:r>
        <w:br w:type="page"/>
      </w:r>
    </w:p>
    <w:p w:rsidR="001F5702" w:rsidRPr="000F4E4F" w:rsidRDefault="001F5702" w:rsidP="008B1715">
      <w:pPr>
        <w:pStyle w:val="tabletitle"/>
        <w:rPr>
          <w:b w:val="0"/>
          <w:sz w:val="16"/>
        </w:rPr>
      </w:pPr>
      <w:r w:rsidRPr="00C2775E">
        <w:lastRenderedPageBreak/>
        <w:t xml:space="preserve">Table </w:t>
      </w:r>
      <w:r>
        <w:t>8</w:t>
      </w:r>
      <w:r>
        <w:tab/>
        <w:t>Year 12 c</w:t>
      </w:r>
      <w:r w:rsidRPr="005D446B">
        <w:t>ompletion by key</w:t>
      </w:r>
      <w:r>
        <w:t xml:space="preserve"> demographic variables in 2006:</w:t>
      </w:r>
      <w:r w:rsidRPr="005D446B">
        <w:t xml:space="preserve"> </w:t>
      </w:r>
      <w:r>
        <w:t xml:space="preserve">Youth in Focus, LSAY Y03 and 18-year-olds in 2006 </w:t>
      </w:r>
      <w:r w:rsidR="00296EF2">
        <w:t>Census</w:t>
      </w:r>
      <w:bookmarkEnd w:id="71"/>
      <w:bookmarkEnd w:id="72"/>
      <w:bookmarkEnd w:id="73"/>
      <w:r>
        <w:t xml:space="preserve"> </w:t>
      </w:r>
    </w:p>
    <w:tbl>
      <w:tblPr>
        <w:tblW w:w="878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4111"/>
        <w:gridCol w:w="935"/>
        <w:gridCol w:w="936"/>
        <w:gridCol w:w="935"/>
        <w:gridCol w:w="936"/>
        <w:gridCol w:w="936"/>
      </w:tblGrid>
      <w:tr w:rsidR="008B1715" w:rsidRPr="00D41A46" w:rsidTr="008B1715">
        <w:tc>
          <w:tcPr>
            <w:tcW w:w="4111" w:type="dxa"/>
            <w:tcBorders>
              <w:top w:val="single" w:sz="4" w:space="0" w:color="auto"/>
              <w:left w:val="nil"/>
              <w:bottom w:val="nil"/>
              <w:right w:val="nil"/>
            </w:tcBorders>
          </w:tcPr>
          <w:p w:rsidR="008B1715" w:rsidRPr="0031761A" w:rsidRDefault="008B1715" w:rsidP="008B1715">
            <w:pPr>
              <w:pStyle w:val="Tablehead1"/>
            </w:pPr>
          </w:p>
        </w:tc>
        <w:tc>
          <w:tcPr>
            <w:tcW w:w="935" w:type="dxa"/>
            <w:tcBorders>
              <w:top w:val="single" w:sz="4" w:space="0" w:color="auto"/>
              <w:left w:val="nil"/>
              <w:bottom w:val="nil"/>
              <w:right w:val="nil"/>
            </w:tcBorders>
          </w:tcPr>
          <w:p w:rsidR="008B1715" w:rsidRPr="0031761A" w:rsidRDefault="008B1715" w:rsidP="00A05A99">
            <w:pPr>
              <w:pStyle w:val="Tablehead1"/>
              <w:jc w:val="center"/>
            </w:pPr>
            <w:r>
              <w:t xml:space="preserve">LSAY Y03 </w:t>
            </w:r>
          </w:p>
        </w:tc>
        <w:tc>
          <w:tcPr>
            <w:tcW w:w="936" w:type="dxa"/>
            <w:tcBorders>
              <w:top w:val="single" w:sz="4" w:space="0" w:color="auto"/>
              <w:left w:val="nil"/>
              <w:bottom w:val="nil"/>
              <w:right w:val="nil"/>
            </w:tcBorders>
          </w:tcPr>
          <w:p w:rsidR="008B1715" w:rsidRDefault="008B1715" w:rsidP="00A05A99">
            <w:pPr>
              <w:pStyle w:val="Tablehead1"/>
              <w:jc w:val="center"/>
            </w:pPr>
            <w:r>
              <w:t xml:space="preserve">LSAY Y03 </w:t>
            </w:r>
          </w:p>
        </w:tc>
        <w:tc>
          <w:tcPr>
            <w:tcW w:w="935" w:type="dxa"/>
            <w:tcBorders>
              <w:top w:val="single" w:sz="4" w:space="0" w:color="auto"/>
              <w:left w:val="nil"/>
              <w:bottom w:val="nil"/>
              <w:right w:val="nil"/>
            </w:tcBorders>
          </w:tcPr>
          <w:p w:rsidR="008B1715" w:rsidRDefault="008B1715" w:rsidP="008B1715">
            <w:pPr>
              <w:pStyle w:val="Tablehead1"/>
              <w:jc w:val="center"/>
            </w:pPr>
            <w:r>
              <w:t>Youth in Focus</w:t>
            </w:r>
          </w:p>
        </w:tc>
        <w:tc>
          <w:tcPr>
            <w:tcW w:w="1872" w:type="dxa"/>
            <w:gridSpan w:val="2"/>
            <w:tcBorders>
              <w:top w:val="single" w:sz="4" w:space="0" w:color="auto"/>
              <w:left w:val="nil"/>
              <w:bottom w:val="nil"/>
              <w:right w:val="nil"/>
            </w:tcBorders>
          </w:tcPr>
          <w:p w:rsidR="008B1715" w:rsidRPr="00F85B72" w:rsidRDefault="008B1715" w:rsidP="008B1715">
            <w:pPr>
              <w:pStyle w:val="Tablehead1"/>
              <w:jc w:val="center"/>
              <w:rPr>
                <w:vertAlign w:val="superscript"/>
              </w:rPr>
            </w:pPr>
            <w:r>
              <w:t>Census 2006</w:t>
            </w:r>
            <w:r>
              <w:rPr>
                <w:vertAlign w:val="superscript"/>
              </w:rPr>
              <w:t>*</w:t>
            </w:r>
          </w:p>
        </w:tc>
      </w:tr>
      <w:tr w:rsidR="008B1715" w:rsidRPr="00D41A46" w:rsidTr="008B1715">
        <w:tc>
          <w:tcPr>
            <w:tcW w:w="4111" w:type="dxa"/>
            <w:tcBorders>
              <w:top w:val="nil"/>
              <w:left w:val="nil"/>
              <w:bottom w:val="single" w:sz="4" w:space="0" w:color="auto"/>
              <w:right w:val="nil"/>
            </w:tcBorders>
          </w:tcPr>
          <w:p w:rsidR="008B1715" w:rsidRPr="0031761A" w:rsidRDefault="008B1715" w:rsidP="008B1715">
            <w:pPr>
              <w:pStyle w:val="Tablehead2"/>
            </w:pPr>
          </w:p>
        </w:tc>
        <w:tc>
          <w:tcPr>
            <w:tcW w:w="935" w:type="dxa"/>
            <w:tcBorders>
              <w:top w:val="nil"/>
              <w:left w:val="nil"/>
              <w:bottom w:val="single" w:sz="4" w:space="0" w:color="auto"/>
              <w:right w:val="nil"/>
            </w:tcBorders>
          </w:tcPr>
          <w:p w:rsidR="008B1715" w:rsidRDefault="00A05A99" w:rsidP="00A05A99">
            <w:pPr>
              <w:pStyle w:val="Tablehead2"/>
              <w:jc w:val="center"/>
            </w:pPr>
            <w:r>
              <w:t>Full 2006 sample</w:t>
            </w:r>
          </w:p>
        </w:tc>
        <w:tc>
          <w:tcPr>
            <w:tcW w:w="936" w:type="dxa"/>
            <w:tcBorders>
              <w:top w:val="nil"/>
              <w:left w:val="nil"/>
              <w:bottom w:val="single" w:sz="4" w:space="0" w:color="auto"/>
              <w:right w:val="nil"/>
            </w:tcBorders>
          </w:tcPr>
          <w:p w:rsidR="008B1715" w:rsidRDefault="00A05A99" w:rsidP="008B1715">
            <w:pPr>
              <w:pStyle w:val="Tablehead2"/>
              <w:jc w:val="center"/>
            </w:pPr>
            <w:r>
              <w:t>Matching YIF birth cohort</w:t>
            </w:r>
          </w:p>
        </w:tc>
        <w:tc>
          <w:tcPr>
            <w:tcW w:w="935" w:type="dxa"/>
            <w:tcBorders>
              <w:top w:val="nil"/>
              <w:left w:val="nil"/>
              <w:bottom w:val="single" w:sz="4" w:space="0" w:color="auto"/>
              <w:right w:val="nil"/>
            </w:tcBorders>
          </w:tcPr>
          <w:p w:rsidR="008B1715" w:rsidRDefault="008B1715" w:rsidP="008B1715">
            <w:pPr>
              <w:pStyle w:val="Tablehead2"/>
              <w:jc w:val="center"/>
            </w:pPr>
          </w:p>
        </w:tc>
        <w:tc>
          <w:tcPr>
            <w:tcW w:w="936" w:type="dxa"/>
            <w:tcBorders>
              <w:top w:val="nil"/>
              <w:left w:val="nil"/>
              <w:bottom w:val="single" w:sz="4" w:space="0" w:color="auto"/>
              <w:right w:val="nil"/>
            </w:tcBorders>
          </w:tcPr>
          <w:p w:rsidR="008B1715" w:rsidRDefault="008B1715" w:rsidP="008B1715">
            <w:pPr>
              <w:pStyle w:val="Tablehead2"/>
              <w:jc w:val="center"/>
            </w:pPr>
            <w:r>
              <w:t>Matching LSAY cohort</w:t>
            </w:r>
          </w:p>
        </w:tc>
        <w:tc>
          <w:tcPr>
            <w:tcW w:w="936" w:type="dxa"/>
            <w:tcBorders>
              <w:top w:val="nil"/>
              <w:left w:val="nil"/>
              <w:bottom w:val="single" w:sz="4" w:space="0" w:color="auto"/>
              <w:right w:val="nil"/>
            </w:tcBorders>
          </w:tcPr>
          <w:p w:rsidR="008B1715" w:rsidRPr="0031761A" w:rsidRDefault="008B1715" w:rsidP="008B1715">
            <w:pPr>
              <w:pStyle w:val="Tablehead2"/>
              <w:jc w:val="center"/>
            </w:pPr>
            <w:r>
              <w:t>Matching YIF cohort</w:t>
            </w:r>
          </w:p>
        </w:tc>
      </w:tr>
      <w:tr w:rsidR="001F5702" w:rsidRPr="008B1715" w:rsidTr="008B1715">
        <w:tc>
          <w:tcPr>
            <w:tcW w:w="4111" w:type="dxa"/>
            <w:tcBorders>
              <w:top w:val="single" w:sz="4" w:space="0" w:color="auto"/>
              <w:left w:val="nil"/>
              <w:bottom w:val="nil"/>
              <w:right w:val="nil"/>
            </w:tcBorders>
            <w:shd w:val="clear" w:color="auto" w:fill="auto"/>
          </w:tcPr>
          <w:p w:rsidR="001F5702" w:rsidRPr="00723990" w:rsidRDefault="001F5702" w:rsidP="008B1715">
            <w:pPr>
              <w:pStyle w:val="Tabletext"/>
              <w:rPr>
                <w:b/>
              </w:rPr>
            </w:pPr>
            <w:r w:rsidRPr="00723990">
              <w:rPr>
                <w:b/>
              </w:rPr>
              <w:t>Categorical variables</w:t>
            </w:r>
          </w:p>
        </w:tc>
        <w:tc>
          <w:tcPr>
            <w:tcW w:w="935" w:type="dxa"/>
            <w:tcBorders>
              <w:top w:val="single" w:sz="4" w:space="0" w:color="auto"/>
              <w:left w:val="nil"/>
              <w:bottom w:val="nil"/>
              <w:right w:val="nil"/>
            </w:tcBorders>
            <w:shd w:val="clear" w:color="auto" w:fill="auto"/>
          </w:tcPr>
          <w:p w:rsidR="001F5702" w:rsidRPr="008B1715" w:rsidRDefault="001F5702" w:rsidP="008B1715">
            <w:pPr>
              <w:pStyle w:val="Tabletext"/>
            </w:pPr>
          </w:p>
        </w:tc>
        <w:tc>
          <w:tcPr>
            <w:tcW w:w="936" w:type="dxa"/>
            <w:tcBorders>
              <w:top w:val="single" w:sz="4" w:space="0" w:color="auto"/>
              <w:left w:val="nil"/>
              <w:bottom w:val="nil"/>
              <w:right w:val="nil"/>
            </w:tcBorders>
            <w:shd w:val="clear" w:color="auto" w:fill="auto"/>
          </w:tcPr>
          <w:p w:rsidR="001F5702" w:rsidRPr="008B1715" w:rsidRDefault="001F5702" w:rsidP="008B1715">
            <w:pPr>
              <w:pStyle w:val="Tabletext"/>
            </w:pPr>
          </w:p>
        </w:tc>
        <w:tc>
          <w:tcPr>
            <w:tcW w:w="935" w:type="dxa"/>
            <w:tcBorders>
              <w:top w:val="single" w:sz="4" w:space="0" w:color="auto"/>
              <w:left w:val="nil"/>
              <w:bottom w:val="nil"/>
              <w:right w:val="nil"/>
            </w:tcBorders>
            <w:shd w:val="clear" w:color="auto" w:fill="auto"/>
          </w:tcPr>
          <w:p w:rsidR="001F5702" w:rsidRPr="008B1715" w:rsidRDefault="001F5702" w:rsidP="008B1715">
            <w:pPr>
              <w:pStyle w:val="Tabletext"/>
            </w:pPr>
          </w:p>
        </w:tc>
        <w:tc>
          <w:tcPr>
            <w:tcW w:w="936" w:type="dxa"/>
            <w:tcBorders>
              <w:top w:val="single" w:sz="4" w:space="0" w:color="auto"/>
              <w:left w:val="nil"/>
              <w:bottom w:val="nil"/>
              <w:right w:val="nil"/>
            </w:tcBorders>
            <w:shd w:val="clear" w:color="auto" w:fill="auto"/>
          </w:tcPr>
          <w:p w:rsidR="001F5702" w:rsidRPr="008B1715" w:rsidRDefault="001F5702" w:rsidP="008B1715">
            <w:pPr>
              <w:pStyle w:val="Tabletext"/>
            </w:pPr>
          </w:p>
        </w:tc>
        <w:tc>
          <w:tcPr>
            <w:tcW w:w="936" w:type="dxa"/>
            <w:tcBorders>
              <w:top w:val="single" w:sz="4" w:space="0" w:color="auto"/>
              <w:left w:val="nil"/>
              <w:bottom w:val="nil"/>
              <w:right w:val="nil"/>
            </w:tcBorders>
            <w:shd w:val="clear" w:color="auto" w:fill="auto"/>
          </w:tcPr>
          <w:p w:rsidR="001F5702" w:rsidRPr="008B1715" w:rsidRDefault="001F5702" w:rsidP="008B1715">
            <w:pPr>
              <w:pStyle w:val="Tabletext"/>
            </w:pP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Male</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68.1</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65.8</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58.1</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63.1</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61.8</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Female</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76.4</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75.4</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69.3</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73.4</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72.6</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 xml:space="preserve">Lives in major city </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75.9</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73.9</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67.6</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Lives elsewhere in Australia</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64.7</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63.7</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56.7</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Indigenous Australian</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62.9</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60.8</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36.2</w:t>
            </w:r>
          </w:p>
        </w:tc>
        <w:tc>
          <w:tcPr>
            <w:tcW w:w="936" w:type="dxa"/>
            <w:tcBorders>
              <w:top w:val="nil"/>
              <w:left w:val="nil"/>
              <w:bottom w:val="nil"/>
              <w:right w:val="nil"/>
            </w:tcBorders>
            <w:shd w:val="clear" w:color="auto" w:fill="FFFFFF"/>
          </w:tcPr>
          <w:p w:rsidR="001F5702" w:rsidRPr="008B1715" w:rsidRDefault="001F5702" w:rsidP="008B1715">
            <w:pPr>
              <w:pStyle w:val="Tabletext"/>
              <w:tabs>
                <w:tab w:val="decimal" w:pos="425"/>
              </w:tabs>
            </w:pPr>
            <w:r w:rsidRPr="008B1715">
              <w:t>37.0</w:t>
            </w:r>
          </w:p>
        </w:tc>
        <w:tc>
          <w:tcPr>
            <w:tcW w:w="936" w:type="dxa"/>
            <w:tcBorders>
              <w:top w:val="nil"/>
              <w:left w:val="nil"/>
              <w:bottom w:val="nil"/>
              <w:right w:val="nil"/>
            </w:tcBorders>
            <w:shd w:val="clear" w:color="auto" w:fill="FFFFFF"/>
          </w:tcPr>
          <w:p w:rsidR="001F5702" w:rsidRPr="008B1715" w:rsidRDefault="001F5702" w:rsidP="008B1715">
            <w:pPr>
              <w:pStyle w:val="Tabletext"/>
              <w:tabs>
                <w:tab w:val="decimal" w:pos="425"/>
              </w:tabs>
            </w:pPr>
            <w:r w:rsidRPr="008B1715">
              <w:t>36.4</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Non-Indigenous Australian</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72.4</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70.7</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64.6</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69.3</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68.1</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Father works</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72.9</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71.0</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66.8</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Father does not work</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67.8</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67.5</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52.5</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Mother works</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73.9</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71.9</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66.1</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Mother does not work</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68.6</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67.4</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60.4</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Father has a degree</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78.6</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77.2</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77.2</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Father does not have a degree</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68.1</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66.3</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63.6</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Mother has a degree</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77.1</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76.0</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74.5</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Mother does not have a degree</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69.1</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67.3</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63.9</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No siblings</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74.6</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76.1</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60.4</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One sibling</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73.8</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73.8</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70.3</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Two siblings</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72.6</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69.0</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64.9</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Three siblings</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73.0</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71.4</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64.4</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Four or more siblings</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64.5</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59.4</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55.0</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Respondent born overseas in English-speaking country</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73.7</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72.9</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66.1</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70.9</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68.7</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Respondent born overseas in non-English-speaking country</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77.5</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75.1</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68.7</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75.0</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71.6</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Respondent born in Australia</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71.7</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70.1</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63.1</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67.4</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66.6</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Self-assessed school performance – well above average</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83.1</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79.8</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83.2</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Self-assessed school performance – better than average</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78.5</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76.4</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75.5</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Self-assessed school performance – average</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64.2</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62.8</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55.9</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Self-assessed school performance – below average</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35.7</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38.8</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28.9</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Catholic school in last year at school</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77.8</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75.4</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74.9</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Independent school in last year at school</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81.5</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78.2</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70.7</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Government school in last year at school</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67.8</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66.8</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58.9</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c>
          <w:tcPr>
            <w:tcW w:w="936" w:type="dxa"/>
            <w:tcBorders>
              <w:top w:val="nil"/>
              <w:left w:val="nil"/>
              <w:bottom w:val="nil"/>
              <w:right w:val="nil"/>
            </w:tcBorders>
          </w:tcPr>
          <w:p w:rsidR="001F5702" w:rsidRPr="008B1715" w:rsidRDefault="001F5702" w:rsidP="00723990">
            <w:pPr>
              <w:pStyle w:val="Tabletext"/>
              <w:jc w:val="center"/>
            </w:pPr>
            <w:r w:rsidRPr="008B1715">
              <w:t>n/a</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NSW</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70.0</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68.3</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65.1</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66.7</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65.8</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Vic.</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68.3</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65.9</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62.1</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68.2</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66.5</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Qld</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83.7</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82.8</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75.1</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74.1</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73.1</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SA</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71.2</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70.9</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57.3</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64.5</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64.3</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WA</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73.5</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71.8</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53.5</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69.6</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68.7</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Tas.</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46.6</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37.3</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33.6</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48.4</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44.8</w:t>
            </w:r>
          </w:p>
        </w:tc>
      </w:tr>
      <w:tr w:rsidR="001F5702" w:rsidRPr="008B1715" w:rsidTr="008B1715">
        <w:tc>
          <w:tcPr>
            <w:tcW w:w="4111" w:type="dxa"/>
            <w:tcBorders>
              <w:top w:val="nil"/>
              <w:left w:val="nil"/>
              <w:bottom w:val="nil"/>
              <w:right w:val="nil"/>
            </w:tcBorders>
          </w:tcPr>
          <w:p w:rsidR="001F5702" w:rsidRPr="008B1715" w:rsidRDefault="001F5702" w:rsidP="008B1715">
            <w:pPr>
              <w:pStyle w:val="Tabletext"/>
            </w:pPr>
            <w:r w:rsidRPr="008B1715">
              <w:t>NT</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62.7</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62.1</w:t>
            </w:r>
          </w:p>
        </w:tc>
        <w:tc>
          <w:tcPr>
            <w:tcW w:w="935" w:type="dxa"/>
            <w:tcBorders>
              <w:top w:val="nil"/>
              <w:left w:val="nil"/>
              <w:bottom w:val="nil"/>
              <w:right w:val="nil"/>
            </w:tcBorders>
          </w:tcPr>
          <w:p w:rsidR="001F5702" w:rsidRPr="008B1715" w:rsidRDefault="001F5702" w:rsidP="008B1715">
            <w:pPr>
              <w:pStyle w:val="Tabletext"/>
              <w:tabs>
                <w:tab w:val="decimal" w:pos="425"/>
              </w:tabs>
            </w:pPr>
            <w:r w:rsidRPr="008B1715">
              <w:t>53.2</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44.0</w:t>
            </w:r>
          </w:p>
        </w:tc>
        <w:tc>
          <w:tcPr>
            <w:tcW w:w="936" w:type="dxa"/>
            <w:tcBorders>
              <w:top w:val="nil"/>
              <w:left w:val="nil"/>
              <w:bottom w:val="nil"/>
              <w:right w:val="nil"/>
            </w:tcBorders>
          </w:tcPr>
          <w:p w:rsidR="001F5702" w:rsidRPr="008B1715" w:rsidRDefault="001F5702" w:rsidP="008B1715">
            <w:pPr>
              <w:pStyle w:val="Tabletext"/>
              <w:tabs>
                <w:tab w:val="decimal" w:pos="425"/>
              </w:tabs>
            </w:pPr>
            <w:r w:rsidRPr="008B1715">
              <w:t>43.8</w:t>
            </w:r>
          </w:p>
        </w:tc>
      </w:tr>
      <w:tr w:rsidR="001F5702" w:rsidRPr="008B1715" w:rsidTr="008B1715">
        <w:tc>
          <w:tcPr>
            <w:tcW w:w="4111" w:type="dxa"/>
            <w:tcBorders>
              <w:top w:val="nil"/>
              <w:left w:val="nil"/>
              <w:bottom w:val="single" w:sz="4" w:space="0" w:color="auto"/>
              <w:right w:val="nil"/>
            </w:tcBorders>
          </w:tcPr>
          <w:p w:rsidR="001F5702" w:rsidRPr="008B1715" w:rsidRDefault="001F5702" w:rsidP="008B1715">
            <w:pPr>
              <w:pStyle w:val="Tabletext"/>
            </w:pPr>
            <w:r w:rsidRPr="008B1715">
              <w:t>ACT</w:t>
            </w:r>
          </w:p>
        </w:tc>
        <w:tc>
          <w:tcPr>
            <w:tcW w:w="935" w:type="dxa"/>
            <w:tcBorders>
              <w:top w:val="nil"/>
              <w:left w:val="nil"/>
              <w:bottom w:val="single" w:sz="4" w:space="0" w:color="auto"/>
              <w:right w:val="nil"/>
            </w:tcBorders>
          </w:tcPr>
          <w:p w:rsidR="001F5702" w:rsidRPr="008B1715" w:rsidRDefault="001F5702" w:rsidP="008B1715">
            <w:pPr>
              <w:pStyle w:val="Tabletext"/>
              <w:tabs>
                <w:tab w:val="decimal" w:pos="425"/>
              </w:tabs>
            </w:pPr>
            <w:r w:rsidRPr="008B1715">
              <w:t>72.9</w:t>
            </w:r>
          </w:p>
        </w:tc>
        <w:tc>
          <w:tcPr>
            <w:tcW w:w="936" w:type="dxa"/>
            <w:tcBorders>
              <w:top w:val="nil"/>
              <w:left w:val="nil"/>
              <w:bottom w:val="single" w:sz="4" w:space="0" w:color="auto"/>
              <w:right w:val="nil"/>
            </w:tcBorders>
          </w:tcPr>
          <w:p w:rsidR="001F5702" w:rsidRPr="008B1715" w:rsidRDefault="001F5702" w:rsidP="008B1715">
            <w:pPr>
              <w:pStyle w:val="Tabletext"/>
              <w:tabs>
                <w:tab w:val="decimal" w:pos="425"/>
              </w:tabs>
            </w:pPr>
            <w:r w:rsidRPr="008B1715">
              <w:t>70.2</w:t>
            </w:r>
          </w:p>
        </w:tc>
        <w:tc>
          <w:tcPr>
            <w:tcW w:w="935" w:type="dxa"/>
            <w:tcBorders>
              <w:top w:val="nil"/>
              <w:left w:val="nil"/>
              <w:bottom w:val="single" w:sz="4" w:space="0" w:color="auto"/>
              <w:right w:val="nil"/>
            </w:tcBorders>
          </w:tcPr>
          <w:p w:rsidR="001F5702" w:rsidRPr="008B1715" w:rsidRDefault="001F5702" w:rsidP="008B1715">
            <w:pPr>
              <w:pStyle w:val="Tabletext"/>
              <w:tabs>
                <w:tab w:val="decimal" w:pos="425"/>
              </w:tabs>
            </w:pPr>
            <w:r w:rsidRPr="008B1715">
              <w:t>69.9</w:t>
            </w:r>
          </w:p>
        </w:tc>
        <w:tc>
          <w:tcPr>
            <w:tcW w:w="936" w:type="dxa"/>
            <w:tcBorders>
              <w:top w:val="nil"/>
              <w:left w:val="nil"/>
              <w:bottom w:val="single" w:sz="4" w:space="0" w:color="auto"/>
              <w:right w:val="nil"/>
            </w:tcBorders>
          </w:tcPr>
          <w:p w:rsidR="001F5702" w:rsidRPr="008B1715" w:rsidRDefault="001F5702" w:rsidP="008B1715">
            <w:pPr>
              <w:pStyle w:val="Tabletext"/>
              <w:tabs>
                <w:tab w:val="decimal" w:pos="425"/>
              </w:tabs>
            </w:pPr>
            <w:r w:rsidRPr="008B1715">
              <w:t>77.4</w:t>
            </w:r>
          </w:p>
        </w:tc>
        <w:tc>
          <w:tcPr>
            <w:tcW w:w="936" w:type="dxa"/>
            <w:tcBorders>
              <w:top w:val="nil"/>
              <w:left w:val="nil"/>
              <w:bottom w:val="single" w:sz="4" w:space="0" w:color="auto"/>
              <w:right w:val="nil"/>
            </w:tcBorders>
          </w:tcPr>
          <w:p w:rsidR="001F5702" w:rsidRPr="008B1715" w:rsidRDefault="001F5702" w:rsidP="008B1715">
            <w:pPr>
              <w:pStyle w:val="Tabletext"/>
              <w:tabs>
                <w:tab w:val="decimal" w:pos="425"/>
              </w:tabs>
            </w:pPr>
            <w:r w:rsidRPr="008B1715">
              <w:t>76.0</w:t>
            </w:r>
          </w:p>
        </w:tc>
      </w:tr>
    </w:tbl>
    <w:p w:rsidR="001F5702" w:rsidRDefault="008B1715" w:rsidP="008B1715">
      <w:pPr>
        <w:pStyle w:val="Source"/>
      </w:pPr>
      <w:r>
        <w:t>Note:</w:t>
      </w:r>
      <w:r>
        <w:tab/>
      </w:r>
      <w:r w:rsidR="001F5702">
        <w:t xml:space="preserve">Census estimates are of ‘Reported completion of Year 12’, not received a Year 12 certificate. From table 4, estimates of this concept of completion are about 4 to 5 percentage points higher than ‘Received a Year 12 Certificate’ in LSAY and YIF. </w:t>
      </w:r>
    </w:p>
    <w:p w:rsidR="001F5702" w:rsidRDefault="001F5702" w:rsidP="001F5702">
      <w:pPr>
        <w:spacing w:before="0"/>
        <w:rPr>
          <w:rFonts w:ascii="Garamond" w:hAnsi="Garamond"/>
          <w:kern w:val="28"/>
          <w:sz w:val="60"/>
        </w:rPr>
      </w:pPr>
      <w:r>
        <w:rPr>
          <w:rFonts w:ascii="Garamond" w:hAnsi="Garamond"/>
          <w:kern w:val="28"/>
          <w:sz w:val="60"/>
        </w:rPr>
        <w:br w:type="page"/>
      </w:r>
    </w:p>
    <w:p w:rsidR="001F5702" w:rsidRDefault="001F5702" w:rsidP="002B0A20">
      <w:pPr>
        <w:pStyle w:val="Heading1"/>
        <w:spacing w:after="320"/>
      </w:pPr>
      <w:bookmarkStart w:id="74" w:name="_Toc274390652"/>
      <w:bookmarkStart w:id="75" w:name="_Toc318282965"/>
      <w:bookmarkStart w:id="76" w:name="_Toc324765877"/>
      <w:r>
        <w:lastRenderedPageBreak/>
        <w:t>Multivariate analysis</w:t>
      </w:r>
      <w:bookmarkEnd w:id="74"/>
      <w:bookmarkEnd w:id="75"/>
      <w:bookmarkEnd w:id="76"/>
    </w:p>
    <w:p w:rsidR="001F5702" w:rsidRDefault="001F5702" w:rsidP="001F5702">
      <w:pPr>
        <w:pStyle w:val="Text"/>
      </w:pPr>
      <w:bookmarkStart w:id="77" w:name="_Toc242601222"/>
      <w:r>
        <w:t xml:space="preserve">This section presents the results of the econometric analysis of the impact of disadvantage and other factors on school completion. The school completion dependent variable takes the value 1 if the respondent had a Year 12 certificate by 2006 and 0 otherwise. A broad range of demographic, family background, school and locality characteristics that may determine a young person’s completion of school are jointly taken into account in estimating the impact of disadvantage. The results of </w:t>
      </w:r>
      <w:proofErr w:type="spellStart"/>
      <w:r>
        <w:t>probit</w:t>
      </w:r>
      <w:proofErr w:type="spellEnd"/>
      <w:r>
        <w:t xml:space="preserve"> models that take account of the discrete nature of the dependent variable are reported here. To aid interpretation of the results, the ‘marginal effects’ of the explanatory variables on school completion are calculated and reported. These measure the percentage-point change in the probability of Year</w:t>
      </w:r>
      <w:r w:rsidR="00723990">
        <w:t> </w:t>
      </w:r>
      <w:r>
        <w:t xml:space="preserve">12 completion in response to </w:t>
      </w:r>
      <w:r w:rsidR="00A05A99">
        <w:t xml:space="preserve">a </w:t>
      </w:r>
      <w:r>
        <w:t>one</w:t>
      </w:r>
      <w:r w:rsidR="00A05A99">
        <w:t>-</w:t>
      </w:r>
      <w:r>
        <w:t xml:space="preserve">unit change in any explanatory variable, while holding other explanatory variables constant. </w:t>
      </w:r>
    </w:p>
    <w:p w:rsidR="001F5702" w:rsidRDefault="001F5702" w:rsidP="001F5702">
      <w:pPr>
        <w:pStyle w:val="Text"/>
      </w:pPr>
      <w:r>
        <w:t xml:space="preserve">The results based on YIF and Y03 data are presented separately. First, the contribution of factors which are common to YIF and Y03 to Year 12 completion is analysed. Second, the factors reflecting disadvantage that are unique to each of the datasets are added to the analysis and their role in explaining school completion, as well as their impact on the magnitude of factors already included in the model, are discussed. This allows for discussion of the relative importance of alternative measures of disadvantage in the two datasets in explaining Year 12 completion, as measured by possession of a Year 12 certificate. </w:t>
      </w:r>
    </w:p>
    <w:p w:rsidR="001F5702" w:rsidRDefault="001F5702" w:rsidP="001F5702">
      <w:pPr>
        <w:pStyle w:val="Heading2"/>
      </w:pPr>
      <w:bookmarkStart w:id="78" w:name="_Toc274390653"/>
      <w:bookmarkStart w:id="79" w:name="_Toc318282966"/>
      <w:bookmarkStart w:id="80" w:name="_Toc324765878"/>
      <w:r>
        <w:t>The role of factors common to the two datasets</w:t>
      </w:r>
      <w:bookmarkEnd w:id="78"/>
      <w:bookmarkEnd w:id="79"/>
      <w:bookmarkEnd w:id="80"/>
    </w:p>
    <w:p w:rsidR="001F5702" w:rsidRDefault="001F5702" w:rsidP="001F5702">
      <w:pPr>
        <w:pStyle w:val="Text"/>
      </w:pPr>
      <w:r>
        <w:t>The marginal effects of the explanatory variables on Year 12 completion, which measure the percentage</w:t>
      </w:r>
      <w:r w:rsidR="00A05A99">
        <w:t>-</w:t>
      </w:r>
      <w:r>
        <w:t>point change in the probability of Year 12 completion associated with a one</w:t>
      </w:r>
      <w:r w:rsidR="00A05A99">
        <w:t>-</w:t>
      </w:r>
      <w:r>
        <w:t>unit increase in each of the explanatory variables, are presented in tables 9 to 11. The results for the YIF data appear in table 9, for the Y03 sample that matches the YIF cohort in table 10</w:t>
      </w:r>
      <w:r w:rsidR="00A05A99">
        <w:t>,</w:t>
      </w:r>
      <w:r>
        <w:t xml:space="preserve"> and for the</w:t>
      </w:r>
      <w:r w:rsidRPr="001E6380">
        <w:t xml:space="preserve"> </w:t>
      </w:r>
      <w:r>
        <w:t xml:space="preserve">full LSAY cohort in table 11. </w:t>
      </w:r>
      <w:proofErr w:type="gramStart"/>
      <w:r w:rsidRPr="009A6959">
        <w:t xml:space="preserve">The </w:t>
      </w:r>
      <w:r>
        <w:t>first numerical column of tables 9</w:t>
      </w:r>
      <w:r w:rsidR="00682BE0">
        <w:t>—</w:t>
      </w:r>
      <w:r>
        <w:t>11 display</w:t>
      </w:r>
      <w:r w:rsidR="00A05A99">
        <w:t>s</w:t>
      </w:r>
      <w:r>
        <w:t xml:space="preserve"> the regression results that include the list of controls common to the two datasets</w:t>
      </w:r>
      <w:r w:rsidR="00A05A99">
        <w:t xml:space="preserve"> (model 1)</w:t>
      </w:r>
      <w:r>
        <w:t>.</w:t>
      </w:r>
      <w:proofErr w:type="gramEnd"/>
      <w:r>
        <w:t xml:space="preserve"> For </w:t>
      </w:r>
      <w:r w:rsidR="00A05A99">
        <w:t xml:space="preserve">the </w:t>
      </w:r>
      <w:r>
        <w:t xml:space="preserve">purposes of comparison of the results across Y03 and YIF, the discussion of the former is based on table 10, which reports the results for the sub-sample of respondents who were born in the same months as the YIF cohort. </w:t>
      </w:r>
    </w:p>
    <w:p w:rsidR="001F5702" w:rsidRDefault="001F5702" w:rsidP="00723990">
      <w:pPr>
        <w:pStyle w:val="Text"/>
        <w:ind w:right="-9"/>
      </w:pPr>
      <w:r>
        <w:t>The factors with a statistically significant impact on school completion in both datasets include gender, number of siblings, household structure, school type, the occupational status of respondents’</w:t>
      </w:r>
      <w:r w:rsidR="00723990">
        <w:t> </w:t>
      </w:r>
      <w:r>
        <w:t xml:space="preserve">parents and the self-assessed school performance of individuals. The magnitudes and the signs of the coefficients across the two datasets are similar in most cases and in line with the results of previous studies. </w:t>
      </w:r>
    </w:p>
    <w:p w:rsidR="001F5702" w:rsidRDefault="001F5702" w:rsidP="001F5702">
      <w:pPr>
        <w:pStyle w:val="Text"/>
      </w:pPr>
      <w:r>
        <w:t xml:space="preserve">The results confirm lower school completion by males in both datasets, of the order of nine to ten percentage points. Growing up in a household with a larger number of siblings is negatively associated with school completion. The probability of Year 12 completion decreases by one to two percentage points for each additional sibling. Respondents from two-parent household have higher probabilities of school completion than do respondents from single-parent households. This difference is ten percentage points in the YIF and 11 percentage points in the Y03 results. The probability of school completion increases for respondents with parents employed in higher-status occupations. From the bottom to the top of the status scale, the magnitudes are of the order of a 12-percentage-point increase in the probability in the YIF data and 15 percentage points in Y03. </w:t>
      </w:r>
    </w:p>
    <w:p w:rsidR="001F5702" w:rsidRDefault="001F5702" w:rsidP="001F5702">
      <w:pPr>
        <w:pStyle w:val="Text"/>
      </w:pPr>
      <w:r>
        <w:lastRenderedPageBreak/>
        <w:t xml:space="preserve">Respondents from Catholic or independent schools are more likely to complete Year 12 than those in government schools. As the YIF results indicate, the differences between government and Catholic and independent schools are of the order of nine and eight percentage points, respectively. Based on Y03 results, the differences are four and three percentage points, respectively. These are somewhat smaller effects than the apparent differences reported in table 7 and smaller than estimates reported in previous studies. For example, </w:t>
      </w:r>
      <w:r w:rsidR="00A865E4">
        <w:fldChar w:fldCharType="begin"/>
      </w:r>
      <w:r>
        <w:instrText xml:space="preserve"> ADDIN EN.CITE &lt;EndNote&gt;&lt;Cite&gt;&lt;Author&gt;Williams&lt;/Author&gt;&lt;Year&gt;1990&lt;/Year&gt;&lt;RecNum&gt;120&lt;/RecNum&gt;&lt;record&gt;&lt;rec-number&gt;120&lt;/rec-number&gt;&lt;foreign-keys&gt;&lt;key app="EN" db-id="0sp9t02ao2s908er5duvztshees9x25szs2d"&gt;120&lt;/key&gt;&lt;/foreign-keys&gt;&lt;ref-type name="Journal Article"&gt;17&lt;/ref-type&gt;&lt;contributors&gt;&lt;authors&gt;&lt;author&gt;Williams, Trevor&lt;/author&gt;&lt;author&gt;Carpenter, Peter&lt;/author&gt;&lt;/authors&gt;&lt;/contributors&gt;&lt;titles&gt;&lt;title&gt;Private schooling and public achievement&lt;/title&gt;&lt;secondary-title&gt;Australian journal of education&lt;/secondary-title&gt;&lt;/titles&gt;&lt;periodical&gt;&lt;full-title&gt;Australian journal of education&lt;/full-title&gt;&lt;/periodical&gt;&lt;pages&gt;3-24&lt;/pages&gt;&lt;volume&gt;34&lt;/volume&gt;&lt;number&gt;1&lt;/number&gt;&lt;dates&gt;&lt;year&gt;1990&lt;/year&gt;&lt;/dates&gt;&lt;urls&gt;&lt;/urls&gt;&lt;/record&gt;&lt;/Cite&gt;&lt;/EndNote&gt;</w:instrText>
      </w:r>
      <w:r w:rsidR="00A865E4">
        <w:fldChar w:fldCharType="separate"/>
      </w:r>
      <w:r>
        <w:t>Williams and Carpenter (1990</w:t>
      </w:r>
      <w:r w:rsidR="00A865E4">
        <w:fldChar w:fldCharType="end"/>
      </w:r>
      <w:r>
        <w:t>) report 14</w:t>
      </w:r>
      <w:r w:rsidR="00A05A99">
        <w:t>-</w:t>
      </w:r>
      <w:r>
        <w:t xml:space="preserve"> and 58</w:t>
      </w:r>
      <w:r w:rsidR="00A05A99">
        <w:t>-</w:t>
      </w:r>
      <w:r>
        <w:t xml:space="preserve">percentage point difference between government and Catholic and independent schools respectively for a cohort born in 1961. After adjustment for between-sector differences in student attributes, the differences were five and 31 percentage points respectively. </w:t>
      </w:r>
      <w:r w:rsidR="00A865E4">
        <w:fldChar w:fldCharType="begin"/>
      </w:r>
      <w:r>
        <w:instrText xml:space="preserve"> ADDIN EN.CITE &lt;EndNote&gt;&lt;Cite&gt;&lt;Author&gt;Long&lt;/Author&gt;&lt;Year&gt;1999&lt;/Year&gt;&lt;RecNum&gt;29&lt;/RecNum&gt;&lt;record&gt;&lt;rec-number&gt;29&lt;/rec-number&gt;&lt;foreign-keys&gt;&lt;key app="EN" db-id="0sp9t02ao2s908er5duvztshees9x25szs2d"&gt;29&lt;/key&gt;&lt;/foreign-keys&gt;&lt;ref-type name="Report"&gt;27&lt;/ref-type&gt;&lt;contributors&gt;&lt;authors&gt;&lt;author&gt;&lt;style face="normal" font="default" size="11"&gt;Long, Michael &lt;/style&gt;&lt;/author&gt;&lt;author&gt;&lt;style face="normal" font="default" size="11"&gt;Carpenter, Peter &lt;/style&gt;&lt;/author&gt;&lt;author&gt;&lt;style face="normal" font="default" size="11"&gt;Hayden, Martin &lt;/style&gt;&lt;/author&gt;&lt;/authors&gt;&lt;/contributors&gt;&lt;titles&gt;&lt;title&gt;Participation in Education and Training&lt;/title&gt;&lt;secondary-title&gt;LSAY Research Report&lt;/secondary-title&gt;&lt;/titles&gt;&lt;volume&gt;13&lt;/volume&gt;&lt;dates&gt;&lt;year&gt;1999&lt;/year&gt;&lt;/dates&gt;&lt;pub-location&gt;Melbourne&lt;/pub-location&gt;&lt;publisher&gt;&lt;style face="normal" font="default" size="11"&gt;Australian Council for Educational Research&lt;/style&gt;&lt;/publisher&gt;&lt;urls&gt;&lt;/urls&gt;&lt;/record&gt;&lt;/Cite&gt;&lt;/EndNote&gt;</w:instrText>
      </w:r>
      <w:r w:rsidR="00A865E4">
        <w:fldChar w:fldCharType="separate"/>
      </w:r>
      <w:r>
        <w:t>Long, Carpenter and Hayden (1999</w:t>
      </w:r>
      <w:r w:rsidR="00A865E4">
        <w:fldChar w:fldCharType="end"/>
      </w:r>
      <w:r>
        <w:t>) report the same observed differences between government and Catholic and independent schools for the 1961 cohort. Differences between the sectors, while smaller</w:t>
      </w:r>
      <w:r w:rsidRPr="00203D42">
        <w:t xml:space="preserve"> </w:t>
      </w:r>
      <w:r>
        <w:t xml:space="preserve">for later cohorts, remained sizeable; for example, nine and 22 percentage points for a cohort born in 1975. However, adjusting the completion rates for student background attributes reduces the observed differences between government and Catholic and independent schools to the order of three and eight percentage points respectively. As a result of further adjustment for differences in post-school expectations, </w:t>
      </w:r>
      <w:r w:rsidR="00A865E4">
        <w:fldChar w:fldCharType="begin"/>
      </w:r>
      <w:r>
        <w:instrText xml:space="preserve"> ADDIN EN.CITE &lt;EndNote&gt;&lt;Cite&gt;&lt;Author&gt;Long&lt;/Author&gt;&lt;Year&gt;1999&lt;/Year&gt;&lt;RecNum&gt;29&lt;/RecNum&gt;&lt;record&gt;&lt;rec-number&gt;29&lt;/rec-number&gt;&lt;foreign-keys&gt;&lt;key app="EN" db-id="0sp9t02ao2s908er5duvztshees9x25szs2d"&gt;29&lt;/key&gt;&lt;/foreign-keys&gt;&lt;ref-type name="Report"&gt;27&lt;/ref-type&gt;&lt;contributors&gt;&lt;authors&gt;&lt;author&gt;&lt;style face="normal" font="default" size="11"&gt;Long, Michael &lt;/style&gt;&lt;/author&gt;&lt;author&gt;&lt;style face="normal" font="default" size="11"&gt;Carpenter, Peter &lt;/style&gt;&lt;/author&gt;&lt;author&gt;&lt;style face="normal" font="default" size="11"&gt;Hayden, Martin &lt;/style&gt;&lt;/author&gt;&lt;/authors&gt;&lt;/contributors&gt;&lt;titles&gt;&lt;title&gt;Participation in Education and Training&lt;/title&gt;&lt;secondary-title&gt;LSAY Research Report&lt;/secondary-title&gt;&lt;/titles&gt;&lt;volume&gt;13&lt;/volume&gt;&lt;dates&gt;&lt;year&gt;1999&lt;/year&gt;&lt;/dates&gt;&lt;pub-location&gt;Melbourne&lt;/pub-location&gt;&lt;publisher&gt;&lt;style face="normal" font="default" size="11"&gt;Australian Council for Educational Research&lt;/style&gt;&lt;/publisher&gt;&lt;urls&gt;&lt;/urls&gt;&lt;/record&gt;&lt;/Cite&gt;&lt;/EndNote&gt;</w:instrText>
      </w:r>
      <w:r w:rsidR="00A865E4">
        <w:fldChar w:fldCharType="separate"/>
      </w:r>
      <w:r w:rsidR="00A865E4">
        <w:fldChar w:fldCharType="begin"/>
      </w:r>
      <w:r>
        <w:instrText xml:space="preserve"> ADDIN EN.CITE &lt;EndNote&gt;&lt;Cite&gt;&lt;Author&gt;Long&lt;/Author&gt;&lt;Year&gt;1999&lt;/Year&gt;&lt;RecNum&gt;29&lt;/RecNum&gt;&lt;record&gt;&lt;rec-number&gt;29&lt;/rec-number&gt;&lt;foreign-keys&gt;&lt;key app="EN" db-id="0sp9t02ao2s908er5duvztshees9x25szs2d"&gt;29&lt;/key&gt;&lt;/foreign-keys&gt;&lt;ref-type name="Report"&gt;27&lt;/ref-type&gt;&lt;contributors&gt;&lt;authors&gt;&lt;author&gt;&lt;style face="normal" font="default" size="11"&gt;Long, Michael &lt;/style&gt;&lt;/author&gt;&lt;author&gt;&lt;style face="normal" font="default" size="11"&gt;Carpenter, Peter &lt;/style&gt;&lt;/author&gt;&lt;author&gt;&lt;style face="normal" font="default" size="11"&gt;Hayden, Martin &lt;/style&gt;&lt;/author&gt;&lt;/authors&gt;&lt;/contributors&gt;&lt;titles&gt;&lt;title&gt;Participation in Education and Training&lt;/title&gt;&lt;secondary-title&gt;LSAY Research Report&lt;/secondary-title&gt;&lt;/titles&gt;&lt;volume&gt;13&lt;/volume&gt;&lt;dates&gt;&lt;year&gt;1999&lt;/year&gt;&lt;/dates&gt;&lt;pub-location&gt;Melbourne&lt;/pub-location&gt;&lt;publisher&gt;&lt;style face="normal" font="default" size="11"&gt;Australian Council for Educational Research&lt;/style&gt;&lt;/publisher&gt;&lt;urls&gt;&lt;/urls&gt;&lt;/record&gt;&lt;/Cite&gt;&lt;/EndNote&gt;</w:instrText>
      </w:r>
      <w:r w:rsidR="00A865E4">
        <w:fldChar w:fldCharType="separate"/>
      </w:r>
      <w:r>
        <w:t>Long, Carpenter and Hayden (1999</w:t>
      </w:r>
      <w:r w:rsidR="00A865E4">
        <w:fldChar w:fldCharType="end"/>
      </w:r>
      <w:r>
        <w:t xml:space="preserve">) </w:t>
      </w:r>
      <w:r w:rsidR="00A865E4">
        <w:fldChar w:fldCharType="end"/>
      </w:r>
      <w:r>
        <w:t xml:space="preserve">reported differences of one and six percentage points respectively. </w:t>
      </w:r>
    </w:p>
    <w:p w:rsidR="001F5702" w:rsidRDefault="001F5702" w:rsidP="004A06F1">
      <w:pPr>
        <w:pStyle w:val="Text"/>
        <w:spacing w:before="120"/>
        <w:ind w:right="0"/>
      </w:pPr>
      <w:r>
        <w:t>In addition, respondents who report performance of average or below at school have a much lower probability of school completion than those with a performance that is well above average. The difference in completion between those with well-above-average self-assessed school performance status and those with better-than-average status is 13 percentage points (four percentage points in Y03). Further differences between well-above-average and average and below-average status are associated with decreases of 29 and 68 percentage points (14 and 37 percentage points) respectively. Like the earlier results, the differences in these reports between self-assessed categories have a much greater impact on Year 12 completion in the YIF data than is the case for Y03.</w:t>
      </w:r>
    </w:p>
    <w:p w:rsidR="001F5702" w:rsidRDefault="001F5702" w:rsidP="004A06F1">
      <w:pPr>
        <w:pStyle w:val="Text"/>
        <w:spacing w:before="120"/>
        <w:ind w:right="0"/>
      </w:pPr>
      <w:r>
        <w:t xml:space="preserve">Finally, in both datasets, respondents residing in Queensland exhibit higher and those in Tasmania lower propensities to complete school than do residents in New South Wales. </w:t>
      </w:r>
    </w:p>
    <w:p w:rsidR="001F5702" w:rsidRDefault="001F5702" w:rsidP="004A06F1">
      <w:pPr>
        <w:pStyle w:val="Text"/>
        <w:spacing w:before="120"/>
        <w:ind w:right="0"/>
      </w:pPr>
      <w:r>
        <w:t xml:space="preserve">Additional factors of statistical significance for school completion in YIF include Indigenous status, respondent’s father’s post-secondary qualification and being born overseas (in the full Y03 sample maternal post-secondary qualification and non-English speaking birthplace were positively associated with school completion). According to the YIF results, Indigenous status is associated with a </w:t>
      </w:r>
      <w:r w:rsidR="00723990">
        <w:br/>
      </w:r>
      <w:r>
        <w:t xml:space="preserve">23-percentage point lower propensity to complete Year 12, while it made no difference for completion in the Y03 results, consistent with the patterns in the data discussed in the previous chapter. In addition, Year 12 completion probability of respondents whose fathers possess a post-secondary degree is five percentage points higher than that of those whose fathers have a lower educational qualification. In the full Y03 sample the respondent’s mother possessing a degree is what matters for school completion, leading to an increase of four percentage points in the probability of Year 12 completion. Being born in an overseas English-speaking country is associated with a decrease in the probability of Year 12 completion by 15 percentage points. On the other hand, being born in a non-English speaking country is associated with an increase in the probability of Year 12 completion by ten percentage points (eight percentage points in the full Y03 sample). Finally in the Y03 </w:t>
      </w:r>
      <w:proofErr w:type="gramStart"/>
      <w:r>
        <w:t>results, living in a major city is</w:t>
      </w:r>
      <w:proofErr w:type="gramEnd"/>
      <w:r>
        <w:t xml:space="preserve"> associated with a five percentage points higher probability of school completion than living elsewhere. </w:t>
      </w:r>
    </w:p>
    <w:p w:rsidR="001F5702" w:rsidRDefault="001F5702" w:rsidP="004A06F1">
      <w:pPr>
        <w:pStyle w:val="Text"/>
        <w:spacing w:before="120"/>
        <w:ind w:right="0"/>
      </w:pPr>
      <w:r>
        <w:t xml:space="preserve">Overall, the explanatory power and nature of the characteristics shared across two datasets </w:t>
      </w:r>
      <w:proofErr w:type="spellStart"/>
      <w:r>
        <w:t>vis</w:t>
      </w:r>
      <w:proofErr w:type="spellEnd"/>
      <w:r>
        <w:t>-a-</w:t>
      </w:r>
      <w:proofErr w:type="spellStart"/>
      <w:r>
        <w:t>vis</w:t>
      </w:r>
      <w:proofErr w:type="spellEnd"/>
      <w:r>
        <w:t xml:space="preserve"> school completion is highly comparable in most cases, with the exceptions discussed. The most notable of these exceptions is the Indigenous gap apparent in the YIF, but not the LSAY, data. The contributions of factors unique to each of the datasets are analysed next.</w:t>
      </w:r>
    </w:p>
    <w:p w:rsidR="001F5702" w:rsidRDefault="001F5702" w:rsidP="00A05A99">
      <w:pPr>
        <w:pStyle w:val="Heading2"/>
      </w:pPr>
      <w:bookmarkStart w:id="81" w:name="_Toc324765879"/>
      <w:r w:rsidRPr="004F7B4F">
        <w:lastRenderedPageBreak/>
        <w:t>Contribution of additional factors</w:t>
      </w:r>
      <w:bookmarkEnd w:id="81"/>
      <w:r w:rsidR="00A05A99" w:rsidRPr="00A05A99">
        <w:t xml:space="preserve"> </w:t>
      </w:r>
      <w:r w:rsidR="00A05A99" w:rsidRPr="004F7B4F">
        <w:t>specific</w:t>
      </w:r>
      <w:r w:rsidR="00A05A99">
        <w:t xml:space="preserve"> to </w:t>
      </w:r>
      <w:r w:rsidR="00A57C1F">
        <w:t xml:space="preserve">the </w:t>
      </w:r>
      <w:r w:rsidR="00A05A99">
        <w:t>datasets</w:t>
      </w:r>
    </w:p>
    <w:p w:rsidR="001F5702" w:rsidRPr="00267B57" w:rsidRDefault="001F5702" w:rsidP="00A05A99">
      <w:pPr>
        <w:pStyle w:val="Heading3"/>
      </w:pPr>
      <w:bookmarkStart w:id="82" w:name="_Toc274390654"/>
      <w:bookmarkStart w:id="83" w:name="_Toc318282967"/>
      <w:bookmarkStart w:id="84" w:name="_Toc324765880"/>
      <w:r w:rsidRPr="00267B57">
        <w:t>Youth in Focus</w:t>
      </w:r>
      <w:bookmarkEnd w:id="82"/>
      <w:r>
        <w:t xml:space="preserve"> </w:t>
      </w:r>
      <w:r w:rsidRPr="00723990">
        <w:t>results</w:t>
      </w:r>
      <w:bookmarkEnd w:id="83"/>
      <w:bookmarkEnd w:id="84"/>
    </w:p>
    <w:p w:rsidR="001F5702" w:rsidRDefault="001F5702" w:rsidP="001F5702">
      <w:pPr>
        <w:pStyle w:val="Text"/>
      </w:pPr>
      <w:r>
        <w:t>This section considers the contribution of the additional variables that reflect aspects of disadvantage and which are unique to each of the datasets. T</w:t>
      </w:r>
      <w:r w:rsidRPr="009A6959">
        <w:t xml:space="preserve">he </w:t>
      </w:r>
      <w:r>
        <w:t>groups of factors unique to YIF and linked to school completion include family income, income support</w:t>
      </w:r>
      <w:r w:rsidRPr="008A1A72">
        <w:t xml:space="preserve"> </w:t>
      </w:r>
      <w:r>
        <w:t>history, parental marital histories, parental involvement with the schools of their child, details of schooling experiences and young people’s engagement in risky activities. Models 2</w:t>
      </w:r>
      <w:r w:rsidR="00682BE0">
        <w:t>—</w:t>
      </w:r>
      <w:r>
        <w:t xml:space="preserve">7 incorporate the contribution of those groups of factors sequentially into the analysis of school completion and are reported in table 9. The set of variables presented and the order in which they are included in the regression equation sequentially reflect their ‘proximity’ to the concept of disadvantage. Low levels of family income will correspond to access to low levels of material resources in families to support the academic (and other forms of) child development. Extended histories of reliance on income support will also point to histories of limited access to material resources and possibly exposure to other dimensions of disadvantage. Other factors towards the end of the list of variables will tend to be the reflection of disadvantage as it affects education, such as school suspensions, high numbers of schools attended and later involvement in risky or anti-social behaviour by young people. These are likely to be the consequences of young people’s earlier experience of disadvantage. </w:t>
      </w:r>
    </w:p>
    <w:p w:rsidR="001F5702" w:rsidRDefault="001F5702" w:rsidP="001F5702">
      <w:pPr>
        <w:pStyle w:val="Text"/>
      </w:pPr>
      <w:r>
        <w:t xml:space="preserve">The impact of family income on school completion is positive and significant as column 2 of table 9 demonstrates, but quite small. The probability of Year 12 completion increases by 0.05 percentage points with additional family income of one thousand dollars. Model 3 adds three measures of </w:t>
      </w:r>
      <w:r w:rsidR="00AE1DA5">
        <w:t xml:space="preserve">income support </w:t>
      </w:r>
      <w:r>
        <w:t xml:space="preserve">history into the analysis. The coefficients on two of these measures are negative, in line with previous studies that found a negative impact of welfare programs on school attainment (for example, </w:t>
      </w:r>
      <w:r w:rsidR="00A865E4">
        <w:fldChar w:fldCharType="begin"/>
      </w:r>
      <w:r>
        <w:instrText xml:space="preserve"> ADDIN EN.CITE &lt;EndNote&gt;&lt;Cite&gt;&lt;Author&gt;Barón&lt;/Author&gt;&lt;Year&gt;2009&lt;/Year&gt;&lt;RecNum&gt;114&lt;/RecNum&gt;&lt;record&gt;&lt;rec-number&gt;114&lt;/rec-number&gt;&lt;foreign-keys&gt;&lt;key app="EN" db-id="0sp9t02ao2s908er5duvztshees9x25szs2d"&gt;114&lt;/key&gt;&lt;/foreign-keys&gt;&lt;ref-type name="Journal Article"&gt;17&lt;/ref-type&gt;&lt;contributors&gt;&lt;authors&gt;&lt;author&gt;Barón, Juan D. &lt;/author&gt;&lt;/authors&gt;&lt;/contributors&gt;&lt;titles&gt;&lt;title&gt;Exploring the Factors Associated with Youths’ Educational Outcomes: The Role of Locus of Control and Parental Socio-Economic Background&lt;/title&gt;&lt;secondary-title&gt;Centre for Economic Policy Research Discussion Paper&lt;/secondary-title&gt;&lt;/titles&gt;&lt;volume&gt;598&lt;/volume&gt;&lt;dates&gt;&lt;year&gt;2009&lt;/year&gt;&lt;/dates&gt;&lt;pub-location&gt;Canberra&lt;/pub-location&gt;&lt;publisher&gt;Australian National University&lt;/publisher&gt;&lt;urls&gt;&lt;/urls&gt;&lt;/record&gt;&lt;/Cite&gt;&lt;/EndNote&gt;</w:instrText>
      </w:r>
      <w:r w:rsidR="00A865E4">
        <w:fldChar w:fldCharType="separate"/>
      </w:r>
      <w:r>
        <w:t>Barón 2009</w:t>
      </w:r>
      <w:r w:rsidR="00A865E4">
        <w:fldChar w:fldCharType="end"/>
      </w:r>
      <w:r>
        <w:t xml:space="preserve">; </w:t>
      </w:r>
      <w:r w:rsidR="00A865E4">
        <w:fldChar w:fldCharType="begin"/>
      </w:r>
      <w:r>
        <w:instrText xml:space="preserve"> ADDIN EN.CITE &lt;EndNote&gt;&lt;Cite&gt;&lt;Author&gt;Haveman&lt;/Author&gt;&lt;Year&gt;1991&lt;/Year&gt;&lt;RecNum&gt;61&lt;/RecNum&gt;&lt;record&gt;&lt;rec-number&gt;61&lt;/rec-number&gt;&lt;foreign-keys&gt;&lt;key app="EN" db-id="0sp9t02ao2s908er5duvztshees9x25szs2d"&gt;61&lt;/key&gt;&lt;/foreign-keys&gt;&lt;ref-type name="Journal Article"&gt;17&lt;/ref-type&gt;&lt;contributors&gt;&lt;authors&gt;&lt;author&gt;Haveman, Robert&lt;/author&gt;&lt;author&gt;Wolfe, Barbara&lt;/author&gt;&lt;author&gt;Spaulding, James&lt;/author&gt;&lt;/authors&gt;&lt;/contributors&gt;&lt;titles&gt;&lt;title&gt;Childhood Events and Circumstances Influencing High School Completion&lt;/title&gt;&lt;secondary-title&gt;Demography&lt;/secondary-title&gt;&lt;/titles&gt;&lt;periodical&gt;&lt;full-title&gt;Demography&lt;/full-title&gt;&lt;/periodical&gt;&lt;pages&gt;133-157&lt;/pages&gt;&lt;volume&gt;28&lt;/volume&gt;&lt;number&gt;1&lt;/number&gt;&lt;dates&gt;&lt;year&gt;1991&lt;/year&gt;&lt;/dates&gt;&lt;publisher&gt;Population Association of America&lt;/publisher&gt;&lt;isbn&gt;00703370&lt;/isbn&gt;&lt;urls&gt;&lt;related-urls&gt;&lt;url&gt;http://www.jstor.org/stable/2061340&lt;/url&gt;&lt;/related-urls&gt;&lt;/urls&gt;&lt;/record&gt;&lt;/Cite&gt;&lt;/EndNote&gt;</w:instrText>
      </w:r>
      <w:r w:rsidR="00A865E4">
        <w:fldChar w:fldCharType="separate"/>
      </w:r>
      <w:r>
        <w:t>Haveman, Wolfe &amp; Spaulding 1991</w:t>
      </w:r>
      <w:r w:rsidR="00A865E4">
        <w:fldChar w:fldCharType="end"/>
      </w:r>
      <w:r>
        <w:t xml:space="preserve">; </w:t>
      </w:r>
      <w:r w:rsidR="00A865E4">
        <w:fldChar w:fldCharType="begin"/>
      </w:r>
      <w:r>
        <w:instrText xml:space="preserve"> ADDIN EN.CITE &lt;EndNote&gt;&lt;Cite&gt;&lt;Author&gt;Ku&lt;/Author&gt;&lt;Year&gt;2001&lt;/Year&gt;&lt;RecNum&gt;62&lt;/RecNum&gt;&lt;record&gt;&lt;rec-number&gt;62&lt;/rec-number&gt;&lt;foreign-keys&gt;&lt;key app="EN" db-id="0sp9t02ao2s908er5duvztshees9x25szs2d"&gt;62&lt;/key&gt;&lt;/foreign-keys&gt;&lt;ref-type name="Journal Article"&gt;17&lt;/ref-type&gt;&lt;contributors&gt;&lt;authors&gt;&lt;author&gt;Ku, Inhoe &lt;/author&gt;&lt;/authors&gt;&lt;/contributors&gt;&lt;titles&gt;&lt;title&gt;The effect of welfare on children&amp;apos;s education&lt;/title&gt;&lt;secondary-title&gt;The Social Service Review&lt;/secondary-title&gt;&lt;/titles&gt;&lt;periodical&gt;&lt;full-title&gt;The Social Service Review&lt;/full-title&gt;&lt;/periodical&gt;&lt;pages&gt;245-270&lt;/pages&gt;&lt;volume&gt;75&lt;/volume&gt;&lt;number&gt;2&lt;/number&gt;&lt;dates&gt;&lt;year&gt;2001&lt;/year&gt;&lt;/dates&gt;&lt;urls&gt;&lt;/urls&gt;&lt;/record&gt;&lt;/Cite&gt;&lt;/EndNote&gt;</w:instrText>
      </w:r>
      <w:r w:rsidR="00A865E4">
        <w:fldChar w:fldCharType="separate"/>
      </w:r>
      <w:r>
        <w:t>Ku 2001</w:t>
      </w:r>
      <w:r w:rsidR="00A865E4">
        <w:fldChar w:fldCharType="end"/>
      </w:r>
      <w:r>
        <w:t xml:space="preserve">; </w:t>
      </w:r>
      <w:r w:rsidR="00A865E4">
        <w:fldChar w:fldCharType="begin"/>
      </w:r>
      <w:r>
        <w:instrText xml:space="preserve"> ADDIN EN.CITE &lt;EndNote&gt;&lt;Cite&gt;&lt;Author&gt;Ku&lt;/Author&gt;&lt;Year&gt;2003&lt;/Year&gt;&lt;RecNum&gt;39&lt;/RecNum&gt;&lt;record&gt;&lt;rec-number&gt;39&lt;/rec-number&gt;&lt;foreign-keys&gt;&lt;key app="EN" db-id="0sp9t02ao2s908er5duvztshees9x25szs2d"&gt;39&lt;/key&gt;&lt;/foreign-keys&gt;&lt;ref-type name="Journal Article"&gt;17&lt;/ref-type&gt;&lt;contributors&gt;&lt;authors&gt;&lt;author&gt;Ku, Inhoe&lt;/author&gt;&lt;author&gt;Plotnick, Robert&lt;/author&gt;&lt;/authors&gt;&lt;/contributors&gt;&lt;titles&gt;&lt;title&gt;Do Children from Welfare Families Obtain Less Education?&lt;/title&gt;&lt;secondary-title&gt;Demography&lt;/secondary-title&gt;&lt;/titles&gt;&lt;periodical&gt;&lt;full-title&gt;Demography&lt;/full-title&gt;&lt;/periodical&gt;&lt;pages&gt;151-170&lt;/pages&gt;&lt;volume&gt;40&lt;/volume&gt;&lt;number&gt;1&lt;/number&gt;&lt;dates&gt;&lt;year&gt;2003&lt;/year&gt;&lt;/dates&gt;&lt;publisher&gt;Population Association of America&lt;/publisher&gt;&lt;isbn&gt;00703370&lt;/isbn&gt;&lt;urls&gt;&lt;related-urls&gt;&lt;url&gt;http://www.jstor.org/stable/3180816&lt;/url&gt;&lt;/related-urls&gt;&lt;/urls&gt;&lt;/record&gt;&lt;/Cite&gt;&lt;/EndNote&gt;</w:instrText>
      </w:r>
      <w:r w:rsidR="00A865E4">
        <w:fldChar w:fldCharType="separate"/>
      </w:r>
      <w:r>
        <w:t>Ku &amp; Plotnick 2003</w:t>
      </w:r>
      <w:r w:rsidR="00A865E4">
        <w:fldChar w:fldCharType="end"/>
      </w:r>
      <w:r>
        <w:t>). However, they are not significantly different from zero and their inclusion results in only small falls in the size of the coefficients on family income and parental occupational status.</w:t>
      </w:r>
      <w:r>
        <w:rPr>
          <w:rStyle w:val="FootnoteReference"/>
        </w:rPr>
        <w:footnoteReference w:id="7"/>
      </w:r>
      <w:r>
        <w:t xml:space="preserve"> </w:t>
      </w:r>
    </w:p>
    <w:p w:rsidR="001F5702" w:rsidRDefault="001F5702" w:rsidP="001F5702">
      <w:pPr>
        <w:pStyle w:val="Text"/>
      </w:pPr>
      <w:r>
        <w:t xml:space="preserve">The estimated coefficient on the number of marriages and relationships of the responding parent, while negative in sign, is again not statistically insignificant (model 4, table 9). Similarly, while there is an indication that the experiences of having parents often read to respondents at night when younger and help them with homework are negatively associated with school completion, these relationships are not statistically significant (model 5, table 9). </w:t>
      </w:r>
    </w:p>
    <w:p w:rsidR="001F5702" w:rsidRDefault="001F5702" w:rsidP="001F5702">
      <w:pPr>
        <w:pStyle w:val="Text"/>
      </w:pPr>
      <w:r>
        <w:t xml:space="preserve">Model 6 adds student experiences to the analysis. There is a strong negative association between </w:t>
      </w:r>
      <w:r w:rsidR="00AE1DA5">
        <w:t>repeating a school year</w:t>
      </w:r>
      <w:r>
        <w:t xml:space="preserve"> and secondary school suspension histories and the probability of Year 12 completion. Those who have repeated a school grade have a 30-percentage point lower probability of school completion than those who did not. Those who were ever suspended from school were 19 percentage points less likely to have completed school. </w:t>
      </w:r>
    </w:p>
    <w:p w:rsidR="001F5702" w:rsidRDefault="001F5702" w:rsidP="001F5702">
      <w:pPr>
        <w:pStyle w:val="Text"/>
      </w:pPr>
      <w:r>
        <w:t>Finally, risky behaviours</w:t>
      </w:r>
      <w:r w:rsidR="00AE1DA5">
        <w:rPr>
          <w:rStyle w:val="FootnoteReference"/>
        </w:rPr>
        <w:footnoteReference w:id="8"/>
      </w:r>
      <w:r>
        <w:t xml:space="preserve">, including experiences of smoking and alcohol consumption, have a statistically significant negative effect on school completion (model 7). Experience of smoking reduces the probability of Year 12 completion by eight percentage points, while drinking alcohol does </w:t>
      </w:r>
      <w:r>
        <w:lastRenderedPageBreak/>
        <w:t>so by seven percentage points. In this specification, the coefficient on the history of school suspension is smaller in magnitude, but still highly significant. These coefficients should not be interpreted as representing the causal effects of these activities on Year 12 completion, but rather the associations between the variables. However, they are the associations that remain when other aspects of family background, including family structures, income, welfare receipt history and parental education and socioeconomic status are taken into account.</w:t>
      </w:r>
    </w:p>
    <w:p w:rsidR="001F5702" w:rsidRDefault="001F5702" w:rsidP="001F5702">
      <w:pPr>
        <w:pStyle w:val="Text"/>
      </w:pPr>
      <w:r>
        <w:t>The process of adding additional variables to the Year 12 completion equation suggests that disadvantage among the YIF sample is largely evinced through their experiences of schooling and participation in risky activities. Once these phenomena are taken into account, background factors reflecting traditional socioeconomic measures play a less significant role in explaining who completes Year 12 or not. The family income effect remains significant, but small in magnitude</w:t>
      </w:r>
      <w:r w:rsidR="00A05A99">
        <w:t>;</w:t>
      </w:r>
      <w:r>
        <w:t xml:space="preserve"> occupation-based socioeconomic status measures play a less important role and are only marginally significant, while parental education effects are smaller and not significant. Also of note from a disadvantage perspective, the gap in Year 12 completion between the Indigenous and non-Indigenous groups </w:t>
      </w:r>
      <w:proofErr w:type="gramStart"/>
      <w:r>
        <w:t>falls</w:t>
      </w:r>
      <w:proofErr w:type="gramEnd"/>
      <w:r>
        <w:t xml:space="preserve"> only just a little as more aspects of disadvantage are added</w:t>
      </w:r>
      <w:r w:rsidR="00723990">
        <w:t xml:space="preserve"> — </w:t>
      </w:r>
      <w:r>
        <w:t xml:space="preserve">it remains a more than </w:t>
      </w:r>
      <w:r w:rsidR="00A05A99">
        <w:t>a</w:t>
      </w:r>
      <w:r w:rsidR="00723990">
        <w:br/>
      </w:r>
      <w:r>
        <w:t xml:space="preserve">20-percentage-point difference in completion rates. </w:t>
      </w:r>
    </w:p>
    <w:p w:rsidR="001F5702" w:rsidRPr="00267B57" w:rsidRDefault="001F5702" w:rsidP="00A05A99">
      <w:pPr>
        <w:pStyle w:val="Heading3"/>
      </w:pPr>
      <w:bookmarkStart w:id="85" w:name="_Toc274390655"/>
      <w:bookmarkStart w:id="86" w:name="_Toc318282968"/>
      <w:bookmarkStart w:id="87" w:name="_Toc324765881"/>
      <w:r>
        <w:t xml:space="preserve">LSAY Y03 </w:t>
      </w:r>
      <w:bookmarkEnd w:id="85"/>
      <w:r>
        <w:t>results</w:t>
      </w:r>
      <w:bookmarkEnd w:id="86"/>
      <w:bookmarkEnd w:id="87"/>
      <w:r>
        <w:t xml:space="preserve"> </w:t>
      </w:r>
    </w:p>
    <w:p w:rsidR="001F5702" w:rsidRDefault="001F5702" w:rsidP="001F5702">
      <w:pPr>
        <w:pStyle w:val="Text"/>
      </w:pPr>
      <w:r>
        <w:t>Y03 uniquely includes measures of school achievement, aspirations, school climate</w:t>
      </w:r>
      <w:r w:rsidR="00BF5D5F">
        <w:rPr>
          <w:rStyle w:val="FootnoteReference"/>
        </w:rPr>
        <w:footnoteReference w:id="9"/>
      </w:r>
      <w:r>
        <w:t>, characteristics and resources, which previous studies indicate may be linked with Year 12 completion. Models 2</w:t>
      </w:r>
      <w:r w:rsidR="00723990">
        <w:t>—</w:t>
      </w:r>
      <w:r>
        <w:t xml:space="preserve">6 incorporate the contribution of those groups of factors into the analysis of school completion and are reported in table 10 (11 for the full sample). </w:t>
      </w:r>
    </w:p>
    <w:p w:rsidR="001F5702" w:rsidRDefault="001F5702" w:rsidP="001F5702">
      <w:pPr>
        <w:pStyle w:val="Text"/>
      </w:pPr>
      <w:r>
        <w:t>Reading and mathematical literacy in absolute terms are strongly and positively associated with Year 12 completion (model 2). The probability of Year 12 completion increases by seven percentage points with an additional 100 scores on each of reading and mathematical literacy tests.</w:t>
      </w:r>
      <w:r>
        <w:rPr>
          <w:rStyle w:val="FootnoteReference"/>
        </w:rPr>
        <w:footnoteReference w:id="10"/>
      </w:r>
      <w:r>
        <w:t xml:space="preserve"> In addition, as a result of the inclusion of these controls, the coefficients on Catholic and independent schools fall and lose their significance, suggesting that the role of the school type for completion might be operating through student achievement, although whether this is a consequence of the differences in the quality of education or the quality of the student intake cannot be distinguished here. The number of siblings in the family is also insignificant in this specification. The parameter on the gender effect also falls, indicating that part of this gap in completion between males and females reflects an earlier school achievement gap. The inclusion of the reading and mathematical literacy scores also lowers the completion gaps between individuals who report different levels of self-assessed school performance relative to their peers. </w:t>
      </w:r>
    </w:p>
    <w:p w:rsidR="001F5702" w:rsidRDefault="001F5702" w:rsidP="001F5702">
      <w:pPr>
        <w:pStyle w:val="Text"/>
      </w:pPr>
      <w:r>
        <w:t>Aspirations at age 15 also have a statistically significant effect on Year 12 completion (model 3). Plans to participate in Year 12 and to go to university increase the probability of school completion by 24 and eight percentage points respectively. On the other hand, experience of repeating a school grade reduces the probability of completing school by 22 percentage points. This result is consistent with the findings in model 6 for the YIF data, both in sign and in magnitude. Parental socioeconomic occupational status is no longer significant once variables capturing the aspirations of respondents are</w:t>
      </w:r>
      <w:r w:rsidRPr="00C5276A">
        <w:t xml:space="preserve"> </w:t>
      </w:r>
      <w:r>
        <w:t xml:space="preserve">included. The coefficients on reading and mathematical numeracy are smaller in magnitude in this </w:t>
      </w:r>
      <w:r>
        <w:lastRenderedPageBreak/>
        <w:t xml:space="preserve">specification, while they preserve their significance throughout. The self-assessed performance effects also fall more, once aspirations are taken into account, with only the below-average group having significantly lower levels of school completion. In addition, the inclusion of aspirations lowers the completion gap between males and females, so that part of this gap reflects an </w:t>
      </w:r>
      <w:proofErr w:type="spellStart"/>
      <w:r>
        <w:t>aspirational</w:t>
      </w:r>
      <w:proofErr w:type="spellEnd"/>
      <w:r>
        <w:t xml:space="preserve"> gap between boys and girls.</w:t>
      </w:r>
    </w:p>
    <w:p w:rsidR="001F5702" w:rsidRPr="008B5071" w:rsidRDefault="001F5702" w:rsidP="001F5702">
      <w:pPr>
        <w:pStyle w:val="Text"/>
      </w:pPr>
      <w:r w:rsidRPr="008B5071">
        <w:t xml:space="preserve">Model 4 adds measures of school climate </w:t>
      </w:r>
      <w:r>
        <w:t xml:space="preserve">to the analysis. Higher student </w:t>
      </w:r>
      <w:r w:rsidRPr="008B5071">
        <w:t xml:space="preserve">body problem behaviour, as perceived by principals, is negatively associated with school completion. The probability of Year 12 completion decreases by </w:t>
      </w:r>
      <w:r>
        <w:t>four</w:t>
      </w:r>
      <w:r w:rsidRPr="008B5071">
        <w:t xml:space="preserve"> percentage poi</w:t>
      </w:r>
      <w:r>
        <w:t xml:space="preserve">nts with an increase in student </w:t>
      </w:r>
      <w:r w:rsidRPr="008B5071">
        <w:t xml:space="preserve">body problem behaviour. Interestingly, more positive teacher attitudes, as perceived by principals, </w:t>
      </w:r>
      <w:r>
        <w:t>appear to be</w:t>
      </w:r>
      <w:r w:rsidRPr="008B5071">
        <w:t xml:space="preserve"> negatively associated with school completion. However, it is likely that the impact of teachers’ attitudes on school completion is channelled through their impact on student outcomes, including, among others, aspirations, performance, problem behaviour, </w:t>
      </w:r>
      <w:r>
        <w:t>and so on</w:t>
      </w:r>
      <w:r w:rsidRPr="008B5071">
        <w:t>. For example, inclusion of an interaction of measures of teachers’ attitude</w:t>
      </w:r>
      <w:r>
        <w:t xml:space="preserve">s to school and student </w:t>
      </w:r>
      <w:r w:rsidRPr="008B5071">
        <w:t>body problem behaviour le</w:t>
      </w:r>
      <w:r>
        <w:t>a</w:t>
      </w:r>
      <w:r w:rsidRPr="008B5071">
        <w:t>d</w:t>
      </w:r>
      <w:r>
        <w:t>s</w:t>
      </w:r>
      <w:r w:rsidRPr="008B5071">
        <w:t xml:space="preserve"> to </w:t>
      </w:r>
      <w:r w:rsidR="00A05A99">
        <w:t xml:space="preserve">a </w:t>
      </w:r>
      <w:r w:rsidRPr="008B5071">
        <w:t xml:space="preserve">significant positive coefficient on </w:t>
      </w:r>
      <w:r>
        <w:t>the interaction,</w:t>
      </w:r>
      <w:r w:rsidRPr="008B5071">
        <w:t xml:space="preserve"> </w:t>
      </w:r>
      <w:r>
        <w:t xml:space="preserve">with the coefficient on student </w:t>
      </w:r>
      <w:r w:rsidRPr="008B5071">
        <w:t>body problem behaviour</w:t>
      </w:r>
      <w:r w:rsidR="00BF5D5F">
        <w:rPr>
          <w:rStyle w:val="FootnoteReference"/>
        </w:rPr>
        <w:footnoteReference w:id="11"/>
      </w:r>
      <w:r w:rsidRPr="008B5071">
        <w:t xml:space="preserve"> preserving its sign and significance</w:t>
      </w:r>
      <w:r>
        <w:t xml:space="preserve">. This suggests </w:t>
      </w:r>
      <w:r w:rsidRPr="008B5071">
        <w:t xml:space="preserve">that the negative effect of student problem behaviour on Year 12 completion is weaker where better teachers are </w:t>
      </w:r>
      <w:r>
        <w:t>in</w:t>
      </w:r>
      <w:r w:rsidRPr="008B5071">
        <w:t xml:space="preserve"> place.</w:t>
      </w:r>
      <w:r w:rsidRPr="00C5276A">
        <w:rPr>
          <w:vertAlign w:val="superscript"/>
        </w:rPr>
        <w:footnoteReference w:id="12"/>
      </w:r>
    </w:p>
    <w:p w:rsidR="001F5702" w:rsidRDefault="001F5702" w:rsidP="001F5702">
      <w:pPr>
        <w:pStyle w:val="Text"/>
      </w:pPr>
      <w:r w:rsidRPr="008B5071">
        <w:t xml:space="preserve">Finally, school characteristics and resources have hardly any explanatory power over </w:t>
      </w:r>
      <w:r>
        <w:t>Year 12</w:t>
      </w:r>
      <w:r w:rsidRPr="008B5071">
        <w:t xml:space="preserve"> completion</w:t>
      </w:r>
      <w:r>
        <w:t>,</w:t>
      </w:r>
      <w:r w:rsidRPr="008B5071">
        <w:t xml:space="preserve"> with the exception of </w:t>
      </w:r>
      <w:r w:rsidR="00A05A99">
        <w:t xml:space="preserve">the </w:t>
      </w:r>
      <w:r w:rsidRPr="008B5071">
        <w:t>extent of adequacy of school physical facilities</w:t>
      </w:r>
      <w:r>
        <w:t>, which</w:t>
      </w:r>
      <w:r w:rsidRPr="008B5071">
        <w:t xml:space="preserve"> is marginally positively associated with completion. </w:t>
      </w:r>
    </w:p>
    <w:p w:rsidR="001F5702" w:rsidRPr="008B5071" w:rsidRDefault="001F5702" w:rsidP="001F5702">
      <w:pPr>
        <w:pStyle w:val="Text"/>
      </w:pPr>
      <w:r>
        <w:t xml:space="preserve">In all models, the Indigenous effect on Year 12 completion remained insignificant in the LSAY data. This included specifications where </w:t>
      </w:r>
      <w:r w:rsidR="00BF5D5F">
        <w:t>the researchers</w:t>
      </w:r>
      <w:r>
        <w:t xml:space="preserve"> allowed interactions between being Indigenous and the impact of student aspirations, for example, testing the idea that Indigenous students may not have been able to translate their aspirations as effectively as other students. There was no evidence from the data that this was the case. </w:t>
      </w:r>
    </w:p>
    <w:p w:rsidR="001F5702" w:rsidRDefault="001F5702" w:rsidP="001F5702">
      <w:pPr>
        <w:pStyle w:val="Text"/>
      </w:pPr>
      <w:r>
        <w:t xml:space="preserve">The process by which </w:t>
      </w:r>
      <w:r w:rsidR="00BF5D5F">
        <w:t>the researchers</w:t>
      </w:r>
      <w:r>
        <w:t xml:space="preserve"> add additional variables to the equation explaining Year 12 completion using the Y03 data does not add factors that are direct indicators of disadvantage; rather, it adds factors that might be considered as indirectly reflecting the experience of disadvantage. The inclusion of these factors, such as earlier achievement and student aspirations, removes the significance of many of the conventional measures of disadvantage, such as socioeconomic status based on parental education or occupation. </w:t>
      </w:r>
    </w:p>
    <w:p w:rsidR="001F5702" w:rsidRDefault="001F5702" w:rsidP="001F5702">
      <w:pPr>
        <w:pStyle w:val="Text"/>
        <w:jc w:val="both"/>
      </w:pPr>
    </w:p>
    <w:p w:rsidR="005901CD" w:rsidRDefault="005901CD" w:rsidP="001F5702">
      <w:pPr>
        <w:spacing w:before="0"/>
        <w:sectPr w:rsidR="005901CD" w:rsidSect="00CB6107">
          <w:footerReference w:type="even" r:id="rId13"/>
          <w:footerReference w:type="default" r:id="rId14"/>
          <w:pgSz w:w="11899" w:h="16838" w:code="9"/>
          <w:pgMar w:top="1276" w:right="1701" w:bottom="1276" w:left="1418" w:header="720" w:footer="720" w:gutter="0"/>
          <w:cols w:space="720"/>
          <w:docGrid w:linePitch="360"/>
        </w:sectPr>
      </w:pPr>
    </w:p>
    <w:p w:rsidR="001F5702" w:rsidRPr="00193513" w:rsidRDefault="001F5702" w:rsidP="00723990">
      <w:pPr>
        <w:pStyle w:val="tabletitle"/>
        <w:rPr>
          <w:i/>
        </w:rPr>
      </w:pPr>
      <w:bookmarkStart w:id="88" w:name="_Toc323566756"/>
      <w:bookmarkStart w:id="89" w:name="_Toc324765904"/>
      <w:bookmarkEnd w:id="77"/>
      <w:r w:rsidRPr="005D446B">
        <w:lastRenderedPageBreak/>
        <w:t xml:space="preserve">Table </w:t>
      </w:r>
      <w:r>
        <w:t>9</w:t>
      </w:r>
      <w:r w:rsidRPr="005D446B">
        <w:tab/>
      </w:r>
      <w:r w:rsidRPr="00241227">
        <w:t>Regression results, Y</w:t>
      </w:r>
      <w:r w:rsidR="00A57C1F">
        <w:t>outh in Focus</w:t>
      </w:r>
      <w:r w:rsidRPr="00241227">
        <w:t xml:space="preserve">, </w:t>
      </w:r>
      <w:r w:rsidRPr="00723990">
        <w:t>Year</w:t>
      </w:r>
      <w:r w:rsidRPr="00241227">
        <w:t xml:space="preserve"> 12 completion</w:t>
      </w:r>
      <w:bookmarkEnd w:id="88"/>
      <w:bookmarkEnd w:id="89"/>
    </w:p>
    <w:tbl>
      <w:tblPr>
        <w:tblW w:w="14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4026"/>
        <w:gridCol w:w="1425"/>
        <w:gridCol w:w="1426"/>
        <w:gridCol w:w="1425"/>
        <w:gridCol w:w="1426"/>
        <w:gridCol w:w="1425"/>
        <w:gridCol w:w="1426"/>
        <w:gridCol w:w="1426"/>
      </w:tblGrid>
      <w:tr w:rsidR="001F5702" w:rsidRPr="00D41A46" w:rsidTr="004F1A00">
        <w:trPr>
          <w:tblHeader/>
        </w:trPr>
        <w:tc>
          <w:tcPr>
            <w:tcW w:w="4026" w:type="dxa"/>
            <w:tcBorders>
              <w:top w:val="single" w:sz="4" w:space="0" w:color="auto"/>
              <w:left w:val="nil"/>
              <w:bottom w:val="single" w:sz="4" w:space="0" w:color="auto"/>
              <w:right w:val="nil"/>
            </w:tcBorders>
          </w:tcPr>
          <w:p w:rsidR="001F5702" w:rsidRPr="0031761A" w:rsidRDefault="001F5702" w:rsidP="004F1A00">
            <w:pPr>
              <w:pStyle w:val="Tablehead1"/>
            </w:pPr>
          </w:p>
        </w:tc>
        <w:tc>
          <w:tcPr>
            <w:tcW w:w="1425" w:type="dxa"/>
            <w:tcBorders>
              <w:top w:val="single" w:sz="4" w:space="0" w:color="auto"/>
              <w:left w:val="nil"/>
              <w:bottom w:val="single" w:sz="4" w:space="0" w:color="auto"/>
              <w:right w:val="nil"/>
            </w:tcBorders>
          </w:tcPr>
          <w:p w:rsidR="001F5702" w:rsidRPr="0031761A" w:rsidRDefault="001F5702" w:rsidP="003F6FE2">
            <w:pPr>
              <w:pStyle w:val="Tablehead1"/>
              <w:ind w:left="255"/>
            </w:pPr>
            <w:r>
              <w:t>Model 1</w:t>
            </w:r>
          </w:p>
        </w:tc>
        <w:tc>
          <w:tcPr>
            <w:tcW w:w="1426" w:type="dxa"/>
            <w:tcBorders>
              <w:top w:val="single" w:sz="4" w:space="0" w:color="auto"/>
              <w:left w:val="nil"/>
              <w:bottom w:val="single" w:sz="4" w:space="0" w:color="auto"/>
              <w:right w:val="nil"/>
            </w:tcBorders>
          </w:tcPr>
          <w:p w:rsidR="001F5702" w:rsidRDefault="001F5702" w:rsidP="003F6FE2">
            <w:pPr>
              <w:pStyle w:val="Tablehead1"/>
              <w:ind w:left="255"/>
            </w:pPr>
            <w:r>
              <w:t>Model 2</w:t>
            </w:r>
          </w:p>
        </w:tc>
        <w:tc>
          <w:tcPr>
            <w:tcW w:w="1425" w:type="dxa"/>
            <w:tcBorders>
              <w:top w:val="single" w:sz="4" w:space="0" w:color="auto"/>
              <w:left w:val="nil"/>
              <w:bottom w:val="single" w:sz="4" w:space="0" w:color="auto"/>
              <w:right w:val="nil"/>
            </w:tcBorders>
          </w:tcPr>
          <w:p w:rsidR="001F5702" w:rsidRDefault="001F5702" w:rsidP="0017764A">
            <w:pPr>
              <w:pStyle w:val="Tablehead1"/>
              <w:ind w:left="255"/>
            </w:pPr>
            <w:r>
              <w:t>Model 3</w:t>
            </w:r>
          </w:p>
        </w:tc>
        <w:tc>
          <w:tcPr>
            <w:tcW w:w="1426" w:type="dxa"/>
            <w:tcBorders>
              <w:top w:val="single" w:sz="4" w:space="0" w:color="auto"/>
              <w:left w:val="nil"/>
              <w:bottom w:val="single" w:sz="4" w:space="0" w:color="auto"/>
              <w:right w:val="nil"/>
            </w:tcBorders>
          </w:tcPr>
          <w:p w:rsidR="001F5702" w:rsidRPr="0031761A" w:rsidRDefault="001F5702" w:rsidP="003F6FE2">
            <w:pPr>
              <w:pStyle w:val="Tablehead1"/>
              <w:ind w:left="255"/>
            </w:pPr>
            <w:r>
              <w:t>Model 4</w:t>
            </w:r>
          </w:p>
        </w:tc>
        <w:tc>
          <w:tcPr>
            <w:tcW w:w="1425" w:type="dxa"/>
            <w:tcBorders>
              <w:top w:val="single" w:sz="4" w:space="0" w:color="auto"/>
              <w:left w:val="nil"/>
              <w:bottom w:val="single" w:sz="4" w:space="0" w:color="auto"/>
              <w:right w:val="nil"/>
            </w:tcBorders>
          </w:tcPr>
          <w:p w:rsidR="001F5702" w:rsidRPr="0031761A" w:rsidRDefault="001F5702" w:rsidP="003F6FE2">
            <w:pPr>
              <w:pStyle w:val="Tablehead1"/>
              <w:ind w:left="255"/>
            </w:pPr>
            <w:r>
              <w:t>Model 5</w:t>
            </w:r>
          </w:p>
        </w:tc>
        <w:tc>
          <w:tcPr>
            <w:tcW w:w="1426" w:type="dxa"/>
            <w:tcBorders>
              <w:top w:val="single" w:sz="4" w:space="0" w:color="auto"/>
              <w:left w:val="nil"/>
              <w:bottom w:val="single" w:sz="4" w:space="0" w:color="auto"/>
              <w:right w:val="nil"/>
            </w:tcBorders>
          </w:tcPr>
          <w:p w:rsidR="001F5702" w:rsidRDefault="001F5702" w:rsidP="003F6FE2">
            <w:pPr>
              <w:pStyle w:val="Tablehead1"/>
              <w:ind w:left="255"/>
            </w:pPr>
            <w:r>
              <w:t>Model 6</w:t>
            </w:r>
          </w:p>
        </w:tc>
        <w:tc>
          <w:tcPr>
            <w:tcW w:w="1426" w:type="dxa"/>
            <w:tcBorders>
              <w:top w:val="single" w:sz="4" w:space="0" w:color="auto"/>
              <w:left w:val="nil"/>
              <w:bottom w:val="single" w:sz="4" w:space="0" w:color="auto"/>
              <w:right w:val="nil"/>
            </w:tcBorders>
          </w:tcPr>
          <w:p w:rsidR="001F5702" w:rsidRDefault="001F5702" w:rsidP="003F6FE2">
            <w:pPr>
              <w:pStyle w:val="Tablehead1"/>
              <w:ind w:left="255"/>
            </w:pPr>
            <w:r>
              <w:t>Model 7</w:t>
            </w:r>
          </w:p>
        </w:tc>
      </w:tr>
      <w:tr w:rsidR="001F5702" w:rsidRPr="00D41A46" w:rsidTr="004F1A00">
        <w:tc>
          <w:tcPr>
            <w:tcW w:w="4026" w:type="dxa"/>
            <w:tcBorders>
              <w:top w:val="single" w:sz="4" w:space="0" w:color="auto"/>
              <w:left w:val="nil"/>
              <w:bottom w:val="nil"/>
              <w:right w:val="nil"/>
            </w:tcBorders>
          </w:tcPr>
          <w:p w:rsidR="001F5702" w:rsidRPr="00B90227" w:rsidRDefault="001F5702" w:rsidP="004F1A00">
            <w:pPr>
              <w:pStyle w:val="Tabletext"/>
            </w:pPr>
            <w:r>
              <w:t>Gender (1 = male)</w:t>
            </w:r>
          </w:p>
        </w:tc>
        <w:tc>
          <w:tcPr>
            <w:tcW w:w="1425" w:type="dxa"/>
            <w:tcBorders>
              <w:top w:val="single" w:sz="4" w:space="0" w:color="auto"/>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-0.10 [0.02]***</w:t>
            </w:r>
          </w:p>
        </w:tc>
        <w:tc>
          <w:tcPr>
            <w:tcW w:w="1426" w:type="dxa"/>
            <w:tcBorders>
              <w:top w:val="single" w:sz="4" w:space="0" w:color="auto"/>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w:t>
            </w:r>
            <w:r>
              <w:rPr>
                <w:rFonts w:cs="Arial"/>
                <w:szCs w:val="16"/>
              </w:rPr>
              <w:t>0</w:t>
            </w:r>
            <w:r w:rsidRPr="009B56F8">
              <w:rPr>
                <w:rFonts w:cs="Arial"/>
                <w:szCs w:val="16"/>
              </w:rPr>
              <w:t xml:space="preserve"> [0.02]***</w:t>
            </w:r>
          </w:p>
        </w:tc>
        <w:tc>
          <w:tcPr>
            <w:tcW w:w="1425" w:type="dxa"/>
            <w:tcBorders>
              <w:top w:val="single" w:sz="4" w:space="0" w:color="auto"/>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w:t>
            </w:r>
            <w:r>
              <w:rPr>
                <w:rFonts w:cs="Arial"/>
                <w:szCs w:val="16"/>
              </w:rPr>
              <w:t>0</w:t>
            </w:r>
            <w:r w:rsidRPr="009B56F8">
              <w:rPr>
                <w:rFonts w:cs="Arial"/>
                <w:szCs w:val="16"/>
              </w:rPr>
              <w:t xml:space="preserve"> [0.02]***</w:t>
            </w:r>
          </w:p>
        </w:tc>
        <w:tc>
          <w:tcPr>
            <w:tcW w:w="1426" w:type="dxa"/>
            <w:tcBorders>
              <w:top w:val="single" w:sz="4" w:space="0" w:color="auto"/>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w:t>
            </w:r>
            <w:r>
              <w:rPr>
                <w:rFonts w:cs="Arial"/>
                <w:szCs w:val="16"/>
              </w:rPr>
              <w:t>0</w:t>
            </w:r>
            <w:r w:rsidRPr="009B56F8">
              <w:rPr>
                <w:rFonts w:cs="Arial"/>
                <w:szCs w:val="16"/>
              </w:rPr>
              <w:t xml:space="preserve"> [0.02]***</w:t>
            </w:r>
          </w:p>
        </w:tc>
        <w:tc>
          <w:tcPr>
            <w:tcW w:w="1425" w:type="dxa"/>
            <w:tcBorders>
              <w:top w:val="single" w:sz="4" w:space="0" w:color="auto"/>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-0.09 [0.02]***</w:t>
            </w:r>
          </w:p>
        </w:tc>
        <w:tc>
          <w:tcPr>
            <w:tcW w:w="1426" w:type="dxa"/>
            <w:tcBorders>
              <w:top w:val="single" w:sz="4" w:space="0" w:color="auto"/>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-0.07 [0.02]***</w:t>
            </w:r>
          </w:p>
        </w:tc>
        <w:tc>
          <w:tcPr>
            <w:tcW w:w="1426" w:type="dxa"/>
            <w:tcBorders>
              <w:top w:val="single" w:sz="4" w:space="0" w:color="auto"/>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-0.08 [0.02]***</w:t>
            </w:r>
          </w:p>
        </w:tc>
      </w:tr>
      <w:tr w:rsidR="001F5702" w:rsidTr="004F1A00">
        <w:tc>
          <w:tcPr>
            <w:tcW w:w="4026" w:type="dxa"/>
            <w:tcBorders>
              <w:top w:val="nil"/>
              <w:left w:val="nil"/>
              <w:bottom w:val="nil"/>
              <w:right w:val="nil"/>
            </w:tcBorders>
          </w:tcPr>
          <w:p w:rsidR="001F5702" w:rsidRPr="00B90227" w:rsidRDefault="001F5702" w:rsidP="004F1A00">
            <w:pPr>
              <w:pStyle w:val="Tabletext"/>
            </w:pPr>
            <w:r w:rsidRPr="00B90227">
              <w:t>Lives in major city</w:t>
            </w:r>
            <w:r>
              <w:t xml:space="preserve"> </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0.00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0.01 [0.03]</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0.01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0.01 [0.03]</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0.02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0.03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0.03 [0.03]</w:t>
            </w:r>
          </w:p>
        </w:tc>
      </w:tr>
      <w:tr w:rsidR="001F5702" w:rsidTr="004F1A00">
        <w:tc>
          <w:tcPr>
            <w:tcW w:w="4026" w:type="dxa"/>
            <w:tcBorders>
              <w:top w:val="nil"/>
              <w:left w:val="nil"/>
              <w:bottom w:val="nil"/>
              <w:right w:val="nil"/>
            </w:tcBorders>
          </w:tcPr>
          <w:p w:rsidR="001F5702" w:rsidRPr="00B90227" w:rsidRDefault="001F5702" w:rsidP="004F1A00">
            <w:pPr>
              <w:pStyle w:val="Tabletext"/>
            </w:pPr>
            <w:r w:rsidRPr="00B90227">
              <w:t>Indigenous Australian</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-0.23 [0.08]***</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-0.22 [0.08]***</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-0.22 [0.08]***</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-0.22 [0.08]***</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-0.23 [0.10]**</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-0.22 [0.10]**</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-0.21 [0.10]**</w:t>
            </w:r>
          </w:p>
        </w:tc>
      </w:tr>
      <w:tr w:rsidR="001F5702" w:rsidTr="004F1A00">
        <w:tc>
          <w:tcPr>
            <w:tcW w:w="4026" w:type="dxa"/>
            <w:tcBorders>
              <w:top w:val="nil"/>
              <w:left w:val="nil"/>
              <w:bottom w:val="nil"/>
              <w:right w:val="nil"/>
            </w:tcBorders>
          </w:tcPr>
          <w:p w:rsidR="001F5702" w:rsidRPr="00B90227" w:rsidRDefault="001F5702" w:rsidP="004F1A00">
            <w:pPr>
              <w:pStyle w:val="Tabletext"/>
            </w:pPr>
            <w:r>
              <w:t>Father or head of household employed, age 14</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-0.02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-0.05 [0.03]</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-0.05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-0.05 [0.03]</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-0.04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-0.04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-0.05 [0.03]</w:t>
            </w:r>
          </w:p>
        </w:tc>
      </w:tr>
      <w:tr w:rsidR="001F5702" w:rsidTr="004F1A00">
        <w:tc>
          <w:tcPr>
            <w:tcW w:w="4026" w:type="dxa"/>
            <w:tcBorders>
              <w:top w:val="nil"/>
              <w:left w:val="nil"/>
              <w:bottom w:val="nil"/>
              <w:right w:val="nil"/>
            </w:tcBorders>
          </w:tcPr>
          <w:p w:rsidR="001F5702" w:rsidRPr="00B90227" w:rsidRDefault="001F5702" w:rsidP="004F1A00">
            <w:pPr>
              <w:pStyle w:val="Tabletext"/>
            </w:pPr>
            <w:r>
              <w:t>Parental education</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r>
      <w:tr w:rsidR="001F5702" w:rsidTr="004F1A00">
        <w:tc>
          <w:tcPr>
            <w:tcW w:w="4026" w:type="dxa"/>
            <w:tcBorders>
              <w:top w:val="nil"/>
              <w:left w:val="nil"/>
              <w:bottom w:val="nil"/>
              <w:right w:val="nil"/>
            </w:tcBorders>
          </w:tcPr>
          <w:p w:rsidR="001F5702" w:rsidRPr="00B90227" w:rsidRDefault="001F5702" w:rsidP="004F1A00">
            <w:pPr>
              <w:pStyle w:val="Tabletext"/>
              <w:ind w:left="170"/>
            </w:pPr>
            <w:r>
              <w:t>Father has bachelor degree or higher</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0.05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0.05 [0.03]</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0.05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0.05 [0.03]</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0.02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0.02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0.01 [0.03]</w:t>
            </w:r>
          </w:p>
        </w:tc>
      </w:tr>
      <w:tr w:rsidR="001F5702" w:rsidTr="004F1A00">
        <w:tc>
          <w:tcPr>
            <w:tcW w:w="4026" w:type="dxa"/>
            <w:tcBorders>
              <w:top w:val="nil"/>
              <w:left w:val="nil"/>
              <w:bottom w:val="nil"/>
              <w:right w:val="nil"/>
            </w:tcBorders>
          </w:tcPr>
          <w:p w:rsidR="001F5702" w:rsidRPr="00B90227" w:rsidRDefault="001F5702" w:rsidP="004F1A00">
            <w:pPr>
              <w:pStyle w:val="Tabletext"/>
              <w:ind w:left="170"/>
            </w:pPr>
            <w:r>
              <w:t>Mother has bachelor degree or higher</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0.02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0.01 [0.04]</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0.01 [0.04]</w:t>
            </w:r>
          </w:p>
        </w:tc>
        <w:tc>
          <w:tcPr>
            <w:tcW w:w="1426" w:type="dxa"/>
            <w:tcBorders>
              <w:top w:val="nil"/>
              <w:left w:val="nil"/>
              <w:bottom w:val="nil"/>
              <w:right w:val="nil"/>
            </w:tcBorders>
            <w:shd w:val="clear" w:color="auto" w:fill="FFFFFF"/>
          </w:tcPr>
          <w:p w:rsidR="001F5702" w:rsidRPr="009B56F8" w:rsidRDefault="001F5702" w:rsidP="003F6FE2">
            <w:pPr>
              <w:pStyle w:val="Tabletext"/>
              <w:tabs>
                <w:tab w:val="decimal" w:pos="227"/>
              </w:tabs>
              <w:rPr>
                <w:rFonts w:cs="Arial"/>
                <w:szCs w:val="16"/>
              </w:rPr>
            </w:pPr>
            <w:r w:rsidRPr="009B56F8">
              <w:rPr>
                <w:rFonts w:cs="Arial"/>
                <w:szCs w:val="16"/>
              </w:rPr>
              <w:t>0.01 [0.04]</w:t>
            </w:r>
          </w:p>
        </w:tc>
        <w:tc>
          <w:tcPr>
            <w:tcW w:w="1425" w:type="dxa"/>
            <w:tcBorders>
              <w:top w:val="nil"/>
              <w:left w:val="nil"/>
              <w:bottom w:val="nil"/>
              <w:right w:val="nil"/>
            </w:tcBorders>
            <w:shd w:val="clear" w:color="auto" w:fill="FFFFFF"/>
          </w:tcPr>
          <w:p w:rsidR="001F5702" w:rsidRPr="009B56F8" w:rsidRDefault="001F5702" w:rsidP="003F6FE2">
            <w:pPr>
              <w:pStyle w:val="Tabletext"/>
              <w:tabs>
                <w:tab w:val="decimal" w:pos="227"/>
              </w:tabs>
              <w:rPr>
                <w:rFonts w:cs="Arial"/>
                <w:szCs w:val="16"/>
              </w:rPr>
            </w:pPr>
            <w:r w:rsidRPr="009B56F8">
              <w:rPr>
                <w:rFonts w:cs="Arial"/>
                <w:szCs w:val="16"/>
              </w:rPr>
              <w:t>0.05 [0.03]</w:t>
            </w:r>
          </w:p>
        </w:tc>
        <w:tc>
          <w:tcPr>
            <w:tcW w:w="1426" w:type="dxa"/>
            <w:tcBorders>
              <w:top w:val="nil"/>
              <w:left w:val="nil"/>
              <w:bottom w:val="nil"/>
              <w:right w:val="nil"/>
            </w:tcBorders>
            <w:shd w:val="clear" w:color="auto" w:fill="FFFFFF"/>
          </w:tcPr>
          <w:p w:rsidR="001F5702" w:rsidRPr="009B56F8" w:rsidRDefault="001F5702" w:rsidP="003F6FE2">
            <w:pPr>
              <w:pStyle w:val="Tabletext"/>
              <w:tabs>
                <w:tab w:val="decimal" w:pos="227"/>
              </w:tabs>
              <w:rPr>
                <w:rFonts w:cs="Arial"/>
                <w:szCs w:val="16"/>
              </w:rPr>
            </w:pPr>
            <w:r w:rsidRPr="009B56F8">
              <w:rPr>
                <w:rFonts w:cs="Arial"/>
                <w:szCs w:val="16"/>
              </w:rPr>
              <w:t>0.05 [0.03]</w:t>
            </w:r>
          </w:p>
        </w:tc>
        <w:tc>
          <w:tcPr>
            <w:tcW w:w="1426" w:type="dxa"/>
            <w:tcBorders>
              <w:top w:val="nil"/>
              <w:left w:val="nil"/>
              <w:bottom w:val="nil"/>
              <w:right w:val="nil"/>
            </w:tcBorders>
            <w:shd w:val="clear" w:color="auto" w:fill="FFFFFF"/>
          </w:tcPr>
          <w:p w:rsidR="001F5702" w:rsidRPr="009B56F8" w:rsidRDefault="001F5702" w:rsidP="003F6FE2">
            <w:pPr>
              <w:pStyle w:val="Tabletext"/>
              <w:tabs>
                <w:tab w:val="decimal" w:pos="227"/>
              </w:tabs>
              <w:rPr>
                <w:rFonts w:cs="Arial"/>
                <w:szCs w:val="16"/>
              </w:rPr>
            </w:pPr>
            <w:r w:rsidRPr="009B56F8">
              <w:rPr>
                <w:rFonts w:cs="Arial"/>
                <w:szCs w:val="16"/>
              </w:rPr>
              <w:t>0.05 [0.03]</w:t>
            </w:r>
          </w:p>
        </w:tc>
      </w:tr>
      <w:tr w:rsidR="001F5702" w:rsidTr="004F1A00">
        <w:tc>
          <w:tcPr>
            <w:tcW w:w="4026" w:type="dxa"/>
            <w:tcBorders>
              <w:top w:val="nil"/>
              <w:left w:val="nil"/>
              <w:bottom w:val="nil"/>
              <w:right w:val="nil"/>
            </w:tcBorders>
          </w:tcPr>
          <w:p w:rsidR="001F5702" w:rsidRPr="00B90227" w:rsidRDefault="001F5702" w:rsidP="004F1A00">
            <w:pPr>
              <w:pStyle w:val="Tabletext"/>
            </w:pPr>
            <w:r>
              <w:t>Number of siblings</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-0.02 [0.01]**</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-0.02 [0.01]*</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-0.02 [0.01]*</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-0.02 [0.01]*</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-0.02 [0.01]***</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-0.02 [0.01]**</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-0.02 [0.01]***</w:t>
            </w:r>
          </w:p>
        </w:tc>
      </w:tr>
      <w:tr w:rsidR="001F5702" w:rsidTr="004F1A00">
        <w:tc>
          <w:tcPr>
            <w:tcW w:w="4026" w:type="dxa"/>
            <w:tcBorders>
              <w:top w:val="nil"/>
              <w:left w:val="nil"/>
              <w:bottom w:val="nil"/>
              <w:right w:val="nil"/>
            </w:tcBorders>
          </w:tcPr>
          <w:p w:rsidR="001F5702" w:rsidRDefault="001F5702" w:rsidP="004F1A00">
            <w:pPr>
              <w:pStyle w:val="Tabletext"/>
            </w:pPr>
            <w:r>
              <w:t>Respondent’s country of birth</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r>
      <w:tr w:rsidR="001F5702" w:rsidTr="004F1A00">
        <w:tc>
          <w:tcPr>
            <w:tcW w:w="4026" w:type="dxa"/>
            <w:tcBorders>
              <w:top w:val="nil"/>
              <w:left w:val="nil"/>
              <w:bottom w:val="nil"/>
              <w:right w:val="nil"/>
            </w:tcBorders>
          </w:tcPr>
          <w:p w:rsidR="001F5702" w:rsidRPr="00B90227" w:rsidRDefault="001F5702" w:rsidP="004F1A00">
            <w:pPr>
              <w:pStyle w:val="Tabletext"/>
              <w:ind w:left="170"/>
            </w:pPr>
            <w:r>
              <w:t xml:space="preserve">Overseas, English </w:t>
            </w:r>
            <w:r w:rsidRPr="00B90227">
              <w:t>speaking country</w:t>
            </w:r>
            <w:r>
              <w:t xml:space="preserve"> </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-0.15 [0.09]*</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-0.14 [0.09]</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-0.14 [0.09]</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-0.14 [0.09]</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-0.11 [0.10]</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-0.09 [0.09]</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-0.11 [0.10]</w:t>
            </w:r>
          </w:p>
        </w:tc>
      </w:tr>
      <w:tr w:rsidR="001F5702" w:rsidTr="004F1A00">
        <w:tc>
          <w:tcPr>
            <w:tcW w:w="4026" w:type="dxa"/>
            <w:tcBorders>
              <w:top w:val="nil"/>
              <w:left w:val="nil"/>
              <w:bottom w:val="nil"/>
              <w:right w:val="nil"/>
            </w:tcBorders>
          </w:tcPr>
          <w:p w:rsidR="001F5702" w:rsidRPr="00B90227" w:rsidRDefault="001F5702" w:rsidP="004F1A00">
            <w:pPr>
              <w:pStyle w:val="Tabletext"/>
              <w:ind w:left="170"/>
            </w:pPr>
            <w:r>
              <w:t xml:space="preserve">Overseas, non-English </w:t>
            </w:r>
            <w:r w:rsidRPr="00B90227">
              <w:t>speaking country</w:t>
            </w:r>
            <w:r>
              <w:t xml:space="preserve"> </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0.17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0.18 [0.02]***</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0.18 [0.02]***</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0.18 [0.02]***</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0.13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0.12 [0.04]***</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0.11 [0.04]***</w:t>
            </w:r>
          </w:p>
        </w:tc>
      </w:tr>
      <w:tr w:rsidR="001F5702" w:rsidTr="004F1A00">
        <w:tc>
          <w:tcPr>
            <w:tcW w:w="4026" w:type="dxa"/>
            <w:tcBorders>
              <w:top w:val="nil"/>
              <w:left w:val="nil"/>
              <w:bottom w:val="nil"/>
              <w:right w:val="nil"/>
            </w:tcBorders>
          </w:tcPr>
          <w:p w:rsidR="001F5702" w:rsidRPr="00B90227" w:rsidRDefault="001F5702" w:rsidP="004F1A00">
            <w:pPr>
              <w:pStyle w:val="Tabletext"/>
            </w:pPr>
            <w:r>
              <w:t>Two-parent household, age 14</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w:t>
            </w:r>
            <w:r>
              <w:rPr>
                <w:rFonts w:cs="Arial"/>
                <w:szCs w:val="16"/>
              </w:rPr>
              <w:t>0</w:t>
            </w:r>
            <w:r w:rsidRPr="009B56F8">
              <w:rPr>
                <w:rFonts w:cs="Arial"/>
                <w:szCs w:val="16"/>
              </w:rPr>
              <w:t xml:space="preserve">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0.08 [0.03]***</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0.07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0.06 [0.03]*</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0.07 [0.04]*</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0.06 [0.04]</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0.04 [0.04]</w:t>
            </w:r>
          </w:p>
        </w:tc>
      </w:tr>
      <w:tr w:rsidR="001F5702" w:rsidTr="004F1A00">
        <w:tc>
          <w:tcPr>
            <w:tcW w:w="4026" w:type="dxa"/>
            <w:tcBorders>
              <w:top w:val="nil"/>
              <w:left w:val="nil"/>
              <w:bottom w:val="nil"/>
              <w:right w:val="nil"/>
            </w:tcBorders>
          </w:tcPr>
          <w:p w:rsidR="001F5702" w:rsidRPr="00B90227" w:rsidRDefault="001F5702" w:rsidP="004F1A00">
            <w:pPr>
              <w:pStyle w:val="Tabletext"/>
            </w:pPr>
            <w:r>
              <w:t>School sector, last year at school</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r>
      <w:tr w:rsidR="001F5702" w:rsidTr="004F1A00">
        <w:tc>
          <w:tcPr>
            <w:tcW w:w="4026" w:type="dxa"/>
            <w:tcBorders>
              <w:top w:val="nil"/>
              <w:left w:val="nil"/>
              <w:bottom w:val="nil"/>
              <w:right w:val="nil"/>
            </w:tcBorders>
          </w:tcPr>
          <w:p w:rsidR="001F5702" w:rsidRPr="00B90227" w:rsidRDefault="001F5702" w:rsidP="004F1A00">
            <w:pPr>
              <w:pStyle w:val="Tabletext"/>
              <w:ind w:left="170"/>
            </w:pPr>
            <w:r>
              <w:t>Catholic school</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0.09 [0.02]***</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0.08 [0.02]***</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0.08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0.08 [0.03]***</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0.05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0.05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0.05 [0.03]*</w:t>
            </w:r>
          </w:p>
        </w:tc>
      </w:tr>
      <w:tr w:rsidR="001F5702" w:rsidTr="004F1A00">
        <w:tc>
          <w:tcPr>
            <w:tcW w:w="4026" w:type="dxa"/>
            <w:tcBorders>
              <w:top w:val="nil"/>
              <w:left w:val="nil"/>
              <w:bottom w:val="nil"/>
              <w:right w:val="nil"/>
            </w:tcBorders>
          </w:tcPr>
          <w:p w:rsidR="001F5702" w:rsidRPr="00B90227" w:rsidRDefault="001F5702" w:rsidP="004F1A00">
            <w:pPr>
              <w:pStyle w:val="Tabletext"/>
              <w:ind w:left="170"/>
            </w:pPr>
            <w:r>
              <w:t>Independent school</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0.08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0.08 [0.03]***</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0.08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0.08 [0.03]***</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0.06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0.05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0.05 [0.03]</w:t>
            </w:r>
          </w:p>
        </w:tc>
      </w:tr>
      <w:tr w:rsidR="001F5702" w:rsidTr="004F1A00">
        <w:tc>
          <w:tcPr>
            <w:tcW w:w="4026" w:type="dxa"/>
            <w:tcBorders>
              <w:top w:val="nil"/>
              <w:left w:val="nil"/>
              <w:bottom w:val="nil"/>
              <w:right w:val="nil"/>
            </w:tcBorders>
          </w:tcPr>
          <w:p w:rsidR="001F5702" w:rsidRPr="00B90227" w:rsidRDefault="001F5702" w:rsidP="004F1A00">
            <w:pPr>
              <w:pStyle w:val="Tabletext"/>
            </w:pPr>
            <w:r>
              <w:t xml:space="preserve">Residential state, </w:t>
            </w:r>
            <w:r w:rsidRPr="00142EF0">
              <w:t>last year at school</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r>
      <w:tr w:rsidR="001F5702" w:rsidTr="004F1A00">
        <w:tc>
          <w:tcPr>
            <w:tcW w:w="4026" w:type="dxa"/>
            <w:tcBorders>
              <w:top w:val="nil"/>
              <w:left w:val="nil"/>
              <w:bottom w:val="nil"/>
              <w:right w:val="nil"/>
            </w:tcBorders>
          </w:tcPr>
          <w:p w:rsidR="001F5702" w:rsidRPr="00B90227" w:rsidRDefault="001F5702" w:rsidP="004F1A00">
            <w:pPr>
              <w:pStyle w:val="Tabletext"/>
              <w:ind w:left="170"/>
            </w:pPr>
            <w:r w:rsidRPr="00B90227">
              <w:t>V</w:t>
            </w:r>
            <w:r>
              <w:t>ic.</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0.02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0.02 [0.03]</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0.02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0.02 [0.03]</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0.03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0.04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0.04 [0.03]</w:t>
            </w:r>
          </w:p>
        </w:tc>
      </w:tr>
      <w:tr w:rsidR="001F5702" w:rsidTr="004F1A00">
        <w:tc>
          <w:tcPr>
            <w:tcW w:w="4026" w:type="dxa"/>
            <w:tcBorders>
              <w:top w:val="nil"/>
              <w:left w:val="nil"/>
              <w:bottom w:val="nil"/>
              <w:right w:val="nil"/>
            </w:tcBorders>
          </w:tcPr>
          <w:p w:rsidR="001F5702" w:rsidRPr="00B90227" w:rsidRDefault="001F5702" w:rsidP="004F1A00">
            <w:pPr>
              <w:pStyle w:val="Tabletext"/>
              <w:ind w:left="170"/>
            </w:pPr>
            <w:r w:rsidRPr="00B90227">
              <w:t>Q</w:t>
            </w:r>
            <w:r>
              <w:t>ld</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0.11 [0.03]***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0.11 [0.02]***</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0.11 [0.02]***</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0.11 [0.02]***</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0.10 [0.02]***</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0.11 [0.02]***</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0.11 [0.02]***</w:t>
            </w:r>
          </w:p>
        </w:tc>
      </w:tr>
      <w:tr w:rsidR="001F5702" w:rsidTr="004F1A00">
        <w:tc>
          <w:tcPr>
            <w:tcW w:w="4026" w:type="dxa"/>
            <w:tcBorders>
              <w:top w:val="nil"/>
              <w:left w:val="nil"/>
              <w:bottom w:val="nil"/>
              <w:right w:val="nil"/>
            </w:tcBorders>
          </w:tcPr>
          <w:p w:rsidR="001F5702" w:rsidRPr="00B90227" w:rsidRDefault="001F5702" w:rsidP="004F1A00">
            <w:pPr>
              <w:pStyle w:val="Tabletext"/>
              <w:ind w:left="170"/>
            </w:pPr>
            <w:r w:rsidRPr="00B90227">
              <w:t>SA</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-0.07 [0.05]</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-0.08 [0.05]</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-0.08 [0.05]</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-0.08 [0.05]</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-0.09 [0.05]*</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-0.09 [0.05]*</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-0.09 [0.05]*</w:t>
            </w:r>
          </w:p>
        </w:tc>
      </w:tr>
      <w:tr w:rsidR="001F5702" w:rsidTr="004F1A00">
        <w:tc>
          <w:tcPr>
            <w:tcW w:w="4026" w:type="dxa"/>
            <w:tcBorders>
              <w:top w:val="nil"/>
              <w:left w:val="nil"/>
              <w:bottom w:val="nil"/>
              <w:right w:val="nil"/>
            </w:tcBorders>
          </w:tcPr>
          <w:p w:rsidR="001F5702" w:rsidRPr="00B90227" w:rsidRDefault="001F5702" w:rsidP="004F1A00">
            <w:pPr>
              <w:pStyle w:val="Tabletext"/>
              <w:ind w:left="170"/>
            </w:pPr>
            <w:r>
              <w:t>WA or NT</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-0.20 [0.05]***</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-0.21 [0.05]***</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-0.21 [0.05]***</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-0.21 [0.05]***</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-0.16 [0.06]***</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-0.16 [0.06]***</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-0.18 [0.06]***</w:t>
            </w:r>
          </w:p>
        </w:tc>
      </w:tr>
      <w:tr w:rsidR="001F5702" w:rsidTr="004F1A00">
        <w:tc>
          <w:tcPr>
            <w:tcW w:w="4026" w:type="dxa"/>
            <w:tcBorders>
              <w:top w:val="nil"/>
              <w:left w:val="nil"/>
              <w:bottom w:val="nil"/>
              <w:right w:val="nil"/>
            </w:tcBorders>
          </w:tcPr>
          <w:p w:rsidR="001F5702" w:rsidRPr="00B90227" w:rsidRDefault="001F5702" w:rsidP="004F1A00">
            <w:pPr>
              <w:pStyle w:val="Tabletext"/>
              <w:ind w:left="170"/>
            </w:pPr>
            <w:r>
              <w:t>Tas.</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-0.18 [0.09]**</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-0.19 [0.09]**</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-0.19 [0.09]**</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-0.19 [0.09]**</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-0.22 [0.10]**</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-0.25 [0.10]**</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-0.21 [0.11]**</w:t>
            </w:r>
          </w:p>
        </w:tc>
      </w:tr>
      <w:tr w:rsidR="001F5702" w:rsidTr="004F1A00">
        <w:tc>
          <w:tcPr>
            <w:tcW w:w="4026" w:type="dxa"/>
            <w:tcBorders>
              <w:top w:val="nil"/>
              <w:left w:val="nil"/>
              <w:bottom w:val="nil"/>
              <w:right w:val="nil"/>
            </w:tcBorders>
          </w:tcPr>
          <w:p w:rsidR="001F5702" w:rsidRPr="00B90227" w:rsidRDefault="001F5702" w:rsidP="004F1A00">
            <w:pPr>
              <w:pStyle w:val="Tabletext"/>
              <w:ind w:left="170"/>
            </w:pPr>
            <w:r>
              <w:t>ACT</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0.07 [0.07]</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0.07 [0.07]</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0.07 [0.07]</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0.07 [0.07]</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0.09 [0.06]*</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0.11 [0.05]**</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0.09 [0.06]</w:t>
            </w:r>
          </w:p>
        </w:tc>
      </w:tr>
      <w:tr w:rsidR="001F5702" w:rsidTr="004F1A00">
        <w:tc>
          <w:tcPr>
            <w:tcW w:w="4026" w:type="dxa"/>
            <w:tcBorders>
              <w:top w:val="nil"/>
              <w:left w:val="nil"/>
              <w:bottom w:val="nil"/>
              <w:right w:val="nil"/>
            </w:tcBorders>
          </w:tcPr>
          <w:p w:rsidR="001F5702" w:rsidRPr="00B90227" w:rsidRDefault="001F5702" w:rsidP="004F1A00">
            <w:pPr>
              <w:pStyle w:val="Tabletext"/>
            </w:pPr>
            <w:r>
              <w:t>SEIFA scales (multiplied by 1000)</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r>
      <w:tr w:rsidR="001F5702" w:rsidTr="004F1A00">
        <w:tc>
          <w:tcPr>
            <w:tcW w:w="4026" w:type="dxa"/>
            <w:tcBorders>
              <w:top w:val="nil"/>
              <w:left w:val="nil"/>
              <w:bottom w:val="nil"/>
              <w:right w:val="nil"/>
            </w:tcBorders>
          </w:tcPr>
          <w:p w:rsidR="001F5702" w:rsidRPr="00B90227" w:rsidRDefault="001F5702" w:rsidP="004F1A00">
            <w:pPr>
              <w:pStyle w:val="Tabletext"/>
              <w:ind w:left="170"/>
            </w:pPr>
            <w:r>
              <w:t xml:space="preserve">Advantage-disadvantage </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0.57 [0.55]</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0.49 [0.55]</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0.43 [0.56]</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0.43 [0.56]</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0.11 [0.58]</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-0.12 [0.58]</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-0.07 [0.58]</w:t>
            </w:r>
          </w:p>
        </w:tc>
      </w:tr>
      <w:tr w:rsidR="001F5702" w:rsidTr="004F1A00">
        <w:tc>
          <w:tcPr>
            <w:tcW w:w="4026" w:type="dxa"/>
            <w:tcBorders>
              <w:top w:val="nil"/>
              <w:left w:val="nil"/>
              <w:bottom w:val="nil"/>
              <w:right w:val="nil"/>
            </w:tcBorders>
          </w:tcPr>
          <w:p w:rsidR="001F5702" w:rsidRPr="00B90227" w:rsidRDefault="001F5702" w:rsidP="004F1A00">
            <w:pPr>
              <w:pStyle w:val="Tabletext"/>
              <w:ind w:left="170"/>
            </w:pPr>
            <w:r>
              <w:t>Education and occupation</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-0.3 [0.53]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-0.27 [0.53]</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-0.23 [0.53]</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-0.23 [0.53]</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0.05 [0.56]</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0.32 [0.56]</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0.34 [0.56]</w:t>
            </w:r>
          </w:p>
        </w:tc>
      </w:tr>
      <w:tr w:rsidR="001F5702" w:rsidTr="004F1A00">
        <w:tc>
          <w:tcPr>
            <w:tcW w:w="4026" w:type="dxa"/>
            <w:tcBorders>
              <w:top w:val="nil"/>
              <w:left w:val="nil"/>
              <w:bottom w:val="nil"/>
              <w:right w:val="nil"/>
            </w:tcBorders>
          </w:tcPr>
          <w:p w:rsidR="001F5702" w:rsidRPr="00B90227" w:rsidRDefault="001F5702" w:rsidP="004F1A00">
            <w:pPr>
              <w:pStyle w:val="Tabletext"/>
            </w:pPr>
            <w:r>
              <w:t>SES – responding parent ANU4 (multiplied by 100)</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Pr>
                <w:rFonts w:cs="Arial"/>
                <w:szCs w:val="16"/>
              </w:rPr>
              <w:t>0.1</w:t>
            </w:r>
            <w:r w:rsidRPr="009B56F8">
              <w:rPr>
                <w:rFonts w:cs="Arial"/>
                <w:szCs w:val="16"/>
              </w:rPr>
              <w:t>2 [0.</w:t>
            </w:r>
            <w:r>
              <w:rPr>
                <w:rFonts w:cs="Arial"/>
                <w:szCs w:val="16"/>
              </w:rPr>
              <w:t>06</w:t>
            </w:r>
            <w:r w:rsidRPr="009B56F8">
              <w:rPr>
                <w:rFonts w:cs="Arial"/>
                <w:szCs w:val="16"/>
              </w:rPr>
              <w:t>]**</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Pr>
                <w:rFonts w:cs="Arial"/>
                <w:szCs w:val="16"/>
              </w:rPr>
              <w:t>0.</w:t>
            </w:r>
            <w:r w:rsidRPr="009B56F8">
              <w:rPr>
                <w:rFonts w:cs="Arial"/>
                <w:szCs w:val="16"/>
              </w:rPr>
              <w:t>1</w:t>
            </w:r>
            <w:r>
              <w:rPr>
                <w:rFonts w:cs="Arial"/>
                <w:szCs w:val="16"/>
              </w:rPr>
              <w:t>0</w:t>
            </w:r>
            <w:r w:rsidRPr="009B56F8">
              <w:rPr>
                <w:rFonts w:cs="Arial"/>
                <w:szCs w:val="16"/>
              </w:rPr>
              <w:t xml:space="preserve"> [0.</w:t>
            </w:r>
            <w:r>
              <w:rPr>
                <w:rFonts w:cs="Arial"/>
                <w:szCs w:val="16"/>
              </w:rPr>
              <w:t>06</w:t>
            </w:r>
            <w:r w:rsidRPr="009B56F8">
              <w:rPr>
                <w:rFonts w:cs="Arial"/>
                <w:szCs w:val="16"/>
              </w:rPr>
              <w:t>]*</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w:t>
            </w:r>
            <w:r>
              <w:rPr>
                <w:rFonts w:cs="Arial"/>
                <w:szCs w:val="16"/>
              </w:rPr>
              <w:t>10</w:t>
            </w:r>
            <w:r w:rsidRPr="009B56F8">
              <w:rPr>
                <w:rFonts w:cs="Arial"/>
                <w:szCs w:val="16"/>
              </w:rPr>
              <w:t>[0.</w:t>
            </w:r>
            <w:r>
              <w:rPr>
                <w:rFonts w:cs="Arial"/>
                <w:szCs w:val="16"/>
              </w:rPr>
              <w:t>06</w:t>
            </w:r>
            <w:r w:rsidRPr="009B56F8">
              <w:rPr>
                <w:rFonts w:cs="Arial"/>
                <w:szCs w:val="16"/>
              </w:rPr>
              <w:t>]*</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w:t>
            </w:r>
            <w:r>
              <w:rPr>
                <w:rFonts w:cs="Arial"/>
                <w:szCs w:val="16"/>
              </w:rPr>
              <w:t>10</w:t>
            </w:r>
            <w:r w:rsidRPr="009B56F8">
              <w:rPr>
                <w:rFonts w:cs="Arial"/>
                <w:szCs w:val="16"/>
              </w:rPr>
              <w:t xml:space="preserve"> [0.</w:t>
            </w:r>
            <w:r>
              <w:rPr>
                <w:rFonts w:cs="Arial"/>
                <w:szCs w:val="16"/>
              </w:rPr>
              <w:t>06</w:t>
            </w:r>
            <w:r w:rsidRPr="009B56F8">
              <w:rPr>
                <w:rFonts w:cs="Arial"/>
                <w:szCs w:val="16"/>
              </w:rPr>
              <w:t>]*</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w:t>
            </w:r>
            <w:r>
              <w:rPr>
                <w:rFonts w:cs="Arial"/>
                <w:szCs w:val="16"/>
              </w:rPr>
              <w:t>0</w:t>
            </w:r>
            <w:r w:rsidRPr="009B56F8">
              <w:rPr>
                <w:rFonts w:cs="Arial"/>
                <w:szCs w:val="16"/>
              </w:rPr>
              <w:t>9 [0.</w:t>
            </w:r>
            <w:r>
              <w:rPr>
                <w:rFonts w:cs="Arial"/>
                <w:szCs w:val="16"/>
              </w:rPr>
              <w:t>06</w:t>
            </w:r>
            <w:r w:rsidRPr="009B56F8">
              <w:rPr>
                <w:rFonts w:cs="Arial"/>
                <w:szCs w:val="16"/>
              </w:rPr>
              <w:t>]</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w:t>
            </w:r>
            <w:r>
              <w:rPr>
                <w:rFonts w:cs="Arial"/>
                <w:szCs w:val="16"/>
              </w:rPr>
              <w:t>0</w:t>
            </w:r>
            <w:r w:rsidRPr="009B56F8">
              <w:rPr>
                <w:rFonts w:cs="Arial"/>
                <w:szCs w:val="16"/>
              </w:rPr>
              <w:t>9 [0.</w:t>
            </w:r>
            <w:r>
              <w:rPr>
                <w:rFonts w:cs="Arial"/>
                <w:szCs w:val="16"/>
              </w:rPr>
              <w:t>06</w:t>
            </w:r>
            <w:r w:rsidRPr="009B56F8">
              <w:rPr>
                <w:rFonts w:cs="Arial"/>
                <w:szCs w:val="16"/>
              </w:rPr>
              <w:t>]</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Pr>
                <w:rFonts w:cs="Arial"/>
                <w:szCs w:val="16"/>
              </w:rPr>
              <w:t>0.</w:t>
            </w:r>
            <w:r w:rsidRPr="009B56F8">
              <w:rPr>
                <w:rFonts w:cs="Arial"/>
                <w:szCs w:val="16"/>
              </w:rPr>
              <w:t>10 [0.</w:t>
            </w:r>
            <w:r>
              <w:rPr>
                <w:rFonts w:cs="Arial"/>
                <w:szCs w:val="16"/>
              </w:rPr>
              <w:t>06</w:t>
            </w:r>
            <w:r w:rsidRPr="009B56F8">
              <w:rPr>
                <w:rFonts w:cs="Arial"/>
                <w:szCs w:val="16"/>
              </w:rPr>
              <w:t>]*</w:t>
            </w:r>
          </w:p>
        </w:tc>
      </w:tr>
      <w:tr w:rsidR="001F5702" w:rsidTr="004F1A00">
        <w:tc>
          <w:tcPr>
            <w:tcW w:w="4026" w:type="dxa"/>
            <w:tcBorders>
              <w:top w:val="nil"/>
              <w:left w:val="nil"/>
              <w:bottom w:val="nil"/>
              <w:right w:val="nil"/>
            </w:tcBorders>
          </w:tcPr>
          <w:p w:rsidR="001F5702" w:rsidRPr="00B90227" w:rsidRDefault="001F5702" w:rsidP="004F1A00">
            <w:pPr>
              <w:pStyle w:val="Tabletext"/>
            </w:pPr>
            <w:r>
              <w:t>Self-assessed school performance, last year at school</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p>
        </w:tc>
      </w:tr>
      <w:tr w:rsidR="001F5702" w:rsidTr="004F1A00">
        <w:tc>
          <w:tcPr>
            <w:tcW w:w="4026" w:type="dxa"/>
            <w:tcBorders>
              <w:top w:val="nil"/>
              <w:left w:val="nil"/>
              <w:bottom w:val="nil"/>
              <w:right w:val="nil"/>
            </w:tcBorders>
          </w:tcPr>
          <w:p w:rsidR="001F5702" w:rsidRPr="00B90227" w:rsidRDefault="001F5702" w:rsidP="004F1A00">
            <w:pPr>
              <w:pStyle w:val="Tabletext"/>
              <w:ind w:left="170"/>
            </w:pPr>
            <w:r>
              <w:t>Better than average</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-0.13 [0.06]**</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-0.13 [0.06]**</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-0.13 [0.06]**</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-0.13 [0.06]**</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-0.12 [0.05]**</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-0.10 [0.05]*</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-0.09 [0.05]*</w:t>
            </w:r>
          </w:p>
        </w:tc>
      </w:tr>
      <w:tr w:rsidR="001F5702" w:rsidTr="004F1A00">
        <w:tc>
          <w:tcPr>
            <w:tcW w:w="4026" w:type="dxa"/>
            <w:tcBorders>
              <w:top w:val="nil"/>
              <w:left w:val="nil"/>
              <w:bottom w:val="nil"/>
              <w:right w:val="nil"/>
            </w:tcBorders>
          </w:tcPr>
          <w:p w:rsidR="001F5702" w:rsidRPr="00B90227" w:rsidRDefault="001F5702" w:rsidP="004F1A00">
            <w:pPr>
              <w:pStyle w:val="Tabletext"/>
              <w:ind w:left="170"/>
            </w:pPr>
            <w:r>
              <w:t>Average</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-0.29 [0.05]***</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-0.29 [0.05]***</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-0.29 [0.05]***</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-0.29 [0.05]***</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-0.26 [0.05]***</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-0.23 [0.05]***</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-0.19 [0.05]***</w:t>
            </w:r>
          </w:p>
        </w:tc>
      </w:tr>
      <w:tr w:rsidR="001F5702" w:rsidTr="004F1A00">
        <w:tc>
          <w:tcPr>
            <w:tcW w:w="4026" w:type="dxa"/>
            <w:tcBorders>
              <w:top w:val="nil"/>
              <w:left w:val="nil"/>
              <w:bottom w:val="nil"/>
              <w:right w:val="nil"/>
            </w:tcBorders>
          </w:tcPr>
          <w:p w:rsidR="001F5702" w:rsidRDefault="001F5702" w:rsidP="004F1A00">
            <w:pPr>
              <w:pStyle w:val="Tabletext"/>
              <w:ind w:left="170"/>
            </w:pPr>
            <w:r>
              <w:t>Below average</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-0.68 [0.05]***</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-0.68 [0.05]***</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-0.68 [0.05]***</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-0.68 [0.05]***</w:t>
            </w:r>
          </w:p>
        </w:tc>
        <w:tc>
          <w:tcPr>
            <w:tcW w:w="1425"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-0.68 [0.07]***</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-0.61 [0.08]***</w:t>
            </w:r>
          </w:p>
        </w:tc>
        <w:tc>
          <w:tcPr>
            <w:tcW w:w="1426" w:type="dxa"/>
            <w:tcBorders>
              <w:top w:val="nil"/>
              <w:left w:val="nil"/>
              <w:bottom w:val="nil"/>
              <w:right w:val="nil"/>
            </w:tcBorders>
          </w:tcPr>
          <w:p w:rsidR="001F5702" w:rsidRPr="009B56F8" w:rsidRDefault="001F5702" w:rsidP="003F6FE2">
            <w:pPr>
              <w:pStyle w:val="Tabletext"/>
              <w:tabs>
                <w:tab w:val="decimal" w:pos="227"/>
              </w:tabs>
              <w:rPr>
                <w:rFonts w:cs="Arial"/>
                <w:szCs w:val="16"/>
              </w:rPr>
            </w:pPr>
            <w:r w:rsidRPr="009B56F8">
              <w:rPr>
                <w:rFonts w:cs="Arial"/>
                <w:szCs w:val="16"/>
              </w:rPr>
              <w:t>-0.59 [0.08]***</w:t>
            </w:r>
          </w:p>
        </w:tc>
      </w:tr>
      <w:tr w:rsidR="004F1A00" w:rsidTr="004F1A00">
        <w:tc>
          <w:tcPr>
            <w:tcW w:w="4026" w:type="dxa"/>
            <w:tcBorders>
              <w:top w:val="nil"/>
              <w:left w:val="nil"/>
              <w:bottom w:val="nil"/>
              <w:right w:val="nil"/>
            </w:tcBorders>
          </w:tcPr>
          <w:p w:rsidR="004F1A00" w:rsidRDefault="004F1A00" w:rsidP="004F1A00">
            <w:pPr>
              <w:pStyle w:val="Tabletext"/>
              <w:rPr>
                <w:b/>
              </w:rPr>
            </w:pPr>
          </w:p>
        </w:tc>
        <w:tc>
          <w:tcPr>
            <w:tcW w:w="1425" w:type="dxa"/>
            <w:tcBorders>
              <w:top w:val="nil"/>
              <w:left w:val="nil"/>
              <w:bottom w:val="nil"/>
              <w:right w:val="nil"/>
            </w:tcBorders>
          </w:tcPr>
          <w:p w:rsidR="004F1A00" w:rsidRPr="009B56F8" w:rsidRDefault="004F1A00" w:rsidP="004F1A00">
            <w:pPr>
              <w:pStyle w:val="Tabletext"/>
              <w:rPr>
                <w:rFonts w:cs="Arial"/>
                <w:szCs w:val="16"/>
              </w:rPr>
            </w:pPr>
          </w:p>
        </w:tc>
        <w:tc>
          <w:tcPr>
            <w:tcW w:w="1426" w:type="dxa"/>
            <w:tcBorders>
              <w:top w:val="nil"/>
              <w:left w:val="nil"/>
              <w:bottom w:val="nil"/>
              <w:right w:val="nil"/>
            </w:tcBorders>
          </w:tcPr>
          <w:p w:rsidR="004F1A00" w:rsidRPr="009B56F8" w:rsidRDefault="004F1A00" w:rsidP="004F1A00">
            <w:pPr>
              <w:pStyle w:val="Tabletext"/>
              <w:rPr>
                <w:rFonts w:cs="Arial"/>
                <w:szCs w:val="16"/>
              </w:rPr>
            </w:pPr>
          </w:p>
        </w:tc>
        <w:tc>
          <w:tcPr>
            <w:tcW w:w="1425" w:type="dxa"/>
            <w:tcBorders>
              <w:top w:val="nil"/>
              <w:left w:val="nil"/>
              <w:bottom w:val="nil"/>
              <w:right w:val="nil"/>
            </w:tcBorders>
          </w:tcPr>
          <w:p w:rsidR="004F1A00" w:rsidRPr="009B56F8" w:rsidRDefault="004F1A00" w:rsidP="004F1A00">
            <w:pPr>
              <w:pStyle w:val="Tabletext"/>
              <w:rPr>
                <w:rFonts w:cs="Arial"/>
                <w:szCs w:val="16"/>
              </w:rPr>
            </w:pPr>
          </w:p>
        </w:tc>
        <w:tc>
          <w:tcPr>
            <w:tcW w:w="1426" w:type="dxa"/>
            <w:tcBorders>
              <w:top w:val="nil"/>
              <w:left w:val="nil"/>
              <w:bottom w:val="nil"/>
              <w:right w:val="nil"/>
            </w:tcBorders>
          </w:tcPr>
          <w:p w:rsidR="004F1A00" w:rsidRPr="009B56F8" w:rsidRDefault="004F1A00" w:rsidP="004F1A00">
            <w:pPr>
              <w:pStyle w:val="Tabletext"/>
              <w:rPr>
                <w:rFonts w:cs="Arial"/>
                <w:szCs w:val="16"/>
              </w:rPr>
            </w:pPr>
          </w:p>
        </w:tc>
        <w:tc>
          <w:tcPr>
            <w:tcW w:w="1425" w:type="dxa"/>
            <w:tcBorders>
              <w:top w:val="nil"/>
              <w:left w:val="nil"/>
              <w:bottom w:val="nil"/>
              <w:right w:val="nil"/>
            </w:tcBorders>
          </w:tcPr>
          <w:p w:rsidR="004F1A00" w:rsidRPr="009B56F8" w:rsidRDefault="004F1A00" w:rsidP="004F1A00">
            <w:pPr>
              <w:pStyle w:val="Tabletext"/>
              <w:rPr>
                <w:rFonts w:cs="Arial"/>
                <w:szCs w:val="16"/>
              </w:rPr>
            </w:pPr>
          </w:p>
        </w:tc>
        <w:tc>
          <w:tcPr>
            <w:tcW w:w="1426" w:type="dxa"/>
            <w:tcBorders>
              <w:top w:val="nil"/>
              <w:left w:val="nil"/>
              <w:bottom w:val="nil"/>
              <w:right w:val="nil"/>
            </w:tcBorders>
          </w:tcPr>
          <w:p w:rsidR="004F1A00" w:rsidRPr="009B56F8" w:rsidRDefault="004F1A00" w:rsidP="004F1A00">
            <w:pPr>
              <w:pStyle w:val="Tabletext"/>
              <w:rPr>
                <w:rFonts w:cs="Arial"/>
                <w:szCs w:val="16"/>
              </w:rPr>
            </w:pPr>
          </w:p>
        </w:tc>
        <w:tc>
          <w:tcPr>
            <w:tcW w:w="1426" w:type="dxa"/>
            <w:tcBorders>
              <w:top w:val="nil"/>
              <w:left w:val="nil"/>
              <w:bottom w:val="nil"/>
              <w:right w:val="nil"/>
            </w:tcBorders>
          </w:tcPr>
          <w:p w:rsidR="004F1A00" w:rsidRPr="009B56F8" w:rsidRDefault="004F1A00" w:rsidP="004F1A00">
            <w:pPr>
              <w:pStyle w:val="Tabletext"/>
              <w:rPr>
                <w:rFonts w:cs="Arial"/>
                <w:szCs w:val="16"/>
              </w:rPr>
            </w:pPr>
          </w:p>
        </w:tc>
      </w:tr>
      <w:tr w:rsidR="004F1A00" w:rsidTr="004F1A00">
        <w:tc>
          <w:tcPr>
            <w:tcW w:w="4026" w:type="dxa"/>
            <w:tcBorders>
              <w:top w:val="nil"/>
              <w:left w:val="nil"/>
              <w:bottom w:val="nil"/>
              <w:right w:val="nil"/>
            </w:tcBorders>
          </w:tcPr>
          <w:p w:rsidR="004F1A00" w:rsidRDefault="004F1A00" w:rsidP="004F1A00">
            <w:pPr>
              <w:pStyle w:val="Tabletext"/>
              <w:rPr>
                <w:b/>
              </w:rPr>
            </w:pPr>
          </w:p>
        </w:tc>
        <w:tc>
          <w:tcPr>
            <w:tcW w:w="1425" w:type="dxa"/>
            <w:tcBorders>
              <w:top w:val="nil"/>
              <w:left w:val="nil"/>
              <w:bottom w:val="nil"/>
              <w:right w:val="nil"/>
            </w:tcBorders>
          </w:tcPr>
          <w:p w:rsidR="004F1A00" w:rsidRPr="009B56F8" w:rsidRDefault="004F1A00" w:rsidP="004F1A00">
            <w:pPr>
              <w:pStyle w:val="Tabletext"/>
              <w:rPr>
                <w:rFonts w:cs="Arial"/>
                <w:szCs w:val="16"/>
              </w:rPr>
            </w:pPr>
          </w:p>
        </w:tc>
        <w:tc>
          <w:tcPr>
            <w:tcW w:w="1426" w:type="dxa"/>
            <w:tcBorders>
              <w:top w:val="nil"/>
              <w:left w:val="nil"/>
              <w:bottom w:val="nil"/>
              <w:right w:val="nil"/>
            </w:tcBorders>
          </w:tcPr>
          <w:p w:rsidR="004F1A00" w:rsidRPr="009B56F8" w:rsidRDefault="004F1A00" w:rsidP="004F1A00">
            <w:pPr>
              <w:pStyle w:val="Tabletext"/>
              <w:rPr>
                <w:rFonts w:cs="Arial"/>
                <w:szCs w:val="16"/>
              </w:rPr>
            </w:pPr>
          </w:p>
        </w:tc>
        <w:tc>
          <w:tcPr>
            <w:tcW w:w="1425" w:type="dxa"/>
            <w:tcBorders>
              <w:top w:val="nil"/>
              <w:left w:val="nil"/>
              <w:bottom w:val="nil"/>
              <w:right w:val="nil"/>
            </w:tcBorders>
          </w:tcPr>
          <w:p w:rsidR="004F1A00" w:rsidRPr="009B56F8" w:rsidRDefault="004F1A00" w:rsidP="004F1A00">
            <w:pPr>
              <w:pStyle w:val="Tabletext"/>
              <w:rPr>
                <w:rFonts w:cs="Arial"/>
                <w:szCs w:val="16"/>
              </w:rPr>
            </w:pPr>
          </w:p>
        </w:tc>
        <w:tc>
          <w:tcPr>
            <w:tcW w:w="1426" w:type="dxa"/>
            <w:tcBorders>
              <w:top w:val="nil"/>
              <w:left w:val="nil"/>
              <w:bottom w:val="nil"/>
              <w:right w:val="nil"/>
            </w:tcBorders>
          </w:tcPr>
          <w:p w:rsidR="004F1A00" w:rsidRPr="009B56F8" w:rsidRDefault="004F1A00" w:rsidP="004F1A00">
            <w:pPr>
              <w:pStyle w:val="Tabletext"/>
              <w:rPr>
                <w:rFonts w:cs="Arial"/>
                <w:szCs w:val="16"/>
              </w:rPr>
            </w:pPr>
          </w:p>
        </w:tc>
        <w:tc>
          <w:tcPr>
            <w:tcW w:w="1425" w:type="dxa"/>
            <w:tcBorders>
              <w:top w:val="nil"/>
              <w:left w:val="nil"/>
              <w:bottom w:val="nil"/>
              <w:right w:val="nil"/>
            </w:tcBorders>
          </w:tcPr>
          <w:p w:rsidR="004F1A00" w:rsidRPr="009B56F8" w:rsidRDefault="004F1A00" w:rsidP="004F1A00">
            <w:pPr>
              <w:pStyle w:val="Tabletext"/>
              <w:rPr>
                <w:rFonts w:cs="Arial"/>
                <w:szCs w:val="16"/>
              </w:rPr>
            </w:pPr>
          </w:p>
        </w:tc>
        <w:tc>
          <w:tcPr>
            <w:tcW w:w="1426" w:type="dxa"/>
            <w:tcBorders>
              <w:top w:val="nil"/>
              <w:left w:val="nil"/>
              <w:bottom w:val="nil"/>
              <w:right w:val="nil"/>
            </w:tcBorders>
          </w:tcPr>
          <w:p w:rsidR="004F1A00" w:rsidRPr="009B56F8" w:rsidRDefault="004F1A00" w:rsidP="004F1A00">
            <w:pPr>
              <w:pStyle w:val="Tabletext"/>
              <w:rPr>
                <w:rFonts w:cs="Arial"/>
                <w:szCs w:val="16"/>
              </w:rPr>
            </w:pPr>
          </w:p>
        </w:tc>
        <w:tc>
          <w:tcPr>
            <w:tcW w:w="1426" w:type="dxa"/>
            <w:tcBorders>
              <w:top w:val="nil"/>
              <w:left w:val="nil"/>
              <w:bottom w:val="nil"/>
              <w:right w:val="nil"/>
            </w:tcBorders>
          </w:tcPr>
          <w:p w:rsidR="004F1A00" w:rsidRPr="009B56F8" w:rsidRDefault="004F1A00" w:rsidP="004F1A00">
            <w:pPr>
              <w:pStyle w:val="Tabletext"/>
              <w:rPr>
                <w:rFonts w:cs="Arial"/>
                <w:szCs w:val="16"/>
              </w:rPr>
            </w:pPr>
          </w:p>
        </w:tc>
      </w:tr>
      <w:tr w:rsidR="001F5702" w:rsidTr="004F1A00">
        <w:tc>
          <w:tcPr>
            <w:tcW w:w="4026" w:type="dxa"/>
            <w:tcBorders>
              <w:top w:val="nil"/>
              <w:left w:val="nil"/>
              <w:bottom w:val="nil"/>
              <w:right w:val="nil"/>
            </w:tcBorders>
          </w:tcPr>
          <w:p w:rsidR="001F5702" w:rsidRPr="008F67ED" w:rsidRDefault="001F5702" w:rsidP="004F1A00">
            <w:pPr>
              <w:pStyle w:val="Tabletext"/>
              <w:rPr>
                <w:b/>
              </w:rPr>
            </w:pPr>
            <w:r>
              <w:rPr>
                <w:b/>
              </w:rPr>
              <w:lastRenderedPageBreak/>
              <w:t>Family income</w:t>
            </w: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4F1A00">
            <w:pPr>
              <w:pStyle w:val="Tabletext"/>
              <w:rPr>
                <w:rFonts w:cs="Arial"/>
                <w:szCs w:val="16"/>
              </w:rPr>
            </w:pP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4F1A00">
            <w:pPr>
              <w:pStyle w:val="Tabletext"/>
              <w:rPr>
                <w:rFonts w:cs="Arial"/>
                <w:szCs w:val="16"/>
              </w:rPr>
            </w:pP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4F1A00">
            <w:pPr>
              <w:pStyle w:val="Tabletext"/>
              <w:rPr>
                <w:rFonts w:cs="Arial"/>
                <w:szCs w:val="16"/>
              </w:rPr>
            </w:pPr>
          </w:p>
        </w:tc>
      </w:tr>
      <w:tr w:rsidR="001F5702" w:rsidTr="004F1A00">
        <w:tc>
          <w:tcPr>
            <w:tcW w:w="4026" w:type="dxa"/>
            <w:tcBorders>
              <w:top w:val="nil"/>
              <w:left w:val="nil"/>
              <w:bottom w:val="nil"/>
              <w:right w:val="nil"/>
            </w:tcBorders>
          </w:tcPr>
          <w:p w:rsidR="001F5702" w:rsidRPr="00B90227" w:rsidRDefault="001F5702" w:rsidP="004F1A00">
            <w:pPr>
              <w:pStyle w:val="Tabletext"/>
            </w:pPr>
            <w:r>
              <w:t>Family income – parental income (AU$1000)</w:t>
            </w: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Mar>
              <w:left w:w="0" w:type="dxa"/>
              <w:right w:w="0" w:type="dxa"/>
            </w:tcMar>
          </w:tcPr>
          <w:p w:rsidR="001F5702" w:rsidRPr="009B56F8" w:rsidRDefault="001F5702" w:rsidP="003F6FE2">
            <w:pPr>
              <w:pStyle w:val="Tabletext"/>
              <w:tabs>
                <w:tab w:val="decimal" w:pos="227"/>
              </w:tabs>
              <w:rPr>
                <w:rFonts w:cs="Arial"/>
                <w:szCs w:val="16"/>
              </w:rPr>
            </w:pPr>
            <w:r w:rsidRPr="009B56F8">
              <w:rPr>
                <w:rFonts w:cs="Arial"/>
                <w:szCs w:val="16"/>
              </w:rPr>
              <w:t>0.</w:t>
            </w:r>
            <w:r>
              <w:rPr>
                <w:rFonts w:cs="Arial"/>
                <w:szCs w:val="16"/>
              </w:rPr>
              <w:t>000</w:t>
            </w:r>
            <w:r w:rsidRPr="009B56F8">
              <w:rPr>
                <w:rFonts w:cs="Arial"/>
                <w:szCs w:val="16"/>
              </w:rPr>
              <w:t>5 [0.</w:t>
            </w:r>
            <w:r>
              <w:rPr>
                <w:rFonts w:cs="Arial"/>
                <w:szCs w:val="16"/>
              </w:rPr>
              <w:t>000</w:t>
            </w:r>
            <w:r w:rsidRPr="009B56F8">
              <w:rPr>
                <w:rFonts w:cs="Arial"/>
                <w:szCs w:val="16"/>
              </w:rPr>
              <w:t>2]**</w:t>
            </w:r>
          </w:p>
        </w:tc>
        <w:tc>
          <w:tcPr>
            <w:tcW w:w="1425" w:type="dxa"/>
            <w:tcBorders>
              <w:top w:val="nil"/>
              <w:left w:val="nil"/>
              <w:bottom w:val="nil"/>
              <w:right w:val="nil"/>
            </w:tcBorders>
            <w:tcMar>
              <w:left w:w="0" w:type="dxa"/>
              <w:right w:w="0" w:type="dxa"/>
            </w:tcMar>
          </w:tcPr>
          <w:p w:rsidR="001F5702" w:rsidRPr="009B56F8" w:rsidRDefault="001F5702" w:rsidP="003F6FE2">
            <w:pPr>
              <w:pStyle w:val="Tabletext"/>
              <w:tabs>
                <w:tab w:val="decimal" w:pos="227"/>
              </w:tabs>
              <w:rPr>
                <w:rFonts w:cs="Arial"/>
                <w:szCs w:val="16"/>
              </w:rPr>
            </w:pPr>
            <w:r w:rsidRPr="009B56F8">
              <w:rPr>
                <w:rFonts w:cs="Arial"/>
                <w:szCs w:val="16"/>
              </w:rPr>
              <w:t>0.</w:t>
            </w:r>
            <w:r>
              <w:rPr>
                <w:rFonts w:cs="Arial"/>
                <w:szCs w:val="16"/>
              </w:rPr>
              <w:t>000</w:t>
            </w:r>
            <w:r w:rsidRPr="009B56F8">
              <w:rPr>
                <w:rFonts w:cs="Arial"/>
                <w:szCs w:val="16"/>
              </w:rPr>
              <w:t>5 [0.</w:t>
            </w:r>
            <w:r>
              <w:rPr>
                <w:rFonts w:cs="Arial"/>
                <w:szCs w:val="16"/>
              </w:rPr>
              <w:t>000</w:t>
            </w:r>
            <w:r w:rsidRPr="009B56F8">
              <w:rPr>
                <w:rFonts w:cs="Arial"/>
                <w:szCs w:val="16"/>
              </w:rPr>
              <w:t>2]**</w:t>
            </w:r>
          </w:p>
        </w:tc>
        <w:tc>
          <w:tcPr>
            <w:tcW w:w="1426" w:type="dxa"/>
            <w:tcBorders>
              <w:top w:val="nil"/>
              <w:left w:val="nil"/>
              <w:bottom w:val="nil"/>
              <w:right w:val="nil"/>
            </w:tcBorders>
            <w:tcMar>
              <w:left w:w="0" w:type="dxa"/>
              <w:right w:w="0" w:type="dxa"/>
            </w:tcMar>
          </w:tcPr>
          <w:p w:rsidR="001F5702" w:rsidRPr="009B56F8" w:rsidRDefault="001F5702" w:rsidP="003F6FE2">
            <w:pPr>
              <w:pStyle w:val="Tabletext"/>
              <w:tabs>
                <w:tab w:val="decimal" w:pos="227"/>
              </w:tabs>
              <w:rPr>
                <w:rFonts w:cs="Arial"/>
                <w:szCs w:val="16"/>
              </w:rPr>
            </w:pPr>
            <w:r w:rsidRPr="009B56F8">
              <w:rPr>
                <w:rFonts w:cs="Arial"/>
                <w:szCs w:val="16"/>
              </w:rPr>
              <w:t>0.</w:t>
            </w:r>
            <w:r>
              <w:rPr>
                <w:rFonts w:cs="Arial"/>
                <w:szCs w:val="16"/>
              </w:rPr>
              <w:t>000</w:t>
            </w:r>
            <w:r w:rsidRPr="009B56F8">
              <w:rPr>
                <w:rFonts w:cs="Arial"/>
                <w:szCs w:val="16"/>
              </w:rPr>
              <w:t>5 [0.</w:t>
            </w:r>
            <w:r>
              <w:rPr>
                <w:rFonts w:cs="Arial"/>
                <w:szCs w:val="16"/>
              </w:rPr>
              <w:t>000</w:t>
            </w:r>
            <w:r w:rsidRPr="009B56F8">
              <w:rPr>
                <w:rFonts w:cs="Arial"/>
                <w:szCs w:val="16"/>
              </w:rPr>
              <w:t>2]**</w:t>
            </w:r>
          </w:p>
        </w:tc>
        <w:tc>
          <w:tcPr>
            <w:tcW w:w="1425" w:type="dxa"/>
            <w:tcBorders>
              <w:top w:val="nil"/>
              <w:left w:val="nil"/>
              <w:bottom w:val="nil"/>
              <w:right w:val="nil"/>
            </w:tcBorders>
            <w:tcMar>
              <w:left w:w="0" w:type="dxa"/>
              <w:right w:w="0" w:type="dxa"/>
            </w:tcMar>
          </w:tcPr>
          <w:p w:rsidR="001F5702" w:rsidRPr="009B56F8" w:rsidRDefault="001F5702" w:rsidP="003F6FE2">
            <w:pPr>
              <w:pStyle w:val="Tabletext"/>
              <w:tabs>
                <w:tab w:val="decimal" w:pos="227"/>
              </w:tabs>
              <w:rPr>
                <w:rFonts w:cs="Arial"/>
                <w:szCs w:val="16"/>
              </w:rPr>
            </w:pPr>
            <w:r w:rsidRPr="009B56F8">
              <w:rPr>
                <w:rFonts w:cs="Arial"/>
                <w:szCs w:val="16"/>
              </w:rPr>
              <w:t>0.</w:t>
            </w:r>
            <w:r>
              <w:rPr>
                <w:rFonts w:cs="Arial"/>
                <w:szCs w:val="16"/>
              </w:rPr>
              <w:t>000</w:t>
            </w:r>
            <w:r w:rsidRPr="009B56F8">
              <w:rPr>
                <w:rFonts w:cs="Arial"/>
                <w:szCs w:val="16"/>
              </w:rPr>
              <w:t>5</w:t>
            </w:r>
            <w:r>
              <w:rPr>
                <w:rFonts w:cs="Arial"/>
                <w:szCs w:val="16"/>
              </w:rPr>
              <w:t>6</w:t>
            </w:r>
            <w:r w:rsidR="004F1A00">
              <w:rPr>
                <w:rFonts w:cs="Arial"/>
                <w:szCs w:val="16"/>
              </w:rPr>
              <w:t xml:space="preserve"> </w:t>
            </w:r>
            <w:r w:rsidRPr="009B56F8">
              <w:rPr>
                <w:rFonts w:cs="Arial"/>
                <w:szCs w:val="16"/>
              </w:rPr>
              <w:t>[0.</w:t>
            </w:r>
            <w:r>
              <w:rPr>
                <w:rFonts w:cs="Arial"/>
                <w:szCs w:val="16"/>
              </w:rPr>
              <w:t>000</w:t>
            </w:r>
            <w:r w:rsidRPr="009B56F8">
              <w:rPr>
                <w:rFonts w:cs="Arial"/>
                <w:szCs w:val="16"/>
              </w:rPr>
              <w:t>2]**</w:t>
            </w:r>
          </w:p>
        </w:tc>
        <w:tc>
          <w:tcPr>
            <w:tcW w:w="1426" w:type="dxa"/>
            <w:tcBorders>
              <w:top w:val="nil"/>
              <w:left w:val="nil"/>
              <w:bottom w:val="nil"/>
              <w:right w:val="nil"/>
            </w:tcBorders>
            <w:tcMar>
              <w:left w:w="0" w:type="dxa"/>
              <w:right w:w="0" w:type="dxa"/>
            </w:tcMar>
          </w:tcPr>
          <w:p w:rsidR="001F5702" w:rsidRPr="009B56F8" w:rsidRDefault="001F5702" w:rsidP="003F6FE2">
            <w:pPr>
              <w:pStyle w:val="Tabletext"/>
              <w:tabs>
                <w:tab w:val="decimal" w:pos="227"/>
              </w:tabs>
              <w:rPr>
                <w:rFonts w:cs="Arial"/>
                <w:szCs w:val="16"/>
              </w:rPr>
            </w:pPr>
            <w:r w:rsidRPr="009B56F8">
              <w:rPr>
                <w:rFonts w:cs="Arial"/>
                <w:szCs w:val="16"/>
              </w:rPr>
              <w:t>0.</w:t>
            </w:r>
            <w:r>
              <w:rPr>
                <w:rFonts w:cs="Arial"/>
                <w:szCs w:val="16"/>
              </w:rPr>
              <w:t>000</w:t>
            </w:r>
            <w:r w:rsidRPr="009B56F8">
              <w:rPr>
                <w:rFonts w:cs="Arial"/>
                <w:szCs w:val="16"/>
              </w:rPr>
              <w:t>5 [0.</w:t>
            </w:r>
            <w:r>
              <w:rPr>
                <w:rFonts w:cs="Arial"/>
                <w:szCs w:val="16"/>
              </w:rPr>
              <w:t>000</w:t>
            </w:r>
            <w:r w:rsidRPr="009B56F8">
              <w:rPr>
                <w:rFonts w:cs="Arial"/>
                <w:szCs w:val="16"/>
              </w:rPr>
              <w:t>2]**</w:t>
            </w:r>
          </w:p>
        </w:tc>
        <w:tc>
          <w:tcPr>
            <w:tcW w:w="1426" w:type="dxa"/>
            <w:tcBorders>
              <w:top w:val="nil"/>
              <w:left w:val="nil"/>
              <w:bottom w:val="nil"/>
              <w:right w:val="nil"/>
            </w:tcBorders>
            <w:tcMar>
              <w:left w:w="0" w:type="dxa"/>
              <w:right w:w="0" w:type="dxa"/>
            </w:tcMar>
          </w:tcPr>
          <w:p w:rsidR="001F5702" w:rsidRPr="009B56F8" w:rsidRDefault="001F5702" w:rsidP="003F6FE2">
            <w:pPr>
              <w:pStyle w:val="Tabletext"/>
              <w:tabs>
                <w:tab w:val="decimal" w:pos="227"/>
              </w:tabs>
              <w:rPr>
                <w:rFonts w:cs="Arial"/>
                <w:szCs w:val="16"/>
              </w:rPr>
            </w:pPr>
            <w:r w:rsidRPr="009B56F8">
              <w:rPr>
                <w:rFonts w:cs="Arial"/>
                <w:szCs w:val="16"/>
              </w:rPr>
              <w:t>0.</w:t>
            </w:r>
            <w:r>
              <w:rPr>
                <w:rFonts w:cs="Arial"/>
                <w:szCs w:val="16"/>
              </w:rPr>
              <w:t>0006</w:t>
            </w:r>
            <w:r w:rsidR="004F1A00">
              <w:rPr>
                <w:rFonts w:cs="Arial"/>
                <w:szCs w:val="16"/>
              </w:rPr>
              <w:t xml:space="preserve"> </w:t>
            </w:r>
            <w:r w:rsidRPr="009B56F8">
              <w:rPr>
                <w:rFonts w:cs="Arial"/>
                <w:szCs w:val="16"/>
              </w:rPr>
              <w:t>[0.</w:t>
            </w:r>
            <w:r>
              <w:rPr>
                <w:rFonts w:cs="Arial"/>
                <w:szCs w:val="16"/>
              </w:rPr>
              <w:t>000</w:t>
            </w:r>
            <w:r w:rsidRPr="009B56F8">
              <w:rPr>
                <w:rFonts w:cs="Arial"/>
                <w:szCs w:val="16"/>
              </w:rPr>
              <w:t>2]**</w:t>
            </w:r>
          </w:p>
        </w:tc>
      </w:tr>
      <w:tr w:rsidR="001F5702" w:rsidTr="004F1A00">
        <w:tc>
          <w:tcPr>
            <w:tcW w:w="4026" w:type="dxa"/>
            <w:tcBorders>
              <w:top w:val="nil"/>
              <w:left w:val="nil"/>
              <w:bottom w:val="nil"/>
              <w:right w:val="nil"/>
            </w:tcBorders>
          </w:tcPr>
          <w:p w:rsidR="001F5702" w:rsidRPr="00B90227" w:rsidRDefault="001F5702" w:rsidP="004F1A00">
            <w:pPr>
              <w:pStyle w:val="Tabletext"/>
            </w:pPr>
            <w:r>
              <w:t>Family income is zero or not able to be estimated</w:t>
            </w: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-0.07 [0.05]</w:t>
            </w: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-0.06 [0.05]</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-0.06 [0.05]</w:t>
            </w: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-0.02 [0.05]</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-0.03 [0.05]</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-0.02 [0.05]</w:t>
            </w:r>
          </w:p>
        </w:tc>
      </w:tr>
      <w:tr w:rsidR="001F5702" w:rsidTr="004F1A00">
        <w:tc>
          <w:tcPr>
            <w:tcW w:w="4026" w:type="dxa"/>
            <w:tcBorders>
              <w:top w:val="nil"/>
              <w:left w:val="nil"/>
              <w:bottom w:val="nil"/>
              <w:right w:val="nil"/>
            </w:tcBorders>
          </w:tcPr>
          <w:p w:rsidR="001F5702" w:rsidRPr="008F67ED" w:rsidRDefault="001F5702" w:rsidP="004F1A00">
            <w:pPr>
              <w:pStyle w:val="Tabletext"/>
              <w:rPr>
                <w:b/>
              </w:rPr>
            </w:pPr>
            <w:r>
              <w:rPr>
                <w:b/>
              </w:rPr>
              <w:t>Family income support</w:t>
            </w: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r>
      <w:tr w:rsidR="001F5702" w:rsidTr="004F1A00">
        <w:tc>
          <w:tcPr>
            <w:tcW w:w="4026" w:type="dxa"/>
            <w:tcBorders>
              <w:top w:val="nil"/>
              <w:left w:val="nil"/>
              <w:bottom w:val="nil"/>
              <w:right w:val="nil"/>
            </w:tcBorders>
          </w:tcPr>
          <w:p w:rsidR="001F5702" w:rsidRPr="00F21868" w:rsidRDefault="001F5702" w:rsidP="004F1A00">
            <w:pPr>
              <w:pStyle w:val="Tabletext"/>
              <w:rPr>
                <w:i/>
              </w:rPr>
            </w:pPr>
            <w:r>
              <w:t>Intensive income support</w:t>
            </w: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-0.04 [0.04]</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-0.04 [0.04]</w:t>
            </w: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-0.02 [0.04]</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0.00 [0.04]</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-0.01 [0.04]</w:t>
            </w:r>
          </w:p>
        </w:tc>
      </w:tr>
      <w:tr w:rsidR="001F5702" w:rsidTr="004F1A00">
        <w:tc>
          <w:tcPr>
            <w:tcW w:w="4026" w:type="dxa"/>
            <w:tcBorders>
              <w:top w:val="nil"/>
              <w:left w:val="nil"/>
              <w:bottom w:val="nil"/>
              <w:right w:val="nil"/>
            </w:tcBorders>
          </w:tcPr>
          <w:p w:rsidR="001F5702" w:rsidRPr="00B90227" w:rsidRDefault="001F5702" w:rsidP="004F1A00">
            <w:pPr>
              <w:pStyle w:val="Tabletext"/>
            </w:pPr>
            <w:r>
              <w:t>Late moderate income support</w:t>
            </w: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0.01 [0.03]</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0.02 [0.03]</w:t>
            </w: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0.02 [0.03]</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0.03 [0.03]</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0.02 [0.03]</w:t>
            </w:r>
          </w:p>
        </w:tc>
      </w:tr>
      <w:tr w:rsidR="001F5702" w:rsidTr="004F1A00">
        <w:tc>
          <w:tcPr>
            <w:tcW w:w="4026" w:type="dxa"/>
            <w:tcBorders>
              <w:top w:val="nil"/>
              <w:left w:val="nil"/>
              <w:bottom w:val="nil"/>
              <w:right w:val="nil"/>
            </w:tcBorders>
          </w:tcPr>
          <w:p w:rsidR="001F5702" w:rsidRPr="00B90227" w:rsidRDefault="001F5702" w:rsidP="004F1A00">
            <w:pPr>
              <w:pStyle w:val="Tabletext"/>
            </w:pPr>
            <w:r>
              <w:t>Early moderate income support</w:t>
            </w: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-0.01 [0.03]</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-0.01 [0.03]</w:t>
            </w: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-0.02 [0.03]</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0.00 [0.03]</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0.00 [0.03]</w:t>
            </w:r>
          </w:p>
        </w:tc>
      </w:tr>
      <w:tr w:rsidR="001F5702" w:rsidTr="004F1A00">
        <w:tc>
          <w:tcPr>
            <w:tcW w:w="4026" w:type="dxa"/>
            <w:tcBorders>
              <w:top w:val="nil"/>
              <w:left w:val="nil"/>
              <w:bottom w:val="nil"/>
              <w:right w:val="nil"/>
            </w:tcBorders>
          </w:tcPr>
          <w:p w:rsidR="001F5702" w:rsidRPr="00B90227" w:rsidRDefault="001F5702" w:rsidP="004F1A00">
            <w:pPr>
              <w:pStyle w:val="Tabletext"/>
            </w:pPr>
            <w:r>
              <w:t>Number of marriages/relationships, principal responding parent</w:t>
            </w: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-0.01 [0.02]</w:t>
            </w: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0.00 [0.02]</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0.01 [0.02]</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0.02 [0.02]</w:t>
            </w:r>
          </w:p>
        </w:tc>
      </w:tr>
      <w:tr w:rsidR="001F5702" w:rsidTr="004F1A00">
        <w:tc>
          <w:tcPr>
            <w:tcW w:w="4026" w:type="dxa"/>
            <w:tcBorders>
              <w:top w:val="nil"/>
              <w:left w:val="nil"/>
              <w:bottom w:val="nil"/>
              <w:right w:val="nil"/>
            </w:tcBorders>
          </w:tcPr>
          <w:p w:rsidR="001F5702" w:rsidRPr="006A7900" w:rsidRDefault="001F5702" w:rsidP="004F1A00">
            <w:pPr>
              <w:pStyle w:val="Tabletext"/>
              <w:rPr>
                <w:b/>
              </w:rPr>
            </w:pPr>
            <w:r>
              <w:rPr>
                <w:b/>
              </w:rPr>
              <w:t>Parent factors</w:t>
            </w: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r>
      <w:tr w:rsidR="001F5702" w:rsidTr="004F1A00">
        <w:tc>
          <w:tcPr>
            <w:tcW w:w="4026" w:type="dxa"/>
            <w:tcBorders>
              <w:top w:val="nil"/>
              <w:left w:val="nil"/>
              <w:bottom w:val="nil"/>
              <w:right w:val="nil"/>
            </w:tcBorders>
          </w:tcPr>
          <w:p w:rsidR="001F5702" w:rsidRPr="00B90227" w:rsidRDefault="001F5702" w:rsidP="004F1A00">
            <w:pPr>
              <w:pStyle w:val="Tabletext"/>
            </w:pPr>
            <w:r>
              <w:t>Parents often read to respondent at night when younger</w:t>
            </w: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-0.01 [0.02]</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-0.01 [0.02]</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-0.03 [0.02]</w:t>
            </w:r>
          </w:p>
        </w:tc>
      </w:tr>
      <w:tr w:rsidR="001F5702" w:rsidTr="004F1A00">
        <w:tc>
          <w:tcPr>
            <w:tcW w:w="4026" w:type="dxa"/>
            <w:tcBorders>
              <w:top w:val="nil"/>
              <w:left w:val="nil"/>
              <w:bottom w:val="nil"/>
              <w:right w:val="nil"/>
            </w:tcBorders>
          </w:tcPr>
          <w:p w:rsidR="001F5702" w:rsidRPr="00B90227" w:rsidRDefault="001F5702" w:rsidP="004F1A00">
            <w:pPr>
              <w:pStyle w:val="Tabletext"/>
            </w:pPr>
            <w:r>
              <w:t>Parents often helped respondent with schoolwork</w:t>
            </w: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-0.03 [0.02]</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-0.02 [0.02]</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-0.02 [0.02]</w:t>
            </w:r>
          </w:p>
        </w:tc>
      </w:tr>
      <w:tr w:rsidR="001F5702" w:rsidTr="004F1A00">
        <w:tc>
          <w:tcPr>
            <w:tcW w:w="4026" w:type="dxa"/>
            <w:tcBorders>
              <w:top w:val="nil"/>
              <w:left w:val="nil"/>
              <w:bottom w:val="nil"/>
              <w:right w:val="nil"/>
            </w:tcBorders>
          </w:tcPr>
          <w:p w:rsidR="001F5702" w:rsidRPr="000C7270" w:rsidRDefault="001F5702" w:rsidP="004F1A00">
            <w:pPr>
              <w:pStyle w:val="Tabletext"/>
              <w:rPr>
                <w:b/>
              </w:rPr>
            </w:pPr>
            <w:r>
              <w:rPr>
                <w:b/>
              </w:rPr>
              <w:t>Respondent’s student experiences</w:t>
            </w: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r>
      <w:tr w:rsidR="001F5702" w:rsidTr="004F1A00">
        <w:tc>
          <w:tcPr>
            <w:tcW w:w="4026" w:type="dxa"/>
            <w:tcBorders>
              <w:top w:val="nil"/>
              <w:left w:val="nil"/>
              <w:bottom w:val="nil"/>
              <w:right w:val="nil"/>
            </w:tcBorders>
          </w:tcPr>
          <w:p w:rsidR="001F5702" w:rsidRPr="00B90227" w:rsidRDefault="001F5702" w:rsidP="004F1A00">
            <w:pPr>
              <w:pStyle w:val="Tabletext"/>
            </w:pPr>
            <w:r>
              <w:t>Ever repeated a school grade</w:t>
            </w: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-0.3</w:t>
            </w:r>
            <w:r>
              <w:rPr>
                <w:rFonts w:cs="Arial"/>
                <w:szCs w:val="16"/>
              </w:rPr>
              <w:t>0</w:t>
            </w:r>
            <w:r w:rsidRPr="009B56F8">
              <w:rPr>
                <w:rFonts w:cs="Arial"/>
                <w:szCs w:val="16"/>
              </w:rPr>
              <w:t xml:space="preserve"> [0.06]***</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-0.32 [0.07]***</w:t>
            </w:r>
          </w:p>
        </w:tc>
      </w:tr>
      <w:tr w:rsidR="001F5702" w:rsidTr="004F1A00">
        <w:tc>
          <w:tcPr>
            <w:tcW w:w="4026" w:type="dxa"/>
            <w:tcBorders>
              <w:top w:val="nil"/>
              <w:left w:val="nil"/>
              <w:bottom w:val="nil"/>
              <w:right w:val="nil"/>
            </w:tcBorders>
          </w:tcPr>
          <w:p w:rsidR="001F5702" w:rsidRPr="00B90227" w:rsidRDefault="001F5702" w:rsidP="004F1A00">
            <w:pPr>
              <w:pStyle w:val="Tabletext"/>
            </w:pPr>
            <w:r>
              <w:t>Number of primary and secondary schools attended</w:t>
            </w: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0.00 [0.00]</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0.00 [0.00]</w:t>
            </w:r>
          </w:p>
        </w:tc>
      </w:tr>
      <w:tr w:rsidR="001F5702" w:rsidTr="004F1A00">
        <w:tc>
          <w:tcPr>
            <w:tcW w:w="4026" w:type="dxa"/>
            <w:tcBorders>
              <w:top w:val="nil"/>
              <w:left w:val="nil"/>
              <w:bottom w:val="nil"/>
              <w:right w:val="nil"/>
            </w:tcBorders>
          </w:tcPr>
          <w:p w:rsidR="001F5702" w:rsidRPr="00B90227" w:rsidRDefault="001F5702" w:rsidP="004F1A00">
            <w:pPr>
              <w:pStyle w:val="Tabletext"/>
            </w:pPr>
            <w:r>
              <w:t>Ever suspended from secondary school</w:t>
            </w: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-0.19 [0.04]***</w:t>
            </w: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-0.13 [0.04]***</w:t>
            </w:r>
          </w:p>
        </w:tc>
      </w:tr>
      <w:tr w:rsidR="001F5702" w:rsidTr="004F1A00">
        <w:tc>
          <w:tcPr>
            <w:tcW w:w="4026" w:type="dxa"/>
            <w:tcBorders>
              <w:top w:val="nil"/>
              <w:left w:val="nil"/>
              <w:bottom w:val="nil"/>
              <w:right w:val="nil"/>
            </w:tcBorders>
          </w:tcPr>
          <w:p w:rsidR="001F5702" w:rsidRPr="000C7270" w:rsidRDefault="001F5702" w:rsidP="004F1A00">
            <w:pPr>
              <w:pStyle w:val="Tabletext"/>
              <w:rPr>
                <w:b/>
              </w:rPr>
            </w:pPr>
            <w:r>
              <w:rPr>
                <w:b/>
              </w:rPr>
              <w:t>Risk behaviours</w:t>
            </w: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r>
      <w:tr w:rsidR="001F5702" w:rsidTr="004F1A00">
        <w:tc>
          <w:tcPr>
            <w:tcW w:w="4026" w:type="dxa"/>
            <w:tcBorders>
              <w:top w:val="nil"/>
              <w:left w:val="nil"/>
              <w:bottom w:val="nil"/>
              <w:right w:val="nil"/>
            </w:tcBorders>
          </w:tcPr>
          <w:p w:rsidR="001F5702" w:rsidRPr="00B90227" w:rsidRDefault="001F5702" w:rsidP="004F1A00">
            <w:pPr>
              <w:pStyle w:val="Tabletext"/>
            </w:pPr>
            <w:r>
              <w:t>Ever smoked</w:t>
            </w: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-0.08 [0.03]**</w:t>
            </w:r>
          </w:p>
        </w:tc>
      </w:tr>
      <w:tr w:rsidR="001F5702" w:rsidTr="004F1A00">
        <w:tc>
          <w:tcPr>
            <w:tcW w:w="4026" w:type="dxa"/>
            <w:tcBorders>
              <w:top w:val="nil"/>
              <w:left w:val="nil"/>
              <w:bottom w:val="nil"/>
              <w:right w:val="nil"/>
            </w:tcBorders>
          </w:tcPr>
          <w:p w:rsidR="001F5702" w:rsidRPr="00B90227" w:rsidRDefault="001F5702" w:rsidP="004F1A00">
            <w:pPr>
              <w:pStyle w:val="Tabletext"/>
            </w:pPr>
            <w:r>
              <w:t>Ever drunk alcohol</w:t>
            </w: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r w:rsidRPr="009B56F8">
              <w:rPr>
                <w:rFonts w:cs="Arial"/>
                <w:szCs w:val="16"/>
              </w:rPr>
              <w:t>-0.07 [0.03]**</w:t>
            </w:r>
          </w:p>
        </w:tc>
      </w:tr>
      <w:tr w:rsidR="001F5702" w:rsidTr="004F1A00">
        <w:tc>
          <w:tcPr>
            <w:tcW w:w="4026" w:type="dxa"/>
            <w:tcBorders>
              <w:top w:val="nil"/>
              <w:left w:val="nil"/>
              <w:bottom w:val="nil"/>
              <w:right w:val="nil"/>
            </w:tcBorders>
          </w:tcPr>
          <w:p w:rsidR="001F5702" w:rsidRPr="00B90227" w:rsidRDefault="001F5702" w:rsidP="004F1A00">
            <w:pPr>
              <w:pStyle w:val="Tabletext"/>
            </w:pPr>
            <w:r>
              <w:t>Ever tried marijuana</w:t>
            </w:r>
          </w:p>
        </w:tc>
        <w:tc>
          <w:tcPr>
            <w:tcW w:w="1425" w:type="dxa"/>
            <w:tcBorders>
              <w:top w:val="nil"/>
              <w:left w:val="nil"/>
              <w:bottom w:val="nil"/>
              <w:right w:val="nil"/>
            </w:tcBorders>
          </w:tcPr>
          <w:p w:rsidR="001F5702" w:rsidRPr="009B56F8" w:rsidRDefault="001F5702" w:rsidP="004F1A00">
            <w:pPr>
              <w:pStyle w:val="Tabletext"/>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5"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3F6FE2">
            <w:pPr>
              <w:pStyle w:val="Tabletext"/>
              <w:tabs>
                <w:tab w:val="decimal" w:pos="170"/>
              </w:tabs>
              <w:rPr>
                <w:rFonts w:cs="Arial"/>
                <w:szCs w:val="16"/>
              </w:rPr>
            </w:pPr>
          </w:p>
        </w:tc>
        <w:tc>
          <w:tcPr>
            <w:tcW w:w="1426" w:type="dxa"/>
            <w:tcBorders>
              <w:top w:val="nil"/>
              <w:left w:val="nil"/>
              <w:bottom w:val="nil"/>
              <w:right w:val="nil"/>
            </w:tcBorders>
          </w:tcPr>
          <w:p w:rsidR="001F5702" w:rsidRPr="009B56F8" w:rsidRDefault="001F5702" w:rsidP="0017764A">
            <w:pPr>
              <w:pStyle w:val="Tabletext"/>
              <w:tabs>
                <w:tab w:val="decimal" w:pos="170"/>
              </w:tabs>
              <w:rPr>
                <w:rFonts w:cs="Arial"/>
                <w:szCs w:val="16"/>
              </w:rPr>
            </w:pPr>
            <w:r w:rsidRPr="009B56F8">
              <w:rPr>
                <w:rFonts w:cs="Arial"/>
                <w:szCs w:val="16"/>
              </w:rPr>
              <w:t>-0.03 [0.03]</w:t>
            </w:r>
          </w:p>
        </w:tc>
      </w:tr>
      <w:tr w:rsidR="001F5702" w:rsidTr="004F1A00">
        <w:tc>
          <w:tcPr>
            <w:tcW w:w="4026" w:type="dxa"/>
            <w:tcBorders>
              <w:top w:val="nil"/>
              <w:left w:val="nil"/>
              <w:bottom w:val="single" w:sz="4" w:space="0" w:color="auto"/>
              <w:right w:val="nil"/>
            </w:tcBorders>
          </w:tcPr>
          <w:p w:rsidR="001F5702" w:rsidRPr="005D2920" w:rsidRDefault="001F5702" w:rsidP="004F1A00">
            <w:pPr>
              <w:pStyle w:val="Tabletext"/>
              <w:rPr>
                <w:b/>
              </w:rPr>
            </w:pPr>
            <w:r>
              <w:rPr>
                <w:b/>
              </w:rPr>
              <w:t>N</w:t>
            </w:r>
          </w:p>
        </w:tc>
        <w:tc>
          <w:tcPr>
            <w:tcW w:w="1425" w:type="dxa"/>
            <w:tcBorders>
              <w:top w:val="nil"/>
              <w:left w:val="nil"/>
              <w:bottom w:val="single" w:sz="4" w:space="0" w:color="auto"/>
              <w:right w:val="nil"/>
            </w:tcBorders>
          </w:tcPr>
          <w:p w:rsidR="001F5702" w:rsidRPr="009B56F8" w:rsidRDefault="001F5702" w:rsidP="003F6FE2">
            <w:pPr>
              <w:pStyle w:val="Tabletext"/>
              <w:ind w:left="340"/>
              <w:rPr>
                <w:rFonts w:cs="Arial"/>
                <w:szCs w:val="16"/>
              </w:rPr>
            </w:pPr>
            <w:r w:rsidRPr="009B56F8">
              <w:rPr>
                <w:rFonts w:cs="Arial"/>
                <w:szCs w:val="16"/>
              </w:rPr>
              <w:t>1634</w:t>
            </w:r>
          </w:p>
        </w:tc>
        <w:tc>
          <w:tcPr>
            <w:tcW w:w="1426" w:type="dxa"/>
            <w:tcBorders>
              <w:top w:val="nil"/>
              <w:left w:val="nil"/>
              <w:bottom w:val="single" w:sz="4" w:space="0" w:color="auto"/>
              <w:right w:val="nil"/>
            </w:tcBorders>
          </w:tcPr>
          <w:p w:rsidR="001F5702" w:rsidRPr="009B56F8" w:rsidRDefault="001F5702" w:rsidP="0017764A">
            <w:pPr>
              <w:pStyle w:val="Tabletext"/>
              <w:ind w:left="340"/>
              <w:rPr>
                <w:rFonts w:cs="Arial"/>
                <w:szCs w:val="16"/>
              </w:rPr>
            </w:pPr>
            <w:r w:rsidRPr="009B56F8">
              <w:rPr>
                <w:rFonts w:cs="Arial"/>
                <w:szCs w:val="16"/>
              </w:rPr>
              <w:t>1634</w:t>
            </w:r>
          </w:p>
        </w:tc>
        <w:tc>
          <w:tcPr>
            <w:tcW w:w="1425" w:type="dxa"/>
            <w:tcBorders>
              <w:top w:val="nil"/>
              <w:left w:val="nil"/>
              <w:bottom w:val="single" w:sz="4" w:space="0" w:color="auto"/>
              <w:right w:val="nil"/>
            </w:tcBorders>
          </w:tcPr>
          <w:p w:rsidR="001F5702" w:rsidRPr="009B56F8" w:rsidRDefault="001F5702" w:rsidP="003F6FE2">
            <w:pPr>
              <w:pStyle w:val="Tabletext"/>
              <w:ind w:left="340"/>
              <w:rPr>
                <w:rFonts w:cs="Arial"/>
                <w:szCs w:val="16"/>
              </w:rPr>
            </w:pPr>
            <w:r w:rsidRPr="009B56F8">
              <w:rPr>
                <w:rFonts w:cs="Arial"/>
                <w:szCs w:val="16"/>
              </w:rPr>
              <w:t>1634</w:t>
            </w:r>
          </w:p>
        </w:tc>
        <w:tc>
          <w:tcPr>
            <w:tcW w:w="1426" w:type="dxa"/>
            <w:tcBorders>
              <w:top w:val="nil"/>
              <w:left w:val="nil"/>
              <w:bottom w:val="single" w:sz="4" w:space="0" w:color="auto"/>
              <w:right w:val="nil"/>
            </w:tcBorders>
          </w:tcPr>
          <w:p w:rsidR="001F5702" w:rsidRPr="009B56F8" w:rsidRDefault="001F5702" w:rsidP="003F6FE2">
            <w:pPr>
              <w:pStyle w:val="Tabletext"/>
              <w:ind w:left="340"/>
              <w:rPr>
                <w:rFonts w:cs="Arial"/>
                <w:szCs w:val="16"/>
              </w:rPr>
            </w:pPr>
            <w:r w:rsidRPr="009B56F8">
              <w:rPr>
                <w:rFonts w:cs="Arial"/>
                <w:szCs w:val="16"/>
              </w:rPr>
              <w:t>1634</w:t>
            </w:r>
          </w:p>
        </w:tc>
        <w:tc>
          <w:tcPr>
            <w:tcW w:w="1425" w:type="dxa"/>
            <w:tcBorders>
              <w:top w:val="nil"/>
              <w:left w:val="nil"/>
              <w:bottom w:val="single" w:sz="4" w:space="0" w:color="auto"/>
              <w:right w:val="nil"/>
            </w:tcBorders>
          </w:tcPr>
          <w:p w:rsidR="001F5702" w:rsidRPr="009B56F8" w:rsidRDefault="001F5702" w:rsidP="003F6FE2">
            <w:pPr>
              <w:pStyle w:val="Tabletext"/>
              <w:ind w:left="340"/>
              <w:rPr>
                <w:rFonts w:cs="Arial"/>
                <w:szCs w:val="16"/>
              </w:rPr>
            </w:pPr>
            <w:r w:rsidRPr="009B56F8">
              <w:rPr>
                <w:rFonts w:cs="Arial"/>
                <w:szCs w:val="16"/>
              </w:rPr>
              <w:t>1274</w:t>
            </w:r>
          </w:p>
        </w:tc>
        <w:tc>
          <w:tcPr>
            <w:tcW w:w="1426" w:type="dxa"/>
            <w:tcBorders>
              <w:top w:val="nil"/>
              <w:left w:val="nil"/>
              <w:bottom w:val="single" w:sz="4" w:space="0" w:color="auto"/>
              <w:right w:val="nil"/>
            </w:tcBorders>
          </w:tcPr>
          <w:p w:rsidR="001F5702" w:rsidRPr="009B56F8" w:rsidRDefault="001F5702" w:rsidP="003F6FE2">
            <w:pPr>
              <w:pStyle w:val="Tabletext"/>
              <w:ind w:left="340"/>
              <w:rPr>
                <w:rFonts w:cs="Arial"/>
                <w:szCs w:val="16"/>
              </w:rPr>
            </w:pPr>
            <w:r w:rsidRPr="009B56F8">
              <w:rPr>
                <w:rFonts w:cs="Arial"/>
                <w:szCs w:val="16"/>
              </w:rPr>
              <w:t>1274</w:t>
            </w:r>
          </w:p>
        </w:tc>
        <w:tc>
          <w:tcPr>
            <w:tcW w:w="1426" w:type="dxa"/>
            <w:tcBorders>
              <w:top w:val="nil"/>
              <w:left w:val="nil"/>
              <w:bottom w:val="single" w:sz="4" w:space="0" w:color="auto"/>
              <w:right w:val="nil"/>
            </w:tcBorders>
          </w:tcPr>
          <w:p w:rsidR="001F5702" w:rsidRPr="009B56F8" w:rsidRDefault="001F5702" w:rsidP="003F6FE2">
            <w:pPr>
              <w:pStyle w:val="Tabletext"/>
              <w:ind w:left="340"/>
              <w:rPr>
                <w:rFonts w:cs="Arial"/>
                <w:szCs w:val="16"/>
              </w:rPr>
            </w:pPr>
            <w:r w:rsidRPr="009B56F8">
              <w:rPr>
                <w:rFonts w:cs="Arial"/>
                <w:szCs w:val="16"/>
              </w:rPr>
              <w:t>1264</w:t>
            </w:r>
          </w:p>
        </w:tc>
      </w:tr>
    </w:tbl>
    <w:p w:rsidR="001F5702" w:rsidRDefault="004F1A00" w:rsidP="004F1A00">
      <w:pPr>
        <w:pStyle w:val="Source"/>
      </w:pPr>
      <w:r w:rsidRPr="00EA4173">
        <w:t>Note</w:t>
      </w:r>
      <w:r>
        <w:t>s</w:t>
      </w:r>
      <w:r w:rsidRPr="00EA4173">
        <w:t xml:space="preserve">: </w:t>
      </w:r>
      <w:r>
        <w:tab/>
      </w:r>
      <w:r w:rsidR="001F5702">
        <w:t>* p&lt;.10 ** p&lt;.05 *** p&lt;.01.</w:t>
      </w:r>
    </w:p>
    <w:p w:rsidR="001F5702" w:rsidRDefault="004F1A00" w:rsidP="004F1A00">
      <w:pPr>
        <w:pStyle w:val="Source"/>
      </w:pPr>
      <w:r>
        <w:tab/>
      </w:r>
      <w:proofErr w:type="gramStart"/>
      <w:r w:rsidR="001F5702">
        <w:t>Standard errors in brackets.</w:t>
      </w:r>
      <w:proofErr w:type="gramEnd"/>
      <w:r w:rsidR="001F5702">
        <w:t xml:space="preserve"> </w:t>
      </w:r>
    </w:p>
    <w:p w:rsidR="001F5702" w:rsidRDefault="004F1A00" w:rsidP="004F1A00">
      <w:pPr>
        <w:pStyle w:val="Source"/>
      </w:pPr>
      <w:r>
        <w:tab/>
      </w:r>
      <w:r w:rsidR="001F5702">
        <w:t>Marginal effects are calculated at the mean; for dummy variables, the marginal effect is for discrete change from 0 to 1.</w:t>
      </w:r>
    </w:p>
    <w:p w:rsidR="001F5702" w:rsidRDefault="001F5702" w:rsidP="004F1A00">
      <w:pPr>
        <w:pStyle w:val="Source"/>
      </w:pPr>
      <w:r w:rsidRPr="00EA4173">
        <w:t>Source:</w:t>
      </w:r>
      <w:r w:rsidR="004F1A00">
        <w:tab/>
      </w:r>
      <w:r>
        <w:t>YIF cohort.</w:t>
      </w:r>
    </w:p>
    <w:p w:rsidR="001F5702" w:rsidRPr="00EA4173" w:rsidRDefault="001F5702" w:rsidP="001F5702">
      <w:pPr>
        <w:spacing w:before="0"/>
        <w:rPr>
          <w:rFonts w:ascii="Arial" w:hAnsi="Arial" w:cs="Arial"/>
          <w:sz w:val="15"/>
          <w:szCs w:val="15"/>
        </w:rPr>
      </w:pPr>
    </w:p>
    <w:p w:rsidR="001F5702" w:rsidRDefault="001F5702" w:rsidP="001F5702">
      <w:pPr>
        <w:spacing w:before="0"/>
        <w:rPr>
          <w:rFonts w:ascii="Arial" w:hAnsi="Arial"/>
          <w:b/>
          <w:sz w:val="17"/>
          <w:szCs w:val="17"/>
        </w:rPr>
      </w:pPr>
      <w:r>
        <w:rPr>
          <w:szCs w:val="17"/>
        </w:rPr>
        <w:br w:type="page"/>
      </w:r>
    </w:p>
    <w:p w:rsidR="001F5702" w:rsidRPr="00193513" w:rsidRDefault="001F5702" w:rsidP="003F6FE2">
      <w:pPr>
        <w:pStyle w:val="tabletitle"/>
        <w:rPr>
          <w:i/>
        </w:rPr>
      </w:pPr>
      <w:bookmarkStart w:id="90" w:name="_Toc323566757"/>
      <w:bookmarkStart w:id="91" w:name="_Toc324765905"/>
      <w:r w:rsidRPr="005D446B">
        <w:lastRenderedPageBreak/>
        <w:t xml:space="preserve">Table </w:t>
      </w:r>
      <w:r>
        <w:t>10</w:t>
      </w:r>
      <w:r w:rsidRPr="005D446B">
        <w:tab/>
      </w:r>
      <w:r w:rsidRPr="00241227">
        <w:t xml:space="preserve">Regression results Year 12 </w:t>
      </w:r>
      <w:r w:rsidRPr="003F6FE2">
        <w:t>completion</w:t>
      </w:r>
      <w:r>
        <w:t>, LSAY Y03 2006 cohort born</w:t>
      </w:r>
      <w:r w:rsidRPr="00241227">
        <w:t xml:space="preserve"> between October 1987 and March 1988</w:t>
      </w:r>
      <w:bookmarkEnd w:id="90"/>
      <w:bookmarkEnd w:id="91"/>
    </w:p>
    <w:tbl>
      <w:tblPr>
        <w:tblW w:w="1400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5387"/>
        <w:gridCol w:w="1436"/>
        <w:gridCol w:w="1436"/>
        <w:gridCol w:w="1437"/>
        <w:gridCol w:w="1436"/>
        <w:gridCol w:w="1436"/>
        <w:gridCol w:w="1437"/>
      </w:tblGrid>
      <w:tr w:rsidR="001F5702" w:rsidRPr="00D41A46" w:rsidTr="003F6FE2">
        <w:trPr>
          <w:tblHeader/>
        </w:trPr>
        <w:tc>
          <w:tcPr>
            <w:tcW w:w="5387" w:type="dxa"/>
            <w:tcBorders>
              <w:top w:val="single" w:sz="4" w:space="0" w:color="auto"/>
              <w:left w:val="nil"/>
              <w:bottom w:val="single" w:sz="4" w:space="0" w:color="auto"/>
              <w:right w:val="nil"/>
            </w:tcBorders>
            <w:vAlign w:val="center"/>
          </w:tcPr>
          <w:p w:rsidR="001F5702" w:rsidRPr="0031761A" w:rsidRDefault="001F5702" w:rsidP="003F6FE2">
            <w:pPr>
              <w:pStyle w:val="Tablehead1"/>
            </w:pPr>
          </w:p>
        </w:tc>
        <w:tc>
          <w:tcPr>
            <w:tcW w:w="1436" w:type="dxa"/>
            <w:tcBorders>
              <w:top w:val="single" w:sz="4" w:space="0" w:color="auto"/>
              <w:left w:val="nil"/>
              <w:bottom w:val="single" w:sz="4" w:space="0" w:color="auto"/>
              <w:right w:val="nil"/>
            </w:tcBorders>
            <w:vAlign w:val="center"/>
          </w:tcPr>
          <w:p w:rsidR="001F5702" w:rsidRPr="0031761A" w:rsidRDefault="001F5702" w:rsidP="0017764A">
            <w:pPr>
              <w:pStyle w:val="Tablehead1"/>
              <w:ind w:left="255"/>
            </w:pPr>
            <w:r>
              <w:t>Model 1</w:t>
            </w:r>
          </w:p>
        </w:tc>
        <w:tc>
          <w:tcPr>
            <w:tcW w:w="1436" w:type="dxa"/>
            <w:tcBorders>
              <w:top w:val="single" w:sz="4" w:space="0" w:color="auto"/>
              <w:left w:val="nil"/>
              <w:bottom w:val="single" w:sz="4" w:space="0" w:color="auto"/>
              <w:right w:val="nil"/>
            </w:tcBorders>
            <w:vAlign w:val="center"/>
          </w:tcPr>
          <w:p w:rsidR="001F5702" w:rsidRDefault="001F5702" w:rsidP="00F12F7C">
            <w:pPr>
              <w:pStyle w:val="Tablehead1"/>
              <w:ind w:left="255"/>
            </w:pPr>
            <w:r>
              <w:t>Model 2</w:t>
            </w:r>
          </w:p>
        </w:tc>
        <w:tc>
          <w:tcPr>
            <w:tcW w:w="1437" w:type="dxa"/>
            <w:tcBorders>
              <w:top w:val="single" w:sz="4" w:space="0" w:color="auto"/>
              <w:left w:val="nil"/>
              <w:bottom w:val="single" w:sz="4" w:space="0" w:color="auto"/>
              <w:right w:val="nil"/>
            </w:tcBorders>
            <w:vAlign w:val="center"/>
          </w:tcPr>
          <w:p w:rsidR="001F5702" w:rsidRDefault="001F5702" w:rsidP="0017764A">
            <w:pPr>
              <w:pStyle w:val="Tablehead1"/>
              <w:ind w:left="255"/>
            </w:pPr>
            <w:r>
              <w:t>Model 3</w:t>
            </w:r>
          </w:p>
        </w:tc>
        <w:tc>
          <w:tcPr>
            <w:tcW w:w="1436" w:type="dxa"/>
            <w:tcBorders>
              <w:top w:val="single" w:sz="4" w:space="0" w:color="auto"/>
              <w:left w:val="nil"/>
              <w:bottom w:val="single" w:sz="4" w:space="0" w:color="auto"/>
              <w:right w:val="nil"/>
            </w:tcBorders>
            <w:vAlign w:val="center"/>
          </w:tcPr>
          <w:p w:rsidR="001F5702" w:rsidRPr="0031761A" w:rsidRDefault="001F5702" w:rsidP="0017764A">
            <w:pPr>
              <w:pStyle w:val="Tablehead1"/>
              <w:ind w:left="255"/>
            </w:pPr>
            <w:r>
              <w:t>Model 4</w:t>
            </w:r>
          </w:p>
        </w:tc>
        <w:tc>
          <w:tcPr>
            <w:tcW w:w="1436" w:type="dxa"/>
            <w:tcBorders>
              <w:top w:val="single" w:sz="4" w:space="0" w:color="auto"/>
              <w:left w:val="nil"/>
              <w:bottom w:val="single" w:sz="4" w:space="0" w:color="auto"/>
              <w:right w:val="nil"/>
            </w:tcBorders>
            <w:vAlign w:val="center"/>
          </w:tcPr>
          <w:p w:rsidR="001F5702" w:rsidRPr="0031761A" w:rsidRDefault="001F5702" w:rsidP="0017764A">
            <w:pPr>
              <w:pStyle w:val="Tablehead1"/>
              <w:ind w:left="255"/>
            </w:pPr>
            <w:r>
              <w:t>Model 5</w:t>
            </w:r>
          </w:p>
        </w:tc>
        <w:tc>
          <w:tcPr>
            <w:tcW w:w="1437" w:type="dxa"/>
            <w:tcBorders>
              <w:top w:val="single" w:sz="4" w:space="0" w:color="auto"/>
              <w:left w:val="nil"/>
              <w:bottom w:val="single" w:sz="4" w:space="0" w:color="auto"/>
              <w:right w:val="nil"/>
            </w:tcBorders>
            <w:vAlign w:val="center"/>
          </w:tcPr>
          <w:p w:rsidR="001F5702" w:rsidRPr="0031761A" w:rsidRDefault="001F5702" w:rsidP="0017764A">
            <w:pPr>
              <w:pStyle w:val="Tablehead1"/>
              <w:ind w:left="255"/>
            </w:pPr>
            <w:r>
              <w:t>Model 6</w:t>
            </w:r>
          </w:p>
        </w:tc>
      </w:tr>
      <w:tr w:rsidR="001F5702" w:rsidRPr="00D41A46" w:rsidTr="003F6FE2">
        <w:tc>
          <w:tcPr>
            <w:tcW w:w="5387" w:type="dxa"/>
            <w:tcBorders>
              <w:top w:val="single" w:sz="4" w:space="0" w:color="auto"/>
              <w:left w:val="nil"/>
              <w:bottom w:val="nil"/>
              <w:right w:val="nil"/>
            </w:tcBorders>
            <w:vAlign w:val="center"/>
          </w:tcPr>
          <w:p w:rsidR="001F5702" w:rsidRPr="00B90227" w:rsidRDefault="001F5702" w:rsidP="003F6FE2">
            <w:pPr>
              <w:pStyle w:val="Tabletext"/>
            </w:pPr>
            <w:r>
              <w:t>Gender (1 = male)</w:t>
            </w:r>
          </w:p>
        </w:tc>
        <w:tc>
          <w:tcPr>
            <w:tcW w:w="1436" w:type="dxa"/>
            <w:tcBorders>
              <w:top w:val="single" w:sz="4" w:space="0" w:color="auto"/>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-0.10 (0.02)***</w:t>
            </w:r>
          </w:p>
        </w:tc>
        <w:tc>
          <w:tcPr>
            <w:tcW w:w="1436" w:type="dxa"/>
            <w:tcBorders>
              <w:top w:val="single" w:sz="4" w:space="0" w:color="auto"/>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-0.07 (0.02)***</w:t>
            </w:r>
          </w:p>
        </w:tc>
        <w:tc>
          <w:tcPr>
            <w:tcW w:w="1437" w:type="dxa"/>
            <w:tcBorders>
              <w:top w:val="single" w:sz="4" w:space="0" w:color="auto"/>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-0.03 (0.01)**</w:t>
            </w:r>
          </w:p>
        </w:tc>
        <w:tc>
          <w:tcPr>
            <w:tcW w:w="1436" w:type="dxa"/>
            <w:tcBorders>
              <w:top w:val="single" w:sz="4" w:space="0" w:color="auto"/>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-0.03 (0.01)*</w:t>
            </w:r>
          </w:p>
        </w:tc>
        <w:tc>
          <w:tcPr>
            <w:tcW w:w="1436" w:type="dxa"/>
            <w:tcBorders>
              <w:top w:val="single" w:sz="4" w:space="0" w:color="auto"/>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-0.03 (0.02)*</w:t>
            </w:r>
          </w:p>
        </w:tc>
        <w:tc>
          <w:tcPr>
            <w:tcW w:w="1437" w:type="dxa"/>
            <w:tcBorders>
              <w:top w:val="single" w:sz="4" w:space="0" w:color="auto"/>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-0.03 (0.02)**</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pPr>
            <w:r w:rsidRPr="00B90227">
              <w:t>Lives in major city</w:t>
            </w:r>
            <w: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0.05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0.07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0.05 (0.01)***</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0.05 (0.01)***</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0.06 (0.01)***</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0.05 (0.01)***</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pPr>
            <w:r w:rsidRPr="00B90227">
              <w:t>Indigenous Australian</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-0.04 (0.04)</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0.03 (0.04)</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(0.04)</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(0.04)</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(0.04)</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(0.04)</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pPr>
            <w:r>
              <w:t>Father or head of household employed, age 15</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(0.03)</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-0.04 (0.03)</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-0.05 (0.03)*</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-0.05 (0.03)</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-0.05 (0.03)</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-0.06 (0.03)*</w:t>
            </w:r>
          </w:p>
        </w:tc>
      </w:tr>
      <w:tr w:rsidR="001F5702" w:rsidTr="003F6FE2">
        <w:trPr>
          <w:trHeight w:val="81"/>
        </w:trPr>
        <w:tc>
          <w:tcPr>
            <w:tcW w:w="5387" w:type="dxa"/>
            <w:tcBorders>
              <w:top w:val="nil"/>
              <w:left w:val="nil"/>
              <w:bottom w:val="nil"/>
              <w:right w:val="nil"/>
            </w:tcBorders>
            <w:vAlign w:val="center"/>
          </w:tcPr>
          <w:p w:rsidR="001F5702" w:rsidRPr="00B90227" w:rsidRDefault="001F5702" w:rsidP="003F6FE2">
            <w:pPr>
              <w:pStyle w:val="Tabletext"/>
            </w:pPr>
            <w:r>
              <w:t>Parental education</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ind w:left="170"/>
            </w:pPr>
            <w:r>
              <w:t>Father has bachelor degree or higher</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0.03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(0.02)</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ind w:left="170"/>
            </w:pPr>
            <w:r>
              <w:t>Mother has bachelor degree or higher</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0.03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c>
          <w:tcPr>
            <w:tcW w:w="1436" w:type="dxa"/>
            <w:tcBorders>
              <w:top w:val="nil"/>
              <w:left w:val="nil"/>
              <w:bottom w:val="nil"/>
              <w:right w:val="nil"/>
            </w:tcBorders>
            <w:shd w:val="clear" w:color="auto" w:fill="FFFFFF"/>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c>
          <w:tcPr>
            <w:tcW w:w="1436" w:type="dxa"/>
            <w:tcBorders>
              <w:top w:val="nil"/>
              <w:left w:val="nil"/>
              <w:bottom w:val="nil"/>
              <w:right w:val="nil"/>
            </w:tcBorders>
            <w:shd w:val="clear" w:color="auto" w:fill="FFFFFF"/>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c>
          <w:tcPr>
            <w:tcW w:w="1437" w:type="dxa"/>
            <w:tcBorders>
              <w:top w:val="nil"/>
              <w:left w:val="nil"/>
              <w:bottom w:val="nil"/>
              <w:right w:val="nil"/>
            </w:tcBorders>
            <w:shd w:val="clear" w:color="auto" w:fill="FFFFFF"/>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pPr>
            <w:r>
              <w:t>Number of siblings</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(0.01)**</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(0.01)</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(0.01)</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(0.01)</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(0.01)</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(0.01)</w:t>
            </w:r>
          </w:p>
        </w:tc>
      </w:tr>
      <w:tr w:rsidR="001F5702" w:rsidTr="003F6FE2">
        <w:tc>
          <w:tcPr>
            <w:tcW w:w="5387" w:type="dxa"/>
            <w:tcBorders>
              <w:top w:val="nil"/>
              <w:left w:val="nil"/>
              <w:bottom w:val="nil"/>
              <w:right w:val="nil"/>
            </w:tcBorders>
            <w:vAlign w:val="center"/>
          </w:tcPr>
          <w:p w:rsidR="001F5702" w:rsidRDefault="001F5702" w:rsidP="003F6FE2">
            <w:pPr>
              <w:pStyle w:val="Tabletext"/>
            </w:pPr>
            <w:r>
              <w:t>Respondent’s country of birth</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ind w:left="170"/>
            </w:pPr>
            <w:r>
              <w:t xml:space="preserve">Overseas, English </w:t>
            </w:r>
            <w:r w:rsidRPr="00B90227">
              <w:t>speaking country</w:t>
            </w:r>
            <w: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-0.06 (0.04)</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-0.04 (0.04)</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(0.04)</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(0.04)</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(0.04)</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(0.04)</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ind w:left="170"/>
            </w:pPr>
            <w:r>
              <w:t xml:space="preserve">Overseas, non-English </w:t>
            </w:r>
            <w:r w:rsidRPr="00B90227">
              <w:t>speaking country</w:t>
            </w:r>
            <w: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0.05 (0.03)</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0.06 (0.03)*</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(0.03)</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(0.03)</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(0.03)</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0.00 (0.02)</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pPr>
            <w:r>
              <w:t>Two-parent household, age 15</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0.11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0.08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0.06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0.06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0.06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0.06 (0.02)***</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pPr>
            <w:r>
              <w:t>School sector, last year at school</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ind w:left="170"/>
            </w:pPr>
            <w:r>
              <w:t>Catholic school</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0.04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0.00 (0.01)</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0.00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ind w:left="170"/>
            </w:pPr>
            <w:r>
              <w:t>Independent school</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0.03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(0.02)</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pPr>
            <w:r>
              <w:t>Residential state, age 15</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ind w:left="170"/>
            </w:pPr>
            <w:r w:rsidRPr="00B90227">
              <w:t>V</w:t>
            </w:r>
            <w:r>
              <w:t>ic.</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(0.03)</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0.04 (0.03)*</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ind w:left="170"/>
            </w:pPr>
            <w:r w:rsidRPr="00B90227">
              <w:t>Q</w:t>
            </w:r>
            <w:r>
              <w:t>ld</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0.17 (0.03)***</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0.17 (0.03)***</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0.16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0.17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0.17 (0.03)***</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0.17 (0.03)***</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ind w:left="170"/>
            </w:pPr>
            <w:r w:rsidRPr="00B90227">
              <w:t>SA</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(0.03)</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(0.03)</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(0.03)</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-0.03 (0.03)</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-0.03 (0.03)</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-0.03 (0.03)</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ind w:left="170"/>
            </w:pPr>
            <w:r>
              <w:t>WA</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0.00 (0.03)</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-0.03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(0.02)</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ind w:left="170"/>
            </w:pPr>
            <w:r>
              <w:t>Tas.</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-0.12 (0.03)***</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-0.09 (0.03)***</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-0.09 (0.03)***</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-0.09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-0.09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-0.10 (0.03)***</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ind w:left="170"/>
            </w:pPr>
            <w:r>
              <w:t>ACT</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(0.04)</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(0.04)</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(0.03)</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0.00 (0.03)</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0.00 (0.03)</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(0.03)</w:t>
            </w:r>
          </w:p>
        </w:tc>
      </w:tr>
      <w:tr w:rsidR="001F5702" w:rsidTr="003F6FE2">
        <w:tc>
          <w:tcPr>
            <w:tcW w:w="5387" w:type="dxa"/>
            <w:tcBorders>
              <w:top w:val="nil"/>
              <w:left w:val="nil"/>
              <w:bottom w:val="nil"/>
              <w:right w:val="nil"/>
            </w:tcBorders>
            <w:vAlign w:val="center"/>
          </w:tcPr>
          <w:p w:rsidR="001F5702" w:rsidRDefault="001F5702" w:rsidP="003F6FE2">
            <w:pPr>
              <w:pStyle w:val="Tabletext"/>
              <w:ind w:left="170"/>
            </w:pPr>
            <w:r>
              <w:t>NT</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(0.05)</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(0.05)</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(0.04)</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(0.04)</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(0.04)</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(0.04)</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pPr>
            <w:r>
              <w:t>SEIFA scales (multiplied by 1000)</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ind w:left="170"/>
            </w:pPr>
            <w:r>
              <w:t xml:space="preserve">Advantage-disadvantage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0.40 (0.40)</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0.23 (0.34)</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0.15 (0.31)</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0.05 (0.33)</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-0.08 (0.33)</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-0.04 (0.31)</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ind w:left="170"/>
            </w:pPr>
            <w:r>
              <w:t xml:space="preserve">Education and occupation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0.09 (0.37)</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0.00 (0.32)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(0.31)</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0.09 (0.32)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0.14 (0.32)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0.12 (0.31)</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pPr>
            <w:r>
              <w:t>SES – responding parent ANU4 (multiplied by 100)</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Pr>
                <w:rFonts w:cs="Arial"/>
                <w:szCs w:val="16"/>
              </w:rPr>
              <w:t>0</w:t>
            </w:r>
            <w:r w:rsidRPr="0016632F">
              <w:rPr>
                <w:rFonts w:cs="Arial"/>
                <w:szCs w:val="16"/>
              </w:rPr>
              <w:t>.</w:t>
            </w:r>
            <w:r>
              <w:rPr>
                <w:rFonts w:cs="Arial"/>
                <w:szCs w:val="16"/>
              </w:rPr>
              <w:t>15</w:t>
            </w:r>
            <w:r w:rsidRPr="0016632F">
              <w:rPr>
                <w:rFonts w:cs="Arial"/>
                <w:szCs w:val="16"/>
              </w:rPr>
              <w:t xml:space="preserve"> (0.</w:t>
            </w:r>
            <w:r>
              <w:rPr>
                <w:rFonts w:cs="Arial"/>
                <w:szCs w:val="16"/>
              </w:rPr>
              <w:t>04</w:t>
            </w:r>
            <w:r w:rsidRPr="0016632F">
              <w:rPr>
                <w:rFonts w:cs="Arial"/>
                <w:szCs w:val="16"/>
              </w:rPr>
              <w:t>)***</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w:t>
            </w:r>
            <w:r>
              <w:rPr>
                <w:rFonts w:cs="Arial"/>
                <w:szCs w:val="16"/>
              </w:rPr>
              <w:t>06</w:t>
            </w:r>
            <w:r w:rsidRPr="0016632F">
              <w:rPr>
                <w:rFonts w:cs="Arial"/>
                <w:szCs w:val="16"/>
              </w:rPr>
              <w:t xml:space="preserve"> (0.</w:t>
            </w:r>
            <w:r>
              <w:rPr>
                <w:rFonts w:cs="Arial"/>
                <w:szCs w:val="16"/>
              </w:rPr>
              <w:t>04</w:t>
            </w:r>
            <w:r w:rsidRPr="0016632F">
              <w:rPr>
                <w:rFonts w:cs="Arial"/>
                <w:szCs w:val="16"/>
              </w:rPr>
              <w:t>)*</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w:t>
            </w:r>
            <w:r>
              <w:rPr>
                <w:rFonts w:cs="Arial"/>
                <w:szCs w:val="16"/>
              </w:rPr>
              <w:t>02</w:t>
            </w:r>
            <w:r w:rsidRPr="0016632F">
              <w:rPr>
                <w:rFonts w:cs="Arial"/>
                <w:szCs w:val="16"/>
              </w:rPr>
              <w:t xml:space="preserve"> (0.</w:t>
            </w:r>
            <w:r>
              <w:rPr>
                <w:rFonts w:cs="Arial"/>
                <w:szCs w:val="16"/>
              </w:rPr>
              <w:t>04</w:t>
            </w:r>
            <w:r w:rsidRPr="0016632F">
              <w:rPr>
                <w:rFonts w:cs="Arial"/>
                <w:szCs w:val="16"/>
              </w:rPr>
              <w:t>)</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w:t>
            </w:r>
            <w:r>
              <w:rPr>
                <w:rFonts w:cs="Arial"/>
                <w:szCs w:val="16"/>
              </w:rPr>
              <w:t>03</w:t>
            </w:r>
            <w:r w:rsidRPr="0016632F">
              <w:rPr>
                <w:rFonts w:cs="Arial"/>
                <w:szCs w:val="16"/>
              </w:rPr>
              <w:t xml:space="preserve"> (0.</w:t>
            </w:r>
            <w:r>
              <w:rPr>
                <w:rFonts w:cs="Arial"/>
                <w:szCs w:val="16"/>
              </w:rPr>
              <w:t>03</w:t>
            </w:r>
            <w:r w:rsidRPr="0016632F">
              <w:rPr>
                <w:rFonts w:cs="Arial"/>
                <w:szCs w:val="16"/>
              </w:rPr>
              <w:t>)</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w:t>
            </w:r>
            <w:r>
              <w:rPr>
                <w:rFonts w:cs="Arial"/>
                <w:szCs w:val="16"/>
              </w:rPr>
              <w:t>1</w:t>
            </w:r>
            <w:r w:rsidRPr="0016632F">
              <w:rPr>
                <w:rFonts w:cs="Arial"/>
                <w:szCs w:val="16"/>
              </w:rPr>
              <w:t xml:space="preserve"> (0.</w:t>
            </w:r>
            <w:r>
              <w:rPr>
                <w:rFonts w:cs="Arial"/>
                <w:szCs w:val="16"/>
              </w:rPr>
              <w:t>0</w:t>
            </w:r>
            <w:r w:rsidRPr="0016632F">
              <w:rPr>
                <w:rFonts w:cs="Arial"/>
                <w:szCs w:val="16"/>
              </w:rPr>
              <w:t>3)</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w:t>
            </w:r>
            <w:r>
              <w:rPr>
                <w:rFonts w:cs="Arial"/>
                <w:szCs w:val="16"/>
              </w:rPr>
              <w:t>1</w:t>
            </w:r>
            <w:r w:rsidRPr="0016632F">
              <w:rPr>
                <w:rFonts w:cs="Arial"/>
                <w:szCs w:val="16"/>
              </w:rPr>
              <w:t xml:space="preserve"> (0.</w:t>
            </w:r>
            <w:r>
              <w:rPr>
                <w:rFonts w:cs="Arial"/>
                <w:szCs w:val="16"/>
              </w:rPr>
              <w:t>0</w:t>
            </w:r>
            <w:r w:rsidRPr="0016632F">
              <w:rPr>
                <w:rFonts w:cs="Arial"/>
                <w:szCs w:val="16"/>
              </w:rPr>
              <w:t>3)</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pPr>
            <w:r>
              <w:t>Self-assessed school performance, age 15</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ind w:left="170"/>
            </w:pPr>
            <w:r>
              <w:t>Better than average</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-0.04 (0.03)</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(0.03)</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ind w:left="170"/>
            </w:pPr>
            <w:r>
              <w:t>Average</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-0.14 (0.03)***</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-0.07 (0.03)***</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-0.03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-0.03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-0.03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-0.03 (0.02)</w:t>
            </w:r>
          </w:p>
        </w:tc>
      </w:tr>
      <w:tr w:rsidR="001F5702" w:rsidTr="003F6FE2">
        <w:tc>
          <w:tcPr>
            <w:tcW w:w="5387" w:type="dxa"/>
            <w:tcBorders>
              <w:top w:val="nil"/>
              <w:left w:val="nil"/>
              <w:bottom w:val="nil"/>
              <w:right w:val="nil"/>
            </w:tcBorders>
            <w:vAlign w:val="center"/>
          </w:tcPr>
          <w:p w:rsidR="001F5702" w:rsidRDefault="001F5702" w:rsidP="003F6FE2">
            <w:pPr>
              <w:pStyle w:val="Tabletext"/>
              <w:ind w:left="170"/>
            </w:pPr>
            <w:r>
              <w:t>Below average</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-0.37 (0.05)***</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-0.26 (0.04)***</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-0.13 (0.04)***</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-0.13 (0.05)***</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-0.13 (0.05)***</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-0.12 (0.05)***</w:t>
            </w:r>
          </w:p>
        </w:tc>
      </w:tr>
      <w:tr w:rsidR="001F5702" w:rsidTr="003F6FE2">
        <w:tc>
          <w:tcPr>
            <w:tcW w:w="5387" w:type="dxa"/>
            <w:tcBorders>
              <w:top w:val="nil"/>
              <w:left w:val="nil"/>
              <w:bottom w:val="nil"/>
              <w:right w:val="nil"/>
            </w:tcBorders>
            <w:vAlign w:val="center"/>
          </w:tcPr>
          <w:p w:rsidR="001F5702" w:rsidRPr="00D24F1B" w:rsidRDefault="001F5702" w:rsidP="003F6FE2">
            <w:pPr>
              <w:pStyle w:val="Tabletext"/>
              <w:rPr>
                <w:b/>
              </w:rPr>
            </w:pPr>
            <w:r>
              <w:rPr>
                <w:b/>
              </w:rPr>
              <w:t xml:space="preserve">Achievement, age 15 </w:t>
            </w:r>
            <w:r>
              <w:t>(all scores multiplied by 1</w:t>
            </w:r>
            <w:r w:rsidRPr="00F7116D">
              <w:t>000)</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r>
      <w:tr w:rsidR="001F5702" w:rsidTr="003F6FE2">
        <w:tc>
          <w:tcPr>
            <w:tcW w:w="5387" w:type="dxa"/>
            <w:tcBorders>
              <w:top w:val="nil"/>
              <w:left w:val="nil"/>
              <w:bottom w:val="nil"/>
              <w:right w:val="nil"/>
            </w:tcBorders>
            <w:vAlign w:val="center"/>
          </w:tcPr>
          <w:p w:rsidR="001F5702" w:rsidRDefault="001F5702" w:rsidP="003F6FE2">
            <w:pPr>
              <w:pStyle w:val="Tabletext"/>
            </w:pPr>
            <w:r>
              <w:t>Reading literacy</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0.85 (0.20)***</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0.43 (0.20)**</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0.43 (0.19)**</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0.42 (0.20)**</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0.43 (0.20)**</w:t>
            </w:r>
          </w:p>
        </w:tc>
      </w:tr>
      <w:tr w:rsidR="001F5702" w:rsidTr="003F6FE2">
        <w:tc>
          <w:tcPr>
            <w:tcW w:w="5387" w:type="dxa"/>
            <w:tcBorders>
              <w:top w:val="nil"/>
              <w:left w:val="nil"/>
              <w:bottom w:val="nil"/>
              <w:right w:val="nil"/>
            </w:tcBorders>
            <w:vAlign w:val="center"/>
          </w:tcPr>
          <w:p w:rsidR="001F5702" w:rsidRDefault="001F5702" w:rsidP="003F6FE2">
            <w:pPr>
              <w:pStyle w:val="Tabletext"/>
            </w:pPr>
            <w:r>
              <w:t>(reading literacy if above average)</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-0.25 (0.45)</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(0.42)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(0.41)</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-0.04 (0.39)</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-0.05 (0.39)</w:t>
            </w:r>
          </w:p>
        </w:tc>
      </w:tr>
      <w:tr w:rsidR="001F5702" w:rsidTr="003F6FE2">
        <w:tc>
          <w:tcPr>
            <w:tcW w:w="5387" w:type="dxa"/>
            <w:tcBorders>
              <w:top w:val="nil"/>
              <w:left w:val="nil"/>
              <w:bottom w:val="nil"/>
              <w:right w:val="nil"/>
            </w:tcBorders>
            <w:vAlign w:val="center"/>
          </w:tcPr>
          <w:p w:rsidR="001F5702" w:rsidRDefault="001F5702" w:rsidP="003F6FE2">
            <w:pPr>
              <w:pStyle w:val="Tabletext"/>
            </w:pPr>
            <w:r>
              <w:lastRenderedPageBreak/>
              <w:t>Mathematical literacy</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0.69 (0.23)***</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0.43 (0.22)*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0.42 (0.22)*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0.42 (0.22)*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0.43 (0.22)*</w:t>
            </w:r>
          </w:p>
        </w:tc>
      </w:tr>
      <w:tr w:rsidR="001F5702" w:rsidTr="003F6FE2">
        <w:tc>
          <w:tcPr>
            <w:tcW w:w="5387" w:type="dxa"/>
            <w:tcBorders>
              <w:top w:val="nil"/>
              <w:left w:val="nil"/>
              <w:bottom w:val="nil"/>
              <w:right w:val="nil"/>
            </w:tcBorders>
            <w:vAlign w:val="center"/>
          </w:tcPr>
          <w:p w:rsidR="001F5702" w:rsidRDefault="001F5702" w:rsidP="003F6FE2">
            <w:pPr>
              <w:pStyle w:val="Tabletext"/>
            </w:pPr>
            <w:r>
              <w:t>(mathematical literacy if above average)</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0.04 (0.37)</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-0.04 (0.36)</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-0.07 (0.36)</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-0.05 (0.36)</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-0.06 (0.37)</w:t>
            </w:r>
          </w:p>
        </w:tc>
      </w:tr>
      <w:tr w:rsidR="001F5702" w:rsidTr="003F6FE2">
        <w:tc>
          <w:tcPr>
            <w:tcW w:w="5387" w:type="dxa"/>
            <w:tcBorders>
              <w:top w:val="nil"/>
              <w:left w:val="nil"/>
              <w:bottom w:val="nil"/>
              <w:right w:val="nil"/>
            </w:tcBorders>
            <w:vAlign w:val="center"/>
          </w:tcPr>
          <w:p w:rsidR="001F5702" w:rsidRPr="00840303" w:rsidRDefault="001F5702" w:rsidP="003F6FE2">
            <w:pPr>
              <w:pStyle w:val="Tabletext"/>
              <w:rPr>
                <w:b/>
              </w:rPr>
            </w:pPr>
            <w:r>
              <w:rPr>
                <w:b/>
              </w:rPr>
              <w:t>Aspirations, age 15</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r>
      <w:tr w:rsidR="001F5702" w:rsidTr="003F6FE2">
        <w:tc>
          <w:tcPr>
            <w:tcW w:w="5387" w:type="dxa"/>
            <w:tcBorders>
              <w:top w:val="nil"/>
              <w:left w:val="nil"/>
              <w:bottom w:val="nil"/>
              <w:right w:val="nil"/>
            </w:tcBorders>
            <w:vAlign w:val="center"/>
          </w:tcPr>
          <w:p w:rsidR="001F5702" w:rsidRPr="00392B5D" w:rsidRDefault="001F5702" w:rsidP="003F6FE2">
            <w:pPr>
              <w:pStyle w:val="Tabletext"/>
            </w:pPr>
            <w:r w:rsidRPr="00392B5D">
              <w:t>Expected job at age 30 (ANU4)</w:t>
            </w:r>
            <w:r>
              <w:t xml:space="preserve"> (multiplied by 1000)</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0.48 (0.38)</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0.52 (0.38)</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0.51 (0.39)</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0.45 (0.40)</w:t>
            </w:r>
          </w:p>
        </w:tc>
      </w:tr>
      <w:tr w:rsidR="001F5702" w:rsidTr="003F6FE2">
        <w:tc>
          <w:tcPr>
            <w:tcW w:w="5387" w:type="dxa"/>
            <w:tcBorders>
              <w:top w:val="nil"/>
              <w:left w:val="nil"/>
              <w:bottom w:val="nil"/>
              <w:right w:val="nil"/>
            </w:tcBorders>
            <w:vAlign w:val="center"/>
          </w:tcPr>
          <w:p w:rsidR="001F5702" w:rsidRDefault="001F5702" w:rsidP="003F6FE2">
            <w:pPr>
              <w:pStyle w:val="Tabletext"/>
            </w:pPr>
            <w:r>
              <w:t>Plans to participate in Year 12</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0.24 (0.03)***</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0.24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0.23 (0.03)***</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0.23 (0.03)***</w:t>
            </w:r>
          </w:p>
        </w:tc>
      </w:tr>
      <w:tr w:rsidR="001F5702" w:rsidTr="003F6FE2">
        <w:tc>
          <w:tcPr>
            <w:tcW w:w="5387" w:type="dxa"/>
            <w:tcBorders>
              <w:top w:val="nil"/>
              <w:left w:val="nil"/>
              <w:bottom w:val="nil"/>
              <w:right w:val="nil"/>
            </w:tcBorders>
            <w:vAlign w:val="center"/>
          </w:tcPr>
          <w:p w:rsidR="001F5702" w:rsidRDefault="001F5702" w:rsidP="003F6FE2">
            <w:pPr>
              <w:pStyle w:val="Tabletext"/>
            </w:pPr>
            <w:r>
              <w:t>Plans to go to university</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0.08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0.08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0.08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0.08 (0.02)***</w:t>
            </w:r>
          </w:p>
        </w:tc>
      </w:tr>
      <w:tr w:rsidR="001F5702" w:rsidTr="003F6FE2">
        <w:tc>
          <w:tcPr>
            <w:tcW w:w="5387" w:type="dxa"/>
            <w:tcBorders>
              <w:top w:val="nil"/>
              <w:left w:val="nil"/>
              <w:bottom w:val="nil"/>
              <w:right w:val="nil"/>
            </w:tcBorders>
            <w:vAlign w:val="center"/>
          </w:tcPr>
          <w:p w:rsidR="001F5702" w:rsidRDefault="001F5702" w:rsidP="003F6FE2">
            <w:pPr>
              <w:pStyle w:val="Tabletext"/>
            </w:pPr>
            <w:r>
              <w:t>Ever repeated a school grade</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-0.22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-0.22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-0.21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-0.22 (0.03)***</w:t>
            </w:r>
          </w:p>
        </w:tc>
      </w:tr>
      <w:tr w:rsidR="001F5702" w:rsidTr="003F6FE2">
        <w:tc>
          <w:tcPr>
            <w:tcW w:w="5387" w:type="dxa"/>
            <w:tcBorders>
              <w:top w:val="nil"/>
              <w:left w:val="nil"/>
              <w:bottom w:val="nil"/>
              <w:right w:val="nil"/>
            </w:tcBorders>
            <w:vAlign w:val="center"/>
          </w:tcPr>
          <w:p w:rsidR="001F5702" w:rsidRPr="00F769BC" w:rsidRDefault="001F5702" w:rsidP="003F6FE2">
            <w:pPr>
              <w:pStyle w:val="Tabletext"/>
              <w:rPr>
                <w:b/>
              </w:rPr>
            </w:pPr>
            <w:r>
              <w:rPr>
                <w:b/>
              </w:rPr>
              <w:t>School climate, age 15</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392B5D" w:rsidRDefault="001F5702" w:rsidP="0017764A">
            <w:pPr>
              <w:pStyle w:val="Tabletext"/>
              <w:tabs>
                <w:tab w:val="decimal" w:pos="170"/>
              </w:tabs>
              <w:rPr>
                <w:rFonts w:cs="Arial"/>
                <w:szCs w:val="16"/>
              </w:rPr>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pPr>
            <w:r>
              <w:t>Student body attitudes to school</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0.00 (0.01)</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(0.01)</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(0.01)</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pPr>
            <w:r>
              <w:t>Teachers’ attitudes to school</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-0.02 (0.01)***</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-0.03 (0.01)***</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-0.03 (0.01)***</w:t>
            </w:r>
          </w:p>
        </w:tc>
      </w:tr>
      <w:tr w:rsidR="001F5702" w:rsidTr="003F6FE2">
        <w:tc>
          <w:tcPr>
            <w:tcW w:w="5387" w:type="dxa"/>
            <w:tcBorders>
              <w:top w:val="nil"/>
              <w:left w:val="nil"/>
              <w:bottom w:val="nil"/>
              <w:right w:val="nil"/>
            </w:tcBorders>
            <w:vAlign w:val="center"/>
          </w:tcPr>
          <w:p w:rsidR="001F5702" w:rsidRPr="00494307" w:rsidRDefault="001F5702" w:rsidP="003F6FE2">
            <w:pPr>
              <w:pStyle w:val="Tabletext"/>
              <w:rPr>
                <w:vertAlign w:val="superscript"/>
              </w:rPr>
            </w:pPr>
            <w:r>
              <w:t>Teacher problem behaviour</w:t>
            </w:r>
            <w:r>
              <w:rPr>
                <w:vertAlign w:val="superscript"/>
              </w:rPr>
              <w:t>1</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r>
      <w:tr w:rsidR="001F5702" w:rsidTr="003F6FE2">
        <w:tc>
          <w:tcPr>
            <w:tcW w:w="5387" w:type="dxa"/>
            <w:tcBorders>
              <w:top w:val="nil"/>
              <w:left w:val="nil"/>
              <w:bottom w:val="nil"/>
              <w:right w:val="nil"/>
            </w:tcBorders>
            <w:vAlign w:val="center"/>
          </w:tcPr>
          <w:p w:rsidR="001F5702" w:rsidRPr="00494307" w:rsidRDefault="001F5702" w:rsidP="003F6FE2">
            <w:pPr>
              <w:pStyle w:val="Tabletext"/>
              <w:rPr>
                <w:vertAlign w:val="superscript"/>
              </w:rPr>
            </w:pPr>
            <w:r>
              <w:t>Student body problem behaviour</w:t>
            </w:r>
            <w:r>
              <w:rPr>
                <w:vertAlign w:val="superscript"/>
              </w:rPr>
              <w:t>1</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-0.04 (0.02)**</w:t>
            </w: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-0.04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-0.04 (0.02)*</w:t>
            </w:r>
          </w:p>
        </w:tc>
      </w:tr>
      <w:tr w:rsidR="001F5702" w:rsidTr="003F6FE2">
        <w:tc>
          <w:tcPr>
            <w:tcW w:w="5387" w:type="dxa"/>
            <w:tcBorders>
              <w:top w:val="nil"/>
              <w:left w:val="nil"/>
              <w:bottom w:val="nil"/>
              <w:right w:val="nil"/>
            </w:tcBorders>
            <w:vAlign w:val="center"/>
          </w:tcPr>
          <w:p w:rsidR="001F5702" w:rsidRPr="000E4B7C" w:rsidRDefault="001F5702" w:rsidP="003F6FE2">
            <w:pPr>
              <w:pStyle w:val="Tabletext"/>
              <w:rPr>
                <w:b/>
              </w:rPr>
            </w:pPr>
            <w:r>
              <w:rPr>
                <w:b/>
              </w:rPr>
              <w:t>School c</w:t>
            </w:r>
            <w:r w:rsidRPr="000E4B7C">
              <w:rPr>
                <w:b/>
              </w:rPr>
              <w:t>haracteristics, age 15</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361FCD"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pPr>
            <w:r>
              <w:t>School average SES (ANU4)</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361FCD"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0.00 (0.00)</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0.00 (0.00)</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pPr>
            <w:r>
              <w:t>School size</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361FCD"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0.00 (0.00)</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0.00 (0.00)</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pPr>
            <w:r>
              <w:t>Proportion of girls to boys</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-0.03 (0.04)</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-0.03 (0.04)</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pPr>
            <w:r>
              <w:t>Grade structure</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ind w:left="170"/>
            </w:pPr>
            <w:r>
              <w:t>K–12 school</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0.06 (0.07)</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0.05 (0.08)</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ind w:left="170"/>
            </w:pPr>
            <w:r>
              <w:t>Senior college</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361FCD"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0.04 (0.13)</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0.06 (0.14)</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pPr>
            <w:r>
              <w:t>School selectivity</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361FCD"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ind w:left="170"/>
            </w:pPr>
            <w:r>
              <w:t>Considers selection based on student location</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361FCD"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ind w:left="170"/>
            </w:pPr>
            <w:r>
              <w:t>Considers selection based on student achievement</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361FCD"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(0.01)</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(0.02)</w:t>
            </w:r>
          </w:p>
        </w:tc>
      </w:tr>
      <w:tr w:rsidR="001F5702" w:rsidTr="003F6FE2">
        <w:tc>
          <w:tcPr>
            <w:tcW w:w="5387" w:type="dxa"/>
            <w:tcBorders>
              <w:top w:val="nil"/>
              <w:left w:val="nil"/>
              <w:bottom w:val="nil"/>
              <w:right w:val="nil"/>
            </w:tcBorders>
            <w:vAlign w:val="center"/>
          </w:tcPr>
          <w:p w:rsidR="001F5702" w:rsidRDefault="001F5702" w:rsidP="003F6FE2">
            <w:pPr>
              <w:pStyle w:val="Tabletext"/>
            </w:pPr>
            <w:r>
              <w:t>Extent of maths streaming within school</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361FCD"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0.00 (0.01)</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0.00 (0.01)</w:t>
            </w:r>
          </w:p>
        </w:tc>
      </w:tr>
      <w:tr w:rsidR="001F5702" w:rsidTr="003F6FE2">
        <w:tc>
          <w:tcPr>
            <w:tcW w:w="5387" w:type="dxa"/>
            <w:tcBorders>
              <w:top w:val="nil"/>
              <w:left w:val="nil"/>
              <w:bottom w:val="nil"/>
              <w:right w:val="nil"/>
            </w:tcBorders>
            <w:vAlign w:val="center"/>
          </w:tcPr>
          <w:p w:rsidR="001F5702" w:rsidRDefault="001F5702" w:rsidP="003F6FE2">
            <w:pPr>
              <w:pStyle w:val="Tabletext"/>
            </w:pPr>
            <w:r>
              <w:t>Estimated number of student assessments per year</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361FCD" w:rsidRDefault="001F5702" w:rsidP="0017764A">
            <w:pPr>
              <w:pStyle w:val="Tabletext"/>
              <w:tabs>
                <w:tab w:val="decimal" w:pos="170"/>
              </w:tabs>
            </w:pPr>
          </w:p>
        </w:tc>
        <w:tc>
          <w:tcPr>
            <w:tcW w:w="1436"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0.00 (0.01)</w:t>
            </w: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(0.01)</w:t>
            </w:r>
          </w:p>
        </w:tc>
      </w:tr>
      <w:tr w:rsidR="001F5702" w:rsidTr="003F6FE2">
        <w:tc>
          <w:tcPr>
            <w:tcW w:w="5387" w:type="dxa"/>
            <w:tcBorders>
              <w:top w:val="nil"/>
              <w:left w:val="nil"/>
              <w:bottom w:val="nil"/>
              <w:right w:val="nil"/>
            </w:tcBorders>
            <w:vAlign w:val="center"/>
          </w:tcPr>
          <w:p w:rsidR="001F5702" w:rsidRPr="00F769BC" w:rsidRDefault="001F5702" w:rsidP="003F6FE2">
            <w:pPr>
              <w:pStyle w:val="Tabletext"/>
              <w:rPr>
                <w:b/>
              </w:rPr>
            </w:pPr>
            <w:r>
              <w:rPr>
                <w:b/>
              </w:rPr>
              <w:t>School r</w:t>
            </w:r>
            <w:r w:rsidRPr="00F769BC">
              <w:rPr>
                <w:b/>
              </w:rPr>
              <w:t>esources, age 15</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361FCD" w:rsidRDefault="001F5702" w:rsidP="0017764A">
            <w:pPr>
              <w:pStyle w:val="Tabletext"/>
              <w:tabs>
                <w:tab w:val="decimal" w:pos="170"/>
              </w:tabs>
            </w:pPr>
          </w:p>
        </w:tc>
        <w:tc>
          <w:tcPr>
            <w:tcW w:w="1436" w:type="dxa"/>
            <w:tcBorders>
              <w:top w:val="nil"/>
              <w:left w:val="nil"/>
              <w:bottom w:val="nil"/>
              <w:right w:val="nil"/>
            </w:tcBorders>
            <w:vAlign w:val="center"/>
          </w:tcPr>
          <w:p w:rsidR="001F5702" w:rsidRPr="00361FCD" w:rsidRDefault="001F5702" w:rsidP="0017764A">
            <w:pPr>
              <w:pStyle w:val="Tabletext"/>
              <w:tabs>
                <w:tab w:val="decimal" w:pos="170"/>
              </w:tabs>
            </w:pP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 xml:space="preserve"> </w:t>
            </w:r>
          </w:p>
        </w:tc>
      </w:tr>
      <w:tr w:rsidR="001F5702" w:rsidTr="003F6FE2">
        <w:tc>
          <w:tcPr>
            <w:tcW w:w="5387" w:type="dxa"/>
            <w:tcBorders>
              <w:top w:val="nil"/>
              <w:left w:val="nil"/>
              <w:bottom w:val="nil"/>
              <w:right w:val="nil"/>
            </w:tcBorders>
            <w:vAlign w:val="center"/>
          </w:tcPr>
          <w:p w:rsidR="001F5702" w:rsidRDefault="001F5702" w:rsidP="003F6FE2">
            <w:pPr>
              <w:pStyle w:val="Tabletext"/>
            </w:pPr>
            <w:r>
              <w:t>Student–teacher ratio</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361FCD" w:rsidRDefault="001F5702" w:rsidP="0017764A">
            <w:pPr>
              <w:pStyle w:val="Tabletext"/>
              <w:tabs>
                <w:tab w:val="decimal" w:pos="170"/>
              </w:tabs>
            </w:pPr>
          </w:p>
        </w:tc>
        <w:tc>
          <w:tcPr>
            <w:tcW w:w="1436" w:type="dxa"/>
            <w:tcBorders>
              <w:top w:val="nil"/>
              <w:left w:val="nil"/>
              <w:bottom w:val="nil"/>
              <w:right w:val="nil"/>
            </w:tcBorders>
            <w:vAlign w:val="center"/>
          </w:tcPr>
          <w:p w:rsidR="001F5702" w:rsidRPr="00361FCD" w:rsidRDefault="001F5702" w:rsidP="0017764A">
            <w:pPr>
              <w:pStyle w:val="Tabletext"/>
              <w:tabs>
                <w:tab w:val="decimal" w:pos="170"/>
              </w:tabs>
            </w:pP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0.00 (0.00)</w:t>
            </w:r>
          </w:p>
        </w:tc>
      </w:tr>
      <w:tr w:rsidR="001F5702" w:rsidTr="003F6FE2">
        <w:tc>
          <w:tcPr>
            <w:tcW w:w="5387" w:type="dxa"/>
            <w:tcBorders>
              <w:top w:val="nil"/>
              <w:left w:val="nil"/>
              <w:bottom w:val="nil"/>
              <w:right w:val="nil"/>
            </w:tcBorders>
            <w:vAlign w:val="center"/>
          </w:tcPr>
          <w:p w:rsidR="001F5702" w:rsidRDefault="001F5702" w:rsidP="003F6FE2">
            <w:pPr>
              <w:pStyle w:val="Tabletext"/>
            </w:pPr>
            <w:r>
              <w:t>Adequacy of school physical facilities</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361FCD" w:rsidRDefault="001F5702" w:rsidP="0017764A">
            <w:pPr>
              <w:pStyle w:val="Tabletext"/>
              <w:tabs>
                <w:tab w:val="decimal" w:pos="170"/>
              </w:tabs>
            </w:pPr>
          </w:p>
        </w:tc>
        <w:tc>
          <w:tcPr>
            <w:tcW w:w="1436" w:type="dxa"/>
            <w:tcBorders>
              <w:top w:val="nil"/>
              <w:left w:val="nil"/>
              <w:bottom w:val="nil"/>
              <w:right w:val="nil"/>
            </w:tcBorders>
            <w:vAlign w:val="center"/>
          </w:tcPr>
          <w:p w:rsidR="001F5702" w:rsidRPr="00361FCD" w:rsidRDefault="001F5702" w:rsidP="0017764A">
            <w:pPr>
              <w:pStyle w:val="Tabletext"/>
              <w:tabs>
                <w:tab w:val="decimal" w:pos="170"/>
              </w:tabs>
            </w:pPr>
          </w:p>
        </w:tc>
        <w:tc>
          <w:tcPr>
            <w:tcW w:w="1437" w:type="dxa"/>
            <w:tcBorders>
              <w:top w:val="nil"/>
              <w:left w:val="nil"/>
              <w:bottom w:val="nil"/>
              <w:right w:val="nil"/>
            </w:tcBorders>
            <w:vAlign w:val="center"/>
          </w:tcPr>
          <w:p w:rsidR="001F5702" w:rsidRPr="0016632F" w:rsidRDefault="001F5702" w:rsidP="00F12F7C">
            <w:pPr>
              <w:pStyle w:val="Tabletext"/>
              <w:tabs>
                <w:tab w:val="decimal" w:pos="170"/>
              </w:tabs>
              <w:rPr>
                <w:rFonts w:cs="Arial"/>
                <w:szCs w:val="16"/>
              </w:rPr>
            </w:pPr>
            <w:r w:rsidRPr="0016632F">
              <w:rPr>
                <w:rFonts w:cs="Arial"/>
                <w:szCs w:val="16"/>
              </w:rPr>
              <w:t>0.02 (0.01)*</w:t>
            </w:r>
          </w:p>
        </w:tc>
      </w:tr>
      <w:tr w:rsidR="001F5702" w:rsidTr="003F6FE2">
        <w:tc>
          <w:tcPr>
            <w:tcW w:w="5387" w:type="dxa"/>
            <w:tcBorders>
              <w:top w:val="nil"/>
              <w:left w:val="nil"/>
              <w:bottom w:val="nil"/>
              <w:right w:val="nil"/>
            </w:tcBorders>
            <w:vAlign w:val="center"/>
          </w:tcPr>
          <w:p w:rsidR="001F5702" w:rsidRDefault="001F5702" w:rsidP="003F6FE2">
            <w:pPr>
              <w:pStyle w:val="Tabletext"/>
            </w:pPr>
            <w:r>
              <w:t>Adequacy of school educational resources</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361FCD" w:rsidRDefault="001F5702" w:rsidP="0017764A">
            <w:pPr>
              <w:pStyle w:val="Tabletext"/>
              <w:tabs>
                <w:tab w:val="decimal" w:pos="170"/>
              </w:tabs>
            </w:pPr>
          </w:p>
        </w:tc>
        <w:tc>
          <w:tcPr>
            <w:tcW w:w="1436" w:type="dxa"/>
            <w:tcBorders>
              <w:top w:val="nil"/>
              <w:left w:val="nil"/>
              <w:bottom w:val="nil"/>
              <w:right w:val="nil"/>
            </w:tcBorders>
            <w:vAlign w:val="center"/>
          </w:tcPr>
          <w:p w:rsidR="001F5702" w:rsidRPr="00361FCD" w:rsidRDefault="001F5702" w:rsidP="0017764A">
            <w:pPr>
              <w:pStyle w:val="Tabletext"/>
              <w:tabs>
                <w:tab w:val="decimal" w:pos="170"/>
              </w:tabs>
            </w:pP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(0.01)</w:t>
            </w:r>
          </w:p>
        </w:tc>
      </w:tr>
      <w:tr w:rsidR="001F5702" w:rsidTr="003F6FE2">
        <w:tc>
          <w:tcPr>
            <w:tcW w:w="5387" w:type="dxa"/>
            <w:tcBorders>
              <w:top w:val="nil"/>
              <w:left w:val="nil"/>
              <w:bottom w:val="nil"/>
              <w:right w:val="nil"/>
            </w:tcBorders>
            <w:vAlign w:val="center"/>
          </w:tcPr>
          <w:p w:rsidR="001F5702" w:rsidRPr="00B90227" w:rsidRDefault="001F5702" w:rsidP="003F6FE2">
            <w:pPr>
              <w:pStyle w:val="Tabletext"/>
            </w:pPr>
            <w:r>
              <w:t>Extent of teacher shortage</w:t>
            </w:r>
          </w:p>
        </w:tc>
        <w:tc>
          <w:tcPr>
            <w:tcW w:w="1436" w:type="dxa"/>
            <w:tcBorders>
              <w:top w:val="nil"/>
              <w:left w:val="nil"/>
              <w:bottom w:val="nil"/>
              <w:right w:val="nil"/>
            </w:tcBorders>
            <w:vAlign w:val="center"/>
          </w:tcPr>
          <w:p w:rsidR="001F5702" w:rsidRPr="00A542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7" w:type="dxa"/>
            <w:tcBorders>
              <w:top w:val="nil"/>
              <w:left w:val="nil"/>
              <w:bottom w:val="nil"/>
              <w:right w:val="nil"/>
            </w:tcBorders>
            <w:vAlign w:val="center"/>
          </w:tcPr>
          <w:p w:rsidR="001F5702" w:rsidRPr="00575C82" w:rsidRDefault="001F5702" w:rsidP="0017764A">
            <w:pPr>
              <w:pStyle w:val="Tabletext"/>
              <w:tabs>
                <w:tab w:val="decimal" w:pos="170"/>
              </w:tabs>
            </w:pPr>
          </w:p>
        </w:tc>
        <w:tc>
          <w:tcPr>
            <w:tcW w:w="1436" w:type="dxa"/>
            <w:tcBorders>
              <w:top w:val="nil"/>
              <w:left w:val="nil"/>
              <w:bottom w:val="nil"/>
              <w:right w:val="nil"/>
            </w:tcBorders>
            <w:vAlign w:val="center"/>
          </w:tcPr>
          <w:p w:rsidR="001F5702" w:rsidRPr="00361FCD" w:rsidRDefault="001F5702" w:rsidP="0017764A">
            <w:pPr>
              <w:pStyle w:val="Tabletext"/>
              <w:tabs>
                <w:tab w:val="decimal" w:pos="170"/>
              </w:tabs>
            </w:pPr>
          </w:p>
        </w:tc>
        <w:tc>
          <w:tcPr>
            <w:tcW w:w="1436" w:type="dxa"/>
            <w:tcBorders>
              <w:top w:val="nil"/>
              <w:left w:val="nil"/>
              <w:bottom w:val="nil"/>
              <w:right w:val="nil"/>
            </w:tcBorders>
            <w:vAlign w:val="center"/>
          </w:tcPr>
          <w:p w:rsidR="001F5702" w:rsidRPr="00361FCD" w:rsidRDefault="001F5702" w:rsidP="0017764A">
            <w:pPr>
              <w:pStyle w:val="Tabletext"/>
              <w:tabs>
                <w:tab w:val="decimal" w:pos="170"/>
              </w:tabs>
            </w:pPr>
          </w:p>
        </w:tc>
        <w:tc>
          <w:tcPr>
            <w:tcW w:w="1437" w:type="dxa"/>
            <w:tcBorders>
              <w:top w:val="nil"/>
              <w:left w:val="nil"/>
              <w:bottom w:val="nil"/>
              <w:right w:val="nil"/>
            </w:tcBorders>
            <w:vAlign w:val="center"/>
          </w:tcPr>
          <w:p w:rsidR="001F5702" w:rsidRPr="0016632F" w:rsidRDefault="001F5702" w:rsidP="0017764A">
            <w:pPr>
              <w:pStyle w:val="Tabletext"/>
              <w:tabs>
                <w:tab w:val="decimal" w:pos="170"/>
              </w:tabs>
              <w:rPr>
                <w:rFonts w:cs="Arial"/>
                <w:szCs w:val="16"/>
              </w:rPr>
            </w:pPr>
            <w:r w:rsidRPr="0016632F">
              <w:rPr>
                <w:rFonts w:cs="Arial"/>
                <w:szCs w:val="16"/>
              </w:rPr>
              <w:t>0.01 (0.01)</w:t>
            </w:r>
          </w:p>
        </w:tc>
      </w:tr>
      <w:tr w:rsidR="001F5702" w:rsidTr="003F6FE2">
        <w:trPr>
          <w:trHeight w:val="282"/>
        </w:trPr>
        <w:tc>
          <w:tcPr>
            <w:tcW w:w="5387" w:type="dxa"/>
            <w:tcBorders>
              <w:top w:val="nil"/>
              <w:left w:val="nil"/>
              <w:bottom w:val="single" w:sz="4" w:space="0" w:color="auto"/>
              <w:right w:val="nil"/>
            </w:tcBorders>
            <w:vAlign w:val="center"/>
          </w:tcPr>
          <w:p w:rsidR="001F5702" w:rsidRPr="005D2920" w:rsidRDefault="001F5702" w:rsidP="003F6FE2">
            <w:pPr>
              <w:pStyle w:val="Tabletext"/>
              <w:rPr>
                <w:b/>
              </w:rPr>
            </w:pPr>
            <w:r>
              <w:rPr>
                <w:b/>
              </w:rPr>
              <w:t>N</w:t>
            </w:r>
          </w:p>
        </w:tc>
        <w:tc>
          <w:tcPr>
            <w:tcW w:w="1436" w:type="dxa"/>
            <w:tcBorders>
              <w:top w:val="nil"/>
              <w:left w:val="nil"/>
              <w:bottom w:val="single" w:sz="4" w:space="0" w:color="auto"/>
              <w:right w:val="nil"/>
            </w:tcBorders>
            <w:vAlign w:val="center"/>
          </w:tcPr>
          <w:p w:rsidR="001F5702" w:rsidRPr="004A605E" w:rsidRDefault="001F5702" w:rsidP="0017764A">
            <w:pPr>
              <w:pStyle w:val="Tabletext"/>
              <w:ind w:left="340"/>
              <w:rPr>
                <w:rFonts w:cs="Arial"/>
                <w:szCs w:val="16"/>
              </w:rPr>
            </w:pPr>
            <w:r>
              <w:rPr>
                <w:rFonts w:cs="Arial"/>
                <w:szCs w:val="16"/>
              </w:rPr>
              <w:t>3617</w:t>
            </w:r>
          </w:p>
        </w:tc>
        <w:tc>
          <w:tcPr>
            <w:tcW w:w="1436" w:type="dxa"/>
            <w:tcBorders>
              <w:top w:val="nil"/>
              <w:left w:val="nil"/>
              <w:bottom w:val="single" w:sz="4" w:space="0" w:color="auto"/>
              <w:right w:val="nil"/>
            </w:tcBorders>
            <w:vAlign w:val="center"/>
          </w:tcPr>
          <w:p w:rsidR="001F5702" w:rsidRPr="004A605E" w:rsidRDefault="001F5702" w:rsidP="0017764A">
            <w:pPr>
              <w:pStyle w:val="Tabletext"/>
              <w:ind w:left="340"/>
              <w:rPr>
                <w:rFonts w:cs="Arial"/>
                <w:szCs w:val="16"/>
              </w:rPr>
            </w:pPr>
            <w:r>
              <w:rPr>
                <w:rFonts w:cs="Arial"/>
                <w:szCs w:val="16"/>
              </w:rPr>
              <w:t>3617</w:t>
            </w:r>
          </w:p>
        </w:tc>
        <w:tc>
          <w:tcPr>
            <w:tcW w:w="1437" w:type="dxa"/>
            <w:tcBorders>
              <w:top w:val="nil"/>
              <w:left w:val="nil"/>
              <w:bottom w:val="single" w:sz="4" w:space="0" w:color="auto"/>
              <w:right w:val="nil"/>
            </w:tcBorders>
            <w:vAlign w:val="center"/>
          </w:tcPr>
          <w:p w:rsidR="001F5702" w:rsidRPr="004A605E" w:rsidRDefault="001F5702" w:rsidP="0017764A">
            <w:pPr>
              <w:pStyle w:val="Tabletext"/>
              <w:ind w:left="340"/>
              <w:rPr>
                <w:rFonts w:cs="Arial"/>
                <w:szCs w:val="16"/>
              </w:rPr>
            </w:pPr>
            <w:r>
              <w:rPr>
                <w:rFonts w:cs="Arial"/>
                <w:szCs w:val="16"/>
              </w:rPr>
              <w:t>3583</w:t>
            </w:r>
          </w:p>
        </w:tc>
        <w:tc>
          <w:tcPr>
            <w:tcW w:w="1436" w:type="dxa"/>
            <w:tcBorders>
              <w:top w:val="nil"/>
              <w:left w:val="nil"/>
              <w:bottom w:val="single" w:sz="4" w:space="0" w:color="auto"/>
              <w:right w:val="nil"/>
            </w:tcBorders>
            <w:vAlign w:val="center"/>
          </w:tcPr>
          <w:p w:rsidR="001F5702" w:rsidRPr="004A605E" w:rsidRDefault="001F5702" w:rsidP="0017764A">
            <w:pPr>
              <w:pStyle w:val="Tabletext"/>
              <w:ind w:left="340"/>
              <w:rPr>
                <w:rFonts w:cs="Arial"/>
                <w:szCs w:val="16"/>
              </w:rPr>
            </w:pPr>
            <w:r>
              <w:rPr>
                <w:rFonts w:cs="Arial"/>
                <w:szCs w:val="16"/>
              </w:rPr>
              <w:t>3575</w:t>
            </w:r>
          </w:p>
        </w:tc>
        <w:tc>
          <w:tcPr>
            <w:tcW w:w="1436" w:type="dxa"/>
            <w:tcBorders>
              <w:top w:val="nil"/>
              <w:left w:val="nil"/>
              <w:bottom w:val="single" w:sz="4" w:space="0" w:color="auto"/>
              <w:right w:val="nil"/>
            </w:tcBorders>
            <w:vAlign w:val="center"/>
          </w:tcPr>
          <w:p w:rsidR="001F5702" w:rsidRPr="004A605E" w:rsidRDefault="001F5702" w:rsidP="00F12F7C">
            <w:pPr>
              <w:pStyle w:val="Tabletext"/>
              <w:ind w:left="340"/>
              <w:rPr>
                <w:rFonts w:cs="Arial"/>
                <w:szCs w:val="16"/>
              </w:rPr>
            </w:pPr>
            <w:r>
              <w:rPr>
                <w:rFonts w:cs="Arial"/>
                <w:szCs w:val="16"/>
              </w:rPr>
              <w:t>3507</w:t>
            </w:r>
          </w:p>
        </w:tc>
        <w:tc>
          <w:tcPr>
            <w:tcW w:w="1437" w:type="dxa"/>
            <w:tcBorders>
              <w:top w:val="nil"/>
              <w:left w:val="nil"/>
              <w:bottom w:val="single" w:sz="4" w:space="0" w:color="auto"/>
              <w:right w:val="nil"/>
            </w:tcBorders>
            <w:vAlign w:val="center"/>
          </w:tcPr>
          <w:p w:rsidR="001F5702" w:rsidRPr="004A605E" w:rsidRDefault="001F5702" w:rsidP="0017764A">
            <w:pPr>
              <w:pStyle w:val="Tabletext"/>
              <w:ind w:left="340"/>
              <w:rPr>
                <w:rFonts w:cs="Arial"/>
                <w:szCs w:val="16"/>
              </w:rPr>
            </w:pPr>
            <w:r>
              <w:rPr>
                <w:rFonts w:cs="Arial"/>
                <w:szCs w:val="16"/>
              </w:rPr>
              <w:t>3481</w:t>
            </w:r>
          </w:p>
        </w:tc>
      </w:tr>
    </w:tbl>
    <w:p w:rsidR="001F5702" w:rsidRDefault="0017764A" w:rsidP="0017764A">
      <w:pPr>
        <w:pStyle w:val="Source"/>
      </w:pPr>
      <w:r w:rsidRPr="00EA4173">
        <w:t>Note</w:t>
      </w:r>
      <w:r>
        <w:t>s</w:t>
      </w:r>
      <w:r w:rsidRPr="00EA4173">
        <w:t xml:space="preserve">: </w:t>
      </w:r>
      <w:r>
        <w:tab/>
      </w:r>
      <w:r w:rsidR="001F5702">
        <w:t>* p&lt;.10 ** p&lt;.05 *** p&lt;.01.</w:t>
      </w:r>
    </w:p>
    <w:p w:rsidR="001F5702" w:rsidRDefault="0017764A" w:rsidP="0017764A">
      <w:pPr>
        <w:pStyle w:val="Source"/>
      </w:pPr>
      <w:r>
        <w:tab/>
      </w:r>
      <w:proofErr w:type="gramStart"/>
      <w:r w:rsidR="001F5702">
        <w:t>Standard errors in brackets.</w:t>
      </w:r>
      <w:proofErr w:type="gramEnd"/>
      <w:r w:rsidR="001F5702">
        <w:t xml:space="preserve"> </w:t>
      </w:r>
    </w:p>
    <w:p w:rsidR="001F5702" w:rsidRPr="00EA4173" w:rsidRDefault="0017764A" w:rsidP="0017764A">
      <w:pPr>
        <w:pStyle w:val="Source"/>
      </w:pPr>
      <w:r>
        <w:tab/>
      </w:r>
      <w:r w:rsidR="001F5702">
        <w:t>Marginal effects are calculated at the mean; for dummy variables, the marginal effect is for discrete change from 0 to 1.</w:t>
      </w:r>
    </w:p>
    <w:p w:rsidR="001F5702" w:rsidRDefault="0017764A" w:rsidP="0017764A">
      <w:pPr>
        <w:pStyle w:val="Source"/>
        <w:rPr>
          <w:i/>
        </w:rPr>
      </w:pPr>
      <w:r>
        <w:rPr>
          <w:vertAlign w:val="superscript"/>
        </w:rPr>
        <w:tab/>
      </w:r>
      <w:proofErr w:type="gramStart"/>
      <w:r w:rsidR="001F5702" w:rsidRPr="0017764A">
        <w:t>1</w:t>
      </w:r>
      <w:r>
        <w:t xml:space="preserve"> </w:t>
      </w:r>
      <w:r w:rsidR="001F5702">
        <w:t>Student/teacher problem behaviours</w:t>
      </w:r>
      <w:proofErr w:type="gramEnd"/>
      <w:r w:rsidR="001F5702">
        <w:t xml:space="preserve">: higher scores indicate </w:t>
      </w:r>
      <w:r w:rsidR="001F5702">
        <w:rPr>
          <w:i/>
        </w:rPr>
        <w:t>less</w:t>
      </w:r>
      <w:r w:rsidR="001F5702">
        <w:t xml:space="preserve"> problem behaviours </w:t>
      </w:r>
      <w:r w:rsidR="001F5702">
        <w:rPr>
          <w:i/>
        </w:rPr>
        <w:t>(almost certainly).</w:t>
      </w:r>
    </w:p>
    <w:p w:rsidR="001F5702" w:rsidRDefault="001F5702" w:rsidP="00F12F7C">
      <w:pPr>
        <w:pStyle w:val="Source"/>
        <w:rPr>
          <w:b/>
          <w:sz w:val="17"/>
          <w:szCs w:val="17"/>
        </w:rPr>
      </w:pPr>
      <w:r w:rsidRPr="00EA4173">
        <w:t>Source:</w:t>
      </w:r>
      <w:r w:rsidR="0017764A">
        <w:tab/>
      </w:r>
      <w:r>
        <w:t>LSAY Y03 cohort.</w:t>
      </w:r>
      <w:bookmarkStart w:id="92" w:name="_Toc242601235"/>
      <w:r>
        <w:rPr>
          <w:szCs w:val="17"/>
        </w:rPr>
        <w:br w:type="page"/>
      </w:r>
    </w:p>
    <w:p w:rsidR="001F5702" w:rsidRPr="00193513" w:rsidRDefault="001F5702" w:rsidP="00F12F7C">
      <w:pPr>
        <w:pStyle w:val="tabletitle"/>
        <w:rPr>
          <w:i/>
        </w:rPr>
      </w:pPr>
      <w:bookmarkStart w:id="93" w:name="_Toc323566758"/>
      <w:bookmarkStart w:id="94" w:name="_Toc324765906"/>
      <w:r w:rsidRPr="005D446B">
        <w:lastRenderedPageBreak/>
        <w:t xml:space="preserve">Table </w:t>
      </w:r>
      <w:r>
        <w:t>11</w:t>
      </w:r>
      <w:r w:rsidRPr="005D446B">
        <w:tab/>
      </w:r>
      <w:r w:rsidRPr="00605DAE">
        <w:t xml:space="preserve">Regression results Year 12 </w:t>
      </w:r>
      <w:r w:rsidRPr="00F12F7C">
        <w:t>completion</w:t>
      </w:r>
      <w:r w:rsidRPr="00605DAE">
        <w:t>, full LSAY Y03 2006 cohort</w:t>
      </w:r>
      <w:bookmarkEnd w:id="93"/>
      <w:bookmarkEnd w:id="94"/>
    </w:p>
    <w:tbl>
      <w:tblPr>
        <w:tblW w:w="1400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5387"/>
        <w:gridCol w:w="1436"/>
        <w:gridCol w:w="1436"/>
        <w:gridCol w:w="1437"/>
        <w:gridCol w:w="1436"/>
        <w:gridCol w:w="1436"/>
        <w:gridCol w:w="1437"/>
      </w:tblGrid>
      <w:tr w:rsidR="001F5702" w:rsidRPr="00D41A46" w:rsidTr="00F12F7C">
        <w:tc>
          <w:tcPr>
            <w:tcW w:w="5387" w:type="dxa"/>
            <w:tcBorders>
              <w:top w:val="single" w:sz="4" w:space="0" w:color="auto"/>
              <w:left w:val="nil"/>
              <w:bottom w:val="single" w:sz="4" w:space="0" w:color="auto"/>
              <w:right w:val="nil"/>
            </w:tcBorders>
            <w:vAlign w:val="center"/>
          </w:tcPr>
          <w:p w:rsidR="001F5702" w:rsidRPr="0031761A" w:rsidRDefault="001F5702" w:rsidP="00F12F7C">
            <w:pPr>
              <w:pStyle w:val="Tablehead1"/>
            </w:pPr>
          </w:p>
        </w:tc>
        <w:tc>
          <w:tcPr>
            <w:tcW w:w="1436" w:type="dxa"/>
            <w:tcBorders>
              <w:top w:val="single" w:sz="4" w:space="0" w:color="auto"/>
              <w:left w:val="nil"/>
              <w:bottom w:val="single" w:sz="4" w:space="0" w:color="auto"/>
              <w:right w:val="nil"/>
            </w:tcBorders>
            <w:vAlign w:val="center"/>
          </w:tcPr>
          <w:p w:rsidR="001F5702" w:rsidRPr="0031761A" w:rsidRDefault="001F5702" w:rsidP="00F12F7C">
            <w:pPr>
              <w:pStyle w:val="Tablehead1"/>
              <w:ind w:left="255"/>
            </w:pPr>
            <w:r>
              <w:t>Model 1</w:t>
            </w:r>
          </w:p>
        </w:tc>
        <w:tc>
          <w:tcPr>
            <w:tcW w:w="1436" w:type="dxa"/>
            <w:tcBorders>
              <w:top w:val="single" w:sz="4" w:space="0" w:color="auto"/>
              <w:left w:val="nil"/>
              <w:bottom w:val="single" w:sz="4" w:space="0" w:color="auto"/>
              <w:right w:val="nil"/>
            </w:tcBorders>
            <w:vAlign w:val="center"/>
          </w:tcPr>
          <w:p w:rsidR="001F5702" w:rsidRDefault="001F5702" w:rsidP="00F12F7C">
            <w:pPr>
              <w:pStyle w:val="Tablehead1"/>
              <w:ind w:left="255"/>
            </w:pPr>
            <w:r>
              <w:t>Model 2</w:t>
            </w:r>
          </w:p>
        </w:tc>
        <w:tc>
          <w:tcPr>
            <w:tcW w:w="1437" w:type="dxa"/>
            <w:tcBorders>
              <w:top w:val="single" w:sz="4" w:space="0" w:color="auto"/>
              <w:left w:val="nil"/>
              <w:bottom w:val="single" w:sz="4" w:space="0" w:color="auto"/>
              <w:right w:val="nil"/>
            </w:tcBorders>
            <w:vAlign w:val="center"/>
          </w:tcPr>
          <w:p w:rsidR="001F5702" w:rsidRDefault="001F5702" w:rsidP="00F12F7C">
            <w:pPr>
              <w:pStyle w:val="Tablehead1"/>
              <w:ind w:left="255"/>
            </w:pPr>
            <w:r>
              <w:t>Model 3</w:t>
            </w:r>
          </w:p>
        </w:tc>
        <w:tc>
          <w:tcPr>
            <w:tcW w:w="1436" w:type="dxa"/>
            <w:tcBorders>
              <w:top w:val="single" w:sz="4" w:space="0" w:color="auto"/>
              <w:left w:val="nil"/>
              <w:bottom w:val="single" w:sz="4" w:space="0" w:color="auto"/>
              <w:right w:val="nil"/>
            </w:tcBorders>
            <w:vAlign w:val="center"/>
          </w:tcPr>
          <w:p w:rsidR="001F5702" w:rsidRPr="0031761A" w:rsidRDefault="001F5702" w:rsidP="00F12F7C">
            <w:pPr>
              <w:pStyle w:val="Tablehead1"/>
              <w:ind w:left="255"/>
            </w:pPr>
            <w:r>
              <w:t>Model 4</w:t>
            </w:r>
          </w:p>
        </w:tc>
        <w:tc>
          <w:tcPr>
            <w:tcW w:w="1436" w:type="dxa"/>
            <w:tcBorders>
              <w:top w:val="single" w:sz="4" w:space="0" w:color="auto"/>
              <w:left w:val="nil"/>
              <w:bottom w:val="single" w:sz="4" w:space="0" w:color="auto"/>
              <w:right w:val="nil"/>
            </w:tcBorders>
            <w:vAlign w:val="center"/>
          </w:tcPr>
          <w:p w:rsidR="001F5702" w:rsidRPr="0031761A" w:rsidRDefault="001F5702" w:rsidP="00F12F7C">
            <w:pPr>
              <w:pStyle w:val="Tablehead1"/>
              <w:ind w:left="255"/>
            </w:pPr>
            <w:r>
              <w:t>Model 5</w:t>
            </w:r>
          </w:p>
        </w:tc>
        <w:tc>
          <w:tcPr>
            <w:tcW w:w="1437" w:type="dxa"/>
            <w:tcBorders>
              <w:top w:val="single" w:sz="4" w:space="0" w:color="auto"/>
              <w:left w:val="nil"/>
              <w:bottom w:val="single" w:sz="4" w:space="0" w:color="auto"/>
              <w:right w:val="nil"/>
            </w:tcBorders>
            <w:vAlign w:val="center"/>
          </w:tcPr>
          <w:p w:rsidR="001F5702" w:rsidRPr="0031761A" w:rsidRDefault="001F5702" w:rsidP="00F12F7C">
            <w:pPr>
              <w:pStyle w:val="Tablehead1"/>
              <w:ind w:left="255"/>
            </w:pPr>
            <w:r>
              <w:t>Model 6</w:t>
            </w:r>
          </w:p>
        </w:tc>
      </w:tr>
      <w:tr w:rsidR="001F5702" w:rsidRPr="00D41A46" w:rsidTr="00F12F7C">
        <w:tc>
          <w:tcPr>
            <w:tcW w:w="5387" w:type="dxa"/>
            <w:tcBorders>
              <w:top w:val="single" w:sz="4" w:space="0" w:color="auto"/>
              <w:left w:val="nil"/>
              <w:bottom w:val="nil"/>
              <w:right w:val="nil"/>
            </w:tcBorders>
            <w:vAlign w:val="center"/>
          </w:tcPr>
          <w:p w:rsidR="001F5702" w:rsidRPr="00B90227" w:rsidRDefault="001F5702" w:rsidP="00F12F7C">
            <w:pPr>
              <w:pStyle w:val="Tabletext"/>
            </w:pPr>
            <w:r>
              <w:t>Gender (1 = male)</w:t>
            </w:r>
          </w:p>
        </w:tc>
        <w:tc>
          <w:tcPr>
            <w:tcW w:w="1436" w:type="dxa"/>
            <w:tcBorders>
              <w:top w:val="single" w:sz="4" w:space="0" w:color="auto"/>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-0.09 (0.01)***</w:t>
            </w:r>
          </w:p>
        </w:tc>
        <w:tc>
          <w:tcPr>
            <w:tcW w:w="1436" w:type="dxa"/>
            <w:tcBorders>
              <w:top w:val="single" w:sz="4" w:space="0" w:color="auto"/>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-0.070 (0.01)***</w:t>
            </w:r>
          </w:p>
        </w:tc>
        <w:tc>
          <w:tcPr>
            <w:tcW w:w="1437" w:type="dxa"/>
            <w:tcBorders>
              <w:top w:val="single" w:sz="4" w:space="0" w:color="auto"/>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(0.01)***</w:t>
            </w:r>
          </w:p>
        </w:tc>
        <w:tc>
          <w:tcPr>
            <w:tcW w:w="1436" w:type="dxa"/>
            <w:tcBorders>
              <w:top w:val="single" w:sz="4" w:space="0" w:color="auto"/>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(0.01)***</w:t>
            </w:r>
          </w:p>
        </w:tc>
        <w:tc>
          <w:tcPr>
            <w:tcW w:w="1436" w:type="dxa"/>
            <w:tcBorders>
              <w:top w:val="single" w:sz="4" w:space="0" w:color="auto"/>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(0.01)**</w:t>
            </w:r>
          </w:p>
        </w:tc>
        <w:tc>
          <w:tcPr>
            <w:tcW w:w="1437" w:type="dxa"/>
            <w:tcBorders>
              <w:top w:val="single" w:sz="4" w:space="0" w:color="auto"/>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(0.01)**</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pPr>
            <w:r w:rsidRPr="00B90227">
              <w:t>Lives in major city</w:t>
            </w:r>
            <w: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0.06 (0.01)***</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0.069 (0.01)***</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0.06 (0.01)***</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0.06 (0.01)***</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0.07 (0.01)***</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0.07 (0.01)***</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pPr>
            <w:r w:rsidRPr="00B90227">
              <w:t>Indigenous Australian</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-0.021 (0.03)</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0.033 (0.03)</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(0.03)</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(0.03)</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(0.03)</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(0.03)</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pPr>
            <w:r>
              <w:t>Father or head of household employed, age 15</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(0.03)</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-0.04 (0.03)</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-0.04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-0.04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-0.04 (0.02)*</w:t>
            </w:r>
          </w:p>
        </w:tc>
      </w:tr>
      <w:tr w:rsidR="001F5702" w:rsidTr="00F12F7C">
        <w:trPr>
          <w:trHeight w:val="81"/>
        </w:trPr>
        <w:tc>
          <w:tcPr>
            <w:tcW w:w="5387" w:type="dxa"/>
            <w:tcBorders>
              <w:top w:val="nil"/>
              <w:left w:val="nil"/>
              <w:bottom w:val="nil"/>
              <w:right w:val="nil"/>
            </w:tcBorders>
            <w:vAlign w:val="center"/>
          </w:tcPr>
          <w:p w:rsidR="001F5702" w:rsidRPr="00B90227" w:rsidRDefault="001F5702" w:rsidP="00F12F7C">
            <w:pPr>
              <w:pStyle w:val="Tabletext"/>
            </w:pPr>
            <w:r>
              <w:t>Parental education</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ind w:left="170"/>
            </w:pPr>
            <w:r>
              <w:t>Father has bachelor degree or higher</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0.01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0.01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(0.01)</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(0.01)</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(0.01)</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(0.01)</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ind w:left="170"/>
            </w:pPr>
            <w:r>
              <w:t>Mother has bachelor degree or higher</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0.04 (0.01)***</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(0.01)</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(0.01)*</w:t>
            </w:r>
          </w:p>
        </w:tc>
        <w:tc>
          <w:tcPr>
            <w:tcW w:w="1436" w:type="dxa"/>
            <w:tcBorders>
              <w:top w:val="nil"/>
              <w:left w:val="nil"/>
              <w:bottom w:val="nil"/>
              <w:right w:val="nil"/>
            </w:tcBorders>
            <w:shd w:val="clear" w:color="auto" w:fill="FFFFFF"/>
            <w:vAlign w:val="center"/>
          </w:tcPr>
          <w:p w:rsidR="001F5702" w:rsidRPr="00FE4A2A" w:rsidRDefault="001F5702" w:rsidP="00F12F7C">
            <w:pPr>
              <w:pStyle w:val="Tabletext"/>
              <w:tabs>
                <w:tab w:val="decimal" w:pos="170"/>
              </w:tabs>
              <w:rPr>
                <w:rFonts w:cs="Arial"/>
                <w:szCs w:val="16"/>
              </w:rPr>
            </w:pPr>
            <w:r w:rsidRPr="00FE4A2A">
              <w:rPr>
                <w:rFonts w:cs="Arial"/>
                <w:szCs w:val="16"/>
              </w:rPr>
              <w:t>0.02 (0.01)*</w:t>
            </w:r>
          </w:p>
        </w:tc>
        <w:tc>
          <w:tcPr>
            <w:tcW w:w="1436" w:type="dxa"/>
            <w:tcBorders>
              <w:top w:val="nil"/>
              <w:left w:val="nil"/>
              <w:bottom w:val="nil"/>
              <w:right w:val="nil"/>
            </w:tcBorders>
            <w:shd w:val="clear" w:color="auto" w:fill="FFFFFF"/>
            <w:vAlign w:val="center"/>
          </w:tcPr>
          <w:p w:rsidR="001F5702" w:rsidRPr="00FE4A2A" w:rsidRDefault="001F5702" w:rsidP="00F12F7C">
            <w:pPr>
              <w:pStyle w:val="Tabletext"/>
              <w:tabs>
                <w:tab w:val="decimal" w:pos="170"/>
              </w:tabs>
              <w:rPr>
                <w:rFonts w:cs="Arial"/>
                <w:szCs w:val="16"/>
              </w:rPr>
            </w:pPr>
            <w:r w:rsidRPr="00FE4A2A">
              <w:rPr>
                <w:rFonts w:cs="Arial"/>
                <w:szCs w:val="16"/>
              </w:rPr>
              <w:t>0.02 (0.01)</w:t>
            </w:r>
          </w:p>
        </w:tc>
        <w:tc>
          <w:tcPr>
            <w:tcW w:w="1437" w:type="dxa"/>
            <w:tcBorders>
              <w:top w:val="nil"/>
              <w:left w:val="nil"/>
              <w:bottom w:val="nil"/>
              <w:right w:val="nil"/>
            </w:tcBorders>
            <w:shd w:val="clear" w:color="auto" w:fill="FFFFFF"/>
            <w:vAlign w:val="center"/>
          </w:tcPr>
          <w:p w:rsidR="001F5702" w:rsidRPr="00FE4A2A" w:rsidRDefault="001F5702" w:rsidP="00F12F7C">
            <w:pPr>
              <w:pStyle w:val="Tabletext"/>
              <w:tabs>
                <w:tab w:val="decimal" w:pos="170"/>
              </w:tabs>
              <w:rPr>
                <w:rFonts w:cs="Arial"/>
                <w:szCs w:val="16"/>
              </w:rPr>
            </w:pPr>
            <w:r w:rsidRPr="00FE4A2A">
              <w:rPr>
                <w:rFonts w:cs="Arial"/>
                <w:szCs w:val="16"/>
              </w:rPr>
              <w:t>0.02 (0.01)</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pPr>
            <w:r>
              <w:t>Number of siblings</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(0.00)</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(0.00)</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(0.00)</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(0.00)</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(0.00)</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(0.00)</w:t>
            </w:r>
          </w:p>
        </w:tc>
      </w:tr>
      <w:tr w:rsidR="001F5702" w:rsidTr="00F12F7C">
        <w:tc>
          <w:tcPr>
            <w:tcW w:w="5387" w:type="dxa"/>
            <w:tcBorders>
              <w:top w:val="nil"/>
              <w:left w:val="nil"/>
              <w:bottom w:val="nil"/>
              <w:right w:val="nil"/>
            </w:tcBorders>
            <w:vAlign w:val="center"/>
          </w:tcPr>
          <w:p w:rsidR="001F5702" w:rsidRDefault="001F5702" w:rsidP="00F12F7C">
            <w:pPr>
              <w:pStyle w:val="Tabletext"/>
            </w:pPr>
            <w:r>
              <w:t>Respondent’s country of birth</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ind w:left="170"/>
            </w:pPr>
            <w:r>
              <w:t xml:space="preserve">Overseas, English </w:t>
            </w:r>
            <w:r w:rsidRPr="00B90227">
              <w:t>speaking country</w:t>
            </w:r>
            <w: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-0.05 (0.03)</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-0.04 (0.03)</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(0.03)</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(0.03)</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(0.02)</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ind w:left="170"/>
            </w:pPr>
            <w:r>
              <w:t xml:space="preserve">Overseas, non-English </w:t>
            </w:r>
            <w:r w:rsidRPr="00B90227">
              <w:t>speaking country</w:t>
            </w:r>
            <w: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0.08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0.09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0.04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(0.02)</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pPr>
            <w:r>
              <w:t>Two-parent household, age 15</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0.11 (0.01)***</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0.09 (0.01)***</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0.07 (0.01)***</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0.07 (0.01)***</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0.07 (0.01)***</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0.07 (0.01)***</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pPr>
            <w:r>
              <w:t>School sector, last year at school</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ind w:left="170"/>
            </w:pPr>
            <w:r>
              <w:t>Catholic school</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0.07 (0.01)***</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0.05 (0.01)***</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(0.01)**</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(0.01)</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(0.01)</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(0.01)</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ind w:left="170"/>
            </w:pPr>
            <w:r>
              <w:t>Independent school</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0.07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(0.01)</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(0.02)</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pPr>
            <w:r>
              <w:t>Residential state, age 15</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ind w:left="170"/>
            </w:pPr>
            <w:r w:rsidRPr="00B90227">
              <w:t>V</w:t>
            </w:r>
            <w:r>
              <w:t>ic.</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0.01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0.04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0.01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0.01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0.01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(0.02)</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ind w:left="170"/>
            </w:pPr>
            <w:r w:rsidRPr="00B90227">
              <w:t>Q</w:t>
            </w:r>
            <w:r>
              <w:t>ld</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0.15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0.15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0.13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0.13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0.13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0.14 (0.02)***</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ind w:left="170"/>
            </w:pPr>
            <w:r w:rsidRPr="00B90227">
              <w:t>SA</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-0.01 (0.03)</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-0.04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(0.02)</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ind w:left="170"/>
            </w:pPr>
            <w:r>
              <w:t>WA</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(0.02)</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ind w:left="170"/>
            </w:pPr>
            <w:r>
              <w:t>Tas.</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-0.07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-0.05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-0.06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-0.06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-0.06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-0.05 (0.02)***</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ind w:left="170"/>
            </w:pPr>
            <w:r>
              <w:t>ACT</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(0.03)</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(0.03)</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-0.04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-0.04 (0.02)</w:t>
            </w:r>
          </w:p>
        </w:tc>
      </w:tr>
      <w:tr w:rsidR="001F5702" w:rsidTr="00F12F7C">
        <w:tc>
          <w:tcPr>
            <w:tcW w:w="5387" w:type="dxa"/>
            <w:tcBorders>
              <w:top w:val="nil"/>
              <w:left w:val="nil"/>
              <w:bottom w:val="nil"/>
              <w:right w:val="nil"/>
            </w:tcBorders>
            <w:vAlign w:val="center"/>
          </w:tcPr>
          <w:p w:rsidR="001F5702" w:rsidRDefault="001F5702" w:rsidP="00F12F7C">
            <w:pPr>
              <w:pStyle w:val="Tabletext"/>
              <w:ind w:left="170"/>
            </w:pPr>
            <w:r>
              <w:t>NT</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(0.03)</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(0.03)</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(0.03)</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-0.01 (0.03)</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(0.03)</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-0.01 (0.03)</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pPr>
            <w:r>
              <w:t>SEIFA scales (multiplied by 1000)</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ind w:left="170"/>
            </w:pPr>
            <w:r>
              <w:t xml:space="preserve">Advantage-disadvantage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0.09 (0.31)</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0.09 (0.29)</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(0.26)</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-0.09 (0.28)</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-0.16 (0.27)</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-0.13 (0.28)</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ind w:left="170"/>
            </w:pPr>
            <w:r>
              <w:t>Education and occupation</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0.31 (0.29)</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0.13 (0.27)</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0.11 (0.24)</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0.15 (0.25)</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0.19 (0.24)</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0.17 (0.25)</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pPr>
            <w:r>
              <w:t>SES – responding parent ANU4 (multiplied by 100)</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Pr>
                <w:rFonts w:cs="Arial"/>
                <w:szCs w:val="16"/>
              </w:rPr>
              <w:t>0</w:t>
            </w:r>
            <w:r w:rsidRPr="00FE4A2A">
              <w:rPr>
                <w:rFonts w:cs="Arial"/>
                <w:szCs w:val="16"/>
              </w:rPr>
              <w:t>.1</w:t>
            </w:r>
            <w:r>
              <w:rPr>
                <w:rFonts w:cs="Arial"/>
                <w:szCs w:val="16"/>
              </w:rPr>
              <w:t>1</w:t>
            </w:r>
            <w:r w:rsidRPr="00FE4A2A">
              <w:rPr>
                <w:rFonts w:cs="Arial"/>
                <w:szCs w:val="16"/>
              </w:rPr>
              <w:t xml:space="preserve"> (0.</w:t>
            </w:r>
            <w:r>
              <w:rPr>
                <w:rFonts w:cs="Arial"/>
                <w:szCs w:val="16"/>
              </w:rPr>
              <w:t>0</w:t>
            </w:r>
            <w:r w:rsidRPr="00FE4A2A">
              <w:rPr>
                <w:rFonts w:cs="Arial"/>
                <w:szCs w:val="16"/>
              </w:rPr>
              <w:t>3)***</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w:t>
            </w:r>
            <w:r>
              <w:rPr>
                <w:rFonts w:cs="Arial"/>
                <w:szCs w:val="16"/>
              </w:rPr>
              <w:t>0</w:t>
            </w:r>
            <w:r w:rsidRPr="00FE4A2A">
              <w:rPr>
                <w:rFonts w:cs="Arial"/>
                <w:szCs w:val="16"/>
              </w:rPr>
              <w:t>4 (0.</w:t>
            </w:r>
            <w:r>
              <w:rPr>
                <w:rFonts w:cs="Arial"/>
                <w:szCs w:val="16"/>
              </w:rPr>
              <w:t>0</w:t>
            </w:r>
            <w:r w:rsidRPr="00FE4A2A">
              <w:rPr>
                <w:rFonts w:cs="Arial"/>
                <w:szCs w:val="16"/>
              </w:rPr>
              <w:t>3)</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w:t>
            </w:r>
            <w:r>
              <w:rPr>
                <w:rFonts w:cs="Arial"/>
                <w:szCs w:val="16"/>
              </w:rPr>
              <w:t>0</w:t>
            </w:r>
            <w:r w:rsidRPr="00FE4A2A">
              <w:rPr>
                <w:rFonts w:cs="Arial"/>
                <w:szCs w:val="16"/>
              </w:rPr>
              <w:t>2 (0.</w:t>
            </w:r>
            <w:r>
              <w:rPr>
                <w:rFonts w:cs="Arial"/>
                <w:szCs w:val="16"/>
              </w:rPr>
              <w:t>0</w:t>
            </w:r>
            <w:r w:rsidRPr="00FE4A2A">
              <w:rPr>
                <w:rFonts w:cs="Arial"/>
                <w:szCs w:val="16"/>
              </w:rPr>
              <w:t>3)</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w:t>
            </w:r>
            <w:r>
              <w:rPr>
                <w:rFonts w:cs="Arial"/>
                <w:szCs w:val="16"/>
              </w:rPr>
              <w:t>0</w:t>
            </w:r>
            <w:r w:rsidRPr="00FE4A2A">
              <w:rPr>
                <w:rFonts w:cs="Arial"/>
                <w:szCs w:val="16"/>
              </w:rPr>
              <w:t>3 (0.</w:t>
            </w:r>
            <w:r>
              <w:rPr>
                <w:rFonts w:cs="Arial"/>
                <w:szCs w:val="16"/>
              </w:rPr>
              <w:t>0</w:t>
            </w:r>
            <w:r w:rsidRPr="00FE4A2A">
              <w:rPr>
                <w:rFonts w:cs="Arial"/>
                <w:szCs w:val="16"/>
              </w:rPr>
              <w:t>3)</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w:t>
            </w:r>
            <w:r>
              <w:rPr>
                <w:rFonts w:cs="Arial"/>
                <w:szCs w:val="16"/>
              </w:rPr>
              <w:t>3</w:t>
            </w:r>
            <w:r w:rsidRPr="00FE4A2A">
              <w:rPr>
                <w:rFonts w:cs="Arial"/>
                <w:szCs w:val="16"/>
              </w:rPr>
              <w:t xml:space="preserve"> (0.</w:t>
            </w:r>
            <w:r>
              <w:rPr>
                <w:rFonts w:cs="Arial"/>
                <w:szCs w:val="16"/>
              </w:rPr>
              <w:t>02</w:t>
            </w:r>
            <w:r w:rsidRPr="00FE4A2A">
              <w:rPr>
                <w:rFonts w:cs="Arial"/>
                <w:szCs w:val="16"/>
              </w:rPr>
              <w:t>)</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w:t>
            </w:r>
            <w:r>
              <w:rPr>
                <w:rFonts w:cs="Arial"/>
                <w:szCs w:val="16"/>
              </w:rPr>
              <w:t>0</w:t>
            </w:r>
            <w:r w:rsidRPr="00FE4A2A">
              <w:rPr>
                <w:rFonts w:cs="Arial"/>
                <w:szCs w:val="16"/>
              </w:rPr>
              <w:t>3 (0.</w:t>
            </w:r>
            <w:r>
              <w:rPr>
                <w:rFonts w:cs="Arial"/>
                <w:szCs w:val="16"/>
              </w:rPr>
              <w:t>02</w:t>
            </w:r>
            <w:r w:rsidRPr="00FE4A2A">
              <w:rPr>
                <w:rFonts w:cs="Arial"/>
                <w:szCs w:val="16"/>
              </w:rPr>
              <w:t>)</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pPr>
            <w:r>
              <w:t>Self-assessed school performance, age 15</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ind w:left="170"/>
            </w:pPr>
            <w:r>
              <w:t>Better than average</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-0.05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(0.02)</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ind w:left="170"/>
            </w:pPr>
            <w:r>
              <w:t>Average</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-0.16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-0.10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-0.06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-0.06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-0.06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-0.06 (0.02)***</w:t>
            </w:r>
          </w:p>
        </w:tc>
      </w:tr>
      <w:tr w:rsidR="001F5702" w:rsidTr="00F12F7C">
        <w:tc>
          <w:tcPr>
            <w:tcW w:w="5387" w:type="dxa"/>
            <w:tcBorders>
              <w:top w:val="nil"/>
              <w:left w:val="nil"/>
              <w:bottom w:val="nil"/>
              <w:right w:val="nil"/>
            </w:tcBorders>
            <w:vAlign w:val="center"/>
          </w:tcPr>
          <w:p w:rsidR="001F5702" w:rsidRDefault="001F5702" w:rsidP="00F12F7C">
            <w:pPr>
              <w:pStyle w:val="Tabletext"/>
              <w:ind w:left="170"/>
            </w:pPr>
            <w:r>
              <w:t>Below average</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-0.42 (0.04)***</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-0.32 (0.04)***</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-0.20 (0.04)***</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-0.20 (0.04)***</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-0.20 (0.04)***</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-0.21 (0.04)***</w:t>
            </w:r>
          </w:p>
        </w:tc>
      </w:tr>
      <w:tr w:rsidR="001F5702" w:rsidTr="00F12F7C">
        <w:tc>
          <w:tcPr>
            <w:tcW w:w="5387" w:type="dxa"/>
            <w:tcBorders>
              <w:top w:val="nil"/>
              <w:left w:val="nil"/>
              <w:bottom w:val="nil"/>
              <w:right w:val="nil"/>
            </w:tcBorders>
            <w:vAlign w:val="center"/>
          </w:tcPr>
          <w:p w:rsidR="001F5702" w:rsidRPr="00D24F1B" w:rsidRDefault="001F5702" w:rsidP="00F12F7C">
            <w:pPr>
              <w:pStyle w:val="Tabletext"/>
              <w:rPr>
                <w:b/>
              </w:rPr>
            </w:pPr>
            <w:r>
              <w:rPr>
                <w:b/>
              </w:rPr>
              <w:t xml:space="preserve">Achievement, age 15 </w:t>
            </w:r>
            <w:r w:rsidRPr="0084237E">
              <w:t>(</w:t>
            </w:r>
            <w:r>
              <w:t>all scores multiplied by 1</w:t>
            </w:r>
            <w:r w:rsidRPr="0084237E">
              <w:t>000)</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r>
      <w:tr w:rsidR="001F5702" w:rsidTr="00F12F7C">
        <w:tc>
          <w:tcPr>
            <w:tcW w:w="5387" w:type="dxa"/>
            <w:tcBorders>
              <w:top w:val="nil"/>
              <w:left w:val="nil"/>
              <w:bottom w:val="nil"/>
              <w:right w:val="nil"/>
            </w:tcBorders>
            <w:vAlign w:val="center"/>
          </w:tcPr>
          <w:p w:rsidR="001F5702" w:rsidRDefault="001F5702" w:rsidP="00F12F7C">
            <w:pPr>
              <w:pStyle w:val="Tabletext"/>
            </w:pPr>
            <w:r>
              <w:t>Reading literacy</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0.53 (0.15)***</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0.24 (0.15)*</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0.24 (0.14)*</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0.23 (0.15)</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0.24 (0.15)</w:t>
            </w:r>
          </w:p>
        </w:tc>
      </w:tr>
      <w:tr w:rsidR="001F5702" w:rsidTr="00F12F7C">
        <w:tc>
          <w:tcPr>
            <w:tcW w:w="5387" w:type="dxa"/>
            <w:tcBorders>
              <w:top w:val="nil"/>
              <w:left w:val="nil"/>
              <w:bottom w:val="nil"/>
              <w:right w:val="nil"/>
            </w:tcBorders>
            <w:vAlign w:val="center"/>
          </w:tcPr>
          <w:p w:rsidR="001F5702" w:rsidRDefault="001F5702" w:rsidP="00F12F7C">
            <w:pPr>
              <w:pStyle w:val="Tabletext"/>
            </w:pPr>
            <w:r>
              <w:t>(reading literacy if above average)</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0.09 (0.27)</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0.11 (0.27)</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0.08 (0.27)</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0.11 (0.27)</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0.11 (0.27)</w:t>
            </w:r>
          </w:p>
        </w:tc>
      </w:tr>
      <w:tr w:rsidR="001F5702" w:rsidTr="00F12F7C">
        <w:tc>
          <w:tcPr>
            <w:tcW w:w="5387" w:type="dxa"/>
            <w:tcBorders>
              <w:top w:val="nil"/>
              <w:left w:val="nil"/>
              <w:bottom w:val="nil"/>
              <w:right w:val="nil"/>
            </w:tcBorders>
            <w:vAlign w:val="center"/>
          </w:tcPr>
          <w:p w:rsidR="001F5702" w:rsidRDefault="001F5702" w:rsidP="00F12F7C">
            <w:pPr>
              <w:pStyle w:val="Tabletext"/>
            </w:pPr>
            <w:r>
              <w:lastRenderedPageBreak/>
              <w:t>Mathematical literacy</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0.77 (0.16)***</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0.56 (0.15)***</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0.54 (0.15)***</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0.55 (0.15)***</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0.54 (0.15)***</w:t>
            </w:r>
          </w:p>
        </w:tc>
      </w:tr>
      <w:tr w:rsidR="001F5702" w:rsidTr="00F12F7C">
        <w:tc>
          <w:tcPr>
            <w:tcW w:w="5387" w:type="dxa"/>
            <w:tcBorders>
              <w:top w:val="nil"/>
              <w:left w:val="nil"/>
              <w:bottom w:val="nil"/>
              <w:right w:val="nil"/>
            </w:tcBorders>
            <w:vAlign w:val="center"/>
          </w:tcPr>
          <w:p w:rsidR="001F5702" w:rsidRDefault="001F5702" w:rsidP="00F12F7C">
            <w:pPr>
              <w:pStyle w:val="Tabletext"/>
            </w:pPr>
            <w:r>
              <w:t>(mathematical literacy if above average)</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-0.20 (0.26)</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-0.29 (0.24)</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-0.32 (0.24)</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-0.32 (0.24)</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-0.31 (0.25)</w:t>
            </w:r>
          </w:p>
        </w:tc>
      </w:tr>
      <w:tr w:rsidR="001F5702" w:rsidTr="00F12F7C">
        <w:tc>
          <w:tcPr>
            <w:tcW w:w="5387" w:type="dxa"/>
            <w:tcBorders>
              <w:top w:val="nil"/>
              <w:left w:val="nil"/>
              <w:bottom w:val="nil"/>
              <w:right w:val="nil"/>
            </w:tcBorders>
            <w:vAlign w:val="center"/>
          </w:tcPr>
          <w:p w:rsidR="001F5702" w:rsidRPr="00840303" w:rsidRDefault="001F5702" w:rsidP="00F12F7C">
            <w:pPr>
              <w:pStyle w:val="Tabletext"/>
              <w:rPr>
                <w:b/>
              </w:rPr>
            </w:pPr>
            <w:r>
              <w:rPr>
                <w:b/>
              </w:rPr>
              <w:t>Aspirations, age 15</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r>
      <w:tr w:rsidR="001F5702" w:rsidTr="00F12F7C">
        <w:tc>
          <w:tcPr>
            <w:tcW w:w="5387" w:type="dxa"/>
            <w:tcBorders>
              <w:top w:val="nil"/>
              <w:left w:val="nil"/>
              <w:bottom w:val="nil"/>
              <w:right w:val="nil"/>
            </w:tcBorders>
            <w:vAlign w:val="center"/>
          </w:tcPr>
          <w:p w:rsidR="001F5702" w:rsidRPr="00392B5D" w:rsidRDefault="001F5702" w:rsidP="00F12F7C">
            <w:pPr>
              <w:pStyle w:val="Tabletext"/>
            </w:pPr>
            <w:r w:rsidRPr="00392B5D">
              <w:t>Expected job at age 30 (ANU4)</w:t>
            </w:r>
            <w:r>
              <w:t xml:space="preserve"> (multiplied by 1000)</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0.53 (0.25)**</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0.54 (0.26)**</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0.52 (0.26)**</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0.50 (0.27)*</w:t>
            </w:r>
          </w:p>
        </w:tc>
      </w:tr>
      <w:tr w:rsidR="001F5702" w:rsidTr="00F12F7C">
        <w:tc>
          <w:tcPr>
            <w:tcW w:w="5387" w:type="dxa"/>
            <w:tcBorders>
              <w:top w:val="nil"/>
              <w:left w:val="nil"/>
              <w:bottom w:val="nil"/>
              <w:right w:val="nil"/>
            </w:tcBorders>
            <w:vAlign w:val="center"/>
          </w:tcPr>
          <w:p w:rsidR="001F5702" w:rsidRDefault="001F5702" w:rsidP="00F12F7C">
            <w:pPr>
              <w:pStyle w:val="Tabletext"/>
            </w:pPr>
            <w:r>
              <w:t>Plans to participate in Year 12</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0.25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0.26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0.25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0.25 (0.02)***</w:t>
            </w:r>
          </w:p>
        </w:tc>
      </w:tr>
      <w:tr w:rsidR="001F5702" w:rsidTr="00F12F7C">
        <w:tc>
          <w:tcPr>
            <w:tcW w:w="5387" w:type="dxa"/>
            <w:tcBorders>
              <w:top w:val="nil"/>
              <w:left w:val="nil"/>
              <w:bottom w:val="nil"/>
              <w:right w:val="nil"/>
            </w:tcBorders>
            <w:vAlign w:val="center"/>
          </w:tcPr>
          <w:p w:rsidR="001F5702" w:rsidRDefault="001F5702" w:rsidP="00F12F7C">
            <w:pPr>
              <w:pStyle w:val="Tabletext"/>
            </w:pPr>
            <w:r>
              <w:t>Plans to go to university</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0.08 (0.01)***</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0.08 (0.01)***</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0.08 (0.01)***</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0.08 (0.01)***</w:t>
            </w:r>
          </w:p>
        </w:tc>
      </w:tr>
      <w:tr w:rsidR="001F5702" w:rsidTr="00F12F7C">
        <w:tc>
          <w:tcPr>
            <w:tcW w:w="5387" w:type="dxa"/>
            <w:tcBorders>
              <w:top w:val="nil"/>
              <w:left w:val="nil"/>
              <w:bottom w:val="nil"/>
              <w:right w:val="nil"/>
            </w:tcBorders>
            <w:vAlign w:val="center"/>
          </w:tcPr>
          <w:p w:rsidR="001F5702" w:rsidRDefault="001F5702" w:rsidP="00F12F7C">
            <w:pPr>
              <w:pStyle w:val="Tabletext"/>
            </w:pPr>
            <w:r>
              <w:t>Ever repeated a school grade</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-0.14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-0.14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-0.14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-0.14 (0.02)***</w:t>
            </w:r>
          </w:p>
        </w:tc>
      </w:tr>
      <w:tr w:rsidR="001F5702" w:rsidTr="00F12F7C">
        <w:tc>
          <w:tcPr>
            <w:tcW w:w="5387" w:type="dxa"/>
            <w:tcBorders>
              <w:top w:val="nil"/>
              <w:left w:val="nil"/>
              <w:bottom w:val="nil"/>
              <w:right w:val="nil"/>
            </w:tcBorders>
            <w:vAlign w:val="center"/>
          </w:tcPr>
          <w:p w:rsidR="001F5702" w:rsidRPr="00F769BC" w:rsidRDefault="001F5702" w:rsidP="00F12F7C">
            <w:pPr>
              <w:pStyle w:val="Tabletext"/>
              <w:rPr>
                <w:b/>
              </w:rPr>
            </w:pPr>
            <w:r>
              <w:rPr>
                <w:b/>
              </w:rPr>
              <w:t>School climate, age 15</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392B5D" w:rsidRDefault="001F5702" w:rsidP="00F12F7C">
            <w:pPr>
              <w:pStyle w:val="Tabletext"/>
              <w:tabs>
                <w:tab w:val="decimal" w:pos="170"/>
              </w:tabs>
              <w:rPr>
                <w:rFonts w:cs="Arial"/>
                <w:szCs w:val="16"/>
              </w:rPr>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pPr>
            <w:r>
              <w:t>Student body attitudes to school</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0.01 (0.01)</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0.01 (0.01)</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0.01 (0.01)</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pPr>
            <w:r>
              <w:t>Teachers’ attitudes to school</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(0.01)***</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(0.01)</w:t>
            </w:r>
            <w:r>
              <w:rPr>
                <w:rFonts w:cs="Arial"/>
                <w:szCs w:val="16"/>
              </w:rPr>
              <w:t>***</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(0.01)***</w:t>
            </w:r>
          </w:p>
        </w:tc>
      </w:tr>
      <w:tr w:rsidR="001F5702" w:rsidTr="00F12F7C">
        <w:tc>
          <w:tcPr>
            <w:tcW w:w="5387" w:type="dxa"/>
            <w:tcBorders>
              <w:top w:val="nil"/>
              <w:left w:val="nil"/>
              <w:bottom w:val="nil"/>
              <w:right w:val="nil"/>
            </w:tcBorders>
            <w:vAlign w:val="center"/>
          </w:tcPr>
          <w:p w:rsidR="001F5702" w:rsidRPr="00494307" w:rsidRDefault="001F5702" w:rsidP="00F12F7C">
            <w:pPr>
              <w:pStyle w:val="Tabletext"/>
              <w:rPr>
                <w:vertAlign w:val="superscript"/>
              </w:rPr>
            </w:pPr>
            <w:r>
              <w:t>Teacher problem behaviour</w:t>
            </w:r>
            <w:r>
              <w:rPr>
                <w:vertAlign w:val="superscript"/>
              </w:rPr>
              <w:t>1</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(0.02)</w:t>
            </w:r>
          </w:p>
        </w:tc>
      </w:tr>
      <w:tr w:rsidR="001F5702" w:rsidTr="00F12F7C">
        <w:tc>
          <w:tcPr>
            <w:tcW w:w="5387" w:type="dxa"/>
            <w:tcBorders>
              <w:top w:val="nil"/>
              <w:left w:val="nil"/>
              <w:bottom w:val="nil"/>
              <w:right w:val="nil"/>
            </w:tcBorders>
            <w:vAlign w:val="center"/>
          </w:tcPr>
          <w:p w:rsidR="001F5702" w:rsidRPr="00494307" w:rsidRDefault="001F5702" w:rsidP="00F12F7C">
            <w:pPr>
              <w:pStyle w:val="Tabletext"/>
              <w:rPr>
                <w:vertAlign w:val="superscript"/>
              </w:rPr>
            </w:pPr>
            <w:r>
              <w:t>Student body problem behaviour</w:t>
            </w:r>
            <w:r>
              <w:rPr>
                <w:vertAlign w:val="superscript"/>
              </w:rPr>
              <w:t>1</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-0.05 (0.02)***</w:t>
            </w: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-0.05 (0.02)***</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-0.05 (0.02)***</w:t>
            </w:r>
          </w:p>
        </w:tc>
      </w:tr>
      <w:tr w:rsidR="001F5702" w:rsidTr="00F12F7C">
        <w:tc>
          <w:tcPr>
            <w:tcW w:w="5387" w:type="dxa"/>
            <w:tcBorders>
              <w:top w:val="nil"/>
              <w:left w:val="nil"/>
              <w:bottom w:val="nil"/>
              <w:right w:val="nil"/>
            </w:tcBorders>
            <w:vAlign w:val="center"/>
          </w:tcPr>
          <w:p w:rsidR="001F5702" w:rsidRPr="000E4B7C" w:rsidRDefault="001F5702" w:rsidP="00F12F7C">
            <w:pPr>
              <w:pStyle w:val="Tabletext"/>
              <w:rPr>
                <w:b/>
              </w:rPr>
            </w:pPr>
            <w:r>
              <w:rPr>
                <w:b/>
              </w:rPr>
              <w:t>School c</w:t>
            </w:r>
            <w:r w:rsidRPr="000E4B7C">
              <w:rPr>
                <w:b/>
              </w:rPr>
              <w:t>haracteristics, age 15</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361FCD"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pPr>
            <w:r>
              <w:t>School average SES (ANU4)</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361FCD"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(0.00)</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(0.00)</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pPr>
            <w:r>
              <w:t>School size</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361FCD"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(0.00)</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(0.00)</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pPr>
            <w:r>
              <w:t>Proportion of girls to boys</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0.01 (0.03)</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0.01 (0.03)</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pPr>
            <w:r>
              <w:t>Grade structure</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ind w:left="170"/>
            </w:pPr>
            <w:r>
              <w:t>K–12 school</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(0.05)</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(0.05)</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ind w:left="170"/>
            </w:pPr>
            <w:r>
              <w:t>Senior college</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361FCD"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(0.08)</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0.03 (0.09)</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pPr>
            <w:r>
              <w:t>School selectivity</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361FCD"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ind w:left="170"/>
            </w:pPr>
            <w:r>
              <w:t>Considers selection based on student location</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361FCD"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(0.01)</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(0.01)</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ind w:left="170"/>
            </w:pPr>
            <w:r>
              <w:t>Considers selection based on student achievement</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361FCD"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(0.01)*</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-0.02 (0.01)*</w:t>
            </w:r>
          </w:p>
        </w:tc>
      </w:tr>
      <w:tr w:rsidR="001F5702" w:rsidTr="00F12F7C">
        <w:tc>
          <w:tcPr>
            <w:tcW w:w="5387" w:type="dxa"/>
            <w:tcBorders>
              <w:top w:val="nil"/>
              <w:left w:val="nil"/>
              <w:bottom w:val="nil"/>
              <w:right w:val="nil"/>
            </w:tcBorders>
            <w:vAlign w:val="center"/>
          </w:tcPr>
          <w:p w:rsidR="001F5702" w:rsidRDefault="001F5702" w:rsidP="00F12F7C">
            <w:pPr>
              <w:pStyle w:val="Tabletext"/>
            </w:pPr>
            <w:r>
              <w:t>Extent of maths streaming within school</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361FCD"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0.01 (0.01)</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0.01 (0.01)</w:t>
            </w:r>
          </w:p>
        </w:tc>
      </w:tr>
      <w:tr w:rsidR="001F5702" w:rsidTr="00F12F7C">
        <w:tc>
          <w:tcPr>
            <w:tcW w:w="5387" w:type="dxa"/>
            <w:tcBorders>
              <w:top w:val="nil"/>
              <w:left w:val="nil"/>
              <w:bottom w:val="nil"/>
              <w:right w:val="nil"/>
            </w:tcBorders>
            <w:vAlign w:val="center"/>
          </w:tcPr>
          <w:p w:rsidR="001F5702" w:rsidRDefault="001F5702" w:rsidP="00F12F7C">
            <w:pPr>
              <w:pStyle w:val="Tabletext"/>
            </w:pPr>
            <w:r>
              <w:t>Estimated number of student assessments per year</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361FCD" w:rsidRDefault="001F5702" w:rsidP="00F12F7C">
            <w:pPr>
              <w:pStyle w:val="Tabletext"/>
              <w:tabs>
                <w:tab w:val="decimal" w:pos="170"/>
              </w:tabs>
            </w:pPr>
          </w:p>
        </w:tc>
        <w:tc>
          <w:tcPr>
            <w:tcW w:w="1436"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(0.01)</w:t>
            </w: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-0.01 (0.01)</w:t>
            </w:r>
          </w:p>
        </w:tc>
      </w:tr>
      <w:tr w:rsidR="001F5702" w:rsidTr="00F12F7C">
        <w:tc>
          <w:tcPr>
            <w:tcW w:w="5387" w:type="dxa"/>
            <w:tcBorders>
              <w:top w:val="nil"/>
              <w:left w:val="nil"/>
              <w:bottom w:val="nil"/>
              <w:right w:val="nil"/>
            </w:tcBorders>
            <w:vAlign w:val="center"/>
          </w:tcPr>
          <w:p w:rsidR="001F5702" w:rsidRPr="00F769BC" w:rsidRDefault="001F5702" w:rsidP="00F12F7C">
            <w:pPr>
              <w:pStyle w:val="Tabletext"/>
              <w:rPr>
                <w:b/>
              </w:rPr>
            </w:pPr>
            <w:r>
              <w:rPr>
                <w:b/>
              </w:rPr>
              <w:t>School r</w:t>
            </w:r>
            <w:r w:rsidRPr="00F769BC">
              <w:rPr>
                <w:b/>
              </w:rPr>
              <w:t>esources, age 15</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361FCD" w:rsidRDefault="001F5702" w:rsidP="00F12F7C">
            <w:pPr>
              <w:pStyle w:val="Tabletext"/>
              <w:tabs>
                <w:tab w:val="decimal" w:pos="170"/>
              </w:tabs>
            </w:pPr>
          </w:p>
        </w:tc>
        <w:tc>
          <w:tcPr>
            <w:tcW w:w="1436" w:type="dxa"/>
            <w:tcBorders>
              <w:top w:val="nil"/>
              <w:left w:val="nil"/>
              <w:bottom w:val="nil"/>
              <w:right w:val="nil"/>
            </w:tcBorders>
            <w:vAlign w:val="center"/>
          </w:tcPr>
          <w:p w:rsidR="001F5702" w:rsidRPr="00361FCD" w:rsidRDefault="001F5702" w:rsidP="00F12F7C">
            <w:pPr>
              <w:pStyle w:val="Tabletext"/>
              <w:tabs>
                <w:tab w:val="decimal" w:pos="170"/>
              </w:tabs>
            </w:pP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 xml:space="preserve"> </w:t>
            </w:r>
          </w:p>
        </w:tc>
      </w:tr>
      <w:tr w:rsidR="001F5702" w:rsidTr="00F12F7C">
        <w:tc>
          <w:tcPr>
            <w:tcW w:w="5387" w:type="dxa"/>
            <w:tcBorders>
              <w:top w:val="nil"/>
              <w:left w:val="nil"/>
              <w:bottom w:val="nil"/>
              <w:right w:val="nil"/>
            </w:tcBorders>
            <w:vAlign w:val="center"/>
          </w:tcPr>
          <w:p w:rsidR="001F5702" w:rsidRDefault="001F5702" w:rsidP="00F12F7C">
            <w:pPr>
              <w:pStyle w:val="Tabletext"/>
            </w:pPr>
            <w:r>
              <w:t>Student–teacher ratio</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361FCD" w:rsidRDefault="001F5702" w:rsidP="00F12F7C">
            <w:pPr>
              <w:pStyle w:val="Tabletext"/>
              <w:tabs>
                <w:tab w:val="decimal" w:pos="170"/>
              </w:tabs>
            </w:pPr>
          </w:p>
        </w:tc>
        <w:tc>
          <w:tcPr>
            <w:tcW w:w="1436" w:type="dxa"/>
            <w:tcBorders>
              <w:top w:val="nil"/>
              <w:left w:val="nil"/>
              <w:bottom w:val="nil"/>
              <w:right w:val="nil"/>
            </w:tcBorders>
            <w:vAlign w:val="center"/>
          </w:tcPr>
          <w:p w:rsidR="001F5702" w:rsidRPr="00361FCD" w:rsidRDefault="001F5702" w:rsidP="00F12F7C">
            <w:pPr>
              <w:pStyle w:val="Tabletext"/>
              <w:tabs>
                <w:tab w:val="decimal" w:pos="170"/>
              </w:tabs>
            </w:pP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(0.00)</w:t>
            </w:r>
          </w:p>
        </w:tc>
      </w:tr>
      <w:tr w:rsidR="001F5702" w:rsidTr="00F12F7C">
        <w:tc>
          <w:tcPr>
            <w:tcW w:w="5387" w:type="dxa"/>
            <w:tcBorders>
              <w:top w:val="nil"/>
              <w:left w:val="nil"/>
              <w:bottom w:val="nil"/>
              <w:right w:val="nil"/>
            </w:tcBorders>
            <w:vAlign w:val="center"/>
          </w:tcPr>
          <w:p w:rsidR="001F5702" w:rsidRDefault="001F5702" w:rsidP="00F12F7C">
            <w:pPr>
              <w:pStyle w:val="Tabletext"/>
            </w:pPr>
            <w:r>
              <w:t>Adequacy of school physical facilities</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361FCD" w:rsidRDefault="001F5702" w:rsidP="00F12F7C">
            <w:pPr>
              <w:pStyle w:val="Tabletext"/>
              <w:tabs>
                <w:tab w:val="decimal" w:pos="170"/>
              </w:tabs>
            </w:pPr>
          </w:p>
        </w:tc>
        <w:tc>
          <w:tcPr>
            <w:tcW w:w="1436" w:type="dxa"/>
            <w:tcBorders>
              <w:top w:val="nil"/>
              <w:left w:val="nil"/>
              <w:bottom w:val="nil"/>
              <w:right w:val="nil"/>
            </w:tcBorders>
            <w:vAlign w:val="center"/>
          </w:tcPr>
          <w:p w:rsidR="001F5702" w:rsidRPr="00361FCD" w:rsidRDefault="001F5702" w:rsidP="00F12F7C">
            <w:pPr>
              <w:pStyle w:val="Tabletext"/>
              <w:tabs>
                <w:tab w:val="decimal" w:pos="170"/>
              </w:tabs>
            </w:pP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0.01 (0.01)</w:t>
            </w:r>
          </w:p>
        </w:tc>
      </w:tr>
      <w:tr w:rsidR="001F5702" w:rsidTr="00F12F7C">
        <w:tc>
          <w:tcPr>
            <w:tcW w:w="5387" w:type="dxa"/>
            <w:tcBorders>
              <w:top w:val="nil"/>
              <w:left w:val="nil"/>
              <w:bottom w:val="nil"/>
              <w:right w:val="nil"/>
            </w:tcBorders>
            <w:vAlign w:val="center"/>
          </w:tcPr>
          <w:p w:rsidR="001F5702" w:rsidRDefault="001F5702" w:rsidP="00F12F7C">
            <w:pPr>
              <w:pStyle w:val="Tabletext"/>
            </w:pPr>
            <w:r>
              <w:t>Adequacy of school educational resources</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361FCD" w:rsidRDefault="001F5702" w:rsidP="00F12F7C">
            <w:pPr>
              <w:pStyle w:val="Tabletext"/>
              <w:tabs>
                <w:tab w:val="decimal" w:pos="170"/>
              </w:tabs>
            </w:pPr>
          </w:p>
        </w:tc>
        <w:tc>
          <w:tcPr>
            <w:tcW w:w="1436" w:type="dxa"/>
            <w:tcBorders>
              <w:top w:val="nil"/>
              <w:left w:val="nil"/>
              <w:bottom w:val="nil"/>
              <w:right w:val="nil"/>
            </w:tcBorders>
            <w:vAlign w:val="center"/>
          </w:tcPr>
          <w:p w:rsidR="001F5702" w:rsidRPr="00361FCD" w:rsidRDefault="001F5702" w:rsidP="00F12F7C">
            <w:pPr>
              <w:pStyle w:val="Tabletext"/>
              <w:tabs>
                <w:tab w:val="decimal" w:pos="170"/>
              </w:tabs>
            </w:pP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0.00 (0.01)</w:t>
            </w:r>
          </w:p>
        </w:tc>
      </w:tr>
      <w:tr w:rsidR="001F5702" w:rsidTr="00F12F7C">
        <w:tc>
          <w:tcPr>
            <w:tcW w:w="5387" w:type="dxa"/>
            <w:tcBorders>
              <w:top w:val="nil"/>
              <w:left w:val="nil"/>
              <w:bottom w:val="nil"/>
              <w:right w:val="nil"/>
            </w:tcBorders>
            <w:vAlign w:val="center"/>
          </w:tcPr>
          <w:p w:rsidR="001F5702" w:rsidRPr="00B90227" w:rsidRDefault="001F5702" w:rsidP="00F12F7C">
            <w:pPr>
              <w:pStyle w:val="Tabletext"/>
            </w:pPr>
            <w:r>
              <w:t>Extent of teacher shortage</w:t>
            </w:r>
          </w:p>
        </w:tc>
        <w:tc>
          <w:tcPr>
            <w:tcW w:w="1436" w:type="dxa"/>
            <w:tcBorders>
              <w:top w:val="nil"/>
              <w:left w:val="nil"/>
              <w:bottom w:val="nil"/>
              <w:right w:val="nil"/>
            </w:tcBorders>
            <w:vAlign w:val="center"/>
          </w:tcPr>
          <w:p w:rsidR="001F5702" w:rsidRPr="00A542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7" w:type="dxa"/>
            <w:tcBorders>
              <w:top w:val="nil"/>
              <w:left w:val="nil"/>
              <w:bottom w:val="nil"/>
              <w:right w:val="nil"/>
            </w:tcBorders>
            <w:vAlign w:val="center"/>
          </w:tcPr>
          <w:p w:rsidR="001F5702" w:rsidRPr="00575C82" w:rsidRDefault="001F5702" w:rsidP="00F12F7C">
            <w:pPr>
              <w:pStyle w:val="Tabletext"/>
              <w:tabs>
                <w:tab w:val="decimal" w:pos="170"/>
              </w:tabs>
            </w:pPr>
          </w:p>
        </w:tc>
        <w:tc>
          <w:tcPr>
            <w:tcW w:w="1436" w:type="dxa"/>
            <w:tcBorders>
              <w:top w:val="nil"/>
              <w:left w:val="nil"/>
              <w:bottom w:val="nil"/>
              <w:right w:val="nil"/>
            </w:tcBorders>
            <w:vAlign w:val="center"/>
          </w:tcPr>
          <w:p w:rsidR="001F5702" w:rsidRPr="00361FCD" w:rsidRDefault="001F5702" w:rsidP="00F12F7C">
            <w:pPr>
              <w:pStyle w:val="Tabletext"/>
              <w:tabs>
                <w:tab w:val="decimal" w:pos="170"/>
              </w:tabs>
            </w:pPr>
          </w:p>
        </w:tc>
        <w:tc>
          <w:tcPr>
            <w:tcW w:w="1436" w:type="dxa"/>
            <w:tcBorders>
              <w:top w:val="nil"/>
              <w:left w:val="nil"/>
              <w:bottom w:val="nil"/>
              <w:right w:val="nil"/>
            </w:tcBorders>
            <w:vAlign w:val="center"/>
          </w:tcPr>
          <w:p w:rsidR="001F5702" w:rsidRPr="00361FCD" w:rsidRDefault="001F5702" w:rsidP="00F12F7C">
            <w:pPr>
              <w:pStyle w:val="Tabletext"/>
              <w:tabs>
                <w:tab w:val="decimal" w:pos="170"/>
              </w:tabs>
            </w:pPr>
          </w:p>
        </w:tc>
        <w:tc>
          <w:tcPr>
            <w:tcW w:w="1437" w:type="dxa"/>
            <w:tcBorders>
              <w:top w:val="nil"/>
              <w:left w:val="nil"/>
              <w:bottom w:val="nil"/>
              <w:right w:val="nil"/>
            </w:tcBorders>
            <w:vAlign w:val="center"/>
          </w:tcPr>
          <w:p w:rsidR="001F5702" w:rsidRPr="00FE4A2A" w:rsidRDefault="001F5702" w:rsidP="00F12F7C">
            <w:pPr>
              <w:pStyle w:val="Tabletext"/>
              <w:tabs>
                <w:tab w:val="decimal" w:pos="170"/>
              </w:tabs>
              <w:rPr>
                <w:rFonts w:cs="Arial"/>
                <w:szCs w:val="16"/>
              </w:rPr>
            </w:pPr>
            <w:r w:rsidRPr="00FE4A2A">
              <w:rPr>
                <w:rFonts w:cs="Arial"/>
                <w:szCs w:val="16"/>
              </w:rPr>
              <w:t>0.01 (0.01)</w:t>
            </w:r>
          </w:p>
        </w:tc>
      </w:tr>
      <w:tr w:rsidR="001F5702" w:rsidTr="00F12F7C">
        <w:tc>
          <w:tcPr>
            <w:tcW w:w="5387" w:type="dxa"/>
            <w:tcBorders>
              <w:top w:val="nil"/>
              <w:left w:val="nil"/>
              <w:bottom w:val="single" w:sz="4" w:space="0" w:color="auto"/>
              <w:right w:val="nil"/>
            </w:tcBorders>
            <w:vAlign w:val="center"/>
          </w:tcPr>
          <w:p w:rsidR="001F5702" w:rsidRPr="005D2920" w:rsidRDefault="001F5702" w:rsidP="00F12F7C">
            <w:pPr>
              <w:pStyle w:val="Tabletext"/>
              <w:rPr>
                <w:b/>
              </w:rPr>
            </w:pPr>
            <w:r>
              <w:rPr>
                <w:b/>
              </w:rPr>
              <w:t>N</w:t>
            </w:r>
          </w:p>
        </w:tc>
        <w:tc>
          <w:tcPr>
            <w:tcW w:w="1436" w:type="dxa"/>
            <w:tcBorders>
              <w:top w:val="nil"/>
              <w:left w:val="nil"/>
              <w:bottom w:val="single" w:sz="4" w:space="0" w:color="auto"/>
              <w:right w:val="nil"/>
            </w:tcBorders>
            <w:vAlign w:val="center"/>
          </w:tcPr>
          <w:p w:rsidR="001F5702" w:rsidRPr="00A54282" w:rsidRDefault="001F5702" w:rsidP="00F12F7C">
            <w:pPr>
              <w:pStyle w:val="Tabletext"/>
              <w:ind w:left="340"/>
            </w:pPr>
            <w:r>
              <w:t>7103</w:t>
            </w:r>
          </w:p>
        </w:tc>
        <w:tc>
          <w:tcPr>
            <w:tcW w:w="1436" w:type="dxa"/>
            <w:tcBorders>
              <w:top w:val="nil"/>
              <w:left w:val="nil"/>
              <w:bottom w:val="single" w:sz="4" w:space="0" w:color="auto"/>
              <w:right w:val="nil"/>
            </w:tcBorders>
            <w:vAlign w:val="center"/>
          </w:tcPr>
          <w:p w:rsidR="001F5702" w:rsidRPr="00575C82" w:rsidRDefault="001F5702" w:rsidP="00F12F7C">
            <w:pPr>
              <w:pStyle w:val="Tabletext"/>
              <w:ind w:left="340"/>
            </w:pPr>
            <w:r>
              <w:t>7103</w:t>
            </w:r>
          </w:p>
        </w:tc>
        <w:tc>
          <w:tcPr>
            <w:tcW w:w="1437" w:type="dxa"/>
            <w:tcBorders>
              <w:top w:val="nil"/>
              <w:left w:val="nil"/>
              <w:bottom w:val="single" w:sz="4" w:space="0" w:color="auto"/>
              <w:right w:val="nil"/>
            </w:tcBorders>
            <w:vAlign w:val="center"/>
          </w:tcPr>
          <w:p w:rsidR="001F5702" w:rsidRPr="00575C82" w:rsidRDefault="001F5702" w:rsidP="00F12F7C">
            <w:pPr>
              <w:pStyle w:val="Tabletext"/>
              <w:ind w:left="340"/>
            </w:pPr>
            <w:r>
              <w:t>7042</w:t>
            </w:r>
          </w:p>
        </w:tc>
        <w:tc>
          <w:tcPr>
            <w:tcW w:w="1436" w:type="dxa"/>
            <w:tcBorders>
              <w:top w:val="nil"/>
              <w:left w:val="nil"/>
              <w:bottom w:val="single" w:sz="4" w:space="0" w:color="auto"/>
              <w:right w:val="nil"/>
            </w:tcBorders>
            <w:vAlign w:val="center"/>
          </w:tcPr>
          <w:p w:rsidR="001F5702" w:rsidRPr="00361FCD" w:rsidRDefault="001F5702" w:rsidP="00F12F7C">
            <w:pPr>
              <w:pStyle w:val="Tabletext"/>
              <w:ind w:left="340"/>
            </w:pPr>
            <w:r>
              <w:t>7028</w:t>
            </w:r>
          </w:p>
        </w:tc>
        <w:tc>
          <w:tcPr>
            <w:tcW w:w="1436" w:type="dxa"/>
            <w:tcBorders>
              <w:top w:val="nil"/>
              <w:left w:val="nil"/>
              <w:bottom w:val="single" w:sz="4" w:space="0" w:color="auto"/>
              <w:right w:val="nil"/>
            </w:tcBorders>
            <w:vAlign w:val="center"/>
          </w:tcPr>
          <w:p w:rsidR="001F5702" w:rsidRPr="00361FCD" w:rsidRDefault="001F5702" w:rsidP="00F12F7C">
            <w:pPr>
              <w:pStyle w:val="Tabletext"/>
              <w:ind w:left="340"/>
            </w:pPr>
            <w:r>
              <w:t>6894</w:t>
            </w:r>
          </w:p>
        </w:tc>
        <w:tc>
          <w:tcPr>
            <w:tcW w:w="1437" w:type="dxa"/>
            <w:tcBorders>
              <w:top w:val="nil"/>
              <w:left w:val="nil"/>
              <w:bottom w:val="single" w:sz="4" w:space="0" w:color="auto"/>
              <w:right w:val="nil"/>
            </w:tcBorders>
            <w:vAlign w:val="center"/>
          </w:tcPr>
          <w:p w:rsidR="001F5702" w:rsidRPr="00361FCD" w:rsidRDefault="001F5702" w:rsidP="00F12F7C">
            <w:pPr>
              <w:pStyle w:val="Tabletext"/>
              <w:ind w:left="340"/>
            </w:pPr>
            <w:r>
              <w:t>6842</w:t>
            </w:r>
          </w:p>
        </w:tc>
      </w:tr>
    </w:tbl>
    <w:p w:rsidR="001F5702" w:rsidRDefault="00F12F7C" w:rsidP="00F12F7C">
      <w:pPr>
        <w:pStyle w:val="Source"/>
      </w:pPr>
      <w:r w:rsidRPr="00EA4173">
        <w:t>Note</w:t>
      </w:r>
      <w:r>
        <w:t>s:</w:t>
      </w:r>
      <w:r>
        <w:tab/>
      </w:r>
      <w:r w:rsidR="001F5702">
        <w:t>* p&lt;.10 ** p&lt;.05 *** p&lt;.01.</w:t>
      </w:r>
    </w:p>
    <w:p w:rsidR="001F5702" w:rsidRDefault="00F12F7C" w:rsidP="00F12F7C">
      <w:pPr>
        <w:pStyle w:val="Source"/>
      </w:pPr>
      <w:r>
        <w:tab/>
      </w:r>
      <w:proofErr w:type="gramStart"/>
      <w:r w:rsidR="001F5702">
        <w:t>Standard errors in brackets.</w:t>
      </w:r>
      <w:proofErr w:type="gramEnd"/>
      <w:r w:rsidR="001F5702">
        <w:t xml:space="preserve"> </w:t>
      </w:r>
    </w:p>
    <w:p w:rsidR="001F5702" w:rsidRPr="00EA4173" w:rsidRDefault="00F12F7C" w:rsidP="00F12F7C">
      <w:pPr>
        <w:pStyle w:val="Source"/>
      </w:pPr>
      <w:r>
        <w:tab/>
      </w:r>
      <w:r w:rsidR="001F5702">
        <w:t>Marginal effects are calculated at the mean; for dummy variables, the marginal effect is for discrete change from 0 to 1.</w:t>
      </w:r>
    </w:p>
    <w:p w:rsidR="001F5702" w:rsidRDefault="00F12F7C" w:rsidP="00F12F7C">
      <w:pPr>
        <w:pStyle w:val="Source"/>
        <w:rPr>
          <w:i/>
        </w:rPr>
      </w:pPr>
      <w:r>
        <w:rPr>
          <w:vertAlign w:val="superscript"/>
        </w:rPr>
        <w:tab/>
      </w:r>
      <w:proofErr w:type="gramStart"/>
      <w:r w:rsidR="001F5702" w:rsidRPr="00F12F7C">
        <w:t>1</w:t>
      </w:r>
      <w:r>
        <w:t xml:space="preserve"> </w:t>
      </w:r>
      <w:r w:rsidR="001F5702">
        <w:t>Student/teacher problem behaviours</w:t>
      </w:r>
      <w:proofErr w:type="gramEnd"/>
      <w:r w:rsidR="001F5702">
        <w:t xml:space="preserve">: higher scores indicate </w:t>
      </w:r>
      <w:r w:rsidR="001F5702">
        <w:rPr>
          <w:i/>
        </w:rPr>
        <w:t>less</w:t>
      </w:r>
      <w:r w:rsidR="001F5702">
        <w:t xml:space="preserve"> problem behaviours </w:t>
      </w:r>
      <w:r w:rsidR="001F5702">
        <w:rPr>
          <w:i/>
        </w:rPr>
        <w:t>(almost certainly).</w:t>
      </w:r>
    </w:p>
    <w:p w:rsidR="001F5702" w:rsidRDefault="001F5702" w:rsidP="00F12F7C">
      <w:pPr>
        <w:pStyle w:val="Source"/>
      </w:pPr>
      <w:r w:rsidRPr="00EA4173">
        <w:t>Source:</w:t>
      </w:r>
      <w:r w:rsidR="00F12F7C">
        <w:tab/>
      </w:r>
      <w:r>
        <w:t>LSAY Y03 cohort.</w:t>
      </w:r>
    </w:p>
    <w:p w:rsidR="001F5702" w:rsidRDefault="001F5702" w:rsidP="001F5702">
      <w:pPr>
        <w:spacing w:before="0"/>
        <w:rPr>
          <w:rFonts w:ascii="Arial" w:hAnsi="Arial" w:cs="Arial"/>
          <w:i/>
          <w:sz w:val="15"/>
          <w:szCs w:val="15"/>
        </w:rPr>
      </w:pPr>
    </w:p>
    <w:p w:rsidR="001F5702" w:rsidRDefault="001F5702" w:rsidP="001F5702">
      <w:pPr>
        <w:pStyle w:val="Heading1"/>
        <w:jc w:val="both"/>
        <w:sectPr w:rsidR="001F5702" w:rsidSect="005901CD">
          <w:footerReference w:type="even" r:id="rId15"/>
          <w:footerReference w:type="default" r:id="rId16"/>
          <w:type w:val="continuous"/>
          <w:pgSz w:w="16838" w:h="11899" w:orient="landscape" w:code="9"/>
          <w:pgMar w:top="1276" w:right="1418" w:bottom="567" w:left="1418" w:header="720" w:footer="720" w:gutter="0"/>
          <w:cols w:space="720"/>
          <w:docGrid w:linePitch="360"/>
        </w:sectPr>
      </w:pPr>
    </w:p>
    <w:p w:rsidR="005901CD" w:rsidRDefault="005901CD" w:rsidP="005901CD">
      <w:pPr>
        <w:pStyle w:val="Heading1"/>
      </w:pPr>
      <w:bookmarkStart w:id="95" w:name="_Toc274390656"/>
      <w:bookmarkStart w:id="96" w:name="_Toc318282969"/>
      <w:bookmarkStart w:id="97" w:name="_Toc324765882"/>
      <w:bookmarkStart w:id="98" w:name="_Toc274390658"/>
      <w:bookmarkStart w:id="99" w:name="_Toc318282970"/>
      <w:bookmarkStart w:id="100" w:name="_Toc324765883"/>
      <w:r>
        <w:lastRenderedPageBreak/>
        <w:t>Summary</w:t>
      </w:r>
      <w:bookmarkEnd w:id="95"/>
      <w:r>
        <w:t xml:space="preserve"> and conclusions</w:t>
      </w:r>
      <w:bookmarkEnd w:id="96"/>
      <w:bookmarkEnd w:id="97"/>
    </w:p>
    <w:p w:rsidR="005901CD" w:rsidRDefault="005901CD" w:rsidP="005901CD">
      <w:pPr>
        <w:pStyle w:val="Text"/>
      </w:pPr>
      <w:r w:rsidRPr="006A7715">
        <w:t xml:space="preserve">Using two nationally representative </w:t>
      </w:r>
      <w:r>
        <w:t xml:space="preserve">and highly comparable </w:t>
      </w:r>
      <w:r w:rsidRPr="006A7715">
        <w:t>datasets of young people in Australia, this paper quantifie</w:t>
      </w:r>
      <w:r w:rsidR="00BF5D5F">
        <w:t>s</w:t>
      </w:r>
      <w:r w:rsidRPr="006A7715">
        <w:t xml:space="preserve"> the impact of </w:t>
      </w:r>
      <w:r>
        <w:t>different</w:t>
      </w:r>
      <w:r w:rsidRPr="006A7715">
        <w:t xml:space="preserve"> dimensions of socioeconomic disadvantage on Year 12 completion. </w:t>
      </w:r>
      <w:r>
        <w:t>The key finding is that cultural factors have a strong</w:t>
      </w:r>
      <w:r w:rsidRPr="006A7715">
        <w:t xml:space="preserve"> relation</w:t>
      </w:r>
      <w:r>
        <w:t>ship with completion, but that the effect of material factors, as measured through current family income, had only a small effect on Year 12 completion</w:t>
      </w:r>
      <w:r w:rsidRPr="006A7715">
        <w:t>.</w:t>
      </w:r>
      <w:r>
        <w:t xml:space="preserve"> While previous studies had suggested this by demonstrating a strong link between measures of parental education or occupational status and school completion, this study went further by including a broader set of measures to capture the multidimensionality of cultural and material or resource aspects of disadvantage. Not only did this reveal the role of students’ poor school experiences, risky activities and aspirations as the main predictors of Year 12 completion, it also lowered the measured magnitude and affected the significance of the commonly utilised indicators of disadvantage associated with school completion, including parental education and occupational status. These variables </w:t>
      </w:r>
      <w:r w:rsidR="00BF5D5F">
        <w:t>are likely to</w:t>
      </w:r>
      <w:r>
        <w:t xml:space="preserve"> reflect aspects of disadvantage, since they must be closely correlated with the experience of schooling that people from such backgrounds have. </w:t>
      </w:r>
      <w:r w:rsidR="00BF5D5F">
        <w:t>Also</w:t>
      </w:r>
      <w:r>
        <w:t xml:space="preserve">, it seems that it is the </w:t>
      </w:r>
      <w:r w:rsidR="00BF5D5F">
        <w:t>negative</w:t>
      </w:r>
      <w:r>
        <w:t xml:space="preserve"> experiences of schooling that are most closely associated with the </w:t>
      </w:r>
      <w:r w:rsidR="00C01B1C">
        <w:t>relatively worse</w:t>
      </w:r>
      <w:r>
        <w:t xml:space="preserve"> outcomes that those from disadvantaged backgrounds eventually record, not their parental education and occupational statuse</w:t>
      </w:r>
      <w:r w:rsidRPr="005901CD">
        <w:t>s per se.</w:t>
      </w:r>
      <w:r>
        <w:t xml:space="preserve"> </w:t>
      </w:r>
    </w:p>
    <w:p w:rsidR="005901CD" w:rsidRPr="007650D8" w:rsidRDefault="005901CD" w:rsidP="005901CD">
      <w:pPr>
        <w:pStyle w:val="Text"/>
      </w:pPr>
      <w:r>
        <w:t>Specifically, i</w:t>
      </w:r>
      <w:r w:rsidRPr="007650D8">
        <w:t xml:space="preserve">n the LSAY data, disadvantage seems to be </w:t>
      </w:r>
      <w:r>
        <w:t>manifested</w:t>
      </w:r>
      <w:r w:rsidRPr="007650D8">
        <w:t xml:space="preserve"> through its impact on school performance and on the educational aspirations of young people. These are</w:t>
      </w:r>
      <w:r>
        <w:t>,</w:t>
      </w:r>
      <w:r w:rsidRPr="007650D8">
        <w:t xml:space="preserve"> </w:t>
      </w:r>
      <w:r>
        <w:t>in all probability,</w:t>
      </w:r>
      <w:r w:rsidRPr="007650D8">
        <w:t xml:space="preserve"> different sides to the same coin found in the </w:t>
      </w:r>
      <w:r w:rsidR="00BF5D5F">
        <w:t>YIF</w:t>
      </w:r>
      <w:r w:rsidRPr="007650D8">
        <w:t xml:space="preserve"> data, where disadvantage partially </w:t>
      </w:r>
      <w:r>
        <w:t>displayed</w:t>
      </w:r>
      <w:r w:rsidRPr="007650D8">
        <w:t xml:space="preserve"> its effects through the </w:t>
      </w:r>
      <w:r w:rsidR="00BF5D5F">
        <w:t>adverse</w:t>
      </w:r>
      <w:r w:rsidRPr="007650D8">
        <w:t xml:space="preserve"> experiences of early schooling among respondents.</w:t>
      </w:r>
      <w:r>
        <w:t xml:space="preserve"> </w:t>
      </w:r>
    </w:p>
    <w:p w:rsidR="005901CD" w:rsidRDefault="005901CD" w:rsidP="005901CD">
      <w:pPr>
        <w:pStyle w:val="Text"/>
      </w:pPr>
      <w:r>
        <w:t xml:space="preserve">The identified effects of early school experiences and aspirations were significant. In particular, according to the results, those who had repeated a school grade had a lower probability of school completion of around 30 percentage points in the </w:t>
      </w:r>
      <w:r w:rsidR="00BF5D5F">
        <w:t>YIF</w:t>
      </w:r>
      <w:r>
        <w:t xml:space="preserve"> sample and 22 percentage points in the LSAY Y03 sample. As captured in the </w:t>
      </w:r>
      <w:r w:rsidR="00BF5D5F">
        <w:t>YIF</w:t>
      </w:r>
      <w:r>
        <w:t xml:space="preserve"> sample, the experiences of smoking and drinking alcohol reduced the probability of Year 12 completion by eight and seven percentage points respectively. Based on the analysis of the LSAY Y03 sample, aspirations, as reflected in plans to participate in Year 12 and to go to university, were found to increase the probability of school completion by 24 and eight percentage points respectively. While a companion study (</w:t>
      </w:r>
      <w:proofErr w:type="spellStart"/>
      <w:r>
        <w:t>Homel</w:t>
      </w:r>
      <w:proofErr w:type="spellEnd"/>
      <w:r>
        <w:t xml:space="preserve"> &amp; Ryan forthcoming) finds that specifications like those estimated here probably result in overstated estimates of the impact of aspirations on outcomes, the true effects remain large in magnitude. </w:t>
      </w:r>
    </w:p>
    <w:p w:rsidR="005901CD" w:rsidRDefault="005901CD" w:rsidP="005901CD">
      <w:pPr>
        <w:pStyle w:val="Text"/>
      </w:pPr>
      <w:r>
        <w:t xml:space="preserve">In this study, the exercise of considering alternative measures of disadvantage has been informative in identifying a few core factors — poor school experiences, risky activities and aspirations — that matter for school completion and, importantly, for indicating the direction of further study into the complex linkages between disadvantage and school completion. In particular, the core factors identified in relation to Year 12 completion may operate directly as well as alter the impact of other dimensions of disadvantage. For example, the effects of self-assessed performance and reading and mathematical numeracy scores fell once aspirations were taken into account in the list of variables predicting Year 12 completion. </w:t>
      </w:r>
    </w:p>
    <w:p w:rsidR="005901CD" w:rsidRDefault="005901CD">
      <w:pPr>
        <w:spacing w:before="0" w:line="240" w:lineRule="auto"/>
        <w:rPr>
          <w:rFonts w:ascii="Tahoma" w:hAnsi="Tahoma" w:cs="Tahoma"/>
          <w:color w:val="000000"/>
          <w:kern w:val="28"/>
          <w:sz w:val="56"/>
          <w:szCs w:val="56"/>
        </w:rPr>
      </w:pPr>
    </w:p>
    <w:p w:rsidR="001F5702" w:rsidRPr="0097710A" w:rsidRDefault="001F5702" w:rsidP="00682BE0">
      <w:pPr>
        <w:pStyle w:val="Heading1"/>
      </w:pPr>
      <w:r w:rsidRPr="00682BE0">
        <w:lastRenderedPageBreak/>
        <w:t>References</w:t>
      </w:r>
      <w:bookmarkEnd w:id="92"/>
      <w:bookmarkEnd w:id="98"/>
      <w:bookmarkEnd w:id="99"/>
      <w:bookmarkEnd w:id="100"/>
    </w:p>
    <w:p w:rsidR="001F5702" w:rsidRDefault="00A865E4" w:rsidP="00682BE0">
      <w:pPr>
        <w:pStyle w:val="References"/>
      </w:pPr>
      <w:r w:rsidRPr="00A865E4">
        <w:rPr>
          <w:rFonts w:ascii="Garamond" w:hAnsi="Garamond"/>
          <w:sz w:val="20"/>
        </w:rPr>
        <w:fldChar w:fldCharType="begin"/>
      </w:r>
      <w:r w:rsidR="001F5702">
        <w:instrText xml:space="preserve"> ADDIN EN.REFLIST </w:instrText>
      </w:r>
      <w:r w:rsidRPr="00A865E4">
        <w:rPr>
          <w:rFonts w:ascii="Garamond" w:hAnsi="Garamond"/>
          <w:sz w:val="20"/>
        </w:rPr>
        <w:fldChar w:fldCharType="separate"/>
      </w:r>
      <w:r w:rsidR="001F5702">
        <w:t xml:space="preserve">Aaronson, D, Barrow, L &amp; Sander, W 2007, ‘Teachers and student achievement in the Chicago public high schools’, </w:t>
      </w:r>
      <w:r w:rsidR="001F5702" w:rsidRPr="004613A2">
        <w:rPr>
          <w:i/>
        </w:rPr>
        <w:t>Journal of Labor Economics</w:t>
      </w:r>
      <w:r w:rsidR="001F5702">
        <w:rPr>
          <w:i/>
        </w:rPr>
        <w:t>,</w:t>
      </w:r>
      <w:r w:rsidR="001F5702">
        <w:t xml:space="preserve"> </w:t>
      </w:r>
      <w:r w:rsidR="001F5702" w:rsidRPr="00904993">
        <w:t>vol.25, no.1, pp.</w:t>
      </w:r>
      <w:r w:rsidR="001F5702">
        <w:t>95</w:t>
      </w:r>
      <w:r w:rsidR="00682BE0">
        <w:t>—</w:t>
      </w:r>
      <w:r w:rsidR="001F5702">
        <w:t>135.</w:t>
      </w:r>
    </w:p>
    <w:p w:rsidR="001F5702" w:rsidRDefault="001F5702" w:rsidP="001F5702">
      <w:pPr>
        <w:pStyle w:val="References"/>
      </w:pPr>
      <w:r>
        <w:t xml:space="preserve">Ainley, J, Foreman, J &amp; Sheret, M 1991, ‘High school factors that influence students to remain in school’, </w:t>
      </w:r>
      <w:r w:rsidRPr="00904993">
        <w:rPr>
          <w:i/>
        </w:rPr>
        <w:t>Journal of Education Research,</w:t>
      </w:r>
      <w:r w:rsidRPr="00904993">
        <w:t xml:space="preserve"> vol.85</w:t>
      </w:r>
      <w:r>
        <w:t>, no.2, pp.69</w:t>
      </w:r>
      <w:r w:rsidR="00682BE0">
        <w:t>—</w:t>
      </w:r>
      <w:r>
        <w:t>80.</w:t>
      </w:r>
    </w:p>
    <w:p w:rsidR="001F5702" w:rsidRDefault="001F5702" w:rsidP="001F5702">
      <w:pPr>
        <w:pStyle w:val="References"/>
      </w:pPr>
      <w:r>
        <w:t>Alderman, H, Hoogeveen, H &amp; Rossi, M 2009, ‘Preschool nutrition and subsequent schooling attainment: longitudinal evidence from Tanzania’,</w:t>
      </w:r>
      <w:r w:rsidRPr="00CD77B1">
        <w:rPr>
          <w:i/>
        </w:rPr>
        <w:t xml:space="preserve"> Economic Development and Cultural Change,</w:t>
      </w:r>
      <w:r>
        <w:t xml:space="preserve"> vol.</w:t>
      </w:r>
      <w:r w:rsidRPr="00CD77B1">
        <w:t>57</w:t>
      </w:r>
      <w:r>
        <w:t>, no.2, pp.239</w:t>
      </w:r>
      <w:r w:rsidR="00682BE0">
        <w:t>—</w:t>
      </w:r>
      <w:r>
        <w:t>60.</w:t>
      </w:r>
    </w:p>
    <w:p w:rsidR="001F5702" w:rsidRDefault="001F5702" w:rsidP="001F5702">
      <w:pPr>
        <w:pStyle w:val="References"/>
      </w:pPr>
      <w:r>
        <w:t xml:space="preserve">Astone, NM &amp; McLanahan, SS 1994, ‘Family structure, residential mobility, and school dropout: a research note’, </w:t>
      </w:r>
      <w:r w:rsidRPr="00CD77B1">
        <w:rPr>
          <w:i/>
        </w:rPr>
        <w:t xml:space="preserve">Demography, </w:t>
      </w:r>
      <w:r>
        <w:t>vol.</w:t>
      </w:r>
      <w:r w:rsidRPr="00CD77B1">
        <w:t>31</w:t>
      </w:r>
      <w:r>
        <w:t>, no.4, pp.575</w:t>
      </w:r>
      <w:r w:rsidR="00682BE0">
        <w:t>—</w:t>
      </w:r>
      <w:r>
        <w:t>84.</w:t>
      </w:r>
    </w:p>
    <w:p w:rsidR="001F5702" w:rsidRPr="00652F88" w:rsidRDefault="001F5702" w:rsidP="001F5702">
      <w:pPr>
        <w:pStyle w:val="References"/>
      </w:pPr>
      <w:r w:rsidRPr="00652F88">
        <w:t>Australian Social Inclusion Board</w:t>
      </w:r>
      <w:r>
        <w:t xml:space="preserve"> 2</w:t>
      </w:r>
      <w:r w:rsidRPr="00652F88">
        <w:t>010</w:t>
      </w:r>
      <w:r>
        <w:t>,</w:t>
      </w:r>
      <w:r w:rsidRPr="00652F88">
        <w:t xml:space="preserve"> </w:t>
      </w:r>
      <w:r w:rsidRPr="00CD77B1">
        <w:rPr>
          <w:i/>
        </w:rPr>
        <w:t>Social inclusion in Australia: how Australia is faring</w:t>
      </w:r>
      <w:r>
        <w:t>,</w:t>
      </w:r>
      <w:r w:rsidRPr="00652F88">
        <w:t xml:space="preserve"> Canberra.</w:t>
      </w:r>
    </w:p>
    <w:p w:rsidR="001F5702" w:rsidRDefault="001F5702" w:rsidP="001F5702">
      <w:pPr>
        <w:pStyle w:val="References"/>
      </w:pPr>
      <w:r>
        <w:t xml:space="preserve">Barón, JD 2009, ‘Exploring the factors associated with youths’ educational outcomes: the role of locus of control and parental socio-economic background’, </w:t>
      </w:r>
      <w:r w:rsidRPr="00435555">
        <w:t>Centre for Economic Policy Research, Discussion pape</w:t>
      </w:r>
      <w:r w:rsidRPr="000E19CB">
        <w:t>r,</w:t>
      </w:r>
      <w:r>
        <w:t xml:space="preserve"> </w:t>
      </w:r>
      <w:r w:rsidRPr="00CD77B1">
        <w:t>598</w:t>
      </w:r>
      <w:r>
        <w:t>, A</w:t>
      </w:r>
      <w:r w:rsidR="005901CD">
        <w:t xml:space="preserve">ustralian </w:t>
      </w:r>
      <w:r>
        <w:t>N</w:t>
      </w:r>
      <w:r w:rsidR="005901CD">
        <w:t xml:space="preserve">ational </w:t>
      </w:r>
      <w:r>
        <w:t>U</w:t>
      </w:r>
      <w:r w:rsidR="005901CD">
        <w:t>niversity</w:t>
      </w:r>
      <w:r>
        <w:t>, Canberra</w:t>
      </w:r>
      <w:r w:rsidR="005901CD">
        <w:t>.</w:t>
      </w:r>
    </w:p>
    <w:p w:rsidR="001F5702" w:rsidRDefault="001F5702" w:rsidP="001F5702">
      <w:pPr>
        <w:pStyle w:val="References"/>
      </w:pPr>
      <w:r>
        <w:t>Betts, JR</w:t>
      </w:r>
      <w:r w:rsidR="005901CD">
        <w:t xml:space="preserve"> </w:t>
      </w:r>
      <w:r>
        <w:t>1997, '</w:t>
      </w:r>
      <w:r w:rsidRPr="00435555">
        <w:t>Educational crowding out: do immigrants affect the educational attainment of American Minorities?</w:t>
      </w:r>
      <w:r>
        <w:t xml:space="preserve">', </w:t>
      </w:r>
      <w:r w:rsidRPr="00435555">
        <w:t>Discussion paper</w:t>
      </w:r>
      <w:r>
        <w:t>, University of California, San Diego, CA, pp.98</w:t>
      </w:r>
      <w:r w:rsidR="00682BE0">
        <w:t>—</w:t>
      </w:r>
      <w:r w:rsidRPr="00435555">
        <w:t>04</w:t>
      </w:r>
      <w:r>
        <w:t>.</w:t>
      </w:r>
    </w:p>
    <w:p w:rsidR="001F5702" w:rsidRDefault="001F5702" w:rsidP="001F5702">
      <w:pPr>
        <w:pStyle w:val="References"/>
      </w:pPr>
      <w:r>
        <w:t xml:space="preserve">Blake, J 1989, ‘Number of siblings and educational attainment', </w:t>
      </w:r>
      <w:r w:rsidRPr="00435555">
        <w:rPr>
          <w:i/>
        </w:rPr>
        <w:t>Science</w:t>
      </w:r>
      <w:r>
        <w:rPr>
          <w:i/>
        </w:rPr>
        <w:t>,</w:t>
      </w:r>
      <w:r w:rsidRPr="00435555">
        <w:rPr>
          <w:i/>
        </w:rPr>
        <w:t xml:space="preserve"> </w:t>
      </w:r>
      <w:r>
        <w:t>vol.</w:t>
      </w:r>
      <w:r w:rsidRPr="00435555">
        <w:t>245</w:t>
      </w:r>
      <w:r>
        <w:t>, no.4913, pp.32</w:t>
      </w:r>
      <w:r w:rsidR="00682BE0">
        <w:t>—</w:t>
      </w:r>
      <w:r>
        <w:t>6.</w:t>
      </w:r>
    </w:p>
    <w:p w:rsidR="001F5702" w:rsidRDefault="001F5702" w:rsidP="001F5702">
      <w:pPr>
        <w:pStyle w:val="References"/>
      </w:pPr>
      <w:r>
        <w:t xml:space="preserve">Bogges, S 1998, ‘Family structure, economic status, and educational attainment’, </w:t>
      </w:r>
      <w:r w:rsidRPr="00435555">
        <w:rPr>
          <w:i/>
        </w:rPr>
        <w:t>Journal of Population Economics,</w:t>
      </w:r>
      <w:r>
        <w:t xml:space="preserve"> vol.11, no.2, pp.205</w:t>
      </w:r>
      <w:r w:rsidR="00682BE0">
        <w:t>—</w:t>
      </w:r>
      <w:r>
        <w:t>22.</w:t>
      </w:r>
    </w:p>
    <w:p w:rsidR="001F5702" w:rsidRDefault="001F5702" w:rsidP="001F5702">
      <w:pPr>
        <w:pStyle w:val="References"/>
      </w:pPr>
      <w:r>
        <w:t xml:space="preserve">Bowen, NK &amp; Bowen, GL1999, ‘Effects of crime and violence in neighborhoods and schools on the school behavior and performance of adolescents', </w:t>
      </w:r>
      <w:r w:rsidRPr="00557A53">
        <w:rPr>
          <w:i/>
        </w:rPr>
        <w:t>Journal of Adolescent Research</w:t>
      </w:r>
      <w:r w:rsidRPr="00557A53">
        <w:t>, vol.</w:t>
      </w:r>
      <w:r w:rsidRPr="00435555">
        <w:t>14</w:t>
      </w:r>
      <w:r>
        <w:t>, no.3, pp.319</w:t>
      </w:r>
      <w:r w:rsidR="00682BE0">
        <w:t>—</w:t>
      </w:r>
      <w:r>
        <w:t>42.</w:t>
      </w:r>
    </w:p>
    <w:p w:rsidR="001F5702" w:rsidRDefault="001F5702" w:rsidP="001F5702">
      <w:pPr>
        <w:pStyle w:val="References"/>
      </w:pPr>
      <w:r>
        <w:t>Bray, JW, Zarkin, GA, Ringwalt, C &amp; Qi, J 2000, ‘The relationship between marijuana initiation and dropping out of high school’,</w:t>
      </w:r>
      <w:r w:rsidRPr="005901CD">
        <w:rPr>
          <w:i/>
        </w:rPr>
        <w:t xml:space="preserve"> Health Economics</w:t>
      </w:r>
      <w:r w:rsidRPr="00557A53">
        <w:t xml:space="preserve">, </w:t>
      </w:r>
      <w:r>
        <w:t>vol.</w:t>
      </w:r>
      <w:r w:rsidRPr="00557A53">
        <w:t>9</w:t>
      </w:r>
      <w:r>
        <w:t>, no.1, pp.9</w:t>
      </w:r>
      <w:r w:rsidR="00682BE0">
        <w:t>—</w:t>
      </w:r>
      <w:r>
        <w:t>18.</w:t>
      </w:r>
    </w:p>
    <w:p w:rsidR="001F5702" w:rsidRDefault="001F5702" w:rsidP="001F5702">
      <w:pPr>
        <w:pStyle w:val="References"/>
      </w:pPr>
      <w:r>
        <w:t xml:space="preserve">Breunig, R, Cobb-Clark, DA, Gørgens, T, Ryan, C &amp; Sartbayeva, A 2009, </w:t>
      </w:r>
      <w:r w:rsidRPr="00C11094">
        <w:rPr>
          <w:i/>
        </w:rPr>
        <w:t>User’s guide to the Youth in Focus data version 2.0</w:t>
      </w:r>
      <w:r>
        <w:t xml:space="preserve">, </w:t>
      </w:r>
      <w:r w:rsidRPr="00C11094">
        <w:t xml:space="preserve">Youth in Focus Project </w:t>
      </w:r>
      <w:r>
        <w:t>d</w:t>
      </w:r>
      <w:r w:rsidRPr="00C11094">
        <w:t>iscussion paper series</w:t>
      </w:r>
      <w:r w:rsidRPr="000E19CB">
        <w:t>,</w:t>
      </w:r>
      <w:r w:rsidRPr="00557A53">
        <w:t xml:space="preserve"> </w:t>
      </w:r>
      <w:r>
        <w:t>8, Australian National University, Canberra.</w:t>
      </w:r>
    </w:p>
    <w:p w:rsidR="001F5702" w:rsidRDefault="001F5702" w:rsidP="001F5702">
      <w:pPr>
        <w:pStyle w:val="References"/>
      </w:pPr>
      <w:r>
        <w:t>Burchardt, T, Le Grand, J &amp; Piachaud, D1999, ‘Social exclusion in Britain 1991</w:t>
      </w:r>
      <w:r w:rsidR="00682BE0">
        <w:t>—</w:t>
      </w:r>
      <w:r>
        <w:t xml:space="preserve">1995’, </w:t>
      </w:r>
      <w:r w:rsidRPr="00557A53">
        <w:rPr>
          <w:i/>
        </w:rPr>
        <w:t>Social Policy &amp; Administration</w:t>
      </w:r>
      <w:r>
        <w:t>, vol.</w:t>
      </w:r>
      <w:r w:rsidRPr="00557A53">
        <w:t>33</w:t>
      </w:r>
      <w:r>
        <w:t>, no.3, pp.227</w:t>
      </w:r>
      <w:r w:rsidR="00682BE0">
        <w:t>—</w:t>
      </w:r>
      <w:r>
        <w:t>44.</w:t>
      </w:r>
    </w:p>
    <w:p w:rsidR="001F5702" w:rsidRDefault="001F5702" w:rsidP="001F5702">
      <w:pPr>
        <w:pStyle w:val="References"/>
      </w:pPr>
      <w:r>
        <w:t xml:space="preserve">Chatterji, P 2006, ‘Illicit drug use and educational attainment’, </w:t>
      </w:r>
      <w:r w:rsidRPr="009B7537">
        <w:rPr>
          <w:i/>
        </w:rPr>
        <w:t>Health Economics</w:t>
      </w:r>
      <w:r>
        <w:rPr>
          <w:i/>
        </w:rPr>
        <w:t>,</w:t>
      </w:r>
      <w:r w:rsidRPr="009B7537">
        <w:rPr>
          <w:i/>
        </w:rPr>
        <w:t xml:space="preserve"> </w:t>
      </w:r>
      <w:r>
        <w:t>vol.</w:t>
      </w:r>
      <w:r w:rsidRPr="009B7537">
        <w:t>15</w:t>
      </w:r>
      <w:r>
        <w:t>, no.5, pp.489</w:t>
      </w:r>
      <w:r w:rsidR="00682BE0">
        <w:t>—</w:t>
      </w:r>
      <w:r>
        <w:t>511.</w:t>
      </w:r>
    </w:p>
    <w:p w:rsidR="001F5702" w:rsidRDefault="001F5702" w:rsidP="001F5702">
      <w:pPr>
        <w:pStyle w:val="References"/>
      </w:pPr>
      <w:r>
        <w:t xml:space="preserve">Crowder, K &amp; South, SJ 2003, ‘Neighborhood distress and school dropout: the variable significance of community context’, </w:t>
      </w:r>
      <w:r w:rsidRPr="009B7537">
        <w:rPr>
          <w:i/>
        </w:rPr>
        <w:t>Social Science Research</w:t>
      </w:r>
      <w:r>
        <w:t>, vol.</w:t>
      </w:r>
      <w:r w:rsidRPr="009B7537">
        <w:t>32</w:t>
      </w:r>
      <w:r>
        <w:t>, no.4, pp.659</w:t>
      </w:r>
      <w:r w:rsidR="00682BE0">
        <w:t>—</w:t>
      </w:r>
      <w:r>
        <w:t>98.</w:t>
      </w:r>
    </w:p>
    <w:p w:rsidR="001F5702" w:rsidRDefault="001F5702" w:rsidP="001F5702">
      <w:pPr>
        <w:pStyle w:val="References"/>
      </w:pPr>
      <w:r>
        <w:t xml:space="preserve">Currie, J, Stabile, M, Manivong, P &amp; Roos, LL 2008, </w:t>
      </w:r>
      <w:r w:rsidRPr="00C11094">
        <w:rPr>
          <w:i/>
        </w:rPr>
        <w:t>Child health and young adult outcomes</w:t>
      </w:r>
      <w:r>
        <w:t xml:space="preserve">, </w:t>
      </w:r>
      <w:r w:rsidRPr="009B7537">
        <w:t>NBER working paper series</w:t>
      </w:r>
      <w:r>
        <w:t>, N</w:t>
      </w:r>
      <w:r w:rsidR="005901CD">
        <w:t xml:space="preserve">ational </w:t>
      </w:r>
      <w:r>
        <w:t>B</w:t>
      </w:r>
      <w:r w:rsidR="005901CD">
        <w:t>ureau of Economic Research</w:t>
      </w:r>
      <w:r>
        <w:t>, Cambridge, MA.</w:t>
      </w:r>
    </w:p>
    <w:p w:rsidR="001F5702" w:rsidRDefault="001F5702" w:rsidP="001F5702">
      <w:pPr>
        <w:pStyle w:val="References"/>
      </w:pPr>
      <w:r>
        <w:t xml:space="preserve">Curtis, DD &amp; McMillan, J 2008, </w:t>
      </w:r>
      <w:r w:rsidRPr="00C11094">
        <w:rPr>
          <w:i/>
        </w:rPr>
        <w:t>School non-completers: profiles and initial destinations</w:t>
      </w:r>
      <w:r>
        <w:t xml:space="preserve">, </w:t>
      </w:r>
      <w:r w:rsidRPr="009B7537">
        <w:t xml:space="preserve">LSAY </w:t>
      </w:r>
      <w:r w:rsidRPr="008B3A37">
        <w:t>research report, ACER, Melbourne.</w:t>
      </w:r>
      <w:r>
        <w:t xml:space="preserve"> </w:t>
      </w:r>
    </w:p>
    <w:p w:rsidR="001F5702" w:rsidRDefault="001F5702" w:rsidP="001F5702">
      <w:pPr>
        <w:pStyle w:val="References"/>
      </w:pPr>
      <w:r>
        <w:t xml:space="preserve">Darnell, A &amp; Sherkat, DE 1997, ‘The impact of protestant fundamentalism on educational attainment’, </w:t>
      </w:r>
      <w:r w:rsidRPr="008B3A37">
        <w:rPr>
          <w:i/>
        </w:rPr>
        <w:t>American Sociological Review</w:t>
      </w:r>
      <w:r>
        <w:rPr>
          <w:i/>
        </w:rPr>
        <w:t xml:space="preserve">, </w:t>
      </w:r>
      <w:r w:rsidRPr="008B3A37">
        <w:t>vol.62, no.</w:t>
      </w:r>
      <w:r>
        <w:t>2, pp.306</w:t>
      </w:r>
      <w:r w:rsidR="00682BE0">
        <w:t>—</w:t>
      </w:r>
      <w:r>
        <w:t>15.</w:t>
      </w:r>
    </w:p>
    <w:p w:rsidR="001F5702" w:rsidRDefault="001F5702" w:rsidP="001F5702">
      <w:pPr>
        <w:pStyle w:val="References"/>
      </w:pPr>
      <w:r>
        <w:t xml:space="preserve">Davis-Kean, PE 2005, ‘The influence of parent education and family income on child achievement: the indirect role of parental expectations and the home environment’, </w:t>
      </w:r>
      <w:r w:rsidRPr="008B3A37">
        <w:rPr>
          <w:i/>
        </w:rPr>
        <w:t>Journal of Family Psychology</w:t>
      </w:r>
      <w:r>
        <w:t>, vol.</w:t>
      </w:r>
      <w:r w:rsidRPr="008B3A37">
        <w:t>19</w:t>
      </w:r>
      <w:r>
        <w:t>, no.2, pp.294</w:t>
      </w:r>
      <w:r w:rsidR="00682BE0">
        <w:t>—</w:t>
      </w:r>
      <w:r>
        <w:t>304.</w:t>
      </w:r>
    </w:p>
    <w:p w:rsidR="001F5702" w:rsidRDefault="001F5702" w:rsidP="001F5702">
      <w:pPr>
        <w:pStyle w:val="References"/>
      </w:pPr>
      <w:r>
        <w:t xml:space="preserve">De Haan, A &amp; Maxwell, S 1998, ‘Poverty and social exclusion in North and South’, </w:t>
      </w:r>
      <w:r w:rsidRPr="008B3A37">
        <w:rPr>
          <w:i/>
        </w:rPr>
        <w:t>IDS Bulletin</w:t>
      </w:r>
      <w:r>
        <w:t>, vol.</w:t>
      </w:r>
      <w:r w:rsidRPr="008B3A37">
        <w:t>29</w:t>
      </w:r>
      <w:r>
        <w:t>, no.1.</w:t>
      </w:r>
    </w:p>
    <w:p w:rsidR="001F5702" w:rsidRDefault="001F5702" w:rsidP="001F5702">
      <w:pPr>
        <w:pStyle w:val="References"/>
      </w:pPr>
      <w:r>
        <w:t xml:space="preserve">Downey, DB1995, ‘When bigger is not better: family size, parental resources, and children's educational performance’, </w:t>
      </w:r>
      <w:r w:rsidRPr="008B3A37">
        <w:rPr>
          <w:i/>
        </w:rPr>
        <w:t>American Sociological Review</w:t>
      </w:r>
      <w:r>
        <w:t>, vol.</w:t>
      </w:r>
      <w:r w:rsidRPr="008B3A37">
        <w:t>60</w:t>
      </w:r>
      <w:r>
        <w:t>, no.5, pp.746</w:t>
      </w:r>
      <w:r w:rsidR="00682BE0">
        <w:t>—</w:t>
      </w:r>
      <w:r>
        <w:t>61.</w:t>
      </w:r>
    </w:p>
    <w:p w:rsidR="001F5702" w:rsidRDefault="001F5702" w:rsidP="001F5702">
      <w:pPr>
        <w:pStyle w:val="References"/>
      </w:pPr>
      <w:r>
        <w:t>Duffy</w:t>
      </w:r>
      <w:r w:rsidR="005901CD">
        <w:t xml:space="preserve">, K </w:t>
      </w:r>
      <w:r>
        <w:t xml:space="preserve">2005, </w:t>
      </w:r>
      <w:r w:rsidRPr="003C271B">
        <w:rPr>
          <w:i/>
        </w:rPr>
        <w:t>Social exclusion and human dignity in Europe</w:t>
      </w:r>
      <w:r>
        <w:t>, Council of Europe, Brussels.</w:t>
      </w:r>
    </w:p>
    <w:p w:rsidR="001F5702" w:rsidRDefault="001F5702" w:rsidP="001F5702">
      <w:pPr>
        <w:pStyle w:val="References"/>
      </w:pPr>
      <w:r>
        <w:t xml:space="preserve">Eloundou-Enyegue, PM &amp; Williams, LB 2006, ‘Family size and schooling in Sub-Saharan African settings: a reexamination’, </w:t>
      </w:r>
      <w:r w:rsidRPr="005901CD">
        <w:rPr>
          <w:i/>
        </w:rPr>
        <w:t>Demography</w:t>
      </w:r>
      <w:r>
        <w:t>, vol.</w:t>
      </w:r>
      <w:r w:rsidRPr="003C271B">
        <w:t>43</w:t>
      </w:r>
      <w:r>
        <w:t>, no.1, pp.25</w:t>
      </w:r>
      <w:r w:rsidR="00682BE0">
        <w:t>—</w:t>
      </w:r>
      <w:r>
        <w:t>52.</w:t>
      </w:r>
    </w:p>
    <w:p w:rsidR="001F5702" w:rsidRDefault="001F5702" w:rsidP="001F5702">
      <w:pPr>
        <w:pStyle w:val="References"/>
      </w:pPr>
      <w:r>
        <w:t xml:space="preserve">Flouri, E 2006, ‘Parental interest in children's education, children's self-esteem and locus of control, and later educational attainment: twenty-six year follow-up of the 1970 British birth cohort’, </w:t>
      </w:r>
      <w:r w:rsidRPr="003C271B">
        <w:rPr>
          <w:i/>
        </w:rPr>
        <w:t>British Journal of Educational Psychology</w:t>
      </w:r>
      <w:r>
        <w:t>, vol.</w:t>
      </w:r>
      <w:r w:rsidRPr="003C271B">
        <w:t>76</w:t>
      </w:r>
      <w:r>
        <w:t>, pp.41</w:t>
      </w:r>
      <w:r w:rsidR="00682BE0">
        <w:t>—</w:t>
      </w:r>
      <w:r>
        <w:t>55.</w:t>
      </w:r>
    </w:p>
    <w:p w:rsidR="001F5702" w:rsidRDefault="001F5702" w:rsidP="001F5702">
      <w:pPr>
        <w:pStyle w:val="References"/>
      </w:pPr>
      <w:r>
        <w:t xml:space="preserve">Flowers, LA, Milner, HR &amp; Moore III, JL 2003, ‘Effects of locus of control on African American high school seniors' educational aspirations: implications for preservice and inservice high school teachers and counselors’, </w:t>
      </w:r>
      <w:r w:rsidRPr="003C271B">
        <w:rPr>
          <w:i/>
        </w:rPr>
        <w:t>High School Journal</w:t>
      </w:r>
      <w:r>
        <w:rPr>
          <w:i/>
        </w:rPr>
        <w:t>,</w:t>
      </w:r>
      <w:r>
        <w:t xml:space="preserve"> vol.</w:t>
      </w:r>
      <w:r w:rsidRPr="003C271B">
        <w:t>87</w:t>
      </w:r>
      <w:r>
        <w:t>, no.1, pp.39</w:t>
      </w:r>
      <w:r w:rsidR="00682BE0">
        <w:t>—</w:t>
      </w:r>
      <w:r>
        <w:t>50.</w:t>
      </w:r>
    </w:p>
    <w:p w:rsidR="001F5702" w:rsidRDefault="001F5702" w:rsidP="001F5702">
      <w:pPr>
        <w:pStyle w:val="References"/>
      </w:pPr>
      <w:r>
        <w:t xml:space="preserve">Fullarton, S, Walker, M, Ainley, J &amp; Hillman, K 2003, </w:t>
      </w:r>
      <w:r w:rsidRPr="003C271B">
        <w:rPr>
          <w:i/>
        </w:rPr>
        <w:t>Patterns of participation in Year 12</w:t>
      </w:r>
      <w:r>
        <w:t xml:space="preserve">, </w:t>
      </w:r>
      <w:r w:rsidRPr="003C271B">
        <w:t>LSAY research report</w:t>
      </w:r>
      <w:r>
        <w:t xml:space="preserve">, ACER, Melbourne. </w:t>
      </w:r>
    </w:p>
    <w:p w:rsidR="001F5702" w:rsidRDefault="001F5702" w:rsidP="001F5702">
      <w:pPr>
        <w:pStyle w:val="References"/>
      </w:pPr>
      <w:r>
        <w:t xml:space="preserve">Gordon, D, Levitas, R, Pantazis, C, Patsios, D, Payne, S, Townsend, P, Adelman, L, Ashworth, K, Middleton, S, Bradshaw, J &amp; Williams, J 2000, </w:t>
      </w:r>
      <w:r w:rsidRPr="006A1580">
        <w:rPr>
          <w:i/>
        </w:rPr>
        <w:t>Poverty and social exclusion in Britain</w:t>
      </w:r>
      <w:r>
        <w:t>, Joseph Rowntree Foundation,</w:t>
      </w:r>
      <w:r w:rsidRPr="006A1580">
        <w:t xml:space="preserve"> </w:t>
      </w:r>
      <w:r>
        <w:t>York.</w:t>
      </w:r>
    </w:p>
    <w:p w:rsidR="001F5702" w:rsidRDefault="001F5702" w:rsidP="001F5702">
      <w:pPr>
        <w:pStyle w:val="References"/>
      </w:pPr>
      <w:r>
        <w:lastRenderedPageBreak/>
        <w:t>Gould, ED, Lavy, V &amp; Paserman, MD 2005,</w:t>
      </w:r>
      <w:r w:rsidRPr="00C11094">
        <w:rPr>
          <w:i/>
        </w:rPr>
        <w:t xml:space="preserve"> Does immigration affect the long-term educational outcomes of natives? Quasi-experimental evidenc</w:t>
      </w:r>
      <w:r>
        <w:t xml:space="preserve">e, </w:t>
      </w:r>
      <w:r w:rsidRPr="006A1580">
        <w:rPr>
          <w:szCs w:val="24"/>
        </w:rPr>
        <w:t>IZA discussion paper,</w:t>
      </w:r>
      <w:r>
        <w:t xml:space="preserve"> Bonn.</w:t>
      </w:r>
    </w:p>
    <w:p w:rsidR="001F5702" w:rsidRDefault="001F5702" w:rsidP="001F5702">
      <w:pPr>
        <w:pStyle w:val="References"/>
      </w:pPr>
      <w:r>
        <w:t xml:space="preserve">Harding, DJ 2003, ‘Counterfactual models of neighborhood effects: the effect of neighborhood poverty on dropping out and teenage pregnancy’, </w:t>
      </w:r>
      <w:r w:rsidRPr="00C11094">
        <w:rPr>
          <w:i/>
        </w:rPr>
        <w:t>American Journal of Sociology</w:t>
      </w:r>
      <w:r>
        <w:t>, vol.</w:t>
      </w:r>
      <w:r w:rsidRPr="006A1580">
        <w:t>109</w:t>
      </w:r>
      <w:r>
        <w:t>, no.3, pp.676</w:t>
      </w:r>
      <w:r w:rsidR="00682BE0">
        <w:t>—</w:t>
      </w:r>
      <w:r>
        <w:t>719.</w:t>
      </w:r>
    </w:p>
    <w:p w:rsidR="001F5702" w:rsidRDefault="001F5702" w:rsidP="001F5702">
      <w:pPr>
        <w:pStyle w:val="References"/>
      </w:pPr>
      <w:r>
        <w:t xml:space="preserve">Haveman, R &amp; Wolfe, B 1995, ‘The determinants of children's attainments: a review of methods and findings’, </w:t>
      </w:r>
      <w:r w:rsidRPr="006A1580">
        <w:rPr>
          <w:i/>
        </w:rPr>
        <w:t>Journal of Economic Literature</w:t>
      </w:r>
      <w:r>
        <w:rPr>
          <w:i/>
        </w:rPr>
        <w:t>,</w:t>
      </w:r>
      <w:r>
        <w:t>vol.</w:t>
      </w:r>
      <w:r w:rsidRPr="006A1580">
        <w:t>33</w:t>
      </w:r>
      <w:r>
        <w:t>, no.4, pp.1829</w:t>
      </w:r>
      <w:r w:rsidR="00682BE0">
        <w:t>—</w:t>
      </w:r>
      <w:r>
        <w:t>78.</w:t>
      </w:r>
    </w:p>
    <w:p w:rsidR="001F5702" w:rsidRDefault="001F5702" w:rsidP="001F5702">
      <w:pPr>
        <w:pStyle w:val="References"/>
      </w:pPr>
      <w:r>
        <w:t xml:space="preserve">Haveman, R,Wolfe, B &amp; Spaulding, J 1991, ‘Childhood events and circumstances influencing high school completion’, </w:t>
      </w:r>
      <w:r w:rsidRPr="00E83F1E">
        <w:rPr>
          <w:i/>
        </w:rPr>
        <w:t>Demography</w:t>
      </w:r>
      <w:r>
        <w:t>, vol.</w:t>
      </w:r>
      <w:r w:rsidRPr="00E83F1E">
        <w:t>28</w:t>
      </w:r>
      <w:r>
        <w:t>, no.1, pp.133</w:t>
      </w:r>
      <w:r w:rsidR="00682BE0">
        <w:t>—</w:t>
      </w:r>
      <w:r>
        <w:t>57.</w:t>
      </w:r>
    </w:p>
    <w:p w:rsidR="001F5702" w:rsidRDefault="001F5702" w:rsidP="001F5702">
      <w:pPr>
        <w:pStyle w:val="References"/>
      </w:pPr>
      <w:r>
        <w:t xml:space="preserve">Headey, B 2006, </w:t>
      </w:r>
      <w:r w:rsidRPr="00E83F1E">
        <w:rPr>
          <w:i/>
        </w:rPr>
        <w:t>A framework for assessing poverty, disadv</w:t>
      </w:r>
      <w:r>
        <w:rPr>
          <w:i/>
        </w:rPr>
        <w:t>antage and low capabilities in A</w:t>
      </w:r>
      <w:r w:rsidRPr="00E83F1E">
        <w:rPr>
          <w:i/>
        </w:rPr>
        <w:t>ustralia</w:t>
      </w:r>
      <w:r>
        <w:t xml:space="preserve">, </w:t>
      </w:r>
      <w:r w:rsidRPr="00E83F1E">
        <w:t>Melbourne Institute</w:t>
      </w:r>
      <w:r w:rsidRPr="005901CD">
        <w:t xml:space="preserve">, </w:t>
      </w:r>
      <w:r>
        <w:t>University of Melbourne.</w:t>
      </w:r>
    </w:p>
    <w:p w:rsidR="001F5702" w:rsidRDefault="001F5702" w:rsidP="001F5702">
      <w:pPr>
        <w:pStyle w:val="References"/>
      </w:pPr>
      <w:r>
        <w:t xml:space="preserve">Henrich, CC, Schwab-Stone, M, Fanti, K, Jones, SM &amp; Ruchkin, V 2004, ‘The association of community violence exposure with middle-school achievement: a prospective study’, </w:t>
      </w:r>
      <w:r w:rsidRPr="00E83F1E">
        <w:rPr>
          <w:i/>
        </w:rPr>
        <w:t>Journal of Applied Developmental Psychology</w:t>
      </w:r>
      <w:r>
        <w:t>, vol.</w:t>
      </w:r>
      <w:r w:rsidRPr="00E83F1E">
        <w:t>25</w:t>
      </w:r>
      <w:r>
        <w:t>, no.3, pp. 327</w:t>
      </w:r>
      <w:r w:rsidR="00682BE0">
        <w:t>—</w:t>
      </w:r>
      <w:r>
        <w:t>48.</w:t>
      </w:r>
    </w:p>
    <w:p w:rsidR="001F5702" w:rsidRDefault="001F5702" w:rsidP="001F5702">
      <w:pPr>
        <w:pStyle w:val="References"/>
      </w:pPr>
      <w:r>
        <w:t xml:space="preserve">Hill, MS, Yeung, W-JJ &amp; Duncan, GJ 2001, ‘Childhood family structure and young adults behaviors’, </w:t>
      </w:r>
      <w:r w:rsidRPr="00E83F1E">
        <w:rPr>
          <w:i/>
        </w:rPr>
        <w:t>Journal of Population Economics</w:t>
      </w:r>
      <w:r>
        <w:t>, vol.</w:t>
      </w:r>
      <w:r w:rsidRPr="00E83F1E">
        <w:t>14</w:t>
      </w:r>
      <w:r>
        <w:t>, no.2, pp.271</w:t>
      </w:r>
      <w:r w:rsidR="00682BE0">
        <w:t>—</w:t>
      </w:r>
      <w:r>
        <w:t>99.</w:t>
      </w:r>
    </w:p>
    <w:p w:rsidR="001F5702" w:rsidRPr="002E5878" w:rsidRDefault="001F5702" w:rsidP="001F5702">
      <w:pPr>
        <w:pStyle w:val="References"/>
      </w:pPr>
      <w:r>
        <w:t xml:space="preserve">Homel, J &amp; Ryan, C forthcoming, </w:t>
      </w:r>
      <w:r w:rsidRPr="00690E7E">
        <w:rPr>
          <w:i/>
        </w:rPr>
        <w:t>Aspirations and outcomes: size of the effect and the role of other factors</w:t>
      </w:r>
      <w:r>
        <w:t>, LSAY research report, NCVER, Adelaide.</w:t>
      </w:r>
    </w:p>
    <w:p w:rsidR="001F5702" w:rsidRDefault="001F5702" w:rsidP="001F5702">
      <w:pPr>
        <w:pStyle w:val="References"/>
      </w:pPr>
      <w:r>
        <w:t xml:space="preserve">Jones, RG 2002, </w:t>
      </w:r>
      <w:r w:rsidRPr="00690E7E">
        <w:rPr>
          <w:i/>
        </w:rPr>
        <w:t>Education participation and outcomes by geographic location</w:t>
      </w:r>
      <w:r>
        <w:t xml:space="preserve">, </w:t>
      </w:r>
      <w:r w:rsidRPr="005637EA">
        <w:t>LSAY research report</w:t>
      </w:r>
      <w:r>
        <w:t xml:space="preserve">, ACER, Melbourne. </w:t>
      </w:r>
    </w:p>
    <w:p w:rsidR="001F5702" w:rsidRDefault="001F5702" w:rsidP="001F5702">
      <w:pPr>
        <w:pStyle w:val="References"/>
      </w:pPr>
      <w:r>
        <w:t xml:space="preserve">Kalmijn, M 1994, ‘Mother's occupational status and children's schooling’, </w:t>
      </w:r>
      <w:r w:rsidRPr="00690E7E">
        <w:rPr>
          <w:i/>
        </w:rPr>
        <w:t>American Sociological Review</w:t>
      </w:r>
      <w:r>
        <w:t>, vol.</w:t>
      </w:r>
      <w:r w:rsidRPr="00690E7E">
        <w:t>59</w:t>
      </w:r>
      <w:r>
        <w:t>, no.2, pp.257</w:t>
      </w:r>
      <w:r w:rsidR="00682BE0">
        <w:t>—</w:t>
      </w:r>
      <w:r>
        <w:t>75.</w:t>
      </w:r>
    </w:p>
    <w:p w:rsidR="001F5702" w:rsidRDefault="001F5702" w:rsidP="001F5702">
      <w:pPr>
        <w:pStyle w:val="References"/>
      </w:pPr>
      <w:r>
        <w:t>Kaplan, DS, Peck, MB &amp; Kaplan, HB 1997, ‘Decomposing the academic failure-dropout relationship: a longitudinal analysis’,</w:t>
      </w:r>
      <w:r w:rsidRPr="00690E7E">
        <w:rPr>
          <w:i/>
        </w:rPr>
        <w:t xml:space="preserve"> Journal of Educational Research</w:t>
      </w:r>
      <w:r>
        <w:t>, vol.</w:t>
      </w:r>
      <w:r w:rsidRPr="00690E7E">
        <w:t>90</w:t>
      </w:r>
      <w:r>
        <w:t>, no.6, pp.331</w:t>
      </w:r>
      <w:r w:rsidR="00682BE0">
        <w:t>—</w:t>
      </w:r>
      <w:r>
        <w:t>43.</w:t>
      </w:r>
    </w:p>
    <w:p w:rsidR="001F5702" w:rsidRDefault="001F5702" w:rsidP="001F5702">
      <w:pPr>
        <w:pStyle w:val="References"/>
      </w:pPr>
      <w:r>
        <w:t xml:space="preserve">Khoo, ST &amp; Ainley, J 2005, </w:t>
      </w:r>
      <w:r w:rsidRPr="00690E7E">
        <w:rPr>
          <w:i/>
        </w:rPr>
        <w:t>Attitudes, intentions and participation,</w:t>
      </w:r>
      <w:r>
        <w:t xml:space="preserve"> </w:t>
      </w:r>
      <w:r w:rsidRPr="00690E7E">
        <w:t>LSAY research report</w:t>
      </w:r>
      <w:r>
        <w:t>, ACER, Melbourne.</w:t>
      </w:r>
    </w:p>
    <w:p w:rsidR="001F5702" w:rsidRDefault="001F5702" w:rsidP="001F5702">
      <w:pPr>
        <w:pStyle w:val="References"/>
      </w:pPr>
      <w:r>
        <w:t xml:space="preserve">Koch, SF &amp; McGeary, KA 2005, ‘The effect of youth alcohol initiation on high school completion’, </w:t>
      </w:r>
      <w:r w:rsidRPr="005637EA">
        <w:rPr>
          <w:i/>
        </w:rPr>
        <w:t>Economic Inquiry</w:t>
      </w:r>
      <w:r>
        <w:t>, vol.</w:t>
      </w:r>
      <w:r w:rsidRPr="00E55D83">
        <w:t>43</w:t>
      </w:r>
      <w:r>
        <w:t>, pp.750</w:t>
      </w:r>
      <w:r w:rsidR="00682BE0">
        <w:t>—</w:t>
      </w:r>
      <w:r>
        <w:t>65.</w:t>
      </w:r>
    </w:p>
    <w:p w:rsidR="001F5702" w:rsidRDefault="001F5702" w:rsidP="001F5702">
      <w:pPr>
        <w:pStyle w:val="References"/>
      </w:pPr>
      <w:r>
        <w:t xml:space="preserve">Krein, SF &amp; Beller, AH 1988, ‘Educational attainment of children from single-parent families: differences by exposure, gender and race’, </w:t>
      </w:r>
      <w:r w:rsidRPr="005637EA">
        <w:rPr>
          <w:i/>
        </w:rPr>
        <w:t>Demography</w:t>
      </w:r>
      <w:r>
        <w:t>, vol.</w:t>
      </w:r>
      <w:r w:rsidRPr="00E55D83">
        <w:t>25</w:t>
      </w:r>
      <w:r>
        <w:t>, no.2, pp.221</w:t>
      </w:r>
      <w:r w:rsidR="00682BE0">
        <w:t>—</w:t>
      </w:r>
      <w:r>
        <w:t>34.</w:t>
      </w:r>
    </w:p>
    <w:p w:rsidR="001F5702" w:rsidRDefault="001F5702" w:rsidP="001F5702">
      <w:pPr>
        <w:pStyle w:val="References"/>
      </w:pPr>
      <w:r>
        <w:t xml:space="preserve">Ku, I 2001, ‘The effect of welfare on children's education’, </w:t>
      </w:r>
      <w:r w:rsidRPr="00E55D83">
        <w:rPr>
          <w:i/>
        </w:rPr>
        <w:t>The Social Service Review</w:t>
      </w:r>
      <w:r>
        <w:t>, vol.</w:t>
      </w:r>
      <w:r w:rsidRPr="00E55D83">
        <w:t>75</w:t>
      </w:r>
      <w:r>
        <w:t>, no.2, pp.245</w:t>
      </w:r>
      <w:r w:rsidR="00682BE0">
        <w:t>—</w:t>
      </w:r>
      <w:r>
        <w:t>70.</w:t>
      </w:r>
    </w:p>
    <w:p w:rsidR="001F5702" w:rsidRDefault="001F5702" w:rsidP="001F5702">
      <w:pPr>
        <w:pStyle w:val="References"/>
      </w:pPr>
      <w:r>
        <w:t xml:space="preserve">Ku, I &amp; Plotnick, R 2003, ‘Do children from welfare families obtain less education?’ </w:t>
      </w:r>
      <w:r w:rsidRPr="005637EA">
        <w:rPr>
          <w:i/>
        </w:rPr>
        <w:t>Demography</w:t>
      </w:r>
      <w:r>
        <w:t>, vol.</w:t>
      </w:r>
      <w:r w:rsidRPr="00E55D83">
        <w:t>40</w:t>
      </w:r>
      <w:r>
        <w:t>, no.1, pp.151</w:t>
      </w:r>
      <w:r w:rsidR="00682BE0">
        <w:t>—</w:t>
      </w:r>
      <w:r>
        <w:t>70.</w:t>
      </w:r>
    </w:p>
    <w:p w:rsidR="001F5702" w:rsidRDefault="001F5702" w:rsidP="001F5702">
      <w:pPr>
        <w:pStyle w:val="References"/>
      </w:pPr>
      <w:r>
        <w:t xml:space="preserve">Lamb, S, Dwyer, P &amp; Wyn, J 2000, </w:t>
      </w:r>
      <w:r w:rsidRPr="00E55D83">
        <w:rPr>
          <w:i/>
        </w:rPr>
        <w:t>Non-completion of school in Australia: the changing patterns of participation and outcomes</w:t>
      </w:r>
      <w:r>
        <w:t xml:space="preserve">, </w:t>
      </w:r>
      <w:r w:rsidRPr="00E55D83">
        <w:t>LSAY research report,</w:t>
      </w:r>
      <w:r>
        <w:t xml:space="preserve"> ACER, Melbourne. </w:t>
      </w:r>
    </w:p>
    <w:p w:rsidR="001F5702" w:rsidRDefault="001F5702" w:rsidP="001F5702">
      <w:pPr>
        <w:pStyle w:val="References"/>
      </w:pPr>
      <w:r>
        <w:t xml:space="preserve">Lamb, S, Walstab, A, Teese, R, Vickers, M &amp; Rumberger, R 2004, </w:t>
      </w:r>
      <w:r>
        <w:rPr>
          <w:i/>
        </w:rPr>
        <w:t>Staying on at school: i</w:t>
      </w:r>
      <w:r w:rsidRPr="00E55D83">
        <w:rPr>
          <w:i/>
        </w:rPr>
        <w:t>mproving student ret</w:t>
      </w:r>
      <w:r>
        <w:rPr>
          <w:i/>
        </w:rPr>
        <w:t>ention in Australia</w:t>
      </w:r>
      <w:r>
        <w:t>, Centre for Post-compulsory Education and Lifelong Learning, University of Melbourne.</w:t>
      </w:r>
    </w:p>
    <w:p w:rsidR="001F5702" w:rsidRDefault="001F5702" w:rsidP="001F5702">
      <w:pPr>
        <w:pStyle w:val="References"/>
      </w:pPr>
      <w:r>
        <w:t xml:space="preserve">Le, AT &amp; Miller, PW 2002, </w:t>
      </w:r>
      <w:r>
        <w:rPr>
          <w:i/>
        </w:rPr>
        <w:t>Educational a</w:t>
      </w:r>
      <w:r w:rsidRPr="005637EA">
        <w:rPr>
          <w:i/>
        </w:rPr>
        <w:t xml:space="preserve">ttainment in Australia: a cohort analysis, </w:t>
      </w:r>
      <w:r w:rsidRPr="005637EA">
        <w:t>LSAY research report</w:t>
      </w:r>
      <w:r>
        <w:t xml:space="preserve">, ACER, Melbourne. </w:t>
      </w:r>
    </w:p>
    <w:p w:rsidR="001F5702" w:rsidRDefault="001F5702" w:rsidP="001F5702">
      <w:pPr>
        <w:pStyle w:val="References"/>
      </w:pPr>
      <w:r>
        <w:t xml:space="preserve">——2003, ‘Choice of school in Australia: determinants and consequences’, </w:t>
      </w:r>
      <w:r w:rsidRPr="006873DF">
        <w:rPr>
          <w:i/>
        </w:rPr>
        <w:t>Australian Economic Review</w:t>
      </w:r>
      <w:r>
        <w:t>, vol.</w:t>
      </w:r>
      <w:r w:rsidRPr="006873DF">
        <w:t>36</w:t>
      </w:r>
      <w:r>
        <w:t>, no.1, pp.55</w:t>
      </w:r>
      <w:r w:rsidR="00682BE0">
        <w:t>—</w:t>
      </w:r>
      <w:r>
        <w:t>78.</w:t>
      </w:r>
    </w:p>
    <w:p w:rsidR="001F5702" w:rsidRDefault="001F5702" w:rsidP="001F5702">
      <w:pPr>
        <w:pStyle w:val="References"/>
      </w:pPr>
      <w:r>
        <w:t xml:space="preserve">——2004, ‘High school graduation in Australia: do schools matter?', </w:t>
      </w:r>
      <w:r w:rsidRPr="006873DF">
        <w:rPr>
          <w:i/>
        </w:rPr>
        <w:t>Scottish Journal of Political Economy</w:t>
      </w:r>
      <w:r>
        <w:t>, vol.</w:t>
      </w:r>
      <w:r w:rsidRPr="006873DF">
        <w:t>51</w:t>
      </w:r>
      <w:r>
        <w:t>, no.2, pp.194</w:t>
      </w:r>
      <w:r w:rsidR="00682BE0">
        <w:t>—</w:t>
      </w:r>
      <w:r>
        <w:t>208.</w:t>
      </w:r>
    </w:p>
    <w:p w:rsidR="001F5702" w:rsidRDefault="001F5702" w:rsidP="001F5702">
      <w:pPr>
        <w:pStyle w:val="References"/>
      </w:pPr>
      <w:r>
        <w:t xml:space="preserve">Lehrer, E 2004, ‘Religiosity as a determinant of educational attainment: the case of conservative protestant women in the United States’, </w:t>
      </w:r>
      <w:r w:rsidRPr="006873DF">
        <w:rPr>
          <w:i/>
        </w:rPr>
        <w:t>Review of Economics of the Household</w:t>
      </w:r>
      <w:r>
        <w:t>, vol.</w:t>
      </w:r>
      <w:r w:rsidRPr="006873DF">
        <w:t>2</w:t>
      </w:r>
      <w:r>
        <w:t>, no.2, pp.203</w:t>
      </w:r>
      <w:r w:rsidR="00682BE0">
        <w:t>—</w:t>
      </w:r>
      <w:r>
        <w:t>19.</w:t>
      </w:r>
    </w:p>
    <w:p w:rsidR="001F5702" w:rsidRPr="00747D68" w:rsidRDefault="001F5702" w:rsidP="001F5702">
      <w:pPr>
        <w:pStyle w:val="References"/>
        <w:rPr>
          <w:lang w:val="fr-FR"/>
        </w:rPr>
      </w:pPr>
      <w:r>
        <w:t xml:space="preserve">——2006, ‘Religion and high-school graduation: a comparative analysis of patterns for white and black young women’, </w:t>
      </w:r>
      <w:r w:rsidRPr="00C64D9B">
        <w:rPr>
          <w:i/>
          <w:lang w:val="fr-FR"/>
        </w:rPr>
        <w:t>Review of Economics of the Household</w:t>
      </w:r>
      <w:r w:rsidRPr="00C64D9B">
        <w:rPr>
          <w:lang w:val="fr-FR"/>
        </w:rPr>
        <w:t>, vol.4</w:t>
      </w:r>
      <w:r>
        <w:rPr>
          <w:lang w:val="fr-FR"/>
        </w:rPr>
        <w:t>, no.</w:t>
      </w:r>
      <w:r w:rsidRPr="00747D68">
        <w:rPr>
          <w:lang w:val="fr-FR"/>
        </w:rPr>
        <w:t>3</w:t>
      </w:r>
      <w:r>
        <w:rPr>
          <w:lang w:val="fr-FR"/>
        </w:rPr>
        <w:t>, pp.</w:t>
      </w:r>
      <w:r w:rsidRPr="00747D68">
        <w:rPr>
          <w:lang w:val="fr-FR"/>
        </w:rPr>
        <w:t>277</w:t>
      </w:r>
      <w:r w:rsidR="00682BE0">
        <w:rPr>
          <w:lang w:val="fr-FR"/>
        </w:rPr>
        <w:t>—</w:t>
      </w:r>
      <w:r w:rsidRPr="00747D68">
        <w:rPr>
          <w:lang w:val="fr-FR"/>
        </w:rPr>
        <w:t>93.</w:t>
      </w:r>
    </w:p>
    <w:p w:rsidR="001F5702" w:rsidRPr="00747D68" w:rsidRDefault="001F5702" w:rsidP="001F5702">
      <w:pPr>
        <w:pStyle w:val="References"/>
        <w:rPr>
          <w:lang w:val="fr-FR"/>
        </w:rPr>
      </w:pPr>
      <w:r>
        <w:rPr>
          <w:lang w:val="fr-FR"/>
        </w:rPr>
        <w:t xml:space="preserve">Lenoir, R </w:t>
      </w:r>
      <w:r w:rsidRPr="00747D68">
        <w:rPr>
          <w:lang w:val="fr-FR"/>
        </w:rPr>
        <w:t>1974</w:t>
      </w:r>
      <w:r>
        <w:rPr>
          <w:lang w:val="fr-FR"/>
        </w:rPr>
        <w:t>,</w:t>
      </w:r>
      <w:r w:rsidRPr="00747D68">
        <w:rPr>
          <w:lang w:val="fr-FR"/>
        </w:rPr>
        <w:t xml:space="preserve"> </w:t>
      </w:r>
      <w:r w:rsidRPr="00C64D9B">
        <w:rPr>
          <w:i/>
          <w:lang w:val="fr-FR"/>
        </w:rPr>
        <w:t>Les Exclus: Un Francais sur Dix</w:t>
      </w:r>
      <w:r w:rsidRPr="00747D68">
        <w:rPr>
          <w:lang w:val="fr-FR"/>
        </w:rPr>
        <w:t>, Editions du Seuil</w:t>
      </w:r>
      <w:r>
        <w:rPr>
          <w:lang w:val="fr-FR"/>
        </w:rPr>
        <w:t>,</w:t>
      </w:r>
      <w:r w:rsidRPr="00C64D9B">
        <w:rPr>
          <w:lang w:val="fr-FR"/>
        </w:rPr>
        <w:t xml:space="preserve"> </w:t>
      </w:r>
      <w:r w:rsidRPr="00747D68">
        <w:rPr>
          <w:lang w:val="fr-FR"/>
        </w:rPr>
        <w:t>Paris.</w:t>
      </w:r>
    </w:p>
    <w:p w:rsidR="001F5702" w:rsidRDefault="001F5702" w:rsidP="001F5702">
      <w:pPr>
        <w:pStyle w:val="References"/>
      </w:pPr>
      <w:r>
        <w:t xml:space="preserve">Levitas, R, Pantazis, C, Fahmy, E, Gordon, D, Lloyd, E &amp; Patsios, D 2007, </w:t>
      </w:r>
      <w:r w:rsidRPr="000C5CA9">
        <w:rPr>
          <w:i/>
        </w:rPr>
        <w:t>the multi-dim</w:t>
      </w:r>
      <w:r>
        <w:rPr>
          <w:i/>
        </w:rPr>
        <w:t>ensional analysis of social excl</w:t>
      </w:r>
      <w:r w:rsidRPr="000C5CA9">
        <w:rPr>
          <w:i/>
        </w:rPr>
        <w:t>usion</w:t>
      </w:r>
      <w:r>
        <w:t>, Social Exclusion Task Force, London.</w:t>
      </w:r>
    </w:p>
    <w:p w:rsidR="001F5702" w:rsidRDefault="001F5702" w:rsidP="001F5702">
      <w:pPr>
        <w:pStyle w:val="References"/>
      </w:pPr>
      <w:r>
        <w:rPr>
          <w:szCs w:val="24"/>
        </w:rPr>
        <w:t>Long, M</w:t>
      </w:r>
      <w:r w:rsidRPr="00C64D9B">
        <w:rPr>
          <w:szCs w:val="24"/>
        </w:rPr>
        <w:t>, Carpenter</w:t>
      </w:r>
      <w:r>
        <w:rPr>
          <w:szCs w:val="24"/>
        </w:rPr>
        <w:t>, P</w:t>
      </w:r>
      <w:r w:rsidRPr="00C64D9B">
        <w:rPr>
          <w:szCs w:val="24"/>
        </w:rPr>
        <w:t xml:space="preserve"> &amp; Hayden</w:t>
      </w:r>
      <w:r>
        <w:rPr>
          <w:szCs w:val="24"/>
        </w:rPr>
        <w:t xml:space="preserve">, M </w:t>
      </w:r>
      <w:r>
        <w:t xml:space="preserve">1999, </w:t>
      </w:r>
      <w:r w:rsidRPr="000C5CA9">
        <w:rPr>
          <w:i/>
        </w:rPr>
        <w:t>Participation in education and training</w:t>
      </w:r>
      <w:r>
        <w:t xml:space="preserve">, </w:t>
      </w:r>
      <w:r w:rsidRPr="005901CD">
        <w:t>LSAY research report</w:t>
      </w:r>
      <w:r>
        <w:t xml:space="preserve">, ACER, Melbourne. </w:t>
      </w:r>
    </w:p>
    <w:p w:rsidR="001F5702" w:rsidRDefault="001F5702" w:rsidP="001F5702">
      <w:pPr>
        <w:pStyle w:val="References"/>
      </w:pPr>
      <w:r>
        <w:t xml:space="preserve">Long, M, Frigo, T &amp; Batten, M 1998, </w:t>
      </w:r>
      <w:r w:rsidRPr="000C5CA9">
        <w:rPr>
          <w:i/>
        </w:rPr>
        <w:t>The school to work transiti</w:t>
      </w:r>
      <w:r>
        <w:rPr>
          <w:i/>
        </w:rPr>
        <w:t>on of Indigenous Australians</w:t>
      </w:r>
      <w:r w:rsidRPr="000C5CA9">
        <w:rPr>
          <w:i/>
        </w:rPr>
        <w:t>: review of the literature and statistical analysis</w:t>
      </w:r>
      <w:r>
        <w:t>, Department of Education, Training and Youth Affairs,</w:t>
      </w:r>
      <w:r w:rsidRPr="000C5CA9">
        <w:t xml:space="preserve"> </w:t>
      </w:r>
      <w:r>
        <w:t>Canberra.</w:t>
      </w:r>
    </w:p>
    <w:p w:rsidR="001F5702" w:rsidRDefault="001F5702" w:rsidP="001F5702">
      <w:pPr>
        <w:pStyle w:val="References"/>
      </w:pPr>
      <w:r>
        <w:t>Lynskey, MT, Coffey, C, Degenhardt, L</w:t>
      </w:r>
      <w:r w:rsidR="00F0104B">
        <w:t>,</w:t>
      </w:r>
      <w:r>
        <w:t xml:space="preserve"> Carlin, JB &amp; Patton, G 2003, ‘A longitudinal study of the effects of adolescent cannabis use on high school completion’, </w:t>
      </w:r>
      <w:r w:rsidRPr="00886BFA">
        <w:rPr>
          <w:i/>
        </w:rPr>
        <w:t>Addiction</w:t>
      </w:r>
      <w:r>
        <w:t>, vol.</w:t>
      </w:r>
      <w:r w:rsidRPr="00886BFA">
        <w:t>98</w:t>
      </w:r>
      <w:r>
        <w:t>, no.5, pp.685</w:t>
      </w:r>
      <w:r w:rsidR="00682BE0">
        <w:t>—</w:t>
      </w:r>
      <w:r>
        <w:t>92.</w:t>
      </w:r>
    </w:p>
    <w:p w:rsidR="001F5702" w:rsidRDefault="001F5702" w:rsidP="001F5702">
      <w:pPr>
        <w:pStyle w:val="References"/>
      </w:pPr>
      <w:r>
        <w:t xml:space="preserve">Marks, GN &amp; Fleming, N 1999, </w:t>
      </w:r>
      <w:r w:rsidRPr="00886BFA">
        <w:rPr>
          <w:i/>
        </w:rPr>
        <w:t>Early school leaving in Australia: findings from the 1995 Year 9 LSAY cohort</w:t>
      </w:r>
      <w:r>
        <w:t xml:space="preserve">, </w:t>
      </w:r>
      <w:r w:rsidRPr="00886BFA">
        <w:t>LSAY research report</w:t>
      </w:r>
      <w:r>
        <w:t>, ACER, Melbourne.</w:t>
      </w:r>
    </w:p>
    <w:p w:rsidR="001F5702" w:rsidRDefault="001F5702" w:rsidP="001F5702">
      <w:pPr>
        <w:pStyle w:val="References"/>
      </w:pPr>
      <w:r>
        <w:lastRenderedPageBreak/>
        <w:t xml:space="preserve">Marks, GN, Fleming, N, Long, M &amp; McMillan, J 2000, </w:t>
      </w:r>
      <w:r>
        <w:rPr>
          <w:i/>
        </w:rPr>
        <w:t>Patterns of participation in Y</w:t>
      </w:r>
      <w:r w:rsidRPr="00886BFA">
        <w:rPr>
          <w:i/>
        </w:rPr>
        <w:t xml:space="preserve">ear 12 and higher education </w:t>
      </w:r>
      <w:r>
        <w:rPr>
          <w:i/>
        </w:rPr>
        <w:t>in Australia: t</w:t>
      </w:r>
      <w:r w:rsidRPr="00886BFA">
        <w:rPr>
          <w:i/>
        </w:rPr>
        <w:t>rends and issues</w:t>
      </w:r>
      <w:r>
        <w:t xml:space="preserve">, </w:t>
      </w:r>
      <w:r w:rsidRPr="00886BFA">
        <w:t xml:space="preserve">LSAY research report, ACER, Melbourne. </w:t>
      </w:r>
    </w:p>
    <w:p w:rsidR="001F5702" w:rsidRDefault="001F5702" w:rsidP="001F5702">
      <w:pPr>
        <w:pStyle w:val="References"/>
      </w:pPr>
      <w:r>
        <w:t>Marks, GN &amp; McMillan, J 2001, '</w:t>
      </w:r>
      <w:r w:rsidRPr="00886BFA">
        <w:t>Early school leavers: who are they, why do they leave, and what are the consequences?</w:t>
      </w:r>
      <w:r>
        <w:t xml:space="preserve">', </w:t>
      </w:r>
      <w:r w:rsidRPr="00F51D0F">
        <w:rPr>
          <w:i/>
        </w:rPr>
        <w:t>ACER research conference: Understanding youth pathways: what does the research tell us?</w:t>
      </w:r>
      <w:r>
        <w:t>, Melbourne.</w:t>
      </w:r>
    </w:p>
    <w:p w:rsidR="001F5702" w:rsidRPr="009E487E" w:rsidRDefault="001F5702" w:rsidP="001F5702">
      <w:pPr>
        <w:pStyle w:val="References"/>
        <w:rPr>
          <w:sz w:val="28"/>
        </w:rPr>
      </w:pPr>
      <w:r>
        <w:t xml:space="preserve">Marks, GN, McMillan, J, Jones, FL &amp; Ainley, J 2000, </w:t>
      </w:r>
      <w:r w:rsidRPr="00F51D0F">
        <w:rPr>
          <w:i/>
        </w:rPr>
        <w:t>The measurement of socioeconomic status for the reporting of nationally comparable outcomes of schooling</w:t>
      </w:r>
      <w:r>
        <w:t>, ACER and Australian National University, Canberra.</w:t>
      </w:r>
    </w:p>
    <w:p w:rsidR="001F5702" w:rsidRDefault="001F5702" w:rsidP="001F5702">
      <w:pPr>
        <w:pStyle w:val="References"/>
      </w:pPr>
      <w:r>
        <w:t xml:space="preserve">McCaffrey, DF, Pacula, RL, Han, B &amp; Ellickson, P 2008, </w:t>
      </w:r>
      <w:r w:rsidRPr="00F51D0F">
        <w:rPr>
          <w:i/>
        </w:rPr>
        <w:t>Marijuana use and high school dropout: the influence of unobservables</w:t>
      </w:r>
      <w:r>
        <w:t xml:space="preserve">, </w:t>
      </w:r>
      <w:r w:rsidRPr="00F51D0F">
        <w:t>NBER working paper series</w:t>
      </w:r>
      <w:r>
        <w:t>, N</w:t>
      </w:r>
      <w:r w:rsidR="00F0104B">
        <w:t xml:space="preserve">ational </w:t>
      </w:r>
      <w:r>
        <w:t>B</w:t>
      </w:r>
      <w:r w:rsidR="00F0104B">
        <w:t>ureau of Economic Research</w:t>
      </w:r>
      <w:r>
        <w:t xml:space="preserve">, Cambridge, MA. </w:t>
      </w:r>
    </w:p>
    <w:p w:rsidR="001F5702" w:rsidRDefault="001F5702" w:rsidP="001F5702">
      <w:pPr>
        <w:pStyle w:val="References"/>
      </w:pPr>
      <w:r>
        <w:t xml:space="preserve">McMillan, J &amp; Marks, GN 2003, </w:t>
      </w:r>
      <w:r w:rsidRPr="00F51D0F">
        <w:rPr>
          <w:i/>
        </w:rPr>
        <w:t>School leavers in Australia: profiles and pathways</w:t>
      </w:r>
      <w:r>
        <w:t xml:space="preserve">, </w:t>
      </w:r>
      <w:r w:rsidRPr="00F51D0F">
        <w:t xml:space="preserve">LSAY research report, ACER, Melbourne. </w:t>
      </w:r>
    </w:p>
    <w:p w:rsidR="001F5702" w:rsidRDefault="001F5702" w:rsidP="001F5702">
      <w:pPr>
        <w:pStyle w:val="References"/>
      </w:pPr>
      <w:r>
        <w:t xml:space="preserve">Pi Alperin, MN 2008, </w:t>
      </w:r>
      <w:r w:rsidRPr="005637EA">
        <w:rPr>
          <w:i/>
        </w:rPr>
        <w:t>A comparison of multidimensional deprivation characteristics between natives and immigrants in Luxembour</w:t>
      </w:r>
      <w:r>
        <w:t xml:space="preserve">g, </w:t>
      </w:r>
      <w:r w:rsidRPr="0069201D">
        <w:t xml:space="preserve">IRISS working paper series, </w:t>
      </w:r>
      <w:r>
        <w:t>International Networks for Studies in Technology, Environment, Alternatives and Development, Luxembourg.</w:t>
      </w:r>
    </w:p>
    <w:p w:rsidR="001F5702" w:rsidRDefault="001F5702" w:rsidP="001F5702">
      <w:pPr>
        <w:pStyle w:val="References"/>
      </w:pPr>
      <w:r>
        <w:t xml:space="preserve">Pitman, J &amp; Herschell, P 2002, </w:t>
      </w:r>
      <w:r w:rsidRPr="005637EA">
        <w:rPr>
          <w:i/>
        </w:rPr>
        <w:t>The senior certificate: a new deal</w:t>
      </w:r>
      <w:r>
        <w:t>, Queensland Department of Education,</w:t>
      </w:r>
      <w:r w:rsidRPr="0069201D">
        <w:t xml:space="preserve"> </w:t>
      </w:r>
      <w:r>
        <w:t>Brisbane.</w:t>
      </w:r>
    </w:p>
    <w:p w:rsidR="001F5702" w:rsidRDefault="001F5702" w:rsidP="001F5702">
      <w:pPr>
        <w:pStyle w:val="References"/>
      </w:pPr>
      <w:r>
        <w:t xml:space="preserve">Pribesh, S &amp; Downey, DB 1999, ‘Why are residential and school moves associated with poor school performance?’, </w:t>
      </w:r>
      <w:r w:rsidRPr="0069201D">
        <w:rPr>
          <w:i/>
        </w:rPr>
        <w:t>Demography</w:t>
      </w:r>
      <w:r>
        <w:t>, vol.</w:t>
      </w:r>
      <w:r w:rsidRPr="0069201D">
        <w:t>36</w:t>
      </w:r>
      <w:r>
        <w:t>, no.4, pp.521</w:t>
      </w:r>
      <w:r w:rsidR="00682BE0">
        <w:t>—</w:t>
      </w:r>
      <w:r>
        <w:t>34.</w:t>
      </w:r>
    </w:p>
    <w:p w:rsidR="001F5702" w:rsidRDefault="001F5702" w:rsidP="001F5702">
      <w:pPr>
        <w:pStyle w:val="References"/>
      </w:pPr>
      <w:r>
        <w:t xml:space="preserve">Renna, F 2007, ‘The economic cost of teen drinking: late graduation and lowered earnings’, </w:t>
      </w:r>
      <w:r w:rsidRPr="0069201D">
        <w:rPr>
          <w:i/>
        </w:rPr>
        <w:t>Health Economics</w:t>
      </w:r>
      <w:r>
        <w:t>, vol.</w:t>
      </w:r>
      <w:r w:rsidRPr="0069201D">
        <w:t>16</w:t>
      </w:r>
      <w:r>
        <w:t>, no.4, pp.407</w:t>
      </w:r>
      <w:r w:rsidR="00682BE0">
        <w:t>—</w:t>
      </w:r>
      <w:r>
        <w:t>19.</w:t>
      </w:r>
    </w:p>
    <w:p w:rsidR="001F5702" w:rsidRDefault="001F5702" w:rsidP="001F5702">
      <w:pPr>
        <w:pStyle w:val="References"/>
      </w:pPr>
      <w:r>
        <w:t xml:space="preserve">Rivkin, SG, Hanushek, EA &amp; Kain, JF 2005, ‘Teachers, schools, and academic achievement’, </w:t>
      </w:r>
      <w:r w:rsidRPr="0069201D">
        <w:rPr>
          <w:i/>
        </w:rPr>
        <w:t>Econometrica</w:t>
      </w:r>
      <w:r>
        <w:t>, vol.</w:t>
      </w:r>
      <w:r w:rsidRPr="0069201D">
        <w:t>73</w:t>
      </w:r>
      <w:r>
        <w:t>, no.2, pp.417</w:t>
      </w:r>
      <w:r w:rsidR="00682BE0">
        <w:t>—</w:t>
      </w:r>
      <w:r>
        <w:t>58.</w:t>
      </w:r>
    </w:p>
    <w:p w:rsidR="001F5702" w:rsidRDefault="001F5702" w:rsidP="001F5702">
      <w:pPr>
        <w:pStyle w:val="References"/>
      </w:pPr>
      <w:r>
        <w:t xml:space="preserve">Rockoff, JE 2004, ‘The impact of individual teachers on student achievement: evidence from panel data’, </w:t>
      </w:r>
      <w:r w:rsidRPr="0069201D">
        <w:rPr>
          <w:i/>
        </w:rPr>
        <w:t>The American Economic Review</w:t>
      </w:r>
      <w:r>
        <w:t>, vol.</w:t>
      </w:r>
      <w:r w:rsidRPr="0069201D">
        <w:t>94</w:t>
      </w:r>
      <w:r>
        <w:t>, no.2, pp.247</w:t>
      </w:r>
      <w:r w:rsidR="00682BE0">
        <w:t>—</w:t>
      </w:r>
      <w:r>
        <w:t>52.</w:t>
      </w:r>
    </w:p>
    <w:p w:rsidR="001F5702" w:rsidRDefault="001F5702" w:rsidP="001F5702">
      <w:pPr>
        <w:pStyle w:val="References"/>
      </w:pPr>
      <w:r>
        <w:t xml:space="preserve">Rothman, S 2007, </w:t>
      </w:r>
      <w:r w:rsidRPr="0069201D">
        <w:rPr>
          <w:i/>
        </w:rPr>
        <w:t>Sampling and weighting of the 2003 LSAY cohort</w:t>
      </w:r>
      <w:r>
        <w:t xml:space="preserve">, </w:t>
      </w:r>
      <w:r w:rsidRPr="0069201D">
        <w:t>LSAY technical report</w:t>
      </w:r>
      <w:r>
        <w:t xml:space="preserve">, ACER, Melbourne. </w:t>
      </w:r>
    </w:p>
    <w:p w:rsidR="001F5702" w:rsidRDefault="001F5702" w:rsidP="001F5702">
      <w:pPr>
        <w:pStyle w:val="References"/>
      </w:pPr>
      <w:r>
        <w:t>Rumberger, RW &amp; Willms, JD</w:t>
      </w:r>
      <w:r w:rsidR="00F0104B">
        <w:t xml:space="preserve"> </w:t>
      </w:r>
      <w:r>
        <w:t xml:space="preserve">1992, ‘The impact of racial and ethnic segregation on the achievement gap in California high schools’, </w:t>
      </w:r>
      <w:r w:rsidRPr="00DD444F">
        <w:rPr>
          <w:i/>
        </w:rPr>
        <w:t>Educational Evaluation and Policy Analysis</w:t>
      </w:r>
      <w:r>
        <w:t>, vol.</w:t>
      </w:r>
      <w:r w:rsidRPr="00DD444F">
        <w:t>14</w:t>
      </w:r>
      <w:r>
        <w:t>, no.4, pp.377</w:t>
      </w:r>
      <w:r w:rsidR="00682BE0">
        <w:t>—</w:t>
      </w:r>
      <w:r>
        <w:t>96.</w:t>
      </w:r>
    </w:p>
    <w:p w:rsidR="001F5702" w:rsidRDefault="001F5702" w:rsidP="001F5702">
      <w:pPr>
        <w:pStyle w:val="References"/>
      </w:pPr>
      <w:r>
        <w:t xml:space="preserve">Ryan, C &amp; Watson, L 2004, ‘Year 12 completion and retention in Australia in the 1990s’, </w:t>
      </w:r>
      <w:r w:rsidRPr="00DD444F">
        <w:rPr>
          <w:i/>
        </w:rPr>
        <w:t>Australian Journal of Labour Economics</w:t>
      </w:r>
      <w:r>
        <w:t>, vol.</w:t>
      </w:r>
      <w:r w:rsidRPr="00F0104B">
        <w:t>7</w:t>
      </w:r>
      <w:r>
        <w:rPr>
          <w:b/>
        </w:rPr>
        <w:t>,</w:t>
      </w:r>
      <w:r w:rsidR="00F0104B">
        <w:rPr>
          <w:b/>
        </w:rPr>
        <w:t xml:space="preserve"> </w:t>
      </w:r>
      <w:r>
        <w:t>no.4, pp.481</w:t>
      </w:r>
      <w:r w:rsidR="00682BE0">
        <w:t>—</w:t>
      </w:r>
      <w:r>
        <w:t>500.</w:t>
      </w:r>
    </w:p>
    <w:p w:rsidR="001F5702" w:rsidRDefault="001F5702" w:rsidP="001F5702">
      <w:pPr>
        <w:pStyle w:val="References"/>
      </w:pPr>
      <w:r>
        <w:t xml:space="preserve">Salm, M &amp; Schunk, D 2008, </w:t>
      </w:r>
      <w:r w:rsidRPr="00DD444F">
        <w:rPr>
          <w:i/>
        </w:rPr>
        <w:t>The role of childhood health for the intergenerational transmission of human capital: evidence from administrative data</w:t>
      </w:r>
      <w:r>
        <w:t xml:space="preserve">, </w:t>
      </w:r>
      <w:r w:rsidRPr="00DD444F">
        <w:t xml:space="preserve">IZA </w:t>
      </w:r>
      <w:r w:rsidRPr="00DD444F">
        <w:rPr>
          <w:szCs w:val="24"/>
        </w:rPr>
        <w:t>discussion paper</w:t>
      </w:r>
      <w:r>
        <w:rPr>
          <w:szCs w:val="24"/>
        </w:rPr>
        <w:t>,</w:t>
      </w:r>
      <w:r>
        <w:t xml:space="preserve"> Bonn.</w:t>
      </w:r>
    </w:p>
    <w:p w:rsidR="001F5702" w:rsidRDefault="001F5702" w:rsidP="001F5702">
      <w:pPr>
        <w:pStyle w:val="References"/>
      </w:pPr>
      <w:r>
        <w:t xml:space="preserve">Saunders, P 1999, ‘Budget standards and the poverty line’, </w:t>
      </w:r>
      <w:r w:rsidRPr="00DD444F">
        <w:rPr>
          <w:i/>
        </w:rPr>
        <w:t>Australian Economic Review</w:t>
      </w:r>
      <w:r>
        <w:t>, vol.</w:t>
      </w:r>
      <w:r w:rsidRPr="00DD444F">
        <w:t>32</w:t>
      </w:r>
      <w:r>
        <w:t>, no.1, pp.43</w:t>
      </w:r>
      <w:r w:rsidR="00682BE0">
        <w:t>—</w:t>
      </w:r>
      <w:r>
        <w:t>61.</w:t>
      </w:r>
    </w:p>
    <w:p w:rsidR="001F5702" w:rsidRDefault="001F5702" w:rsidP="001F5702">
      <w:pPr>
        <w:pStyle w:val="References"/>
      </w:pPr>
      <w:r>
        <w:t xml:space="preserve">Saunders, P &amp; Naidoo, Y 2009, ‘Poverty, deprivation and consistent poverty’, </w:t>
      </w:r>
      <w:r w:rsidRPr="00DD444F">
        <w:rPr>
          <w:i/>
        </w:rPr>
        <w:t>Economic Record</w:t>
      </w:r>
      <w:r>
        <w:t>, vol.</w:t>
      </w:r>
      <w:r w:rsidRPr="00DD444F">
        <w:t>85</w:t>
      </w:r>
      <w:r>
        <w:t>, no.271, pp.417</w:t>
      </w:r>
      <w:r w:rsidR="00682BE0">
        <w:t>—</w:t>
      </w:r>
      <w:r>
        <w:t>32.</w:t>
      </w:r>
    </w:p>
    <w:p w:rsidR="001F5702" w:rsidRDefault="001F5702" w:rsidP="001F5702">
      <w:pPr>
        <w:pStyle w:val="References"/>
      </w:pPr>
      <w:r>
        <w:t xml:space="preserve">Scanlon, E &amp; Devine, K 2001, ‘Residential mobility and youth well-being: research, policy, and practice issues’, </w:t>
      </w:r>
      <w:r w:rsidRPr="00DD444F">
        <w:rPr>
          <w:i/>
        </w:rPr>
        <w:t>Journal of Sociology and Social Welfare</w:t>
      </w:r>
      <w:r>
        <w:t>, vol.</w:t>
      </w:r>
      <w:r w:rsidRPr="00DD444F">
        <w:t>28</w:t>
      </w:r>
      <w:r>
        <w:t>, no.1, pp.119</w:t>
      </w:r>
      <w:r w:rsidR="00682BE0">
        <w:t>—</w:t>
      </w:r>
      <w:r>
        <w:t>38.</w:t>
      </w:r>
    </w:p>
    <w:p w:rsidR="001F5702" w:rsidRDefault="001F5702" w:rsidP="001F5702">
      <w:pPr>
        <w:pStyle w:val="References"/>
      </w:pPr>
      <w:r>
        <w:t xml:space="preserve">Schwartz, D &amp; Gorman, AH 2003, ‘Community violence exposure and children's academic functioning’, </w:t>
      </w:r>
      <w:r w:rsidRPr="00DD444F">
        <w:rPr>
          <w:i/>
        </w:rPr>
        <w:t>Journal of Educational Psychology</w:t>
      </w:r>
      <w:r>
        <w:t>, vol.</w:t>
      </w:r>
      <w:r w:rsidRPr="00DD444F">
        <w:t>95</w:t>
      </w:r>
      <w:r>
        <w:t>, no.1, pp.163</w:t>
      </w:r>
      <w:r w:rsidR="00682BE0">
        <w:t>—</w:t>
      </w:r>
      <w:r>
        <w:t>73.</w:t>
      </w:r>
    </w:p>
    <w:p w:rsidR="001F5702" w:rsidRDefault="001F5702" w:rsidP="001F5702">
      <w:pPr>
        <w:pStyle w:val="References"/>
      </w:pPr>
      <w:r>
        <w:t xml:space="preserve">Scutella, R, Wilkins, R &amp; Horn, M 2009, </w:t>
      </w:r>
      <w:r w:rsidRPr="00CE43B6">
        <w:rPr>
          <w:i/>
        </w:rPr>
        <w:t>Measuring poverty and social exclusion in Australia: a proposed multidimensional framework for identifying socio-economic disadvantage</w:t>
      </w:r>
      <w:r>
        <w:t xml:space="preserve">, </w:t>
      </w:r>
      <w:r w:rsidRPr="00D173C2">
        <w:t>Melbourne Institute working paper series</w:t>
      </w:r>
      <w:r>
        <w:t xml:space="preserve">, University of Melbourne. </w:t>
      </w:r>
    </w:p>
    <w:p w:rsidR="001F5702" w:rsidRPr="00D173C2" w:rsidRDefault="001F5702" w:rsidP="001F5702">
      <w:pPr>
        <w:pStyle w:val="References"/>
        <w:rPr>
          <w:szCs w:val="24"/>
        </w:rPr>
      </w:pPr>
      <w:r>
        <w:t xml:space="preserve">Sen, A 2000, </w:t>
      </w:r>
      <w:r w:rsidRPr="00D173C2">
        <w:rPr>
          <w:i/>
        </w:rPr>
        <w:t>Social exclusion: concept, application, and scrutiny</w:t>
      </w:r>
      <w:r>
        <w:t xml:space="preserve">, </w:t>
      </w:r>
      <w:r w:rsidRPr="00D173C2">
        <w:rPr>
          <w:szCs w:val="24"/>
        </w:rPr>
        <w:t>Social development papers</w:t>
      </w:r>
      <w:r>
        <w:rPr>
          <w:szCs w:val="24"/>
        </w:rPr>
        <w:t>,</w:t>
      </w:r>
      <w:r w:rsidRPr="00D173C2">
        <w:rPr>
          <w:szCs w:val="24"/>
        </w:rPr>
        <w:t xml:space="preserve"> Office of Environment and Social Development, Asian Development Bank</w:t>
      </w:r>
      <w:r>
        <w:rPr>
          <w:szCs w:val="24"/>
        </w:rPr>
        <w:t>,</w:t>
      </w:r>
      <w:r w:rsidRPr="00D173C2">
        <w:rPr>
          <w:szCs w:val="24"/>
        </w:rPr>
        <w:t xml:space="preserve"> Manila.</w:t>
      </w:r>
    </w:p>
    <w:p w:rsidR="001F5702" w:rsidRDefault="001F5702" w:rsidP="001F5702">
      <w:pPr>
        <w:pStyle w:val="References"/>
      </w:pPr>
      <w:r>
        <w:t xml:space="preserve">Somers, CL, Owens, D &amp; Piliawsky, M 2007, ‘Individual and social factors related to urban African American adolescents' school performance', </w:t>
      </w:r>
      <w:r w:rsidRPr="00D173C2">
        <w:rPr>
          <w:i/>
        </w:rPr>
        <w:t>High School Journal</w:t>
      </w:r>
      <w:r>
        <w:t>, vol.</w:t>
      </w:r>
      <w:r w:rsidRPr="00D173C2">
        <w:t>91</w:t>
      </w:r>
      <w:r>
        <w:t>, no.3, pp.1</w:t>
      </w:r>
      <w:r w:rsidR="00682BE0">
        <w:t>—</w:t>
      </w:r>
      <w:r>
        <w:t>11.</w:t>
      </w:r>
    </w:p>
    <w:p w:rsidR="001F5702" w:rsidRDefault="001F5702" w:rsidP="001F5702">
      <w:pPr>
        <w:pStyle w:val="References"/>
      </w:pPr>
      <w:r>
        <w:t xml:space="preserve">Sykes, B &amp; Kuyper, H 2009, ‘Neighbourhood effects on youth educational achievement in the Netherlands: can effects be identified and do they vary by student background characteristics?’, </w:t>
      </w:r>
      <w:r w:rsidRPr="00D173C2">
        <w:rPr>
          <w:i/>
        </w:rPr>
        <w:t>Environment and Planning</w:t>
      </w:r>
      <w:r>
        <w:rPr>
          <w:i/>
        </w:rPr>
        <w:t>,</w:t>
      </w:r>
      <w:r w:rsidR="00F0104B">
        <w:rPr>
          <w:i/>
        </w:rPr>
        <w:t xml:space="preserve"> </w:t>
      </w:r>
      <w:r>
        <w:t>vol.</w:t>
      </w:r>
      <w:r w:rsidRPr="00D173C2">
        <w:t>41</w:t>
      </w:r>
      <w:r>
        <w:t>, no.10, pp.2417</w:t>
      </w:r>
      <w:r w:rsidR="00682BE0">
        <w:t>—</w:t>
      </w:r>
      <w:r>
        <w:t>436.</w:t>
      </w:r>
    </w:p>
    <w:p w:rsidR="001F5702" w:rsidRDefault="001F5702" w:rsidP="001F5702">
      <w:pPr>
        <w:pStyle w:val="References"/>
      </w:pPr>
      <w:r>
        <w:t xml:space="preserve">Tansel, A 1997, ‘Schooling attainment, parental education, and gender in CÃ´te d'Ivoire and Ghana’, </w:t>
      </w:r>
      <w:r w:rsidRPr="00D173C2">
        <w:rPr>
          <w:i/>
        </w:rPr>
        <w:t>Economic Development and Cultural Change</w:t>
      </w:r>
      <w:r>
        <w:t>, vol.</w:t>
      </w:r>
      <w:r w:rsidRPr="00D173C2">
        <w:t>45</w:t>
      </w:r>
      <w:r>
        <w:t>, no.4, pp.825</w:t>
      </w:r>
      <w:r w:rsidR="00682BE0">
        <w:t>—</w:t>
      </w:r>
      <w:r>
        <w:t>56.</w:t>
      </w:r>
    </w:p>
    <w:p w:rsidR="001F5702" w:rsidRDefault="001F5702" w:rsidP="001F5702">
      <w:pPr>
        <w:pStyle w:val="References"/>
      </w:pPr>
      <w:r>
        <w:t xml:space="preserve">Thomson, S, Cresswell, J &amp; De Bortoli, L 2004, </w:t>
      </w:r>
      <w:r w:rsidRPr="0079001F">
        <w:rPr>
          <w:i/>
        </w:rPr>
        <w:t>Facing the future: a focus on mathematical literacy among Australian 15</w:t>
      </w:r>
      <w:r>
        <w:rPr>
          <w:i/>
        </w:rPr>
        <w:t>-year-old s</w:t>
      </w:r>
      <w:r w:rsidRPr="0079001F">
        <w:rPr>
          <w:i/>
        </w:rPr>
        <w:t>tudents in PISA 200</w:t>
      </w:r>
      <w:r>
        <w:t>3, ACER, Melbourne.</w:t>
      </w:r>
    </w:p>
    <w:p w:rsidR="001F5702" w:rsidRDefault="001F5702" w:rsidP="001F5702">
      <w:pPr>
        <w:pStyle w:val="References"/>
      </w:pPr>
      <w:r>
        <w:t xml:space="preserve">Tsakloglou, P &amp; Papadopoulos, F 2001, </w:t>
      </w:r>
      <w:r w:rsidRPr="0079001F">
        <w:rPr>
          <w:i/>
        </w:rPr>
        <w:t>Identifying population groups at high risk of social exclusion: evidence from the ECHP</w:t>
      </w:r>
      <w:r>
        <w:t xml:space="preserve">, </w:t>
      </w:r>
      <w:r w:rsidRPr="0079001F">
        <w:rPr>
          <w:szCs w:val="24"/>
        </w:rPr>
        <w:t xml:space="preserve">IZA </w:t>
      </w:r>
      <w:r>
        <w:rPr>
          <w:szCs w:val="24"/>
        </w:rPr>
        <w:t>discussion paper,</w:t>
      </w:r>
      <w:r>
        <w:t xml:space="preserve"> Bonn.</w:t>
      </w:r>
    </w:p>
    <w:p w:rsidR="001F5702" w:rsidRDefault="001F5702" w:rsidP="001F5702">
      <w:pPr>
        <w:pStyle w:val="References"/>
      </w:pPr>
      <w:r>
        <w:t xml:space="preserve">Vella, F 1999, ‘Do Catholic schools make a difference? Evidence from Australia’, </w:t>
      </w:r>
      <w:r w:rsidRPr="0079001F">
        <w:rPr>
          <w:i/>
        </w:rPr>
        <w:t>Journal of Human Resources</w:t>
      </w:r>
      <w:r>
        <w:t>, vol.</w:t>
      </w:r>
      <w:r w:rsidRPr="0079001F">
        <w:t>34</w:t>
      </w:r>
      <w:r>
        <w:t>, no.1, pp.208</w:t>
      </w:r>
      <w:r w:rsidR="00682BE0">
        <w:t>—</w:t>
      </w:r>
      <w:r>
        <w:t>24.</w:t>
      </w:r>
    </w:p>
    <w:p w:rsidR="001F5702" w:rsidRDefault="001F5702" w:rsidP="001F5702">
      <w:pPr>
        <w:pStyle w:val="References"/>
      </w:pPr>
      <w:r>
        <w:t xml:space="preserve">Vickers, M, Lamb, S &amp; Hinkley, J 2003, </w:t>
      </w:r>
      <w:r w:rsidRPr="0079001F">
        <w:rPr>
          <w:i/>
        </w:rPr>
        <w:t xml:space="preserve">Student workers in high school and beyond: the effects of part-time employment on participation </w:t>
      </w:r>
      <w:r>
        <w:rPr>
          <w:i/>
        </w:rPr>
        <w:t>in education, training and work,</w:t>
      </w:r>
      <w:r w:rsidRPr="0079001F">
        <w:rPr>
          <w:i/>
        </w:rPr>
        <w:t xml:space="preserve"> </w:t>
      </w:r>
      <w:r w:rsidRPr="0079001F">
        <w:t xml:space="preserve">LSAY research report, ACER, Melbourne. </w:t>
      </w:r>
    </w:p>
    <w:p w:rsidR="001F5702" w:rsidRDefault="001F5702" w:rsidP="001F5702">
      <w:pPr>
        <w:pStyle w:val="References"/>
      </w:pPr>
      <w:r>
        <w:lastRenderedPageBreak/>
        <w:t xml:space="preserve">Williams, T &amp; Carpenter, P 1990, ‘Private schooling and public achievement’, </w:t>
      </w:r>
      <w:r w:rsidRPr="0079001F">
        <w:rPr>
          <w:i/>
        </w:rPr>
        <w:t>Australian Journal of Education</w:t>
      </w:r>
      <w:r>
        <w:t>, vol.</w:t>
      </w:r>
      <w:r w:rsidRPr="0079001F">
        <w:t>34</w:t>
      </w:r>
      <w:r>
        <w:t>, no.1, pp.3</w:t>
      </w:r>
      <w:r w:rsidR="00682BE0">
        <w:t>—</w:t>
      </w:r>
      <w:r>
        <w:t>24.</w:t>
      </w:r>
    </w:p>
    <w:p w:rsidR="001F5702" w:rsidRDefault="001F5702" w:rsidP="001F5702">
      <w:pPr>
        <w:pStyle w:val="References"/>
      </w:pPr>
      <w:r>
        <w:t>Yamada, T, Kendix, M &amp; Yamada, T</w:t>
      </w:r>
      <w:r w:rsidR="00F0104B">
        <w:t xml:space="preserve"> </w:t>
      </w:r>
      <w:r>
        <w:t xml:space="preserve">1996, ‘The impact of alcohol consumption and marijuana use on high school graduation’, </w:t>
      </w:r>
      <w:r w:rsidRPr="0079001F">
        <w:rPr>
          <w:i/>
        </w:rPr>
        <w:t>Health Economics</w:t>
      </w:r>
      <w:r>
        <w:t>, vol.</w:t>
      </w:r>
      <w:r w:rsidRPr="0079001F">
        <w:t>5</w:t>
      </w:r>
      <w:r>
        <w:t>, no.1, pp.77</w:t>
      </w:r>
      <w:r w:rsidR="00682BE0">
        <w:t>—</w:t>
      </w:r>
      <w:r>
        <w:t>92.</w:t>
      </w:r>
    </w:p>
    <w:p w:rsidR="001F5702" w:rsidRDefault="001F5702" w:rsidP="001F5702">
      <w:pPr>
        <w:spacing w:before="0"/>
      </w:pPr>
    </w:p>
    <w:p w:rsidR="001F5702" w:rsidRDefault="001F5702" w:rsidP="001F5702">
      <w:pPr>
        <w:spacing w:before="0"/>
      </w:pPr>
      <w:r>
        <w:br w:type="page"/>
      </w:r>
    </w:p>
    <w:p w:rsidR="001F5702" w:rsidRDefault="001F5702" w:rsidP="001F5702">
      <w:pPr>
        <w:pStyle w:val="Heading1"/>
      </w:pPr>
      <w:bookmarkStart w:id="101" w:name="_Toc324765884"/>
      <w:r>
        <w:lastRenderedPageBreak/>
        <w:t>Support document details</w:t>
      </w:r>
      <w:bookmarkEnd w:id="101"/>
    </w:p>
    <w:p w:rsidR="001F5702" w:rsidRDefault="001F5702" w:rsidP="001F5702">
      <w:pPr>
        <w:pStyle w:val="Text"/>
      </w:pPr>
      <w:r>
        <w:t xml:space="preserve">Additional information relating to this research is available in </w:t>
      </w:r>
      <w:r w:rsidRPr="001F5702">
        <w:rPr>
          <w:i/>
        </w:rPr>
        <w:t>School completion: data appendix — support document</w:t>
      </w:r>
      <w:r>
        <w:t>. It can be accessed from NCVER’s website &lt;http://www.ncver.edu.au/publications/</w:t>
      </w:r>
      <w:r w:rsidR="002B0A20" w:rsidRPr="002B0A20">
        <w:t>2503</w:t>
      </w:r>
      <w:r>
        <w:t>.html.html&gt;. It contains details of the data used in this report.</w:t>
      </w:r>
    </w:p>
    <w:p w:rsidR="001F5702" w:rsidRDefault="001F5702" w:rsidP="001F5702">
      <w:pPr>
        <w:spacing w:before="0"/>
      </w:pPr>
    </w:p>
    <w:p w:rsidR="001F5702" w:rsidRPr="001F5702" w:rsidRDefault="00A865E4" w:rsidP="001F5702">
      <w:r>
        <w:fldChar w:fldCharType="end"/>
      </w:r>
    </w:p>
    <w:sectPr w:rsidR="001F5702" w:rsidRPr="001F5702" w:rsidSect="00CB6107">
      <w:footerReference w:type="even" r:id="rId17"/>
      <w:footerReference w:type="default" r:id="rId18"/>
      <w:pgSz w:w="11907" w:h="16840" w:code="9"/>
      <w:pgMar w:top="1276" w:right="1701" w:bottom="1276" w:left="1418" w:header="70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DA5" w:rsidRDefault="00AE1DA5">
      <w:r>
        <w:separator/>
      </w:r>
    </w:p>
  </w:endnote>
  <w:endnote w:type="continuationSeparator" w:id="0">
    <w:p w:rsidR="00AE1DA5" w:rsidRDefault="00AE1D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Mentone Lig">
    <w:altName w:val="Mentone Lig"/>
    <w:panose1 w:val="00000000000000000000"/>
    <w:charset w:val="00"/>
    <w:family w:val="swiss"/>
    <w:notTrueType/>
    <w:pitch w:val="default"/>
    <w:sig w:usb0="00000003" w:usb1="00000000" w:usb2="00000000" w:usb3="00000000" w:csb0="00000001" w:csb1="00000000"/>
  </w:font>
  <w:font w:name="Avant Garde">
    <w:altName w:val="Century Gothic"/>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A5" w:rsidRPr="00CB6107" w:rsidRDefault="00A865E4" w:rsidP="00CB6107">
    <w:pPr>
      <w:pStyle w:val="Footer"/>
      <w:rPr>
        <w:b/>
      </w:rPr>
    </w:pPr>
    <w:r w:rsidRPr="00A865E4">
      <w:rPr>
        <w:b/>
        <w:noProof/>
        <w:color w:val="FFFFFF" w:themeColor="background1"/>
        <w:lang w:eastAsia="en-AU"/>
      </w:rPr>
      <w:pict>
        <v:rect id="_x0000_s2054" style="position:absolute;margin-left:-85.05pt;margin-top:-2.45pt;width:99pt;height:18.75pt;z-index:-251651072" fillcolor="black [3213]" stroked="f" strokecolor="#bfbfbf [2412]"/>
      </w:pict>
    </w:r>
    <w:r w:rsidRPr="008C0A74">
      <w:rPr>
        <w:b/>
        <w:color w:val="FFFFFF" w:themeColor="background1"/>
      </w:rPr>
      <w:fldChar w:fldCharType="begin"/>
    </w:r>
    <w:r w:rsidR="00AE1DA5" w:rsidRPr="008C0A74">
      <w:rPr>
        <w:b/>
        <w:color w:val="FFFFFF" w:themeColor="background1"/>
      </w:rPr>
      <w:instrText xml:space="preserve"> PAGE </w:instrText>
    </w:r>
    <w:r w:rsidRPr="008C0A74">
      <w:rPr>
        <w:b/>
        <w:color w:val="FFFFFF" w:themeColor="background1"/>
      </w:rPr>
      <w:fldChar w:fldCharType="separate"/>
    </w:r>
    <w:r w:rsidR="000D49CF">
      <w:rPr>
        <w:b/>
        <w:noProof/>
        <w:color w:val="FFFFFF" w:themeColor="background1"/>
      </w:rPr>
      <w:t>32</w:t>
    </w:r>
    <w:r w:rsidRPr="008C0A74">
      <w:rPr>
        <w:b/>
        <w:color w:val="FFFFFF" w:themeColor="background1"/>
      </w:rPr>
      <w:fldChar w:fldCharType="end"/>
    </w:r>
    <w:r w:rsidR="00AE1DA5" w:rsidRPr="008C0A74">
      <w:rPr>
        <w:b/>
        <w:color w:val="FFFFFF" w:themeColor="background1"/>
      </w:rPr>
      <w:tab/>
    </w:r>
    <w:r w:rsidR="00AE1DA5">
      <w:rPr>
        <w:b/>
      </w:rPr>
      <w:t>School completion: what we learn from different measures of family background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A5" w:rsidRPr="00CB6107" w:rsidRDefault="00A865E4" w:rsidP="00CB6107">
    <w:pPr>
      <w:pStyle w:val="Footer"/>
      <w:rPr>
        <w:color w:val="FFFFFF" w:themeColor="background1"/>
      </w:rPr>
    </w:pPr>
    <w:r w:rsidRPr="00A865E4">
      <w:rPr>
        <w:b/>
        <w:noProof/>
        <w:lang w:eastAsia="en-AU"/>
      </w:rPr>
      <w:pict>
        <v:rect id="_x0000_s2055" style="position:absolute;margin-left:425.6pt;margin-top:-2.45pt;width:99pt;height:18.75pt;z-index:-251649024" fillcolor="black [3213]" stroked="f" strokecolor="#bfbfbf [2412]"/>
      </w:pict>
    </w:r>
    <w:r w:rsidR="00AE1DA5" w:rsidRPr="009775C7">
      <w:rPr>
        <w:b/>
      </w:rPr>
      <w:t>NCVER</w:t>
    </w:r>
    <w:r w:rsidR="00AE1DA5" w:rsidRPr="009775C7">
      <w:tab/>
    </w:r>
    <w:r w:rsidRPr="009775C7">
      <w:rPr>
        <w:rStyle w:val="PageNumber"/>
        <w:rFonts w:cs="Tahoma"/>
        <w:b/>
        <w:color w:val="FFFFFF" w:themeColor="background1"/>
        <w:sz w:val="17"/>
      </w:rPr>
      <w:fldChar w:fldCharType="begin"/>
    </w:r>
    <w:r w:rsidR="00AE1DA5"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0D49CF">
      <w:rPr>
        <w:rStyle w:val="PageNumber"/>
        <w:rFonts w:cs="Tahoma"/>
        <w:b/>
        <w:noProof/>
        <w:color w:val="FFFFFF" w:themeColor="background1"/>
        <w:sz w:val="17"/>
      </w:rPr>
      <w:t>33</w:t>
    </w:r>
    <w:r w:rsidRPr="009775C7">
      <w:rPr>
        <w:rStyle w:val="PageNumber"/>
        <w:rFonts w:cs="Tahoma"/>
        <w:b/>
        <w:color w:val="FFFFFF" w:themeColor="background1"/>
        <w:sz w:val="17"/>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A5" w:rsidRPr="00CB6107" w:rsidRDefault="00AE1DA5" w:rsidP="00CB610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A5" w:rsidRPr="00CB6107" w:rsidRDefault="00AE1DA5" w:rsidP="00CB610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A5" w:rsidRPr="008C0A74" w:rsidRDefault="00A865E4" w:rsidP="00FF5931">
    <w:pPr>
      <w:pStyle w:val="Footer"/>
      <w:rPr>
        <w:b/>
      </w:rPr>
    </w:pPr>
    <w:r w:rsidRPr="00A865E4">
      <w:rPr>
        <w:b/>
        <w:noProof/>
        <w:color w:val="FFFFFF" w:themeColor="background1"/>
        <w:lang w:eastAsia="en-AU"/>
      </w:rPr>
      <w:pict>
        <v:rect id="_x0000_s2051" style="position:absolute;margin-left:-85.05pt;margin-top:-2.45pt;width:99pt;height:18.75pt;z-index:-251655168" fillcolor="black [3213]" stroked="f" strokecolor="#bfbfbf [2412]"/>
      </w:pict>
    </w:r>
    <w:r w:rsidRPr="008C0A74">
      <w:rPr>
        <w:b/>
        <w:color w:val="FFFFFF" w:themeColor="background1"/>
      </w:rPr>
      <w:fldChar w:fldCharType="begin"/>
    </w:r>
    <w:r w:rsidR="00AE1DA5" w:rsidRPr="008C0A74">
      <w:rPr>
        <w:b/>
        <w:color w:val="FFFFFF" w:themeColor="background1"/>
      </w:rPr>
      <w:instrText xml:space="preserve"> PAGE </w:instrText>
    </w:r>
    <w:r w:rsidRPr="008C0A74">
      <w:rPr>
        <w:b/>
        <w:color w:val="FFFFFF" w:themeColor="background1"/>
      </w:rPr>
      <w:fldChar w:fldCharType="separate"/>
    </w:r>
    <w:r w:rsidR="000D49CF">
      <w:rPr>
        <w:b/>
        <w:noProof/>
        <w:color w:val="FFFFFF" w:themeColor="background1"/>
      </w:rPr>
      <w:t>44</w:t>
    </w:r>
    <w:r w:rsidRPr="008C0A74">
      <w:rPr>
        <w:b/>
        <w:color w:val="FFFFFF" w:themeColor="background1"/>
      </w:rPr>
      <w:fldChar w:fldCharType="end"/>
    </w:r>
    <w:r w:rsidR="00AE1DA5" w:rsidRPr="008C0A74">
      <w:rPr>
        <w:b/>
        <w:color w:val="FFFFFF" w:themeColor="background1"/>
      </w:rPr>
      <w:tab/>
    </w:r>
    <w:r w:rsidR="00AE1DA5">
      <w:rPr>
        <w:b/>
      </w:rPr>
      <w:t>School completion: what we learn from different measures of family background</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A5" w:rsidRPr="009775C7" w:rsidRDefault="00A865E4" w:rsidP="008C0A74">
    <w:pPr>
      <w:pStyle w:val="Footer"/>
      <w:rPr>
        <w:color w:val="FFFFFF" w:themeColor="background1"/>
      </w:rPr>
    </w:pPr>
    <w:r w:rsidRPr="00A865E4">
      <w:rPr>
        <w:b/>
        <w:noProof/>
        <w:lang w:eastAsia="en-AU"/>
      </w:rPr>
      <w:pict>
        <v:rect id="_x0000_s2052" style="position:absolute;margin-left:425.6pt;margin-top:-2.45pt;width:99pt;height:18.75pt;z-index:-251653120" fillcolor="black [3213]" stroked="f" strokecolor="#bfbfbf [2412]"/>
      </w:pict>
    </w:r>
    <w:r w:rsidR="00AE1DA5" w:rsidRPr="009775C7">
      <w:rPr>
        <w:b/>
      </w:rPr>
      <w:t>NCVER</w:t>
    </w:r>
    <w:r w:rsidR="00AE1DA5" w:rsidRPr="009775C7">
      <w:tab/>
    </w:r>
    <w:r w:rsidRPr="009775C7">
      <w:rPr>
        <w:rStyle w:val="PageNumber"/>
        <w:rFonts w:cs="Tahoma"/>
        <w:b/>
        <w:color w:val="FFFFFF" w:themeColor="background1"/>
        <w:sz w:val="17"/>
      </w:rPr>
      <w:fldChar w:fldCharType="begin"/>
    </w:r>
    <w:r w:rsidR="00AE1DA5"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0D49CF">
      <w:rPr>
        <w:rStyle w:val="PageNumber"/>
        <w:rFonts w:cs="Tahoma"/>
        <w:b/>
        <w:noProof/>
        <w:color w:val="FFFFFF" w:themeColor="background1"/>
        <w:sz w:val="17"/>
      </w:rPr>
      <w:t>45</w:t>
    </w:r>
    <w:r w:rsidRPr="009775C7">
      <w:rPr>
        <w:rStyle w:val="PageNumber"/>
        <w:rFonts w:cs="Tahoma"/>
        <w:b/>
        <w:color w:val="FFFFFF" w:themeColor="background1"/>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DA5" w:rsidRDefault="00AE1DA5">
      <w:r>
        <w:separator/>
      </w:r>
    </w:p>
  </w:footnote>
  <w:footnote w:type="continuationSeparator" w:id="0">
    <w:p w:rsidR="00AE1DA5" w:rsidRDefault="00AE1DA5">
      <w:r>
        <w:continuationSeparator/>
      </w:r>
    </w:p>
  </w:footnote>
  <w:footnote w:id="1">
    <w:p w:rsidR="00AE1DA5" w:rsidRDefault="00AE1DA5" w:rsidP="001A21DB">
      <w:pPr>
        <w:pStyle w:val="FootnoteText"/>
      </w:pPr>
      <w:r>
        <w:rPr>
          <w:rStyle w:val="FootnoteReference"/>
        </w:rPr>
        <w:footnoteRef/>
      </w:r>
      <w:r>
        <w:tab/>
      </w:r>
      <w:proofErr w:type="gramStart"/>
      <w:r>
        <w:t xml:space="preserve">The Programme for International Student Assessment, </w:t>
      </w:r>
      <w:proofErr w:type="spellStart"/>
      <w:r>
        <w:t>auspiced</w:t>
      </w:r>
      <w:proofErr w:type="spellEnd"/>
      <w:r>
        <w:t xml:space="preserve"> by the Organisation for Economic Co-operation and Development (OECD).</w:t>
      </w:r>
      <w:proofErr w:type="gramEnd"/>
    </w:p>
  </w:footnote>
  <w:footnote w:id="2">
    <w:p w:rsidR="00AE1DA5" w:rsidRPr="00EA7D7D" w:rsidRDefault="00AE1DA5" w:rsidP="001A21DB">
      <w:pPr>
        <w:pStyle w:val="FootnoteText"/>
      </w:pPr>
      <w:r w:rsidRPr="008D2639">
        <w:rPr>
          <w:rStyle w:val="FootnoteReference"/>
          <w:szCs w:val="16"/>
        </w:rPr>
        <w:footnoteRef/>
      </w:r>
      <w:r>
        <w:tab/>
      </w:r>
      <w:r w:rsidRPr="00EA7D7D">
        <w:t>One well-known mea</w:t>
      </w:r>
      <w:r>
        <w:t xml:space="preserve">sure of poverty in Australia is </w:t>
      </w:r>
      <w:r w:rsidRPr="00EA7D7D">
        <w:t>the Henderson</w:t>
      </w:r>
      <w:r>
        <w:t xml:space="preserve"> Poverty Line. It estimates the </w:t>
      </w:r>
      <w:r w:rsidRPr="00EA7D7D">
        <w:t>amount of money wh</w:t>
      </w:r>
      <w:r>
        <w:t xml:space="preserve">ich families of different sizes </w:t>
      </w:r>
      <w:r w:rsidRPr="00EA7D7D">
        <w:t>need to cover</w:t>
      </w:r>
      <w:r>
        <w:t xml:space="preserve"> essential needs. The Henderson </w:t>
      </w:r>
      <w:r w:rsidRPr="00EA7D7D">
        <w:t xml:space="preserve">Poverty Line </w:t>
      </w:r>
      <w:r>
        <w:t xml:space="preserve">represented a very basic living </w:t>
      </w:r>
      <w:r w:rsidRPr="00EA7D7D">
        <w:t>standard when it was devised in 1975</w:t>
      </w:r>
      <w:r>
        <w:rPr>
          <w:rFonts w:ascii="Arial" w:hAnsi="Arial"/>
          <w:sz w:val="20"/>
        </w:rPr>
        <w:t>.</w:t>
      </w:r>
    </w:p>
  </w:footnote>
  <w:footnote w:id="3">
    <w:p w:rsidR="00AE1DA5" w:rsidRDefault="00AE1DA5" w:rsidP="001F5702">
      <w:pPr>
        <w:pStyle w:val="FootnoteText"/>
      </w:pPr>
      <w:r>
        <w:rPr>
          <w:rStyle w:val="FootnoteReference"/>
        </w:rPr>
        <w:footnoteRef/>
      </w:r>
      <w:r>
        <w:tab/>
        <w:t xml:space="preserve">The PISA procedures are described in Thomson, </w:t>
      </w:r>
      <w:proofErr w:type="spellStart"/>
      <w:r>
        <w:t>Cresswell</w:t>
      </w:r>
      <w:proofErr w:type="spellEnd"/>
      <w:r>
        <w:t xml:space="preserve"> and De </w:t>
      </w:r>
      <w:proofErr w:type="spellStart"/>
      <w:r>
        <w:t>Bortoli</w:t>
      </w:r>
      <w:proofErr w:type="spellEnd"/>
      <w:r>
        <w:t xml:space="preserve"> (2004)</w:t>
      </w:r>
      <w:r w:rsidRPr="0090079E">
        <w:t xml:space="preserve"> and Rothman</w:t>
      </w:r>
      <w:r>
        <w:t xml:space="preserve"> (2007).</w:t>
      </w:r>
    </w:p>
  </w:footnote>
  <w:footnote w:id="4">
    <w:p w:rsidR="00AE1DA5" w:rsidRDefault="00AE1DA5" w:rsidP="008318B0">
      <w:pPr>
        <w:pStyle w:val="FootnoteText"/>
      </w:pPr>
      <w:r w:rsidRPr="003C22AA">
        <w:rPr>
          <w:lang w:val="en-US"/>
        </w:rPr>
        <w:footnoteRef/>
      </w:r>
      <w:r>
        <w:rPr>
          <w:lang w:val="en-US"/>
        </w:rPr>
        <w:tab/>
      </w:r>
      <w:r w:rsidRPr="003C22AA">
        <w:rPr>
          <w:lang w:val="en-US"/>
        </w:rPr>
        <w:t>A sub-sample of Y03 including</w:t>
      </w:r>
      <w:r>
        <w:rPr>
          <w:lang w:val="en-US"/>
        </w:rPr>
        <w:t xml:space="preserve"> </w:t>
      </w:r>
      <w:r w:rsidRPr="003C22AA">
        <w:rPr>
          <w:lang w:val="en-US"/>
        </w:rPr>
        <w:t xml:space="preserve">only the respondents who were born in the same period as the YIF cohort is </w:t>
      </w:r>
      <w:proofErr w:type="spellStart"/>
      <w:r w:rsidRPr="003C22AA">
        <w:rPr>
          <w:lang w:val="en-US"/>
        </w:rPr>
        <w:t>analysed</w:t>
      </w:r>
      <w:proofErr w:type="spellEnd"/>
      <w:r w:rsidRPr="003C22AA">
        <w:rPr>
          <w:lang w:val="en-US"/>
        </w:rPr>
        <w:t xml:space="preserve"> and reported in all the results. </w:t>
      </w:r>
    </w:p>
  </w:footnote>
  <w:footnote w:id="5">
    <w:p w:rsidR="00AE1DA5" w:rsidRPr="00BA6511" w:rsidRDefault="00AE1DA5" w:rsidP="00BA6511">
      <w:pPr>
        <w:pStyle w:val="FootnoteText"/>
      </w:pPr>
      <w:r>
        <w:rPr>
          <w:rStyle w:val="FootnoteReference"/>
        </w:rPr>
        <w:footnoteRef/>
      </w:r>
      <w:r>
        <w:tab/>
      </w:r>
      <w:r>
        <w:rPr>
          <w:lang w:val="en-US"/>
        </w:rPr>
        <w:t xml:space="preserve">Tourists and </w:t>
      </w:r>
      <w:r w:rsidRPr="00BA6511">
        <w:t xml:space="preserve">individuals who had arrived within the previous 12 months in Australia were excluded from the </w:t>
      </w:r>
      <w:r>
        <w:t>Census</w:t>
      </w:r>
      <w:r w:rsidRPr="00BA6511">
        <w:t xml:space="preserve"> analysis, as were individuals who did not report their month of birth, but provided their age at their last birthday. Not all individuals provide their birth date (and month) in the </w:t>
      </w:r>
      <w:r>
        <w:t>Census</w:t>
      </w:r>
      <w:r w:rsidRPr="00BA6511">
        <w:t xml:space="preserve">, providing instead their age at their last birthday. About 96% of individuals do provide their birth month. It seems unlikely that the missing information would vary systemically with school completion in a way that would bias the school completion estimates presented here.  </w:t>
      </w:r>
    </w:p>
  </w:footnote>
  <w:footnote w:id="6">
    <w:p w:rsidR="00AE1DA5" w:rsidRDefault="00AE1DA5" w:rsidP="00BA6511">
      <w:pPr>
        <w:pStyle w:val="FootnoteText"/>
      </w:pPr>
      <w:r w:rsidRPr="00BA6511">
        <w:rPr>
          <w:rStyle w:val="FootnoteReference"/>
          <w:vertAlign w:val="baseline"/>
        </w:rPr>
        <w:footnoteRef/>
      </w:r>
      <w:r>
        <w:tab/>
      </w:r>
      <w:r w:rsidRPr="00BA6511">
        <w:t xml:space="preserve">The commonly used Year 12 ‘retention rate’ in Australia is a measure of participation at the time of the annual, mid-year school </w:t>
      </w:r>
      <w:r>
        <w:t>Census</w:t>
      </w:r>
      <w:r w:rsidRPr="00BA6511">
        <w:t xml:space="preserve"> rather</w:t>
      </w:r>
      <w:r>
        <w:rPr>
          <w:lang w:val="en-US"/>
        </w:rPr>
        <w:t xml:space="preserve"> than completion to the standards required to receive a Year 12 certificate. </w:t>
      </w:r>
    </w:p>
  </w:footnote>
  <w:footnote w:id="7">
    <w:p w:rsidR="00AE1DA5" w:rsidRPr="00723990" w:rsidRDefault="00AE1DA5" w:rsidP="00723990">
      <w:pPr>
        <w:pStyle w:val="FootnoteText"/>
      </w:pPr>
      <w:r>
        <w:rPr>
          <w:rStyle w:val="FootnoteReference"/>
        </w:rPr>
        <w:footnoteRef/>
      </w:r>
      <w:r>
        <w:tab/>
      </w:r>
      <w:r w:rsidRPr="00C5276A">
        <w:t xml:space="preserve">These results can be reconciled with those in </w:t>
      </w:r>
      <w:r w:rsidR="00A865E4" w:rsidRPr="00C5276A">
        <w:fldChar w:fldCharType="begin"/>
      </w:r>
      <w:r w:rsidRPr="00C5276A">
        <w:instrText xml:space="preserve"> ADDIN EN.CITE &lt;EndNote&gt;&lt;Cite&gt;&lt;Author&gt;Barón&lt;/Author&gt;&lt;Year&gt;2009&lt;/Year&gt;&lt;RecNum&gt;114&lt;/RecNum&gt;&lt;record&gt;&lt;rec-number&gt;114&lt;/rec-number&gt;&lt;foreign-keys&gt;&lt;key app="EN" db-id="0sp9t02ao2s908er5duvztshees9x25szs2d"&gt;114&lt;/key&gt;&lt;/foreign-keys&gt;&lt;ref-type name="Journal Article"&gt;17&lt;/ref-type&gt;&lt;contributors&gt;&lt;authors&gt;&lt;author&gt;Barón, Juan D. &lt;/author&gt;&lt;/authors&gt;&lt;/contributors&gt;&lt;titles&gt;&lt;title&gt;Exploring the Factors Associated with Youths’ Educational Outcomes: The Role of Locus of Control and Parental Socio-Economic Background&lt;/title&gt;&lt;secondary-title&gt;Centre for Economic Policy Research Discussion Paper&lt;/secondary-title&gt;&lt;/titles&gt;&lt;volume&gt;598&lt;/volume&gt;&lt;dates&gt;&lt;year&gt;2009&lt;/year&gt;&lt;/dates&gt;&lt;pub-location&gt;Canberra&lt;/pub-location&gt;&lt;publisher&gt;Australian National University&lt;/publisher&gt;&lt;urls&gt;&lt;/urls&gt;&lt;/record&gt;&lt;/Cite&gt;&lt;/EndNote&gt;</w:instrText>
      </w:r>
      <w:r w:rsidR="00A865E4" w:rsidRPr="00C5276A">
        <w:fldChar w:fldCharType="separate"/>
      </w:r>
      <w:r w:rsidRPr="00C5276A">
        <w:t xml:space="preserve">Barón </w:t>
      </w:r>
      <w:r>
        <w:t>(</w:t>
      </w:r>
      <w:r w:rsidRPr="00C5276A">
        <w:t>2009</w:t>
      </w:r>
      <w:r w:rsidR="00A865E4" w:rsidRPr="00C5276A">
        <w:fldChar w:fldCharType="end"/>
      </w:r>
      <w:r>
        <w:t>)</w:t>
      </w:r>
      <w:r w:rsidRPr="00C5276A">
        <w:t>, who found a negative impact from welfare receipt history on school completion using the same data, but did not include family income or parental occupational status in the estimated equations.</w:t>
      </w:r>
      <w:r>
        <w:t xml:space="preserve"> </w:t>
      </w:r>
    </w:p>
  </w:footnote>
  <w:footnote w:id="8">
    <w:p w:rsidR="00AE1DA5" w:rsidRDefault="00AE1DA5">
      <w:pPr>
        <w:pStyle w:val="FootnoteText"/>
      </w:pPr>
      <w:r>
        <w:rPr>
          <w:rStyle w:val="FootnoteReference"/>
        </w:rPr>
        <w:footnoteRef/>
      </w:r>
      <w:r>
        <w:t xml:space="preserve"> ‘Risky behaviours’ collected by the YIF are those indentified as having potential long-term c</w:t>
      </w:r>
      <w:r w:rsidR="00EA221B">
        <w:t>onsequences for adolescent well</w:t>
      </w:r>
      <w:r>
        <w:t>being.</w:t>
      </w:r>
    </w:p>
  </w:footnote>
  <w:footnote w:id="9">
    <w:p w:rsidR="00BF5D5F" w:rsidRDefault="00BF5D5F">
      <w:pPr>
        <w:pStyle w:val="FootnoteText"/>
      </w:pPr>
      <w:r>
        <w:rPr>
          <w:rStyle w:val="FootnoteReference"/>
        </w:rPr>
        <w:footnoteRef/>
      </w:r>
      <w:r>
        <w:t xml:space="preserve"> ‘School climate’ includes: student body attitudes to school, teacher’s attitudes to school, teacher problem behaviours, and student body problem behaviours (see the support document for more information).</w:t>
      </w:r>
    </w:p>
  </w:footnote>
  <w:footnote w:id="10">
    <w:p w:rsidR="00AE1DA5" w:rsidRPr="00C5276A" w:rsidRDefault="00AE1DA5" w:rsidP="001F5702">
      <w:pPr>
        <w:pStyle w:val="FootnoteText"/>
        <w:rPr>
          <w:lang w:val="en-US"/>
        </w:rPr>
      </w:pPr>
      <w:r>
        <w:rPr>
          <w:rStyle w:val="FootnoteReference"/>
        </w:rPr>
        <w:footnoteRef/>
      </w:r>
      <w:r>
        <w:tab/>
      </w:r>
      <w:r>
        <w:rPr>
          <w:lang w:val="en-US"/>
        </w:rPr>
        <w:t xml:space="preserve">This estimate for each effect also incorporates the impact of the quadratic term included in the regression equation. </w:t>
      </w:r>
    </w:p>
  </w:footnote>
  <w:footnote w:id="11">
    <w:p w:rsidR="00BF5D5F" w:rsidRDefault="00BF5D5F">
      <w:pPr>
        <w:pStyle w:val="FootnoteText"/>
      </w:pPr>
      <w:r>
        <w:rPr>
          <w:rStyle w:val="FootnoteReference"/>
        </w:rPr>
        <w:footnoteRef/>
      </w:r>
      <w:r>
        <w:t xml:space="preserve"> ‘Student body problem behaviours’ refers </w:t>
      </w:r>
      <w:r w:rsidR="00EA221B">
        <w:t xml:space="preserve">to </w:t>
      </w:r>
      <w:r>
        <w:t>principals’ reports of the extent to which behaviours truancy, use of substances, and bullying hindered the learning of students in their school. See the support document for further information.</w:t>
      </w:r>
    </w:p>
  </w:footnote>
  <w:footnote w:id="12">
    <w:p w:rsidR="00AE1DA5" w:rsidRDefault="00AE1DA5" w:rsidP="001F5702">
      <w:pPr>
        <w:pStyle w:val="FootnoteText"/>
      </w:pPr>
      <w:r>
        <w:rPr>
          <w:rStyle w:val="FootnoteReference"/>
        </w:rPr>
        <w:footnoteRef/>
      </w:r>
      <w:r>
        <w:tab/>
      </w:r>
      <w:r>
        <w:rPr>
          <w:lang w:val="en-US"/>
        </w:rPr>
        <w:t xml:space="preserve">Results are available upon request.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3ACBF8"/>
    <w:lvl w:ilvl="0">
      <w:start w:val="1"/>
      <w:numFmt w:val="decimal"/>
      <w:lvlText w:val="%1."/>
      <w:lvlJc w:val="left"/>
      <w:pPr>
        <w:tabs>
          <w:tab w:val="num" w:pos="1492"/>
        </w:tabs>
        <w:ind w:left="1492" w:hanging="360"/>
      </w:pPr>
    </w:lvl>
  </w:abstractNum>
  <w:abstractNum w:abstractNumId="1">
    <w:nsid w:val="FFFFFF7D"/>
    <w:multiLevelType w:val="singleLevel"/>
    <w:tmpl w:val="0A5CEE0A"/>
    <w:lvl w:ilvl="0">
      <w:start w:val="1"/>
      <w:numFmt w:val="decimal"/>
      <w:lvlText w:val="%1."/>
      <w:lvlJc w:val="left"/>
      <w:pPr>
        <w:tabs>
          <w:tab w:val="num" w:pos="1209"/>
        </w:tabs>
        <w:ind w:left="1209" w:hanging="360"/>
      </w:pPr>
    </w:lvl>
  </w:abstractNum>
  <w:abstractNum w:abstractNumId="2">
    <w:nsid w:val="FFFFFF7E"/>
    <w:multiLevelType w:val="singleLevel"/>
    <w:tmpl w:val="6B122C5C"/>
    <w:lvl w:ilvl="0">
      <w:start w:val="1"/>
      <w:numFmt w:val="decimal"/>
      <w:lvlText w:val="%1."/>
      <w:lvlJc w:val="left"/>
      <w:pPr>
        <w:tabs>
          <w:tab w:val="num" w:pos="926"/>
        </w:tabs>
        <w:ind w:left="926" w:hanging="360"/>
      </w:pPr>
    </w:lvl>
  </w:abstractNum>
  <w:abstractNum w:abstractNumId="3">
    <w:nsid w:val="FFFFFF7F"/>
    <w:multiLevelType w:val="singleLevel"/>
    <w:tmpl w:val="CF569A70"/>
    <w:lvl w:ilvl="0">
      <w:start w:val="1"/>
      <w:numFmt w:val="decimal"/>
      <w:lvlText w:val="%1."/>
      <w:lvlJc w:val="left"/>
      <w:pPr>
        <w:tabs>
          <w:tab w:val="num" w:pos="643"/>
        </w:tabs>
        <w:ind w:left="643" w:hanging="360"/>
      </w:pPr>
    </w:lvl>
  </w:abstractNum>
  <w:abstractNum w:abstractNumId="4">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DAEC32"/>
    <w:lvl w:ilvl="0">
      <w:start w:val="1"/>
      <w:numFmt w:val="decimal"/>
      <w:lvlText w:val="%1."/>
      <w:lvlJc w:val="left"/>
      <w:pPr>
        <w:tabs>
          <w:tab w:val="num" w:pos="360"/>
        </w:tabs>
        <w:ind w:left="360" w:hanging="360"/>
      </w:pPr>
    </w:lvl>
  </w:abstractNum>
  <w:abstractNum w:abstractNumId="9">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04C080C2"/>
    <w:lvl w:ilvl="0" w:tplc="24BA3DD4">
      <w:start w:val="1"/>
      <w:numFmt w:val="decimal"/>
      <w:pStyle w:val="NumberedListContinuing"/>
      <w:lvlText w:val="%1"/>
      <w:lvlJc w:val="left"/>
      <w:pPr>
        <w:tabs>
          <w:tab w:val="num" w:pos="284"/>
        </w:tabs>
        <w:ind w:left="0" w:firstLine="0"/>
      </w:pPr>
      <w:rPr>
        <w:rFonts w:hint="default"/>
      </w:rPr>
    </w:lvl>
    <w:lvl w:ilvl="1" w:tplc="0994B9E0">
      <w:start w:val="1"/>
      <w:numFmt w:val="lowerLetter"/>
      <w:pStyle w:val="NumberedAlphaLevel2"/>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0C055833"/>
    <w:multiLevelType w:val="hybridMultilevel"/>
    <w:tmpl w:val="C368E0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5B45144"/>
    <w:multiLevelType w:val="hybridMultilevel"/>
    <w:tmpl w:val="EDCE9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6">
    <w:nsid w:val="1EE025C1"/>
    <w:multiLevelType w:val="hybridMultilevel"/>
    <w:tmpl w:val="0A48E7A6"/>
    <w:lvl w:ilvl="0" w:tplc="C2F4AA50">
      <w:numFmt w:val="bullet"/>
      <w:pStyle w:val="dotpoint1"/>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8">
    <w:nsid w:val="2C65652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FFD7403"/>
    <w:multiLevelType w:val="hybridMultilevel"/>
    <w:tmpl w:val="ADF63440"/>
    <w:lvl w:ilvl="0" w:tplc="8AF42FD6">
      <w:numFmt w:val="bullet"/>
      <w:lvlText w:val="-"/>
      <w:lvlJc w:val="left"/>
      <w:pPr>
        <w:ind w:left="720" w:hanging="360"/>
      </w:pPr>
      <w:rPr>
        <w:rFonts w:ascii="Calibri" w:eastAsia="Times New Roman" w:hAnsi="Calibri"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6">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EDD0A22"/>
    <w:multiLevelType w:val="multilevel"/>
    <w:tmpl w:val="BC408C32"/>
    <w:lvl w:ilvl="0">
      <w:start w:val="1"/>
      <w:numFmt w:val="decimal"/>
      <w:pStyle w:val="MtgPaperNumberedList"/>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1">
    <w:nsid w:val="5F8C3D05"/>
    <w:multiLevelType w:val="hybridMultilevel"/>
    <w:tmpl w:val="58C05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nsid w:val="626213D2"/>
    <w:multiLevelType w:val="hybridMultilevel"/>
    <w:tmpl w:val="2884B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E6568BB"/>
    <w:multiLevelType w:val="hybridMultilevel"/>
    <w:tmpl w:val="7D744170"/>
    <w:lvl w:ilvl="0" w:tplc="E8267DE4">
      <w:start w:val="1"/>
      <w:numFmt w:val="bullet"/>
      <w:pStyle w:val="Dotpoint10"/>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1017F96"/>
    <w:multiLevelType w:val="hybridMultilevel"/>
    <w:tmpl w:val="08D89C30"/>
    <w:lvl w:ilvl="0" w:tplc="FEF21A1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5307D23"/>
    <w:multiLevelType w:val="hybridMultilevel"/>
    <w:tmpl w:val="CC8E1B66"/>
    <w:lvl w:ilvl="0" w:tplc="04090001">
      <w:start w:val="7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EB7B03"/>
    <w:multiLevelType w:val="hybridMultilevel"/>
    <w:tmpl w:val="C9B80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10"/>
  </w:num>
  <w:num w:numId="4">
    <w:abstractNumId w:val="22"/>
  </w:num>
  <w:num w:numId="5">
    <w:abstractNumId w:val="12"/>
  </w:num>
  <w:num w:numId="6">
    <w:abstractNumId w:val="27"/>
  </w:num>
  <w:num w:numId="7">
    <w:abstractNumId w:val="29"/>
  </w:num>
  <w:num w:numId="8">
    <w:abstractNumId w:val="28"/>
  </w:num>
  <w:num w:numId="9">
    <w:abstractNumId w:val="34"/>
  </w:num>
  <w:num w:numId="10">
    <w:abstractNumId w:val="23"/>
  </w:num>
  <w:num w:numId="11">
    <w:abstractNumId w:val="20"/>
  </w:num>
  <w:num w:numId="12">
    <w:abstractNumId w:val="24"/>
  </w:num>
  <w:num w:numId="13">
    <w:abstractNumId w:val="26"/>
  </w:num>
  <w:num w:numId="14">
    <w:abstractNumId w:val="17"/>
  </w:num>
  <w:num w:numId="15">
    <w:abstractNumId w:val="21"/>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11"/>
  </w:num>
  <w:num w:numId="23">
    <w:abstractNumId w:val="15"/>
  </w:num>
  <w:num w:numId="24">
    <w:abstractNumId w:val="11"/>
  </w:num>
  <w:num w:numId="25">
    <w:abstractNumId w:val="15"/>
  </w:num>
  <w:num w:numId="26">
    <w:abstractNumId w:val="35"/>
  </w:num>
  <w:num w:numId="27">
    <w:abstractNumId w:val="32"/>
  </w:num>
  <w:num w:numId="28">
    <w:abstractNumId w:val="8"/>
  </w:num>
  <w:num w:numId="29">
    <w:abstractNumId w:val="3"/>
  </w:num>
  <w:num w:numId="30">
    <w:abstractNumId w:val="2"/>
  </w:num>
  <w:num w:numId="31">
    <w:abstractNumId w:val="1"/>
  </w:num>
  <w:num w:numId="32">
    <w:abstractNumId w:val="0"/>
  </w:num>
  <w:num w:numId="33">
    <w:abstractNumId w:val="10"/>
  </w:num>
  <w:num w:numId="34">
    <w:abstractNumId w:val="31"/>
  </w:num>
  <w:num w:numId="35">
    <w:abstractNumId w:val="16"/>
  </w:num>
  <w:num w:numId="36">
    <w:abstractNumId w:val="33"/>
  </w:num>
  <w:num w:numId="37">
    <w:abstractNumId w:val="36"/>
  </w:num>
  <w:num w:numId="38">
    <w:abstractNumId w:val="30"/>
  </w:num>
  <w:num w:numId="39">
    <w:abstractNumId w:val="18"/>
  </w:num>
  <w:num w:numId="40">
    <w:abstractNumId w:val="13"/>
  </w:num>
  <w:num w:numId="41">
    <w:abstractNumId w:val="14"/>
  </w:num>
  <w:num w:numId="42">
    <w:abstractNumId w:val="38"/>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9F01"/>
  <w:stylePaneSortMethod w:val="0000"/>
  <w:defaultTabStop w:val="720"/>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717020"/>
    <w:rsid w:val="000108B2"/>
    <w:rsid w:val="00012B64"/>
    <w:rsid w:val="00013265"/>
    <w:rsid w:val="00013AF5"/>
    <w:rsid w:val="00022290"/>
    <w:rsid w:val="000315D7"/>
    <w:rsid w:val="00042FE5"/>
    <w:rsid w:val="0006125F"/>
    <w:rsid w:val="00074BD4"/>
    <w:rsid w:val="000A0745"/>
    <w:rsid w:val="000A6F9D"/>
    <w:rsid w:val="000B008C"/>
    <w:rsid w:val="000D49CF"/>
    <w:rsid w:val="000F641C"/>
    <w:rsid w:val="0010761A"/>
    <w:rsid w:val="00123B5C"/>
    <w:rsid w:val="00135C75"/>
    <w:rsid w:val="00150874"/>
    <w:rsid w:val="001509F3"/>
    <w:rsid w:val="00155839"/>
    <w:rsid w:val="0016133C"/>
    <w:rsid w:val="00166EF6"/>
    <w:rsid w:val="00170452"/>
    <w:rsid w:val="0017764A"/>
    <w:rsid w:val="00177827"/>
    <w:rsid w:val="00184504"/>
    <w:rsid w:val="001A21DB"/>
    <w:rsid w:val="001B43CF"/>
    <w:rsid w:val="001F5702"/>
    <w:rsid w:val="001F7D84"/>
    <w:rsid w:val="002277A9"/>
    <w:rsid w:val="00233BFA"/>
    <w:rsid w:val="0024301D"/>
    <w:rsid w:val="00284FCB"/>
    <w:rsid w:val="00296EF2"/>
    <w:rsid w:val="002A67A6"/>
    <w:rsid w:val="002B0A20"/>
    <w:rsid w:val="002C645D"/>
    <w:rsid w:val="002E196B"/>
    <w:rsid w:val="003030ED"/>
    <w:rsid w:val="00334CE3"/>
    <w:rsid w:val="00340B4D"/>
    <w:rsid w:val="00342A9F"/>
    <w:rsid w:val="00397C94"/>
    <w:rsid w:val="003B16DA"/>
    <w:rsid w:val="003B483E"/>
    <w:rsid w:val="003D5EB0"/>
    <w:rsid w:val="003D6251"/>
    <w:rsid w:val="003E67CB"/>
    <w:rsid w:val="003F6FE2"/>
    <w:rsid w:val="0040244D"/>
    <w:rsid w:val="00430FD7"/>
    <w:rsid w:val="0048643A"/>
    <w:rsid w:val="0048663C"/>
    <w:rsid w:val="0049453B"/>
    <w:rsid w:val="00494E7C"/>
    <w:rsid w:val="004A06F1"/>
    <w:rsid w:val="004C4063"/>
    <w:rsid w:val="004C6412"/>
    <w:rsid w:val="004D4802"/>
    <w:rsid w:val="004E7227"/>
    <w:rsid w:val="004F1A00"/>
    <w:rsid w:val="00520315"/>
    <w:rsid w:val="0052276C"/>
    <w:rsid w:val="00541B94"/>
    <w:rsid w:val="00570758"/>
    <w:rsid w:val="005901CD"/>
    <w:rsid w:val="005C277E"/>
    <w:rsid w:val="005C61F8"/>
    <w:rsid w:val="005E4764"/>
    <w:rsid w:val="005F16CF"/>
    <w:rsid w:val="005F54AD"/>
    <w:rsid w:val="00625D75"/>
    <w:rsid w:val="00652973"/>
    <w:rsid w:val="00656679"/>
    <w:rsid w:val="0067712D"/>
    <w:rsid w:val="00682A97"/>
    <w:rsid w:val="00682BE0"/>
    <w:rsid w:val="00696A48"/>
    <w:rsid w:val="006A1CE4"/>
    <w:rsid w:val="006C5DA9"/>
    <w:rsid w:val="006D431D"/>
    <w:rsid w:val="006E2A9E"/>
    <w:rsid w:val="007037A4"/>
    <w:rsid w:val="00717020"/>
    <w:rsid w:val="00723990"/>
    <w:rsid w:val="00731EC8"/>
    <w:rsid w:val="007823AB"/>
    <w:rsid w:val="00783F44"/>
    <w:rsid w:val="00784F4E"/>
    <w:rsid w:val="00787494"/>
    <w:rsid w:val="007A2079"/>
    <w:rsid w:val="007B5329"/>
    <w:rsid w:val="007B6C4A"/>
    <w:rsid w:val="007C3281"/>
    <w:rsid w:val="007C3DEC"/>
    <w:rsid w:val="007C50A7"/>
    <w:rsid w:val="007C75D3"/>
    <w:rsid w:val="007E2D8C"/>
    <w:rsid w:val="00800A2B"/>
    <w:rsid w:val="008056ED"/>
    <w:rsid w:val="00806C1C"/>
    <w:rsid w:val="00826757"/>
    <w:rsid w:val="008318B0"/>
    <w:rsid w:val="0084106F"/>
    <w:rsid w:val="00842044"/>
    <w:rsid w:val="0084604B"/>
    <w:rsid w:val="00852661"/>
    <w:rsid w:val="00874DA5"/>
    <w:rsid w:val="008923B6"/>
    <w:rsid w:val="00894271"/>
    <w:rsid w:val="008B1715"/>
    <w:rsid w:val="008B22E2"/>
    <w:rsid w:val="008B4B8A"/>
    <w:rsid w:val="008C0A74"/>
    <w:rsid w:val="008C2283"/>
    <w:rsid w:val="008D5A7E"/>
    <w:rsid w:val="008F20BA"/>
    <w:rsid w:val="009058B5"/>
    <w:rsid w:val="00930A1E"/>
    <w:rsid w:val="00933317"/>
    <w:rsid w:val="009461ED"/>
    <w:rsid w:val="009538E6"/>
    <w:rsid w:val="009704E4"/>
    <w:rsid w:val="009775C7"/>
    <w:rsid w:val="009956B5"/>
    <w:rsid w:val="009C22BE"/>
    <w:rsid w:val="009E231A"/>
    <w:rsid w:val="009E2F64"/>
    <w:rsid w:val="00A05A99"/>
    <w:rsid w:val="00A10A6B"/>
    <w:rsid w:val="00A10E2B"/>
    <w:rsid w:val="00A30084"/>
    <w:rsid w:val="00A35785"/>
    <w:rsid w:val="00A50895"/>
    <w:rsid w:val="00A5674C"/>
    <w:rsid w:val="00A567A3"/>
    <w:rsid w:val="00A56A4A"/>
    <w:rsid w:val="00A57C1F"/>
    <w:rsid w:val="00A73318"/>
    <w:rsid w:val="00A865E4"/>
    <w:rsid w:val="00A86672"/>
    <w:rsid w:val="00A93867"/>
    <w:rsid w:val="00AA44D4"/>
    <w:rsid w:val="00AB7C9D"/>
    <w:rsid w:val="00AC688A"/>
    <w:rsid w:val="00AD3904"/>
    <w:rsid w:val="00AE1DA5"/>
    <w:rsid w:val="00AF1005"/>
    <w:rsid w:val="00B05F5C"/>
    <w:rsid w:val="00B41272"/>
    <w:rsid w:val="00B426FE"/>
    <w:rsid w:val="00B47C02"/>
    <w:rsid w:val="00B77043"/>
    <w:rsid w:val="00B86D06"/>
    <w:rsid w:val="00B9443B"/>
    <w:rsid w:val="00BA6511"/>
    <w:rsid w:val="00BB113D"/>
    <w:rsid w:val="00BC53FB"/>
    <w:rsid w:val="00BC770A"/>
    <w:rsid w:val="00BC7C47"/>
    <w:rsid w:val="00BF5D5F"/>
    <w:rsid w:val="00BF690E"/>
    <w:rsid w:val="00C01B1C"/>
    <w:rsid w:val="00C053D5"/>
    <w:rsid w:val="00C37003"/>
    <w:rsid w:val="00C54125"/>
    <w:rsid w:val="00C63294"/>
    <w:rsid w:val="00C77DC6"/>
    <w:rsid w:val="00C801DA"/>
    <w:rsid w:val="00C926F0"/>
    <w:rsid w:val="00C9656D"/>
    <w:rsid w:val="00CA4AFC"/>
    <w:rsid w:val="00CB6107"/>
    <w:rsid w:val="00CD5F32"/>
    <w:rsid w:val="00CD60C6"/>
    <w:rsid w:val="00CF3CED"/>
    <w:rsid w:val="00D02A1A"/>
    <w:rsid w:val="00D43B5F"/>
    <w:rsid w:val="00D52B07"/>
    <w:rsid w:val="00D806B0"/>
    <w:rsid w:val="00D935ED"/>
    <w:rsid w:val="00DB599C"/>
    <w:rsid w:val="00DC5F5C"/>
    <w:rsid w:val="00DE124D"/>
    <w:rsid w:val="00DE2C71"/>
    <w:rsid w:val="00E0142C"/>
    <w:rsid w:val="00E06B95"/>
    <w:rsid w:val="00E123CB"/>
    <w:rsid w:val="00E14FA9"/>
    <w:rsid w:val="00E236D0"/>
    <w:rsid w:val="00E365F8"/>
    <w:rsid w:val="00E45A10"/>
    <w:rsid w:val="00E52313"/>
    <w:rsid w:val="00E56EC1"/>
    <w:rsid w:val="00E57478"/>
    <w:rsid w:val="00E81A91"/>
    <w:rsid w:val="00E95812"/>
    <w:rsid w:val="00E95948"/>
    <w:rsid w:val="00EA221B"/>
    <w:rsid w:val="00EC00CB"/>
    <w:rsid w:val="00EC0CAE"/>
    <w:rsid w:val="00EC29E3"/>
    <w:rsid w:val="00EC3B91"/>
    <w:rsid w:val="00ED24F6"/>
    <w:rsid w:val="00ED4D6D"/>
    <w:rsid w:val="00ED5DD0"/>
    <w:rsid w:val="00EE42D9"/>
    <w:rsid w:val="00EE67B3"/>
    <w:rsid w:val="00EF151D"/>
    <w:rsid w:val="00F0104B"/>
    <w:rsid w:val="00F12F7C"/>
    <w:rsid w:val="00F42EB3"/>
    <w:rsid w:val="00F60BA5"/>
    <w:rsid w:val="00F8762F"/>
    <w:rsid w:val="00F93048"/>
    <w:rsid w:val="00FA48B8"/>
    <w:rsid w:val="00FA544D"/>
    <w:rsid w:val="00FA79F7"/>
    <w:rsid w:val="00FE3F74"/>
    <w:rsid w:val="00FE4A2D"/>
    <w:rsid w:val="00FF41C9"/>
    <w:rsid w:val="00FF593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uiPriority="0" w:qFormat="1"/>
    <w:lsdException w:name="heading 3" w:semiHidden="0" w:uiPriority="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iPriority="9"/>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footnote text" w:unhideWhenUsed="1"/>
    <w:lsdException w:name="header" w:unhideWhenUsed="1"/>
    <w:lsdException w:name="footer" w:unhideWhenUsed="1"/>
    <w:lsdException w:name="caption" w:qFormat="1"/>
    <w:lsdException w:name="table of figures" w:unhideWhenUsed="1"/>
    <w:lsdException w:name="page number" w:uiPriority="0" w:unhideWhenUsed="1"/>
    <w:lsdException w:name="Title" w:uiPriority="10" w:qFormat="1"/>
    <w:lsdException w:name="Default Paragraph Font" w:uiPriority="1" w:unhideWhenUsed="1"/>
    <w:lsdException w:name="Body Text Indent" w:uiPriority="0"/>
    <w:lsdException w:name="Subtitle" w:uiPriority="11" w:qFormat="1"/>
    <w:lsdException w:name="Body Text 2" w:uiPriority="0"/>
    <w:lsdException w:name="Hyperlink" w:unhideWhenUsed="1"/>
    <w:lsdException w:name="Strong" w:uiPriority="22" w:qFormat="1"/>
    <w:lsdException w:name="Emphasis"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625D75"/>
    <w:pPr>
      <w:spacing w:before="160" w:line="260" w:lineRule="exact"/>
    </w:pPr>
    <w:rPr>
      <w:rFonts w:ascii="Trebuchet MS" w:hAnsi="Trebuchet MS"/>
      <w:sz w:val="19"/>
      <w:lang w:val="en-AU"/>
    </w:rPr>
  </w:style>
  <w:style w:type="paragraph" w:styleId="Heading1">
    <w:name w:val="heading 1"/>
    <w:next w:val="Text"/>
    <w:link w:val="Heading1Char"/>
    <w:uiPriority w:val="99"/>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link w:val="Heading2Char"/>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800A2B"/>
    <w:pPr>
      <w:spacing w:before="280" w:line="320" w:lineRule="exact"/>
      <w:outlineLvl w:val="2"/>
    </w:pPr>
    <w:rPr>
      <w:rFonts w:ascii="Tahoma" w:hAnsi="Tahoma" w:cs="Tahoma"/>
      <w:color w:val="000000"/>
      <w:sz w:val="24"/>
      <w:lang w:val="en-AU"/>
    </w:rPr>
  </w:style>
  <w:style w:type="paragraph" w:styleId="Heading4">
    <w:name w:val="heading 4"/>
    <w:next w:val="Text"/>
    <w:link w:val="Heading4Char"/>
    <w:uiPriority w:val="99"/>
    <w:qFormat/>
    <w:rsid w:val="007037A4"/>
    <w:pPr>
      <w:spacing w:before="240"/>
      <w:outlineLvl w:val="3"/>
    </w:pPr>
    <w:rPr>
      <w:rFonts w:ascii="Tahoma" w:hAnsi="Tahoma"/>
      <w:i/>
      <w:sz w:val="24"/>
      <w:lang w:val="en-AU"/>
    </w:rPr>
  </w:style>
  <w:style w:type="paragraph" w:styleId="Heading5">
    <w:name w:val="heading 5"/>
    <w:basedOn w:val="Normal"/>
    <w:next w:val="Normal"/>
    <w:link w:val="Heading5Char"/>
    <w:uiPriority w:val="99"/>
    <w:qFormat/>
    <w:rsid w:val="007037A4"/>
    <w:pPr>
      <w:keepNext/>
      <w:outlineLvl w:val="4"/>
    </w:pPr>
    <w:rPr>
      <w:rFonts w:ascii="Tahoma" w:hAnsi="Tahoma"/>
      <w:b/>
    </w:rPr>
  </w:style>
  <w:style w:type="paragraph" w:styleId="Heading6">
    <w:name w:val="heading 6"/>
    <w:basedOn w:val="Normal"/>
    <w:next w:val="Normal"/>
    <w:link w:val="Heading6Char"/>
    <w:uiPriority w:val="99"/>
    <w:qFormat/>
    <w:rsid w:val="007037A4"/>
    <w:pPr>
      <w:keepNext/>
      <w:ind w:left="2977"/>
      <w:outlineLvl w:val="5"/>
    </w:pPr>
    <w:rPr>
      <w:rFonts w:ascii="Tahoma" w:hAnsi="Tahoma"/>
      <w:sz w:val="20"/>
    </w:rPr>
  </w:style>
  <w:style w:type="paragraph" w:styleId="Heading7">
    <w:name w:val="heading 7"/>
    <w:basedOn w:val="Normal"/>
    <w:next w:val="Normal"/>
    <w:link w:val="Heading7Char"/>
    <w:uiPriority w:val="99"/>
    <w:qFormat/>
    <w:rsid w:val="007037A4"/>
    <w:pPr>
      <w:keepNext/>
      <w:jc w:val="center"/>
      <w:outlineLvl w:val="6"/>
    </w:pPr>
    <w:rPr>
      <w:rFonts w:ascii="Tahoma" w:hAnsi="Tahoma"/>
      <w:spacing w:val="20"/>
      <w:sz w:val="20"/>
    </w:rPr>
  </w:style>
  <w:style w:type="paragraph" w:styleId="Heading8">
    <w:name w:val="heading 8"/>
    <w:basedOn w:val="Normal"/>
    <w:next w:val="Normal"/>
    <w:link w:val="Heading8Char"/>
    <w:uiPriority w:val="99"/>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uiPriority w:val="99"/>
    <w:rsid w:val="001F5702"/>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uiPriority w:val="99"/>
    <w:rsid w:val="001F5702"/>
    <w:rPr>
      <w:rFonts w:ascii="Trebuchet MS" w:hAnsi="Trebuchet MS"/>
      <w:sz w:val="19"/>
      <w:lang w:val="en-AU"/>
    </w:rPr>
  </w:style>
  <w:style w:type="character" w:customStyle="1" w:styleId="Heading1Char">
    <w:name w:val="Heading 1 Char"/>
    <w:basedOn w:val="DefaultParagraphFont"/>
    <w:link w:val="Heading1"/>
    <w:uiPriority w:val="99"/>
    <w:locked/>
    <w:rsid w:val="001F5702"/>
    <w:rPr>
      <w:rFonts w:ascii="Tahoma" w:hAnsi="Tahoma" w:cs="Tahoma"/>
      <w:color w:val="000000"/>
      <w:kern w:val="28"/>
      <w:sz w:val="56"/>
      <w:szCs w:val="56"/>
      <w:lang w:val="en-AU"/>
    </w:rPr>
  </w:style>
  <w:style w:type="character" w:customStyle="1" w:styleId="Heading2Char">
    <w:name w:val="Heading 2 Char"/>
    <w:basedOn w:val="DefaultParagraphFont"/>
    <w:link w:val="Heading2"/>
    <w:locked/>
    <w:rsid w:val="001F5702"/>
    <w:rPr>
      <w:rFonts w:ascii="Tahoma" w:hAnsi="Tahoma" w:cs="Tahoma"/>
      <w:sz w:val="28"/>
      <w:lang w:val="en-AU"/>
    </w:rPr>
  </w:style>
  <w:style w:type="character" w:customStyle="1" w:styleId="Heading3Char">
    <w:name w:val="Heading 3 Char"/>
    <w:basedOn w:val="DefaultParagraphFont"/>
    <w:link w:val="Heading3"/>
    <w:rsid w:val="00800A2B"/>
    <w:rPr>
      <w:rFonts w:ascii="Tahoma" w:hAnsi="Tahoma" w:cs="Tahoma"/>
      <w:color w:val="000000"/>
      <w:sz w:val="24"/>
      <w:lang w:val="en-AU"/>
    </w:rPr>
  </w:style>
  <w:style w:type="character" w:customStyle="1" w:styleId="Heading4Char">
    <w:name w:val="Heading 4 Char"/>
    <w:basedOn w:val="DefaultParagraphFont"/>
    <w:link w:val="Heading4"/>
    <w:uiPriority w:val="99"/>
    <w:locked/>
    <w:rsid w:val="001F5702"/>
    <w:rPr>
      <w:rFonts w:ascii="Tahoma" w:hAnsi="Tahoma"/>
      <w:i/>
      <w:sz w:val="24"/>
      <w:lang w:val="en-AU"/>
    </w:rPr>
  </w:style>
  <w:style w:type="character" w:customStyle="1" w:styleId="Heading5Char">
    <w:name w:val="Heading 5 Char"/>
    <w:basedOn w:val="DefaultParagraphFont"/>
    <w:link w:val="Heading5"/>
    <w:uiPriority w:val="99"/>
    <w:locked/>
    <w:rsid w:val="001F5702"/>
    <w:rPr>
      <w:rFonts w:ascii="Tahoma" w:hAnsi="Tahoma"/>
      <w:b/>
      <w:sz w:val="19"/>
      <w:lang w:val="en-AU"/>
    </w:rPr>
  </w:style>
  <w:style w:type="character" w:customStyle="1" w:styleId="Heading6Char">
    <w:name w:val="Heading 6 Char"/>
    <w:basedOn w:val="DefaultParagraphFont"/>
    <w:link w:val="Heading6"/>
    <w:uiPriority w:val="99"/>
    <w:locked/>
    <w:rsid w:val="001F5702"/>
    <w:rPr>
      <w:rFonts w:ascii="Tahoma" w:hAnsi="Tahoma"/>
      <w:lang w:val="en-AU"/>
    </w:rPr>
  </w:style>
  <w:style w:type="character" w:customStyle="1" w:styleId="Heading7Char">
    <w:name w:val="Heading 7 Char"/>
    <w:basedOn w:val="DefaultParagraphFont"/>
    <w:link w:val="Heading7"/>
    <w:uiPriority w:val="99"/>
    <w:locked/>
    <w:rsid w:val="001F5702"/>
    <w:rPr>
      <w:rFonts w:ascii="Tahoma" w:hAnsi="Tahoma"/>
      <w:spacing w:val="20"/>
      <w:lang w:val="en-AU"/>
    </w:rPr>
  </w:style>
  <w:style w:type="character" w:customStyle="1" w:styleId="Heading8Char">
    <w:name w:val="Heading 8 Char"/>
    <w:basedOn w:val="DefaultParagraphFont"/>
    <w:link w:val="Heading8"/>
    <w:uiPriority w:val="99"/>
    <w:locked/>
    <w:rsid w:val="001F5702"/>
    <w:rPr>
      <w:rFonts w:ascii="Tahoma" w:hAnsi="Tahoma"/>
      <w:color w:val="C0C0C0"/>
      <w:spacing w:val="60"/>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link w:val="FooterChar"/>
    <w:uiPriority w:val="99"/>
    <w:rsid w:val="00CB6107"/>
    <w:pPr>
      <w:tabs>
        <w:tab w:val="right" w:pos="8789"/>
      </w:tabs>
      <w:spacing w:before="0"/>
    </w:pPr>
    <w:rPr>
      <w:rFonts w:ascii="Tahoma" w:hAnsi="Tahoma"/>
      <w:sz w:val="17"/>
      <w:szCs w:val="17"/>
    </w:rPr>
  </w:style>
  <w:style w:type="character" w:customStyle="1" w:styleId="FooterChar">
    <w:name w:val="Footer Char"/>
    <w:basedOn w:val="DefaultParagraphFont"/>
    <w:link w:val="Footer"/>
    <w:uiPriority w:val="99"/>
    <w:locked/>
    <w:rsid w:val="00CB6107"/>
    <w:rPr>
      <w:rFonts w:ascii="Tahoma" w:hAnsi="Tahoma"/>
      <w:sz w:val="17"/>
      <w:szCs w:val="17"/>
      <w:lang w:val="en-AU"/>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uiPriority w:val="99"/>
    <w:rsid w:val="00150874"/>
    <w:pPr>
      <w:spacing w:before="360" w:after="80"/>
      <w:ind w:left="851" w:hanging="851"/>
    </w:pPr>
    <w:rPr>
      <w:rFonts w:ascii="Tahoma" w:hAnsi="Tahoma"/>
      <w:b/>
      <w:sz w:val="17"/>
      <w:lang w:val="en-AU"/>
    </w:rPr>
  </w:style>
  <w:style w:type="paragraph" w:customStyle="1" w:styleId="Tabletext">
    <w:name w:val="Table text"/>
    <w:next w:val="Text"/>
    <w:uiPriority w:val="99"/>
    <w:rsid w:val="00A10A6B"/>
    <w:pPr>
      <w:spacing w:before="40" w:after="40"/>
    </w:pPr>
    <w:rPr>
      <w:rFonts w:ascii="Arial" w:hAnsi="Arial"/>
      <w:sz w:val="16"/>
      <w:lang w:val="en-AU"/>
    </w:rPr>
  </w:style>
  <w:style w:type="paragraph" w:customStyle="1" w:styleId="Tablehead1">
    <w:name w:val="Tablehead1"/>
    <w:uiPriority w:val="99"/>
    <w:rsid w:val="005C2FCF"/>
    <w:pPr>
      <w:spacing w:before="80" w:after="80"/>
    </w:pPr>
    <w:rPr>
      <w:rFonts w:ascii="Arial" w:hAnsi="Arial"/>
      <w:b/>
      <w:sz w:val="17"/>
      <w:lang w:val="en-AU"/>
    </w:rPr>
  </w:style>
  <w:style w:type="paragraph" w:styleId="Quote">
    <w:name w:val="Quote"/>
    <w:basedOn w:val="Text"/>
    <w:link w:val="QuoteChar"/>
    <w:uiPriority w:val="99"/>
    <w:qFormat/>
    <w:rsid w:val="009C22BE"/>
    <w:pPr>
      <w:tabs>
        <w:tab w:val="right" w:pos="7853"/>
      </w:tabs>
      <w:spacing w:before="80"/>
      <w:ind w:left="567" w:right="652"/>
    </w:pPr>
    <w:rPr>
      <w:sz w:val="17"/>
    </w:rPr>
  </w:style>
  <w:style w:type="character" w:customStyle="1" w:styleId="QuoteChar">
    <w:name w:val="Quote Char"/>
    <w:basedOn w:val="DefaultParagraphFont"/>
    <w:link w:val="Quote"/>
    <w:uiPriority w:val="99"/>
    <w:locked/>
    <w:rsid w:val="001F5702"/>
    <w:rPr>
      <w:rFonts w:ascii="Trebuchet MS" w:hAnsi="Trebuchet MS"/>
      <w:sz w:val="17"/>
      <w:lang w:val="en-AU"/>
    </w:rPr>
  </w:style>
  <w:style w:type="paragraph" w:customStyle="1" w:styleId="References">
    <w:name w:val="References"/>
    <w:uiPriority w:val="99"/>
    <w:rsid w:val="00123B5C"/>
    <w:pPr>
      <w:spacing w:before="80"/>
      <w:ind w:left="284" w:right="-369" w:hanging="284"/>
    </w:pPr>
    <w:rPr>
      <w:rFonts w:ascii="Trebuchet MS" w:hAnsi="Trebuchet MS"/>
      <w:sz w:val="18"/>
      <w:lang w:val="en-AU"/>
    </w:rPr>
  </w:style>
  <w:style w:type="paragraph" w:customStyle="1" w:styleId="Tablehead2">
    <w:name w:val="Tablehead2"/>
    <w:basedOn w:val="Tablehead1"/>
    <w:uiPriority w:val="99"/>
    <w:rsid w:val="00A10A6B"/>
    <w:pPr>
      <w:tabs>
        <w:tab w:val="left" w:pos="992"/>
      </w:tabs>
      <w:spacing w:before="20" w:after="20"/>
    </w:pPr>
    <w:rPr>
      <w:b w:val="0"/>
    </w:rPr>
  </w:style>
  <w:style w:type="paragraph" w:customStyle="1" w:styleId="Tablehead3">
    <w:name w:val="Tablehead3"/>
    <w:basedOn w:val="Tablehead2"/>
    <w:uiPriority w:val="99"/>
    <w:rsid w:val="005C2FCF"/>
    <w:rPr>
      <w:i/>
    </w:rPr>
  </w:style>
  <w:style w:type="paragraph" w:styleId="TableofFigures">
    <w:name w:val="table of figures"/>
    <w:basedOn w:val="TOC1"/>
    <w:next w:val="Normal"/>
    <w:uiPriority w:val="99"/>
    <w:rsid w:val="00625D75"/>
    <w:pPr>
      <w:spacing w:before="80"/>
      <w:ind w:left="425" w:right="1985" w:hanging="425"/>
    </w:pPr>
  </w:style>
  <w:style w:type="paragraph" w:customStyle="1" w:styleId="Imprint">
    <w:name w:val="Imprint"/>
    <w:basedOn w:val="Normal"/>
    <w:uiPriority w:val="99"/>
    <w:rsid w:val="009E231A"/>
    <w:pPr>
      <w:spacing w:line="260" w:lineRule="atLeast"/>
    </w:pPr>
    <w:rPr>
      <w:sz w:val="16"/>
    </w:rPr>
  </w:style>
  <w:style w:type="paragraph" w:customStyle="1" w:styleId="Figuretitle">
    <w:name w:val="Figuretitle"/>
    <w:basedOn w:val="tabletitle"/>
    <w:uiPriority w:val="99"/>
    <w:rsid w:val="005C2FCF"/>
  </w:style>
  <w:style w:type="paragraph" w:customStyle="1" w:styleId="Dotpoint10">
    <w:name w:val="Dotpoint1"/>
    <w:uiPriority w:val="99"/>
    <w:rsid w:val="0048643A"/>
    <w:pPr>
      <w:numPr>
        <w:numId w:val="26"/>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0"/>
    <w:uiPriority w:val="99"/>
    <w:rsid w:val="005C277E"/>
    <w:pPr>
      <w:numPr>
        <w:numId w:val="27"/>
      </w:numPr>
      <w:tabs>
        <w:tab w:val="clear" w:pos="284"/>
        <w:tab w:val="left" w:pos="567"/>
      </w:tabs>
      <w:ind w:left="568" w:hanging="284"/>
    </w:pPr>
  </w:style>
  <w:style w:type="paragraph" w:customStyle="1" w:styleId="NumberedListContinuing">
    <w:name w:val="NumberedListContinuing"/>
    <w:uiPriority w:val="99"/>
    <w:rsid w:val="00520315"/>
    <w:pPr>
      <w:numPr>
        <w:numId w:val="33"/>
      </w:numPr>
      <w:spacing w:before="120" w:line="300" w:lineRule="exact"/>
    </w:pPr>
    <w:rPr>
      <w:rFonts w:ascii="Trebuchet MS" w:hAnsi="Trebuchet MS"/>
      <w:sz w:val="19"/>
      <w:lang w:val="en-AU" w:eastAsia="en-AU"/>
    </w:rPr>
  </w:style>
  <w:style w:type="paragraph" w:customStyle="1" w:styleId="Source">
    <w:name w:val="Source"/>
    <w:uiPriority w:val="99"/>
    <w:rsid w:val="00AC688A"/>
    <w:pPr>
      <w:spacing w:before="40"/>
      <w:ind w:left="567" w:hanging="567"/>
    </w:pPr>
    <w:rPr>
      <w:rFonts w:ascii="Arial" w:hAnsi="Arial"/>
      <w:sz w:val="15"/>
      <w:lang w:val="en-AU"/>
    </w:rPr>
  </w:style>
  <w:style w:type="paragraph" w:styleId="FootnoteText">
    <w:name w:val="footnote text"/>
    <w:basedOn w:val="Text"/>
    <w:link w:val="FootnoteTextChar"/>
    <w:uiPriority w:val="99"/>
    <w:rsid w:val="00A50895"/>
    <w:pPr>
      <w:tabs>
        <w:tab w:val="left" w:pos="1418"/>
      </w:tabs>
      <w:spacing w:before="0" w:line="220" w:lineRule="exact"/>
      <w:ind w:left="170" w:hanging="170"/>
    </w:pPr>
    <w:rPr>
      <w:sz w:val="16"/>
    </w:rPr>
  </w:style>
  <w:style w:type="character" w:customStyle="1" w:styleId="FootnoteTextChar">
    <w:name w:val="Footnote Text Char"/>
    <w:basedOn w:val="DefaultParagraphFont"/>
    <w:link w:val="FootnoteText"/>
    <w:uiPriority w:val="99"/>
    <w:locked/>
    <w:rsid w:val="001F5702"/>
    <w:rPr>
      <w:rFonts w:ascii="Trebuchet MS" w:hAnsi="Trebuchet MS"/>
      <w:sz w:val="16"/>
      <w:lang w:val="en-AU"/>
    </w:rPr>
  </w:style>
  <w:style w:type="paragraph" w:styleId="NormalWeb">
    <w:name w:val="Normal (Web)"/>
    <w:basedOn w:val="Normal"/>
    <w:uiPriority w:val="99"/>
    <w:semiHidden/>
    <w:rsid w:val="009058B5"/>
    <w:pPr>
      <w:spacing w:before="100" w:beforeAutospacing="1" w:after="240"/>
    </w:pPr>
    <w:rPr>
      <w:sz w:val="18"/>
      <w:szCs w:val="18"/>
    </w:rPr>
  </w:style>
  <w:style w:type="paragraph" w:customStyle="1" w:styleId="PublicationTitle">
    <w:name w:val="Publication Title"/>
    <w:uiPriority w:val="99"/>
    <w:qFormat/>
    <w:rsid w:val="0049453B"/>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uiPriority w:val="39"/>
    <w:unhideWhenUsed/>
    <w:rsid w:val="00FA79F7"/>
    <w:pPr>
      <w:ind w:left="440"/>
    </w:pPr>
  </w:style>
  <w:style w:type="paragraph" w:styleId="TOC4">
    <w:name w:val="toc 4"/>
    <w:basedOn w:val="TOC3"/>
    <w:next w:val="Normal"/>
    <w:autoRedefine/>
    <w:uiPriority w:val="99"/>
    <w:semiHidden/>
    <w:unhideWhenUsed/>
    <w:rsid w:val="005C2FCF"/>
    <w:pPr>
      <w:ind w:left="660"/>
    </w:pPr>
  </w:style>
  <w:style w:type="paragraph" w:styleId="BalloonText">
    <w:name w:val="Balloon Text"/>
    <w:basedOn w:val="Normal"/>
    <w:link w:val="BalloonTextChar"/>
    <w:uiPriority w:val="99"/>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037A4"/>
    <w:rPr>
      <w:rFonts w:ascii="Tahoma" w:hAnsi="Tahoma" w:cs="Tahoma"/>
      <w:sz w:val="16"/>
      <w:szCs w:val="16"/>
      <w:lang w:val="en-AU"/>
    </w:rPr>
  </w:style>
  <w:style w:type="table" w:styleId="TableGrid">
    <w:name w:val="Table Grid"/>
    <w:basedOn w:val="TableNormal"/>
    <w:uiPriority w:val="9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styleId="Hyperlink">
    <w:name w:val="Hyperlink"/>
    <w:basedOn w:val="DefaultParagraphFont"/>
    <w:uiPriority w:val="99"/>
    <w:unhideWhenUsed/>
    <w:rsid w:val="007037A4"/>
    <w:rPr>
      <w:rFonts w:ascii="Trebuchet MS" w:hAnsi="Trebuchet MS"/>
      <w:color w:val="auto"/>
      <w:sz w:val="19"/>
      <w:u w:val="none"/>
    </w:rPr>
  </w:style>
  <w:style w:type="paragraph" w:styleId="ListParagraph">
    <w:name w:val="List Paragraph"/>
    <w:basedOn w:val="Normal"/>
    <w:uiPriority w:val="99"/>
    <w:qFormat/>
    <w:rsid w:val="007037A4"/>
    <w:pPr>
      <w:ind w:left="720"/>
      <w:contextualSpacing/>
    </w:pPr>
  </w:style>
  <w:style w:type="paragraph" w:styleId="BodyText">
    <w:name w:val="Body Text"/>
    <w:basedOn w:val="Normal"/>
    <w:link w:val="BodyTextChar"/>
    <w:uiPriority w:val="99"/>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uiPriority w:val="99"/>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uiPriority w:val="99"/>
    <w:qFormat/>
    <w:rsid w:val="0049453B"/>
    <w:pPr>
      <w:ind w:left="1701"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uiPriority w:val="99"/>
    <w:rsid w:val="00E95812"/>
    <w:rPr>
      <w:color w:val="800080" w:themeColor="followedHyperlink"/>
      <w:u w:val="single"/>
    </w:rPr>
  </w:style>
  <w:style w:type="paragraph" w:customStyle="1" w:styleId="NumberedAlphaLevel2">
    <w:name w:val="NumberedAlphaLevel2"/>
    <w:basedOn w:val="NumberedListContinuing"/>
    <w:uiPriority w:val="1"/>
    <w:qFormat/>
    <w:rsid w:val="00ED24F6"/>
    <w:pPr>
      <w:numPr>
        <w:ilvl w:val="1"/>
      </w:numPr>
      <w:tabs>
        <w:tab w:val="clear" w:pos="1440"/>
        <w:tab w:val="num" w:pos="567"/>
      </w:tabs>
      <w:ind w:left="567" w:hanging="283"/>
    </w:pPr>
  </w:style>
  <w:style w:type="paragraph" w:customStyle="1" w:styleId="dotpoint1">
    <w:name w:val="dotpoint 1"/>
    <w:basedOn w:val="Text"/>
    <w:rsid w:val="001F5702"/>
    <w:pPr>
      <w:numPr>
        <w:numId w:val="35"/>
      </w:numPr>
      <w:spacing w:before="200" w:line="260" w:lineRule="exact"/>
      <w:ind w:right="0"/>
    </w:pPr>
    <w:rPr>
      <w:rFonts w:ascii="Garamond" w:hAnsi="Garamond" w:cs="Arial"/>
      <w:sz w:val="22"/>
      <w:szCs w:val="22"/>
      <w:lang w:eastAsia="en-AU"/>
    </w:rPr>
  </w:style>
  <w:style w:type="paragraph" w:customStyle="1" w:styleId="contents0">
    <w:name w:val="contents"/>
    <w:rsid w:val="001F5702"/>
    <w:pPr>
      <w:pBdr>
        <w:bottom w:val="single" w:sz="4" w:space="1" w:color="auto"/>
      </w:pBdr>
      <w:spacing w:before="440"/>
      <w:jc w:val="right"/>
    </w:pPr>
    <w:rPr>
      <w:rFonts w:ascii="Garamond" w:hAnsi="Garamond"/>
      <w:kern w:val="28"/>
      <w:sz w:val="60"/>
      <w:lang w:val="en-AU" w:eastAsia="en-AU"/>
    </w:rPr>
  </w:style>
  <w:style w:type="character" w:styleId="FootnoteReference">
    <w:name w:val="footnote reference"/>
    <w:basedOn w:val="DefaultParagraphFont"/>
    <w:uiPriority w:val="99"/>
    <w:rsid w:val="001F5702"/>
    <w:rPr>
      <w:rFonts w:cs="Times New Roman"/>
      <w:vertAlign w:val="superscript"/>
    </w:rPr>
  </w:style>
  <w:style w:type="paragraph" w:styleId="TOCHeading">
    <w:name w:val="TOC Heading"/>
    <w:basedOn w:val="Heading1"/>
    <w:next w:val="Normal"/>
    <w:uiPriority w:val="39"/>
    <w:qFormat/>
    <w:rsid w:val="001F5702"/>
    <w:pPr>
      <w:keepLines/>
      <w:spacing w:before="480" w:after="0" w:line="276" w:lineRule="auto"/>
      <w:outlineLvl w:val="9"/>
    </w:pPr>
    <w:rPr>
      <w:rFonts w:ascii="Cambria" w:hAnsi="Cambria" w:cs="Times New Roman"/>
      <w:b/>
      <w:bCs/>
      <w:color w:val="365F91"/>
      <w:kern w:val="0"/>
      <w:sz w:val="28"/>
      <w:szCs w:val="28"/>
      <w:lang w:val="en-US"/>
    </w:rPr>
  </w:style>
  <w:style w:type="paragraph" w:customStyle="1" w:styleId="Style1">
    <w:name w:val="Style1"/>
    <w:basedOn w:val="Heading1"/>
    <w:uiPriority w:val="99"/>
    <w:rsid w:val="001F5702"/>
    <w:pPr>
      <w:spacing w:before="240" w:after="60"/>
    </w:pPr>
    <w:rPr>
      <w:rFonts w:ascii="Arial" w:hAnsi="Arial" w:cs="Arial"/>
      <w:b/>
      <w:bCs/>
      <w:color w:val="FF0000"/>
      <w:kern w:val="32"/>
      <w:sz w:val="32"/>
      <w:szCs w:val="32"/>
      <w:lang w:val="en-US"/>
    </w:rPr>
  </w:style>
  <w:style w:type="paragraph" w:customStyle="1" w:styleId="MtgPaperNumberedList">
    <w:name w:val="Mtg Paper Numbered List"/>
    <w:basedOn w:val="Normal"/>
    <w:link w:val="MtgPaperNumberedListChar"/>
    <w:uiPriority w:val="99"/>
    <w:rsid w:val="001F5702"/>
    <w:pPr>
      <w:numPr>
        <w:numId w:val="38"/>
      </w:numPr>
      <w:spacing w:before="0" w:after="120" w:line="240" w:lineRule="auto"/>
    </w:pPr>
    <w:rPr>
      <w:rFonts w:ascii="Verdana" w:hAnsi="Verdana" w:cs="Arial"/>
      <w:sz w:val="20"/>
      <w:szCs w:val="19"/>
      <w:lang w:val="en-US"/>
    </w:rPr>
  </w:style>
  <w:style w:type="character" w:customStyle="1" w:styleId="MtgPaperNumberedListChar">
    <w:name w:val="Mtg Paper Numbered List Char"/>
    <w:basedOn w:val="DefaultParagraphFont"/>
    <w:link w:val="MtgPaperNumberedList"/>
    <w:uiPriority w:val="99"/>
    <w:locked/>
    <w:rsid w:val="001F5702"/>
    <w:rPr>
      <w:rFonts w:ascii="Verdana" w:hAnsi="Verdana" w:cs="Arial"/>
      <w:szCs w:val="19"/>
    </w:rPr>
  </w:style>
  <w:style w:type="paragraph" w:customStyle="1" w:styleId="reference">
    <w:name w:val="reference"/>
    <w:basedOn w:val="Normal"/>
    <w:uiPriority w:val="99"/>
    <w:rsid w:val="001F5702"/>
    <w:pPr>
      <w:widowControl w:val="0"/>
      <w:spacing w:before="0" w:line="240" w:lineRule="auto"/>
      <w:ind w:left="284" w:hanging="284"/>
      <w:jc w:val="both"/>
    </w:pPr>
    <w:rPr>
      <w:rFonts w:ascii="Times New Roman" w:hAnsi="Times New Roman"/>
      <w:sz w:val="24"/>
    </w:rPr>
  </w:style>
  <w:style w:type="paragraph" w:customStyle="1" w:styleId="Aboutresearch">
    <w:name w:val="About research"/>
    <w:basedOn w:val="Normal"/>
    <w:uiPriority w:val="99"/>
    <w:rsid w:val="001F5702"/>
    <w:pPr>
      <w:pBdr>
        <w:bottom w:val="single" w:sz="4" w:space="1" w:color="auto"/>
      </w:pBdr>
      <w:spacing w:before="0" w:line="240" w:lineRule="auto"/>
      <w:jc w:val="right"/>
    </w:pPr>
    <w:rPr>
      <w:rFonts w:ascii="Garamond" w:hAnsi="Garamond"/>
      <w:kern w:val="28"/>
      <w:sz w:val="60"/>
      <w:lang w:eastAsia="en-AU"/>
    </w:rPr>
  </w:style>
  <w:style w:type="character" w:customStyle="1" w:styleId="CommentTextChar">
    <w:name w:val="Comment Text Char"/>
    <w:basedOn w:val="DefaultParagraphFont"/>
    <w:link w:val="CommentText"/>
    <w:uiPriority w:val="99"/>
    <w:semiHidden/>
    <w:rsid w:val="001F5702"/>
    <w:rPr>
      <w:lang w:val="en-AU" w:eastAsia="en-AU"/>
    </w:rPr>
  </w:style>
  <w:style w:type="paragraph" w:styleId="CommentText">
    <w:name w:val="annotation text"/>
    <w:basedOn w:val="Normal"/>
    <w:link w:val="CommentTextChar"/>
    <w:uiPriority w:val="99"/>
    <w:semiHidden/>
    <w:rsid w:val="001F5702"/>
    <w:pPr>
      <w:spacing w:before="200" w:line="240" w:lineRule="auto"/>
    </w:pPr>
    <w:rPr>
      <w:rFonts w:ascii="Times New Roman" w:hAnsi="Times New Roman"/>
      <w:sz w:val="20"/>
      <w:lang w:eastAsia="en-AU"/>
    </w:rPr>
  </w:style>
  <w:style w:type="character" w:customStyle="1" w:styleId="CommentSubjectChar">
    <w:name w:val="Comment Subject Char"/>
    <w:basedOn w:val="CommentTextChar"/>
    <w:link w:val="CommentSubject"/>
    <w:uiPriority w:val="99"/>
    <w:semiHidden/>
    <w:rsid w:val="001F5702"/>
    <w:rPr>
      <w:b/>
      <w:bCs/>
    </w:rPr>
  </w:style>
  <w:style w:type="paragraph" w:styleId="CommentSubject">
    <w:name w:val="annotation subject"/>
    <w:basedOn w:val="CommentText"/>
    <w:next w:val="CommentText"/>
    <w:link w:val="CommentSubjectChar"/>
    <w:uiPriority w:val="99"/>
    <w:semiHidden/>
    <w:rsid w:val="001F5702"/>
    <w:rPr>
      <w:b/>
      <w:bCs/>
    </w:rPr>
  </w:style>
  <w:style w:type="paragraph" w:styleId="Caption">
    <w:name w:val="caption"/>
    <w:basedOn w:val="Normal"/>
    <w:next w:val="Normal"/>
    <w:uiPriority w:val="99"/>
    <w:qFormat/>
    <w:rsid w:val="001F5702"/>
    <w:pPr>
      <w:spacing w:before="0" w:line="240" w:lineRule="auto"/>
    </w:pPr>
    <w:rPr>
      <w:rFonts w:ascii="Times New Roman" w:hAnsi="Times New Roman"/>
      <w:b/>
      <w:bCs/>
      <w:sz w:val="20"/>
    </w:rPr>
  </w:style>
  <w:style w:type="paragraph" w:customStyle="1" w:styleId="Default">
    <w:name w:val="Default"/>
    <w:uiPriority w:val="99"/>
    <w:rsid w:val="001F5702"/>
    <w:pPr>
      <w:autoSpaceDE w:val="0"/>
      <w:autoSpaceDN w:val="0"/>
      <w:adjustRightInd w:val="0"/>
    </w:pPr>
    <w:rPr>
      <w:rFonts w:ascii="Verdana" w:hAnsi="Verdana" w:cs="Verdana"/>
      <w:color w:val="000000"/>
      <w:sz w:val="24"/>
      <w:szCs w:val="24"/>
      <w:lang w:val="en-AU" w:eastAsia="en-AU"/>
    </w:rPr>
  </w:style>
  <w:style w:type="character" w:styleId="Emphasis">
    <w:name w:val="Emphasis"/>
    <w:basedOn w:val="DefaultParagraphFont"/>
    <w:uiPriority w:val="99"/>
    <w:qFormat/>
    <w:rsid w:val="001F5702"/>
    <w:rPr>
      <w:rFonts w:cs="Times New Roman"/>
      <w:i/>
      <w:iCs/>
    </w:rPr>
  </w:style>
  <w:style w:type="paragraph" w:customStyle="1" w:styleId="Pa1">
    <w:name w:val="Pa1"/>
    <w:basedOn w:val="Default"/>
    <w:next w:val="Default"/>
    <w:uiPriority w:val="99"/>
    <w:rsid w:val="001F5702"/>
    <w:pPr>
      <w:spacing w:line="171" w:lineRule="atLeast"/>
    </w:pPr>
    <w:rPr>
      <w:rFonts w:ascii="Mentone Lig" w:hAnsi="Mentone Lig" w:cs="Times New Roman"/>
      <w:color w:val="auto"/>
    </w:rPr>
  </w:style>
  <w:style w:type="paragraph" w:customStyle="1" w:styleId="para">
    <w:name w:val="para"/>
    <w:basedOn w:val="Normal"/>
    <w:uiPriority w:val="99"/>
    <w:rsid w:val="001F5702"/>
    <w:pPr>
      <w:spacing w:before="0" w:after="240" w:line="240" w:lineRule="auto"/>
      <w:jc w:val="both"/>
    </w:pPr>
    <w:rPr>
      <w:rFonts w:ascii="Arial" w:hAnsi="Arial"/>
      <w:sz w:val="22"/>
    </w:rPr>
  </w:style>
  <w:style w:type="paragraph" w:customStyle="1" w:styleId="Textmorebefore">
    <w:name w:val="Text more # before"/>
    <w:basedOn w:val="Text"/>
    <w:uiPriority w:val="1"/>
    <w:qFormat/>
    <w:rsid w:val="00A35785"/>
    <w:pPr>
      <w:spacing w:before="360"/>
      <w:ind w:right="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cver@ncver.edu.au"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voced.edu.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52DB7-DFB0-440D-AD5A-9165E240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31401</Words>
  <Characters>178988</Characters>
  <Application>Microsoft Office Word</Application>
  <DocSecurity>0</DocSecurity>
  <Lines>1491</Lines>
  <Paragraphs>419</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209970</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completion: What we learn from different measures of family background</dc:title>
  <dc:subject/>
  <dc:creator>Homel et al</dc:creator>
  <cp:keywords/>
  <dc:description/>
  <cp:lastModifiedBy>julianneTreloar</cp:lastModifiedBy>
  <cp:revision>2</cp:revision>
  <cp:lastPrinted>2012-03-26T01:51:00Z</cp:lastPrinted>
  <dcterms:created xsi:type="dcterms:W3CDTF">2012-06-28T05:02:00Z</dcterms:created>
  <dcterms:modified xsi:type="dcterms:W3CDTF">2012-06-28T05:02:00Z</dcterms:modified>
</cp:coreProperties>
</file>