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27" w:rsidRDefault="00E27199" w:rsidP="00177827">
      <w:pPr>
        <w:pStyle w:val="PublicationTitle"/>
        <w:spacing w:before="0"/>
      </w:pPr>
      <w:bookmarkStart w:id="0" w:name="_Toc296423677"/>
      <w:bookmarkStart w:id="1" w:name="_Toc296497508"/>
      <w:r w:rsidRPr="00E27199">
        <w:rPr>
          <w:noProof/>
          <w:lang w:eastAsia="en-AU"/>
        </w:rPr>
        <w:drawing>
          <wp:anchor distT="0" distB="0" distL="114300" distR="114300" simplePos="0" relativeHeight="251702272" behindDoc="0" locked="0" layoutInCell="1" allowOverlap="1">
            <wp:simplePos x="0" y="0"/>
            <wp:positionH relativeFrom="column">
              <wp:posOffset>-652780</wp:posOffset>
            </wp:positionH>
            <wp:positionV relativeFrom="paragraph">
              <wp:posOffset>789940</wp:posOffset>
            </wp:positionV>
            <wp:extent cx="2781300" cy="948690"/>
            <wp:effectExtent l="19050" t="0" r="0" b="0"/>
            <wp:wrapNone/>
            <wp:docPr id="7" name="Picture 3" descr="P:\PublicationComponents\logos\Department of Industry\Dept_Industry_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ublicationComponents\logos\Department of Industry\Dept_Industry_inline.jpg"/>
                    <pic:cNvPicPr>
                      <a:picLocks noChangeAspect="1" noChangeArrowheads="1"/>
                    </pic:cNvPicPr>
                  </pic:nvPicPr>
                  <pic:blipFill>
                    <a:blip r:embed="rId8" cstate="print"/>
                    <a:srcRect/>
                    <a:stretch>
                      <a:fillRect/>
                    </a:stretch>
                  </pic:blipFill>
                  <pic:spPr bwMode="auto">
                    <a:xfrm>
                      <a:off x="0" y="0"/>
                      <a:ext cx="2781300" cy="948690"/>
                    </a:xfrm>
                    <a:prstGeom prst="rect">
                      <a:avLst/>
                    </a:prstGeom>
                    <a:noFill/>
                    <a:ln w="9525">
                      <a:noFill/>
                      <a:miter lim="800000"/>
                      <a:headEnd/>
                      <a:tailEnd/>
                    </a:ln>
                  </pic:spPr>
                </pic:pic>
              </a:graphicData>
            </a:graphic>
          </wp:anchor>
        </w:drawing>
      </w:r>
      <w:r w:rsidRPr="00E27199">
        <w:rPr>
          <w:noProof/>
          <w:lang w:eastAsia="en-AU"/>
        </w:rPr>
        <w:drawing>
          <wp:anchor distT="0" distB="0" distL="114300" distR="114300" simplePos="0" relativeHeight="251703296" behindDoc="0" locked="0" layoutInCell="1" allowOverlap="1">
            <wp:simplePos x="0" y="0"/>
            <wp:positionH relativeFrom="column">
              <wp:posOffset>-447040</wp:posOffset>
            </wp:positionH>
            <wp:positionV relativeFrom="paragraph">
              <wp:posOffset>184150</wp:posOffset>
            </wp:positionV>
            <wp:extent cx="2461260" cy="525780"/>
            <wp:effectExtent l="19050" t="0" r="0" b="0"/>
            <wp:wrapNone/>
            <wp:docPr id="8" name="Picture 3" descr="P:\PublicationComponents\logos\NCVER LOGOS\WMF - word\No lines\NCVER_Floating_Mon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ublicationComponents\logos\NCVER LOGOS\WMF - word\No lines\NCVER_Floating_Mono.wmf"/>
                    <pic:cNvPicPr>
                      <a:picLocks noChangeAspect="1" noChangeArrowheads="1"/>
                    </pic:cNvPicPr>
                  </pic:nvPicPr>
                  <pic:blipFill>
                    <a:blip r:embed="rId9" cstate="print"/>
                    <a:srcRect/>
                    <a:stretch>
                      <a:fillRect/>
                    </a:stretch>
                  </pic:blipFill>
                  <pic:spPr bwMode="auto">
                    <a:xfrm>
                      <a:off x="0" y="0"/>
                      <a:ext cx="2461260" cy="525780"/>
                    </a:xfrm>
                    <a:prstGeom prst="rect">
                      <a:avLst/>
                    </a:prstGeom>
                    <a:noFill/>
                    <a:ln w="9525">
                      <a:noFill/>
                      <a:miter lim="800000"/>
                      <a:headEnd/>
                      <a:tailEnd/>
                    </a:ln>
                  </pic:spPr>
                </pic:pic>
              </a:graphicData>
            </a:graphic>
          </wp:anchor>
        </w:drawing>
      </w:r>
    </w:p>
    <w:p w:rsidR="00177827" w:rsidRDefault="00177827" w:rsidP="00A56A4A">
      <w:pPr>
        <w:pStyle w:val="PublicationTitle"/>
        <w:spacing w:before="0" w:after="0"/>
      </w:pPr>
    </w:p>
    <w:p w:rsidR="007C75D3" w:rsidRDefault="007C75D3" w:rsidP="00177827">
      <w:pPr>
        <w:pStyle w:val="PublicationTitle"/>
        <w:spacing w:before="0"/>
      </w:pPr>
    </w:p>
    <w:p w:rsidR="009E231A" w:rsidRDefault="00F263B4" w:rsidP="00C304A9">
      <w:pPr>
        <w:pStyle w:val="PublicationTitle"/>
        <w:spacing w:before="0"/>
        <w:ind w:right="-143"/>
      </w:pPr>
      <w:r w:rsidRPr="00F263B4">
        <w:t xml:space="preserve">Transitioning from </w:t>
      </w:r>
      <w:r w:rsidR="006C24B8">
        <w:t>vocational</w:t>
      </w:r>
      <w:r w:rsidR="00C304A9">
        <w:t xml:space="preserve"> </w:t>
      </w:r>
      <w:r w:rsidR="006C24B8">
        <w:t>education and training</w:t>
      </w:r>
      <w:r w:rsidRPr="00F263B4">
        <w:t xml:space="preserve"> to university: </w:t>
      </w:r>
      <w:r w:rsidR="00186590">
        <w:t>s</w:t>
      </w:r>
      <w:r w:rsidRPr="00F263B4">
        <w:t xml:space="preserve">trengthening information literacy through collaboration </w:t>
      </w:r>
      <w:bookmarkEnd w:id="0"/>
      <w:bookmarkEnd w:id="1"/>
    </w:p>
    <w:p w:rsidR="00747586" w:rsidRDefault="00747586" w:rsidP="00747586">
      <w:pPr>
        <w:pStyle w:val="Authors"/>
      </w:pPr>
      <w:bookmarkStart w:id="2" w:name="_Toc296423678"/>
      <w:bookmarkStart w:id="3" w:name="_Toc296497509"/>
      <w:r>
        <w:t>Sonia White</w:t>
      </w:r>
    </w:p>
    <w:bookmarkEnd w:id="2"/>
    <w:bookmarkEnd w:id="3"/>
    <w:p w:rsidR="00747586" w:rsidRDefault="00747586" w:rsidP="00747586">
      <w:pPr>
        <w:pStyle w:val="Organisation"/>
      </w:pPr>
      <w:r>
        <w:t>School of Early Childhood, Queensland University of Technology</w:t>
      </w:r>
    </w:p>
    <w:p w:rsidR="00DB599C" w:rsidRDefault="00A04EA9" w:rsidP="0006125F">
      <w:pPr>
        <w:pStyle w:val="Heading3"/>
        <w:ind w:right="-1"/>
      </w:pPr>
      <w:r>
        <w:rPr>
          <w:noProof/>
          <w:lang w:eastAsia="en-AU"/>
        </w:rPr>
        <w:pict>
          <v:shapetype id="_x0000_t202" coordsize="21600,21600" o:spt="202" path="m,l,21600r21600,l21600,xe">
            <v:stroke joinstyle="miter"/>
            <v:path gradientshapeok="t" o:connecttype="rect"/>
          </v:shapetype>
          <v:shape id="Text Box 10" o:spid="_x0000_s1028" type="#_x0000_t202" style="position:absolute;margin-left:73.1pt;margin-top:659.7pt;width:357pt;height:83pt;z-index:251658240;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niTuQ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" filled="f" stroked="f">
            <v:textbox>
              <w:txbxContent>
                <w:p w:rsidR="00DA00D3" w:rsidRDefault="00DA00D3" w:rsidP="006C5DA9">
                  <w:pPr>
                    <w:pStyle w:val="Imprint"/>
                    <w:spacing w:before="0"/>
                    <w:ind w:left="142" w:right="10"/>
                    <w:rPr>
                      <w:color w:val="000000"/>
                    </w:rPr>
                  </w:pPr>
                  <w:r w:rsidRPr="005C2FCF">
                    <w:rPr>
                      <w:color w:val="000000"/>
                    </w:rPr>
                    <w:t>The views and opinions expressed in this document are those of the author/</w:t>
                  </w:r>
                  <w:r>
                    <w:rPr>
                      <w:color w:val="000000"/>
                    </w:rPr>
                    <w:br/>
                  </w:r>
                  <w:r w:rsidRPr="005C2FCF">
                    <w:rPr>
                      <w:color w:val="000000"/>
                    </w:rPr>
                    <w:t>project</w:t>
                  </w:r>
                  <w:r>
                    <w:rPr>
                      <w:color w:val="000000"/>
                    </w:rPr>
                    <w:t xml:space="preserve"> </w:t>
                  </w:r>
                  <w:r w:rsidRPr="005C2FCF">
                    <w:rPr>
                      <w:color w:val="000000"/>
                    </w:rPr>
                    <w:t xml:space="preserve">team and do not necessarily reflect the views of the Australian Government, </w:t>
                  </w:r>
                  <w:r>
                    <w:rPr>
                      <w:color w:val="000000"/>
                    </w:rPr>
                    <w:br/>
                  </w:r>
                  <w:r w:rsidRPr="005C2FCF">
                    <w:rPr>
                      <w:color w:val="000000"/>
                    </w:rPr>
                    <w:t>state and territory governments or NCVER.</w:t>
                  </w:r>
                </w:p>
                <w:p w:rsidR="00DA00D3" w:rsidRDefault="00DA00D3" w:rsidP="00C304A9">
                  <w:pPr>
                    <w:pStyle w:val="Imprint"/>
                    <w:spacing w:before="120"/>
                    <w:ind w:left="142" w:right="10"/>
                  </w:pPr>
                  <w:r w:rsidRPr="005C2FCF">
                    <w:rPr>
                      <w:color w:val="000000"/>
                    </w:rPr>
                    <w:t>Any interpretation of data is the responsibility of the author/project team.</w:t>
                  </w:r>
                </w:p>
              </w:txbxContent>
            </v:textbox>
            <w10:wrap anchory="margin"/>
          </v:shape>
        </w:pict>
      </w:r>
    </w:p>
    <w:p w:rsidR="00186590" w:rsidRDefault="00A04EA9">
      <w:pPr>
        <w:spacing w:before="0" w:line="240" w:lineRule="auto"/>
        <w:rPr>
          <w:rFonts w:ascii="Tahoma" w:hAnsi="Tahoma" w:cs="Tahoma"/>
          <w:color w:val="000000"/>
          <w:sz w:val="24"/>
        </w:rPr>
      </w:pPr>
      <w:r w:rsidRPr="00A04EA9">
        <w:rPr>
          <w:noProof/>
          <w:lang w:eastAsia="en-AU"/>
        </w:rPr>
        <w:pict>
          <v:shape id="Text Box 12" o:spid="_x0000_s1027" type="#_x0000_t202" style="position:absolute;margin-left:79.95pt;margin-top:555.35pt;width:230.9pt;height:83pt;z-index:251660288;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6B8uQIAAMM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" filled="f" stroked="f">
            <v:textbox>
              <w:txbxContent>
                <w:p w:rsidR="00DA00D3" w:rsidRPr="002E61AB" w:rsidRDefault="00DA00D3" w:rsidP="00186590">
                  <w:pPr>
                    <w:pStyle w:val="Heading3"/>
                  </w:pPr>
                  <w:r w:rsidRPr="002E61AB">
                    <w:t xml:space="preserve">NATIONAL VOCATIONAL EDUCATION AND TRAINING RESEARCH PROGRAM </w:t>
                  </w:r>
                </w:p>
                <w:p w:rsidR="00DA00D3" w:rsidRDefault="00DA00D3" w:rsidP="00C304A9">
                  <w:pPr>
                    <w:pStyle w:val="Heading3"/>
                    <w:spacing w:before="120"/>
                  </w:pPr>
                  <w:r>
                    <w:rPr>
                      <w:b/>
                    </w:rPr>
                    <w:t xml:space="preserve">RESEARCH </w:t>
                  </w:r>
                  <w:r w:rsidRPr="002E61AB">
                    <w:rPr>
                      <w:b/>
                    </w:rPr>
                    <w:t>REPORT</w:t>
                  </w:r>
                </w:p>
              </w:txbxContent>
            </v:textbox>
            <w10:wrap anchory="margin"/>
          </v:shape>
        </w:pict>
      </w:r>
      <w:r w:rsidR="00186590">
        <w:br w:type="page"/>
      </w:r>
    </w:p>
    <w:p w:rsidR="009E231A" w:rsidRDefault="00FE4A2D" w:rsidP="00E57478">
      <w:pPr>
        <w:pStyle w:val="Heading3"/>
        <w:ind w:right="-1"/>
      </w:pPr>
      <w:r w:rsidRPr="005C2FCF">
        <w:lastRenderedPageBreak/>
        <w:t>Publisher’s note</w:t>
      </w:r>
    </w:p>
    <w:p w:rsidR="00B57028" w:rsidRDefault="00B57028" w:rsidP="00C304A9">
      <w:pPr>
        <w:pStyle w:val="Imprint"/>
        <w:ind w:right="1133"/>
      </w:pPr>
      <w:r w:rsidRPr="007541D1">
        <w:t xml:space="preserve">This research was funded </w:t>
      </w:r>
      <w:r>
        <w:t>through an early career researcher funding round. These grants pr</w:t>
      </w:r>
      <w:r w:rsidRPr="007541D1">
        <w:t>ovide</w:t>
      </w:r>
      <w:r>
        <w:t>d</w:t>
      </w:r>
      <w:r w:rsidRPr="007541D1">
        <w:t xml:space="preserve"> an opportunity for early career researchers, from disciplines such as economics and the social sciences, to undertake a modest research project in a t</w:t>
      </w:r>
      <w:r>
        <w:t>opic relevant to NCVER’s remit.</w:t>
      </w:r>
    </w:p>
    <w:p w:rsidR="00581779" w:rsidRPr="00581779" w:rsidRDefault="00581779" w:rsidP="00C304A9">
      <w:pPr>
        <w:pStyle w:val="Imprint"/>
        <w:ind w:right="1133"/>
      </w:pPr>
      <w:r w:rsidRPr="00581779">
        <w:t xml:space="preserve">To find other material of interest, search </w:t>
      </w:r>
      <w:proofErr w:type="spellStart"/>
      <w:r w:rsidRPr="00581779">
        <w:t>VOCEDplus</w:t>
      </w:r>
      <w:proofErr w:type="spellEnd"/>
      <w:r w:rsidRPr="00581779">
        <w:t xml:space="preserve"> (the UNESCO/NCVER international database &lt;</w:t>
      </w:r>
      <w:hyperlink r:id="rId10" w:history="1">
        <w:r w:rsidRPr="00581779">
          <w:t>http://www.voced.edu.au</w:t>
        </w:r>
      </w:hyperlink>
      <w:r w:rsidRPr="00581779">
        <w:t xml:space="preserve">&gt;) using the following keywords: </w:t>
      </w:r>
      <w:r w:rsidRPr="00581779">
        <w:rPr>
          <w:i/>
        </w:rPr>
        <w:t>information literacy; pathways; skills and knowledge; students; TAFE; teaching and learning; tertiary education; university; vocational education and training</w:t>
      </w:r>
      <w:r>
        <w:rPr>
          <w:i/>
        </w:rPr>
        <w:t>.</w:t>
      </w:r>
    </w:p>
    <w:p w:rsidR="00FF5931" w:rsidRDefault="00FF5931" w:rsidP="00233BFA">
      <w:pPr>
        <w:pStyle w:val="Imprint"/>
        <w:rPr>
          <w:sz w:val="19"/>
          <w:szCs w:val="19"/>
        </w:rPr>
      </w:pPr>
    </w:p>
    <w:p w:rsidR="009E231A" w:rsidRPr="00C77DC6" w:rsidRDefault="00A04EA9" w:rsidP="0049453B">
      <w:pPr>
        <w:pStyle w:val="Abouttheresearch"/>
      </w:pPr>
      <w:r>
        <w:rPr>
          <w:noProof/>
          <w:lang w:eastAsia="en-AU"/>
        </w:rPr>
        <w:pict>
          <v:shape id="Text Box 14" o:spid="_x0000_s1030" type="#_x0000_t202" style="position:absolute;margin-left:0;margin-top:41.6pt;width:379.95pt;height:538.6pt;z-index:251661312;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" filled="f" stroked="f">
            <v:textbox inset="0,,0">
              <w:txbxContent>
                <w:p w:rsidR="00DA00D3" w:rsidRPr="00021B4E" w:rsidRDefault="00DA00D3" w:rsidP="00186590">
                  <w:pPr>
                    <w:pStyle w:val="Imprint"/>
                    <w:rPr>
                      <w:b/>
                      <w:szCs w:val="16"/>
                    </w:rPr>
                  </w:pPr>
                  <w:r w:rsidRPr="00021B4E">
                    <w:rPr>
                      <w:b/>
                      <w:szCs w:val="16"/>
                    </w:rPr>
                    <w:t>© Commonwealth of Australia, 2014</w:t>
                  </w:r>
                </w:p>
                <w:p w:rsidR="00DA00D3" w:rsidRPr="00021B4E" w:rsidRDefault="00DA00D3" w:rsidP="00186590">
                  <w:pPr>
                    <w:pStyle w:val="Imprint"/>
                    <w:rPr>
                      <w:szCs w:val="16"/>
                    </w:rPr>
                  </w:pPr>
                  <w:r w:rsidRPr="00021B4E">
                    <w:rPr>
                      <w:noProof/>
                      <w:szCs w:val="16"/>
                      <w:lang w:eastAsia="en-AU"/>
                    </w:rPr>
                    <w:drawing>
                      <wp:inline distT="0" distB="0" distL="0" distR="0">
                        <wp:extent cx="836930" cy="293370"/>
                        <wp:effectExtent l="19050" t="0" r="1270" b="0"/>
                        <wp:docPr id="3" name="licensebutton" descr="Creative Commons Licen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a:hlinkClick r:id="rId11"/>
                                </pic:cNvPr>
                                <pic:cNvPicPr>
                                  <a:picLocks noChangeAspect="1" noChangeArrowheads="1"/>
                                </pic:cNvPicPr>
                              </pic:nvPicPr>
                              <pic:blipFill>
                                <a:blip r:embed="rId12"/>
                                <a:srcRect/>
                                <a:stretch>
                                  <a:fillRect/>
                                </a:stretch>
                              </pic:blipFill>
                              <pic:spPr bwMode="auto">
                                <a:xfrm>
                                  <a:off x="0" y="0"/>
                                  <a:ext cx="836930" cy="293370"/>
                                </a:xfrm>
                                <a:prstGeom prst="rect">
                                  <a:avLst/>
                                </a:prstGeom>
                                <a:noFill/>
                                <a:ln w="9525">
                                  <a:noFill/>
                                  <a:miter lim="800000"/>
                                  <a:headEnd/>
                                  <a:tailEnd/>
                                </a:ln>
                              </pic:spPr>
                            </pic:pic>
                          </a:graphicData>
                        </a:graphic>
                      </wp:inline>
                    </w:drawing>
                  </w:r>
                </w:p>
                <w:p w:rsidR="00DA00D3" w:rsidRPr="00021B4E" w:rsidRDefault="00DA00D3" w:rsidP="00186590">
                  <w:pPr>
                    <w:pStyle w:val="Imprint"/>
                    <w:rPr>
                      <w:szCs w:val="16"/>
                    </w:rPr>
                  </w:pPr>
                  <w:r w:rsidRPr="00021B4E">
                    <w:rPr>
                      <w:szCs w:val="16"/>
                    </w:rPr>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DA00D3" w:rsidRPr="00021B4E" w:rsidRDefault="00DA00D3" w:rsidP="00C304A9">
                  <w:pPr>
                    <w:pStyle w:val="Imprint"/>
                    <w:spacing w:before="80"/>
                    <w:rPr>
                      <w:szCs w:val="16"/>
                    </w:rPr>
                  </w:pPr>
                  <w:r w:rsidRPr="00021B4E">
                    <w:rPr>
                      <w:szCs w:val="16"/>
                    </w:rPr>
                    <w:t>The details of the relevant licence conditions are available on the Creative Commons website (accessible</w:t>
                  </w:r>
                  <w:r>
                    <w:rPr>
                      <w:szCs w:val="16"/>
                    </w:rPr>
                    <w:t> </w:t>
                  </w:r>
                  <w:r w:rsidRPr="00021B4E">
                    <w:rPr>
                      <w:szCs w:val="16"/>
                    </w:rPr>
                    <w:t>using the links provided) as is the full legal code for the CC BY 3.0 AU licence &lt;http://creativecommons.org/licenses/by/3.0/legalcode&gt;.</w:t>
                  </w:r>
                </w:p>
                <w:p w:rsidR="00DA00D3" w:rsidRPr="00021B4E" w:rsidRDefault="00DA00D3" w:rsidP="00C304A9">
                  <w:pPr>
                    <w:pStyle w:val="Imprint"/>
                    <w:spacing w:before="80"/>
                    <w:rPr>
                      <w:szCs w:val="16"/>
                    </w:rPr>
                  </w:pPr>
                  <w:r w:rsidRPr="00021B4E">
                    <w:rPr>
                      <w:szCs w:val="16"/>
                    </w:rPr>
                    <w:t>The Creative Commons licence conditions do not apply to all logos, graphic design, artwork and photographs. Requests and enquiries concerning other reproduction and rights should be directed to the</w:t>
                  </w:r>
                  <w:r>
                    <w:rPr>
                      <w:szCs w:val="16"/>
                    </w:rPr>
                    <w:t> </w:t>
                  </w:r>
                  <w:r w:rsidRPr="00021B4E">
                    <w:rPr>
                      <w:szCs w:val="16"/>
                    </w:rPr>
                    <w:t>National Centre for Vocational Education Research (NCVER).</w:t>
                  </w:r>
                </w:p>
                <w:p w:rsidR="00DA00D3" w:rsidRPr="00021B4E" w:rsidRDefault="00DA00D3" w:rsidP="00186590">
                  <w:pPr>
                    <w:pStyle w:val="Imprint"/>
                  </w:pPr>
                  <w:r w:rsidRPr="00021B4E">
                    <w:rPr>
                      <w:szCs w:val="16"/>
                    </w:rPr>
                    <w:t xml:space="preserve">This document should be attributed as </w:t>
                  </w:r>
                  <w:r>
                    <w:rPr>
                      <w:szCs w:val="16"/>
                    </w:rPr>
                    <w:t>White, S</w:t>
                  </w:r>
                  <w:r w:rsidRPr="00021B4E">
                    <w:rPr>
                      <w:szCs w:val="16"/>
                    </w:rPr>
                    <w:t xml:space="preserve"> </w:t>
                  </w:r>
                  <w:r w:rsidRPr="00021B4E">
                    <w:rPr>
                      <w:rStyle w:val="Hyperlink"/>
                      <w:sz w:val="16"/>
                    </w:rPr>
                    <w:t>2014</w:t>
                  </w:r>
                  <w:r w:rsidRPr="00021B4E">
                    <w:rPr>
                      <w:szCs w:val="16"/>
                    </w:rPr>
                    <w:t xml:space="preserve">, </w:t>
                  </w:r>
                  <w:bookmarkStart w:id="4" w:name="OLE_LINK3"/>
                  <w:proofErr w:type="gramStart"/>
                  <w:r>
                    <w:rPr>
                      <w:rStyle w:val="Hyperlink"/>
                      <w:i/>
                      <w:sz w:val="16"/>
                    </w:rPr>
                    <w:t>Transitioning</w:t>
                  </w:r>
                  <w:proofErr w:type="gramEnd"/>
                  <w:r>
                    <w:rPr>
                      <w:rStyle w:val="Hyperlink"/>
                      <w:i/>
                      <w:sz w:val="16"/>
                    </w:rPr>
                    <w:t xml:space="preserve"> from VET to university</w:t>
                  </w:r>
                  <w:bookmarkEnd w:id="4"/>
                  <w:r>
                    <w:rPr>
                      <w:rStyle w:val="Hyperlink"/>
                      <w:i/>
                      <w:sz w:val="16"/>
                    </w:rPr>
                    <w:t>: strengthening information literacy through collaboration</w:t>
                  </w:r>
                  <w:r w:rsidRPr="00021B4E">
                    <w:t>, NCVER, Adelaide.</w:t>
                  </w:r>
                </w:p>
                <w:p w:rsidR="00DA00D3" w:rsidRPr="00EC29E3" w:rsidRDefault="00DA00D3" w:rsidP="00541B94">
                  <w:pPr>
                    <w:pStyle w:val="Imprint"/>
                    <w:ind w:right="1700"/>
                    <w:rPr>
                      <w:smallCaps/>
                      <w:color w:val="000000"/>
                    </w:rPr>
                  </w:pPr>
                  <w:r>
                    <w:rPr>
                      <w:smallCaps/>
                      <w:color w:val="000000"/>
                    </w:rPr>
                    <w:t>COVER IMAGE: GETTY IMAGES/THINKSTOCK</w:t>
                  </w:r>
                </w:p>
                <w:p w:rsidR="00DA00D3" w:rsidRPr="005C2FCF" w:rsidRDefault="00DA00D3" w:rsidP="00A30084">
                  <w:pPr>
                    <w:pStyle w:val="Imprint"/>
                    <w:rPr>
                      <w:color w:val="000000"/>
                    </w:rPr>
                  </w:pPr>
                  <w:r w:rsidRPr="005C2FCF">
                    <w:rPr>
                      <w:color w:val="000000"/>
                    </w:rPr>
                    <w:t>ISBN</w:t>
                  </w:r>
                  <w:r w:rsidRPr="005C2FCF">
                    <w:rPr>
                      <w:color w:val="000000"/>
                    </w:rPr>
                    <w:tab/>
                  </w:r>
                  <w:r w:rsidRPr="00D041EC">
                    <w:rPr>
                      <w:color w:val="000000"/>
                    </w:rPr>
                    <w:t>978 1 922056 77 1</w:t>
                  </w:r>
                  <w:r>
                    <w:rPr>
                      <w:color w:val="000000"/>
                    </w:rPr>
                    <w:br/>
                  </w:r>
                  <w:r w:rsidRPr="005C2FCF">
                    <w:rPr>
                      <w:color w:val="000000"/>
                    </w:rPr>
                    <w:t>TD/TNC</w:t>
                  </w:r>
                  <w:r w:rsidRPr="005C2FCF">
                    <w:rPr>
                      <w:color w:val="000000"/>
                    </w:rPr>
                    <w:tab/>
                  </w:r>
                  <w:r>
                    <w:rPr>
                      <w:color w:val="000000"/>
                    </w:rPr>
                    <w:t>115.04</w:t>
                  </w:r>
                </w:p>
                <w:p w:rsidR="00DA00D3" w:rsidRPr="005C2FCF" w:rsidRDefault="00DA00D3" w:rsidP="00C304A9">
                  <w:pPr>
                    <w:pStyle w:val="Imprint"/>
                    <w:spacing w:before="80"/>
                    <w:rPr>
                      <w:color w:val="000000"/>
                    </w:rPr>
                  </w:pPr>
                  <w:r w:rsidRPr="005C2FCF">
                    <w:rPr>
                      <w:color w:val="000000"/>
                    </w:rPr>
                    <w:t>Published by NCVER</w:t>
                  </w:r>
                  <w:r>
                    <w:rPr>
                      <w:color w:val="000000"/>
                    </w:rPr>
                    <w:t xml:space="preserve">, </w:t>
                  </w:r>
                  <w:r w:rsidRPr="005C2FCF">
                    <w:rPr>
                      <w:color w:val="000000"/>
                    </w:rPr>
                    <w:t>ABN 87 007 967 311</w:t>
                  </w:r>
                </w:p>
                <w:p w:rsidR="00DA00D3" w:rsidRPr="005C2FCF" w:rsidRDefault="00DA00D3" w:rsidP="00C304A9">
                  <w:pPr>
                    <w:pStyle w:val="Imprint"/>
                    <w:spacing w:before="80"/>
                    <w:rPr>
                      <w:color w:val="000000"/>
                    </w:rPr>
                  </w:pPr>
                  <w:r w:rsidRPr="005C2FCF">
                    <w:rPr>
                      <w:color w:val="000000"/>
                    </w:rPr>
                    <w:t>Level 11, 33 King William Street, Adelaide SA 5000</w:t>
                  </w:r>
                  <w:r w:rsidRPr="005C2FCF">
                    <w:rPr>
                      <w:color w:val="000000"/>
                    </w:rPr>
                    <w:br/>
                    <w:t>PO Box 8288 Station Arcade, Adelaide SA 5000, Australia</w:t>
                  </w:r>
                </w:p>
                <w:p w:rsidR="00DA00D3" w:rsidRPr="00541B94" w:rsidRDefault="00DA00D3" w:rsidP="00C304A9">
                  <w:pPr>
                    <w:pStyle w:val="Imprint"/>
                    <w:spacing w:before="80"/>
                    <w:rPr>
                      <w:color w:val="000000"/>
                    </w:rPr>
                  </w:pPr>
                  <w:r w:rsidRPr="00C304A9">
                    <w:rPr>
                      <w:b/>
                      <w:color w:val="000000"/>
                    </w:rPr>
                    <w:t>P</w:t>
                  </w:r>
                  <w:r w:rsidRPr="005C2FCF">
                    <w:rPr>
                      <w:color w:val="000000"/>
                    </w:rPr>
                    <w:t xml:space="preserve"> +61 8 8230 8400 </w:t>
                  </w:r>
                  <w:r>
                    <w:rPr>
                      <w:color w:val="000000"/>
                    </w:rPr>
                    <w:t xml:space="preserve">  </w:t>
                  </w:r>
                  <w:r w:rsidRPr="00C304A9">
                    <w:rPr>
                      <w:b/>
                      <w:color w:val="000000"/>
                    </w:rPr>
                    <w:t>F</w:t>
                  </w:r>
                  <w:r w:rsidRPr="005C2FCF">
                    <w:rPr>
                      <w:color w:val="000000"/>
                    </w:rPr>
                    <w:t xml:space="preserve"> +61 8 8212 3436</w:t>
                  </w:r>
                  <w:r>
                    <w:rPr>
                      <w:color w:val="000000"/>
                    </w:rPr>
                    <w:t xml:space="preserve">   </w:t>
                  </w:r>
                  <w:r w:rsidRPr="00C304A9">
                    <w:rPr>
                      <w:b/>
                      <w:color w:val="000000"/>
                    </w:rPr>
                    <w:t>E</w:t>
                  </w:r>
                  <w:r w:rsidRPr="005C2FCF">
                    <w:rPr>
                      <w:color w:val="000000"/>
                    </w:rPr>
                    <w:t xml:space="preserve"> </w:t>
                  </w:r>
                  <w:hyperlink r:id="rId13" w:history="1">
                    <w:r w:rsidRPr="00441898">
                      <w:rPr>
                        <w:rStyle w:val="Hyperlink"/>
                        <w:sz w:val="16"/>
                      </w:rPr>
                      <w:t>ncver@ncver.edu.au</w:t>
                    </w:r>
                  </w:hyperlink>
                  <w:r>
                    <w:rPr>
                      <w:color w:val="000000"/>
                    </w:rPr>
                    <w:t xml:space="preserve">   </w:t>
                  </w:r>
                  <w:r w:rsidRPr="00C304A9">
                    <w:rPr>
                      <w:b/>
                      <w:color w:val="000000"/>
                    </w:rPr>
                    <w:t>W</w:t>
                  </w:r>
                  <w:r>
                    <w:rPr>
                      <w:color w:val="000000"/>
                    </w:rPr>
                    <w:t xml:space="preserve"> </w:t>
                  </w:r>
                  <w:r w:rsidRPr="005C2FCF">
                    <w:rPr>
                      <w:color w:val="000000"/>
                    </w:rPr>
                    <w:t>&lt; www.ncver.edu.au&gt;</w:t>
                  </w:r>
                  <w:r>
                    <w:rPr>
                      <w:color w:val="000000"/>
                    </w:rPr>
                    <w:t xml:space="preserve"> </w:t>
                  </w:r>
                </w:p>
              </w:txbxContent>
            </v:textbox>
          </v:shape>
        </w:pict>
      </w:r>
      <w:r w:rsidR="00FE4A2D" w:rsidRPr="005C2FCF">
        <w:br w:type="page"/>
      </w:r>
      <w:bookmarkStart w:id="5" w:name="_Toc73766312"/>
      <w:bookmarkStart w:id="6" w:name="_Toc77937774"/>
      <w:bookmarkStart w:id="7" w:name="_Toc80174750"/>
      <w:bookmarkStart w:id="8" w:name="_Toc81560506"/>
      <w:bookmarkStart w:id="9" w:name="_Toc82071799"/>
      <w:bookmarkStart w:id="10" w:name="_Toc82151754"/>
      <w:bookmarkStart w:id="11" w:name="_Toc82498260"/>
      <w:bookmarkStart w:id="12" w:name="_Toc86829097"/>
      <w:bookmarkStart w:id="13" w:name="_Toc89226248"/>
      <w:bookmarkStart w:id="14" w:name="_Toc89240893"/>
      <w:bookmarkStart w:id="15" w:name="_Toc98394875"/>
      <w:bookmarkStart w:id="16" w:name="_Toc296423679"/>
      <w:bookmarkStart w:id="17" w:name="_Toc296497510"/>
      <w:r w:rsidR="00FE4A2D" w:rsidRPr="005C2FCF">
        <w:lastRenderedPageBreak/>
        <w:t>About the research</w:t>
      </w:r>
      <w:bookmarkEnd w:id="5"/>
      <w:bookmarkEnd w:id="6"/>
      <w:bookmarkEnd w:id="7"/>
      <w:bookmarkEnd w:id="8"/>
      <w:bookmarkEnd w:id="9"/>
      <w:bookmarkEnd w:id="10"/>
      <w:bookmarkEnd w:id="11"/>
      <w:bookmarkEnd w:id="12"/>
      <w:bookmarkEnd w:id="13"/>
      <w:bookmarkEnd w:id="14"/>
      <w:bookmarkEnd w:id="15"/>
      <w:bookmarkEnd w:id="16"/>
      <w:bookmarkEnd w:id="17"/>
    </w:p>
    <w:p w:rsidR="001B43CF" w:rsidRDefault="00F263B4" w:rsidP="00F93048">
      <w:pPr>
        <w:pStyle w:val="Abouttheresearchpubtitle"/>
      </w:pPr>
      <w:bookmarkStart w:id="18" w:name="_Toc296423680"/>
      <w:bookmarkStart w:id="19" w:name="_Toc296497511"/>
      <w:bookmarkStart w:id="20" w:name="_Toc98394877"/>
      <w:r w:rsidRPr="00F263B4">
        <w:t xml:space="preserve">Transitioning from </w:t>
      </w:r>
      <w:r w:rsidR="006C24B8">
        <w:t>vocational education and training to university: s</w:t>
      </w:r>
      <w:r w:rsidRPr="00F263B4">
        <w:t xml:space="preserve">trengthening information literacy through collaboration </w:t>
      </w:r>
      <w:bookmarkEnd w:id="18"/>
      <w:bookmarkEnd w:id="19"/>
    </w:p>
    <w:p w:rsidR="003322D8" w:rsidRDefault="003322D8" w:rsidP="003322D8">
      <w:pPr>
        <w:pStyle w:val="Heading3"/>
      </w:pPr>
      <w:r>
        <w:t>Sonia White, Queensland University of Technology</w:t>
      </w:r>
    </w:p>
    <w:bookmarkEnd w:id="20"/>
    <w:p w:rsidR="002A3C9F" w:rsidRDefault="002A4213" w:rsidP="0048643A">
      <w:pPr>
        <w:pStyle w:val="Text"/>
      </w:pPr>
      <w:r>
        <w:t xml:space="preserve">Students transitioning from </w:t>
      </w:r>
      <w:r w:rsidR="006C24B8">
        <w:t>vocational education and training (</w:t>
      </w:r>
      <w:r>
        <w:t>VET</w:t>
      </w:r>
      <w:r w:rsidR="006C24B8">
        <w:t>)</w:t>
      </w:r>
      <w:r>
        <w:t xml:space="preserve"> to university can face numerous challenges, many of which have been documented in the literature. </w:t>
      </w:r>
      <w:r w:rsidR="0085204A">
        <w:t>The inherent differences between the sectors</w:t>
      </w:r>
      <w:r w:rsidR="006C24B8">
        <w:t xml:space="preserve"> </w:t>
      </w:r>
      <w:r w:rsidR="0085204A">
        <w:t>—</w:t>
      </w:r>
      <w:r w:rsidR="006C24B8">
        <w:t xml:space="preserve"> </w:t>
      </w:r>
      <w:r w:rsidR="00C53A5F">
        <w:t>including the competency-</w:t>
      </w:r>
      <w:r w:rsidR="0085204A">
        <w:t xml:space="preserve">based focus of </w:t>
      </w:r>
      <w:r w:rsidR="006C24B8">
        <w:t>vocational education and training</w:t>
      </w:r>
      <w:r w:rsidR="0085204A">
        <w:t xml:space="preserve"> compared </w:t>
      </w:r>
      <w:r w:rsidR="006C24B8">
        <w:t>with</w:t>
      </w:r>
      <w:r w:rsidR="0085204A">
        <w:t xml:space="preserve"> the curricula focus of higher education</w:t>
      </w:r>
      <w:r w:rsidR="006C24B8">
        <w:t xml:space="preserve"> </w:t>
      </w:r>
      <w:r w:rsidR="0085204A">
        <w:t>—</w:t>
      </w:r>
      <w:r w:rsidR="006C24B8">
        <w:t xml:space="preserve"> </w:t>
      </w:r>
      <w:r w:rsidR="0085204A">
        <w:t xml:space="preserve">means that transitioning students have to adjust to different </w:t>
      </w:r>
      <w:r w:rsidR="00B46C0A">
        <w:t xml:space="preserve">learning </w:t>
      </w:r>
      <w:r w:rsidR="0085204A">
        <w:t xml:space="preserve">cultures, expectations and means of assessment. </w:t>
      </w:r>
    </w:p>
    <w:p w:rsidR="009E231A" w:rsidRDefault="00D51E32" w:rsidP="0048643A">
      <w:pPr>
        <w:pStyle w:val="Text"/>
      </w:pPr>
      <w:r>
        <w:t>This</w:t>
      </w:r>
      <w:r w:rsidR="002A3C9F">
        <w:t xml:space="preserve"> small</w:t>
      </w:r>
      <w:r>
        <w:t xml:space="preserve"> study focuses on information literacy skill needs and investigates how th</w:t>
      </w:r>
      <w:r w:rsidR="006C24B8">
        <w:t>ese differ</w:t>
      </w:r>
      <w:r>
        <w:t xml:space="preserve"> </w:t>
      </w:r>
      <w:r w:rsidR="00FA3387">
        <w:t>between</w:t>
      </w:r>
      <w:r>
        <w:t xml:space="preserve"> students studying earl</w:t>
      </w:r>
      <w:r w:rsidR="006C24B8">
        <w:t>y childhood-</w:t>
      </w:r>
      <w:r>
        <w:t>related courses in TAFE</w:t>
      </w:r>
      <w:r w:rsidR="006C24B8">
        <w:t xml:space="preserve"> (technical and further education)</w:t>
      </w:r>
      <w:r>
        <w:t xml:space="preserve"> </w:t>
      </w:r>
      <w:r w:rsidR="00C53A5F">
        <w:t xml:space="preserve">institutes </w:t>
      </w:r>
      <w:r>
        <w:t xml:space="preserve">and </w:t>
      </w:r>
      <w:r w:rsidR="00FA3387">
        <w:t xml:space="preserve">those studying at </w:t>
      </w:r>
      <w:r>
        <w:t>university.</w:t>
      </w:r>
      <w:r w:rsidR="002A3C9F">
        <w:t xml:space="preserve"> Based on a survey and follow-up interviews</w:t>
      </w:r>
      <w:r w:rsidR="00022525">
        <w:t xml:space="preserve"> with students </w:t>
      </w:r>
      <w:r w:rsidR="00F342E9">
        <w:t xml:space="preserve">studying at one TAFE </w:t>
      </w:r>
      <w:r w:rsidR="006C24B8">
        <w:t xml:space="preserve">institute </w:t>
      </w:r>
      <w:r w:rsidR="00F342E9">
        <w:t>and one university</w:t>
      </w:r>
      <w:r w:rsidR="002A3C9F">
        <w:t>, the research explored</w:t>
      </w:r>
      <w:r w:rsidR="00F342E9">
        <w:t xml:space="preserve"> the information literacy skills use and challenges faced by these students.</w:t>
      </w:r>
      <w:r w:rsidR="00FC6ADA">
        <w:t xml:space="preserve"> </w:t>
      </w:r>
      <w:r>
        <w:t xml:space="preserve"> </w:t>
      </w:r>
    </w:p>
    <w:p w:rsidR="009E231A" w:rsidRPr="005C2FCF" w:rsidRDefault="00FE4A2D" w:rsidP="0049453B">
      <w:pPr>
        <w:pStyle w:val="Keymessages"/>
      </w:pPr>
      <w:bookmarkStart w:id="21" w:name="_Toc98394878"/>
      <w:bookmarkStart w:id="22" w:name="_Toc296423682"/>
      <w:bookmarkStart w:id="23" w:name="_Toc296497513"/>
      <w:r w:rsidRPr="005C2FCF">
        <w:t>Key messages</w:t>
      </w:r>
      <w:bookmarkEnd w:id="21"/>
      <w:bookmarkEnd w:id="22"/>
      <w:bookmarkEnd w:id="23"/>
    </w:p>
    <w:p w:rsidR="00BD7497" w:rsidRDefault="00BD7497" w:rsidP="0048643A">
      <w:pPr>
        <w:pStyle w:val="Dotpoint1"/>
      </w:pPr>
      <w:r>
        <w:t xml:space="preserve">Participating TAFE and university students reported difficulties in the same </w:t>
      </w:r>
      <w:r w:rsidR="006C24B8">
        <w:t>aspects of information literacy; namely,</w:t>
      </w:r>
      <w:r>
        <w:t xml:space="preserve"> understanding the assessment task, </w:t>
      </w:r>
      <w:r w:rsidR="006C24B8">
        <w:t>assimilating</w:t>
      </w:r>
      <w:r>
        <w:t xml:space="preserve"> information and preparing </w:t>
      </w:r>
      <w:r w:rsidR="00C53A5F">
        <w:t xml:space="preserve">the </w:t>
      </w:r>
      <w:r>
        <w:t>assessment, and adhering to the writing and referencing style.</w:t>
      </w:r>
    </w:p>
    <w:p w:rsidR="009E231A" w:rsidRDefault="008738D4" w:rsidP="0048643A">
      <w:pPr>
        <w:pStyle w:val="Dotpoint1"/>
      </w:pPr>
      <w:r>
        <w:t xml:space="preserve">TAFE and university students reported a difference in the expectations </w:t>
      </w:r>
      <w:r w:rsidR="006C24B8">
        <w:t>relating to</w:t>
      </w:r>
      <w:r>
        <w:t xml:space="preserve"> their capabilities in locating and using different sources of information.</w:t>
      </w:r>
      <w:r w:rsidR="00D0293D">
        <w:t xml:space="preserve"> The different sources of information used by the two sets of students illustrate the more practical focus of </w:t>
      </w:r>
      <w:r w:rsidR="006C24B8">
        <w:t>vocational education and training</w:t>
      </w:r>
      <w:r w:rsidR="00D0293D">
        <w:t xml:space="preserve"> and </w:t>
      </w:r>
      <w:r w:rsidR="006C24B8">
        <w:t xml:space="preserve">the </w:t>
      </w:r>
      <w:r w:rsidR="00D0293D">
        <w:t>academic focus of higher education.</w:t>
      </w:r>
    </w:p>
    <w:p w:rsidR="00A50895" w:rsidRPr="009E231A" w:rsidRDefault="00C53A5F" w:rsidP="0048643A">
      <w:pPr>
        <w:pStyle w:val="Dotpoint1"/>
      </w:pPr>
      <w:r>
        <w:t xml:space="preserve">Both the </w:t>
      </w:r>
      <w:r w:rsidR="00342185">
        <w:t xml:space="preserve">TAFE students </w:t>
      </w:r>
      <w:r>
        <w:t>considering</w:t>
      </w:r>
      <w:r w:rsidR="00342185">
        <w:t xml:space="preserve"> enrolling in university and </w:t>
      </w:r>
      <w:r>
        <w:t xml:space="preserve">the </w:t>
      </w:r>
      <w:r w:rsidR="00342185">
        <w:t xml:space="preserve">university students who had made the transition </w:t>
      </w:r>
      <w:r w:rsidR="00A73505">
        <w:t xml:space="preserve">from TAFE </w:t>
      </w:r>
      <w:r w:rsidR="00E77735">
        <w:t>indicated</w:t>
      </w:r>
      <w:r w:rsidR="00342185">
        <w:t xml:space="preserve"> that a collaborative effort between VET providers and universities would help </w:t>
      </w:r>
      <w:r w:rsidR="00E77735">
        <w:t>students</w:t>
      </w:r>
      <w:r w:rsidR="00342185">
        <w:t xml:space="preserve"> </w:t>
      </w:r>
      <w:r>
        <w:t xml:space="preserve">to </w:t>
      </w:r>
      <w:r w:rsidR="00342185">
        <w:t>make the transiti</w:t>
      </w:r>
      <w:r w:rsidR="00E77735">
        <w:t>on successfully. Early support</w:t>
      </w:r>
      <w:r w:rsidR="00DD0E26">
        <w:t xml:space="preserve"> </w:t>
      </w:r>
      <w:r w:rsidR="00E77735">
        <w:t>—</w:t>
      </w:r>
      <w:r w:rsidR="00DD0E26">
        <w:t xml:space="preserve"> </w:t>
      </w:r>
      <w:r w:rsidR="00E77735">
        <w:t>e</w:t>
      </w:r>
      <w:r w:rsidR="00342185">
        <w:t>ven before commencing university study</w:t>
      </w:r>
      <w:r w:rsidR="00DD0E26">
        <w:t xml:space="preserve"> </w:t>
      </w:r>
      <w:r w:rsidR="00E77735">
        <w:t>—</w:t>
      </w:r>
      <w:r w:rsidR="00DD0E26">
        <w:t xml:space="preserve"> </w:t>
      </w:r>
      <w:r w:rsidR="00342185">
        <w:t>in a number of different forms was suggest</w:t>
      </w:r>
      <w:r w:rsidR="00E77735">
        <w:t xml:space="preserve">ed </w:t>
      </w:r>
      <w:r w:rsidR="006630A8">
        <w:t>as a way to enable students to develop the required information literacy skills.</w:t>
      </w:r>
    </w:p>
    <w:p w:rsidR="009E231A" w:rsidRDefault="000D4F74" w:rsidP="0048643A">
      <w:pPr>
        <w:pStyle w:val="Text"/>
      </w:pPr>
      <w:r>
        <w:t xml:space="preserve">The report concludes with </w:t>
      </w:r>
      <w:r w:rsidR="0056561B">
        <w:t xml:space="preserve">a </w:t>
      </w:r>
      <w:r>
        <w:t xml:space="preserve">framework </w:t>
      </w:r>
      <w:r w:rsidR="00DD0E26">
        <w:t>proposing</w:t>
      </w:r>
      <w:r>
        <w:t xml:space="preserve"> </w:t>
      </w:r>
      <w:r w:rsidR="00C53A5F">
        <w:t xml:space="preserve">the </w:t>
      </w:r>
      <w:r>
        <w:t xml:space="preserve">various supports that could be implemented at different times to help </w:t>
      </w:r>
      <w:r w:rsidR="00DA14B6">
        <w:t>s</w:t>
      </w:r>
      <w:r>
        <w:t xml:space="preserve">tudents </w:t>
      </w:r>
      <w:r w:rsidR="00DA14B6">
        <w:t xml:space="preserve">transitioning from </w:t>
      </w:r>
      <w:r w:rsidR="006C24B8">
        <w:t xml:space="preserve">vocational education and training </w:t>
      </w:r>
      <w:r w:rsidR="00DA14B6">
        <w:t xml:space="preserve">to university </w:t>
      </w:r>
      <w:r w:rsidR="00DD0E26">
        <w:t xml:space="preserve">to </w:t>
      </w:r>
      <w:r>
        <w:t>gain the information literacy skills required.</w:t>
      </w:r>
    </w:p>
    <w:p w:rsidR="00001646" w:rsidRDefault="00001646" w:rsidP="0048643A">
      <w:pPr>
        <w:pStyle w:val="Text"/>
      </w:pPr>
    </w:p>
    <w:p w:rsidR="009E231A" w:rsidRPr="005C2FCF" w:rsidRDefault="007541D1" w:rsidP="0048643A">
      <w:pPr>
        <w:pStyle w:val="Text"/>
      </w:pPr>
      <w:r>
        <w:t>Rod Camm</w:t>
      </w:r>
      <w:r w:rsidR="00FE4A2D" w:rsidRPr="005C2FCF">
        <w:br/>
        <w:t>Managing Director, NCVER</w:t>
      </w:r>
    </w:p>
    <w:p w:rsidR="00062EBC" w:rsidRDefault="00A04EA9">
      <w:pPr>
        <w:spacing w:before="0" w:line="240" w:lineRule="auto"/>
      </w:pPr>
      <w:r w:rsidRPr="00A04EA9">
        <w:rPr>
          <w:noProof/>
          <w:lang w:val="en-US" w:eastAsia="zh-TW"/>
        </w:rPr>
        <w:pict>
          <v:shape id="_x0000_s1061" type="#_x0000_t202" style="position:absolute;margin-left:.45pt;margin-top:27.5pt;width:439.35pt;height:62.35pt;z-index:251697152;mso-width-relative:margin;mso-height-relative:margin;v-text-anchor:middle" strokecolor="#7f7f7f [1612]">
            <v:textbox inset="3.5mm">
              <w:txbxContent>
                <w:p w:rsidR="00DA00D3" w:rsidRDefault="00DA00D3" w:rsidP="00022525">
                  <w:pPr>
                    <w:spacing w:before="0"/>
                  </w:pPr>
                  <w:r w:rsidRPr="007541D1">
                    <w:t xml:space="preserve">This research was funded </w:t>
                  </w:r>
                  <w:r>
                    <w:t>through an early career researcher funding round. These grants pr</w:t>
                  </w:r>
                  <w:r w:rsidRPr="007541D1">
                    <w:t>ovide</w:t>
                  </w:r>
                  <w:r>
                    <w:t>d</w:t>
                  </w:r>
                  <w:r w:rsidRPr="007541D1">
                    <w:t xml:space="preserve"> an opportunity for early career researchers, from disciplines such as economics and the social sciences, to undertake a modest research project in a t</w:t>
                  </w:r>
                  <w:r>
                    <w:t>opic relevant to NCVER’s remit.</w:t>
                  </w:r>
                </w:p>
              </w:txbxContent>
            </v:textbox>
          </v:shape>
        </w:pict>
      </w:r>
      <w:r w:rsidR="00062EBC">
        <w:br w:type="page"/>
      </w:r>
    </w:p>
    <w:p w:rsidR="00BD7497" w:rsidRDefault="00BD7497">
      <w:pPr>
        <w:spacing w:before="0" w:line="240" w:lineRule="auto"/>
      </w:pPr>
    </w:p>
    <w:p w:rsidR="00177827" w:rsidRDefault="00177827">
      <w:pPr>
        <w:spacing w:before="0" w:line="240" w:lineRule="auto"/>
      </w:pPr>
    </w:p>
    <w:p w:rsidR="00177827" w:rsidRDefault="00177827" w:rsidP="00874DA5">
      <w:pPr>
        <w:pStyle w:val="Contents"/>
        <w:sectPr w:rsidR="00177827" w:rsidSect="00016449">
          <w:pgSz w:w="11907" w:h="16840" w:code="9"/>
          <w:pgMar w:top="1276" w:right="1701" w:bottom="1276" w:left="1418" w:header="709" w:footer="556" w:gutter="0"/>
          <w:cols w:space="708"/>
          <w:docGrid w:linePitch="360"/>
        </w:sectPr>
      </w:pPr>
    </w:p>
    <w:p w:rsidR="009E231A" w:rsidRPr="00DC5F5C" w:rsidRDefault="00FE4A2D" w:rsidP="00D70491">
      <w:pPr>
        <w:pStyle w:val="Contents"/>
      </w:pPr>
      <w:bookmarkStart w:id="24" w:name="_Toc98394880"/>
      <w:bookmarkStart w:id="25" w:name="_Toc296423683"/>
      <w:bookmarkStart w:id="26" w:name="_Toc296497514"/>
      <w:r w:rsidRPr="00DC5F5C">
        <w:lastRenderedPageBreak/>
        <w:t>Contents</w:t>
      </w:r>
      <w:bookmarkEnd w:id="24"/>
      <w:bookmarkEnd w:id="25"/>
      <w:bookmarkEnd w:id="26"/>
    </w:p>
    <w:p w:rsidR="00155AFC" w:rsidRDefault="00A04EA9">
      <w:pPr>
        <w:pStyle w:val="TOC1"/>
        <w:rPr>
          <w:rFonts w:asciiTheme="minorHAnsi" w:eastAsiaTheme="minorEastAsia" w:hAnsiTheme="minorHAnsi" w:cstheme="minorBidi"/>
          <w:color w:val="auto"/>
          <w:sz w:val="22"/>
          <w:szCs w:val="22"/>
          <w:lang w:eastAsia="en-AU"/>
        </w:rPr>
      </w:pPr>
      <w:r w:rsidRPr="00A04EA9">
        <w:rPr>
          <w:rFonts w:ascii="Avant Garde" w:hAnsi="Avant Garde"/>
        </w:rPr>
        <w:fldChar w:fldCharType="begin"/>
      </w:r>
      <w:r w:rsidR="00FE4A2D" w:rsidRPr="009775C7">
        <w:rPr>
          <w:rFonts w:ascii="Avant Garde" w:hAnsi="Avant Garde"/>
        </w:rPr>
        <w:instrText xml:space="preserve"> TOC \o "1-2" </w:instrText>
      </w:r>
      <w:r w:rsidRPr="00A04EA9">
        <w:rPr>
          <w:rFonts w:ascii="Avant Garde" w:hAnsi="Avant Garde"/>
        </w:rPr>
        <w:fldChar w:fldCharType="separate"/>
      </w:r>
      <w:r w:rsidR="00155AFC">
        <w:t>Tables and figures</w:t>
      </w:r>
      <w:r w:rsidR="00155AFC">
        <w:tab/>
      </w:r>
      <w:r>
        <w:fldChar w:fldCharType="begin"/>
      </w:r>
      <w:r w:rsidR="00155AFC">
        <w:instrText xml:space="preserve"> PAGEREF _Toc378160479 \h </w:instrText>
      </w:r>
      <w:r>
        <w:fldChar w:fldCharType="separate"/>
      </w:r>
      <w:r w:rsidR="0088579D">
        <w:t>6</w:t>
      </w:r>
      <w:r>
        <w:fldChar w:fldCharType="end"/>
      </w:r>
    </w:p>
    <w:p w:rsidR="00155AFC" w:rsidRDefault="00155AFC">
      <w:pPr>
        <w:pStyle w:val="TOC1"/>
        <w:rPr>
          <w:rFonts w:asciiTheme="minorHAnsi" w:eastAsiaTheme="minorEastAsia" w:hAnsiTheme="minorHAnsi" w:cstheme="minorBidi"/>
          <w:color w:val="auto"/>
          <w:sz w:val="22"/>
          <w:szCs w:val="22"/>
          <w:lang w:eastAsia="en-AU"/>
        </w:rPr>
      </w:pPr>
      <w:r>
        <w:t>Executive summary</w:t>
      </w:r>
      <w:r>
        <w:tab/>
      </w:r>
      <w:r w:rsidR="00A04EA9">
        <w:fldChar w:fldCharType="begin"/>
      </w:r>
      <w:r>
        <w:instrText xml:space="preserve"> PAGEREF _Toc378160482 \h </w:instrText>
      </w:r>
      <w:r w:rsidR="00A04EA9">
        <w:fldChar w:fldCharType="separate"/>
      </w:r>
      <w:r w:rsidR="0088579D">
        <w:t>7</w:t>
      </w:r>
      <w:r w:rsidR="00A04EA9">
        <w:fldChar w:fldCharType="end"/>
      </w:r>
    </w:p>
    <w:p w:rsidR="00155AFC" w:rsidRDefault="00155AFC">
      <w:pPr>
        <w:pStyle w:val="TOC1"/>
        <w:rPr>
          <w:rFonts w:asciiTheme="minorHAnsi" w:eastAsiaTheme="minorEastAsia" w:hAnsiTheme="minorHAnsi" w:cstheme="minorBidi"/>
          <w:color w:val="auto"/>
          <w:sz w:val="22"/>
          <w:szCs w:val="22"/>
          <w:lang w:eastAsia="en-AU"/>
        </w:rPr>
      </w:pPr>
      <w:r>
        <w:t>Introduction</w:t>
      </w:r>
      <w:r>
        <w:tab/>
      </w:r>
      <w:r w:rsidR="00A04EA9">
        <w:fldChar w:fldCharType="begin"/>
      </w:r>
      <w:r>
        <w:instrText xml:space="preserve"> PAGEREF _Toc378160483 \h </w:instrText>
      </w:r>
      <w:r w:rsidR="00A04EA9">
        <w:fldChar w:fldCharType="separate"/>
      </w:r>
      <w:r w:rsidR="0088579D">
        <w:t>9</w:t>
      </w:r>
      <w:r w:rsidR="00A04EA9">
        <w:fldChar w:fldCharType="end"/>
      </w:r>
    </w:p>
    <w:p w:rsidR="00155AFC" w:rsidRDefault="00155AFC">
      <w:pPr>
        <w:pStyle w:val="TOC2"/>
        <w:rPr>
          <w:rFonts w:asciiTheme="minorHAnsi" w:eastAsiaTheme="minorEastAsia" w:hAnsiTheme="minorHAnsi" w:cstheme="minorBidi"/>
          <w:color w:val="auto"/>
          <w:sz w:val="22"/>
          <w:szCs w:val="22"/>
          <w:lang w:eastAsia="en-AU"/>
        </w:rPr>
      </w:pPr>
      <w:r>
        <w:t>Issues in transition to university</w:t>
      </w:r>
      <w:r>
        <w:tab/>
      </w:r>
      <w:r w:rsidR="00A04EA9">
        <w:fldChar w:fldCharType="begin"/>
      </w:r>
      <w:r>
        <w:instrText xml:space="preserve"> PAGEREF _Toc378160484 \h </w:instrText>
      </w:r>
      <w:r w:rsidR="00A04EA9">
        <w:fldChar w:fldCharType="separate"/>
      </w:r>
      <w:r w:rsidR="0088579D">
        <w:t>9</w:t>
      </w:r>
      <w:r w:rsidR="00A04EA9">
        <w:fldChar w:fldCharType="end"/>
      </w:r>
    </w:p>
    <w:p w:rsidR="00155AFC" w:rsidRDefault="00155AFC">
      <w:pPr>
        <w:pStyle w:val="TOC2"/>
        <w:rPr>
          <w:rFonts w:asciiTheme="minorHAnsi" w:eastAsiaTheme="minorEastAsia" w:hAnsiTheme="minorHAnsi" w:cstheme="minorBidi"/>
          <w:color w:val="auto"/>
          <w:sz w:val="22"/>
          <w:szCs w:val="22"/>
          <w:lang w:eastAsia="en-AU"/>
        </w:rPr>
      </w:pPr>
      <w:r>
        <w:t>Supporting the transition to university</w:t>
      </w:r>
      <w:r>
        <w:tab/>
      </w:r>
      <w:r w:rsidR="00A04EA9">
        <w:fldChar w:fldCharType="begin"/>
      </w:r>
      <w:r>
        <w:instrText xml:space="preserve"> PAGEREF _Toc378160485 \h </w:instrText>
      </w:r>
      <w:r w:rsidR="00A04EA9">
        <w:fldChar w:fldCharType="separate"/>
      </w:r>
      <w:r w:rsidR="0088579D">
        <w:t>10</w:t>
      </w:r>
      <w:r w:rsidR="00A04EA9">
        <w:fldChar w:fldCharType="end"/>
      </w:r>
    </w:p>
    <w:p w:rsidR="00155AFC" w:rsidRDefault="00155AFC">
      <w:pPr>
        <w:pStyle w:val="TOC1"/>
        <w:rPr>
          <w:rFonts w:asciiTheme="minorHAnsi" w:eastAsiaTheme="minorEastAsia" w:hAnsiTheme="minorHAnsi" w:cstheme="minorBidi"/>
          <w:color w:val="auto"/>
          <w:sz w:val="22"/>
          <w:szCs w:val="22"/>
          <w:lang w:eastAsia="en-AU"/>
        </w:rPr>
      </w:pPr>
      <w:r>
        <w:t>The present research</w:t>
      </w:r>
      <w:r>
        <w:tab/>
      </w:r>
      <w:r w:rsidR="00A04EA9">
        <w:fldChar w:fldCharType="begin"/>
      </w:r>
      <w:r>
        <w:instrText xml:space="preserve"> PAGEREF _Toc378160486 \h </w:instrText>
      </w:r>
      <w:r w:rsidR="00A04EA9">
        <w:fldChar w:fldCharType="separate"/>
      </w:r>
      <w:r w:rsidR="0088579D">
        <w:t>13</w:t>
      </w:r>
      <w:r w:rsidR="00A04EA9">
        <w:fldChar w:fldCharType="end"/>
      </w:r>
    </w:p>
    <w:p w:rsidR="00155AFC" w:rsidRDefault="00155AFC">
      <w:pPr>
        <w:pStyle w:val="TOC2"/>
        <w:rPr>
          <w:rFonts w:asciiTheme="minorHAnsi" w:eastAsiaTheme="minorEastAsia" w:hAnsiTheme="minorHAnsi" w:cstheme="minorBidi"/>
          <w:color w:val="auto"/>
          <w:sz w:val="22"/>
          <w:szCs w:val="22"/>
          <w:lang w:eastAsia="en-AU"/>
        </w:rPr>
      </w:pPr>
      <w:r>
        <w:t>Context</w:t>
      </w:r>
      <w:r>
        <w:tab/>
      </w:r>
      <w:r w:rsidR="00A04EA9">
        <w:fldChar w:fldCharType="begin"/>
      </w:r>
      <w:r>
        <w:instrText xml:space="preserve"> PAGEREF _Toc378160487 \h </w:instrText>
      </w:r>
      <w:r w:rsidR="00A04EA9">
        <w:fldChar w:fldCharType="separate"/>
      </w:r>
      <w:r w:rsidR="0088579D">
        <w:t>13</w:t>
      </w:r>
      <w:r w:rsidR="00A04EA9">
        <w:fldChar w:fldCharType="end"/>
      </w:r>
    </w:p>
    <w:p w:rsidR="00155AFC" w:rsidRDefault="00155AFC">
      <w:pPr>
        <w:pStyle w:val="TOC2"/>
        <w:rPr>
          <w:rFonts w:asciiTheme="minorHAnsi" w:eastAsiaTheme="minorEastAsia" w:hAnsiTheme="minorHAnsi" w:cstheme="minorBidi"/>
          <w:color w:val="auto"/>
          <w:sz w:val="22"/>
          <w:szCs w:val="22"/>
          <w:lang w:eastAsia="en-AU"/>
        </w:rPr>
      </w:pPr>
      <w:r>
        <w:t>Data collection and analysis</w:t>
      </w:r>
      <w:r>
        <w:tab/>
      </w:r>
      <w:r w:rsidR="00A04EA9">
        <w:fldChar w:fldCharType="begin"/>
      </w:r>
      <w:r>
        <w:instrText xml:space="preserve"> PAGEREF _Toc378160488 \h </w:instrText>
      </w:r>
      <w:r w:rsidR="00A04EA9">
        <w:fldChar w:fldCharType="separate"/>
      </w:r>
      <w:r w:rsidR="0088579D">
        <w:t>14</w:t>
      </w:r>
      <w:r w:rsidR="00A04EA9">
        <w:fldChar w:fldCharType="end"/>
      </w:r>
    </w:p>
    <w:p w:rsidR="00155AFC" w:rsidRDefault="00155AFC">
      <w:pPr>
        <w:pStyle w:val="TOC2"/>
        <w:rPr>
          <w:rFonts w:asciiTheme="minorHAnsi" w:eastAsiaTheme="minorEastAsia" w:hAnsiTheme="minorHAnsi" w:cstheme="minorBidi"/>
          <w:color w:val="auto"/>
          <w:sz w:val="22"/>
          <w:szCs w:val="22"/>
          <w:lang w:eastAsia="en-AU"/>
        </w:rPr>
      </w:pPr>
      <w:r>
        <w:t>Participants</w:t>
      </w:r>
      <w:r>
        <w:tab/>
      </w:r>
      <w:r w:rsidR="00A04EA9">
        <w:fldChar w:fldCharType="begin"/>
      </w:r>
      <w:r>
        <w:instrText xml:space="preserve"> PAGEREF _Toc378160489 \h </w:instrText>
      </w:r>
      <w:r w:rsidR="00A04EA9">
        <w:fldChar w:fldCharType="separate"/>
      </w:r>
      <w:r w:rsidR="0088579D">
        <w:t>15</w:t>
      </w:r>
      <w:r w:rsidR="00A04EA9">
        <w:fldChar w:fldCharType="end"/>
      </w:r>
    </w:p>
    <w:p w:rsidR="00155AFC" w:rsidRDefault="00155AFC">
      <w:pPr>
        <w:pStyle w:val="TOC1"/>
        <w:rPr>
          <w:rFonts w:asciiTheme="minorHAnsi" w:eastAsiaTheme="minorEastAsia" w:hAnsiTheme="minorHAnsi" w:cstheme="minorBidi"/>
          <w:color w:val="auto"/>
          <w:sz w:val="22"/>
          <w:szCs w:val="22"/>
          <w:lang w:eastAsia="en-AU"/>
        </w:rPr>
      </w:pPr>
      <w:r>
        <w:t>Findings</w:t>
      </w:r>
      <w:r>
        <w:tab/>
      </w:r>
      <w:r w:rsidR="00A04EA9">
        <w:fldChar w:fldCharType="begin"/>
      </w:r>
      <w:r>
        <w:instrText xml:space="preserve"> PAGEREF _Toc378160490 \h </w:instrText>
      </w:r>
      <w:r w:rsidR="00A04EA9">
        <w:fldChar w:fldCharType="separate"/>
      </w:r>
      <w:r w:rsidR="0088579D">
        <w:t>17</w:t>
      </w:r>
      <w:r w:rsidR="00A04EA9">
        <w:fldChar w:fldCharType="end"/>
      </w:r>
    </w:p>
    <w:p w:rsidR="00155AFC" w:rsidRDefault="00155AFC">
      <w:pPr>
        <w:pStyle w:val="TOC2"/>
        <w:rPr>
          <w:rFonts w:asciiTheme="minorHAnsi" w:eastAsiaTheme="minorEastAsia" w:hAnsiTheme="minorHAnsi" w:cstheme="minorBidi"/>
          <w:color w:val="auto"/>
          <w:sz w:val="22"/>
          <w:szCs w:val="22"/>
          <w:lang w:eastAsia="en-AU"/>
        </w:rPr>
      </w:pPr>
      <w:r>
        <w:t>The nature of information literacy skills</w:t>
      </w:r>
      <w:r>
        <w:tab/>
      </w:r>
      <w:r w:rsidR="00A04EA9">
        <w:fldChar w:fldCharType="begin"/>
      </w:r>
      <w:r>
        <w:instrText xml:space="preserve"> PAGEREF _Toc378160491 \h </w:instrText>
      </w:r>
      <w:r w:rsidR="00A04EA9">
        <w:fldChar w:fldCharType="separate"/>
      </w:r>
      <w:r w:rsidR="0088579D">
        <w:t>17</w:t>
      </w:r>
      <w:r w:rsidR="00A04EA9">
        <w:fldChar w:fldCharType="end"/>
      </w:r>
    </w:p>
    <w:p w:rsidR="00155AFC" w:rsidRDefault="00155AFC">
      <w:pPr>
        <w:pStyle w:val="TOC2"/>
        <w:rPr>
          <w:rFonts w:asciiTheme="minorHAnsi" w:eastAsiaTheme="minorEastAsia" w:hAnsiTheme="minorHAnsi" w:cstheme="minorBidi"/>
          <w:color w:val="auto"/>
          <w:sz w:val="22"/>
          <w:szCs w:val="22"/>
          <w:lang w:eastAsia="en-AU"/>
        </w:rPr>
      </w:pPr>
      <w:r>
        <w:t>The information literacy challenges</w:t>
      </w:r>
      <w:r>
        <w:tab/>
      </w:r>
      <w:r w:rsidR="00A04EA9">
        <w:fldChar w:fldCharType="begin"/>
      </w:r>
      <w:r>
        <w:instrText xml:space="preserve"> PAGEREF _Toc378160492 \h </w:instrText>
      </w:r>
      <w:r w:rsidR="00A04EA9">
        <w:fldChar w:fldCharType="separate"/>
      </w:r>
      <w:r w:rsidR="0088579D">
        <w:t>20</w:t>
      </w:r>
      <w:r w:rsidR="00A04EA9">
        <w:fldChar w:fldCharType="end"/>
      </w:r>
    </w:p>
    <w:p w:rsidR="00155AFC" w:rsidRDefault="00155AFC">
      <w:pPr>
        <w:pStyle w:val="TOC2"/>
        <w:rPr>
          <w:rFonts w:asciiTheme="minorHAnsi" w:eastAsiaTheme="minorEastAsia" w:hAnsiTheme="minorHAnsi" w:cstheme="minorBidi"/>
          <w:color w:val="auto"/>
          <w:sz w:val="22"/>
          <w:szCs w:val="22"/>
          <w:lang w:eastAsia="en-AU"/>
        </w:rPr>
      </w:pPr>
      <w:r>
        <w:t>Improvements to information literacy support to ease the transition to university</w:t>
      </w:r>
      <w:r>
        <w:tab/>
      </w:r>
      <w:r w:rsidR="00A04EA9">
        <w:fldChar w:fldCharType="begin"/>
      </w:r>
      <w:r>
        <w:instrText xml:space="preserve"> PAGEREF _Toc378160493 \h </w:instrText>
      </w:r>
      <w:r w:rsidR="00A04EA9">
        <w:fldChar w:fldCharType="separate"/>
      </w:r>
      <w:r w:rsidR="0088579D">
        <w:t>22</w:t>
      </w:r>
      <w:r w:rsidR="00A04EA9">
        <w:fldChar w:fldCharType="end"/>
      </w:r>
    </w:p>
    <w:p w:rsidR="00155AFC" w:rsidRDefault="00155AFC">
      <w:pPr>
        <w:pStyle w:val="TOC1"/>
        <w:rPr>
          <w:rFonts w:asciiTheme="minorHAnsi" w:eastAsiaTheme="minorEastAsia" w:hAnsiTheme="minorHAnsi" w:cstheme="minorBidi"/>
          <w:color w:val="auto"/>
          <w:sz w:val="22"/>
          <w:szCs w:val="22"/>
          <w:lang w:eastAsia="en-AU"/>
        </w:rPr>
      </w:pPr>
      <w:r>
        <w:t>Discussion</w:t>
      </w:r>
      <w:r>
        <w:tab/>
      </w:r>
      <w:r w:rsidR="00A04EA9">
        <w:fldChar w:fldCharType="begin"/>
      </w:r>
      <w:r>
        <w:instrText xml:space="preserve"> PAGEREF _Toc378160494 \h </w:instrText>
      </w:r>
      <w:r w:rsidR="00A04EA9">
        <w:fldChar w:fldCharType="separate"/>
      </w:r>
      <w:r w:rsidR="0088579D">
        <w:t>26</w:t>
      </w:r>
      <w:r w:rsidR="00A04EA9">
        <w:fldChar w:fldCharType="end"/>
      </w:r>
    </w:p>
    <w:p w:rsidR="00155AFC" w:rsidRDefault="00155AFC">
      <w:pPr>
        <w:pStyle w:val="TOC2"/>
        <w:rPr>
          <w:rFonts w:asciiTheme="minorHAnsi" w:eastAsiaTheme="minorEastAsia" w:hAnsiTheme="minorHAnsi" w:cstheme="minorBidi"/>
          <w:color w:val="auto"/>
          <w:sz w:val="22"/>
          <w:szCs w:val="22"/>
          <w:lang w:eastAsia="en-AU"/>
        </w:rPr>
      </w:pPr>
      <w:r>
        <w:t>A transitional collaborative framework</w:t>
      </w:r>
      <w:r>
        <w:tab/>
      </w:r>
      <w:r w:rsidR="00A04EA9">
        <w:fldChar w:fldCharType="begin"/>
      </w:r>
      <w:r>
        <w:instrText xml:space="preserve"> PAGEREF _Toc378160495 \h </w:instrText>
      </w:r>
      <w:r w:rsidR="00A04EA9">
        <w:fldChar w:fldCharType="separate"/>
      </w:r>
      <w:r w:rsidR="0088579D">
        <w:t>26</w:t>
      </w:r>
      <w:r w:rsidR="00A04EA9">
        <w:fldChar w:fldCharType="end"/>
      </w:r>
    </w:p>
    <w:p w:rsidR="00155AFC" w:rsidRDefault="00155AFC">
      <w:pPr>
        <w:pStyle w:val="TOC2"/>
        <w:rPr>
          <w:rFonts w:asciiTheme="minorHAnsi" w:eastAsiaTheme="minorEastAsia" w:hAnsiTheme="minorHAnsi" w:cstheme="minorBidi"/>
          <w:color w:val="auto"/>
          <w:sz w:val="22"/>
          <w:szCs w:val="22"/>
          <w:lang w:eastAsia="en-AU"/>
        </w:rPr>
      </w:pPr>
      <w:r>
        <w:t>Implications for transition to university</w:t>
      </w:r>
      <w:r>
        <w:tab/>
      </w:r>
      <w:r w:rsidR="00A04EA9">
        <w:fldChar w:fldCharType="begin"/>
      </w:r>
      <w:r>
        <w:instrText xml:space="preserve"> PAGEREF _Toc378160496 \h </w:instrText>
      </w:r>
      <w:r w:rsidR="00A04EA9">
        <w:fldChar w:fldCharType="separate"/>
      </w:r>
      <w:r w:rsidR="0088579D">
        <w:t>30</w:t>
      </w:r>
      <w:r w:rsidR="00A04EA9">
        <w:fldChar w:fldCharType="end"/>
      </w:r>
    </w:p>
    <w:p w:rsidR="00155AFC" w:rsidRDefault="00155AFC">
      <w:pPr>
        <w:pStyle w:val="TOC1"/>
        <w:rPr>
          <w:rFonts w:asciiTheme="minorHAnsi" w:eastAsiaTheme="minorEastAsia" w:hAnsiTheme="minorHAnsi" w:cstheme="minorBidi"/>
          <w:color w:val="auto"/>
          <w:sz w:val="22"/>
          <w:szCs w:val="22"/>
          <w:lang w:eastAsia="en-AU"/>
        </w:rPr>
      </w:pPr>
      <w:r>
        <w:t>References</w:t>
      </w:r>
      <w:r>
        <w:tab/>
      </w:r>
      <w:r w:rsidR="00A04EA9">
        <w:fldChar w:fldCharType="begin"/>
      </w:r>
      <w:r>
        <w:instrText xml:space="preserve"> PAGEREF _Toc378160497 \h </w:instrText>
      </w:r>
      <w:r w:rsidR="00A04EA9">
        <w:fldChar w:fldCharType="separate"/>
      </w:r>
      <w:r w:rsidR="0088579D">
        <w:t>32</w:t>
      </w:r>
      <w:r w:rsidR="00A04EA9">
        <w:fldChar w:fldCharType="end"/>
      </w:r>
    </w:p>
    <w:p w:rsidR="00155AFC" w:rsidRDefault="00155AFC">
      <w:pPr>
        <w:pStyle w:val="TOC1"/>
      </w:pPr>
      <w:r>
        <w:t>Appendices</w:t>
      </w:r>
    </w:p>
    <w:p w:rsidR="00155AFC" w:rsidRDefault="00155AFC" w:rsidP="00EB2F61">
      <w:pPr>
        <w:pStyle w:val="TOC2"/>
        <w:rPr>
          <w:rFonts w:asciiTheme="minorHAnsi" w:eastAsiaTheme="minorEastAsia" w:hAnsiTheme="minorHAnsi" w:cstheme="minorBidi"/>
          <w:color w:val="auto"/>
          <w:sz w:val="22"/>
          <w:szCs w:val="22"/>
          <w:lang w:eastAsia="en-AU"/>
        </w:rPr>
      </w:pPr>
      <w:r>
        <w:t>A: Online survey questions</w:t>
      </w:r>
      <w:r>
        <w:tab/>
      </w:r>
      <w:r w:rsidR="00A04EA9">
        <w:fldChar w:fldCharType="begin"/>
      </w:r>
      <w:r>
        <w:instrText xml:space="preserve"> PAGEREF _Toc378160499 \h </w:instrText>
      </w:r>
      <w:r w:rsidR="00A04EA9">
        <w:fldChar w:fldCharType="separate"/>
      </w:r>
      <w:r w:rsidR="0088579D">
        <w:t>33</w:t>
      </w:r>
      <w:r w:rsidR="00A04EA9">
        <w:fldChar w:fldCharType="end"/>
      </w:r>
    </w:p>
    <w:p w:rsidR="00155AFC" w:rsidRDefault="00155AFC" w:rsidP="00EB2F61">
      <w:pPr>
        <w:pStyle w:val="TOC2"/>
        <w:rPr>
          <w:rFonts w:asciiTheme="minorHAnsi" w:eastAsiaTheme="minorEastAsia" w:hAnsiTheme="minorHAnsi" w:cstheme="minorBidi"/>
          <w:color w:val="auto"/>
          <w:sz w:val="22"/>
          <w:szCs w:val="22"/>
          <w:lang w:eastAsia="en-AU"/>
        </w:rPr>
      </w:pPr>
      <w:r>
        <w:t>B: Interview questions for TAFE students</w:t>
      </w:r>
      <w:r>
        <w:tab/>
      </w:r>
      <w:r w:rsidR="00A04EA9">
        <w:fldChar w:fldCharType="begin"/>
      </w:r>
      <w:r>
        <w:instrText xml:space="preserve"> PAGEREF _Toc378160501 \h </w:instrText>
      </w:r>
      <w:r w:rsidR="00A04EA9">
        <w:fldChar w:fldCharType="separate"/>
      </w:r>
      <w:r w:rsidR="0088579D">
        <w:t>37</w:t>
      </w:r>
      <w:r w:rsidR="00A04EA9">
        <w:fldChar w:fldCharType="end"/>
      </w:r>
    </w:p>
    <w:p w:rsidR="00155AFC" w:rsidRDefault="00155AFC" w:rsidP="00EB2F61">
      <w:pPr>
        <w:pStyle w:val="TOC2"/>
        <w:rPr>
          <w:rFonts w:asciiTheme="minorHAnsi" w:eastAsiaTheme="minorEastAsia" w:hAnsiTheme="minorHAnsi" w:cstheme="minorBidi"/>
          <w:color w:val="auto"/>
          <w:sz w:val="22"/>
          <w:szCs w:val="22"/>
          <w:lang w:eastAsia="en-AU"/>
        </w:rPr>
      </w:pPr>
      <w:r>
        <w:t>C: Interview questions for university students</w:t>
      </w:r>
      <w:r>
        <w:tab/>
      </w:r>
      <w:r w:rsidR="00A04EA9">
        <w:fldChar w:fldCharType="begin"/>
      </w:r>
      <w:r>
        <w:instrText xml:space="preserve"> PAGEREF _Toc378160503 \h </w:instrText>
      </w:r>
      <w:r w:rsidR="00A04EA9">
        <w:fldChar w:fldCharType="separate"/>
      </w:r>
      <w:r w:rsidR="0088579D">
        <w:t>38</w:t>
      </w:r>
      <w:r w:rsidR="00A04EA9">
        <w:fldChar w:fldCharType="end"/>
      </w:r>
    </w:p>
    <w:p w:rsidR="00155AFC" w:rsidRDefault="00155AFC">
      <w:pPr>
        <w:pStyle w:val="TOC1"/>
        <w:rPr>
          <w:rFonts w:asciiTheme="minorHAnsi" w:eastAsiaTheme="minorEastAsia" w:hAnsiTheme="minorHAnsi" w:cstheme="minorBidi"/>
          <w:color w:val="auto"/>
          <w:sz w:val="22"/>
          <w:szCs w:val="22"/>
          <w:lang w:eastAsia="en-AU"/>
        </w:rPr>
      </w:pPr>
      <w:r>
        <w:t>NVETR Program funding</w:t>
      </w:r>
      <w:r>
        <w:tab/>
      </w:r>
      <w:r w:rsidR="00A04EA9">
        <w:fldChar w:fldCharType="begin"/>
      </w:r>
      <w:r>
        <w:instrText xml:space="preserve"> PAGEREF _Toc378160504 \h </w:instrText>
      </w:r>
      <w:r w:rsidR="00A04EA9">
        <w:fldChar w:fldCharType="separate"/>
      </w:r>
      <w:r w:rsidR="0088579D">
        <w:t>39</w:t>
      </w:r>
      <w:r w:rsidR="00A04EA9">
        <w:fldChar w:fldCharType="end"/>
      </w:r>
    </w:p>
    <w:p w:rsidR="004E7227" w:rsidRDefault="00A04EA9" w:rsidP="0048643A">
      <w:pPr>
        <w:pStyle w:val="Text"/>
      </w:pPr>
      <w:r w:rsidRPr="009775C7">
        <w:fldChar w:fldCharType="end"/>
      </w:r>
    </w:p>
    <w:p w:rsidR="006221E3" w:rsidRDefault="006221E3">
      <w:pPr>
        <w:spacing w:before="0" w:line="240" w:lineRule="auto"/>
        <w:rPr>
          <w:rFonts w:ascii="Tahoma" w:hAnsi="Tahoma" w:cs="Tahoma"/>
          <w:color w:val="000000"/>
          <w:kern w:val="28"/>
          <w:sz w:val="56"/>
          <w:szCs w:val="56"/>
        </w:rPr>
      </w:pPr>
      <w:r>
        <w:br w:type="page"/>
      </w:r>
    </w:p>
    <w:p w:rsidR="004E7227" w:rsidRDefault="004E7227" w:rsidP="004E7227">
      <w:pPr>
        <w:pStyle w:val="Heading1"/>
      </w:pPr>
      <w:bookmarkStart w:id="27" w:name="_Toc378160479"/>
      <w:r>
        <w:lastRenderedPageBreak/>
        <w:t>Tables and figures</w:t>
      </w:r>
      <w:bookmarkEnd w:id="27"/>
    </w:p>
    <w:p w:rsidR="004E7227" w:rsidRDefault="004E7227" w:rsidP="004E7227">
      <w:pPr>
        <w:pStyle w:val="Heading2"/>
      </w:pPr>
      <w:bookmarkStart w:id="28" w:name="_Toc296497516"/>
      <w:bookmarkStart w:id="29" w:name="_Toc298162801"/>
      <w:bookmarkStart w:id="30" w:name="_Toc371518443"/>
      <w:bookmarkStart w:id="31" w:name="_Toc378160480"/>
      <w:r>
        <w:t>Tables</w:t>
      </w:r>
      <w:bookmarkEnd w:id="28"/>
      <w:bookmarkEnd w:id="29"/>
      <w:bookmarkEnd w:id="30"/>
      <w:bookmarkEnd w:id="31"/>
    </w:p>
    <w:p w:rsidR="00155AFC" w:rsidRDefault="00A04EA9">
      <w:pPr>
        <w:pStyle w:val="TableofFigures"/>
        <w:tabs>
          <w:tab w:val="left" w:pos="880"/>
        </w:tabs>
        <w:rPr>
          <w:rFonts w:asciiTheme="minorHAnsi" w:eastAsiaTheme="minorEastAsia" w:hAnsiTheme="minorHAnsi" w:cstheme="minorBidi"/>
          <w:color w:val="auto"/>
          <w:sz w:val="22"/>
          <w:szCs w:val="22"/>
          <w:lang w:eastAsia="en-AU"/>
        </w:rPr>
      </w:pPr>
      <w:r w:rsidRPr="00A04EA9">
        <w:fldChar w:fldCharType="begin"/>
      </w:r>
      <w:r w:rsidR="004E7227">
        <w:instrText xml:space="preserve"> TOC \f F \t "tabletitle" \c </w:instrText>
      </w:r>
      <w:r w:rsidRPr="00A04EA9">
        <w:fldChar w:fldCharType="separate"/>
      </w:r>
      <w:r w:rsidR="00155AFC">
        <w:t>1</w:t>
      </w:r>
      <w:r w:rsidR="00155AFC">
        <w:rPr>
          <w:rFonts w:asciiTheme="minorHAnsi" w:eastAsiaTheme="minorEastAsia" w:hAnsiTheme="minorHAnsi" w:cstheme="minorBidi"/>
          <w:color w:val="auto"/>
          <w:sz w:val="22"/>
          <w:szCs w:val="22"/>
          <w:lang w:eastAsia="en-AU"/>
        </w:rPr>
        <w:tab/>
      </w:r>
      <w:r w:rsidR="00155AFC">
        <w:t>Six ANZIIL Framework standards</w:t>
      </w:r>
      <w:r w:rsidR="00155AFC">
        <w:tab/>
      </w:r>
      <w:r>
        <w:fldChar w:fldCharType="begin"/>
      </w:r>
      <w:r w:rsidR="00155AFC">
        <w:instrText xml:space="preserve"> PAGEREF _Toc378160505 \h </w:instrText>
      </w:r>
      <w:r>
        <w:fldChar w:fldCharType="separate"/>
      </w:r>
      <w:r w:rsidR="0088579D">
        <w:t>9</w:t>
      </w:r>
      <w:r>
        <w:fldChar w:fldCharType="end"/>
      </w:r>
    </w:p>
    <w:p w:rsidR="00155AFC" w:rsidRDefault="00155AFC">
      <w:pPr>
        <w:pStyle w:val="TableofFigures"/>
        <w:tabs>
          <w:tab w:val="left" w:pos="88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Information literacy program components</w:t>
      </w:r>
      <w:r>
        <w:tab/>
      </w:r>
      <w:r w:rsidR="00A04EA9">
        <w:fldChar w:fldCharType="begin"/>
      </w:r>
      <w:r>
        <w:instrText xml:space="preserve"> PAGEREF _Toc378160506 \h </w:instrText>
      </w:r>
      <w:r w:rsidR="00A04EA9">
        <w:fldChar w:fldCharType="separate"/>
      </w:r>
      <w:r w:rsidR="0088579D">
        <w:t>10</w:t>
      </w:r>
      <w:r w:rsidR="00A04EA9">
        <w:fldChar w:fldCharType="end"/>
      </w:r>
    </w:p>
    <w:p w:rsidR="00155AFC" w:rsidRDefault="00155AFC">
      <w:pPr>
        <w:pStyle w:val="TableofFigures"/>
        <w:tabs>
          <w:tab w:val="left" w:pos="880"/>
        </w:tabs>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 xml:space="preserve">Summary of participants completing the online survey and </w:t>
      </w:r>
      <w:r w:rsidR="00EB2F61">
        <w:br/>
      </w:r>
      <w:r>
        <w:t>individual interview</w:t>
      </w:r>
      <w:r>
        <w:tab/>
      </w:r>
      <w:r w:rsidR="00A04EA9">
        <w:fldChar w:fldCharType="begin"/>
      </w:r>
      <w:r>
        <w:instrText xml:space="preserve"> PAGEREF _Toc378160507 \h </w:instrText>
      </w:r>
      <w:r w:rsidR="00A04EA9">
        <w:fldChar w:fldCharType="separate"/>
      </w:r>
      <w:r w:rsidR="0088579D">
        <w:t>16</w:t>
      </w:r>
      <w:r w:rsidR="00A04EA9">
        <w:fldChar w:fldCharType="end"/>
      </w:r>
    </w:p>
    <w:p w:rsidR="00155AFC" w:rsidRDefault="00155AFC">
      <w:pPr>
        <w:pStyle w:val="TableofFigures"/>
        <w:tabs>
          <w:tab w:val="left" w:pos="880"/>
        </w:tabs>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 xml:space="preserve">Types of assessment completed by students in their current </w:t>
      </w:r>
      <w:r w:rsidR="00EB2F61">
        <w:br/>
      </w:r>
      <w:r>
        <w:t>program</w:t>
      </w:r>
      <w:r>
        <w:tab/>
      </w:r>
      <w:r w:rsidR="00A04EA9">
        <w:fldChar w:fldCharType="begin"/>
      </w:r>
      <w:r>
        <w:instrText xml:space="preserve"> PAGEREF _Toc378160508 \h </w:instrText>
      </w:r>
      <w:r w:rsidR="00A04EA9">
        <w:fldChar w:fldCharType="separate"/>
      </w:r>
      <w:r w:rsidR="0088579D">
        <w:t>17</w:t>
      </w:r>
      <w:r w:rsidR="00A04EA9">
        <w:fldChar w:fldCharType="end"/>
      </w:r>
    </w:p>
    <w:p w:rsidR="00155AFC" w:rsidRDefault="00155AFC">
      <w:pPr>
        <w:pStyle w:val="TableofFigures"/>
        <w:tabs>
          <w:tab w:val="left" w:pos="880"/>
        </w:tabs>
        <w:rPr>
          <w:rFonts w:asciiTheme="minorHAnsi" w:eastAsiaTheme="minorEastAsia" w:hAnsiTheme="minorHAnsi" w:cstheme="minorBidi"/>
          <w:color w:val="auto"/>
          <w:sz w:val="22"/>
          <w:szCs w:val="22"/>
          <w:lang w:eastAsia="en-AU"/>
        </w:rPr>
      </w:pPr>
      <w:r>
        <w:t>5</w:t>
      </w:r>
      <w:r>
        <w:rPr>
          <w:rFonts w:asciiTheme="minorHAnsi" w:eastAsiaTheme="minorEastAsia" w:hAnsiTheme="minorHAnsi" w:cstheme="minorBidi"/>
          <w:color w:val="auto"/>
          <w:sz w:val="22"/>
          <w:szCs w:val="22"/>
          <w:lang w:eastAsia="en-AU"/>
        </w:rPr>
        <w:tab/>
      </w:r>
      <w:r>
        <w:t>Sources of information used by students when preparing for assessment</w:t>
      </w:r>
      <w:r>
        <w:tab/>
      </w:r>
      <w:r w:rsidR="00A04EA9">
        <w:fldChar w:fldCharType="begin"/>
      </w:r>
      <w:r>
        <w:instrText xml:space="preserve"> PAGEREF _Toc378160509 \h </w:instrText>
      </w:r>
      <w:r w:rsidR="00A04EA9">
        <w:fldChar w:fldCharType="separate"/>
      </w:r>
      <w:r w:rsidR="0088579D">
        <w:t>18</w:t>
      </w:r>
      <w:r w:rsidR="00A04EA9">
        <w:fldChar w:fldCharType="end"/>
      </w:r>
    </w:p>
    <w:p w:rsidR="00155AFC" w:rsidRDefault="00A04EA9" w:rsidP="004E7227">
      <w:pPr>
        <w:pStyle w:val="Heading2"/>
        <w:rPr>
          <w:noProof/>
        </w:rPr>
      </w:pPr>
      <w:r>
        <w:fldChar w:fldCharType="end"/>
      </w:r>
      <w:bookmarkStart w:id="32" w:name="_Toc296497517"/>
      <w:bookmarkStart w:id="33" w:name="_Toc298162802"/>
      <w:bookmarkStart w:id="34" w:name="_Toc371518444"/>
      <w:bookmarkStart w:id="35" w:name="_Toc378160481"/>
      <w:r w:rsidR="004E7227">
        <w:t>Figures</w:t>
      </w:r>
      <w:bookmarkEnd w:id="32"/>
      <w:bookmarkEnd w:id="33"/>
      <w:bookmarkEnd w:id="34"/>
      <w:bookmarkEnd w:id="35"/>
      <w:r w:rsidRPr="00A04EA9">
        <w:rPr>
          <w:rFonts w:ascii="Garamond" w:hAnsi="Garamond"/>
          <w:sz w:val="22"/>
        </w:rPr>
        <w:fldChar w:fldCharType="begin"/>
      </w:r>
      <w:r w:rsidR="004E7227">
        <w:instrText xml:space="preserve"> TOC \t "Figuretitle" \c </w:instrText>
      </w:r>
      <w:r w:rsidRPr="00A04EA9">
        <w:rPr>
          <w:rFonts w:ascii="Garamond" w:hAnsi="Garamond"/>
          <w:sz w:val="22"/>
        </w:rPr>
        <w:fldChar w:fldCharType="separate"/>
      </w:r>
    </w:p>
    <w:p w:rsidR="00155AFC" w:rsidRDefault="00155AFC">
      <w:pPr>
        <w:pStyle w:val="TableofFigures"/>
        <w:tabs>
          <w:tab w:val="left" w:pos="1100"/>
        </w:tabs>
        <w:rPr>
          <w:rFonts w:asciiTheme="minorHAnsi" w:eastAsiaTheme="minorEastAsia" w:hAnsiTheme="minorHAnsi" w:cstheme="minorBidi"/>
          <w:color w:val="auto"/>
          <w:sz w:val="22"/>
          <w:szCs w:val="22"/>
          <w:lang w:eastAsia="en-AU"/>
        </w:rPr>
      </w:pPr>
      <w:r>
        <w:t>1</w:t>
      </w:r>
      <w:r>
        <w:rPr>
          <w:rFonts w:asciiTheme="minorHAnsi" w:eastAsiaTheme="minorEastAsia" w:hAnsiTheme="minorHAnsi" w:cstheme="minorBidi"/>
          <w:color w:val="auto"/>
          <w:sz w:val="22"/>
          <w:szCs w:val="22"/>
          <w:lang w:eastAsia="en-AU"/>
        </w:rPr>
        <w:tab/>
      </w:r>
      <w:r>
        <w:t>Self-reported use of information skills across Standards 2</w:t>
      </w:r>
      <w:r w:rsidR="00EB2F61">
        <w:rPr>
          <w:rFonts w:cs="Tahoma"/>
        </w:rPr>
        <w:t>—</w:t>
      </w:r>
      <w:r>
        <w:t xml:space="preserve">6 of </w:t>
      </w:r>
      <w:r w:rsidR="00EB2F61">
        <w:br/>
      </w:r>
      <w:r>
        <w:t>the ANZIIL Framework, averaged by student group</w:t>
      </w:r>
      <w:r>
        <w:tab/>
      </w:r>
      <w:r w:rsidR="00A04EA9">
        <w:fldChar w:fldCharType="begin"/>
      </w:r>
      <w:r>
        <w:instrText xml:space="preserve"> PAGEREF _Toc378160510 \h </w:instrText>
      </w:r>
      <w:r w:rsidR="00A04EA9">
        <w:fldChar w:fldCharType="separate"/>
      </w:r>
      <w:r w:rsidR="0088579D">
        <w:t>20</w:t>
      </w:r>
      <w:r w:rsidR="00A04EA9">
        <w:fldChar w:fldCharType="end"/>
      </w:r>
    </w:p>
    <w:p w:rsidR="00155AFC" w:rsidRDefault="00155AFC">
      <w:pPr>
        <w:pStyle w:val="TableofFigures"/>
        <w:tabs>
          <w:tab w:val="left" w:pos="110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 xml:space="preserve">Student-perceived challenge of information skills across </w:t>
      </w:r>
      <w:r w:rsidR="00EB2F61">
        <w:br/>
      </w:r>
      <w:r>
        <w:t>Standards 1</w:t>
      </w:r>
      <w:r w:rsidR="00EB2F61">
        <w:t>—</w:t>
      </w:r>
      <w:r>
        <w:t>6 of ANZIIL Framework, averaged by student group</w:t>
      </w:r>
      <w:r>
        <w:tab/>
      </w:r>
      <w:r w:rsidR="00A04EA9">
        <w:fldChar w:fldCharType="begin"/>
      </w:r>
      <w:r>
        <w:instrText xml:space="preserve"> PAGEREF _Toc378160511 \h </w:instrText>
      </w:r>
      <w:r w:rsidR="00A04EA9">
        <w:fldChar w:fldCharType="separate"/>
      </w:r>
      <w:r w:rsidR="0088579D">
        <w:t>21</w:t>
      </w:r>
      <w:r w:rsidR="00A04EA9">
        <w:fldChar w:fldCharType="end"/>
      </w:r>
    </w:p>
    <w:p w:rsidR="00155AFC" w:rsidRDefault="00155AFC">
      <w:pPr>
        <w:pStyle w:val="TableofFigures"/>
        <w:tabs>
          <w:tab w:val="left" w:pos="1100"/>
        </w:tabs>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 xml:space="preserve">Proposed transitional collaborative framework, based on </w:t>
      </w:r>
      <w:r w:rsidR="00EB2F61">
        <w:br/>
      </w:r>
      <w:r>
        <w:t>evidence from the present research</w:t>
      </w:r>
      <w:r>
        <w:tab/>
      </w:r>
      <w:r w:rsidR="00A04EA9">
        <w:fldChar w:fldCharType="begin"/>
      </w:r>
      <w:r>
        <w:instrText xml:space="preserve"> PAGEREF _Toc378160512 \h </w:instrText>
      </w:r>
      <w:r w:rsidR="00A04EA9">
        <w:fldChar w:fldCharType="separate"/>
      </w:r>
      <w:r w:rsidR="0088579D">
        <w:t>27</w:t>
      </w:r>
      <w:r w:rsidR="00A04EA9">
        <w:fldChar w:fldCharType="end"/>
      </w:r>
    </w:p>
    <w:p w:rsidR="004E7227" w:rsidRDefault="00A04EA9" w:rsidP="004E7227">
      <w:pPr>
        <w:pStyle w:val="TableofFigures"/>
      </w:pPr>
      <w:r>
        <w:fldChar w:fldCharType="end"/>
      </w:r>
    </w:p>
    <w:p w:rsidR="00A93867" w:rsidRPr="00A93867" w:rsidRDefault="00A93867">
      <w:pPr>
        <w:spacing w:before="0" w:line="240" w:lineRule="auto"/>
        <w:rPr>
          <w:rFonts w:ascii="Tahoma" w:hAnsi="Tahoma" w:cs="Tahoma"/>
          <w:b/>
          <w:color w:val="000000"/>
          <w:kern w:val="28"/>
          <w:sz w:val="56"/>
          <w:szCs w:val="56"/>
        </w:rPr>
      </w:pPr>
      <w:r w:rsidRPr="00A93867">
        <w:rPr>
          <w:b/>
        </w:rPr>
        <w:br w:type="page"/>
      </w:r>
    </w:p>
    <w:p w:rsidR="009E231A" w:rsidRPr="00B86D06" w:rsidRDefault="00FE4A2D" w:rsidP="008C0A74">
      <w:pPr>
        <w:pStyle w:val="Heading1"/>
      </w:pPr>
      <w:bookmarkStart w:id="36" w:name="_Toc378160482"/>
      <w:r w:rsidRPr="00B86D06">
        <w:lastRenderedPageBreak/>
        <w:t>Executive summary</w:t>
      </w:r>
      <w:bookmarkEnd w:id="36"/>
    </w:p>
    <w:p w:rsidR="00227E29" w:rsidRDefault="00D46D90" w:rsidP="00FD0ADD">
      <w:pPr>
        <w:pStyle w:val="Text"/>
      </w:pPr>
      <w:bookmarkStart w:id="37" w:name="_Toc296423685"/>
      <w:bookmarkStart w:id="38" w:name="_Toc296497519"/>
      <w:bookmarkStart w:id="39" w:name="_Toc298162804"/>
      <w:r>
        <w:t>T</w:t>
      </w:r>
      <w:r w:rsidR="00E3639B">
        <w:t>he Australian Qualification</w:t>
      </w:r>
      <w:r w:rsidR="00DD0E26">
        <w:t>s</w:t>
      </w:r>
      <w:r w:rsidR="00E3639B">
        <w:t xml:space="preserve"> Framework </w:t>
      </w:r>
      <w:r w:rsidR="00DD0E26">
        <w:t xml:space="preserve">(AQF) </w:t>
      </w:r>
      <w:r w:rsidR="00C53A5F">
        <w:t>established</w:t>
      </w:r>
      <w:r w:rsidR="00E3639B">
        <w:t xml:space="preserve"> the foundation for </w:t>
      </w:r>
      <w:r w:rsidR="005A0C28">
        <w:t xml:space="preserve">students with </w:t>
      </w:r>
      <w:r w:rsidR="00E3639B">
        <w:t>a vocational education and training (VET) qualification to receive advanced standing when entering a university program</w:t>
      </w:r>
      <w:r w:rsidR="00227E29">
        <w:t>. However,</w:t>
      </w:r>
      <w:r w:rsidR="00E3639B">
        <w:t xml:space="preserve"> VET students face </w:t>
      </w:r>
      <w:r w:rsidR="00DD0E26">
        <w:t xml:space="preserve">many challenges </w:t>
      </w:r>
      <w:r w:rsidR="00E3639B">
        <w:t xml:space="preserve">when transitioning to university. </w:t>
      </w:r>
      <w:r w:rsidR="004C35D4">
        <w:t>While t</w:t>
      </w:r>
      <w:r w:rsidR="00E3639B">
        <w:t xml:space="preserve">hese </w:t>
      </w:r>
      <w:r w:rsidR="007F3339">
        <w:t>vary</w:t>
      </w:r>
      <w:r w:rsidR="004C35D4">
        <w:t>,</w:t>
      </w:r>
      <w:r w:rsidR="00E3639B">
        <w:t xml:space="preserve"> commonly identified </w:t>
      </w:r>
      <w:r w:rsidR="008910B6">
        <w:t xml:space="preserve">challenges </w:t>
      </w:r>
      <w:r w:rsidR="00E3639B">
        <w:t>relate to</w:t>
      </w:r>
      <w:r w:rsidR="001D3D5E">
        <w:t xml:space="preserve"> information skills</w:t>
      </w:r>
      <w:r w:rsidR="007F3339">
        <w:t xml:space="preserve"> and university expectations </w:t>
      </w:r>
      <w:r w:rsidR="00C53A5F">
        <w:t>associated with</w:t>
      </w:r>
      <w:r w:rsidR="00DD0E26">
        <w:t xml:space="preserve"> </w:t>
      </w:r>
      <w:r w:rsidR="007F3339">
        <w:t>gather</w:t>
      </w:r>
      <w:r w:rsidR="00DD0E26">
        <w:t>ing and synthesising</w:t>
      </w:r>
      <w:r w:rsidR="007F3339">
        <w:t xml:space="preserve"> information as part of the learning process. </w:t>
      </w:r>
    </w:p>
    <w:p w:rsidR="008F2A23" w:rsidRDefault="008F2A23" w:rsidP="008F2A23">
      <w:pPr>
        <w:pStyle w:val="Text"/>
      </w:pPr>
      <w:r>
        <w:t xml:space="preserve">The aim of this project was to understand the information literacy experiences on both sides of the VET-to-university transition in order to </w:t>
      </w:r>
      <w:r w:rsidR="008C2F61">
        <w:t>develop</w:t>
      </w:r>
      <w:r>
        <w:t xml:space="preserve"> a targeted information literacy support framework</w:t>
      </w:r>
      <w:r w:rsidR="006F570F">
        <w:t xml:space="preserve"> </w:t>
      </w:r>
      <w:r w:rsidR="00FA3387">
        <w:t>that</w:t>
      </w:r>
      <w:r w:rsidR="008C2F61">
        <w:t xml:space="preserve"> would aid</w:t>
      </w:r>
      <w:r>
        <w:t xml:space="preserve"> students transitioning to university. The report </w:t>
      </w:r>
      <w:r w:rsidR="006F570F">
        <w:t xml:space="preserve">addresses </w:t>
      </w:r>
      <w:r>
        <w:t>three research questions:</w:t>
      </w:r>
    </w:p>
    <w:p w:rsidR="008F2A23" w:rsidRPr="00F02D1C" w:rsidRDefault="008F2A23" w:rsidP="008F2A23">
      <w:pPr>
        <w:pStyle w:val="Dotpoint1"/>
      </w:pPr>
      <w:r>
        <w:t>What is the nature of</w:t>
      </w:r>
      <w:r w:rsidRPr="00F02D1C">
        <w:t xml:space="preserve"> </w:t>
      </w:r>
      <w:r w:rsidR="006F570F">
        <w:t xml:space="preserve">the </w:t>
      </w:r>
      <w:r w:rsidRPr="00F02D1C">
        <w:t>information literacy ski</w:t>
      </w:r>
      <w:r>
        <w:t>lls</w:t>
      </w:r>
      <w:r w:rsidRPr="00F02D1C">
        <w:t xml:space="preserve"> currently embedded in </w:t>
      </w:r>
      <w:r>
        <w:t>d</w:t>
      </w:r>
      <w:r w:rsidRPr="00F02D1C">
        <w:t xml:space="preserve">iploma modules and </w:t>
      </w:r>
      <w:r>
        <w:t>b</w:t>
      </w:r>
      <w:r w:rsidRPr="00F02D1C">
        <w:t xml:space="preserve">achelor degree </w:t>
      </w:r>
      <w:r>
        <w:t>units?</w:t>
      </w:r>
    </w:p>
    <w:p w:rsidR="008F2A23" w:rsidRDefault="008F2A23" w:rsidP="008F2A23">
      <w:pPr>
        <w:pStyle w:val="Dotpoint1"/>
      </w:pPr>
      <w:r>
        <w:t>What</w:t>
      </w:r>
      <w:r w:rsidRPr="00F02D1C">
        <w:t xml:space="preserve"> in</w:t>
      </w:r>
      <w:r>
        <w:t>formation literacy challenges</w:t>
      </w:r>
      <w:r w:rsidRPr="00F02D1C">
        <w:t xml:space="preserve"> </w:t>
      </w:r>
      <w:r>
        <w:t xml:space="preserve">do </w:t>
      </w:r>
      <w:r w:rsidRPr="00F02D1C">
        <w:t xml:space="preserve">students face in their current </w:t>
      </w:r>
      <w:r>
        <w:t xml:space="preserve">TAFE </w:t>
      </w:r>
      <w:r w:rsidR="006F570F">
        <w:t xml:space="preserve">(technical and further education) </w:t>
      </w:r>
      <w:r>
        <w:t>or university program?</w:t>
      </w:r>
    </w:p>
    <w:p w:rsidR="008F2A23" w:rsidRDefault="008F2A23" w:rsidP="008F2A23">
      <w:pPr>
        <w:pStyle w:val="Dotpoint1"/>
      </w:pPr>
      <w:r>
        <w:t>What i</w:t>
      </w:r>
      <w:r w:rsidRPr="00F02D1C">
        <w:t xml:space="preserve">mprovements to information literacy </w:t>
      </w:r>
      <w:r>
        <w:t>teaching in both the TAFE and university sectors would ease the transition from TAFE to university?</w:t>
      </w:r>
    </w:p>
    <w:p w:rsidR="00227E29" w:rsidRDefault="00227E29" w:rsidP="004C35D4">
      <w:pPr>
        <w:pStyle w:val="Text"/>
      </w:pPr>
      <w:r>
        <w:t>The participants in th</w:t>
      </w:r>
      <w:r w:rsidR="008D06E8">
        <w:t>is</w:t>
      </w:r>
      <w:r>
        <w:t xml:space="preserve"> </w:t>
      </w:r>
      <w:r w:rsidR="007C1A5C">
        <w:t>research</w:t>
      </w:r>
      <w:r w:rsidR="006F570F">
        <w:t xml:space="preserve"> were students </w:t>
      </w:r>
      <w:r>
        <w:t xml:space="preserve">in the field of early childhood education from one </w:t>
      </w:r>
      <w:bookmarkStart w:id="40" w:name="OLE_LINK1"/>
      <w:bookmarkStart w:id="41" w:name="OLE_LINK2"/>
      <w:r>
        <w:t>TAFE</w:t>
      </w:r>
      <w:bookmarkEnd w:id="40"/>
      <w:bookmarkEnd w:id="41"/>
      <w:r>
        <w:t xml:space="preserve"> institute and one university. They were enrolled in a Diploma </w:t>
      </w:r>
      <w:r w:rsidR="00B56E5F">
        <w:t>of</w:t>
      </w:r>
      <w:r>
        <w:t xml:space="preserve"> Children’s Services</w:t>
      </w:r>
      <w:r w:rsidR="00D61E1D">
        <w:t>, a</w:t>
      </w:r>
      <w:r>
        <w:t xml:space="preserve"> Bachelor of Education (Early Childhood) or </w:t>
      </w:r>
      <w:r w:rsidR="00D61E1D">
        <w:t xml:space="preserve">a </w:t>
      </w:r>
      <w:r>
        <w:t xml:space="preserve">Bachelor of Early Childhood Studies. The </w:t>
      </w:r>
      <w:r w:rsidR="003E1541">
        <w:t>b</w:t>
      </w:r>
      <w:r>
        <w:t xml:space="preserve">achelor degree participants had previously been awarded a Diploma </w:t>
      </w:r>
      <w:r w:rsidR="004D067B">
        <w:t>of</w:t>
      </w:r>
      <w:r>
        <w:t xml:space="preserve"> Children’s Services and </w:t>
      </w:r>
      <w:r w:rsidR="008C2F61">
        <w:t xml:space="preserve">had </w:t>
      </w:r>
      <w:r>
        <w:t xml:space="preserve">entered university with advanced standing. </w:t>
      </w:r>
      <w:r w:rsidR="00FA3387">
        <w:t>The d</w:t>
      </w:r>
      <w:r>
        <w:t xml:space="preserve">ata collection was sequential, with an initial online survey used to determine the nature of </w:t>
      </w:r>
      <w:r w:rsidR="006F570F">
        <w:t xml:space="preserve">the </w:t>
      </w:r>
      <w:r w:rsidR="008C2F61">
        <w:t xml:space="preserve">students’ </w:t>
      </w:r>
      <w:r>
        <w:t>information literacy skills</w:t>
      </w:r>
      <w:r w:rsidR="006F570F">
        <w:t>.</w:t>
      </w:r>
      <w:r>
        <w:t xml:space="preserve"> </w:t>
      </w:r>
      <w:r w:rsidR="006F570F">
        <w:t>F</w:t>
      </w:r>
      <w:r>
        <w:t>ollow</w:t>
      </w:r>
      <w:r w:rsidR="003E1541">
        <w:t>-</w:t>
      </w:r>
      <w:r>
        <w:t xml:space="preserve">up interviews </w:t>
      </w:r>
      <w:r w:rsidR="006F570F">
        <w:t xml:space="preserve">were </w:t>
      </w:r>
      <w:r>
        <w:t>used to gain in</w:t>
      </w:r>
      <w:r w:rsidR="00DB660B">
        <w:t>-</w:t>
      </w:r>
      <w:r>
        <w:t>depth detail about the challenges experienced and student</w:t>
      </w:r>
      <w:r w:rsidR="008C2F61">
        <w:t>s’</w:t>
      </w:r>
      <w:r>
        <w:t xml:space="preserve"> perspectives on </w:t>
      </w:r>
      <w:r w:rsidR="006F570F">
        <w:t xml:space="preserve">the </w:t>
      </w:r>
      <w:r>
        <w:t xml:space="preserve">improvements to information literacy that would </w:t>
      </w:r>
      <w:r w:rsidR="0005501E">
        <w:t>ease</w:t>
      </w:r>
      <w:r>
        <w:t xml:space="preserve"> the transition to university. </w:t>
      </w:r>
    </w:p>
    <w:p w:rsidR="00E1434F" w:rsidRDefault="00FA3387" w:rsidP="00D70491">
      <w:pPr>
        <w:pStyle w:val="Text"/>
        <w:ind w:right="-143"/>
      </w:pPr>
      <w:r>
        <w:t>An</w:t>
      </w:r>
      <w:r w:rsidR="009F56E3">
        <w:t xml:space="preserve"> </w:t>
      </w:r>
      <w:r w:rsidR="00E1434F">
        <w:t>examin</w:t>
      </w:r>
      <w:r w:rsidR="004316CE">
        <w:t>ation of</w:t>
      </w:r>
      <w:r w:rsidR="00E1434F">
        <w:t xml:space="preserve"> the nature of information literacy in the respective </w:t>
      </w:r>
      <w:r w:rsidR="001F6F8A">
        <w:t>program</w:t>
      </w:r>
      <w:r w:rsidR="00E1434F">
        <w:t xml:space="preserve">s </w:t>
      </w:r>
      <w:r w:rsidR="009F56E3">
        <w:t xml:space="preserve">revealed that </w:t>
      </w:r>
      <w:r w:rsidR="00E1434F">
        <w:t xml:space="preserve">there was a higher </w:t>
      </w:r>
      <w:r w:rsidR="00BD18E8">
        <w:t xml:space="preserve">expectation </w:t>
      </w:r>
      <w:r w:rsidR="00C53A5F">
        <w:t xml:space="preserve">imposed </w:t>
      </w:r>
      <w:r w:rsidR="00BD18E8">
        <w:t>on university students to gather</w:t>
      </w:r>
      <w:r w:rsidR="006F570F">
        <w:t xml:space="preserve"> and</w:t>
      </w:r>
      <w:r w:rsidR="00BD18E8">
        <w:t xml:space="preserve"> synthesise information as part of</w:t>
      </w:r>
      <w:r w:rsidR="00D70491">
        <w:t> </w:t>
      </w:r>
      <w:r w:rsidR="00BD18E8">
        <w:t>written assessment</w:t>
      </w:r>
      <w:r w:rsidR="00DB3F8E">
        <w:t>s</w:t>
      </w:r>
      <w:r w:rsidR="00BD18E8">
        <w:t xml:space="preserve">. It </w:t>
      </w:r>
      <w:r w:rsidR="00DB3F8E">
        <w:t>is</w:t>
      </w:r>
      <w:r w:rsidR="00BD18E8">
        <w:t xml:space="preserve"> interesting to </w:t>
      </w:r>
      <w:r w:rsidR="001D3D5E">
        <w:t>note</w:t>
      </w:r>
      <w:r w:rsidR="00BD18E8">
        <w:t xml:space="preserve"> however that</w:t>
      </w:r>
      <w:r>
        <w:t>,</w:t>
      </w:r>
      <w:r w:rsidR="00BD18E8">
        <w:t xml:space="preserve"> while the sources of information differed in terms of complexity</w:t>
      </w:r>
      <w:r w:rsidR="00DB3F8E">
        <w:t>,</w:t>
      </w:r>
      <w:r w:rsidR="00BD18E8">
        <w:t xml:space="preserve"> the </w:t>
      </w:r>
      <w:r w:rsidR="001D3D5E">
        <w:t xml:space="preserve">online </w:t>
      </w:r>
      <w:r w:rsidR="00BD18E8">
        <w:t xml:space="preserve">information search strategies </w:t>
      </w:r>
      <w:r w:rsidR="009F56E3">
        <w:t xml:space="preserve">used </w:t>
      </w:r>
      <w:r w:rsidR="00BD18E8">
        <w:t>were quite similar</w:t>
      </w:r>
      <w:r w:rsidR="001D3D5E">
        <w:t xml:space="preserve"> across </w:t>
      </w:r>
      <w:r w:rsidR="008C2F61">
        <w:t xml:space="preserve">the two </w:t>
      </w:r>
      <w:r w:rsidR="001D3D5E">
        <w:t>sectors</w:t>
      </w:r>
      <w:r w:rsidR="00BD18E8">
        <w:t>. Both TAFE and university students reported using various types of filters in order to judge the value of a source</w:t>
      </w:r>
      <w:r w:rsidR="00A73505">
        <w:t>, but prioritised d</w:t>
      </w:r>
      <w:r w:rsidR="006F570F">
        <w:t>ifferent sources of information:</w:t>
      </w:r>
      <w:r w:rsidR="00BD18E8">
        <w:t xml:space="preserve"> TAFE students </w:t>
      </w:r>
      <w:r w:rsidR="008070E9">
        <w:t>prioritised</w:t>
      </w:r>
      <w:r w:rsidR="00BD18E8">
        <w:t xml:space="preserve"> recent practical Australian information from </w:t>
      </w:r>
      <w:r>
        <w:t>sources</w:t>
      </w:r>
      <w:r w:rsidR="00BD18E8">
        <w:t xml:space="preserve"> in the field, whereas university students look</w:t>
      </w:r>
      <w:r w:rsidR="00DB3F8E">
        <w:t>ed</w:t>
      </w:r>
      <w:r w:rsidR="00BD18E8">
        <w:t xml:space="preserve"> for recent peer</w:t>
      </w:r>
      <w:r w:rsidR="00DB660B">
        <w:t>-</w:t>
      </w:r>
      <w:r w:rsidR="00BD18E8">
        <w:t>reviewed sources.</w:t>
      </w:r>
      <w:r w:rsidR="00EE6B7F" w:rsidRPr="00EE6B7F">
        <w:t xml:space="preserve"> This example highlights that </w:t>
      </w:r>
      <w:r w:rsidR="00DB660B">
        <w:t>d</w:t>
      </w:r>
      <w:r w:rsidR="00EE6B7F" w:rsidRPr="00EE6B7F">
        <w:t>iploma studen</w:t>
      </w:r>
      <w:r w:rsidR="006F570F">
        <w:t>ts have established information-</w:t>
      </w:r>
      <w:r w:rsidR="00EE6B7F" w:rsidRPr="00EE6B7F">
        <w:t>filtering strategies</w:t>
      </w:r>
      <w:r w:rsidR="00A73505">
        <w:t xml:space="preserve"> and that </w:t>
      </w:r>
      <w:r w:rsidR="00C53A5F">
        <w:t>these</w:t>
      </w:r>
      <w:r w:rsidR="00227E29">
        <w:t xml:space="preserve"> </w:t>
      </w:r>
      <w:r w:rsidR="00EE6B7F" w:rsidRPr="00EE6B7F">
        <w:t>can be built upon by university staff to support these students to adapt their online information search priorities when they transition to university</w:t>
      </w:r>
      <w:r w:rsidR="00EE6B7F">
        <w:t>.</w:t>
      </w:r>
      <w:r w:rsidR="00BD18E8">
        <w:t xml:space="preserve"> </w:t>
      </w:r>
    </w:p>
    <w:p w:rsidR="008F2A23" w:rsidRDefault="008F2A23" w:rsidP="008F2A23">
      <w:pPr>
        <w:pStyle w:val="Text"/>
      </w:pPr>
      <w:r>
        <w:t xml:space="preserve">The Australian and New Zealand Institute for Information Literacy </w:t>
      </w:r>
      <w:r w:rsidRPr="00311FC3">
        <w:t>(ANZIIL) Framework</w:t>
      </w:r>
      <w:r>
        <w:t xml:space="preserve"> </w:t>
      </w:r>
      <w:r w:rsidR="006F570F">
        <w:t xml:space="preserve">measures the </w:t>
      </w:r>
      <w:r w:rsidR="003C3DA5">
        <w:t>information literacy of a</w:t>
      </w:r>
      <w:r>
        <w:t xml:space="preserve"> person according to six standards:</w:t>
      </w:r>
    </w:p>
    <w:p w:rsidR="008F2A23" w:rsidRDefault="008F2A23" w:rsidP="008F2A23">
      <w:pPr>
        <w:pStyle w:val="Dotpoint1"/>
      </w:pPr>
      <w:r w:rsidRPr="00BE1E87">
        <w:rPr>
          <w:b/>
        </w:rPr>
        <w:t>Standard 1</w:t>
      </w:r>
      <w:r w:rsidR="006F570F">
        <w:t xml:space="preserve"> r</w:t>
      </w:r>
      <w:r>
        <w:t>ecognises the need for information and determines the nature and extent of the information needed</w:t>
      </w:r>
      <w:r w:rsidR="006F570F">
        <w:t>.</w:t>
      </w:r>
      <w:r>
        <w:t xml:space="preserve"> </w:t>
      </w:r>
    </w:p>
    <w:p w:rsidR="008F2A23" w:rsidRDefault="008F2A23" w:rsidP="008F2A23">
      <w:pPr>
        <w:pStyle w:val="Dotpoint1"/>
      </w:pPr>
      <w:r w:rsidRPr="00BE1E87">
        <w:rPr>
          <w:b/>
        </w:rPr>
        <w:t>Standard 2</w:t>
      </w:r>
      <w:r w:rsidR="006F570F">
        <w:t xml:space="preserve"> f</w:t>
      </w:r>
      <w:r>
        <w:t>inds needed information effectively and efficiently</w:t>
      </w:r>
      <w:r w:rsidR="006F570F">
        <w:t>.</w:t>
      </w:r>
      <w:r>
        <w:t xml:space="preserve"> </w:t>
      </w:r>
    </w:p>
    <w:p w:rsidR="008F2A23" w:rsidRDefault="008F2A23" w:rsidP="008F2A23">
      <w:pPr>
        <w:pStyle w:val="Dotpoint1"/>
      </w:pPr>
      <w:r w:rsidRPr="00BE1E87">
        <w:rPr>
          <w:b/>
        </w:rPr>
        <w:t>Standard 3</w:t>
      </w:r>
      <w:r w:rsidR="006F570F">
        <w:t xml:space="preserve"> c</w:t>
      </w:r>
      <w:r>
        <w:t xml:space="preserve">ritically evaluates </w:t>
      </w:r>
      <w:r w:rsidR="006F570F">
        <w:t>information and the information-</w:t>
      </w:r>
      <w:r>
        <w:t>seeking process</w:t>
      </w:r>
      <w:r w:rsidR="006F570F">
        <w:t>.</w:t>
      </w:r>
    </w:p>
    <w:p w:rsidR="00D70491" w:rsidRDefault="00D70491">
      <w:pPr>
        <w:spacing w:before="0" w:line="240" w:lineRule="auto"/>
        <w:rPr>
          <w:b/>
          <w:color w:val="000000"/>
        </w:rPr>
      </w:pPr>
      <w:r>
        <w:rPr>
          <w:b/>
        </w:rPr>
        <w:br w:type="page"/>
      </w:r>
    </w:p>
    <w:p w:rsidR="008F2A23" w:rsidRDefault="008F2A23" w:rsidP="008F2A23">
      <w:pPr>
        <w:pStyle w:val="Dotpoint1"/>
      </w:pPr>
      <w:r w:rsidRPr="00BE1E87">
        <w:rPr>
          <w:b/>
        </w:rPr>
        <w:lastRenderedPageBreak/>
        <w:t>Standard 4</w:t>
      </w:r>
      <w:r w:rsidR="006F570F">
        <w:t xml:space="preserve"> m</w:t>
      </w:r>
      <w:r>
        <w:t>anages information collected or generated</w:t>
      </w:r>
      <w:r w:rsidR="006F570F">
        <w:t>.</w:t>
      </w:r>
    </w:p>
    <w:p w:rsidR="008F2A23" w:rsidRDefault="008F2A23" w:rsidP="008F2A23">
      <w:pPr>
        <w:pStyle w:val="Dotpoint1"/>
      </w:pPr>
      <w:r w:rsidRPr="00BE1E87">
        <w:rPr>
          <w:b/>
        </w:rPr>
        <w:t>Standard 5</w:t>
      </w:r>
      <w:r w:rsidR="006F570F">
        <w:t xml:space="preserve"> a</w:t>
      </w:r>
      <w:r>
        <w:t>pplies prior and new information to construct new concepts or create new understandings</w:t>
      </w:r>
      <w:r w:rsidR="006F570F">
        <w:t>.</w:t>
      </w:r>
      <w:r>
        <w:t xml:space="preserve"> </w:t>
      </w:r>
    </w:p>
    <w:p w:rsidR="008F2A23" w:rsidRDefault="008F2A23" w:rsidP="008F2A23">
      <w:pPr>
        <w:pStyle w:val="Dotpoint1"/>
      </w:pPr>
      <w:r w:rsidRPr="00BE1E87">
        <w:rPr>
          <w:b/>
        </w:rPr>
        <w:t>Standard 6</w:t>
      </w:r>
      <w:r w:rsidR="006F570F">
        <w:t xml:space="preserve"> u</w:t>
      </w:r>
      <w:r>
        <w:t>ses information with understanding and acknowledges cul</w:t>
      </w:r>
      <w:r w:rsidR="00C53A5F">
        <w:t>tural, ethical, economic, legal</w:t>
      </w:r>
      <w:r>
        <w:t xml:space="preserve"> and social issues surrounding the use of information.</w:t>
      </w:r>
    </w:p>
    <w:p w:rsidR="00213B2C" w:rsidRDefault="00E70FDB" w:rsidP="00FD0ADD">
      <w:pPr>
        <w:pStyle w:val="Text"/>
      </w:pPr>
      <w:r>
        <w:t>Of the six standards in this f</w:t>
      </w:r>
      <w:r w:rsidR="004316CE">
        <w:t>ramework</w:t>
      </w:r>
      <w:r w:rsidR="005E5C34">
        <w:t>,</w:t>
      </w:r>
      <w:r w:rsidR="004316CE">
        <w:t xml:space="preserve"> </w:t>
      </w:r>
      <w:r w:rsidR="006C623B">
        <w:t>u</w:t>
      </w:r>
      <w:r w:rsidR="000345A3">
        <w:t xml:space="preserve">nderstanding the task (Standard 1), </w:t>
      </w:r>
      <w:r w:rsidR="008070E9">
        <w:t>bringing together and preparing the assessment</w:t>
      </w:r>
      <w:r w:rsidR="000345A3">
        <w:t xml:space="preserve"> (Standard 5) and </w:t>
      </w:r>
      <w:r w:rsidR="008070E9">
        <w:t>adhering to the</w:t>
      </w:r>
      <w:r w:rsidR="000345A3">
        <w:t xml:space="preserve"> writing and referencing styles (Standard 6)</w:t>
      </w:r>
      <w:r w:rsidR="008070E9">
        <w:t xml:space="preserve"> </w:t>
      </w:r>
      <w:r w:rsidR="004A7CF6">
        <w:t xml:space="preserve">were identified as being the most challenging aspects </w:t>
      </w:r>
      <w:r w:rsidR="00C53A5F">
        <w:t xml:space="preserve">experienced </w:t>
      </w:r>
      <w:r w:rsidR="004A7CF6">
        <w:t xml:space="preserve">by both the TAFE and university participant groups. </w:t>
      </w:r>
      <w:r w:rsidR="000345A3">
        <w:t xml:space="preserve">These specific aspects </w:t>
      </w:r>
      <w:r w:rsidR="00EE34A1">
        <w:t>became</w:t>
      </w:r>
      <w:r w:rsidR="000345A3">
        <w:t xml:space="preserve"> </w:t>
      </w:r>
      <w:r w:rsidR="00EE6B7F">
        <w:t>the</w:t>
      </w:r>
      <w:r w:rsidR="000345A3">
        <w:t xml:space="preserve"> </w:t>
      </w:r>
      <w:r w:rsidR="000F4354">
        <w:t>focus when</w:t>
      </w:r>
      <w:r w:rsidR="004A7CF6">
        <w:t xml:space="preserve"> </w:t>
      </w:r>
      <w:r w:rsidR="00EE34A1">
        <w:t>developing</w:t>
      </w:r>
      <w:r w:rsidR="000F4354">
        <w:t xml:space="preserve"> the targeted information literacy support </w:t>
      </w:r>
      <w:r w:rsidR="001F74A0">
        <w:t xml:space="preserve">framework </w:t>
      </w:r>
      <w:r w:rsidR="000F4354">
        <w:t>for transitioning students.</w:t>
      </w:r>
      <w:r w:rsidR="004A7CF6">
        <w:t xml:space="preserve"> </w:t>
      </w:r>
    </w:p>
    <w:p w:rsidR="000A2B91" w:rsidRDefault="00227E29" w:rsidP="00FD0ADD">
      <w:pPr>
        <w:pStyle w:val="Text"/>
      </w:pPr>
      <w:r>
        <w:t>M</w:t>
      </w:r>
      <w:r w:rsidR="004A7CF6">
        <w:t xml:space="preserve">any of the current TAFE students </w:t>
      </w:r>
      <w:r w:rsidR="001D3D5E">
        <w:t>felt</w:t>
      </w:r>
      <w:r w:rsidR="004A7CF6">
        <w:t xml:space="preserve"> very unfamiliar </w:t>
      </w:r>
      <w:r w:rsidR="00213B2C">
        <w:t>with</w:t>
      </w:r>
      <w:r w:rsidR="004A7CF6">
        <w:t xml:space="preserve"> university</w:t>
      </w:r>
      <w:r w:rsidR="00213B2C">
        <w:t xml:space="preserve"> and had many questions</w:t>
      </w:r>
      <w:r w:rsidR="00E70FDB">
        <w:t xml:space="preserve"> about studying via this mode</w:t>
      </w:r>
      <w:r>
        <w:t xml:space="preserve">. </w:t>
      </w:r>
      <w:r w:rsidR="00213B2C">
        <w:t xml:space="preserve">One student suggested </w:t>
      </w:r>
      <w:r w:rsidR="00E70FDB">
        <w:t xml:space="preserve">that </w:t>
      </w:r>
      <w:r w:rsidR="001D3D5E">
        <w:t>‘</w:t>
      </w:r>
      <w:r w:rsidR="00213B2C">
        <w:t>a university experience</w:t>
      </w:r>
      <w:r w:rsidR="001D3D5E">
        <w:t>’</w:t>
      </w:r>
      <w:r w:rsidR="00213B2C">
        <w:t xml:space="preserve"> </w:t>
      </w:r>
      <w:r w:rsidR="006C623B">
        <w:t>would be beneficial</w:t>
      </w:r>
      <w:r w:rsidR="00E70FDB">
        <w:t>:</w:t>
      </w:r>
      <w:r w:rsidR="006C623B">
        <w:t xml:space="preserve"> </w:t>
      </w:r>
      <w:r w:rsidR="00E70FDB">
        <w:t>observing</w:t>
      </w:r>
      <w:r w:rsidR="00213B2C">
        <w:t xml:space="preserve"> a lecture, see</w:t>
      </w:r>
      <w:r w:rsidR="00E70FDB">
        <w:t>ing</w:t>
      </w:r>
      <w:r w:rsidR="00213B2C">
        <w:t xml:space="preserve"> w</w:t>
      </w:r>
      <w:r w:rsidR="00C53A5F">
        <w:t>hat information and guidance were</w:t>
      </w:r>
      <w:r w:rsidR="00213B2C">
        <w:t xml:space="preserve"> given, and </w:t>
      </w:r>
      <w:r w:rsidR="00AE68D2">
        <w:t>viewing</w:t>
      </w:r>
      <w:r w:rsidR="00213B2C">
        <w:t xml:space="preserve"> an assessment piece. It was deemed </w:t>
      </w:r>
      <w:r w:rsidR="00E70FDB">
        <w:t>crucial</w:t>
      </w:r>
      <w:r w:rsidR="00213B2C">
        <w:t xml:space="preserve"> to understand the expectations of university before considering enrolment. </w:t>
      </w:r>
      <w:r w:rsidR="000A2B91">
        <w:t>When discussing the transition</w:t>
      </w:r>
      <w:r w:rsidR="00AB3A42">
        <w:t>,</w:t>
      </w:r>
      <w:r w:rsidR="000A2B91">
        <w:t xml:space="preserve"> current university students </w:t>
      </w:r>
      <w:r w:rsidR="007A1E72">
        <w:t xml:space="preserve">represented </w:t>
      </w:r>
      <w:r w:rsidR="000A2B91">
        <w:t xml:space="preserve">two distinct experiences in relation to </w:t>
      </w:r>
      <w:r w:rsidR="00E70FDB">
        <w:t xml:space="preserve">the </w:t>
      </w:r>
      <w:r w:rsidR="000A2B91">
        <w:t xml:space="preserve">support of </w:t>
      </w:r>
      <w:r w:rsidR="00AB3A42">
        <w:t xml:space="preserve">their </w:t>
      </w:r>
      <w:r w:rsidR="000A2B91">
        <w:t>information literacy skill</w:t>
      </w:r>
      <w:r w:rsidR="006C623B">
        <w:t>s</w:t>
      </w:r>
      <w:r w:rsidR="00E70FDB">
        <w:t xml:space="preserve"> development:</w:t>
      </w:r>
      <w:r w:rsidR="000A2B91">
        <w:t xml:space="preserve"> the </w:t>
      </w:r>
      <w:r w:rsidR="004316CE">
        <w:t>‘</w:t>
      </w:r>
      <w:r w:rsidR="000A2B91">
        <w:t>internal</w:t>
      </w:r>
      <w:r w:rsidR="00FB78CD">
        <w:t>’</w:t>
      </w:r>
      <w:r w:rsidR="000A2B91">
        <w:t xml:space="preserve"> and the </w:t>
      </w:r>
      <w:r w:rsidR="00FB78CD">
        <w:t>‘</w:t>
      </w:r>
      <w:r w:rsidR="000A2B91">
        <w:t>external</w:t>
      </w:r>
      <w:r w:rsidR="00FB78CD">
        <w:t>’</w:t>
      </w:r>
      <w:r w:rsidR="000A2B91">
        <w:t xml:space="preserve"> student</w:t>
      </w:r>
      <w:r w:rsidR="006C623B">
        <w:t xml:space="preserve"> experience</w:t>
      </w:r>
      <w:r w:rsidR="000A2B91">
        <w:t>. The internal stud</w:t>
      </w:r>
      <w:r w:rsidR="001D3D5E">
        <w:t>ents described specific support</w:t>
      </w:r>
      <w:r w:rsidR="000A2B91">
        <w:t xml:space="preserve"> embedded in their units and specialist sessions with library staff. </w:t>
      </w:r>
      <w:r w:rsidR="002E630F">
        <w:t>T</w:t>
      </w:r>
      <w:r w:rsidR="006C623B">
        <w:t xml:space="preserve">he </w:t>
      </w:r>
      <w:r w:rsidR="001D3D5E">
        <w:t>m</w:t>
      </w:r>
      <w:r w:rsidR="000A2B91">
        <w:t>ajority of the external students</w:t>
      </w:r>
      <w:r w:rsidR="00FB78CD">
        <w:t xml:space="preserve"> </w:t>
      </w:r>
      <w:r w:rsidR="002E630F">
        <w:t xml:space="preserve">on the other hand, </w:t>
      </w:r>
      <w:r w:rsidR="00AB3A42">
        <w:t>who</w:t>
      </w:r>
      <w:r w:rsidR="000A2B91">
        <w:t xml:space="preserve"> were engaged in full</w:t>
      </w:r>
      <w:r w:rsidR="005E5C34">
        <w:t>-</w:t>
      </w:r>
      <w:r w:rsidR="000A2B91">
        <w:t>time employment</w:t>
      </w:r>
      <w:r w:rsidR="00AB3A42">
        <w:t>,</w:t>
      </w:r>
      <w:r w:rsidR="000A2B91">
        <w:t xml:space="preserve"> reported being unable to access workshops</w:t>
      </w:r>
      <w:r w:rsidR="00C53A5F">
        <w:t>, since</w:t>
      </w:r>
      <w:r w:rsidR="000A2B91">
        <w:t xml:space="preserve"> they were only offered on campus during business hours. Online information literacy activities were mentioned</w:t>
      </w:r>
      <w:r w:rsidR="005E5C34">
        <w:t>;</w:t>
      </w:r>
      <w:r w:rsidR="000A2B91">
        <w:t xml:space="preserve"> however, it was clear that some found the online interface challenging and a barrier to their learning. The issues of timing and student access are </w:t>
      </w:r>
      <w:r w:rsidR="00AE68D2">
        <w:t>crucial</w:t>
      </w:r>
      <w:r w:rsidR="000A2B91">
        <w:t xml:space="preserve"> aspects of the </w:t>
      </w:r>
      <w:r w:rsidR="00316E8C">
        <w:t xml:space="preserve">information literacy transitional framework proposed </w:t>
      </w:r>
      <w:r w:rsidR="007C1A5C">
        <w:t>in the discussion</w:t>
      </w:r>
      <w:r w:rsidR="00316E8C">
        <w:t xml:space="preserve"> </w:t>
      </w:r>
      <w:r w:rsidR="0062126A">
        <w:t xml:space="preserve">section </w:t>
      </w:r>
      <w:r w:rsidR="00316E8C">
        <w:t xml:space="preserve">of this </w:t>
      </w:r>
      <w:r w:rsidR="007C1A5C">
        <w:t xml:space="preserve">research </w:t>
      </w:r>
      <w:r w:rsidR="009F56E3">
        <w:t>report</w:t>
      </w:r>
      <w:r w:rsidR="00316E8C">
        <w:t>.</w:t>
      </w:r>
    </w:p>
    <w:p w:rsidR="00316E8C" w:rsidRDefault="00316E8C" w:rsidP="00491EAB">
      <w:pPr>
        <w:pStyle w:val="Text"/>
      </w:pPr>
      <w:r>
        <w:t>The new understandings gain</w:t>
      </w:r>
      <w:r w:rsidR="001D3D5E">
        <w:t>ed</w:t>
      </w:r>
      <w:r>
        <w:t xml:space="preserve"> through t</w:t>
      </w:r>
      <w:r w:rsidR="001D3D5E">
        <w:t>h</w:t>
      </w:r>
      <w:r w:rsidR="009F56E3">
        <w:t>e</w:t>
      </w:r>
      <w:r w:rsidR="001D3D5E">
        <w:t xml:space="preserve"> data collection and analyses</w:t>
      </w:r>
      <w:r>
        <w:t xml:space="preserve"> have </w:t>
      </w:r>
      <w:r w:rsidR="001D3D5E">
        <w:t>contributed</w:t>
      </w:r>
      <w:r>
        <w:t xml:space="preserve"> </w:t>
      </w:r>
      <w:r w:rsidR="001D3D5E">
        <w:t xml:space="preserve">to </w:t>
      </w:r>
      <w:r>
        <w:t>the development of an information literacy transitional framework</w:t>
      </w:r>
      <w:r w:rsidR="00E70FDB">
        <w:t xml:space="preserve">, </w:t>
      </w:r>
      <w:r w:rsidR="00AE68D2">
        <w:t>in which</w:t>
      </w:r>
      <w:r w:rsidR="00AB3A42">
        <w:t xml:space="preserve"> </w:t>
      </w:r>
      <w:r>
        <w:t xml:space="preserve">three key time periods </w:t>
      </w:r>
      <w:r w:rsidR="00E70FDB">
        <w:t>are identified</w:t>
      </w:r>
      <w:r w:rsidR="00FA3387">
        <w:t>.</w:t>
      </w:r>
      <w:r w:rsidR="00E70FDB">
        <w:t xml:space="preserve"> </w:t>
      </w:r>
      <w:r w:rsidR="00FA3387">
        <w:t>At these points</w:t>
      </w:r>
      <w:r w:rsidR="00E70FDB">
        <w:t xml:space="preserve"> </w:t>
      </w:r>
      <w:r>
        <w:t>targeted support need</w:t>
      </w:r>
      <w:r w:rsidR="00C11903">
        <w:t>s</w:t>
      </w:r>
      <w:r>
        <w:t xml:space="preserve"> to be made available in order to </w:t>
      </w:r>
      <w:r w:rsidR="00227E29">
        <w:t>ease</w:t>
      </w:r>
      <w:r>
        <w:t xml:space="preserve"> the transition</w:t>
      </w:r>
      <w:r w:rsidR="00C11903">
        <w:t xml:space="preserve"> </w:t>
      </w:r>
      <w:r w:rsidR="007616B2">
        <w:t>to university</w:t>
      </w:r>
      <w:r w:rsidR="009C6870">
        <w:t>.</w:t>
      </w:r>
      <w:r w:rsidR="007616B2">
        <w:t xml:space="preserve"> </w:t>
      </w:r>
      <w:r w:rsidR="009C6870">
        <w:t>T</w:t>
      </w:r>
      <w:r w:rsidR="00C11903">
        <w:t xml:space="preserve">he </w:t>
      </w:r>
      <w:r w:rsidR="009F56E3">
        <w:t xml:space="preserve">key elements to be </w:t>
      </w:r>
      <w:r w:rsidR="00C11903">
        <w:t>provided</w:t>
      </w:r>
      <w:r w:rsidR="009F56E3">
        <w:t xml:space="preserve"> at each time period</w:t>
      </w:r>
      <w:r w:rsidR="009C6870">
        <w:t xml:space="preserve"> are also specified</w:t>
      </w:r>
      <w:r w:rsidR="009F56E3">
        <w:t xml:space="preserve">. </w:t>
      </w:r>
    </w:p>
    <w:bookmarkEnd w:id="37"/>
    <w:bookmarkEnd w:id="38"/>
    <w:bookmarkEnd w:id="39"/>
    <w:p w:rsidR="00A34D75" w:rsidRDefault="00A34D75">
      <w:pPr>
        <w:spacing w:before="0" w:line="240" w:lineRule="auto"/>
        <w:rPr>
          <w:rFonts w:ascii="Tahoma" w:hAnsi="Tahoma" w:cs="Tahoma"/>
          <w:color w:val="000000"/>
          <w:kern w:val="28"/>
          <w:sz w:val="56"/>
          <w:szCs w:val="56"/>
        </w:rPr>
      </w:pPr>
      <w:r>
        <w:br w:type="page"/>
      </w:r>
    </w:p>
    <w:p w:rsidR="00CD6ACD" w:rsidRDefault="00CC62A9" w:rsidP="00A50895">
      <w:pPr>
        <w:pStyle w:val="Heading1"/>
      </w:pPr>
      <w:bookmarkStart w:id="42" w:name="_Toc378160483"/>
      <w:r>
        <w:lastRenderedPageBreak/>
        <w:t>Introduction</w:t>
      </w:r>
      <w:bookmarkEnd w:id="42"/>
    </w:p>
    <w:p w:rsidR="00404A85" w:rsidRPr="001B1BB2" w:rsidRDefault="00E46DDF" w:rsidP="00404A85">
      <w:pPr>
        <w:pStyle w:val="Text"/>
      </w:pPr>
      <w:r w:rsidRPr="001B1BB2">
        <w:t xml:space="preserve">This report </w:t>
      </w:r>
      <w:r w:rsidR="00442B87" w:rsidRPr="001B1BB2">
        <w:t xml:space="preserve">focuses on the issue of transitioning from </w:t>
      </w:r>
      <w:r w:rsidR="001D3D5E">
        <w:t>vocatio</w:t>
      </w:r>
      <w:r w:rsidR="009C6870">
        <w:t>nal education and training</w:t>
      </w:r>
      <w:r w:rsidR="00442B87" w:rsidRPr="001B1BB2">
        <w:t xml:space="preserve"> to university and explores how information literacy could be used as a vehicle to help support students</w:t>
      </w:r>
      <w:r w:rsidR="001B1BB2">
        <w:t xml:space="preserve"> through this period of transition. </w:t>
      </w:r>
      <w:r w:rsidR="00CA3FDB">
        <w:t xml:space="preserve">The research represents the insights of </w:t>
      </w:r>
      <w:r w:rsidR="00E919D7">
        <w:t xml:space="preserve">a small cohort of </w:t>
      </w:r>
      <w:r w:rsidR="00CA3FDB">
        <w:t xml:space="preserve">students from one </w:t>
      </w:r>
      <w:r w:rsidR="009C6870">
        <w:t>TAFE</w:t>
      </w:r>
      <w:r w:rsidR="001D3D5E">
        <w:t xml:space="preserve"> institute</w:t>
      </w:r>
      <w:r w:rsidR="00CA3FDB">
        <w:t xml:space="preserve"> and one university in </w:t>
      </w:r>
      <w:r w:rsidR="00036A98">
        <w:t>South-East Queensland</w:t>
      </w:r>
      <w:r w:rsidR="009C6870">
        <w:t xml:space="preserve">, </w:t>
      </w:r>
      <w:r w:rsidR="008B6C21">
        <w:t>which</w:t>
      </w:r>
      <w:r w:rsidR="002D24B0">
        <w:t xml:space="preserve"> are co-located</w:t>
      </w:r>
      <w:r w:rsidR="00CA3FDB">
        <w:t xml:space="preserve">. The findings </w:t>
      </w:r>
      <w:r w:rsidR="008B6C21">
        <w:t>inform a proposal for</w:t>
      </w:r>
      <w:r w:rsidR="00CA3FDB">
        <w:t xml:space="preserve"> a collaborative transitional framework </w:t>
      </w:r>
      <w:r w:rsidR="00CA3FDB" w:rsidRPr="00EE34A1">
        <w:t xml:space="preserve">that </w:t>
      </w:r>
      <w:r w:rsidR="00EE34A1" w:rsidRPr="00EE34A1">
        <w:t>involves</w:t>
      </w:r>
      <w:r w:rsidR="00CA3FDB" w:rsidRPr="00EE34A1">
        <w:t xml:space="preserve"> staff and students from across</w:t>
      </w:r>
      <w:r w:rsidR="00CA3FDB" w:rsidRPr="001B1BB2">
        <w:t xml:space="preserve"> </w:t>
      </w:r>
      <w:r w:rsidR="00EE34A1">
        <w:t xml:space="preserve">the two </w:t>
      </w:r>
      <w:r w:rsidR="00CA3FDB" w:rsidRPr="001B1BB2">
        <w:t>sectors.</w:t>
      </w:r>
      <w:r w:rsidR="00CA3FDB">
        <w:t xml:space="preserve"> This introduction</w:t>
      </w:r>
      <w:r w:rsidR="008B6C21">
        <w:t xml:space="preserve"> to the report</w:t>
      </w:r>
      <w:r w:rsidR="00CA3FDB">
        <w:t xml:space="preserve"> identifies the common issues in transition</w:t>
      </w:r>
      <w:r w:rsidR="00E919D7">
        <w:t xml:space="preserve">ing from TAFE to university </w:t>
      </w:r>
      <w:r w:rsidR="00CA3FDB">
        <w:t xml:space="preserve">and </w:t>
      </w:r>
      <w:r w:rsidR="001D3D5E">
        <w:t>describes</w:t>
      </w:r>
      <w:r w:rsidR="00CA3FDB">
        <w:t xml:space="preserve"> s</w:t>
      </w:r>
      <w:r w:rsidR="001D3D5E">
        <w:t>ome current programs</w:t>
      </w:r>
      <w:r w:rsidR="00CA3FDB">
        <w:t xml:space="preserve"> supporting the transition. </w:t>
      </w:r>
    </w:p>
    <w:p w:rsidR="009E62BC" w:rsidRDefault="00341376" w:rsidP="00D70491">
      <w:pPr>
        <w:pStyle w:val="Heading2"/>
      </w:pPr>
      <w:bookmarkStart w:id="43" w:name="_Toc378160484"/>
      <w:r>
        <w:t>I</w:t>
      </w:r>
      <w:r w:rsidR="005C78E9">
        <w:t>ssues in</w:t>
      </w:r>
      <w:r w:rsidR="009E62BC">
        <w:t xml:space="preserve"> transition</w:t>
      </w:r>
      <w:r w:rsidR="00227E29">
        <w:t xml:space="preserve"> to university</w:t>
      </w:r>
      <w:bookmarkEnd w:id="43"/>
    </w:p>
    <w:p w:rsidR="000A4FDE" w:rsidRDefault="00143CE4" w:rsidP="000A4FDE">
      <w:pPr>
        <w:pStyle w:val="Text"/>
      </w:pPr>
      <w:r>
        <w:t>The completion, retention and attrition rates of articulating students are</w:t>
      </w:r>
      <w:r w:rsidR="009C6870">
        <w:t xml:space="preserve"> varied, with some studies (for example,</w:t>
      </w:r>
      <w:r>
        <w:t xml:space="preserve"> Wheelahan 2005) reporting that VET</w:t>
      </w:r>
      <w:r w:rsidR="00870B54">
        <w:t>-</w:t>
      </w:r>
      <w:r>
        <w:t>qualified students have higher retention rates than school leavers, whereas others (</w:t>
      </w:r>
      <w:r w:rsidR="009C6870">
        <w:t>for example,</w:t>
      </w:r>
      <w:r>
        <w:t xml:space="preserve"> Abbott-Chapman 2006; Watson 2006) specifically identify the challenges, such as information literacy skills, that lead to attrition. </w:t>
      </w:r>
      <w:r w:rsidR="000A4FDE">
        <w:t>Watson (2006) in her report on the career p</w:t>
      </w:r>
      <w:r w:rsidR="00EE34A1">
        <w:t xml:space="preserve">athways </w:t>
      </w:r>
      <w:r w:rsidR="000A4FDE">
        <w:t xml:space="preserve">in the </w:t>
      </w:r>
      <w:r w:rsidR="001B1BB2">
        <w:t>early childhood education and care</w:t>
      </w:r>
      <w:r w:rsidR="000A4FDE">
        <w:t xml:space="preserve"> sector specifically identifies that assessment practices in higher education are often challenging for articulating VET students. For example, the VET competency-based training packages are task-oriented and performance-focused.</w:t>
      </w:r>
      <w:r w:rsidR="009C6870">
        <w:t xml:space="preserve"> W</w:t>
      </w:r>
      <w:r w:rsidR="000A4FDE">
        <w:t xml:space="preserve">hile there </w:t>
      </w:r>
      <w:r w:rsidR="00CC5594">
        <w:t>may be some focus</w:t>
      </w:r>
      <w:r w:rsidR="000A4FDE">
        <w:t xml:space="preserve"> on performance in the workplace</w:t>
      </w:r>
      <w:r w:rsidR="009C6870" w:rsidRPr="009C6870">
        <w:t xml:space="preserve"> </w:t>
      </w:r>
      <w:r w:rsidR="00EE34A1">
        <w:t>i</w:t>
      </w:r>
      <w:r w:rsidR="009C6870">
        <w:t>n the higher education sector</w:t>
      </w:r>
      <w:r w:rsidR="000A4FDE">
        <w:t xml:space="preserve">, students also need to demonstrate a depth of understanding of underlying theories of practice and strong analytic skills. Many students who have articulated into university with VET diploma qualifications struggle with the academic literacy requirements, including writing skills, argumentation, self-directed critical reflection, research skills and the use of theoretical concepts to inform their practice (Watson 2006). Furthermore, this ‘academic literacy’ factor is a frequently cited reason for attrition among early childhood students (Watson 2006). While the Watson report (2006) refers to ‘academic literacy’, </w:t>
      </w:r>
      <w:r w:rsidR="00090B92">
        <w:t xml:space="preserve">other research </w:t>
      </w:r>
      <w:r w:rsidR="000A4FDE">
        <w:t xml:space="preserve">(Thomas &amp; Milne 2011) uses the term ‘information literacy’, </w:t>
      </w:r>
      <w:r w:rsidR="00870B54">
        <w:t xml:space="preserve">in </w:t>
      </w:r>
      <w:r w:rsidR="000A4FDE">
        <w:t>accord</w:t>
      </w:r>
      <w:r w:rsidR="00870B54">
        <w:t>ance with</w:t>
      </w:r>
      <w:r w:rsidR="000A4FDE">
        <w:t xml:space="preserve"> the Australian and New Zealand </w:t>
      </w:r>
      <w:r w:rsidR="0017769C">
        <w:t xml:space="preserve">Institute for </w:t>
      </w:r>
      <w:r w:rsidR="000A4FDE">
        <w:t xml:space="preserve">Information Literacy </w:t>
      </w:r>
      <w:r w:rsidR="00A61657">
        <w:t>Framework (Bundy 2004). This f</w:t>
      </w:r>
      <w:r w:rsidR="000A4FDE">
        <w:t>ra</w:t>
      </w:r>
      <w:r w:rsidR="00A61657">
        <w:t>mework describes an information-</w:t>
      </w:r>
      <w:r w:rsidR="000A4FDE">
        <w:t xml:space="preserve">literate person according to six standards </w:t>
      </w:r>
      <w:r w:rsidR="00A61657">
        <w:t>(t</w:t>
      </w:r>
      <w:r w:rsidR="004F7F14">
        <w:t>able 1).</w:t>
      </w:r>
      <w:r w:rsidR="000A4FDE">
        <w:t xml:space="preserve"> </w:t>
      </w:r>
      <w:r w:rsidR="00F0475E">
        <w:t xml:space="preserve">These standards </w:t>
      </w:r>
      <w:r w:rsidR="00E919D7">
        <w:t xml:space="preserve">are </w:t>
      </w:r>
      <w:r w:rsidR="00A61657">
        <w:t xml:space="preserve">referred to </w:t>
      </w:r>
      <w:r w:rsidR="00F0475E">
        <w:t>throughout this research.</w:t>
      </w:r>
    </w:p>
    <w:p w:rsidR="004F7F14" w:rsidRDefault="004F7F14" w:rsidP="00870B54">
      <w:pPr>
        <w:pStyle w:val="tabletitle"/>
      </w:pPr>
      <w:bookmarkStart w:id="44" w:name="_Toc378160505"/>
      <w:r>
        <w:t>Table 1</w:t>
      </w:r>
      <w:r w:rsidR="00804E82">
        <w:tab/>
      </w:r>
      <w:r>
        <w:t xml:space="preserve">Six </w:t>
      </w:r>
      <w:r w:rsidR="00EE34A1">
        <w:t>ANZIIL</w:t>
      </w:r>
      <w:r w:rsidR="00EE34A1" w:rsidRPr="00870B54">
        <w:t xml:space="preserve"> </w:t>
      </w:r>
      <w:r w:rsidR="00EE34A1">
        <w:t xml:space="preserve">Framework </w:t>
      </w:r>
      <w:r w:rsidRPr="00870B54">
        <w:t>standards</w:t>
      </w:r>
      <w:bookmarkEnd w:id="44"/>
      <w:r>
        <w:t xml:space="preserve"> </w:t>
      </w:r>
    </w:p>
    <w:tbl>
      <w:tblPr>
        <w:tblStyle w:val="TableGrid"/>
        <w:tblW w:w="8789" w:type="dxa"/>
        <w:tblInd w:w="108" w:type="dxa"/>
        <w:tblLayout w:type="fixed"/>
        <w:tblLook w:val="04A0"/>
      </w:tblPr>
      <w:tblGrid>
        <w:gridCol w:w="1078"/>
        <w:gridCol w:w="7711"/>
      </w:tblGrid>
      <w:tr w:rsidR="004F7F14" w:rsidTr="00D70491">
        <w:tc>
          <w:tcPr>
            <w:tcW w:w="1100" w:type="dxa"/>
            <w:tcBorders>
              <w:left w:val="nil"/>
              <w:bottom w:val="single" w:sz="4" w:space="0" w:color="000000" w:themeColor="text1"/>
              <w:right w:val="nil"/>
            </w:tcBorders>
          </w:tcPr>
          <w:p w:rsidR="004F7F14" w:rsidRDefault="004F7F14" w:rsidP="004F7F14">
            <w:pPr>
              <w:pStyle w:val="Tablehead1"/>
            </w:pPr>
            <w:r>
              <w:t>Standard</w:t>
            </w:r>
          </w:p>
        </w:tc>
        <w:tc>
          <w:tcPr>
            <w:tcW w:w="7904" w:type="dxa"/>
            <w:tcBorders>
              <w:left w:val="nil"/>
              <w:bottom w:val="single" w:sz="4" w:space="0" w:color="000000" w:themeColor="text1"/>
              <w:right w:val="nil"/>
            </w:tcBorders>
          </w:tcPr>
          <w:p w:rsidR="004F7F14" w:rsidRDefault="004F7F14" w:rsidP="004F7F14">
            <w:pPr>
              <w:pStyle w:val="Tablehead1"/>
            </w:pPr>
            <w:r>
              <w:t>Description of information literate person</w:t>
            </w:r>
          </w:p>
        </w:tc>
      </w:tr>
      <w:tr w:rsidR="004F7F14" w:rsidRPr="00D70491" w:rsidTr="00D70491">
        <w:tc>
          <w:tcPr>
            <w:tcW w:w="1100" w:type="dxa"/>
            <w:tcBorders>
              <w:left w:val="nil"/>
              <w:bottom w:val="nil"/>
              <w:right w:val="nil"/>
            </w:tcBorders>
          </w:tcPr>
          <w:p w:rsidR="004F7F14" w:rsidRPr="00D70491" w:rsidRDefault="004F7F14" w:rsidP="00D70491">
            <w:pPr>
              <w:pStyle w:val="Tabletext"/>
            </w:pPr>
            <w:r w:rsidRPr="00D70491">
              <w:t>Standard 1</w:t>
            </w:r>
          </w:p>
        </w:tc>
        <w:tc>
          <w:tcPr>
            <w:tcW w:w="7904" w:type="dxa"/>
            <w:tcBorders>
              <w:left w:val="nil"/>
              <w:bottom w:val="nil"/>
              <w:right w:val="nil"/>
            </w:tcBorders>
          </w:tcPr>
          <w:p w:rsidR="004F7F14" w:rsidRPr="00D70491" w:rsidRDefault="004F7F14" w:rsidP="00D70491">
            <w:pPr>
              <w:pStyle w:val="Tabletext"/>
            </w:pPr>
            <w:r w:rsidRPr="00D70491">
              <w:t xml:space="preserve">Recognises the need for information and determines the nature and extent of the information needed </w:t>
            </w:r>
          </w:p>
        </w:tc>
      </w:tr>
      <w:tr w:rsidR="004F7F14" w:rsidRPr="00D70491" w:rsidTr="00D70491">
        <w:tc>
          <w:tcPr>
            <w:tcW w:w="1100" w:type="dxa"/>
            <w:tcBorders>
              <w:top w:val="nil"/>
              <w:left w:val="nil"/>
              <w:bottom w:val="nil"/>
              <w:right w:val="nil"/>
            </w:tcBorders>
          </w:tcPr>
          <w:p w:rsidR="004F7F14" w:rsidRPr="00D70491" w:rsidRDefault="004F7F14" w:rsidP="00D70491">
            <w:pPr>
              <w:pStyle w:val="Tabletext"/>
            </w:pPr>
            <w:r w:rsidRPr="00D70491">
              <w:t>Standard 2</w:t>
            </w:r>
          </w:p>
        </w:tc>
        <w:tc>
          <w:tcPr>
            <w:tcW w:w="7904" w:type="dxa"/>
            <w:tcBorders>
              <w:top w:val="nil"/>
              <w:left w:val="nil"/>
              <w:bottom w:val="nil"/>
              <w:right w:val="nil"/>
            </w:tcBorders>
          </w:tcPr>
          <w:p w:rsidR="004F7F14" w:rsidRPr="00D70491" w:rsidRDefault="004F7F14" w:rsidP="00D70491">
            <w:pPr>
              <w:pStyle w:val="Tabletext"/>
            </w:pPr>
            <w:r w:rsidRPr="00D70491">
              <w:t xml:space="preserve">Finds needed information effectively and efficiently </w:t>
            </w:r>
          </w:p>
        </w:tc>
      </w:tr>
      <w:tr w:rsidR="004F7F14" w:rsidRPr="00D70491" w:rsidTr="00D70491">
        <w:tc>
          <w:tcPr>
            <w:tcW w:w="1100" w:type="dxa"/>
            <w:tcBorders>
              <w:top w:val="nil"/>
              <w:left w:val="nil"/>
              <w:bottom w:val="nil"/>
              <w:right w:val="nil"/>
            </w:tcBorders>
          </w:tcPr>
          <w:p w:rsidR="004F7F14" w:rsidRPr="00D70491" w:rsidRDefault="004F7F14" w:rsidP="00D70491">
            <w:pPr>
              <w:pStyle w:val="Tabletext"/>
            </w:pPr>
            <w:r w:rsidRPr="00D70491">
              <w:t>Standard 3</w:t>
            </w:r>
          </w:p>
        </w:tc>
        <w:tc>
          <w:tcPr>
            <w:tcW w:w="7904" w:type="dxa"/>
            <w:tcBorders>
              <w:top w:val="nil"/>
              <w:left w:val="nil"/>
              <w:bottom w:val="nil"/>
              <w:right w:val="nil"/>
            </w:tcBorders>
          </w:tcPr>
          <w:p w:rsidR="004F7F14" w:rsidRPr="00D70491" w:rsidRDefault="004F7F14" w:rsidP="00D70491">
            <w:pPr>
              <w:pStyle w:val="Tabletext"/>
            </w:pPr>
            <w:r w:rsidRPr="00D70491">
              <w:t>Critically evaluates information and the information seeking process</w:t>
            </w:r>
          </w:p>
        </w:tc>
      </w:tr>
      <w:tr w:rsidR="004F7F14" w:rsidRPr="00D70491" w:rsidTr="00D70491">
        <w:tc>
          <w:tcPr>
            <w:tcW w:w="1100" w:type="dxa"/>
            <w:tcBorders>
              <w:top w:val="nil"/>
              <w:left w:val="nil"/>
              <w:bottom w:val="nil"/>
              <w:right w:val="nil"/>
            </w:tcBorders>
          </w:tcPr>
          <w:p w:rsidR="004F7F14" w:rsidRPr="00D70491" w:rsidRDefault="004F7F14" w:rsidP="00D70491">
            <w:pPr>
              <w:pStyle w:val="Tabletext"/>
            </w:pPr>
            <w:r w:rsidRPr="00D70491">
              <w:t>Standard 4</w:t>
            </w:r>
          </w:p>
        </w:tc>
        <w:tc>
          <w:tcPr>
            <w:tcW w:w="7904" w:type="dxa"/>
            <w:tcBorders>
              <w:top w:val="nil"/>
              <w:left w:val="nil"/>
              <w:bottom w:val="nil"/>
              <w:right w:val="nil"/>
            </w:tcBorders>
          </w:tcPr>
          <w:p w:rsidR="004F7F14" w:rsidRPr="00D70491" w:rsidRDefault="004F7F14" w:rsidP="00D70491">
            <w:pPr>
              <w:pStyle w:val="Tabletext"/>
            </w:pPr>
            <w:r w:rsidRPr="00D70491">
              <w:t xml:space="preserve">Manages information collected or generated </w:t>
            </w:r>
          </w:p>
        </w:tc>
      </w:tr>
      <w:tr w:rsidR="004F7F14" w:rsidRPr="00D70491" w:rsidTr="00D70491">
        <w:tc>
          <w:tcPr>
            <w:tcW w:w="1100" w:type="dxa"/>
            <w:tcBorders>
              <w:top w:val="nil"/>
              <w:left w:val="nil"/>
              <w:bottom w:val="nil"/>
              <w:right w:val="nil"/>
            </w:tcBorders>
          </w:tcPr>
          <w:p w:rsidR="004F7F14" w:rsidRPr="00D70491" w:rsidRDefault="004F7F14" w:rsidP="00D70491">
            <w:pPr>
              <w:pStyle w:val="Tabletext"/>
            </w:pPr>
            <w:r w:rsidRPr="00D70491">
              <w:t>Standard 5</w:t>
            </w:r>
          </w:p>
        </w:tc>
        <w:tc>
          <w:tcPr>
            <w:tcW w:w="7904" w:type="dxa"/>
            <w:tcBorders>
              <w:top w:val="nil"/>
              <w:left w:val="nil"/>
              <w:bottom w:val="nil"/>
              <w:right w:val="nil"/>
            </w:tcBorders>
          </w:tcPr>
          <w:p w:rsidR="004F7F14" w:rsidRPr="00D70491" w:rsidRDefault="004F7F14" w:rsidP="00D70491">
            <w:pPr>
              <w:pStyle w:val="Tabletext"/>
            </w:pPr>
            <w:r w:rsidRPr="00D70491">
              <w:t xml:space="preserve">Applies prior and new information to construct new concepts or create new understandings </w:t>
            </w:r>
          </w:p>
        </w:tc>
      </w:tr>
      <w:tr w:rsidR="004F7F14" w:rsidRPr="00D70491" w:rsidTr="00D70491">
        <w:tc>
          <w:tcPr>
            <w:tcW w:w="1100" w:type="dxa"/>
            <w:tcBorders>
              <w:top w:val="nil"/>
              <w:left w:val="nil"/>
              <w:right w:val="nil"/>
            </w:tcBorders>
          </w:tcPr>
          <w:p w:rsidR="004F7F14" w:rsidRPr="00D70491" w:rsidRDefault="004F7F14" w:rsidP="00D70491">
            <w:pPr>
              <w:pStyle w:val="Tabletext"/>
            </w:pPr>
            <w:r w:rsidRPr="00D70491">
              <w:t>Standard 6</w:t>
            </w:r>
          </w:p>
        </w:tc>
        <w:tc>
          <w:tcPr>
            <w:tcW w:w="7904" w:type="dxa"/>
            <w:tcBorders>
              <w:top w:val="nil"/>
              <w:left w:val="nil"/>
              <w:right w:val="nil"/>
            </w:tcBorders>
          </w:tcPr>
          <w:p w:rsidR="004F7F14" w:rsidRPr="00D70491" w:rsidRDefault="004F7F14" w:rsidP="00D70491">
            <w:pPr>
              <w:pStyle w:val="Tabletext"/>
            </w:pPr>
            <w:r w:rsidRPr="00D70491">
              <w:t>Uses information with understanding and acknowledges cultural, ethical, economic, legal, and social issues surrounding the use of information</w:t>
            </w:r>
          </w:p>
        </w:tc>
      </w:tr>
    </w:tbl>
    <w:p w:rsidR="004F7F14" w:rsidRDefault="004F7F14" w:rsidP="004F7F14">
      <w:pPr>
        <w:pStyle w:val="Source"/>
      </w:pPr>
      <w:r>
        <w:t>Source</w:t>
      </w:r>
      <w:r w:rsidR="00870B54">
        <w:t>:</w:t>
      </w:r>
      <w:r w:rsidR="00D70491">
        <w:tab/>
      </w:r>
      <w:r>
        <w:t>Bundy (2004</w:t>
      </w:r>
      <w:r w:rsidR="00870B54">
        <w:t>,</w:t>
      </w:r>
      <w:r>
        <w:t xml:space="preserve"> p.11</w:t>
      </w:r>
      <w:r w:rsidR="00870B54">
        <w:t>)</w:t>
      </w:r>
      <w:r>
        <w:t>.</w:t>
      </w:r>
    </w:p>
    <w:p w:rsidR="00283E6E" w:rsidRDefault="00DB0CCB" w:rsidP="00D70491">
      <w:pPr>
        <w:pStyle w:val="Textmorebefore"/>
      </w:pPr>
      <w:r>
        <w:t>Th</w:t>
      </w:r>
      <w:r w:rsidR="00E919D7">
        <w:t xml:space="preserve">is </w:t>
      </w:r>
      <w:r>
        <w:t xml:space="preserve">research </w:t>
      </w:r>
      <w:r w:rsidR="00E919D7">
        <w:t xml:space="preserve">report </w:t>
      </w:r>
      <w:r>
        <w:t>identif</w:t>
      </w:r>
      <w:r w:rsidR="00E919D7">
        <w:t>ies</w:t>
      </w:r>
      <w:r>
        <w:t xml:space="preserve"> the </w:t>
      </w:r>
      <w:r w:rsidR="00F0475E">
        <w:t xml:space="preserve">information literacy </w:t>
      </w:r>
      <w:r>
        <w:t xml:space="preserve">capacities developed as part of </w:t>
      </w:r>
      <w:r w:rsidR="00A855A4">
        <w:t>a d</w:t>
      </w:r>
      <w:r>
        <w:t>iploma course and consider</w:t>
      </w:r>
      <w:r w:rsidR="00283E6E">
        <w:t>s</w:t>
      </w:r>
      <w:r>
        <w:t xml:space="preserve"> th</w:t>
      </w:r>
      <w:r w:rsidR="00A855A4">
        <w:t>e</w:t>
      </w:r>
      <w:r>
        <w:t>s</w:t>
      </w:r>
      <w:r w:rsidR="00A855A4">
        <w:t>e</w:t>
      </w:r>
      <w:r>
        <w:t xml:space="preserve"> in relation to the capacities necessary in the first year of a </w:t>
      </w:r>
      <w:r w:rsidR="00A855A4">
        <w:t>b</w:t>
      </w:r>
      <w:r w:rsidR="00EE34A1">
        <w:t>achelor-</w:t>
      </w:r>
      <w:r>
        <w:t xml:space="preserve">degree program. </w:t>
      </w:r>
      <w:r w:rsidR="00CB23BF" w:rsidRPr="00DB0CCB">
        <w:t>The re</w:t>
      </w:r>
      <w:r w:rsidR="00283E6E">
        <w:t>port</w:t>
      </w:r>
      <w:r w:rsidR="00CB23BF" w:rsidRPr="00DB0CCB">
        <w:t xml:space="preserve"> </w:t>
      </w:r>
      <w:r w:rsidR="00283E6E">
        <w:t>then</w:t>
      </w:r>
      <w:r w:rsidR="00CB23BF" w:rsidRPr="00DB0CCB">
        <w:t xml:space="preserve"> </w:t>
      </w:r>
      <w:r w:rsidR="00C11CDB">
        <w:t>examines</w:t>
      </w:r>
      <w:r w:rsidR="00CB23BF" w:rsidRPr="00DB0CCB">
        <w:t xml:space="preserve"> opportunities for cross-sector collaboration in the development and application </w:t>
      </w:r>
      <w:r w:rsidR="00C71D43">
        <w:t>of</w:t>
      </w:r>
      <w:r w:rsidR="00CB23BF" w:rsidRPr="00DB0CCB">
        <w:t xml:space="preserve"> the </w:t>
      </w:r>
      <w:r w:rsidR="00EE34A1">
        <w:t>Australian and New Zealand Institute for Information Literacy</w:t>
      </w:r>
      <w:r w:rsidR="00CB23BF" w:rsidRPr="00DB0CCB">
        <w:t xml:space="preserve"> standards in order to facilitate the transition from </w:t>
      </w:r>
      <w:r w:rsidR="006C24B8">
        <w:t xml:space="preserve">vocational education and training </w:t>
      </w:r>
      <w:r w:rsidR="00CB23BF" w:rsidRPr="00DB0CCB">
        <w:t xml:space="preserve">to university. </w:t>
      </w:r>
      <w:r w:rsidR="00CB23BF" w:rsidRPr="00DB0CCB">
        <w:lastRenderedPageBreak/>
        <w:t>This cross-sector focus</w:t>
      </w:r>
      <w:r w:rsidR="00F0475E">
        <w:t xml:space="preserve"> </w:t>
      </w:r>
      <w:r w:rsidR="00A61657">
        <w:t xml:space="preserve">is an attempt to reduce </w:t>
      </w:r>
      <w:r w:rsidR="00CB23BF" w:rsidRPr="00DB0CCB">
        <w:t>attrition</w:t>
      </w:r>
      <w:r w:rsidR="00283E6E">
        <w:t xml:space="preserve"> among</w:t>
      </w:r>
      <w:r w:rsidR="00CB23BF" w:rsidRPr="00DB0CCB">
        <w:t xml:space="preserve"> VET students articulating into university. The unique contribution of this </w:t>
      </w:r>
      <w:r w:rsidR="007C1A5C">
        <w:t>research</w:t>
      </w:r>
      <w:r w:rsidR="00CB23BF" w:rsidRPr="00DB0CCB">
        <w:t xml:space="preserve"> come</w:t>
      </w:r>
      <w:r w:rsidR="00283E6E">
        <w:t>s</w:t>
      </w:r>
      <w:r w:rsidR="00CB23BF" w:rsidRPr="00DB0CCB">
        <w:t xml:space="preserve"> from the detailed </w:t>
      </w:r>
      <w:r w:rsidR="00EE6B7F">
        <w:t>insights</w:t>
      </w:r>
      <w:r w:rsidR="00CB23BF" w:rsidRPr="00DB0CCB">
        <w:t xml:space="preserve"> gathered from students </w:t>
      </w:r>
      <w:r w:rsidR="00EE6B7F">
        <w:t xml:space="preserve">about </w:t>
      </w:r>
      <w:r w:rsidR="00CB23BF">
        <w:t>the</w:t>
      </w:r>
      <w:r w:rsidR="00A527FE">
        <w:t>ir</w:t>
      </w:r>
      <w:r w:rsidR="00CB23BF">
        <w:t xml:space="preserve"> information literacy experiences in early childhood courses </w:t>
      </w:r>
      <w:r w:rsidR="00E46DDF">
        <w:t xml:space="preserve">in TAFE and </w:t>
      </w:r>
      <w:r w:rsidR="00C11CDB">
        <w:t xml:space="preserve">in the </w:t>
      </w:r>
      <w:r w:rsidR="00E46DDF">
        <w:t>transition</w:t>
      </w:r>
      <w:r w:rsidR="00C11CDB">
        <w:t xml:space="preserve"> </w:t>
      </w:r>
      <w:r w:rsidR="00E46DDF">
        <w:t>to university settings</w:t>
      </w:r>
      <w:r w:rsidR="00CB23BF">
        <w:t>.</w:t>
      </w:r>
      <w:r w:rsidR="00E46DDF">
        <w:t xml:space="preserve"> </w:t>
      </w:r>
    </w:p>
    <w:p w:rsidR="00CB23BF" w:rsidRDefault="00F0475E" w:rsidP="00CB23BF">
      <w:pPr>
        <w:pStyle w:val="Text"/>
      </w:pPr>
      <w:r>
        <w:t>The</w:t>
      </w:r>
      <w:r w:rsidR="00CB23BF">
        <w:t xml:space="preserve"> information </w:t>
      </w:r>
      <w:r>
        <w:t xml:space="preserve">collected </w:t>
      </w:r>
      <w:r w:rsidR="00CB23BF">
        <w:t>about student experience</w:t>
      </w:r>
      <w:r w:rsidR="002D24B0">
        <w:t>s is</w:t>
      </w:r>
      <w:r>
        <w:t xml:space="preserve"> then interpreted </w:t>
      </w:r>
      <w:r w:rsidR="00CB23BF">
        <w:t xml:space="preserve">across </w:t>
      </w:r>
      <w:r w:rsidR="00EE34A1">
        <w:t xml:space="preserve">the </w:t>
      </w:r>
      <w:r w:rsidR="00CB23BF">
        <w:t xml:space="preserve">sectors, </w:t>
      </w:r>
      <w:r w:rsidR="00A61657">
        <w:t>with</w:t>
      </w:r>
      <w:r w:rsidR="002D24B0">
        <w:t xml:space="preserve"> </w:t>
      </w:r>
      <w:r w:rsidR="00CB23BF">
        <w:t>avenues</w:t>
      </w:r>
      <w:r w:rsidR="002D24B0">
        <w:t xml:space="preserve"> </w:t>
      </w:r>
      <w:r w:rsidR="00A61657">
        <w:t xml:space="preserve">investigated </w:t>
      </w:r>
      <w:r w:rsidR="00CB23BF">
        <w:t xml:space="preserve">for embedding and supporting key information literacy skills </w:t>
      </w:r>
      <w:r w:rsidR="00810E66">
        <w:t xml:space="preserve">towards the end of the </w:t>
      </w:r>
      <w:r w:rsidR="00CB23BF">
        <w:t xml:space="preserve">Diploma of Children’s Services and </w:t>
      </w:r>
      <w:r w:rsidR="002D24B0">
        <w:t xml:space="preserve">in </w:t>
      </w:r>
      <w:r w:rsidR="00CB23BF">
        <w:t>the first</w:t>
      </w:r>
      <w:r w:rsidR="00C71D43">
        <w:t>-</w:t>
      </w:r>
      <w:r w:rsidR="00CB23BF">
        <w:t xml:space="preserve">year units </w:t>
      </w:r>
      <w:r w:rsidR="00F34840">
        <w:t>of</w:t>
      </w:r>
      <w:r w:rsidR="00CB23BF">
        <w:t xml:space="preserve"> the </w:t>
      </w:r>
      <w:r w:rsidR="0016280A">
        <w:t xml:space="preserve">Bachelor </w:t>
      </w:r>
      <w:r w:rsidR="00CB23BF">
        <w:t>of Early Childhood</w:t>
      </w:r>
      <w:r w:rsidR="00C71D43">
        <w:t xml:space="preserve"> degree programs</w:t>
      </w:r>
      <w:r w:rsidR="0016280A">
        <w:t>.</w:t>
      </w:r>
      <w:r w:rsidR="00CB23BF">
        <w:t xml:space="preserve"> The purpose of this collaboration is to create a practical framework for implementation across </w:t>
      </w:r>
      <w:r w:rsidR="00B23A2C">
        <w:t xml:space="preserve">the two </w:t>
      </w:r>
      <w:r w:rsidR="00CB23BF">
        <w:t xml:space="preserve">sectors </w:t>
      </w:r>
      <w:r w:rsidR="00A61657">
        <w:t>with the capacity to ease</w:t>
      </w:r>
      <w:r w:rsidR="00154D17">
        <w:t xml:space="preserve"> the</w:t>
      </w:r>
      <w:r w:rsidR="00CB23BF">
        <w:t xml:space="preserve"> transition </w:t>
      </w:r>
      <w:r w:rsidR="00A61657">
        <w:t>for early childhood students, thereby</w:t>
      </w:r>
      <w:r w:rsidR="00CB23BF">
        <w:t xml:space="preserve"> reduc</w:t>
      </w:r>
      <w:r w:rsidR="00A61657">
        <w:t>ing</w:t>
      </w:r>
      <w:r w:rsidR="00CB23BF">
        <w:t xml:space="preserve"> attrition. The long</w:t>
      </w:r>
      <w:r w:rsidR="00F34840">
        <w:t>-</w:t>
      </w:r>
      <w:r w:rsidR="00CB23BF">
        <w:t xml:space="preserve">term outcome of such a framework will be </w:t>
      </w:r>
      <w:r w:rsidR="00537817">
        <w:t xml:space="preserve">an </w:t>
      </w:r>
      <w:r w:rsidR="00CB23BF">
        <w:t>increase in university</w:t>
      </w:r>
      <w:r w:rsidR="00537817">
        <w:t>-</w:t>
      </w:r>
      <w:r w:rsidR="00CB23BF">
        <w:t>qualified early childhood teachers.</w:t>
      </w:r>
      <w:r w:rsidR="00EE6B7F" w:rsidRPr="00EE6B7F">
        <w:t xml:space="preserve"> </w:t>
      </w:r>
      <w:r w:rsidR="00EE6B7F">
        <w:t>The focus on early childhood education is timely, as the profession is gaining increasing prominence and is the subject of numerous legislative changes. In order to enhance the development and educational outcomes of our children, the newly mandated National Quality Framework for Early Childhood Education and Care requires providers of child care and early education programs to increase the number of degree-qualified educators (A</w:t>
      </w:r>
      <w:r w:rsidR="00F52519">
        <w:t xml:space="preserve">ustralian Children’s Education and Care Quality Authority </w:t>
      </w:r>
      <w:r w:rsidR="00EE6B7F">
        <w:t xml:space="preserve">2011). There is a consequent increase in the number of diploma-qualified early childhood education and care practitioners who are seeking to complete a </w:t>
      </w:r>
      <w:r w:rsidR="00A3012D">
        <w:t>b</w:t>
      </w:r>
      <w:r w:rsidR="00EE6B7F">
        <w:t>achelor degree at university. While the Australian Qualification</w:t>
      </w:r>
      <w:r w:rsidR="00A3012D">
        <w:t>s</w:t>
      </w:r>
      <w:r w:rsidR="00EE6B7F">
        <w:t xml:space="preserve"> Framework (</w:t>
      </w:r>
      <w:r w:rsidR="00F52519">
        <w:t xml:space="preserve">AQF Council </w:t>
      </w:r>
      <w:r w:rsidR="00EE6B7F">
        <w:t>201</w:t>
      </w:r>
      <w:r w:rsidR="00AE4A69">
        <w:t>3</w:t>
      </w:r>
      <w:r w:rsidR="00EE6B7F">
        <w:t xml:space="preserve">) has </w:t>
      </w:r>
      <w:r w:rsidR="00B23A2C">
        <w:t>established</w:t>
      </w:r>
      <w:r w:rsidR="00EE6B7F">
        <w:t xml:space="preserve"> the foundation for the seamless institutional transition from </w:t>
      </w:r>
      <w:r w:rsidR="006C24B8">
        <w:t>vocational education and training</w:t>
      </w:r>
      <w:r w:rsidR="00FC6ADA">
        <w:t xml:space="preserve"> </w:t>
      </w:r>
      <w:r w:rsidR="00EE6B7F">
        <w:t xml:space="preserve">to university, there are several reports that identify </w:t>
      </w:r>
      <w:r w:rsidR="00B23A2C">
        <w:t xml:space="preserve">the </w:t>
      </w:r>
      <w:r w:rsidR="00EE6B7F">
        <w:t>numerous challenges faced by individuals in making this transition (</w:t>
      </w:r>
      <w:r w:rsidR="009C6870">
        <w:t>for example,</w:t>
      </w:r>
      <w:r w:rsidR="00EE6B7F">
        <w:t xml:space="preserve"> Watson 2006; </w:t>
      </w:r>
      <w:proofErr w:type="spellStart"/>
      <w:r w:rsidR="00EE6B7F">
        <w:t>Whitington</w:t>
      </w:r>
      <w:proofErr w:type="spellEnd"/>
      <w:r w:rsidR="00F52519">
        <w:t xml:space="preserve"> et al.</w:t>
      </w:r>
      <w:r w:rsidR="00EE6B7F">
        <w:t xml:space="preserve"> 2009). </w:t>
      </w:r>
      <w:r w:rsidR="00CB23BF">
        <w:t xml:space="preserve">It is expected that the findings of this project could be applicable across a range of industry and professional areas in which VET students articulate into university </w:t>
      </w:r>
      <w:r w:rsidR="001F6F8A">
        <w:t>program</w:t>
      </w:r>
      <w:r w:rsidR="00CB23BF">
        <w:t xml:space="preserve">s. </w:t>
      </w:r>
    </w:p>
    <w:p w:rsidR="009E62BC" w:rsidRDefault="009E62BC" w:rsidP="009E62BC">
      <w:pPr>
        <w:pStyle w:val="Heading2"/>
      </w:pPr>
      <w:bookmarkStart w:id="45" w:name="_Toc378160485"/>
      <w:r>
        <w:t>Supporting the transition</w:t>
      </w:r>
      <w:r w:rsidR="00C11CDB">
        <w:t xml:space="preserve"> to university</w:t>
      </w:r>
      <w:bookmarkEnd w:id="45"/>
    </w:p>
    <w:p w:rsidR="00F4492E" w:rsidRDefault="00F0475E" w:rsidP="009E62BC">
      <w:pPr>
        <w:pStyle w:val="Text"/>
      </w:pPr>
      <w:r>
        <w:t xml:space="preserve">There are numerous examples </w:t>
      </w:r>
      <w:r w:rsidR="00DC46CC" w:rsidRPr="00DC46CC">
        <w:t xml:space="preserve">of how information literacy can be developed and </w:t>
      </w:r>
      <w:r>
        <w:t xml:space="preserve">support offered when transitioning </w:t>
      </w:r>
      <w:r w:rsidR="00DC46CC" w:rsidRPr="00DC46CC">
        <w:t xml:space="preserve">to university. It should be noted that many of these examples are focused on general transition to university, not just those students who are articulating </w:t>
      </w:r>
      <w:r w:rsidR="00CC5594">
        <w:t>through</w:t>
      </w:r>
      <w:r w:rsidR="00DC46CC" w:rsidRPr="00DC46CC">
        <w:t xml:space="preserve"> a VET pathway.</w:t>
      </w:r>
      <w:r w:rsidR="00CA13DE">
        <w:t xml:space="preserve"> Bundy (2004) describes the development of information literacy skills as </w:t>
      </w:r>
      <w:r w:rsidR="002D24B0">
        <w:t>‘</w:t>
      </w:r>
      <w:r w:rsidR="00CA13DE">
        <w:t>learning to learn</w:t>
      </w:r>
      <w:r w:rsidR="002D24B0">
        <w:t>’</w:t>
      </w:r>
      <w:r w:rsidR="00CA13DE">
        <w:t xml:space="preserve"> and </w:t>
      </w:r>
      <w:r w:rsidR="0083463F">
        <w:t xml:space="preserve">suggests </w:t>
      </w:r>
      <w:r w:rsidR="00CA13DE">
        <w:t xml:space="preserve">that it needs to involve </w:t>
      </w:r>
      <w:r w:rsidR="0090533E">
        <w:t xml:space="preserve">a range of stakeholders </w:t>
      </w:r>
      <w:r w:rsidR="00F52519">
        <w:t>in</w:t>
      </w:r>
      <w:r w:rsidR="00A66EEF">
        <w:t xml:space="preserve"> develop</w:t>
      </w:r>
      <w:r w:rsidR="00F52519">
        <w:t>ing</w:t>
      </w:r>
      <w:r w:rsidR="00A66EEF">
        <w:t xml:space="preserve"> support programs. </w:t>
      </w:r>
      <w:r w:rsidR="00B23A2C">
        <w:t>Table 2 shows the various elements that make up c</w:t>
      </w:r>
      <w:r w:rsidR="00A66EEF">
        <w:t>urrent practice</w:t>
      </w:r>
      <w:r w:rsidR="00B23A2C">
        <w:t>,</w:t>
      </w:r>
      <w:r w:rsidR="00A66EEF">
        <w:t xml:space="preserve"> with an embedded approach being seen as the most effective</w:t>
      </w:r>
      <w:r w:rsidR="003011A0">
        <w:t xml:space="preserve"> on an institutional level</w:t>
      </w:r>
      <w:r w:rsidR="00F52519">
        <w:t xml:space="preserve"> (Bundy 2004) (t</w:t>
      </w:r>
      <w:r w:rsidR="00A66EEF">
        <w:t>able 2).</w:t>
      </w:r>
      <w:r w:rsidR="003011A0">
        <w:t xml:space="preserve"> </w:t>
      </w:r>
    </w:p>
    <w:p w:rsidR="00A66EEF" w:rsidRDefault="00A66EEF" w:rsidP="00A66EEF">
      <w:pPr>
        <w:pStyle w:val="tabletitle"/>
      </w:pPr>
      <w:bookmarkStart w:id="46" w:name="_Toc378160506"/>
      <w:r>
        <w:t>Table 2</w:t>
      </w:r>
      <w:r w:rsidR="00804E82">
        <w:tab/>
      </w:r>
      <w:r>
        <w:t>Information literacy program components</w:t>
      </w:r>
      <w:bookmarkEnd w:id="46"/>
    </w:p>
    <w:tbl>
      <w:tblPr>
        <w:tblStyle w:val="TableGrid"/>
        <w:tblW w:w="8789" w:type="dxa"/>
        <w:tblInd w:w="108" w:type="dxa"/>
        <w:tblBorders>
          <w:left w:val="none" w:sz="0" w:space="0" w:color="auto"/>
          <w:right w:val="none" w:sz="0" w:space="0" w:color="auto"/>
          <w:insideV w:val="none" w:sz="0" w:space="0" w:color="auto"/>
        </w:tblBorders>
        <w:tblLayout w:type="fixed"/>
        <w:tblLook w:val="04A0"/>
      </w:tblPr>
      <w:tblGrid>
        <w:gridCol w:w="1493"/>
        <w:gridCol w:w="7296"/>
      </w:tblGrid>
      <w:tr w:rsidR="00A66EEF" w:rsidTr="00D70491">
        <w:tc>
          <w:tcPr>
            <w:tcW w:w="1526" w:type="dxa"/>
            <w:tcBorders>
              <w:bottom w:val="single" w:sz="4" w:space="0" w:color="000000" w:themeColor="text1"/>
            </w:tcBorders>
          </w:tcPr>
          <w:p w:rsidR="00A66EEF" w:rsidRDefault="00A66EEF" w:rsidP="00A66EEF">
            <w:pPr>
              <w:pStyle w:val="Tablehead1"/>
            </w:pPr>
            <w:r>
              <w:t>Component</w:t>
            </w:r>
          </w:p>
        </w:tc>
        <w:tc>
          <w:tcPr>
            <w:tcW w:w="7478" w:type="dxa"/>
            <w:tcBorders>
              <w:bottom w:val="single" w:sz="4" w:space="0" w:color="000000" w:themeColor="text1"/>
            </w:tcBorders>
          </w:tcPr>
          <w:p w:rsidR="00A66EEF" w:rsidRDefault="00A66EEF" w:rsidP="00A66EEF">
            <w:pPr>
              <w:pStyle w:val="Tablehead1"/>
            </w:pPr>
            <w:r>
              <w:t>Description</w:t>
            </w:r>
          </w:p>
        </w:tc>
      </w:tr>
      <w:tr w:rsidR="00A66EEF" w:rsidTr="00D70491">
        <w:tc>
          <w:tcPr>
            <w:tcW w:w="1526" w:type="dxa"/>
            <w:tcBorders>
              <w:bottom w:val="nil"/>
            </w:tcBorders>
          </w:tcPr>
          <w:p w:rsidR="00A66EEF" w:rsidRDefault="00A66EEF" w:rsidP="00D70491">
            <w:pPr>
              <w:pStyle w:val="Tabletext"/>
            </w:pPr>
            <w:r>
              <w:t>Generic</w:t>
            </w:r>
          </w:p>
        </w:tc>
        <w:tc>
          <w:tcPr>
            <w:tcW w:w="7478" w:type="dxa"/>
            <w:tcBorders>
              <w:bottom w:val="nil"/>
            </w:tcBorders>
          </w:tcPr>
          <w:p w:rsidR="00A66EEF" w:rsidRDefault="00A66EEF" w:rsidP="00D70491">
            <w:pPr>
              <w:pStyle w:val="Tabletext"/>
            </w:pPr>
            <w:r>
              <w:t xml:space="preserve">Extracurricular classes and/or </w:t>
            </w:r>
            <w:r w:rsidR="004D067B">
              <w:t>self-paced</w:t>
            </w:r>
            <w:r>
              <w:t xml:space="preserve"> packages</w:t>
            </w:r>
          </w:p>
        </w:tc>
      </w:tr>
      <w:tr w:rsidR="00A66EEF" w:rsidTr="00D70491">
        <w:tc>
          <w:tcPr>
            <w:tcW w:w="1526" w:type="dxa"/>
            <w:tcBorders>
              <w:top w:val="nil"/>
              <w:bottom w:val="nil"/>
            </w:tcBorders>
          </w:tcPr>
          <w:p w:rsidR="00A66EEF" w:rsidRDefault="00A66EEF" w:rsidP="00D70491">
            <w:pPr>
              <w:pStyle w:val="Tabletext"/>
            </w:pPr>
            <w:r>
              <w:t>Parallel</w:t>
            </w:r>
          </w:p>
        </w:tc>
        <w:tc>
          <w:tcPr>
            <w:tcW w:w="7478" w:type="dxa"/>
            <w:tcBorders>
              <w:top w:val="nil"/>
              <w:bottom w:val="nil"/>
            </w:tcBorders>
          </w:tcPr>
          <w:p w:rsidR="00A66EEF" w:rsidRDefault="00A66EEF" w:rsidP="00D70491">
            <w:pPr>
              <w:pStyle w:val="Tabletext"/>
            </w:pPr>
            <w:r>
              <w:t>Extr</w:t>
            </w:r>
            <w:r w:rsidR="004D067B">
              <w:t>acurricular classes and/or self-paced</w:t>
            </w:r>
            <w:r>
              <w:t xml:space="preserve"> packages that complement the curriculum</w:t>
            </w:r>
          </w:p>
        </w:tc>
      </w:tr>
      <w:tr w:rsidR="00A66EEF" w:rsidTr="00D70491">
        <w:tc>
          <w:tcPr>
            <w:tcW w:w="1526" w:type="dxa"/>
            <w:tcBorders>
              <w:top w:val="nil"/>
              <w:bottom w:val="nil"/>
            </w:tcBorders>
          </w:tcPr>
          <w:p w:rsidR="00A66EEF" w:rsidRDefault="00A66EEF" w:rsidP="00D70491">
            <w:pPr>
              <w:pStyle w:val="Tabletext"/>
            </w:pPr>
            <w:r>
              <w:t>Integrated</w:t>
            </w:r>
          </w:p>
        </w:tc>
        <w:tc>
          <w:tcPr>
            <w:tcW w:w="7478" w:type="dxa"/>
            <w:tcBorders>
              <w:top w:val="nil"/>
              <w:bottom w:val="nil"/>
            </w:tcBorders>
          </w:tcPr>
          <w:p w:rsidR="00A66EEF" w:rsidRDefault="00A66EEF" w:rsidP="00D70491">
            <w:pPr>
              <w:pStyle w:val="Tabletext"/>
            </w:pPr>
            <w:r>
              <w:t>Classes and packages that are part of the curriculum</w:t>
            </w:r>
          </w:p>
        </w:tc>
      </w:tr>
      <w:tr w:rsidR="00A66EEF" w:rsidTr="00D70491">
        <w:tc>
          <w:tcPr>
            <w:tcW w:w="1526" w:type="dxa"/>
            <w:tcBorders>
              <w:top w:val="nil"/>
            </w:tcBorders>
          </w:tcPr>
          <w:p w:rsidR="00A66EEF" w:rsidRDefault="00A66EEF" w:rsidP="00D70491">
            <w:pPr>
              <w:pStyle w:val="Tabletext"/>
            </w:pPr>
            <w:r>
              <w:t>Embedded</w:t>
            </w:r>
          </w:p>
        </w:tc>
        <w:tc>
          <w:tcPr>
            <w:tcW w:w="7478" w:type="dxa"/>
            <w:tcBorders>
              <w:top w:val="nil"/>
            </w:tcBorders>
          </w:tcPr>
          <w:p w:rsidR="00A66EEF" w:rsidRDefault="00A66EEF" w:rsidP="00D70491">
            <w:pPr>
              <w:pStyle w:val="Tabletext"/>
            </w:pPr>
            <w:r>
              <w:t>Curriculum design where students have ongoing interaction and reflection with information</w:t>
            </w:r>
          </w:p>
        </w:tc>
      </w:tr>
    </w:tbl>
    <w:p w:rsidR="00A66EEF" w:rsidRDefault="00A66EEF" w:rsidP="00A66EEF">
      <w:pPr>
        <w:pStyle w:val="Source"/>
      </w:pPr>
      <w:r>
        <w:t>Source</w:t>
      </w:r>
      <w:r w:rsidR="0083463F">
        <w:t>:</w:t>
      </w:r>
      <w:r w:rsidR="00D70491">
        <w:tab/>
      </w:r>
      <w:r>
        <w:t>Bundy (2004</w:t>
      </w:r>
      <w:r w:rsidR="0083463F">
        <w:t>,</w:t>
      </w:r>
      <w:r>
        <w:t xml:space="preserve"> p.6</w:t>
      </w:r>
      <w:r w:rsidR="0083463F">
        <w:t>)</w:t>
      </w:r>
      <w:r>
        <w:t>.</w:t>
      </w:r>
    </w:p>
    <w:p w:rsidR="00A2128E" w:rsidRDefault="009E62BC" w:rsidP="00D70491">
      <w:pPr>
        <w:pStyle w:val="Textmorebefore"/>
      </w:pPr>
      <w:r>
        <w:t>Acknowledging the heterogeneity of the student body,</w:t>
      </w:r>
      <w:r w:rsidR="00090B92">
        <w:t xml:space="preserve"> </w:t>
      </w:r>
      <w:r w:rsidR="00354EBA">
        <w:t>the university at the centre of this study</w:t>
      </w:r>
      <w:r w:rsidR="00A2128E">
        <w:t xml:space="preserve"> implements university-wide </w:t>
      </w:r>
      <w:r w:rsidR="00F52519">
        <w:t xml:space="preserve">‘first year experience’ </w:t>
      </w:r>
      <w:r w:rsidR="00090B92">
        <w:t xml:space="preserve">(FYE) </w:t>
      </w:r>
      <w:r w:rsidR="00DC6E84">
        <w:t>p</w:t>
      </w:r>
      <w:r w:rsidR="00090B92">
        <w:t xml:space="preserve">rograms </w:t>
      </w:r>
      <w:r>
        <w:t>to support all students</w:t>
      </w:r>
      <w:r w:rsidR="00DB54E1">
        <w:t xml:space="preserve"> as they transition into university</w:t>
      </w:r>
      <w:r w:rsidR="00F52519">
        <w:t xml:space="preserve"> — </w:t>
      </w:r>
      <w:r>
        <w:t>academically, socially and administratively</w:t>
      </w:r>
      <w:r w:rsidR="00F52519">
        <w:t xml:space="preserve"> — </w:t>
      </w:r>
      <w:r>
        <w:t>based on their varied needs (Nelson</w:t>
      </w:r>
      <w:r w:rsidR="00F52519">
        <w:t xml:space="preserve"> et al.</w:t>
      </w:r>
      <w:r w:rsidR="00090B92">
        <w:t xml:space="preserve"> 2010). </w:t>
      </w:r>
      <w:r w:rsidR="00B23A2C">
        <w:t>R</w:t>
      </w:r>
      <w:r w:rsidR="006C5E1E">
        <w:t xml:space="preserve">elevant to the present </w:t>
      </w:r>
      <w:r w:rsidR="007C1A5C">
        <w:t>research</w:t>
      </w:r>
      <w:r w:rsidR="006C5E1E">
        <w:t>, t</w:t>
      </w:r>
      <w:r w:rsidR="000E4EC6">
        <w:t xml:space="preserve">he </w:t>
      </w:r>
      <w:r w:rsidRPr="000D2D35">
        <w:t xml:space="preserve">FYE </w:t>
      </w:r>
      <w:r w:rsidR="00DC6E84">
        <w:t>p</w:t>
      </w:r>
      <w:r w:rsidRPr="000D2D35">
        <w:t xml:space="preserve">rogram </w:t>
      </w:r>
      <w:r w:rsidR="006C5E1E">
        <w:t>incorporates</w:t>
      </w:r>
      <w:r w:rsidRPr="000D2D35">
        <w:t xml:space="preserve"> two key areas</w:t>
      </w:r>
      <w:r w:rsidR="00F52519">
        <w:t>;</w:t>
      </w:r>
      <w:r w:rsidRPr="000D2D35">
        <w:t xml:space="preserve"> namely</w:t>
      </w:r>
      <w:r w:rsidR="00F52519">
        <w:t>,</w:t>
      </w:r>
      <w:r w:rsidRPr="000D2D35">
        <w:t xml:space="preserve"> the provision of timely a</w:t>
      </w:r>
      <w:r w:rsidR="00F52519">
        <w:t>ccess to support</w:t>
      </w:r>
      <w:r w:rsidRPr="000D2D35">
        <w:t xml:space="preserve"> and the development of academic and professional </w:t>
      </w:r>
      <w:r w:rsidRPr="000D2D35">
        <w:lastRenderedPageBreak/>
        <w:t>partnerships</w:t>
      </w:r>
      <w:r w:rsidR="00861A77">
        <w:t xml:space="preserve"> to support students</w:t>
      </w:r>
      <w:r w:rsidRPr="000D2D35">
        <w:t>.</w:t>
      </w:r>
      <w:r w:rsidR="000D2D35">
        <w:t xml:space="preserve"> Th</w:t>
      </w:r>
      <w:r w:rsidR="006C5E1E">
        <w:t>e program</w:t>
      </w:r>
      <w:r w:rsidR="000D2D35">
        <w:t xml:space="preserve"> </w:t>
      </w:r>
      <w:r w:rsidR="00861A77">
        <w:t>include</w:t>
      </w:r>
      <w:r w:rsidR="006C5E1E">
        <w:t>s</w:t>
      </w:r>
      <w:r w:rsidR="000D2D35">
        <w:t xml:space="preserve"> </w:t>
      </w:r>
      <w:r w:rsidR="00861A77">
        <w:t xml:space="preserve">early action in the form of </w:t>
      </w:r>
      <w:r w:rsidR="00F52519">
        <w:t>orientation week activities, which</w:t>
      </w:r>
      <w:r w:rsidR="00861A77">
        <w:t xml:space="preserve"> are run by the university, </w:t>
      </w:r>
      <w:r w:rsidR="00642C0C">
        <w:t xml:space="preserve">the </w:t>
      </w:r>
      <w:r w:rsidR="00861A77">
        <w:t>library services and individual facu</w:t>
      </w:r>
      <w:r w:rsidR="00DB54E1">
        <w:t xml:space="preserve">lties. </w:t>
      </w:r>
      <w:r w:rsidR="00354EBA">
        <w:t>F</w:t>
      </w:r>
      <w:r w:rsidR="00DB54E1">
        <w:t>irst</w:t>
      </w:r>
      <w:r w:rsidR="00DC6E84">
        <w:t>-</w:t>
      </w:r>
      <w:r w:rsidR="00DB54E1">
        <w:t>year unit design is</w:t>
      </w:r>
      <w:r w:rsidR="00861A77">
        <w:t xml:space="preserve"> specifically student-focused and </w:t>
      </w:r>
      <w:r w:rsidR="00DB54E1">
        <w:t>embeds information</w:t>
      </w:r>
      <w:r w:rsidR="00861A77">
        <w:t xml:space="preserve"> skills</w:t>
      </w:r>
      <w:r w:rsidR="00DB54E1">
        <w:t xml:space="preserve"> to encourage</w:t>
      </w:r>
      <w:r w:rsidR="00861A77">
        <w:t xml:space="preserve"> academic </w:t>
      </w:r>
      <w:r w:rsidR="00642C0C">
        <w:t>self-</w:t>
      </w:r>
      <w:r w:rsidR="00861A77">
        <w:t xml:space="preserve">agency and </w:t>
      </w:r>
      <w:r w:rsidR="001D597F">
        <w:t>autonomous learning at university</w:t>
      </w:r>
      <w:r w:rsidR="00F0475E">
        <w:t>.</w:t>
      </w:r>
      <w:r w:rsidR="006C5E1E">
        <w:t xml:space="preserve"> </w:t>
      </w:r>
      <w:r w:rsidR="00642C0C">
        <w:t>TAFE pathways students face a number of challenges. A</w:t>
      </w:r>
      <w:r w:rsidR="00173D1C">
        <w:t>s a result of advance</w:t>
      </w:r>
      <w:r w:rsidR="000E4EC6">
        <w:t>d</w:t>
      </w:r>
      <w:r w:rsidR="00173D1C">
        <w:t xml:space="preserve"> standing or credit point transfer, </w:t>
      </w:r>
      <w:r w:rsidR="00642C0C">
        <w:t xml:space="preserve">they are able to </w:t>
      </w:r>
      <w:r w:rsidR="00173D1C">
        <w:t xml:space="preserve">commence university </w:t>
      </w:r>
      <w:r w:rsidR="00B23A2C">
        <w:t>without completing</w:t>
      </w:r>
      <w:r w:rsidR="00173D1C">
        <w:t xml:space="preserve"> first</w:t>
      </w:r>
      <w:r w:rsidR="00DC6E84">
        <w:t>-</w:t>
      </w:r>
      <w:r w:rsidR="00173D1C">
        <w:t>year units and therefore miss</w:t>
      </w:r>
      <w:r w:rsidR="00642C0C">
        <w:t xml:space="preserve"> out on acquiring </w:t>
      </w:r>
      <w:r w:rsidR="00173D1C">
        <w:t>the embedded information literacy skills.</w:t>
      </w:r>
      <w:r w:rsidR="001D597F">
        <w:t xml:space="preserve"> </w:t>
      </w:r>
      <w:r w:rsidR="00642C0C">
        <w:t>N</w:t>
      </w:r>
      <w:r w:rsidR="001D597F">
        <w:t xml:space="preserve">umerous avenues of support offered by </w:t>
      </w:r>
      <w:r w:rsidR="00FA3387">
        <w:t xml:space="preserve">the </w:t>
      </w:r>
      <w:r w:rsidR="001D597F">
        <w:t>library services both on campus and online</w:t>
      </w:r>
      <w:r w:rsidR="00642C0C">
        <w:t xml:space="preserve"> are available for addressing this </w:t>
      </w:r>
      <w:r w:rsidR="00B23A2C">
        <w:t>omission</w:t>
      </w:r>
      <w:r w:rsidR="001D597F">
        <w:t xml:space="preserve">. These include a library and IT helpdesk, </w:t>
      </w:r>
      <w:r w:rsidR="00DE5F06">
        <w:t xml:space="preserve">online </w:t>
      </w:r>
      <w:r w:rsidR="00CE28A1">
        <w:t xml:space="preserve">resources and </w:t>
      </w:r>
      <w:r w:rsidR="00DE5F06">
        <w:t xml:space="preserve">activities, </w:t>
      </w:r>
      <w:r w:rsidR="001D597F">
        <w:t xml:space="preserve">scheduled group workshops and short individual study consultations. </w:t>
      </w:r>
    </w:p>
    <w:p w:rsidR="005C27FE" w:rsidRDefault="00C42CA8" w:rsidP="009E62BC">
      <w:pPr>
        <w:pStyle w:val="Text"/>
      </w:pPr>
      <w:r>
        <w:t>D</w:t>
      </w:r>
      <w:r w:rsidR="00943B0A">
        <w:t>iscussion</w:t>
      </w:r>
      <w:r w:rsidR="00FA3387">
        <w:t>s</w:t>
      </w:r>
      <w:r w:rsidR="00943B0A">
        <w:t xml:space="preserve"> with </w:t>
      </w:r>
      <w:r w:rsidR="00EE562A">
        <w:t>staff</w:t>
      </w:r>
      <w:r w:rsidR="00943B0A">
        <w:t xml:space="preserve"> from </w:t>
      </w:r>
      <w:r w:rsidR="003C3DA5">
        <w:t>other universities</w:t>
      </w:r>
      <w:r>
        <w:t xml:space="preserve"> revealed</w:t>
      </w:r>
      <w:r w:rsidR="00943B0A">
        <w:t xml:space="preserve"> different approaches to supporting information literacy. </w:t>
      </w:r>
      <w:r w:rsidR="003C3DA5">
        <w:t>One university</w:t>
      </w:r>
      <w:r w:rsidR="005C27FE">
        <w:t xml:space="preserve"> has a </w:t>
      </w:r>
      <w:r w:rsidR="00F936DC">
        <w:t xml:space="preserve">similar approach, but many </w:t>
      </w:r>
      <w:r w:rsidR="00B23A2C">
        <w:t xml:space="preserve">of these </w:t>
      </w:r>
      <w:r w:rsidR="00F936DC">
        <w:t>activities are managed by academic language and literacy development advisors</w:t>
      </w:r>
      <w:r w:rsidR="00E14994">
        <w:t xml:space="preserve"> within the </w:t>
      </w:r>
      <w:r w:rsidR="00642C0C">
        <w:t>faculty of education</w:t>
      </w:r>
      <w:r w:rsidR="00F936DC">
        <w:t>. These staff members run on</w:t>
      </w:r>
      <w:r>
        <w:t>-</w:t>
      </w:r>
      <w:r w:rsidR="00F936DC">
        <w:t xml:space="preserve">campus workshops on academic literacy </w:t>
      </w:r>
      <w:r w:rsidR="00642C0C">
        <w:t>during</w:t>
      </w:r>
      <w:r w:rsidR="00F936DC">
        <w:t xml:space="preserve"> the first four weeks of each semester, in addition to a targeted </w:t>
      </w:r>
      <w:r w:rsidR="00642C0C">
        <w:t xml:space="preserve">information literacy session as </w:t>
      </w:r>
      <w:r w:rsidR="001863BB">
        <w:t xml:space="preserve">part of an </w:t>
      </w:r>
      <w:r w:rsidR="00F936DC">
        <w:t xml:space="preserve">orientation day for </w:t>
      </w:r>
      <w:r w:rsidR="00F0475E">
        <w:t xml:space="preserve">the </w:t>
      </w:r>
      <w:r w:rsidR="00642C0C">
        <w:t>faculty of education</w:t>
      </w:r>
      <w:r w:rsidR="00F936DC">
        <w:t>.</w:t>
      </w:r>
      <w:r w:rsidR="001863BB">
        <w:t xml:space="preserve"> </w:t>
      </w:r>
      <w:r w:rsidR="00642C0C">
        <w:t>Recognising</w:t>
      </w:r>
      <w:r w:rsidR="001863BB">
        <w:t xml:space="preserve"> the need to engage students who are enrolled both internally and externally</w:t>
      </w:r>
      <w:r w:rsidR="00642C0C">
        <w:t>,</w:t>
      </w:r>
      <w:r w:rsidR="00EE562A">
        <w:t xml:space="preserve"> this institution </w:t>
      </w:r>
      <w:r w:rsidR="00642C0C">
        <w:t xml:space="preserve">has moved </w:t>
      </w:r>
      <w:r w:rsidR="001863BB">
        <w:t>towards creating in</w:t>
      </w:r>
      <w:r w:rsidR="003B4B60">
        <w:t>teractive student resources, which are</w:t>
      </w:r>
      <w:r w:rsidR="001863BB">
        <w:t xml:space="preserve"> available at any time. These support structures are in addition to those </w:t>
      </w:r>
      <w:r w:rsidR="00B23A2C">
        <w:t xml:space="preserve">programs offered by the library. </w:t>
      </w:r>
      <w:r w:rsidR="00A53957" w:rsidRPr="00A53957">
        <w:t>An important distinction is that information skills are not embedded across first-year units, but rather are offered at a faculty level as pa</w:t>
      </w:r>
      <w:r w:rsidR="00A53957">
        <w:t>rallel or integrated components</w:t>
      </w:r>
      <w:r w:rsidR="00B47118">
        <w:t xml:space="preserve"> (as defined in </w:t>
      </w:r>
      <w:r w:rsidR="00E93B15">
        <w:t>t</w:t>
      </w:r>
      <w:r w:rsidR="00B47118">
        <w:t>able 2)</w:t>
      </w:r>
      <w:r w:rsidR="00562DA2">
        <w:t>.</w:t>
      </w:r>
      <w:r w:rsidR="001863BB">
        <w:t xml:space="preserve"> </w:t>
      </w:r>
    </w:p>
    <w:p w:rsidR="00D20C3D" w:rsidRDefault="003506E8" w:rsidP="009E62BC">
      <w:pPr>
        <w:pStyle w:val="Text"/>
      </w:pPr>
      <w:r>
        <w:t>A</w:t>
      </w:r>
      <w:r w:rsidR="003B4B60">
        <w:t xml:space="preserve">n </w:t>
      </w:r>
      <w:r>
        <w:t xml:space="preserve">approach taken by </w:t>
      </w:r>
      <w:r w:rsidR="003C3DA5">
        <w:t>another university</w:t>
      </w:r>
      <w:r w:rsidR="00B47118">
        <w:t xml:space="preserve"> </w:t>
      </w:r>
      <w:r>
        <w:t>incorporate</w:t>
      </w:r>
      <w:r w:rsidR="00B47118">
        <w:t>s</w:t>
      </w:r>
      <w:r>
        <w:t xml:space="preserve"> a</w:t>
      </w:r>
      <w:r w:rsidR="00CF1CEB">
        <w:t xml:space="preserve"> common unit </w:t>
      </w:r>
      <w:r w:rsidR="00B47118">
        <w:t xml:space="preserve">on academic literacies </w:t>
      </w:r>
      <w:r w:rsidR="003B4B60">
        <w:t>across</w:t>
      </w:r>
      <w:r w:rsidR="00CF1CEB">
        <w:t xml:space="preserve"> all </w:t>
      </w:r>
      <w:r w:rsidR="00671229">
        <w:t>b</w:t>
      </w:r>
      <w:r w:rsidR="00CF1CEB">
        <w:t>ac</w:t>
      </w:r>
      <w:r w:rsidR="00E93B15">
        <w:t>helor-</w:t>
      </w:r>
      <w:r w:rsidR="00CF1CEB">
        <w:t>degree programs</w:t>
      </w:r>
      <w:r w:rsidR="00E37A77">
        <w:t>. The common unit encompasses critical thinking, academic reading and writing</w:t>
      </w:r>
      <w:r w:rsidR="00671229">
        <w:t>,</w:t>
      </w:r>
      <w:r w:rsidR="00E37A77">
        <w:t xml:space="preserve"> and information and computer literacy skills</w:t>
      </w:r>
      <w:r w:rsidR="00671229">
        <w:t>,</w:t>
      </w:r>
      <w:r w:rsidR="00E37A77">
        <w:t xml:space="preserve"> </w:t>
      </w:r>
      <w:r w:rsidR="00E93B15">
        <w:t xml:space="preserve">all of </w:t>
      </w:r>
      <w:r w:rsidR="00671229">
        <w:t>which</w:t>
      </w:r>
      <w:r w:rsidR="00B47118">
        <w:t xml:space="preserve"> are </w:t>
      </w:r>
      <w:r w:rsidR="00E37A77">
        <w:t>seen as the foundation to success</w:t>
      </w:r>
      <w:r w:rsidR="00CF1CEB">
        <w:t>ful</w:t>
      </w:r>
      <w:r w:rsidR="00E37A77">
        <w:t xml:space="preserve"> </w:t>
      </w:r>
      <w:r w:rsidR="00CF1CEB">
        <w:t>university study</w:t>
      </w:r>
      <w:r w:rsidR="00E37A77">
        <w:t>. This university</w:t>
      </w:r>
      <w:r w:rsidR="00671229">
        <w:t>-</w:t>
      </w:r>
      <w:r w:rsidR="00E37A77">
        <w:t>wide approach has th</w:t>
      </w:r>
      <w:r w:rsidR="00B47118">
        <w:t>e</w:t>
      </w:r>
      <w:r w:rsidR="00E37A77">
        <w:t xml:space="preserve"> unit offered on all campuses internally, </w:t>
      </w:r>
      <w:r w:rsidR="003B4B60">
        <w:t>while</w:t>
      </w:r>
      <w:r w:rsidR="00E37A77">
        <w:t xml:space="preserve"> an externa</w:t>
      </w:r>
      <w:r w:rsidR="00CF1CEB">
        <w:t>l version is offered in every teaching period (Semester</w:t>
      </w:r>
      <w:r w:rsidR="00E93B15">
        <w:t>s 1, 2 and s</w:t>
      </w:r>
      <w:r w:rsidR="00CF1CEB">
        <w:t>ummer). In addition to this, for those students who are uncertain about managing the expectations of university or have not studied for some</w:t>
      </w:r>
      <w:r w:rsidR="005B1F5D">
        <w:t xml:space="preserve"> time</w:t>
      </w:r>
      <w:r w:rsidR="00E93B15">
        <w:t>,</w:t>
      </w:r>
      <w:r w:rsidR="005B1F5D">
        <w:t xml:space="preserve"> </w:t>
      </w:r>
      <w:r w:rsidR="00E93B15">
        <w:t xml:space="preserve">there is also </w:t>
      </w:r>
      <w:r w:rsidR="00EF29B3">
        <w:t>an opportun</w:t>
      </w:r>
      <w:r w:rsidR="00E93B15">
        <w:t xml:space="preserve">ity </w:t>
      </w:r>
      <w:r w:rsidR="005B1F5D">
        <w:t>to complete a</w:t>
      </w:r>
      <w:r w:rsidR="00CF1CEB">
        <w:t xml:space="preserve"> </w:t>
      </w:r>
      <w:r w:rsidR="00E93B15">
        <w:t>‘tertiary enabling program’</w:t>
      </w:r>
      <w:r w:rsidR="00CF1CEB">
        <w:t xml:space="preserve"> (TEP)</w:t>
      </w:r>
      <w:r w:rsidR="00E93B15">
        <w:t>,</w:t>
      </w:r>
      <w:r w:rsidR="00EE562A">
        <w:t xml:space="preserve"> which</w:t>
      </w:r>
      <w:r w:rsidR="00CF1CEB">
        <w:t xml:space="preserve"> inclu</w:t>
      </w:r>
      <w:r w:rsidR="00F0475E">
        <w:t>des study skills, computing,</w:t>
      </w:r>
      <w:r w:rsidR="00CF1CEB">
        <w:t xml:space="preserve"> reading, writing and mathematics for further education. </w:t>
      </w:r>
      <w:r w:rsidR="005B1F5D">
        <w:t xml:space="preserve">Achieving </w:t>
      </w:r>
      <w:r w:rsidR="004B0223">
        <w:t>a sufficiently high standard on these</w:t>
      </w:r>
      <w:r w:rsidR="005B1F5D">
        <w:t xml:space="preserve"> core TEP units</w:t>
      </w:r>
      <w:r w:rsidR="004B0223">
        <w:t xml:space="preserve">, or having successfully </w:t>
      </w:r>
      <w:r w:rsidR="005547B2">
        <w:t>demonstrated a standard of academic writing in other courses</w:t>
      </w:r>
      <w:r w:rsidR="00B47118">
        <w:t>,</w:t>
      </w:r>
      <w:r w:rsidR="005547B2">
        <w:t xml:space="preserve"> could be grounds for applying for exemption from </w:t>
      </w:r>
      <w:r w:rsidR="005B1F5D">
        <w:t>the academic literacies common unit.</w:t>
      </w:r>
      <w:r w:rsidR="00CF1CEB">
        <w:t xml:space="preserve"> </w:t>
      </w:r>
    </w:p>
    <w:p w:rsidR="00EE562A" w:rsidRDefault="00CA2007" w:rsidP="00D70491">
      <w:pPr>
        <w:pStyle w:val="Text"/>
      </w:pPr>
      <w:r w:rsidRPr="00CA2007">
        <w:t xml:space="preserve">These examples demonstrate the different approaches taken by </w:t>
      </w:r>
      <w:r w:rsidR="00B80157" w:rsidRPr="00CA2007">
        <w:t>institutions</w:t>
      </w:r>
      <w:r w:rsidR="00B80157">
        <w:t>;</w:t>
      </w:r>
      <w:r>
        <w:t xml:space="preserve"> however, further complexities </w:t>
      </w:r>
      <w:r w:rsidR="00E93B15">
        <w:t xml:space="preserve">arise </w:t>
      </w:r>
      <w:r>
        <w:t>when considering students who are transitioning from a TAFE pathway</w:t>
      </w:r>
      <w:r w:rsidR="00C11CDB">
        <w:t xml:space="preserve"> into university</w:t>
      </w:r>
      <w:r>
        <w:t xml:space="preserve">. </w:t>
      </w:r>
      <w:r w:rsidR="003011A0" w:rsidRPr="00B80157">
        <w:t xml:space="preserve">Penn-Edwards and Donnison (2011) focused on transitioning students and their engagement in academic support services </w:t>
      </w:r>
      <w:r w:rsidRPr="00B80157">
        <w:t>and</w:t>
      </w:r>
      <w:r w:rsidR="003011A0" w:rsidRPr="00B80157">
        <w:t xml:space="preserve"> determine</w:t>
      </w:r>
      <w:r w:rsidR="00B47118">
        <w:t>d</w:t>
      </w:r>
      <w:r w:rsidR="003011A0" w:rsidRPr="00B80157">
        <w:t xml:space="preserve"> that it was not ‘what’ support was</w:t>
      </w:r>
      <w:r w:rsidR="00E64817">
        <w:t xml:space="preserve"> provided</w:t>
      </w:r>
      <w:r w:rsidR="003011A0" w:rsidRPr="00B80157">
        <w:t>, but rather the ‘how’ and ‘when’ of the provision of the academic support that were most important.</w:t>
      </w:r>
      <w:r w:rsidR="00B80157">
        <w:t xml:space="preserve"> Given that many TAFE pathway students enrol in </w:t>
      </w:r>
      <w:r w:rsidR="006C5E1E">
        <w:t>external</w:t>
      </w:r>
      <w:r w:rsidR="00B80157">
        <w:t xml:space="preserve"> university study</w:t>
      </w:r>
      <w:r w:rsidR="00CA0DB6">
        <w:t>,</w:t>
      </w:r>
      <w:r w:rsidR="00E93B15">
        <w:t xml:space="preserve"> how and when</w:t>
      </w:r>
      <w:r w:rsidR="00B80157">
        <w:t xml:space="preserve"> the support </w:t>
      </w:r>
      <w:r w:rsidR="0016280A">
        <w:t>is</w:t>
      </w:r>
      <w:r w:rsidR="00B80157">
        <w:t xml:space="preserve"> offered is particularly important. </w:t>
      </w:r>
      <w:r w:rsidR="009E62BC" w:rsidRPr="0026055E">
        <w:t>Acknowledging that student needs are varied, this project target</w:t>
      </w:r>
      <w:r w:rsidR="00B47118">
        <w:t>s</w:t>
      </w:r>
      <w:r w:rsidR="009E62BC" w:rsidRPr="0026055E">
        <w:t xml:space="preserve"> information literacy needs as a common challenge of all transitioning students (Abbott-Chapman 2006; Thomas &amp; Milne 2011; Watson 2006). This approach allow</w:t>
      </w:r>
      <w:r w:rsidR="00B47118">
        <w:t>s</w:t>
      </w:r>
      <w:r w:rsidR="009E62BC" w:rsidRPr="0026055E">
        <w:t xml:space="preserve"> the project to build from the existing foundations (</w:t>
      </w:r>
      <w:r w:rsidR="009C6870">
        <w:t>for example,</w:t>
      </w:r>
      <w:r w:rsidR="009E62BC" w:rsidRPr="0026055E">
        <w:t xml:space="preserve"> Nelson et al. 2010; Thomas &amp; Milne 2011) in order to create a </w:t>
      </w:r>
      <w:r w:rsidR="0026055E" w:rsidRPr="0026055E">
        <w:t xml:space="preserve">framework </w:t>
      </w:r>
      <w:r w:rsidR="003B4B60">
        <w:t>demonstrating</w:t>
      </w:r>
      <w:r w:rsidR="009E62BC" w:rsidRPr="0026055E">
        <w:t xml:space="preserve"> how information literacy </w:t>
      </w:r>
      <w:r w:rsidR="0026055E" w:rsidRPr="0026055E">
        <w:t xml:space="preserve">support structures </w:t>
      </w:r>
      <w:r w:rsidR="009E62BC" w:rsidRPr="0026055E">
        <w:t>could be implemented across</w:t>
      </w:r>
      <w:r w:rsidR="003B4B60">
        <w:t xml:space="preserve"> the two</w:t>
      </w:r>
      <w:r w:rsidR="009E62BC" w:rsidRPr="0026055E">
        <w:t xml:space="preserve"> sectors in a timely manner.</w:t>
      </w:r>
      <w:r w:rsidR="00D9491F">
        <w:rPr>
          <w:color w:val="FF0000"/>
        </w:rPr>
        <w:t xml:space="preserve"> </w:t>
      </w:r>
      <w:r w:rsidR="0026055E" w:rsidRPr="00E52EB8">
        <w:t xml:space="preserve">In order to achieve this goal, it is first necessary to gain </w:t>
      </w:r>
      <w:r w:rsidR="00E93B15">
        <w:t xml:space="preserve">a </w:t>
      </w:r>
      <w:r w:rsidR="0026055E" w:rsidRPr="00E52EB8">
        <w:t xml:space="preserve">greater understanding of the information literacy expectations on either side of the transition and the challenges experienced. </w:t>
      </w:r>
      <w:r w:rsidR="00E93B15">
        <w:t>I</w:t>
      </w:r>
      <w:r w:rsidR="0026055E" w:rsidRPr="00E52EB8">
        <w:t xml:space="preserve">mportant </w:t>
      </w:r>
      <w:r w:rsidR="00E93B15">
        <w:t>also is</w:t>
      </w:r>
      <w:r w:rsidR="0026055E" w:rsidRPr="00E52EB8">
        <w:t xml:space="preserve"> draw</w:t>
      </w:r>
      <w:r w:rsidR="00E93B15">
        <w:t>ing</w:t>
      </w:r>
      <w:r w:rsidR="0026055E" w:rsidRPr="00E52EB8">
        <w:t xml:space="preserve"> on student perspectives and experience</w:t>
      </w:r>
      <w:r w:rsidR="00791A11">
        <w:t>s of the transition and using</w:t>
      </w:r>
      <w:r w:rsidR="0026055E" w:rsidRPr="00E52EB8">
        <w:t xml:space="preserve"> this evidence to </w:t>
      </w:r>
      <w:r w:rsidR="00E52EB8">
        <w:t xml:space="preserve">improve the support structures and </w:t>
      </w:r>
      <w:r w:rsidR="00791A11">
        <w:t>from there developing</w:t>
      </w:r>
      <w:r w:rsidR="0026055E" w:rsidRPr="00E52EB8">
        <w:t xml:space="preserve"> </w:t>
      </w:r>
      <w:r w:rsidR="00E52EB8" w:rsidRPr="00E52EB8">
        <w:t>a practical framework that is specific to the TAFE</w:t>
      </w:r>
      <w:r w:rsidR="004F4B09">
        <w:t>–</w:t>
      </w:r>
      <w:r w:rsidR="003B3DC3">
        <w:t>to-</w:t>
      </w:r>
      <w:r w:rsidR="00E52EB8" w:rsidRPr="00E52EB8">
        <w:t>university transition.</w:t>
      </w:r>
    </w:p>
    <w:p w:rsidR="00CD6ACD" w:rsidRDefault="008F348C" w:rsidP="00CD6ACD">
      <w:pPr>
        <w:pStyle w:val="Text"/>
      </w:pPr>
      <w:r>
        <w:lastRenderedPageBreak/>
        <w:t>The report aims to increase understanding by addressing the following key research questions:</w:t>
      </w:r>
    </w:p>
    <w:p w:rsidR="00CD6ACD" w:rsidRPr="00F02D1C" w:rsidRDefault="0050722E" w:rsidP="00D70491">
      <w:pPr>
        <w:pStyle w:val="Dotpoint1"/>
      </w:pPr>
      <w:r>
        <w:t xml:space="preserve">What is the </w:t>
      </w:r>
      <w:r w:rsidR="000D3C53">
        <w:t>nature</w:t>
      </w:r>
      <w:r w:rsidR="00BC1A48">
        <w:t xml:space="preserve"> of</w:t>
      </w:r>
      <w:r w:rsidR="00CD6ACD" w:rsidRPr="00F02D1C">
        <w:t xml:space="preserve"> </w:t>
      </w:r>
      <w:r w:rsidR="00791A11">
        <w:t xml:space="preserve">the </w:t>
      </w:r>
      <w:r w:rsidR="00CD6ACD" w:rsidRPr="00F02D1C">
        <w:t>information literacy ski</w:t>
      </w:r>
      <w:r w:rsidR="00BC1A48">
        <w:t>lls</w:t>
      </w:r>
      <w:r w:rsidR="00FA4E1E" w:rsidRPr="00F02D1C">
        <w:t xml:space="preserve"> currently embedded </w:t>
      </w:r>
      <w:r w:rsidR="0059755D" w:rsidRPr="00F02D1C">
        <w:t xml:space="preserve">in </w:t>
      </w:r>
      <w:r w:rsidR="004F4B09">
        <w:t>d</w:t>
      </w:r>
      <w:r w:rsidR="0059755D" w:rsidRPr="00F02D1C">
        <w:t xml:space="preserve">iploma modules </w:t>
      </w:r>
      <w:r w:rsidR="00FA4E1E" w:rsidRPr="00F02D1C">
        <w:t xml:space="preserve">and </w:t>
      </w:r>
      <w:r w:rsidR="004F4B09">
        <w:t>b</w:t>
      </w:r>
      <w:r w:rsidR="006C5E1E">
        <w:t>achelor</w:t>
      </w:r>
      <w:r w:rsidR="0059755D" w:rsidRPr="00F02D1C">
        <w:t xml:space="preserve"> degree </w:t>
      </w:r>
      <w:r>
        <w:t>units?</w:t>
      </w:r>
    </w:p>
    <w:p w:rsidR="00CD6ACD" w:rsidRPr="00F02D1C" w:rsidRDefault="0050722E" w:rsidP="00D70491">
      <w:pPr>
        <w:pStyle w:val="Dotpoint1"/>
      </w:pPr>
      <w:r>
        <w:t>What</w:t>
      </w:r>
      <w:r w:rsidR="00CD6ACD" w:rsidRPr="00F02D1C">
        <w:t xml:space="preserve"> in</w:t>
      </w:r>
      <w:r w:rsidR="00BC1A48">
        <w:t>formation literacy challenges</w:t>
      </w:r>
      <w:r w:rsidR="00CD6ACD" w:rsidRPr="00F02D1C">
        <w:t xml:space="preserve"> </w:t>
      </w:r>
      <w:r>
        <w:t xml:space="preserve">do </w:t>
      </w:r>
      <w:r w:rsidR="00CD6ACD" w:rsidRPr="00F02D1C">
        <w:t xml:space="preserve">students face in their current </w:t>
      </w:r>
      <w:r w:rsidR="005A2120">
        <w:t>TAFE</w:t>
      </w:r>
      <w:r>
        <w:t xml:space="preserve"> or university program?</w:t>
      </w:r>
    </w:p>
    <w:p w:rsidR="00CB23BF" w:rsidRDefault="00473754" w:rsidP="00D70491">
      <w:pPr>
        <w:pStyle w:val="Dotpoint1"/>
      </w:pPr>
      <w:r>
        <w:t>W</w:t>
      </w:r>
      <w:r w:rsidR="0050722E">
        <w:t>hat i</w:t>
      </w:r>
      <w:r w:rsidR="005A2120" w:rsidRPr="00F02D1C">
        <w:t xml:space="preserve">mprovements to information literacy </w:t>
      </w:r>
      <w:r w:rsidR="005A2120">
        <w:t xml:space="preserve">teaching in both the TAFE and university sectors </w:t>
      </w:r>
      <w:r w:rsidR="0050722E">
        <w:t xml:space="preserve">would </w:t>
      </w:r>
      <w:r w:rsidR="0005501E">
        <w:t>ease</w:t>
      </w:r>
      <w:r w:rsidR="0050722E">
        <w:t xml:space="preserve"> the transition </w:t>
      </w:r>
      <w:r w:rsidR="006C5E1E">
        <w:t xml:space="preserve">from TAFE </w:t>
      </w:r>
      <w:r w:rsidR="0050722E">
        <w:t>to university?</w:t>
      </w:r>
    </w:p>
    <w:p w:rsidR="00CB23BF" w:rsidRPr="00CD6ACD" w:rsidRDefault="00CB23BF" w:rsidP="00CD6ACD">
      <w:pPr>
        <w:pStyle w:val="Text"/>
      </w:pPr>
    </w:p>
    <w:p w:rsidR="003B676D" w:rsidRDefault="003B676D">
      <w:pPr>
        <w:spacing w:before="0" w:line="240" w:lineRule="auto"/>
        <w:rPr>
          <w:rFonts w:ascii="Tahoma" w:hAnsi="Tahoma" w:cs="Tahoma"/>
          <w:color w:val="000000"/>
          <w:kern w:val="28"/>
          <w:sz w:val="56"/>
          <w:szCs w:val="56"/>
        </w:rPr>
      </w:pPr>
      <w:r>
        <w:br w:type="page"/>
      </w:r>
    </w:p>
    <w:p w:rsidR="00CD6ACD" w:rsidRDefault="006119DD" w:rsidP="00A50895">
      <w:pPr>
        <w:pStyle w:val="Heading1"/>
      </w:pPr>
      <w:bookmarkStart w:id="47" w:name="_Toc378160486"/>
      <w:r>
        <w:lastRenderedPageBreak/>
        <w:t xml:space="preserve">The present </w:t>
      </w:r>
      <w:r w:rsidR="007C1A5C">
        <w:t>research</w:t>
      </w:r>
      <w:bookmarkEnd w:id="47"/>
    </w:p>
    <w:p w:rsidR="00867F0A" w:rsidRPr="00FF1C71" w:rsidRDefault="00FF1C71" w:rsidP="00D70491">
      <w:pPr>
        <w:pStyle w:val="Text"/>
      </w:pPr>
      <w:r>
        <w:t>T</w:t>
      </w:r>
      <w:r w:rsidR="0016280A">
        <w:t xml:space="preserve">his </w:t>
      </w:r>
      <w:r w:rsidR="007C1A5C">
        <w:t>research</w:t>
      </w:r>
      <w:r>
        <w:t xml:space="preserve"> </w:t>
      </w:r>
      <w:r w:rsidR="0011319B">
        <w:t>wa</w:t>
      </w:r>
      <w:r>
        <w:t>s exploratory</w:t>
      </w:r>
      <w:r w:rsidR="00791A11">
        <w:t>,</w:t>
      </w:r>
      <w:r>
        <w:t xml:space="preserve"> </w:t>
      </w:r>
      <w:r w:rsidR="00791A11">
        <w:t>seeking</w:t>
      </w:r>
      <w:r w:rsidR="00C11CDB">
        <w:t xml:space="preserve"> </w:t>
      </w:r>
      <w:r>
        <w:t>understanding of the information literacy experiences of TAFE diplo</w:t>
      </w:r>
      <w:r w:rsidR="003B4B60">
        <w:t>ma and bachelor degree students</w:t>
      </w:r>
      <w:r w:rsidR="00DE28E6" w:rsidRPr="00DE28E6">
        <w:t xml:space="preserve"> </w:t>
      </w:r>
      <w:r w:rsidR="00DE28E6">
        <w:t>on a small scale</w:t>
      </w:r>
      <w:r w:rsidR="003B4B60">
        <w:t xml:space="preserve">, </w:t>
      </w:r>
      <w:r w:rsidR="00791A11">
        <w:t xml:space="preserve">with the aim of supporting </w:t>
      </w:r>
      <w:r>
        <w:t xml:space="preserve">the pathway to university. This </w:t>
      </w:r>
      <w:r w:rsidR="007C1A5C">
        <w:t>research</w:t>
      </w:r>
      <w:r>
        <w:t xml:space="preserve"> gather</w:t>
      </w:r>
      <w:r w:rsidR="0011319B">
        <w:t>ed</w:t>
      </w:r>
      <w:r>
        <w:t xml:space="preserve"> information focused on the field of early childhood</w:t>
      </w:r>
      <w:r w:rsidR="00B47118">
        <w:t xml:space="preserve">. The </w:t>
      </w:r>
      <w:r>
        <w:t xml:space="preserve">participants </w:t>
      </w:r>
      <w:r w:rsidR="0011319B">
        <w:t>we</w:t>
      </w:r>
      <w:r>
        <w:t>re students enrolled in the Diploma of Children’s Services</w:t>
      </w:r>
      <w:r w:rsidR="00B32F19">
        <w:t xml:space="preserve"> and students enrolled in a </w:t>
      </w:r>
      <w:r w:rsidR="009F10FA">
        <w:t>b</w:t>
      </w:r>
      <w:r w:rsidR="00B32F19">
        <w:t>achelor degree program specialising in early childhood</w:t>
      </w:r>
      <w:r>
        <w:t>.</w:t>
      </w:r>
      <w:r w:rsidR="00B32F19">
        <w:t xml:space="preserve"> This section </w:t>
      </w:r>
      <w:r w:rsidR="00B47118">
        <w:t xml:space="preserve">outlines </w:t>
      </w:r>
      <w:r w:rsidR="00B32F19">
        <w:t xml:space="preserve">the context of the </w:t>
      </w:r>
      <w:r w:rsidR="007C1A5C">
        <w:t>research</w:t>
      </w:r>
      <w:r w:rsidR="00F0475E">
        <w:t xml:space="preserve"> </w:t>
      </w:r>
      <w:r w:rsidR="00B47118">
        <w:t xml:space="preserve">and </w:t>
      </w:r>
      <w:r w:rsidR="00B32F19">
        <w:t xml:space="preserve">the data collection and analysis </w:t>
      </w:r>
      <w:r w:rsidR="00B47118">
        <w:t xml:space="preserve">undertaken to </w:t>
      </w:r>
      <w:r w:rsidR="00B32F19">
        <w:t>address th</w:t>
      </w:r>
      <w:r w:rsidR="00791A11">
        <w:t>e three research questions</w:t>
      </w:r>
      <w:r w:rsidR="00B32F19">
        <w:t>.</w:t>
      </w:r>
      <w:r>
        <w:t xml:space="preserve"> </w:t>
      </w:r>
    </w:p>
    <w:p w:rsidR="00CD6ACD" w:rsidRDefault="00341376" w:rsidP="00CD6ACD">
      <w:pPr>
        <w:pStyle w:val="Heading2"/>
      </w:pPr>
      <w:bookmarkStart w:id="48" w:name="_Toc378160487"/>
      <w:r>
        <w:t>C</w:t>
      </w:r>
      <w:r w:rsidR="009E62BC">
        <w:t>ontext</w:t>
      </w:r>
      <w:bookmarkEnd w:id="48"/>
    </w:p>
    <w:p w:rsidR="0096658E" w:rsidRPr="00D70491" w:rsidRDefault="00354EBA" w:rsidP="00D70491">
      <w:pPr>
        <w:pStyle w:val="Text"/>
      </w:pPr>
      <w:r>
        <w:t xml:space="preserve">The focus </w:t>
      </w:r>
      <w:r w:rsidR="0096658E" w:rsidRPr="009701A3">
        <w:t>TAFE</w:t>
      </w:r>
      <w:r w:rsidR="00A665C9">
        <w:t xml:space="preserve"> institute</w:t>
      </w:r>
      <w:r w:rsidR="0096658E" w:rsidRPr="009701A3">
        <w:t xml:space="preserve"> is a tertiary </w:t>
      </w:r>
      <w:r w:rsidR="00A665C9">
        <w:t>VET</w:t>
      </w:r>
      <w:r w:rsidR="009F10FA" w:rsidRPr="009701A3">
        <w:t xml:space="preserve"> </w:t>
      </w:r>
      <w:r w:rsidR="0096658E" w:rsidRPr="009701A3">
        <w:t xml:space="preserve">institution comprising </w:t>
      </w:r>
      <w:r w:rsidR="00403E2B">
        <w:t>a number of</w:t>
      </w:r>
      <w:r w:rsidR="00403E2B" w:rsidRPr="009701A3">
        <w:t xml:space="preserve"> </w:t>
      </w:r>
      <w:r w:rsidR="0096658E" w:rsidRPr="009701A3">
        <w:t xml:space="preserve">campuses </w:t>
      </w:r>
      <w:r>
        <w:t>across South-East Queensland</w:t>
      </w:r>
      <w:r w:rsidR="0096658E" w:rsidRPr="009701A3">
        <w:t xml:space="preserve">. </w:t>
      </w:r>
      <w:r w:rsidR="00A665C9">
        <w:t>It delivers</w:t>
      </w:r>
      <w:r w:rsidRPr="009701A3">
        <w:t xml:space="preserve"> </w:t>
      </w:r>
      <w:r w:rsidR="0096658E" w:rsidRPr="009701A3">
        <w:t xml:space="preserve">delivers certificate III, IV, diploma and advanced diploma programs </w:t>
      </w:r>
      <w:r w:rsidR="00A665C9">
        <w:t>across</w:t>
      </w:r>
      <w:r w:rsidR="0096658E" w:rsidRPr="009701A3">
        <w:t xml:space="preserve"> a range of full</w:t>
      </w:r>
      <w:r w:rsidR="009F10FA">
        <w:t>-</w:t>
      </w:r>
      <w:r w:rsidR="0096658E" w:rsidRPr="009701A3">
        <w:t xml:space="preserve"> and part-time, face-to-face, workplace training, online and distance delivery options. A</w:t>
      </w:r>
      <w:r w:rsidR="00DF0014">
        <w:t>t the time of data collection (2012</w:t>
      </w:r>
      <w:r w:rsidR="00A665C9">
        <w:t>—</w:t>
      </w:r>
      <w:r w:rsidR="00DF0014">
        <w:t xml:space="preserve">13) and </w:t>
      </w:r>
      <w:r w:rsidR="00867ADB">
        <w:t>a</w:t>
      </w:r>
      <w:r w:rsidR="0096658E" w:rsidRPr="009701A3">
        <w:t xml:space="preserve">cross all campuses, </w:t>
      </w:r>
      <w:r w:rsidR="00DF0014">
        <w:t>approximate</w:t>
      </w:r>
      <w:r w:rsidR="0033357E">
        <w:t>ly</w:t>
      </w:r>
      <w:r w:rsidR="00DD1F06">
        <w:t xml:space="preserve"> 15</w:t>
      </w:r>
      <w:r w:rsidR="0096658E" w:rsidRPr="009701A3">
        <w:t xml:space="preserve">00 students </w:t>
      </w:r>
      <w:r w:rsidR="00DF0014">
        <w:t xml:space="preserve">were </w:t>
      </w:r>
      <w:r w:rsidR="0096658E" w:rsidRPr="009701A3">
        <w:t>currently enrolled in children’s services stud</w:t>
      </w:r>
      <w:r w:rsidR="00A665C9">
        <w:t>y options, which include the</w:t>
      </w:r>
      <w:r w:rsidR="008A2B01">
        <w:t xml:space="preserve"> </w:t>
      </w:r>
      <w:r w:rsidR="0096658E" w:rsidRPr="009701A3">
        <w:t>Certificate III in Children</w:t>
      </w:r>
      <w:r w:rsidR="0033357E">
        <w:t>’</w:t>
      </w:r>
      <w:r w:rsidR="0096658E" w:rsidRPr="009701A3">
        <w:t>s Services</w:t>
      </w:r>
      <w:r w:rsidR="008A2B01">
        <w:t xml:space="preserve">, </w:t>
      </w:r>
      <w:r w:rsidR="0096658E" w:rsidRPr="009701A3">
        <w:t>Diploma of Children</w:t>
      </w:r>
      <w:r w:rsidR="0033357E">
        <w:t>’</w:t>
      </w:r>
      <w:r w:rsidR="0096658E" w:rsidRPr="009701A3">
        <w:t>s Services (Early Childhood Education and Care)</w:t>
      </w:r>
      <w:r w:rsidR="008A2B01">
        <w:t xml:space="preserve"> and </w:t>
      </w:r>
      <w:r w:rsidR="0096658E" w:rsidRPr="00D70491">
        <w:t>Certificate III in Education Support</w:t>
      </w:r>
      <w:r w:rsidR="008A2B01" w:rsidRPr="00D70491">
        <w:t>.</w:t>
      </w:r>
      <w:r w:rsidR="00DF0014" w:rsidRPr="00D70491">
        <w:t xml:space="preserve"> </w:t>
      </w:r>
      <w:r w:rsidRPr="00D70491">
        <w:t xml:space="preserve">The participating TAFE </w:t>
      </w:r>
      <w:r w:rsidR="00A665C9" w:rsidRPr="00D70491">
        <w:t xml:space="preserve">institute </w:t>
      </w:r>
      <w:r w:rsidR="00DF0014" w:rsidRPr="00D70491">
        <w:t>is a la</w:t>
      </w:r>
      <w:r w:rsidR="00A665C9" w:rsidRPr="00D70491">
        <w:t>rge provider of early childhood-</w:t>
      </w:r>
      <w:r w:rsidR="00DF0014" w:rsidRPr="00D70491">
        <w:t>specific vocational training.</w:t>
      </w:r>
    </w:p>
    <w:p w:rsidR="008A2B01" w:rsidRPr="00D70491" w:rsidRDefault="00354EBA" w:rsidP="00D70491">
      <w:pPr>
        <w:pStyle w:val="Text"/>
      </w:pPr>
      <w:r w:rsidRPr="00D70491">
        <w:t xml:space="preserve">The focus university </w:t>
      </w:r>
      <w:r w:rsidR="008A2B01" w:rsidRPr="00D70491">
        <w:t>compris</w:t>
      </w:r>
      <w:r w:rsidR="0011319B" w:rsidRPr="00D70491">
        <w:t>es</w:t>
      </w:r>
      <w:r w:rsidR="008A2B01" w:rsidRPr="00D70491">
        <w:t xml:space="preserve"> three campuses </w:t>
      </w:r>
      <w:r w:rsidRPr="00D70491">
        <w:t>across South-East Queensland.</w:t>
      </w:r>
      <w:r w:rsidR="005B2D91" w:rsidRPr="00D70491">
        <w:t xml:space="preserve"> </w:t>
      </w:r>
      <w:r w:rsidR="008A2B01" w:rsidRPr="00D70491">
        <w:t>The Faculty of Education</w:t>
      </w:r>
      <w:r w:rsidRPr="00D70491">
        <w:t xml:space="preserve"> </w:t>
      </w:r>
      <w:r w:rsidR="007A19AF" w:rsidRPr="00D70491">
        <w:t>has</w:t>
      </w:r>
      <w:r w:rsidRPr="00D70491">
        <w:t xml:space="preserve"> a </w:t>
      </w:r>
      <w:r w:rsidR="008A2B01" w:rsidRPr="00D70491">
        <w:t>large specialist school of early childhood</w:t>
      </w:r>
      <w:r w:rsidRPr="00D70491">
        <w:t>.</w:t>
      </w:r>
      <w:r w:rsidR="001F6F8A" w:rsidRPr="00D70491">
        <w:t xml:space="preserve"> The Bachelor of Education (Early Childhood) and Bachelor of Early Childhood Studies operate in a range of modes, including full- and part-time, internal and external.</w:t>
      </w:r>
      <w:r w:rsidR="00FC6ADA" w:rsidRPr="00D70491">
        <w:t xml:space="preserve"> </w:t>
      </w:r>
      <w:r w:rsidR="00182DA0" w:rsidRPr="00D70491">
        <w:t xml:space="preserve">Advanced standing arrangements are in place for students with a TAFE </w:t>
      </w:r>
      <w:r w:rsidR="00EF04A6" w:rsidRPr="00D70491">
        <w:t>d</w:t>
      </w:r>
      <w:r w:rsidR="00182DA0" w:rsidRPr="00D70491">
        <w:t>iploma</w:t>
      </w:r>
      <w:r w:rsidR="007D6F42" w:rsidRPr="00D70491">
        <w:t xml:space="preserve"> entering these programs. To enrol in a part-time program in early childhood, students must have a TAFE </w:t>
      </w:r>
      <w:r w:rsidR="00837D2B" w:rsidRPr="00D70491">
        <w:t>d</w:t>
      </w:r>
      <w:r w:rsidR="007D6F42" w:rsidRPr="00D70491">
        <w:t xml:space="preserve">iploma. </w:t>
      </w:r>
      <w:r w:rsidR="00E52EB8" w:rsidRPr="00D70491">
        <w:t>TAFE students with advanced standing represent</w:t>
      </w:r>
      <w:r w:rsidR="00357AC8" w:rsidRPr="00D70491">
        <w:t xml:space="preserve"> 44% of the undergraduate student population enrolled in an early childhood </w:t>
      </w:r>
      <w:r w:rsidR="00837D2B" w:rsidRPr="00D70491">
        <w:t>b</w:t>
      </w:r>
      <w:r w:rsidR="00357AC8" w:rsidRPr="00D70491">
        <w:t xml:space="preserve">achelor degree program </w:t>
      </w:r>
      <w:r w:rsidR="00C14B94" w:rsidRPr="00D70491">
        <w:t>at this university</w:t>
      </w:r>
      <w:r w:rsidR="00A665C9" w:rsidRPr="00D70491">
        <w:t>.</w:t>
      </w:r>
      <w:r w:rsidR="00C14B94" w:rsidRPr="00D70491">
        <w:t xml:space="preserve"> </w:t>
      </w:r>
      <w:r w:rsidR="00357AC8" w:rsidRPr="00D70491">
        <w:t>(</w:t>
      </w:r>
      <w:r w:rsidR="00A665C9" w:rsidRPr="00D70491">
        <w:t>D</w:t>
      </w:r>
      <w:r w:rsidR="00C14B94" w:rsidRPr="00D70491">
        <w:t xml:space="preserve">ata sourced from the </w:t>
      </w:r>
      <w:r w:rsidR="00357AC8" w:rsidRPr="00D70491">
        <w:t>Student Academic Management System, April 2013</w:t>
      </w:r>
      <w:r w:rsidR="00A665C9" w:rsidRPr="00D70491">
        <w:t>.)</w:t>
      </w:r>
      <w:r w:rsidR="00357AC8" w:rsidRPr="00D70491">
        <w:t xml:space="preserve"> If this enrolment pattern continues, this study </w:t>
      </w:r>
      <w:r w:rsidR="00DE28E6" w:rsidRPr="00D70491">
        <w:t>will have</w:t>
      </w:r>
      <w:r w:rsidR="00357AC8" w:rsidRPr="00D70491">
        <w:t xml:space="preserve"> important implications for </w:t>
      </w:r>
      <w:r w:rsidR="00CF13FF" w:rsidRPr="00D70491">
        <w:t xml:space="preserve">the university </w:t>
      </w:r>
      <w:r w:rsidR="00357AC8" w:rsidRPr="00D70491">
        <w:t xml:space="preserve">and similar universities </w:t>
      </w:r>
      <w:r w:rsidR="00A665C9" w:rsidRPr="00D70491">
        <w:t>with</w:t>
      </w:r>
      <w:r w:rsidR="00357AC8" w:rsidRPr="00D70491">
        <w:t xml:space="preserve"> a large proportion of TAFE pathway students enrolled in their </w:t>
      </w:r>
      <w:r w:rsidR="001F6F8A" w:rsidRPr="00D70491">
        <w:t>program</w:t>
      </w:r>
      <w:r w:rsidR="00357AC8" w:rsidRPr="00D70491">
        <w:t>s.</w:t>
      </w:r>
      <w:r w:rsidR="00FC6ADA" w:rsidRPr="00D70491">
        <w:t xml:space="preserve"> </w:t>
      </w:r>
    </w:p>
    <w:p w:rsidR="00FD026F" w:rsidRPr="00D70491" w:rsidRDefault="00FD026F" w:rsidP="00D70491">
      <w:pPr>
        <w:pStyle w:val="Text"/>
      </w:pPr>
      <w:r w:rsidRPr="00D70491">
        <w:t>Those students who are enrolled in the full</w:t>
      </w:r>
      <w:r w:rsidR="000B11EB" w:rsidRPr="00D70491">
        <w:t>-</w:t>
      </w:r>
      <w:r w:rsidRPr="00D70491">
        <w:t>time Bachelor of Education (Early Childhood)</w:t>
      </w:r>
      <w:r w:rsidR="00DF0014" w:rsidRPr="00D70491">
        <w:t xml:space="preserve"> receive support </w:t>
      </w:r>
      <w:r w:rsidR="00DE28E6" w:rsidRPr="00D70491">
        <w:t>through</w:t>
      </w:r>
      <w:r w:rsidR="00DF0014" w:rsidRPr="00D70491">
        <w:t xml:space="preserve"> an embedded approach in the first</w:t>
      </w:r>
      <w:r w:rsidR="00EF09BF" w:rsidRPr="00D70491">
        <w:t>-</w:t>
      </w:r>
      <w:r w:rsidR="00DF0014" w:rsidRPr="00D70491">
        <w:t xml:space="preserve">year units, as described in the previous </w:t>
      </w:r>
      <w:r w:rsidR="00A665C9" w:rsidRPr="00D70491">
        <w:t>chapter (t</w:t>
      </w:r>
      <w:r w:rsidR="008D06E8" w:rsidRPr="00D70491">
        <w:t>able 2)</w:t>
      </w:r>
      <w:r w:rsidR="00DF0014" w:rsidRPr="00D70491">
        <w:t>.</w:t>
      </w:r>
      <w:r w:rsidRPr="00D70491">
        <w:t xml:space="preserve"> </w:t>
      </w:r>
      <w:r w:rsidR="00EF09BF" w:rsidRPr="00D70491">
        <w:t>S</w:t>
      </w:r>
      <w:r w:rsidR="00DF0014" w:rsidRPr="00D70491">
        <w:t>tudents enrolled in any part-time early childhood degree or the full</w:t>
      </w:r>
      <w:r w:rsidR="00EF09BF" w:rsidRPr="00D70491">
        <w:t>-</w:t>
      </w:r>
      <w:r w:rsidR="00DF0014" w:rsidRPr="00D70491">
        <w:t>time Bachelor of Early Childhood Studies must complete a unit in academic and professional communication.</w:t>
      </w:r>
      <w:r w:rsidR="004F7C64" w:rsidRPr="00D70491">
        <w:t xml:space="preserve"> This unit is offered externally in an online delivery mode.</w:t>
      </w:r>
    </w:p>
    <w:p w:rsidR="0096658E" w:rsidRDefault="004960C4" w:rsidP="00D70491">
      <w:pPr>
        <w:pStyle w:val="Text"/>
      </w:pPr>
      <w:r w:rsidRPr="00D70491">
        <w:t xml:space="preserve">Only in recent years has </w:t>
      </w:r>
      <w:r w:rsidR="00CF13FF" w:rsidRPr="00D70491">
        <w:t>a</w:t>
      </w:r>
      <w:r w:rsidRPr="00D70491">
        <w:t xml:space="preserve"> Bachelor of Education (Early Childhood) program </w:t>
      </w:r>
      <w:r w:rsidR="00CF13FF" w:rsidRPr="00D70491">
        <w:t>be</w:t>
      </w:r>
      <w:r w:rsidR="00CF13FF">
        <w:t xml:space="preserve">en offered </w:t>
      </w:r>
      <w:r>
        <w:t xml:space="preserve">on </w:t>
      </w:r>
      <w:r w:rsidR="00CF13FF">
        <w:t>a campus north of Brisbane</w:t>
      </w:r>
      <w:r>
        <w:t xml:space="preserve">. </w:t>
      </w:r>
      <w:r w:rsidR="0096658E">
        <w:t xml:space="preserve">The </w:t>
      </w:r>
      <w:r w:rsidR="009701A3">
        <w:t xml:space="preserve">unique situation for </w:t>
      </w:r>
      <w:r w:rsidR="007A19AF">
        <w:t>t</w:t>
      </w:r>
      <w:r w:rsidR="00CF13FF">
        <w:t xml:space="preserve">he TAFE </w:t>
      </w:r>
      <w:r w:rsidR="00A665C9">
        <w:t xml:space="preserve">institute </w:t>
      </w:r>
      <w:r w:rsidR="00CF13FF">
        <w:t xml:space="preserve">and university reported in this study </w:t>
      </w:r>
      <w:r w:rsidR="00867ADB">
        <w:t>is</w:t>
      </w:r>
      <w:r w:rsidR="009701A3">
        <w:t xml:space="preserve"> that </w:t>
      </w:r>
      <w:r w:rsidR="00F0475E">
        <w:t>the</w:t>
      </w:r>
      <w:r w:rsidR="00A665C9">
        <w:t xml:space="preserve"> institutions are </w:t>
      </w:r>
      <w:r w:rsidR="009701A3">
        <w:t>located</w:t>
      </w:r>
      <w:r w:rsidR="00ED66F2">
        <w:t xml:space="preserve"> </w:t>
      </w:r>
      <w:r w:rsidR="00A665C9">
        <w:t>on</w:t>
      </w:r>
      <w:r w:rsidR="00ED66F2">
        <w:t xml:space="preserve"> the same campus</w:t>
      </w:r>
      <w:r w:rsidR="009701A3">
        <w:t>. This close proximity provides opportunities to work collaboratively to support student career pathways.</w:t>
      </w:r>
      <w:r w:rsidR="007D6F42">
        <w:t xml:space="preserve"> </w:t>
      </w:r>
      <w:r>
        <w:t xml:space="preserve">This was a factor when selecting a TAFE institution to be involved in this </w:t>
      </w:r>
      <w:r w:rsidR="007C1A5C">
        <w:t>research</w:t>
      </w:r>
      <w:r w:rsidR="00DE28E6">
        <w:t>,</w:t>
      </w:r>
      <w:r w:rsidR="00A665C9">
        <w:t xml:space="preserve"> and</w:t>
      </w:r>
      <w:r w:rsidR="00867ADB">
        <w:t xml:space="preserve"> </w:t>
      </w:r>
      <w:r w:rsidR="00A665C9">
        <w:t>t</w:t>
      </w:r>
      <w:r w:rsidR="0016280A">
        <w:t>he</w:t>
      </w:r>
      <w:r>
        <w:t xml:space="preserve"> collaborative </w:t>
      </w:r>
      <w:r w:rsidR="00A665C9">
        <w:t>options</w:t>
      </w:r>
      <w:r>
        <w:t xml:space="preserve"> proposed in the conclusion of this report are well placed to be implemented</w:t>
      </w:r>
      <w:r w:rsidR="00A665C9">
        <w:t xml:space="preserve"> in these institutions</w:t>
      </w:r>
      <w:r>
        <w:t>.</w:t>
      </w:r>
      <w:r w:rsidR="00BA2444">
        <w:t xml:space="preserve"> While this may be considered a limitation </w:t>
      </w:r>
      <w:r w:rsidR="00A665C9">
        <w:t>in terms of</w:t>
      </w:r>
      <w:r w:rsidR="00BA2444">
        <w:t xml:space="preserve"> </w:t>
      </w:r>
      <w:r w:rsidR="00FF1C71">
        <w:t xml:space="preserve">extending the findings of this </w:t>
      </w:r>
      <w:r w:rsidR="00724B47">
        <w:t>research</w:t>
      </w:r>
      <w:r w:rsidR="00FF1C71">
        <w:t>, it is believed that the overall framework proposed will be applicable to other universities</w:t>
      </w:r>
      <w:r w:rsidR="006C5E1E">
        <w:t xml:space="preserve"> and disciplines</w:t>
      </w:r>
      <w:r w:rsidR="00FF1C71">
        <w:t>.</w:t>
      </w:r>
    </w:p>
    <w:p w:rsidR="00CD6ACD" w:rsidRDefault="00CD6ACD" w:rsidP="00CD6ACD">
      <w:pPr>
        <w:pStyle w:val="Heading2"/>
      </w:pPr>
      <w:bookmarkStart w:id="49" w:name="_Toc378160488"/>
      <w:r>
        <w:lastRenderedPageBreak/>
        <w:t>Data collection</w:t>
      </w:r>
      <w:r w:rsidR="009E62BC">
        <w:t xml:space="preserve"> and analysis</w:t>
      </w:r>
      <w:bookmarkEnd w:id="49"/>
    </w:p>
    <w:p w:rsidR="00B57EF2" w:rsidRDefault="00CD6ACD" w:rsidP="00D70491">
      <w:pPr>
        <w:pStyle w:val="Text"/>
      </w:pPr>
      <w:r>
        <w:t xml:space="preserve">The data collection </w:t>
      </w:r>
      <w:r w:rsidRPr="00D70491">
        <w:t>involved</w:t>
      </w:r>
      <w:r>
        <w:t xml:space="preserve"> </w:t>
      </w:r>
      <w:r w:rsidR="00B57EF2">
        <w:t>both TAFE and university students</w:t>
      </w:r>
      <w:r w:rsidR="00867ADB" w:rsidRPr="00867ADB">
        <w:t xml:space="preserve"> </w:t>
      </w:r>
      <w:r w:rsidR="00867ADB">
        <w:t>in a two</w:t>
      </w:r>
      <w:r w:rsidR="00FD5F75">
        <w:t>-</w:t>
      </w:r>
      <w:r w:rsidR="00867ADB">
        <w:t>stage sequential process</w:t>
      </w:r>
      <w:r w:rsidR="00B57EF2">
        <w:t>:</w:t>
      </w:r>
    </w:p>
    <w:p w:rsidR="00B57EF2" w:rsidRDefault="00FD5F75" w:rsidP="00D70491">
      <w:pPr>
        <w:pStyle w:val="Dotpoint1"/>
      </w:pPr>
      <w:r>
        <w:t>a</w:t>
      </w:r>
      <w:r w:rsidR="00867ADB">
        <w:t>n o</w:t>
      </w:r>
      <w:r w:rsidR="00A665C9">
        <w:t>nline survey (a</w:t>
      </w:r>
      <w:r w:rsidR="00F0475E">
        <w:t>ppendix A)</w:t>
      </w:r>
    </w:p>
    <w:p w:rsidR="00370B3C" w:rsidRDefault="00FD5F75" w:rsidP="00D70491">
      <w:pPr>
        <w:pStyle w:val="Dotpoint1"/>
      </w:pPr>
      <w:proofErr w:type="gramStart"/>
      <w:r>
        <w:t>f</w:t>
      </w:r>
      <w:r w:rsidR="00CD6ACD">
        <w:t>ollow</w:t>
      </w:r>
      <w:r>
        <w:t>-</w:t>
      </w:r>
      <w:r w:rsidR="00CD6ACD">
        <w:t>up</w:t>
      </w:r>
      <w:proofErr w:type="gramEnd"/>
      <w:r w:rsidR="00CD6ACD">
        <w:t xml:space="preserve"> interviews with individual students</w:t>
      </w:r>
      <w:r w:rsidR="00A665C9">
        <w:t xml:space="preserve"> (appendices</w:t>
      </w:r>
      <w:r w:rsidR="00B57EF2">
        <w:t xml:space="preserve"> B and C)</w:t>
      </w:r>
      <w:r w:rsidR="00CD6ACD">
        <w:t xml:space="preserve">. </w:t>
      </w:r>
    </w:p>
    <w:p w:rsidR="00EA76B3" w:rsidRDefault="00CD6ACD" w:rsidP="00D70491">
      <w:pPr>
        <w:pStyle w:val="Text"/>
      </w:pPr>
      <w:r>
        <w:t xml:space="preserve">The online survey </w:t>
      </w:r>
      <w:r w:rsidR="00B57EF2">
        <w:t xml:space="preserve">included </w:t>
      </w:r>
      <w:r w:rsidR="00370B3C">
        <w:t xml:space="preserve">four sections: </w:t>
      </w:r>
      <w:r w:rsidR="00DC24E3">
        <w:t>‘</w:t>
      </w:r>
      <w:r w:rsidR="00370B3C">
        <w:t>about you</w:t>
      </w:r>
      <w:r w:rsidR="00DC24E3">
        <w:t>’</w:t>
      </w:r>
      <w:r w:rsidR="00370B3C">
        <w:t xml:space="preserve">, </w:t>
      </w:r>
      <w:r w:rsidR="00DC24E3">
        <w:t>‘</w:t>
      </w:r>
      <w:r w:rsidR="00370B3C">
        <w:t>about your current course</w:t>
      </w:r>
      <w:r w:rsidR="00DC24E3">
        <w:t>’</w:t>
      </w:r>
      <w:r w:rsidR="00370B3C">
        <w:t xml:space="preserve">, </w:t>
      </w:r>
      <w:r w:rsidR="00DC24E3">
        <w:t>‘</w:t>
      </w:r>
      <w:r w:rsidR="00370B3C">
        <w:t>written assessment tasks</w:t>
      </w:r>
      <w:r w:rsidR="00DC24E3">
        <w:t>’</w:t>
      </w:r>
      <w:r w:rsidR="00370B3C">
        <w:t xml:space="preserve">, and </w:t>
      </w:r>
      <w:r w:rsidR="00DC24E3">
        <w:t>‘</w:t>
      </w:r>
      <w:r w:rsidR="00370B3C">
        <w:t>information skills</w:t>
      </w:r>
      <w:r w:rsidR="00DC24E3">
        <w:t>’</w:t>
      </w:r>
      <w:r w:rsidR="00370B3C">
        <w:t xml:space="preserve">. </w:t>
      </w:r>
      <w:r w:rsidR="0017769C">
        <w:t xml:space="preserve">The survey focused on </w:t>
      </w:r>
      <w:r w:rsidR="00EF29B3">
        <w:t xml:space="preserve">the </w:t>
      </w:r>
      <w:r w:rsidR="0017769C">
        <w:t xml:space="preserve">information literacy skills embedded in current </w:t>
      </w:r>
      <w:r w:rsidR="00FD5F75">
        <w:t>d</w:t>
      </w:r>
      <w:r w:rsidR="0017769C">
        <w:t xml:space="preserve">iploma modules and </w:t>
      </w:r>
      <w:r w:rsidR="00FD5F75">
        <w:t>b</w:t>
      </w:r>
      <w:r w:rsidR="0017769C">
        <w:t>achelor degree units and the challenges experienced by students (</w:t>
      </w:r>
      <w:r w:rsidR="00EF29B3">
        <w:t>first and second research questions</w:t>
      </w:r>
      <w:r w:rsidR="0017769C">
        <w:t xml:space="preserve">). </w:t>
      </w:r>
      <w:r w:rsidR="00370B3C">
        <w:t xml:space="preserve">The information skills section </w:t>
      </w:r>
      <w:r w:rsidR="001D7281">
        <w:t>used the 20 items of the</w:t>
      </w:r>
      <w:r w:rsidR="0017769C">
        <w:t xml:space="preserve"> </w:t>
      </w:r>
      <w:r>
        <w:t>Information Skills Survey (ISS</w:t>
      </w:r>
      <w:r w:rsidR="00EF29B3">
        <w:t xml:space="preserve"> </w:t>
      </w:r>
      <w:r w:rsidR="001D7281">
        <w:t>generic form</w:t>
      </w:r>
      <w:r>
        <w:t>) published by the Council of Australian University Librarians</w:t>
      </w:r>
      <w:r w:rsidR="0017769C">
        <w:t xml:space="preserve">. </w:t>
      </w:r>
      <w:r w:rsidR="00F0475E">
        <w:t xml:space="preserve">This </w:t>
      </w:r>
      <w:r w:rsidR="0017769C">
        <w:t>instrument has been found to have a relia</w:t>
      </w:r>
      <w:r w:rsidR="00DE28E6">
        <w:t>bility coefficient of 0.87</w:t>
      </w:r>
      <w:r w:rsidR="0017769C">
        <w:t xml:space="preserve"> when tested with a sample of 222 first</w:t>
      </w:r>
      <w:r w:rsidR="007E4319">
        <w:t>-</w:t>
      </w:r>
      <w:r w:rsidR="0017769C">
        <w:t>year e</w:t>
      </w:r>
      <w:r w:rsidR="00EA76B3">
        <w:t>ducation students</w:t>
      </w:r>
      <w:r w:rsidR="0017769C">
        <w:t xml:space="preserve"> </w:t>
      </w:r>
      <w:r>
        <w:t>(Catt</w:t>
      </w:r>
      <w:r w:rsidR="008D06E8">
        <w:t>s</w:t>
      </w:r>
      <w:r>
        <w:t xml:space="preserve"> 2005)</w:t>
      </w:r>
      <w:r w:rsidR="0017769C">
        <w:t>.</w:t>
      </w:r>
      <w:r w:rsidR="00EA76B3">
        <w:t xml:space="preserve"> </w:t>
      </w:r>
    </w:p>
    <w:p w:rsidR="00EA76B3" w:rsidRDefault="009B189C" w:rsidP="00D70491">
      <w:pPr>
        <w:pStyle w:val="Text"/>
      </w:pPr>
      <w:r>
        <w:t>Th</w:t>
      </w:r>
      <w:r w:rsidR="00EA76B3">
        <w:t>e</w:t>
      </w:r>
      <w:r w:rsidR="005D0481">
        <w:t xml:space="preserve"> analysis</w:t>
      </w:r>
      <w:r>
        <w:t xml:space="preserve"> </w:t>
      </w:r>
      <w:r w:rsidR="001C3453">
        <w:t xml:space="preserve">of the online survey </w:t>
      </w:r>
      <w:r>
        <w:t>focused on documenting the type</w:t>
      </w:r>
      <w:r w:rsidR="00DE28E6">
        <w:t>s</w:t>
      </w:r>
      <w:r>
        <w:t xml:space="preserve"> of assessment completed </w:t>
      </w:r>
      <w:r w:rsidR="00F0475E">
        <w:t xml:space="preserve">and </w:t>
      </w:r>
      <w:r>
        <w:t>the type</w:t>
      </w:r>
      <w:r w:rsidR="00DE28E6">
        <w:t>s</w:t>
      </w:r>
      <w:r>
        <w:t xml:space="preserve"> of sources consulted </w:t>
      </w:r>
      <w:r w:rsidR="00867ADB">
        <w:t>by</w:t>
      </w:r>
      <w:r>
        <w:t xml:space="preserve"> the two participant groups. </w:t>
      </w:r>
      <w:r w:rsidR="005D0481">
        <w:t xml:space="preserve">Question 12 </w:t>
      </w:r>
      <w:r w:rsidR="00DE28E6">
        <w:t xml:space="preserve">of the survey </w:t>
      </w:r>
      <w:r w:rsidR="005D0481">
        <w:t xml:space="preserve">was used to determine which of the </w:t>
      </w:r>
      <w:r w:rsidR="00EF29B3">
        <w:t>Australian and New Zealand Institute for Information Literacy</w:t>
      </w:r>
      <w:r w:rsidR="001D7281">
        <w:t xml:space="preserve"> </w:t>
      </w:r>
      <w:r w:rsidR="005D0481">
        <w:t xml:space="preserve">Standards </w:t>
      </w:r>
      <w:r w:rsidR="00EF29B3">
        <w:t>(t</w:t>
      </w:r>
      <w:r w:rsidR="005D0481">
        <w:t>able</w:t>
      </w:r>
      <w:r w:rsidR="0088579D">
        <w:t> </w:t>
      </w:r>
      <w:r w:rsidR="005D0481">
        <w:t xml:space="preserve">1) were perceived as being the most challenging </w:t>
      </w:r>
      <w:r w:rsidR="001D7281">
        <w:t>to the student groups. This aspect was targeted for further exploration</w:t>
      </w:r>
      <w:r w:rsidR="005D0481">
        <w:t xml:space="preserve"> in interview. Analysis of the </w:t>
      </w:r>
      <w:r w:rsidR="00F0475E">
        <w:t>20</w:t>
      </w:r>
      <w:r w:rsidR="00DC24E3">
        <w:t>-</w:t>
      </w:r>
      <w:r w:rsidR="00F0475E">
        <w:t>item</w:t>
      </w:r>
      <w:r w:rsidR="00EA76B3">
        <w:t xml:space="preserve"> </w:t>
      </w:r>
      <w:r w:rsidR="00EF29B3">
        <w:t>Information Skills Survey</w:t>
      </w:r>
      <w:r w:rsidR="005D0481">
        <w:t xml:space="preserve"> </w:t>
      </w:r>
      <w:r w:rsidR="00EA76B3">
        <w:t xml:space="preserve">followed the </w:t>
      </w:r>
      <w:r w:rsidR="00EF29B3">
        <w:t>survey’s</w:t>
      </w:r>
      <w:r w:rsidR="001D7281">
        <w:t xml:space="preserve"> </w:t>
      </w:r>
      <w:r w:rsidR="00EA76B3">
        <w:t>guidelines</w:t>
      </w:r>
      <w:r w:rsidR="001D7281">
        <w:t xml:space="preserve"> (Catts 2005), targeting ANZIIL </w:t>
      </w:r>
      <w:r w:rsidR="00EA76B3">
        <w:t xml:space="preserve">Standards </w:t>
      </w:r>
      <w:r w:rsidR="00A96FE6">
        <w:t>2</w:t>
      </w:r>
      <w:r w:rsidR="00EF29B3">
        <w:t>—</w:t>
      </w:r>
      <w:r w:rsidR="00A96FE6">
        <w:t>6</w:t>
      </w:r>
      <w:r w:rsidR="00EA76B3">
        <w:t>, with four items loading to each standard, as follows:</w:t>
      </w:r>
    </w:p>
    <w:p w:rsidR="00EA76B3" w:rsidRDefault="00EA76B3" w:rsidP="00D70491">
      <w:pPr>
        <w:pStyle w:val="Text"/>
        <w:spacing w:before="80"/>
        <w:ind w:right="0"/>
      </w:pPr>
      <w:r>
        <w:t xml:space="preserve">Standard 2: </w:t>
      </w:r>
      <w:r w:rsidR="00DC24E3">
        <w:t>i</w:t>
      </w:r>
      <w:r>
        <w:t>tems 3, 12, 16, 19</w:t>
      </w:r>
    </w:p>
    <w:p w:rsidR="00EA76B3" w:rsidRDefault="00EA76B3" w:rsidP="00D70491">
      <w:pPr>
        <w:pStyle w:val="Text"/>
        <w:spacing w:before="80"/>
        <w:ind w:right="0"/>
      </w:pPr>
      <w:r>
        <w:t xml:space="preserve">Standard 3: </w:t>
      </w:r>
      <w:r w:rsidR="00DC24E3">
        <w:t>i</w:t>
      </w:r>
      <w:r>
        <w:t>tems 5, 8, 14, 11</w:t>
      </w:r>
    </w:p>
    <w:p w:rsidR="00EA76B3" w:rsidRDefault="00EA76B3" w:rsidP="00D70491">
      <w:pPr>
        <w:pStyle w:val="Text"/>
        <w:spacing w:before="80"/>
        <w:ind w:right="0"/>
      </w:pPr>
      <w:r>
        <w:t xml:space="preserve">Standard 4: </w:t>
      </w:r>
      <w:r w:rsidR="00DC24E3">
        <w:t>i</w:t>
      </w:r>
      <w:r>
        <w:t>tems 1, 2, 6, 9</w:t>
      </w:r>
    </w:p>
    <w:p w:rsidR="00EA76B3" w:rsidRDefault="00EA76B3" w:rsidP="00D70491">
      <w:pPr>
        <w:pStyle w:val="Text"/>
        <w:spacing w:before="80"/>
        <w:ind w:right="0"/>
      </w:pPr>
      <w:r>
        <w:t xml:space="preserve">Standard 5: </w:t>
      </w:r>
      <w:r w:rsidR="00DC24E3">
        <w:t>i</w:t>
      </w:r>
      <w:r>
        <w:t>tems 4, 15, 17, 18</w:t>
      </w:r>
    </w:p>
    <w:p w:rsidR="00EA76B3" w:rsidRDefault="00EA76B3" w:rsidP="00D70491">
      <w:pPr>
        <w:pStyle w:val="Text"/>
        <w:spacing w:before="80"/>
        <w:ind w:right="0"/>
      </w:pPr>
      <w:r>
        <w:t xml:space="preserve">Standard 6: </w:t>
      </w:r>
      <w:r w:rsidR="00DC24E3">
        <w:t>i</w:t>
      </w:r>
      <w:r>
        <w:t>tems 7, 10, 13, 20</w:t>
      </w:r>
      <w:r w:rsidR="001D7281">
        <w:t>.</w:t>
      </w:r>
    </w:p>
    <w:p w:rsidR="00EA76B3" w:rsidRDefault="00EA76B3" w:rsidP="00D70491">
      <w:pPr>
        <w:pStyle w:val="Text"/>
      </w:pPr>
      <w:r>
        <w:t xml:space="preserve">Using the </w:t>
      </w:r>
      <w:r w:rsidR="00647293">
        <w:t xml:space="preserve">response </w:t>
      </w:r>
      <w:r>
        <w:t>scale</w:t>
      </w:r>
      <w:r w:rsidR="00647293">
        <w:t xml:space="preserve"> (0 never, 1 sometimes, 2 often, 3 always)</w:t>
      </w:r>
      <w:r w:rsidR="00EF29B3">
        <w:t>,</w:t>
      </w:r>
      <w:r w:rsidR="00647293">
        <w:t xml:space="preserve"> individual scores were used to calcula</w:t>
      </w:r>
      <w:r w:rsidR="00670D31">
        <w:t>te a mean</w:t>
      </w:r>
      <w:r w:rsidR="00647293">
        <w:t xml:space="preserve"> for each standard for the TAFE and university </w:t>
      </w:r>
      <w:r w:rsidR="00867ADB">
        <w:t xml:space="preserve">student </w:t>
      </w:r>
      <w:r w:rsidR="00647293">
        <w:t xml:space="preserve">groups. Comparisons were made across participant groups and </w:t>
      </w:r>
      <w:r w:rsidR="00DE28E6">
        <w:t xml:space="preserve">these </w:t>
      </w:r>
      <w:r w:rsidR="005D0481">
        <w:t>informed subsequent interviews.</w:t>
      </w:r>
    </w:p>
    <w:p w:rsidR="00670D31" w:rsidRDefault="00670D31" w:rsidP="00D70491">
      <w:pPr>
        <w:pStyle w:val="Text"/>
      </w:pPr>
      <w:r>
        <w:t>The follow</w:t>
      </w:r>
      <w:r w:rsidR="00DC24E3">
        <w:t>-</w:t>
      </w:r>
      <w:r>
        <w:t>up interviews included tw</w:t>
      </w:r>
      <w:r w:rsidR="00646FAF">
        <w:t xml:space="preserve">o sections: </w:t>
      </w:r>
      <w:r w:rsidR="00F0475E">
        <w:t>‘</w:t>
      </w:r>
      <w:r w:rsidR="00646FAF">
        <w:t xml:space="preserve">about </w:t>
      </w:r>
      <w:r w:rsidR="00F0475E">
        <w:t>what you do’</w:t>
      </w:r>
      <w:r>
        <w:t xml:space="preserve"> and </w:t>
      </w:r>
      <w:r w:rsidR="00F0475E">
        <w:t>‘</w:t>
      </w:r>
      <w:r>
        <w:t>thinking about the transition and t</w:t>
      </w:r>
      <w:r w:rsidR="00646FAF">
        <w:t>he support structures</w:t>
      </w:r>
      <w:r w:rsidR="00F0475E">
        <w:t>’</w:t>
      </w:r>
      <w:r>
        <w:t xml:space="preserve">. </w:t>
      </w:r>
      <w:r w:rsidR="00176C34">
        <w:t xml:space="preserve">The interviews lasted approximately 45 minutes and were conducted on a convenient campus, or over the phone. </w:t>
      </w:r>
      <w:r w:rsidR="008D06E8">
        <w:t>Part A (</w:t>
      </w:r>
      <w:r>
        <w:t>about</w:t>
      </w:r>
      <w:r w:rsidR="00F0475E">
        <w:t xml:space="preserve"> what</w:t>
      </w:r>
      <w:r>
        <w:t xml:space="preserve"> you</w:t>
      </w:r>
      <w:r w:rsidR="00F0475E">
        <w:t xml:space="preserve"> do</w:t>
      </w:r>
      <w:r w:rsidR="008D06E8">
        <w:t>)</w:t>
      </w:r>
      <w:r>
        <w:t xml:space="preserve"> allowed for further</w:t>
      </w:r>
      <w:r w:rsidR="00D70491">
        <w:t> </w:t>
      </w:r>
      <w:r>
        <w:t>detailed discussion of aspects emerg</w:t>
      </w:r>
      <w:r w:rsidR="00EF29B3">
        <w:t xml:space="preserve">ing from </w:t>
      </w:r>
      <w:r>
        <w:t xml:space="preserve">the online survey. The questions in </w:t>
      </w:r>
      <w:r w:rsidR="008D06E8">
        <w:t>Part B</w:t>
      </w:r>
      <w:r>
        <w:t xml:space="preserve"> </w:t>
      </w:r>
      <w:r w:rsidR="008D06E8">
        <w:t>(</w:t>
      </w:r>
      <w:r w:rsidR="00064F00">
        <w:t>thinking about the transi</w:t>
      </w:r>
      <w:r w:rsidR="008D06E8">
        <w:t>tion and the support structures)</w:t>
      </w:r>
      <w:r w:rsidR="00064F00">
        <w:t xml:space="preserve"> were slightly different for the </w:t>
      </w:r>
      <w:r w:rsidR="006C2435">
        <w:t>two groups of</w:t>
      </w:r>
      <w:r w:rsidR="00D70491">
        <w:t> </w:t>
      </w:r>
      <w:r w:rsidR="006C2435">
        <w:t>students — TAFE and university</w:t>
      </w:r>
      <w:r w:rsidR="00064F00">
        <w:t xml:space="preserve">. The TAFE students </w:t>
      </w:r>
      <w:r w:rsidR="006C2435">
        <w:t>were asked</w:t>
      </w:r>
      <w:r w:rsidR="00064F00">
        <w:t xml:space="preserve"> to describe their current information literacy support</w:t>
      </w:r>
      <w:r w:rsidR="00176C34">
        <w:t xml:space="preserve"> at TAFE</w:t>
      </w:r>
      <w:r w:rsidR="00064F00">
        <w:t>, as well as think ahead and predict what they believe</w:t>
      </w:r>
      <w:r w:rsidR="00DC24E3">
        <w:t>d</w:t>
      </w:r>
      <w:r w:rsidR="00064F00">
        <w:t xml:space="preserve"> the challenges of the transition</w:t>
      </w:r>
      <w:r w:rsidR="001D7281">
        <w:t xml:space="preserve"> to university</w:t>
      </w:r>
      <w:r w:rsidR="00EF29B3">
        <w:t xml:space="preserve"> might be</w:t>
      </w:r>
      <w:r w:rsidR="00064F00">
        <w:t xml:space="preserve"> and the </w:t>
      </w:r>
      <w:r w:rsidR="00EF29B3">
        <w:t>support</w:t>
      </w:r>
      <w:r w:rsidR="006C2435">
        <w:t xml:space="preserve"> that might be necessary</w:t>
      </w:r>
      <w:r w:rsidR="00EF29B3">
        <w:t xml:space="preserve"> (a</w:t>
      </w:r>
      <w:r w:rsidR="00064F00">
        <w:t>ppendix</w:t>
      </w:r>
      <w:r w:rsidR="00D70491">
        <w:t> </w:t>
      </w:r>
      <w:r w:rsidR="00064F00">
        <w:t>B). The university students described the experience of the transition</w:t>
      </w:r>
      <w:r w:rsidR="004E08BF">
        <w:t xml:space="preserve"> and the differences </w:t>
      </w:r>
      <w:r w:rsidR="006C2435">
        <w:t>between</w:t>
      </w:r>
      <w:r w:rsidR="004E08BF">
        <w:t xml:space="preserve"> TAFE</w:t>
      </w:r>
      <w:r w:rsidR="006C2435">
        <w:t xml:space="preserve"> and university</w:t>
      </w:r>
      <w:r w:rsidR="004E08BF">
        <w:t xml:space="preserve">, as well as </w:t>
      </w:r>
      <w:r w:rsidR="00FA3387">
        <w:t>giving their views on what</w:t>
      </w:r>
      <w:r w:rsidR="006C2435">
        <w:t xml:space="preserve"> </w:t>
      </w:r>
      <w:r w:rsidR="00064F00">
        <w:t>information literacy suppo</w:t>
      </w:r>
      <w:r w:rsidR="00EF29B3">
        <w:t xml:space="preserve">rt </w:t>
      </w:r>
      <w:r w:rsidR="00DE28E6">
        <w:t xml:space="preserve">might be required </w:t>
      </w:r>
      <w:r w:rsidR="00EF29B3">
        <w:t>for transitioning students (a</w:t>
      </w:r>
      <w:r w:rsidR="00064F00">
        <w:t>ppendix C).</w:t>
      </w:r>
    </w:p>
    <w:p w:rsidR="005141EE" w:rsidRDefault="00A56E40" w:rsidP="00D70491">
      <w:pPr>
        <w:pStyle w:val="Text"/>
      </w:pPr>
      <w:r>
        <w:t xml:space="preserve">The interview transcripts for the TAFE and university participants were analysed separately. Part A (about </w:t>
      </w:r>
      <w:r w:rsidR="00F0475E">
        <w:t xml:space="preserve">what </w:t>
      </w:r>
      <w:r>
        <w:t>you</w:t>
      </w:r>
      <w:r w:rsidR="00F0475E">
        <w:t xml:space="preserve"> do</w:t>
      </w:r>
      <w:r>
        <w:t xml:space="preserve">) </w:t>
      </w:r>
      <w:r w:rsidR="00F0475E">
        <w:t>was</w:t>
      </w:r>
      <w:r>
        <w:t xml:space="preserve"> analysed question by question, </w:t>
      </w:r>
      <w:r w:rsidR="006C2435">
        <w:t>with a view to identifying</w:t>
      </w:r>
      <w:r>
        <w:t xml:space="preserve"> </w:t>
      </w:r>
      <w:r w:rsidR="00FE2D60">
        <w:t xml:space="preserve">common </w:t>
      </w:r>
      <w:r w:rsidR="006C2435">
        <w:t>themes</w:t>
      </w:r>
      <w:r>
        <w:t xml:space="preserve">. The themes were linked back to </w:t>
      </w:r>
      <w:r w:rsidR="00FA3387">
        <w:t xml:space="preserve">the </w:t>
      </w:r>
      <w:r>
        <w:t>online responses</w:t>
      </w:r>
      <w:r w:rsidR="00FA3387">
        <w:t xml:space="preserve"> to</w:t>
      </w:r>
      <w:r>
        <w:t xml:space="preserve"> look for consistency. The emergent themes were then compared across groups. </w:t>
      </w:r>
      <w:r w:rsidR="003B676D">
        <w:t>Similarly, t</w:t>
      </w:r>
      <w:r>
        <w:t>he Part B (thinking about the transition and the support structures)</w:t>
      </w:r>
      <w:r w:rsidR="00246222">
        <w:t xml:space="preserve"> questions were </w:t>
      </w:r>
      <w:r w:rsidR="00926F29">
        <w:t>examined separately</w:t>
      </w:r>
      <w:r w:rsidR="00FE2D60">
        <w:t xml:space="preserve"> for each group</w:t>
      </w:r>
      <w:r w:rsidR="006C2435">
        <w:t>:</w:t>
      </w:r>
      <w:r w:rsidR="00926F29">
        <w:t xml:space="preserve"> the TAFE students </w:t>
      </w:r>
      <w:r w:rsidR="006C2435">
        <w:t>considering</w:t>
      </w:r>
      <w:r w:rsidR="00926F29">
        <w:t xml:space="preserve"> </w:t>
      </w:r>
      <w:r w:rsidR="00926F29">
        <w:lastRenderedPageBreak/>
        <w:t xml:space="preserve">university and the university students having made the transition. </w:t>
      </w:r>
      <w:r w:rsidR="005141EE">
        <w:t>The analysis of the TAFE student responses focused on the type</w:t>
      </w:r>
      <w:r w:rsidR="00DE28E6">
        <w:t>s</w:t>
      </w:r>
      <w:r w:rsidR="005141EE">
        <w:t xml:space="preserve"> of information literacy support received, as well as </w:t>
      </w:r>
      <w:r w:rsidR="001516B3">
        <w:t xml:space="preserve">issues of access. The consideration of future university enrolment was explored, </w:t>
      </w:r>
      <w:r w:rsidR="006C2435">
        <w:t>while the</w:t>
      </w:r>
      <w:r w:rsidR="001516B3">
        <w:t xml:space="preserve"> most concerning academic aspect for TAFE student</w:t>
      </w:r>
      <w:r w:rsidR="00FE2D60">
        <w:t>s</w:t>
      </w:r>
      <w:r w:rsidR="006C2435">
        <w:t xml:space="preserve"> was also identified</w:t>
      </w:r>
      <w:r w:rsidR="001516B3">
        <w:t>.</w:t>
      </w:r>
      <w:r w:rsidR="0044598E">
        <w:t xml:space="preserve"> For university students, the focus was </w:t>
      </w:r>
      <w:r w:rsidR="006C2435">
        <w:t>on</w:t>
      </w:r>
      <w:r w:rsidR="00F0475E">
        <w:t xml:space="preserve"> understanding</w:t>
      </w:r>
      <w:r w:rsidR="0044598E">
        <w:t xml:space="preserve"> the </w:t>
      </w:r>
      <w:r w:rsidR="00FE2D60">
        <w:t xml:space="preserve">lived </w:t>
      </w:r>
      <w:r w:rsidR="0044598E">
        <w:t xml:space="preserve">experience of transition, the types of support and the issues of access to support. During this analysis </w:t>
      </w:r>
      <w:r w:rsidR="00DE28E6">
        <w:t xml:space="preserve">distinct perspectives </w:t>
      </w:r>
      <w:r w:rsidR="0044598E">
        <w:t>emerged</w:t>
      </w:r>
      <w:r w:rsidR="00DE28E6">
        <w:t>,</w:t>
      </w:r>
      <w:r w:rsidR="0044598E">
        <w:t xml:space="preserve"> </w:t>
      </w:r>
      <w:r w:rsidR="009050C1">
        <w:t>which</w:t>
      </w:r>
      <w:r w:rsidR="0044598E">
        <w:t xml:space="preserve"> </w:t>
      </w:r>
      <w:r w:rsidR="00DE28E6">
        <w:t xml:space="preserve">were </w:t>
      </w:r>
      <w:r w:rsidR="0044598E">
        <w:t xml:space="preserve">related to </w:t>
      </w:r>
      <w:r w:rsidR="009A6006">
        <w:t>whether students were enrolled in internal or external university studies</w:t>
      </w:r>
      <w:r w:rsidR="00FA3387">
        <w:t>;</w:t>
      </w:r>
      <w:r w:rsidR="00FE2D60">
        <w:t xml:space="preserve"> this distinction</w:t>
      </w:r>
      <w:r w:rsidR="009A6006">
        <w:t xml:space="preserve"> fea</w:t>
      </w:r>
      <w:r w:rsidR="009050C1">
        <w:t>tures in the findings section. The a</w:t>
      </w:r>
      <w:r w:rsidR="009A6006">
        <w:t>nalysis then focused on student</w:t>
      </w:r>
      <w:r w:rsidR="003B676D">
        <w:t>s’</w:t>
      </w:r>
      <w:r w:rsidR="009A6006">
        <w:t xml:space="preserve"> ideas for </w:t>
      </w:r>
      <w:r w:rsidR="009050C1">
        <w:t xml:space="preserve">support of information literacy </w:t>
      </w:r>
      <w:r w:rsidR="00DE28E6">
        <w:t xml:space="preserve">for both the TAFE and university sectors </w:t>
      </w:r>
      <w:r w:rsidR="00342868">
        <w:t>during</w:t>
      </w:r>
      <w:r w:rsidR="009050C1">
        <w:t xml:space="preserve"> the transition</w:t>
      </w:r>
      <w:r w:rsidR="009A6006">
        <w:t xml:space="preserve">. </w:t>
      </w:r>
    </w:p>
    <w:p w:rsidR="009A6006" w:rsidRDefault="00C11CDB" w:rsidP="00CD6ACD">
      <w:pPr>
        <w:pStyle w:val="Text"/>
      </w:pPr>
      <w:r>
        <w:t>From the data from the survey and interviews</w:t>
      </w:r>
      <w:r w:rsidR="0007194B">
        <w:t>, a transitional collaborative framework was constructed. It focuse</w:t>
      </w:r>
      <w:r w:rsidR="00477C9E">
        <w:t>d</w:t>
      </w:r>
      <w:r w:rsidR="0007194B">
        <w:t xml:space="preserve"> on the </w:t>
      </w:r>
      <w:r w:rsidR="00FE2D60">
        <w:t xml:space="preserve">‘what’, </w:t>
      </w:r>
      <w:r w:rsidR="0007194B">
        <w:t xml:space="preserve">‘when’ and ‘how’ of support. </w:t>
      </w:r>
      <w:r w:rsidR="00FE2D60">
        <w:t xml:space="preserve">‘What’ support </w:t>
      </w:r>
      <w:r w:rsidR="00477C9E">
        <w:t>wa</w:t>
      </w:r>
      <w:r w:rsidR="00FE2D60">
        <w:t xml:space="preserve">s considered through </w:t>
      </w:r>
      <w:r w:rsidR="009050C1">
        <w:t xml:space="preserve">a </w:t>
      </w:r>
      <w:r w:rsidR="00FE2D60">
        <w:t xml:space="preserve">comparison of the </w:t>
      </w:r>
      <w:r w:rsidR="0007194B">
        <w:t>different expectations</w:t>
      </w:r>
      <w:r w:rsidR="006B5B52">
        <w:t xml:space="preserve"> of the </w:t>
      </w:r>
      <w:r w:rsidR="00686A32">
        <w:t>d</w:t>
      </w:r>
      <w:r w:rsidR="006B5B52">
        <w:t xml:space="preserve">iploma and </w:t>
      </w:r>
      <w:r w:rsidR="00686A32">
        <w:t>b</w:t>
      </w:r>
      <w:r w:rsidR="0016280A">
        <w:t>achelor programs</w:t>
      </w:r>
      <w:r w:rsidR="0007194B">
        <w:t xml:space="preserve"> in assessment and </w:t>
      </w:r>
      <w:r w:rsidR="009050C1">
        <w:t xml:space="preserve">the required </w:t>
      </w:r>
      <w:r w:rsidR="0007194B">
        <w:t xml:space="preserve">sources of information, and the </w:t>
      </w:r>
      <w:r w:rsidR="006B5B52">
        <w:t xml:space="preserve">real </w:t>
      </w:r>
      <w:r w:rsidR="0007194B">
        <w:t xml:space="preserve">challenges </w:t>
      </w:r>
      <w:r w:rsidR="006B5B52">
        <w:t xml:space="preserve">students </w:t>
      </w:r>
      <w:r w:rsidR="0007194B">
        <w:t>faced</w:t>
      </w:r>
      <w:r w:rsidR="006B5B52">
        <w:t>. Student</w:t>
      </w:r>
      <w:r w:rsidR="00686A32">
        <w:t>-</w:t>
      </w:r>
      <w:r w:rsidR="006B5B52">
        <w:t xml:space="preserve">reported </w:t>
      </w:r>
      <w:r w:rsidR="0007194B">
        <w:t>issues of access to support</w:t>
      </w:r>
      <w:r w:rsidR="006B5B52">
        <w:t xml:space="preserve"> were used </w:t>
      </w:r>
      <w:r w:rsidR="0007194B">
        <w:t xml:space="preserve">to determine ‘how’ information literacy support should be offered. </w:t>
      </w:r>
      <w:r w:rsidR="00686A32">
        <w:t>P</w:t>
      </w:r>
      <w:r w:rsidR="00016449">
        <w:t>erspectives from both sides of the tr</w:t>
      </w:r>
      <w:r w:rsidR="006B5B52">
        <w:t xml:space="preserve">ansition </w:t>
      </w:r>
      <w:r w:rsidR="00686A32">
        <w:t>we</w:t>
      </w:r>
      <w:r w:rsidR="006B5B52">
        <w:t>re used to inform ‘when’ s</w:t>
      </w:r>
      <w:r w:rsidR="00016449">
        <w:t>upport</w:t>
      </w:r>
      <w:r w:rsidR="006B5B52">
        <w:t xml:space="preserve"> should ideally be offered.</w:t>
      </w:r>
      <w:r w:rsidR="00016449">
        <w:t xml:space="preserve"> </w:t>
      </w:r>
      <w:r w:rsidR="0007194B">
        <w:t xml:space="preserve">These </w:t>
      </w:r>
      <w:r w:rsidR="00016449">
        <w:t xml:space="preserve">were the key considerations when </w:t>
      </w:r>
      <w:r w:rsidR="0007194B">
        <w:t>creating the final transitional collaborative framework.</w:t>
      </w:r>
    </w:p>
    <w:p w:rsidR="00331CB3" w:rsidRDefault="00331CB3" w:rsidP="0090648B">
      <w:pPr>
        <w:pStyle w:val="Heading2"/>
      </w:pPr>
      <w:bookmarkStart w:id="50" w:name="_Toc378160489"/>
      <w:r>
        <w:t>Participants</w:t>
      </w:r>
      <w:bookmarkEnd w:id="50"/>
    </w:p>
    <w:p w:rsidR="00C11CDB" w:rsidRPr="003614A5" w:rsidRDefault="00016449" w:rsidP="003614A5">
      <w:pPr>
        <w:pStyle w:val="Text"/>
      </w:pPr>
      <w:r>
        <w:t xml:space="preserve">The participants approached to be involved in this </w:t>
      </w:r>
      <w:r w:rsidR="00724B47">
        <w:t>research</w:t>
      </w:r>
      <w:r>
        <w:t xml:space="preserve"> were from </w:t>
      </w:r>
      <w:r w:rsidR="007A19AF">
        <w:t xml:space="preserve">one TAFE </w:t>
      </w:r>
      <w:r w:rsidR="009050C1">
        <w:t xml:space="preserve">institute </w:t>
      </w:r>
      <w:r w:rsidR="007A19AF">
        <w:t>and</w:t>
      </w:r>
      <w:r w:rsidR="00CF13FF">
        <w:t xml:space="preserve"> university</w:t>
      </w:r>
      <w:r w:rsidR="00342868">
        <w:t xml:space="preserve"> in South-</w:t>
      </w:r>
      <w:r w:rsidR="007A19AF">
        <w:t>East Queensland</w:t>
      </w:r>
      <w:r>
        <w:t xml:space="preserve">. The </w:t>
      </w:r>
      <w:r w:rsidR="00CF13FF">
        <w:t xml:space="preserve">TAFE </w:t>
      </w:r>
      <w:r>
        <w:t xml:space="preserve">students were enrolled in the Diploma </w:t>
      </w:r>
      <w:r w:rsidR="00F736B4">
        <w:t>of</w:t>
      </w:r>
      <w:r>
        <w:t xml:space="preserve"> Children’s Services (or </w:t>
      </w:r>
      <w:r w:rsidR="00705578">
        <w:t>c</w:t>
      </w:r>
      <w:r>
        <w:t xml:space="preserve">ertificate III pathway </w:t>
      </w:r>
      <w:r w:rsidR="006B5B52">
        <w:t xml:space="preserve">to </w:t>
      </w:r>
      <w:r w:rsidR="00705578">
        <w:t>d</w:t>
      </w:r>
      <w:r w:rsidR="006B5B52">
        <w:t>iploma) commencing in late</w:t>
      </w:r>
      <w:r>
        <w:t xml:space="preserve"> 2011 or early 2012. The </w:t>
      </w:r>
      <w:r w:rsidR="00CF13FF">
        <w:t xml:space="preserve">university </w:t>
      </w:r>
      <w:r>
        <w:t xml:space="preserve">students were enrolled in </w:t>
      </w:r>
      <w:r w:rsidR="006B5B52">
        <w:t xml:space="preserve">a </w:t>
      </w:r>
      <w:r>
        <w:t xml:space="preserve">Bachelor of Education (Early Childhood) </w:t>
      </w:r>
      <w:r w:rsidR="00646FAF">
        <w:t>or</w:t>
      </w:r>
      <w:r>
        <w:t xml:space="preserve"> Bachelor of Early Childhood </w:t>
      </w:r>
      <w:r w:rsidR="009A74E5">
        <w:t xml:space="preserve">Studies </w:t>
      </w:r>
      <w:r w:rsidR="003B676D">
        <w:t xml:space="preserve">and </w:t>
      </w:r>
      <w:r>
        <w:t>commenc</w:t>
      </w:r>
      <w:r w:rsidR="00FA3387">
        <w:t>ed</w:t>
      </w:r>
      <w:r>
        <w:t xml:space="preserve"> studies in 2011</w:t>
      </w:r>
      <w:r w:rsidR="009050C1">
        <w:t>—</w:t>
      </w:r>
      <w:r>
        <w:t xml:space="preserve">12 or had completed </w:t>
      </w:r>
      <w:r w:rsidR="009050C1">
        <w:t>fewer</w:t>
      </w:r>
      <w:r>
        <w:t xml:space="preserve"> than </w:t>
      </w:r>
      <w:r w:rsidR="009050C1">
        <w:t>ten</w:t>
      </w:r>
      <w:r>
        <w:t xml:space="preserve"> units of study.</w:t>
      </w:r>
      <w:r w:rsidR="004C44EB">
        <w:t xml:space="preserve"> </w:t>
      </w:r>
      <w:r w:rsidR="00CE3896">
        <w:t>The</w:t>
      </w:r>
      <w:r w:rsidR="006B5B52">
        <w:t xml:space="preserve"> </w:t>
      </w:r>
      <w:r w:rsidR="00CF13FF">
        <w:t xml:space="preserve">university </w:t>
      </w:r>
      <w:r w:rsidR="00CE3896">
        <w:t>participants had entered university from a VET pathway and received advanced standing in their degree program. All p</w:t>
      </w:r>
      <w:r w:rsidR="004C44EB">
        <w:t xml:space="preserve">articipants were </w:t>
      </w:r>
      <w:r w:rsidR="004C44EB" w:rsidRPr="003614A5">
        <w:t>initially approached to complete the online survey and subsequently identified whether they were willing to be involved in the follow</w:t>
      </w:r>
      <w:r w:rsidR="006C4E39" w:rsidRPr="003614A5">
        <w:t>-</w:t>
      </w:r>
      <w:r w:rsidR="004C44EB" w:rsidRPr="003614A5">
        <w:t xml:space="preserve">up interview. </w:t>
      </w:r>
    </w:p>
    <w:p w:rsidR="00724B47" w:rsidRDefault="004C44EB" w:rsidP="003614A5">
      <w:pPr>
        <w:pStyle w:val="Text"/>
        <w:ind w:right="141"/>
      </w:pPr>
      <w:r w:rsidRPr="003614A5">
        <w:t xml:space="preserve">A summary of the </w:t>
      </w:r>
      <w:r w:rsidR="003B676D" w:rsidRPr="003614A5">
        <w:t xml:space="preserve">characteristics of </w:t>
      </w:r>
      <w:r w:rsidR="00FA3387">
        <w:t xml:space="preserve">the </w:t>
      </w:r>
      <w:r w:rsidRPr="003614A5">
        <w:t xml:space="preserve">participants completing the online survey and the interview </w:t>
      </w:r>
      <w:r w:rsidR="006C4E39" w:rsidRPr="003614A5">
        <w:t xml:space="preserve">is </w:t>
      </w:r>
      <w:r w:rsidR="009050C1" w:rsidRPr="003614A5">
        <w:t>provided in t</w:t>
      </w:r>
      <w:r w:rsidRPr="003614A5">
        <w:t xml:space="preserve">able </w:t>
      </w:r>
      <w:r w:rsidR="00A66EEF" w:rsidRPr="003614A5">
        <w:t>3</w:t>
      </w:r>
      <w:r w:rsidRPr="003614A5">
        <w:t>.</w:t>
      </w:r>
      <w:r w:rsidR="00CE3896" w:rsidRPr="003614A5">
        <w:t xml:space="preserve"> </w:t>
      </w:r>
      <w:r w:rsidR="00F0475E" w:rsidRPr="003614A5">
        <w:t>In addition, p</w:t>
      </w:r>
      <w:r w:rsidR="00233A3C" w:rsidRPr="003614A5">
        <w:t>articipants in</w:t>
      </w:r>
      <w:r w:rsidR="00233A3C">
        <w:t>volved in</w:t>
      </w:r>
      <w:r w:rsidR="006C4E39">
        <w:t xml:space="preserve"> the</w:t>
      </w:r>
      <w:r w:rsidR="00233A3C">
        <w:t xml:space="preserve"> interview were asked about </w:t>
      </w:r>
      <w:r w:rsidR="00F0475E">
        <w:t xml:space="preserve">their </w:t>
      </w:r>
      <w:r w:rsidR="00233A3C">
        <w:t>current employment</w:t>
      </w:r>
      <w:r w:rsidR="00F0475E">
        <w:t>. A</w:t>
      </w:r>
      <w:r w:rsidR="00233A3C">
        <w:t xml:space="preserve">ll </w:t>
      </w:r>
      <w:r w:rsidR="00CF13FF">
        <w:t xml:space="preserve">TAFE </w:t>
      </w:r>
      <w:r w:rsidR="00233A3C">
        <w:t xml:space="preserve">students </w:t>
      </w:r>
      <w:r w:rsidR="00F0475E">
        <w:t xml:space="preserve">reported working </w:t>
      </w:r>
      <w:r w:rsidR="009050C1">
        <w:t xml:space="preserve">fewer </w:t>
      </w:r>
      <w:r w:rsidR="00233A3C">
        <w:t xml:space="preserve">than 20 hours per week. </w:t>
      </w:r>
      <w:r w:rsidR="00342868">
        <w:t>There was a</w:t>
      </w:r>
      <w:r w:rsidR="003614A5">
        <w:t> </w:t>
      </w:r>
      <w:r w:rsidR="00342868">
        <w:t>wider spread of employment a</w:t>
      </w:r>
      <w:r w:rsidR="003B676D">
        <w:t>mong</w:t>
      </w:r>
      <w:r w:rsidR="00233A3C">
        <w:t xml:space="preserve"> the </w:t>
      </w:r>
      <w:r w:rsidR="00CF13FF">
        <w:t xml:space="preserve">university </w:t>
      </w:r>
      <w:r w:rsidR="00233A3C">
        <w:t>interviewees, with two students not employed (studying full</w:t>
      </w:r>
      <w:r w:rsidR="006C4E39">
        <w:t>-</w:t>
      </w:r>
      <w:r w:rsidR="00233A3C">
        <w:t>time) and the remainder working at least 10</w:t>
      </w:r>
      <w:r w:rsidR="009050C1">
        <w:t>—</w:t>
      </w:r>
      <w:r w:rsidR="00233A3C">
        <w:t>20 hours per week,</w:t>
      </w:r>
      <w:r w:rsidR="00703D0C">
        <w:t xml:space="preserve"> but</w:t>
      </w:r>
      <w:r w:rsidR="00233A3C">
        <w:t xml:space="preserve"> </w:t>
      </w:r>
      <w:r w:rsidR="006C4E39">
        <w:t xml:space="preserve">the </w:t>
      </w:r>
      <w:r w:rsidR="00233A3C">
        <w:t>majority</w:t>
      </w:r>
      <w:r w:rsidR="00703D0C">
        <w:t xml:space="preserve"> </w:t>
      </w:r>
      <w:r w:rsidR="009050C1">
        <w:t xml:space="preserve">were </w:t>
      </w:r>
      <w:r w:rsidR="00233A3C">
        <w:t xml:space="preserve">working </w:t>
      </w:r>
      <w:r w:rsidR="006C4E39">
        <w:t>full-</w:t>
      </w:r>
      <w:r w:rsidR="00233A3C">
        <w:t xml:space="preserve">time. </w:t>
      </w:r>
      <w:r w:rsidR="00690061">
        <w:t xml:space="preserve">The juggling of study and employment commitments will feature in </w:t>
      </w:r>
      <w:r w:rsidR="00342868">
        <w:t>the</w:t>
      </w:r>
      <w:r w:rsidR="00690061">
        <w:t xml:space="preserve"> discussion of </w:t>
      </w:r>
      <w:r w:rsidR="00342868">
        <w:t xml:space="preserve">the </w:t>
      </w:r>
      <w:r w:rsidR="00690061">
        <w:t>findings.</w:t>
      </w:r>
    </w:p>
    <w:p w:rsidR="00DA00D3" w:rsidRDefault="00DA00D3">
      <w:pPr>
        <w:spacing w:before="0" w:line="240" w:lineRule="auto"/>
        <w:rPr>
          <w:rFonts w:ascii="Tahoma" w:hAnsi="Tahoma"/>
          <w:b/>
          <w:sz w:val="17"/>
        </w:rPr>
      </w:pPr>
      <w:bookmarkStart w:id="51" w:name="_Toc378160507"/>
      <w:r>
        <w:br w:type="page"/>
      </w:r>
    </w:p>
    <w:p w:rsidR="00CE3896" w:rsidRDefault="00CE3896" w:rsidP="003614A5">
      <w:pPr>
        <w:pStyle w:val="tabletitle"/>
      </w:pPr>
      <w:r>
        <w:lastRenderedPageBreak/>
        <w:t xml:space="preserve">Table </w:t>
      </w:r>
      <w:r w:rsidR="00A66EEF">
        <w:t>3</w:t>
      </w:r>
      <w:r w:rsidR="00804E82">
        <w:tab/>
      </w:r>
      <w:r>
        <w:t>Summary of participants completing the online survey and individual interview</w:t>
      </w:r>
      <w:bookmarkEnd w:id="51"/>
    </w:p>
    <w:tbl>
      <w:tblPr>
        <w:tblStyle w:val="TableGrid"/>
        <w:tblW w:w="8789" w:type="dxa"/>
        <w:tblInd w:w="108" w:type="dxa"/>
        <w:tblLayout w:type="fixed"/>
        <w:tblLook w:val="04A0"/>
      </w:tblPr>
      <w:tblGrid>
        <w:gridCol w:w="1353"/>
        <w:gridCol w:w="1243"/>
        <w:gridCol w:w="1524"/>
        <w:gridCol w:w="1106"/>
        <w:gridCol w:w="1656"/>
        <w:gridCol w:w="1907"/>
      </w:tblGrid>
      <w:tr w:rsidR="00CE3896" w:rsidRPr="003614A5" w:rsidTr="003614A5">
        <w:trPr>
          <w:trHeight w:val="70"/>
        </w:trPr>
        <w:tc>
          <w:tcPr>
            <w:tcW w:w="770" w:type="pct"/>
            <w:tcBorders>
              <w:left w:val="nil"/>
              <w:bottom w:val="nil"/>
              <w:right w:val="nil"/>
            </w:tcBorders>
          </w:tcPr>
          <w:p w:rsidR="00CE3896" w:rsidRPr="003614A5" w:rsidRDefault="003614A5" w:rsidP="003614A5">
            <w:pPr>
              <w:pStyle w:val="Tablehead1"/>
            </w:pPr>
            <w:r w:rsidRPr="003614A5">
              <w:t>Stage of data collection</w:t>
            </w:r>
          </w:p>
        </w:tc>
        <w:tc>
          <w:tcPr>
            <w:tcW w:w="4230" w:type="pct"/>
            <w:gridSpan w:val="5"/>
            <w:tcBorders>
              <w:left w:val="nil"/>
              <w:bottom w:val="nil"/>
              <w:right w:val="nil"/>
            </w:tcBorders>
          </w:tcPr>
          <w:p w:rsidR="00CE3896" w:rsidRPr="003614A5" w:rsidRDefault="00CE3896" w:rsidP="003614A5">
            <w:pPr>
              <w:pStyle w:val="Tablehead1"/>
              <w:jc w:val="center"/>
            </w:pPr>
            <w:r w:rsidRPr="003614A5">
              <w:t>Participant information</w:t>
            </w:r>
          </w:p>
        </w:tc>
      </w:tr>
      <w:tr w:rsidR="00CE3896" w:rsidTr="003614A5">
        <w:tc>
          <w:tcPr>
            <w:tcW w:w="770" w:type="pct"/>
            <w:tcBorders>
              <w:top w:val="nil"/>
              <w:left w:val="nil"/>
              <w:right w:val="nil"/>
            </w:tcBorders>
          </w:tcPr>
          <w:p w:rsidR="00CE3896" w:rsidRPr="003614A5" w:rsidRDefault="00CE3896" w:rsidP="003614A5">
            <w:pPr>
              <w:pStyle w:val="Tablehead2"/>
            </w:pPr>
          </w:p>
        </w:tc>
        <w:tc>
          <w:tcPr>
            <w:tcW w:w="707" w:type="pct"/>
            <w:tcBorders>
              <w:top w:val="nil"/>
              <w:left w:val="nil"/>
              <w:bottom w:val="single" w:sz="4" w:space="0" w:color="000000" w:themeColor="text1"/>
              <w:right w:val="nil"/>
            </w:tcBorders>
          </w:tcPr>
          <w:p w:rsidR="00CE3896" w:rsidRDefault="00CE3896" w:rsidP="003614A5">
            <w:pPr>
              <w:pStyle w:val="Tablehead2"/>
            </w:pPr>
            <w:r>
              <w:t>Number of participants per institution</w:t>
            </w:r>
          </w:p>
        </w:tc>
        <w:tc>
          <w:tcPr>
            <w:tcW w:w="867" w:type="pct"/>
            <w:tcBorders>
              <w:top w:val="nil"/>
              <w:left w:val="nil"/>
              <w:bottom w:val="single" w:sz="4" w:space="0" w:color="000000" w:themeColor="text1"/>
              <w:right w:val="nil"/>
            </w:tcBorders>
          </w:tcPr>
          <w:p w:rsidR="00CE3896" w:rsidRDefault="00CE3896" w:rsidP="003614A5">
            <w:pPr>
              <w:pStyle w:val="Tablehead2"/>
            </w:pPr>
            <w:r>
              <w:t>Mean age (±SD)</w:t>
            </w:r>
          </w:p>
        </w:tc>
        <w:tc>
          <w:tcPr>
            <w:tcW w:w="629" w:type="pct"/>
            <w:tcBorders>
              <w:top w:val="nil"/>
              <w:left w:val="nil"/>
              <w:bottom w:val="single" w:sz="4" w:space="0" w:color="000000" w:themeColor="text1"/>
              <w:right w:val="nil"/>
            </w:tcBorders>
          </w:tcPr>
          <w:p w:rsidR="00CE3896" w:rsidRDefault="00CE3896" w:rsidP="003614A5">
            <w:pPr>
              <w:pStyle w:val="Tablehead2"/>
            </w:pPr>
            <w:r>
              <w:t>Gender</w:t>
            </w:r>
          </w:p>
        </w:tc>
        <w:tc>
          <w:tcPr>
            <w:tcW w:w="942" w:type="pct"/>
            <w:tcBorders>
              <w:top w:val="nil"/>
              <w:left w:val="nil"/>
              <w:bottom w:val="single" w:sz="4" w:space="0" w:color="000000" w:themeColor="text1"/>
              <w:right w:val="nil"/>
            </w:tcBorders>
          </w:tcPr>
          <w:p w:rsidR="00CE3896" w:rsidRDefault="00CE3896" w:rsidP="003614A5">
            <w:pPr>
              <w:pStyle w:val="Tablehead2"/>
              <w:ind w:left="85"/>
            </w:pPr>
            <w:r>
              <w:t>Participants with English as the main language spoken at home</w:t>
            </w:r>
          </w:p>
        </w:tc>
        <w:tc>
          <w:tcPr>
            <w:tcW w:w="1085" w:type="pct"/>
            <w:tcBorders>
              <w:top w:val="nil"/>
              <w:left w:val="nil"/>
              <w:bottom w:val="single" w:sz="4" w:space="0" w:color="000000" w:themeColor="text1"/>
              <w:right w:val="nil"/>
            </w:tcBorders>
          </w:tcPr>
          <w:p w:rsidR="00CE3896" w:rsidRDefault="00CE3896" w:rsidP="003614A5">
            <w:pPr>
              <w:pStyle w:val="Tablehead2"/>
            </w:pPr>
            <w:r>
              <w:t>Mode of study</w:t>
            </w:r>
          </w:p>
        </w:tc>
      </w:tr>
      <w:tr w:rsidR="00CE3896" w:rsidTr="003614A5">
        <w:tc>
          <w:tcPr>
            <w:tcW w:w="770" w:type="pct"/>
            <w:vMerge w:val="restart"/>
            <w:tcBorders>
              <w:left w:val="nil"/>
              <w:right w:val="nil"/>
            </w:tcBorders>
            <w:vAlign w:val="center"/>
          </w:tcPr>
          <w:p w:rsidR="00CE3896" w:rsidRPr="003614A5" w:rsidRDefault="00CE3896" w:rsidP="003614A5">
            <w:pPr>
              <w:pStyle w:val="Tabletext"/>
              <w:ind w:left="198" w:hanging="198"/>
              <w:rPr>
                <w:b/>
              </w:rPr>
            </w:pPr>
            <w:r w:rsidRPr="003614A5">
              <w:rPr>
                <w:b/>
              </w:rPr>
              <w:t>1</w:t>
            </w:r>
            <w:r w:rsidR="003614A5">
              <w:rPr>
                <w:b/>
              </w:rPr>
              <w:tab/>
            </w:r>
            <w:r w:rsidRPr="003614A5">
              <w:rPr>
                <w:b/>
              </w:rPr>
              <w:t>Online survey</w:t>
            </w:r>
          </w:p>
        </w:tc>
        <w:tc>
          <w:tcPr>
            <w:tcW w:w="707" w:type="pct"/>
            <w:tcBorders>
              <w:left w:val="nil"/>
              <w:bottom w:val="nil"/>
              <w:right w:val="nil"/>
            </w:tcBorders>
          </w:tcPr>
          <w:p w:rsidR="00CF13FF" w:rsidRDefault="00CF13FF" w:rsidP="003614A5">
            <w:pPr>
              <w:pStyle w:val="Tabletext"/>
            </w:pPr>
            <w:r>
              <w:t xml:space="preserve">TAFE </w:t>
            </w:r>
          </w:p>
          <w:p w:rsidR="00CE3896" w:rsidRDefault="00CE3896" w:rsidP="003614A5">
            <w:pPr>
              <w:pStyle w:val="Tabletext"/>
            </w:pPr>
            <w:r>
              <w:t>n = 27</w:t>
            </w:r>
          </w:p>
        </w:tc>
        <w:tc>
          <w:tcPr>
            <w:tcW w:w="867" w:type="pct"/>
            <w:tcBorders>
              <w:left w:val="nil"/>
              <w:bottom w:val="nil"/>
              <w:right w:val="nil"/>
            </w:tcBorders>
          </w:tcPr>
          <w:p w:rsidR="00CE3896" w:rsidRDefault="00CE3896" w:rsidP="003614A5">
            <w:pPr>
              <w:pStyle w:val="Tabletext"/>
            </w:pPr>
            <w:r>
              <w:t>25.2 ± 9.5 years</w:t>
            </w:r>
          </w:p>
        </w:tc>
        <w:tc>
          <w:tcPr>
            <w:tcW w:w="629" w:type="pct"/>
            <w:tcBorders>
              <w:left w:val="nil"/>
              <w:bottom w:val="nil"/>
              <w:right w:val="nil"/>
            </w:tcBorders>
          </w:tcPr>
          <w:p w:rsidR="00CE3896" w:rsidRDefault="00CE3896" w:rsidP="003614A5">
            <w:pPr>
              <w:pStyle w:val="Tabletext"/>
            </w:pPr>
            <w:r>
              <w:t>26 females</w:t>
            </w:r>
          </w:p>
          <w:p w:rsidR="00CE3896" w:rsidRDefault="00CE3896" w:rsidP="003614A5">
            <w:pPr>
              <w:pStyle w:val="Tabletext"/>
            </w:pPr>
            <w:r>
              <w:t>1 male</w:t>
            </w:r>
          </w:p>
        </w:tc>
        <w:tc>
          <w:tcPr>
            <w:tcW w:w="942" w:type="pct"/>
            <w:tcBorders>
              <w:left w:val="nil"/>
              <w:bottom w:val="nil"/>
              <w:right w:val="nil"/>
            </w:tcBorders>
          </w:tcPr>
          <w:p w:rsidR="00CE3896" w:rsidRDefault="00CE3896" w:rsidP="003614A5">
            <w:pPr>
              <w:pStyle w:val="Tabletext"/>
              <w:tabs>
                <w:tab w:val="decimal" w:pos="794"/>
              </w:tabs>
            </w:pPr>
            <w:r>
              <w:t>24</w:t>
            </w:r>
          </w:p>
        </w:tc>
        <w:tc>
          <w:tcPr>
            <w:tcW w:w="1085" w:type="pct"/>
            <w:tcBorders>
              <w:left w:val="nil"/>
              <w:bottom w:val="nil"/>
              <w:right w:val="nil"/>
            </w:tcBorders>
          </w:tcPr>
          <w:p w:rsidR="00CE3896" w:rsidRDefault="00CE3896" w:rsidP="003614A5">
            <w:pPr>
              <w:pStyle w:val="Tabletext"/>
            </w:pPr>
            <w:r>
              <w:t>26 full</w:t>
            </w:r>
            <w:r w:rsidR="0020001E">
              <w:t>-</w:t>
            </w:r>
            <w:r>
              <w:t>time, on campus</w:t>
            </w:r>
          </w:p>
          <w:p w:rsidR="00CE3896" w:rsidRPr="001C7F96" w:rsidRDefault="00CE3896" w:rsidP="003614A5">
            <w:pPr>
              <w:pStyle w:val="Tabletext"/>
            </w:pPr>
            <w:r>
              <w:t>1 part</w:t>
            </w:r>
            <w:r w:rsidR="0020001E">
              <w:t>-</w:t>
            </w:r>
            <w:r>
              <w:t>time, on campus</w:t>
            </w:r>
          </w:p>
        </w:tc>
      </w:tr>
      <w:tr w:rsidR="00CE3896" w:rsidTr="003614A5">
        <w:tc>
          <w:tcPr>
            <w:tcW w:w="770" w:type="pct"/>
            <w:vMerge/>
            <w:tcBorders>
              <w:left w:val="nil"/>
              <w:right w:val="nil"/>
            </w:tcBorders>
            <w:vAlign w:val="center"/>
          </w:tcPr>
          <w:p w:rsidR="00CE3896" w:rsidRDefault="00CE3896" w:rsidP="003614A5">
            <w:pPr>
              <w:pStyle w:val="Tabletext"/>
              <w:ind w:left="198" w:hanging="198"/>
            </w:pPr>
          </w:p>
        </w:tc>
        <w:tc>
          <w:tcPr>
            <w:tcW w:w="707" w:type="pct"/>
            <w:tcBorders>
              <w:top w:val="nil"/>
              <w:left w:val="nil"/>
              <w:bottom w:val="single" w:sz="4" w:space="0" w:color="000000" w:themeColor="text1"/>
              <w:right w:val="nil"/>
            </w:tcBorders>
          </w:tcPr>
          <w:p w:rsidR="00CF13FF" w:rsidRDefault="00CF13FF" w:rsidP="003614A5">
            <w:pPr>
              <w:pStyle w:val="Tabletext"/>
            </w:pPr>
            <w:r>
              <w:t>University</w:t>
            </w:r>
          </w:p>
          <w:p w:rsidR="00CE3896" w:rsidRDefault="00CE3896" w:rsidP="003614A5">
            <w:pPr>
              <w:pStyle w:val="Tabletext"/>
            </w:pPr>
            <w:r>
              <w:t>n = 20</w:t>
            </w:r>
          </w:p>
        </w:tc>
        <w:tc>
          <w:tcPr>
            <w:tcW w:w="867" w:type="pct"/>
            <w:tcBorders>
              <w:top w:val="nil"/>
              <w:left w:val="nil"/>
              <w:bottom w:val="single" w:sz="4" w:space="0" w:color="000000" w:themeColor="text1"/>
              <w:right w:val="nil"/>
            </w:tcBorders>
          </w:tcPr>
          <w:p w:rsidR="00CE3896" w:rsidRDefault="00CE3896" w:rsidP="003614A5">
            <w:pPr>
              <w:pStyle w:val="Tabletext"/>
            </w:pPr>
            <w:r>
              <w:t>35.5 ± 10.6 years</w:t>
            </w:r>
          </w:p>
        </w:tc>
        <w:tc>
          <w:tcPr>
            <w:tcW w:w="629" w:type="pct"/>
            <w:tcBorders>
              <w:top w:val="nil"/>
              <w:left w:val="nil"/>
              <w:bottom w:val="single" w:sz="4" w:space="0" w:color="000000" w:themeColor="text1"/>
              <w:right w:val="nil"/>
            </w:tcBorders>
          </w:tcPr>
          <w:p w:rsidR="00CE3896" w:rsidRDefault="00CE3896" w:rsidP="003614A5">
            <w:pPr>
              <w:pStyle w:val="Tabletext"/>
            </w:pPr>
            <w:r>
              <w:t>20 females</w:t>
            </w:r>
          </w:p>
        </w:tc>
        <w:tc>
          <w:tcPr>
            <w:tcW w:w="942" w:type="pct"/>
            <w:tcBorders>
              <w:top w:val="nil"/>
              <w:left w:val="nil"/>
              <w:bottom w:val="single" w:sz="4" w:space="0" w:color="000000" w:themeColor="text1"/>
              <w:right w:val="nil"/>
            </w:tcBorders>
          </w:tcPr>
          <w:p w:rsidR="00CE3896" w:rsidRDefault="00CE3896" w:rsidP="003614A5">
            <w:pPr>
              <w:pStyle w:val="Tabletext"/>
              <w:tabs>
                <w:tab w:val="decimal" w:pos="794"/>
              </w:tabs>
            </w:pPr>
            <w:r>
              <w:t>20</w:t>
            </w:r>
          </w:p>
        </w:tc>
        <w:tc>
          <w:tcPr>
            <w:tcW w:w="1085" w:type="pct"/>
            <w:tcBorders>
              <w:top w:val="nil"/>
              <w:left w:val="nil"/>
              <w:bottom w:val="single" w:sz="4" w:space="0" w:color="000000" w:themeColor="text1"/>
              <w:right w:val="nil"/>
            </w:tcBorders>
          </w:tcPr>
          <w:p w:rsidR="00CE3896" w:rsidRDefault="00CE3896" w:rsidP="003614A5">
            <w:pPr>
              <w:pStyle w:val="Tabletext"/>
            </w:pPr>
            <w:r>
              <w:t>6 full</w:t>
            </w:r>
            <w:r w:rsidR="0020001E">
              <w:t>-</w:t>
            </w:r>
            <w:r>
              <w:t>time, on campus</w:t>
            </w:r>
          </w:p>
          <w:p w:rsidR="00CE3896" w:rsidRPr="001C7F96" w:rsidRDefault="00CE3896" w:rsidP="003614A5">
            <w:pPr>
              <w:pStyle w:val="Tabletext"/>
            </w:pPr>
            <w:r>
              <w:t>14 part</w:t>
            </w:r>
            <w:r w:rsidR="0020001E">
              <w:t>-</w:t>
            </w:r>
            <w:r>
              <w:t>time, external</w:t>
            </w:r>
          </w:p>
        </w:tc>
      </w:tr>
      <w:tr w:rsidR="00CE3896" w:rsidTr="003614A5">
        <w:tc>
          <w:tcPr>
            <w:tcW w:w="770" w:type="pct"/>
            <w:vMerge w:val="restart"/>
            <w:tcBorders>
              <w:left w:val="nil"/>
              <w:right w:val="nil"/>
            </w:tcBorders>
            <w:vAlign w:val="center"/>
          </w:tcPr>
          <w:p w:rsidR="00CE3896" w:rsidRPr="003614A5" w:rsidRDefault="00CE3896" w:rsidP="003614A5">
            <w:pPr>
              <w:pStyle w:val="Tabletext"/>
              <w:ind w:left="198" w:hanging="198"/>
              <w:rPr>
                <w:b/>
              </w:rPr>
            </w:pPr>
            <w:r w:rsidRPr="003614A5">
              <w:rPr>
                <w:b/>
              </w:rPr>
              <w:t>2</w:t>
            </w:r>
            <w:r w:rsidR="003614A5">
              <w:rPr>
                <w:b/>
              </w:rPr>
              <w:tab/>
            </w:r>
            <w:r w:rsidRPr="003614A5">
              <w:rPr>
                <w:b/>
              </w:rPr>
              <w:t>Individual interview</w:t>
            </w:r>
          </w:p>
        </w:tc>
        <w:tc>
          <w:tcPr>
            <w:tcW w:w="707" w:type="pct"/>
            <w:tcBorders>
              <w:left w:val="nil"/>
              <w:bottom w:val="nil"/>
              <w:right w:val="nil"/>
            </w:tcBorders>
          </w:tcPr>
          <w:p w:rsidR="00CF13FF" w:rsidRDefault="00CF13FF" w:rsidP="003614A5">
            <w:pPr>
              <w:pStyle w:val="Tabletext"/>
            </w:pPr>
            <w:r>
              <w:t xml:space="preserve">TAFE </w:t>
            </w:r>
          </w:p>
          <w:p w:rsidR="00CE3896" w:rsidRDefault="00CE3896" w:rsidP="003614A5">
            <w:pPr>
              <w:pStyle w:val="Tabletext"/>
            </w:pPr>
            <w:r>
              <w:t>n = 10</w:t>
            </w:r>
          </w:p>
        </w:tc>
        <w:tc>
          <w:tcPr>
            <w:tcW w:w="867" w:type="pct"/>
            <w:tcBorders>
              <w:left w:val="nil"/>
              <w:bottom w:val="nil"/>
              <w:right w:val="nil"/>
            </w:tcBorders>
          </w:tcPr>
          <w:p w:rsidR="00CE3896" w:rsidRDefault="00CE3896" w:rsidP="003614A5">
            <w:pPr>
              <w:pStyle w:val="Tabletext"/>
            </w:pPr>
            <w:r>
              <w:t>24.2 ± 5.3 years</w:t>
            </w:r>
          </w:p>
        </w:tc>
        <w:tc>
          <w:tcPr>
            <w:tcW w:w="629" w:type="pct"/>
            <w:tcBorders>
              <w:left w:val="nil"/>
              <w:bottom w:val="nil"/>
              <w:right w:val="nil"/>
            </w:tcBorders>
          </w:tcPr>
          <w:p w:rsidR="00CE3896" w:rsidRDefault="00CE3896" w:rsidP="003614A5">
            <w:pPr>
              <w:pStyle w:val="Tabletext"/>
            </w:pPr>
            <w:r>
              <w:t>10 females</w:t>
            </w:r>
          </w:p>
        </w:tc>
        <w:tc>
          <w:tcPr>
            <w:tcW w:w="942" w:type="pct"/>
            <w:tcBorders>
              <w:left w:val="nil"/>
              <w:bottom w:val="nil"/>
              <w:right w:val="nil"/>
            </w:tcBorders>
          </w:tcPr>
          <w:p w:rsidR="00CE3896" w:rsidRDefault="00CE3896" w:rsidP="003614A5">
            <w:pPr>
              <w:pStyle w:val="Tabletext"/>
              <w:tabs>
                <w:tab w:val="decimal" w:pos="794"/>
              </w:tabs>
            </w:pPr>
            <w:r>
              <w:t>9</w:t>
            </w:r>
          </w:p>
        </w:tc>
        <w:tc>
          <w:tcPr>
            <w:tcW w:w="1085" w:type="pct"/>
            <w:tcBorders>
              <w:left w:val="nil"/>
              <w:bottom w:val="nil"/>
              <w:right w:val="nil"/>
            </w:tcBorders>
          </w:tcPr>
          <w:p w:rsidR="00CE3896" w:rsidRDefault="00CE3896" w:rsidP="003614A5">
            <w:pPr>
              <w:pStyle w:val="Tabletext"/>
            </w:pPr>
            <w:r>
              <w:t>10 full</w:t>
            </w:r>
            <w:r w:rsidR="0020001E">
              <w:t>-</w:t>
            </w:r>
            <w:r>
              <w:t>time, on campus</w:t>
            </w:r>
          </w:p>
          <w:p w:rsidR="00CE3896" w:rsidRPr="00CE3896" w:rsidRDefault="00CE3896" w:rsidP="003614A5">
            <w:pPr>
              <w:pStyle w:val="Tabletext"/>
            </w:pPr>
          </w:p>
        </w:tc>
      </w:tr>
      <w:tr w:rsidR="00CE3896" w:rsidTr="003614A5">
        <w:tc>
          <w:tcPr>
            <w:tcW w:w="770" w:type="pct"/>
            <w:vMerge/>
            <w:tcBorders>
              <w:left w:val="nil"/>
              <w:right w:val="nil"/>
            </w:tcBorders>
          </w:tcPr>
          <w:p w:rsidR="00CE3896" w:rsidRDefault="00CE3896" w:rsidP="003614A5">
            <w:pPr>
              <w:pStyle w:val="Tabletext"/>
            </w:pPr>
          </w:p>
        </w:tc>
        <w:tc>
          <w:tcPr>
            <w:tcW w:w="707" w:type="pct"/>
            <w:tcBorders>
              <w:top w:val="nil"/>
              <w:left w:val="nil"/>
              <w:right w:val="nil"/>
            </w:tcBorders>
          </w:tcPr>
          <w:p w:rsidR="00CF13FF" w:rsidRDefault="00CF13FF" w:rsidP="003614A5">
            <w:pPr>
              <w:pStyle w:val="Tabletext"/>
            </w:pPr>
            <w:r>
              <w:t>University</w:t>
            </w:r>
          </w:p>
          <w:p w:rsidR="00CE3896" w:rsidRDefault="00CE3896" w:rsidP="003614A5">
            <w:pPr>
              <w:pStyle w:val="Tabletext"/>
            </w:pPr>
            <w:r>
              <w:t>n = 10</w:t>
            </w:r>
          </w:p>
        </w:tc>
        <w:tc>
          <w:tcPr>
            <w:tcW w:w="867" w:type="pct"/>
            <w:tcBorders>
              <w:top w:val="nil"/>
              <w:left w:val="nil"/>
              <w:right w:val="nil"/>
            </w:tcBorders>
          </w:tcPr>
          <w:p w:rsidR="00CE3896" w:rsidRDefault="00CE3896" w:rsidP="003614A5">
            <w:pPr>
              <w:pStyle w:val="Tabletext"/>
            </w:pPr>
            <w:r>
              <w:t>37.2 ± 12.7 years</w:t>
            </w:r>
          </w:p>
        </w:tc>
        <w:tc>
          <w:tcPr>
            <w:tcW w:w="629" w:type="pct"/>
            <w:tcBorders>
              <w:top w:val="nil"/>
              <w:left w:val="nil"/>
              <w:right w:val="nil"/>
            </w:tcBorders>
          </w:tcPr>
          <w:p w:rsidR="00CE3896" w:rsidRDefault="00CE3896" w:rsidP="003614A5">
            <w:pPr>
              <w:pStyle w:val="Tabletext"/>
            </w:pPr>
            <w:r>
              <w:t>10 females</w:t>
            </w:r>
          </w:p>
        </w:tc>
        <w:tc>
          <w:tcPr>
            <w:tcW w:w="942" w:type="pct"/>
            <w:tcBorders>
              <w:top w:val="nil"/>
              <w:left w:val="nil"/>
              <w:right w:val="nil"/>
            </w:tcBorders>
          </w:tcPr>
          <w:p w:rsidR="00CE3896" w:rsidRDefault="00CE3896" w:rsidP="003614A5">
            <w:pPr>
              <w:pStyle w:val="Tabletext"/>
              <w:tabs>
                <w:tab w:val="decimal" w:pos="794"/>
              </w:tabs>
            </w:pPr>
            <w:r>
              <w:t>10</w:t>
            </w:r>
          </w:p>
        </w:tc>
        <w:tc>
          <w:tcPr>
            <w:tcW w:w="1085" w:type="pct"/>
            <w:tcBorders>
              <w:top w:val="nil"/>
              <w:left w:val="nil"/>
              <w:right w:val="nil"/>
            </w:tcBorders>
          </w:tcPr>
          <w:p w:rsidR="00CE3896" w:rsidRDefault="00CE3896" w:rsidP="003614A5">
            <w:pPr>
              <w:pStyle w:val="Tabletext"/>
            </w:pPr>
            <w:r>
              <w:t>4 full</w:t>
            </w:r>
            <w:r w:rsidR="0020001E">
              <w:t>-</w:t>
            </w:r>
            <w:r>
              <w:t>time, on campus</w:t>
            </w:r>
          </w:p>
          <w:p w:rsidR="00CE3896" w:rsidRPr="001C7F96" w:rsidRDefault="00CE3896" w:rsidP="003614A5">
            <w:pPr>
              <w:pStyle w:val="Tabletext"/>
            </w:pPr>
            <w:r>
              <w:t>6 part</w:t>
            </w:r>
            <w:r w:rsidR="0020001E">
              <w:t>-</w:t>
            </w:r>
            <w:r>
              <w:t>time, external</w:t>
            </w:r>
          </w:p>
        </w:tc>
      </w:tr>
    </w:tbl>
    <w:p w:rsidR="004C44EB" w:rsidRDefault="004C44EB" w:rsidP="00FF405F">
      <w:pPr>
        <w:pStyle w:val="Text"/>
      </w:pPr>
    </w:p>
    <w:p w:rsidR="003B676D" w:rsidRDefault="003B676D">
      <w:pPr>
        <w:spacing w:before="0" w:line="240" w:lineRule="auto"/>
        <w:rPr>
          <w:rFonts w:ascii="Tahoma" w:hAnsi="Tahoma" w:cs="Tahoma"/>
          <w:color w:val="000000"/>
          <w:kern w:val="28"/>
          <w:sz w:val="56"/>
          <w:szCs w:val="56"/>
        </w:rPr>
      </w:pPr>
      <w:r>
        <w:br w:type="page"/>
      </w:r>
    </w:p>
    <w:p w:rsidR="001B3201" w:rsidRDefault="001B3201" w:rsidP="00F9714E">
      <w:pPr>
        <w:pStyle w:val="Heading1"/>
      </w:pPr>
      <w:bookmarkStart w:id="52" w:name="_Toc378160490"/>
      <w:r>
        <w:lastRenderedPageBreak/>
        <w:t>Findings</w:t>
      </w:r>
      <w:bookmarkEnd w:id="52"/>
    </w:p>
    <w:p w:rsidR="009115B5" w:rsidRDefault="0050722E" w:rsidP="00222E30">
      <w:pPr>
        <w:pStyle w:val="Text"/>
        <w:ind w:right="-143"/>
      </w:pPr>
      <w:r>
        <w:t>The fin</w:t>
      </w:r>
      <w:r w:rsidR="009115B5">
        <w:t>dings are structured to align with the three resear</w:t>
      </w:r>
      <w:r w:rsidR="00342868">
        <w:t>ch questions identified in the i</w:t>
      </w:r>
      <w:r w:rsidR="009115B5">
        <w:t>ntroduct</w:t>
      </w:r>
      <w:r w:rsidR="00342868">
        <w:t>ion</w:t>
      </w:r>
      <w:r w:rsidR="009115B5">
        <w:t xml:space="preserve"> of this report. There</w:t>
      </w:r>
      <w:r w:rsidR="003B676D">
        <w:t xml:space="preserve"> </w:t>
      </w:r>
      <w:r w:rsidR="0016280A">
        <w:t xml:space="preserve">are </w:t>
      </w:r>
      <w:r w:rsidR="009115B5">
        <w:t xml:space="preserve">three main subheadings to this section: </w:t>
      </w:r>
      <w:r w:rsidR="009115B5" w:rsidRPr="009115B5">
        <w:rPr>
          <w:i/>
        </w:rPr>
        <w:t xml:space="preserve">The nature of information literacy skills, </w:t>
      </w:r>
      <w:proofErr w:type="gramStart"/>
      <w:r w:rsidR="009115B5" w:rsidRPr="009115B5">
        <w:rPr>
          <w:i/>
        </w:rPr>
        <w:t>The</w:t>
      </w:r>
      <w:proofErr w:type="gramEnd"/>
      <w:r w:rsidR="009115B5" w:rsidRPr="009115B5">
        <w:rPr>
          <w:i/>
        </w:rPr>
        <w:t xml:space="preserve"> information literacy challenges</w:t>
      </w:r>
      <w:r w:rsidR="00BA576A">
        <w:t>,</w:t>
      </w:r>
      <w:r w:rsidR="009115B5">
        <w:t xml:space="preserve"> and </w:t>
      </w:r>
      <w:r w:rsidR="009115B5" w:rsidRPr="009115B5">
        <w:rPr>
          <w:i/>
        </w:rPr>
        <w:t xml:space="preserve">Improvements to information literacy support to </w:t>
      </w:r>
      <w:r w:rsidR="0005501E">
        <w:rPr>
          <w:i/>
        </w:rPr>
        <w:t>ease</w:t>
      </w:r>
      <w:r w:rsidR="009115B5" w:rsidRPr="009115B5">
        <w:rPr>
          <w:i/>
        </w:rPr>
        <w:t xml:space="preserve"> the transition to university</w:t>
      </w:r>
      <w:r w:rsidR="009115B5">
        <w:t>. T</w:t>
      </w:r>
      <w:r w:rsidR="00822174">
        <w:t>he six standards of the</w:t>
      </w:r>
      <w:r w:rsidR="00E13992">
        <w:t xml:space="preserve"> Australian and New Zealand Institute for Information Literacy</w:t>
      </w:r>
      <w:r w:rsidR="00822174">
        <w:t xml:space="preserve"> Framework (</w:t>
      </w:r>
      <w:r w:rsidR="00E13992">
        <w:t>table 1;</w:t>
      </w:r>
      <w:r w:rsidR="005D0481">
        <w:t xml:space="preserve"> </w:t>
      </w:r>
      <w:r w:rsidR="00822174">
        <w:t xml:space="preserve">Bundy 2004) are used </w:t>
      </w:r>
      <w:r w:rsidR="009115B5">
        <w:t>as a reference for</w:t>
      </w:r>
      <w:r w:rsidR="00822174">
        <w:t xml:space="preserve"> the findings.</w:t>
      </w:r>
      <w:r w:rsidR="009115B5">
        <w:t xml:space="preserve"> Given</w:t>
      </w:r>
      <w:r w:rsidR="00703D0C">
        <w:t xml:space="preserve"> the sequential data collection</w:t>
      </w:r>
      <w:r w:rsidR="009115B5">
        <w:t xml:space="preserve">, the </w:t>
      </w:r>
      <w:r w:rsidR="00C4367F">
        <w:t xml:space="preserve">presentation of </w:t>
      </w:r>
      <w:r w:rsidR="009115B5">
        <w:t xml:space="preserve">findings </w:t>
      </w:r>
      <w:r w:rsidR="00342868">
        <w:t>begins</w:t>
      </w:r>
      <w:r w:rsidR="009115B5">
        <w:t xml:space="preserve"> with </w:t>
      </w:r>
      <w:r w:rsidR="00342868">
        <w:t xml:space="preserve">the </w:t>
      </w:r>
      <w:r w:rsidR="009115B5">
        <w:t xml:space="preserve">online survey findings and </w:t>
      </w:r>
      <w:r w:rsidR="00C4367F">
        <w:t>use</w:t>
      </w:r>
      <w:r w:rsidR="00D23DBA">
        <w:t>s</w:t>
      </w:r>
      <w:r w:rsidR="00C4367F">
        <w:t xml:space="preserve"> the follow</w:t>
      </w:r>
      <w:r w:rsidR="00BA576A">
        <w:t>-</w:t>
      </w:r>
      <w:r w:rsidR="00C4367F">
        <w:t>up interviews as a means for further exp</w:t>
      </w:r>
      <w:r w:rsidR="00703D0C">
        <w:t>lanation</w:t>
      </w:r>
      <w:r w:rsidR="00C4367F">
        <w:t xml:space="preserve"> and understand</w:t>
      </w:r>
      <w:r w:rsidR="00703D0C">
        <w:t>ing of</w:t>
      </w:r>
      <w:r w:rsidR="00C4367F">
        <w:t xml:space="preserve"> the student experience.</w:t>
      </w:r>
    </w:p>
    <w:p w:rsidR="000D3C53" w:rsidRPr="00F02D1C" w:rsidRDefault="000D3C53" w:rsidP="000D3C53">
      <w:pPr>
        <w:pStyle w:val="Heading2"/>
      </w:pPr>
      <w:bookmarkStart w:id="53" w:name="_Toc378160491"/>
      <w:r>
        <w:t>The nature of</w:t>
      </w:r>
      <w:r w:rsidRPr="00F02D1C">
        <w:t xml:space="preserve"> information literacy ski</w:t>
      </w:r>
      <w:r>
        <w:t>lls</w:t>
      </w:r>
      <w:bookmarkEnd w:id="53"/>
    </w:p>
    <w:p w:rsidR="00EE27F9" w:rsidRDefault="00EE27F9" w:rsidP="00EE27F9">
      <w:pPr>
        <w:pStyle w:val="Text"/>
      </w:pPr>
      <w:r>
        <w:t>This section portray</w:t>
      </w:r>
      <w:r w:rsidR="00D23DBA">
        <w:t>s</w:t>
      </w:r>
      <w:r>
        <w:t xml:space="preserve"> the type</w:t>
      </w:r>
      <w:r w:rsidR="00E13992">
        <w:t>s</w:t>
      </w:r>
      <w:r>
        <w:t xml:space="preserve"> of written assessment completed and the type</w:t>
      </w:r>
      <w:r w:rsidR="00E13992">
        <w:t>s</w:t>
      </w:r>
      <w:r>
        <w:t xml:space="preserve"> of information accessed by students in both </w:t>
      </w:r>
      <w:r w:rsidR="00E13992">
        <w:t xml:space="preserve">the </w:t>
      </w:r>
      <w:r w:rsidR="00BA576A">
        <w:t>d</w:t>
      </w:r>
      <w:r>
        <w:t xml:space="preserve">iploma and </w:t>
      </w:r>
      <w:r w:rsidR="00BA576A">
        <w:t>b</w:t>
      </w:r>
      <w:r>
        <w:t xml:space="preserve">achelor degree programs in early childhood. This establishes the need for information and the nature and extent of the information </w:t>
      </w:r>
      <w:r w:rsidR="00342868">
        <w:t>required</w:t>
      </w:r>
      <w:r>
        <w:t xml:space="preserve"> (Standard 1). Using the </w:t>
      </w:r>
      <w:r w:rsidR="008B296F">
        <w:t>Information Skills Survey</w:t>
      </w:r>
      <w:r w:rsidR="00E94C4C">
        <w:t xml:space="preserve"> (Standards 2</w:t>
      </w:r>
      <w:r w:rsidR="00E13992">
        <w:t>—</w:t>
      </w:r>
      <w:r w:rsidR="00E94C4C">
        <w:t>6)</w:t>
      </w:r>
      <w:r w:rsidR="006C5E1E">
        <w:t>, student</w:t>
      </w:r>
      <w:r>
        <w:t>s</w:t>
      </w:r>
      <w:r w:rsidR="006C5E1E">
        <w:t>’</w:t>
      </w:r>
      <w:r>
        <w:t xml:space="preserve"> self</w:t>
      </w:r>
      <w:r w:rsidR="00D23DBA">
        <w:t>-</w:t>
      </w:r>
      <w:r>
        <w:t xml:space="preserve">reported use of information skills </w:t>
      </w:r>
      <w:r w:rsidR="00342868">
        <w:t>is</w:t>
      </w:r>
      <w:r>
        <w:t xml:space="preserve"> presented and compared</w:t>
      </w:r>
      <w:r w:rsidR="00E94C4C">
        <w:t>.</w:t>
      </w:r>
      <w:r>
        <w:t xml:space="preserve"> </w:t>
      </w:r>
      <w:r w:rsidR="00A53957" w:rsidRPr="00A53957">
        <w:t>By depicting the types of assessment completed and the sources of information utilised</w:t>
      </w:r>
      <w:r w:rsidR="00A53957">
        <w:t>,</w:t>
      </w:r>
      <w:r w:rsidR="00A53957" w:rsidRPr="00A53957">
        <w:t xml:space="preserve"> the nature of the information literacy skills currently embedded in </w:t>
      </w:r>
      <w:r w:rsidR="00DA00D3">
        <w:t>the</w:t>
      </w:r>
      <w:r w:rsidR="00A53957" w:rsidRPr="00A53957">
        <w:t xml:space="preserve"> diploma modules and bachelor degree units is revealed (first research question).</w:t>
      </w:r>
    </w:p>
    <w:p w:rsidR="001B4C1C" w:rsidRDefault="001B4C1C" w:rsidP="00EE27F9">
      <w:pPr>
        <w:pStyle w:val="Heading3"/>
      </w:pPr>
      <w:r>
        <w:t>Type</w:t>
      </w:r>
      <w:r w:rsidR="00E13992">
        <w:t>s</w:t>
      </w:r>
      <w:r>
        <w:t xml:space="preserve"> of assessment and </w:t>
      </w:r>
      <w:r w:rsidR="004B422D">
        <w:t>sources</w:t>
      </w:r>
      <w:r>
        <w:t xml:space="preserve"> of information</w:t>
      </w:r>
    </w:p>
    <w:p w:rsidR="008C3B91" w:rsidRDefault="0036419D" w:rsidP="00222E30">
      <w:pPr>
        <w:pStyle w:val="Textlessbefore"/>
      </w:pPr>
      <w:r>
        <w:t>In the</w:t>
      </w:r>
      <w:r w:rsidR="008C3B91">
        <w:t xml:space="preserve"> online survey</w:t>
      </w:r>
      <w:r w:rsidR="00D23DBA">
        <w:t>,</w:t>
      </w:r>
      <w:r w:rsidR="008C3B91">
        <w:t xml:space="preserve"> students were </w:t>
      </w:r>
      <w:r w:rsidR="00E94C4C">
        <w:t xml:space="preserve">provided with a list of </w:t>
      </w:r>
      <w:r>
        <w:t xml:space="preserve">assessment </w:t>
      </w:r>
      <w:r w:rsidR="00E94C4C">
        <w:t>options</w:t>
      </w:r>
      <w:r>
        <w:t xml:space="preserve"> and were</w:t>
      </w:r>
      <w:r w:rsidR="00E94C4C">
        <w:t xml:space="preserve"> </w:t>
      </w:r>
      <w:r w:rsidR="008C3B91">
        <w:t>ask</w:t>
      </w:r>
      <w:r>
        <w:t>ed</w:t>
      </w:r>
      <w:r w:rsidR="008C3B91">
        <w:t xml:space="preserve"> to indicate all the different types of assessment they had completed in their current program</w:t>
      </w:r>
      <w:r w:rsidR="00D23DBA">
        <w:t>. T</w:t>
      </w:r>
      <w:r>
        <w:t xml:space="preserve">he </w:t>
      </w:r>
      <w:r w:rsidR="00E13992">
        <w:t>results are presented in t</w:t>
      </w:r>
      <w:r w:rsidR="00A66EEF">
        <w:t xml:space="preserve">able </w:t>
      </w:r>
      <w:r w:rsidR="001C0BAC">
        <w:t>4</w:t>
      </w:r>
      <w:r w:rsidR="008C3B91">
        <w:t xml:space="preserve">. Nearly all </w:t>
      </w:r>
      <w:r w:rsidR="00E13992">
        <w:t xml:space="preserve">of the </w:t>
      </w:r>
      <w:r w:rsidR="00BA576A">
        <w:t>d</w:t>
      </w:r>
      <w:r w:rsidR="008C3B91">
        <w:t>iploma students</w:t>
      </w:r>
      <w:r w:rsidR="00C73655">
        <w:t xml:space="preserve"> (93%)</w:t>
      </w:r>
      <w:r w:rsidR="008C3B91">
        <w:t xml:space="preserve"> had been assessed through observation or the use </w:t>
      </w:r>
      <w:r w:rsidR="00183597">
        <w:t xml:space="preserve">of </w:t>
      </w:r>
      <w:r w:rsidR="00AD44CA">
        <w:t>work portfolios,</w:t>
      </w:r>
      <w:r w:rsidR="008C3B91">
        <w:t xml:space="preserve"> with fewer students completing research </w:t>
      </w:r>
      <w:r w:rsidR="006D6A34">
        <w:t>reports (56</w:t>
      </w:r>
      <w:r w:rsidR="008C3B91">
        <w:t>%) and essay</w:t>
      </w:r>
      <w:r w:rsidR="00BA576A">
        <w:t>-</w:t>
      </w:r>
      <w:r w:rsidR="008C3B91">
        <w:t>style assignments (44%).</w:t>
      </w:r>
      <w:r w:rsidR="007D0C6D">
        <w:t xml:space="preserve"> This pattern of assessment demonstrates alignment with the VET focus on practical employability skills. A different trend was evident f</w:t>
      </w:r>
      <w:r w:rsidR="00D23DBA">
        <w:t>or</w:t>
      </w:r>
      <w:r w:rsidR="007D0C6D">
        <w:t xml:space="preserve"> the </w:t>
      </w:r>
      <w:r w:rsidR="00D23DBA">
        <w:t xml:space="preserve">bachelor </w:t>
      </w:r>
      <w:r w:rsidR="007D0C6D">
        <w:t xml:space="preserve">degree students, with all respondents indicating that they had completed essay assignments (100%) and </w:t>
      </w:r>
      <w:r w:rsidR="00D23DBA">
        <w:t xml:space="preserve">a </w:t>
      </w:r>
      <w:r w:rsidR="007D0C6D">
        <w:t xml:space="preserve">majority </w:t>
      </w:r>
      <w:r w:rsidR="00D23DBA">
        <w:t xml:space="preserve">that they </w:t>
      </w:r>
      <w:r w:rsidR="007D0C6D">
        <w:t xml:space="preserve">had </w:t>
      </w:r>
      <w:r w:rsidR="00703D0C">
        <w:t xml:space="preserve">completed </w:t>
      </w:r>
      <w:r w:rsidR="007D0C6D">
        <w:t>a research report (75%)</w:t>
      </w:r>
      <w:r w:rsidR="00703D0C">
        <w:t>.</w:t>
      </w:r>
    </w:p>
    <w:p w:rsidR="001B4C1C" w:rsidRDefault="001C0BAC" w:rsidP="00B37561">
      <w:pPr>
        <w:pStyle w:val="tabletitle"/>
      </w:pPr>
      <w:bookmarkStart w:id="54" w:name="_Toc378160508"/>
      <w:r>
        <w:t>Table 4</w:t>
      </w:r>
      <w:r w:rsidR="00804E82">
        <w:tab/>
      </w:r>
      <w:r w:rsidR="001B4C1C" w:rsidRPr="00B37561">
        <w:t>Types</w:t>
      </w:r>
      <w:r w:rsidR="001B4C1C">
        <w:t xml:space="preserve"> of assessment completed by students in their current program</w:t>
      </w:r>
      <w:bookmarkEnd w:id="54"/>
    </w:p>
    <w:tbl>
      <w:tblPr>
        <w:tblStyle w:val="TableGrid"/>
        <w:tblW w:w="8789" w:type="dxa"/>
        <w:tblInd w:w="108" w:type="dxa"/>
        <w:tblLayout w:type="fixed"/>
        <w:tblLook w:val="04A0"/>
      </w:tblPr>
      <w:tblGrid>
        <w:gridCol w:w="5357"/>
        <w:gridCol w:w="1716"/>
        <w:gridCol w:w="1716"/>
      </w:tblGrid>
      <w:tr w:rsidR="001B4C1C" w:rsidTr="00222E30">
        <w:tc>
          <w:tcPr>
            <w:tcW w:w="5357" w:type="dxa"/>
            <w:tcBorders>
              <w:left w:val="nil"/>
              <w:bottom w:val="nil"/>
              <w:right w:val="nil"/>
            </w:tcBorders>
          </w:tcPr>
          <w:p w:rsidR="001B4C1C" w:rsidRPr="00847330" w:rsidRDefault="001B4C1C" w:rsidP="002D112D">
            <w:pPr>
              <w:pStyle w:val="Tablehead1"/>
              <w:rPr>
                <w:sz w:val="16"/>
                <w:szCs w:val="16"/>
              </w:rPr>
            </w:pPr>
            <w:r w:rsidRPr="00847330">
              <w:t xml:space="preserve">Type of </w:t>
            </w:r>
            <w:r w:rsidR="002D112D">
              <w:t>a</w:t>
            </w:r>
            <w:r w:rsidRPr="00847330">
              <w:t>ssessment</w:t>
            </w:r>
          </w:p>
        </w:tc>
        <w:tc>
          <w:tcPr>
            <w:tcW w:w="1716" w:type="dxa"/>
            <w:tcBorders>
              <w:left w:val="nil"/>
              <w:bottom w:val="nil"/>
              <w:right w:val="nil"/>
            </w:tcBorders>
          </w:tcPr>
          <w:p w:rsidR="001B4C1C" w:rsidRPr="00847330" w:rsidRDefault="001B4C1C" w:rsidP="00344341">
            <w:pPr>
              <w:pStyle w:val="Tablehead1"/>
              <w:tabs>
                <w:tab w:val="right" w:pos="938"/>
              </w:tabs>
              <w:jc w:val="center"/>
            </w:pPr>
            <w:r>
              <w:t>Diploma</w:t>
            </w:r>
          </w:p>
        </w:tc>
        <w:tc>
          <w:tcPr>
            <w:tcW w:w="1716" w:type="dxa"/>
            <w:tcBorders>
              <w:left w:val="nil"/>
              <w:bottom w:val="nil"/>
              <w:right w:val="nil"/>
            </w:tcBorders>
          </w:tcPr>
          <w:p w:rsidR="001B4C1C" w:rsidRPr="00847330" w:rsidRDefault="001B4C1C" w:rsidP="005F5A36">
            <w:pPr>
              <w:pStyle w:val="Tablehead1"/>
              <w:jc w:val="center"/>
            </w:pPr>
            <w:r>
              <w:t>Bachelor degree</w:t>
            </w:r>
          </w:p>
        </w:tc>
      </w:tr>
      <w:tr w:rsidR="001B4C1C" w:rsidTr="00222E30">
        <w:tc>
          <w:tcPr>
            <w:tcW w:w="5357" w:type="dxa"/>
            <w:tcBorders>
              <w:top w:val="nil"/>
              <w:left w:val="nil"/>
              <w:bottom w:val="single" w:sz="4" w:space="0" w:color="000000" w:themeColor="text1"/>
              <w:right w:val="nil"/>
            </w:tcBorders>
          </w:tcPr>
          <w:p w:rsidR="001B4C1C" w:rsidRPr="00847330" w:rsidRDefault="001B4C1C" w:rsidP="00222E30">
            <w:pPr>
              <w:pStyle w:val="Tablehead2"/>
            </w:pPr>
          </w:p>
        </w:tc>
        <w:tc>
          <w:tcPr>
            <w:tcW w:w="1716" w:type="dxa"/>
            <w:tcBorders>
              <w:top w:val="nil"/>
              <w:left w:val="nil"/>
              <w:bottom w:val="single" w:sz="4" w:space="0" w:color="000000" w:themeColor="text1"/>
              <w:right w:val="nil"/>
            </w:tcBorders>
          </w:tcPr>
          <w:p w:rsidR="00B57EF2" w:rsidRPr="00222E30" w:rsidRDefault="001B4C1C" w:rsidP="00232A0E">
            <w:pPr>
              <w:pStyle w:val="Tablehead2"/>
              <w:jc w:val="center"/>
              <w:rPr>
                <w:i/>
              </w:rPr>
            </w:pPr>
            <w:r w:rsidRPr="00847330">
              <w:t>%</w:t>
            </w:r>
            <w:r>
              <w:t xml:space="preserve"> of students</w:t>
            </w:r>
            <w:r w:rsidR="00232A0E">
              <w:br/>
            </w:r>
            <w:r w:rsidR="00B57EF2" w:rsidRPr="00222E30">
              <w:rPr>
                <w:i/>
              </w:rPr>
              <w:t>n</w:t>
            </w:r>
            <w:r w:rsidR="00344341" w:rsidRPr="00222E30">
              <w:rPr>
                <w:i/>
              </w:rPr>
              <w:t xml:space="preserve"> </w:t>
            </w:r>
            <w:r w:rsidR="00B57EF2" w:rsidRPr="00222E30">
              <w:rPr>
                <w:i/>
              </w:rPr>
              <w:t>=</w:t>
            </w:r>
            <w:r w:rsidR="00344341" w:rsidRPr="00222E30">
              <w:rPr>
                <w:i/>
              </w:rPr>
              <w:t xml:space="preserve"> </w:t>
            </w:r>
            <w:r w:rsidR="00B57EF2" w:rsidRPr="00222E30">
              <w:rPr>
                <w:i/>
              </w:rPr>
              <w:t>27</w:t>
            </w:r>
          </w:p>
        </w:tc>
        <w:tc>
          <w:tcPr>
            <w:tcW w:w="1716" w:type="dxa"/>
            <w:tcBorders>
              <w:top w:val="nil"/>
              <w:left w:val="nil"/>
              <w:bottom w:val="single" w:sz="4" w:space="0" w:color="000000" w:themeColor="text1"/>
              <w:right w:val="nil"/>
            </w:tcBorders>
          </w:tcPr>
          <w:p w:rsidR="00B57EF2" w:rsidRPr="00222E30" w:rsidRDefault="001B4C1C" w:rsidP="00232A0E">
            <w:pPr>
              <w:pStyle w:val="Tablehead2"/>
              <w:jc w:val="center"/>
              <w:rPr>
                <w:i/>
              </w:rPr>
            </w:pPr>
            <w:r w:rsidRPr="00847330">
              <w:t>%</w:t>
            </w:r>
            <w:r>
              <w:t xml:space="preserve"> of students</w:t>
            </w:r>
            <w:r w:rsidR="00232A0E">
              <w:br/>
            </w:r>
            <w:r w:rsidR="00B57EF2" w:rsidRPr="00222E30">
              <w:rPr>
                <w:i/>
              </w:rPr>
              <w:t>n = 20</w:t>
            </w:r>
          </w:p>
        </w:tc>
      </w:tr>
      <w:tr w:rsidR="001B4C1C" w:rsidRPr="00222E30" w:rsidTr="00222E30">
        <w:tc>
          <w:tcPr>
            <w:tcW w:w="5357" w:type="dxa"/>
            <w:tcBorders>
              <w:left w:val="nil"/>
              <w:bottom w:val="nil"/>
              <w:right w:val="nil"/>
            </w:tcBorders>
          </w:tcPr>
          <w:p w:rsidR="001B4C1C" w:rsidRPr="00222E30" w:rsidRDefault="001B4C1C" w:rsidP="00222E30">
            <w:pPr>
              <w:pStyle w:val="Tabletext"/>
            </w:pPr>
            <w:r w:rsidRPr="00222E30">
              <w:t>Observation of practice</w:t>
            </w:r>
          </w:p>
        </w:tc>
        <w:tc>
          <w:tcPr>
            <w:tcW w:w="1716" w:type="dxa"/>
            <w:tcBorders>
              <w:left w:val="nil"/>
              <w:bottom w:val="nil"/>
              <w:right w:val="nil"/>
            </w:tcBorders>
          </w:tcPr>
          <w:p w:rsidR="001B4C1C" w:rsidRPr="00222E30" w:rsidRDefault="001B4C1C" w:rsidP="00232A0E">
            <w:pPr>
              <w:pStyle w:val="Tabletext"/>
              <w:tabs>
                <w:tab w:val="decimal" w:pos="822"/>
              </w:tabs>
            </w:pPr>
            <w:r w:rsidRPr="00222E30">
              <w:t>93</w:t>
            </w:r>
          </w:p>
        </w:tc>
        <w:tc>
          <w:tcPr>
            <w:tcW w:w="1716" w:type="dxa"/>
            <w:tcBorders>
              <w:left w:val="nil"/>
              <w:bottom w:val="nil"/>
              <w:right w:val="nil"/>
            </w:tcBorders>
          </w:tcPr>
          <w:p w:rsidR="001B4C1C" w:rsidRPr="00222E30" w:rsidRDefault="001B4C1C" w:rsidP="00232A0E">
            <w:pPr>
              <w:pStyle w:val="Tabletext"/>
              <w:tabs>
                <w:tab w:val="decimal" w:pos="822"/>
              </w:tabs>
            </w:pPr>
            <w:r w:rsidRPr="00222E30">
              <w:t>30</w:t>
            </w:r>
          </w:p>
        </w:tc>
      </w:tr>
      <w:tr w:rsidR="001B4C1C" w:rsidRPr="00222E30" w:rsidTr="00222E30">
        <w:tc>
          <w:tcPr>
            <w:tcW w:w="5357" w:type="dxa"/>
            <w:tcBorders>
              <w:top w:val="nil"/>
              <w:left w:val="nil"/>
              <w:bottom w:val="nil"/>
              <w:right w:val="nil"/>
            </w:tcBorders>
          </w:tcPr>
          <w:p w:rsidR="001B4C1C" w:rsidRPr="00222E30" w:rsidRDefault="001B4C1C" w:rsidP="00222E30">
            <w:pPr>
              <w:pStyle w:val="Tabletext"/>
            </w:pPr>
            <w:r w:rsidRPr="00222E30">
              <w:t>Portfolios (</w:t>
            </w:r>
            <w:r w:rsidR="009C6870" w:rsidRPr="00222E30">
              <w:t>for example,</w:t>
            </w:r>
            <w:r w:rsidRPr="00222E30">
              <w:t xml:space="preserve"> work samples, observations, planning)</w:t>
            </w:r>
          </w:p>
        </w:tc>
        <w:tc>
          <w:tcPr>
            <w:tcW w:w="1716" w:type="dxa"/>
            <w:tcBorders>
              <w:top w:val="nil"/>
              <w:left w:val="nil"/>
              <w:bottom w:val="nil"/>
              <w:right w:val="nil"/>
            </w:tcBorders>
          </w:tcPr>
          <w:p w:rsidR="001B4C1C" w:rsidRPr="00222E30" w:rsidRDefault="001B4C1C" w:rsidP="00232A0E">
            <w:pPr>
              <w:pStyle w:val="Tabletext"/>
              <w:tabs>
                <w:tab w:val="decimal" w:pos="822"/>
              </w:tabs>
            </w:pPr>
            <w:r w:rsidRPr="00222E30">
              <w:t>93</w:t>
            </w:r>
          </w:p>
        </w:tc>
        <w:tc>
          <w:tcPr>
            <w:tcW w:w="1716" w:type="dxa"/>
            <w:tcBorders>
              <w:top w:val="nil"/>
              <w:left w:val="nil"/>
              <w:bottom w:val="nil"/>
              <w:right w:val="nil"/>
            </w:tcBorders>
          </w:tcPr>
          <w:p w:rsidR="001B4C1C" w:rsidRPr="00222E30" w:rsidRDefault="001B4C1C" w:rsidP="00232A0E">
            <w:pPr>
              <w:pStyle w:val="Tabletext"/>
              <w:tabs>
                <w:tab w:val="decimal" w:pos="822"/>
              </w:tabs>
            </w:pPr>
            <w:r w:rsidRPr="00222E30">
              <w:t>65</w:t>
            </w:r>
          </w:p>
        </w:tc>
      </w:tr>
      <w:tr w:rsidR="001B4C1C" w:rsidRPr="00222E30" w:rsidTr="00222E30">
        <w:tc>
          <w:tcPr>
            <w:tcW w:w="5357" w:type="dxa"/>
            <w:tcBorders>
              <w:top w:val="nil"/>
              <w:left w:val="nil"/>
              <w:bottom w:val="nil"/>
              <w:right w:val="nil"/>
            </w:tcBorders>
          </w:tcPr>
          <w:p w:rsidR="001B4C1C" w:rsidRPr="00222E30" w:rsidRDefault="001B4C1C" w:rsidP="00222E30">
            <w:pPr>
              <w:pStyle w:val="Tabletext"/>
            </w:pPr>
            <w:r w:rsidRPr="00222E30">
              <w:t>Oral presentations</w:t>
            </w:r>
          </w:p>
        </w:tc>
        <w:tc>
          <w:tcPr>
            <w:tcW w:w="1716" w:type="dxa"/>
            <w:tcBorders>
              <w:top w:val="nil"/>
              <w:left w:val="nil"/>
              <w:bottom w:val="nil"/>
              <w:right w:val="nil"/>
            </w:tcBorders>
          </w:tcPr>
          <w:p w:rsidR="001B4C1C" w:rsidRPr="00222E30" w:rsidRDefault="001B4C1C" w:rsidP="00232A0E">
            <w:pPr>
              <w:pStyle w:val="Tabletext"/>
              <w:tabs>
                <w:tab w:val="decimal" w:pos="822"/>
              </w:tabs>
            </w:pPr>
            <w:r w:rsidRPr="00222E30">
              <w:t>11</w:t>
            </w:r>
          </w:p>
        </w:tc>
        <w:tc>
          <w:tcPr>
            <w:tcW w:w="1716" w:type="dxa"/>
            <w:tcBorders>
              <w:top w:val="nil"/>
              <w:left w:val="nil"/>
              <w:bottom w:val="nil"/>
              <w:right w:val="nil"/>
            </w:tcBorders>
          </w:tcPr>
          <w:p w:rsidR="001B4C1C" w:rsidRPr="00222E30" w:rsidRDefault="001B4C1C" w:rsidP="00232A0E">
            <w:pPr>
              <w:pStyle w:val="Tabletext"/>
              <w:tabs>
                <w:tab w:val="decimal" w:pos="822"/>
              </w:tabs>
            </w:pPr>
            <w:r w:rsidRPr="00222E30">
              <w:t>15</w:t>
            </w:r>
          </w:p>
        </w:tc>
      </w:tr>
      <w:tr w:rsidR="001B4C1C" w:rsidRPr="00222E30" w:rsidTr="00222E30">
        <w:tc>
          <w:tcPr>
            <w:tcW w:w="5357" w:type="dxa"/>
            <w:tcBorders>
              <w:top w:val="nil"/>
              <w:left w:val="nil"/>
              <w:bottom w:val="nil"/>
              <w:right w:val="nil"/>
            </w:tcBorders>
          </w:tcPr>
          <w:p w:rsidR="001B4C1C" w:rsidRPr="00222E30" w:rsidRDefault="001B4C1C" w:rsidP="00222E30">
            <w:pPr>
              <w:pStyle w:val="Tabletext"/>
            </w:pPr>
            <w:r w:rsidRPr="00222E30">
              <w:t>Research reports</w:t>
            </w:r>
          </w:p>
        </w:tc>
        <w:tc>
          <w:tcPr>
            <w:tcW w:w="1716" w:type="dxa"/>
            <w:tcBorders>
              <w:top w:val="nil"/>
              <w:left w:val="nil"/>
              <w:bottom w:val="nil"/>
              <w:right w:val="nil"/>
            </w:tcBorders>
          </w:tcPr>
          <w:p w:rsidR="001B4C1C" w:rsidRPr="00222E30" w:rsidRDefault="001B4C1C" w:rsidP="00232A0E">
            <w:pPr>
              <w:pStyle w:val="Tabletext"/>
              <w:tabs>
                <w:tab w:val="decimal" w:pos="822"/>
              </w:tabs>
            </w:pPr>
            <w:r w:rsidRPr="00222E30">
              <w:t>56</w:t>
            </w:r>
          </w:p>
        </w:tc>
        <w:tc>
          <w:tcPr>
            <w:tcW w:w="1716" w:type="dxa"/>
            <w:tcBorders>
              <w:top w:val="nil"/>
              <w:left w:val="nil"/>
              <w:bottom w:val="nil"/>
              <w:right w:val="nil"/>
            </w:tcBorders>
          </w:tcPr>
          <w:p w:rsidR="001B4C1C" w:rsidRPr="00222E30" w:rsidRDefault="001B4C1C" w:rsidP="00232A0E">
            <w:pPr>
              <w:pStyle w:val="Tabletext"/>
              <w:tabs>
                <w:tab w:val="decimal" w:pos="822"/>
              </w:tabs>
            </w:pPr>
            <w:r w:rsidRPr="00222E30">
              <w:t>75</w:t>
            </w:r>
          </w:p>
        </w:tc>
      </w:tr>
      <w:tr w:rsidR="001B4C1C" w:rsidRPr="00222E30" w:rsidTr="00222E30">
        <w:tc>
          <w:tcPr>
            <w:tcW w:w="5357" w:type="dxa"/>
            <w:tcBorders>
              <w:top w:val="nil"/>
              <w:left w:val="nil"/>
              <w:bottom w:val="nil"/>
              <w:right w:val="nil"/>
            </w:tcBorders>
          </w:tcPr>
          <w:p w:rsidR="001B4C1C" w:rsidRPr="00222E30" w:rsidRDefault="00AD44CA" w:rsidP="00222E30">
            <w:pPr>
              <w:pStyle w:val="Tabletext"/>
            </w:pPr>
            <w:r w:rsidRPr="00222E30">
              <w:t>Reflection/r</w:t>
            </w:r>
            <w:r w:rsidR="001B4C1C" w:rsidRPr="00222E30">
              <w:t>eflective diaries</w:t>
            </w:r>
          </w:p>
        </w:tc>
        <w:tc>
          <w:tcPr>
            <w:tcW w:w="1716" w:type="dxa"/>
            <w:tcBorders>
              <w:top w:val="nil"/>
              <w:left w:val="nil"/>
              <w:bottom w:val="nil"/>
              <w:right w:val="nil"/>
            </w:tcBorders>
          </w:tcPr>
          <w:p w:rsidR="001B4C1C" w:rsidRPr="00222E30" w:rsidRDefault="001B4C1C" w:rsidP="00232A0E">
            <w:pPr>
              <w:pStyle w:val="Tabletext"/>
              <w:tabs>
                <w:tab w:val="decimal" w:pos="822"/>
              </w:tabs>
            </w:pPr>
            <w:r w:rsidRPr="00222E30">
              <w:t>48</w:t>
            </w:r>
          </w:p>
        </w:tc>
        <w:tc>
          <w:tcPr>
            <w:tcW w:w="1716" w:type="dxa"/>
            <w:tcBorders>
              <w:top w:val="nil"/>
              <w:left w:val="nil"/>
              <w:bottom w:val="nil"/>
              <w:right w:val="nil"/>
            </w:tcBorders>
          </w:tcPr>
          <w:p w:rsidR="001B4C1C" w:rsidRPr="00222E30" w:rsidRDefault="001B4C1C" w:rsidP="00232A0E">
            <w:pPr>
              <w:pStyle w:val="Tabletext"/>
              <w:tabs>
                <w:tab w:val="decimal" w:pos="822"/>
              </w:tabs>
            </w:pPr>
            <w:r w:rsidRPr="00222E30">
              <w:t>75</w:t>
            </w:r>
          </w:p>
        </w:tc>
      </w:tr>
      <w:tr w:rsidR="001B4C1C" w:rsidRPr="00222E30" w:rsidTr="00222E30">
        <w:tc>
          <w:tcPr>
            <w:tcW w:w="5357" w:type="dxa"/>
            <w:tcBorders>
              <w:top w:val="nil"/>
              <w:left w:val="nil"/>
              <w:right w:val="nil"/>
            </w:tcBorders>
          </w:tcPr>
          <w:p w:rsidR="001B4C1C" w:rsidRPr="00222E30" w:rsidRDefault="001B4C1C" w:rsidP="00222E30">
            <w:pPr>
              <w:pStyle w:val="Tabletext"/>
            </w:pPr>
            <w:r w:rsidRPr="00222E30">
              <w:t>Essay assignments</w:t>
            </w:r>
          </w:p>
        </w:tc>
        <w:tc>
          <w:tcPr>
            <w:tcW w:w="1716" w:type="dxa"/>
            <w:tcBorders>
              <w:top w:val="nil"/>
              <w:left w:val="nil"/>
              <w:right w:val="nil"/>
            </w:tcBorders>
          </w:tcPr>
          <w:p w:rsidR="001B4C1C" w:rsidRPr="00222E30" w:rsidRDefault="001B4C1C" w:rsidP="00232A0E">
            <w:pPr>
              <w:pStyle w:val="Tabletext"/>
              <w:tabs>
                <w:tab w:val="decimal" w:pos="822"/>
              </w:tabs>
            </w:pPr>
            <w:r w:rsidRPr="00222E30">
              <w:t>44</w:t>
            </w:r>
          </w:p>
        </w:tc>
        <w:tc>
          <w:tcPr>
            <w:tcW w:w="1716" w:type="dxa"/>
            <w:tcBorders>
              <w:top w:val="nil"/>
              <w:left w:val="nil"/>
              <w:right w:val="nil"/>
            </w:tcBorders>
          </w:tcPr>
          <w:p w:rsidR="001B4C1C" w:rsidRPr="00222E30" w:rsidRDefault="001B4C1C" w:rsidP="00232A0E">
            <w:pPr>
              <w:pStyle w:val="Tabletext"/>
              <w:tabs>
                <w:tab w:val="decimal" w:pos="822"/>
              </w:tabs>
            </w:pPr>
            <w:r w:rsidRPr="00222E30">
              <w:t>100</w:t>
            </w:r>
          </w:p>
        </w:tc>
      </w:tr>
    </w:tbl>
    <w:p w:rsidR="00AF67FA" w:rsidRDefault="001B4C1C" w:rsidP="00AF67FA">
      <w:pPr>
        <w:pStyle w:val="Source"/>
      </w:pPr>
      <w:r>
        <w:t>Note:</w:t>
      </w:r>
      <w:r w:rsidR="00232A0E">
        <w:tab/>
      </w:r>
      <w:r w:rsidR="005F5A36">
        <w:t>W</w:t>
      </w:r>
      <w:r>
        <w:t xml:space="preserve">hen responding to this survey item participants were able to indicate multiple responses. </w:t>
      </w:r>
    </w:p>
    <w:p w:rsidR="00341376" w:rsidRDefault="001E37E0" w:rsidP="00222E30">
      <w:pPr>
        <w:pStyle w:val="Textmorebefore"/>
      </w:pPr>
      <w:r>
        <w:t xml:space="preserve">In </w:t>
      </w:r>
      <w:r w:rsidR="00C11CDB">
        <w:t xml:space="preserve">the </w:t>
      </w:r>
      <w:r>
        <w:t>interview</w:t>
      </w:r>
      <w:r w:rsidR="00C11CDB">
        <w:t>,</w:t>
      </w:r>
      <w:r>
        <w:t xml:space="preserve"> </w:t>
      </w:r>
      <w:r w:rsidR="002D112D">
        <w:t>d</w:t>
      </w:r>
      <w:r>
        <w:t>iploma students often described essay</w:t>
      </w:r>
      <w:r w:rsidR="002D112D">
        <w:t>-</w:t>
      </w:r>
      <w:r>
        <w:t>style tasks that were broken into a series of questions</w:t>
      </w:r>
      <w:r w:rsidR="00341376">
        <w:t xml:space="preserve"> on a topic, rather than an open</w:t>
      </w:r>
      <w:r w:rsidR="002D112D">
        <w:t>-</w:t>
      </w:r>
      <w:r w:rsidR="00341376">
        <w:t>ended essay</w:t>
      </w:r>
      <w:r w:rsidR="00F167F3">
        <w:t xml:space="preserve">. </w:t>
      </w:r>
      <w:r w:rsidR="00C73655">
        <w:t xml:space="preserve">TAFE teachers would go through the </w:t>
      </w:r>
      <w:r w:rsidR="00342868">
        <w:t>various</w:t>
      </w:r>
      <w:r w:rsidR="00C73655">
        <w:t xml:space="preserve"> modules and carefully explain what was required in each component.</w:t>
      </w:r>
      <w:r w:rsidR="003C3DA5">
        <w:t xml:space="preserve"> M</w:t>
      </w:r>
      <w:r w:rsidR="00AB4063">
        <w:t xml:space="preserve">any </w:t>
      </w:r>
      <w:r w:rsidR="00C73655">
        <w:t xml:space="preserve">university </w:t>
      </w:r>
      <w:r w:rsidR="00AB4063">
        <w:t>students noted that</w:t>
      </w:r>
      <w:r w:rsidR="003C3DA5">
        <w:t>,</w:t>
      </w:r>
      <w:r w:rsidR="00AB4063">
        <w:t xml:space="preserve"> </w:t>
      </w:r>
      <w:r w:rsidR="00AD44CA">
        <w:t>by</w:t>
      </w:r>
      <w:r w:rsidR="003C3DA5">
        <w:t xml:space="preserve"> comparison </w:t>
      </w:r>
      <w:r w:rsidR="00AD44CA">
        <w:t>with</w:t>
      </w:r>
      <w:r w:rsidR="003C3DA5">
        <w:t xml:space="preserve"> their previous TAFE studies, </w:t>
      </w:r>
      <w:r w:rsidR="00AB4063">
        <w:t xml:space="preserve">they were given less structure </w:t>
      </w:r>
      <w:r w:rsidR="00DA00D3">
        <w:t>in relation to</w:t>
      </w:r>
      <w:r w:rsidR="00B20BEE">
        <w:t xml:space="preserve"> </w:t>
      </w:r>
      <w:r w:rsidR="00B20BEE">
        <w:lastRenderedPageBreak/>
        <w:t>their</w:t>
      </w:r>
      <w:r w:rsidR="00AB4063">
        <w:t xml:space="preserve"> university essays and less guidance about the types of information they should use. </w:t>
      </w:r>
      <w:r w:rsidR="00BD0850">
        <w:t xml:space="preserve">This disparity between TAFE and university would </w:t>
      </w:r>
      <w:r w:rsidR="003C3DA5">
        <w:t xml:space="preserve">potentially </w:t>
      </w:r>
      <w:r w:rsidR="00BD0850">
        <w:t>influence a student’s ability to recognise the need for information and to independently determine the nature and extent of the information needed.</w:t>
      </w:r>
      <w:r w:rsidR="00AB4063">
        <w:t xml:space="preserve"> </w:t>
      </w:r>
    </w:p>
    <w:p w:rsidR="00341376" w:rsidRDefault="003C3DA5" w:rsidP="00AF67FA">
      <w:pPr>
        <w:pStyle w:val="Text"/>
      </w:pPr>
      <w:r>
        <w:t>S</w:t>
      </w:r>
      <w:r w:rsidR="0036419D">
        <w:t xml:space="preserve">tudents </w:t>
      </w:r>
      <w:r>
        <w:t xml:space="preserve">were asked </w:t>
      </w:r>
      <w:r w:rsidR="0036419D">
        <w:t xml:space="preserve">to identify the sources </w:t>
      </w:r>
      <w:r w:rsidR="00AD44CA">
        <w:t xml:space="preserve">they typically </w:t>
      </w:r>
      <w:r w:rsidR="0036419D">
        <w:t>used when preparing for</w:t>
      </w:r>
      <w:r w:rsidR="00646FAF">
        <w:t xml:space="preserve"> written assessment</w:t>
      </w:r>
      <w:r w:rsidR="0036419D">
        <w:t xml:space="preserve">. </w:t>
      </w:r>
      <w:r w:rsidR="008C6646">
        <w:t xml:space="preserve">Table </w:t>
      </w:r>
      <w:r w:rsidR="001C0BAC">
        <w:t>5</w:t>
      </w:r>
      <w:r w:rsidR="008C6646">
        <w:t xml:space="preserve"> depicts the range of information sources used by students</w:t>
      </w:r>
      <w:r w:rsidR="0036419D">
        <w:t xml:space="preserve"> in the </w:t>
      </w:r>
      <w:r w:rsidR="002D112D">
        <w:t>d</w:t>
      </w:r>
      <w:r w:rsidR="0036419D">
        <w:t xml:space="preserve">iploma and </w:t>
      </w:r>
      <w:r w:rsidR="002D112D">
        <w:t>b</w:t>
      </w:r>
      <w:r w:rsidR="0016280A">
        <w:t>achelor degree</w:t>
      </w:r>
      <w:r w:rsidR="0036419D">
        <w:t xml:space="preserve"> programs</w:t>
      </w:r>
      <w:r w:rsidR="00860568">
        <w:t xml:space="preserve"> respectively</w:t>
      </w:r>
      <w:r w:rsidR="0036419D">
        <w:t xml:space="preserve">. </w:t>
      </w:r>
      <w:r w:rsidR="008C6646">
        <w:t xml:space="preserve">Both </w:t>
      </w:r>
      <w:r w:rsidR="00DA00D3">
        <w:t>groups of</w:t>
      </w:r>
      <w:r w:rsidR="008C6646">
        <w:t xml:space="preserve"> students indicate</w:t>
      </w:r>
      <w:r w:rsidR="00D23DBA">
        <w:t>d</w:t>
      </w:r>
      <w:r w:rsidR="008C6646">
        <w:t xml:space="preserve"> </w:t>
      </w:r>
      <w:r w:rsidR="00DA00D3">
        <w:t xml:space="preserve">a </w:t>
      </w:r>
      <w:r w:rsidR="008C6646">
        <w:t>high usage of unit/module notes, prescribed textbooks</w:t>
      </w:r>
      <w:r w:rsidR="00D23DBA">
        <w:t xml:space="preserve"> and </w:t>
      </w:r>
      <w:r w:rsidR="008C6646">
        <w:t>government and online sources</w:t>
      </w:r>
      <w:r w:rsidR="00AD44CA">
        <w:t>,</w:t>
      </w:r>
      <w:r w:rsidR="008C6646">
        <w:t xml:space="preserve"> but </w:t>
      </w:r>
      <w:r w:rsidR="00BD0850">
        <w:t>a larger proportion of</w:t>
      </w:r>
      <w:r w:rsidR="008C6646">
        <w:t xml:space="preserve"> degree students consult</w:t>
      </w:r>
      <w:r w:rsidR="00D23DBA">
        <w:t>ed</w:t>
      </w:r>
      <w:r w:rsidR="008C6646">
        <w:t xml:space="preserve"> a wider range of </w:t>
      </w:r>
      <w:r w:rsidR="00BD0850">
        <w:t>information</w:t>
      </w:r>
      <w:r w:rsidR="008C6646">
        <w:t xml:space="preserve"> sources, such as </w:t>
      </w:r>
      <w:r w:rsidR="00BD0850">
        <w:t xml:space="preserve">additional textbooks (85%), and </w:t>
      </w:r>
      <w:r w:rsidR="008C6646">
        <w:t>academic (90%) and professional (75%) journal articles.</w:t>
      </w:r>
    </w:p>
    <w:p w:rsidR="001B4C1C" w:rsidRPr="00B37561" w:rsidRDefault="000D4BAF" w:rsidP="00B37561">
      <w:pPr>
        <w:pStyle w:val="tabletitle"/>
      </w:pPr>
      <w:bookmarkStart w:id="55" w:name="_Toc378160509"/>
      <w:r w:rsidRPr="00B37561">
        <w:t xml:space="preserve">Table </w:t>
      </w:r>
      <w:r w:rsidR="001C0BAC" w:rsidRPr="00B37561">
        <w:t>5</w:t>
      </w:r>
      <w:r w:rsidR="00804E82">
        <w:tab/>
      </w:r>
      <w:r w:rsidRPr="00B37561">
        <w:t>Sources of information used by students when preparing for assessment</w:t>
      </w:r>
      <w:bookmarkEnd w:id="55"/>
    </w:p>
    <w:tbl>
      <w:tblPr>
        <w:tblStyle w:val="TableGrid"/>
        <w:tblW w:w="8789" w:type="dxa"/>
        <w:tblInd w:w="108" w:type="dxa"/>
        <w:tblLayout w:type="fixed"/>
        <w:tblLook w:val="04A0"/>
      </w:tblPr>
      <w:tblGrid>
        <w:gridCol w:w="5357"/>
        <w:gridCol w:w="1716"/>
        <w:gridCol w:w="1716"/>
      </w:tblGrid>
      <w:tr w:rsidR="001B4C1C" w:rsidTr="00232A0E">
        <w:tc>
          <w:tcPr>
            <w:tcW w:w="5357" w:type="dxa"/>
            <w:tcBorders>
              <w:left w:val="nil"/>
              <w:bottom w:val="nil"/>
              <w:right w:val="nil"/>
            </w:tcBorders>
          </w:tcPr>
          <w:p w:rsidR="001B4C1C" w:rsidRPr="00847330" w:rsidRDefault="001B4C1C" w:rsidP="00AF67FA">
            <w:pPr>
              <w:pStyle w:val="Tablehead1"/>
              <w:rPr>
                <w:sz w:val="16"/>
                <w:szCs w:val="16"/>
              </w:rPr>
            </w:pPr>
            <w:r>
              <w:t xml:space="preserve">Sources of </w:t>
            </w:r>
            <w:r w:rsidR="002D112D">
              <w:t>i</w:t>
            </w:r>
            <w:r>
              <w:t>nformation</w:t>
            </w:r>
          </w:p>
        </w:tc>
        <w:tc>
          <w:tcPr>
            <w:tcW w:w="1716" w:type="dxa"/>
            <w:tcBorders>
              <w:left w:val="nil"/>
              <w:bottom w:val="nil"/>
              <w:right w:val="nil"/>
            </w:tcBorders>
          </w:tcPr>
          <w:p w:rsidR="001B4C1C" w:rsidRPr="00847330" w:rsidRDefault="001B4C1C" w:rsidP="00F774E2">
            <w:pPr>
              <w:pStyle w:val="Tablehead1"/>
              <w:jc w:val="center"/>
            </w:pPr>
            <w:r>
              <w:t>Diploma</w:t>
            </w:r>
          </w:p>
        </w:tc>
        <w:tc>
          <w:tcPr>
            <w:tcW w:w="1716" w:type="dxa"/>
            <w:tcBorders>
              <w:left w:val="nil"/>
              <w:bottom w:val="nil"/>
              <w:right w:val="nil"/>
            </w:tcBorders>
          </w:tcPr>
          <w:p w:rsidR="001B4C1C" w:rsidRPr="00847330" w:rsidRDefault="006C5E1E" w:rsidP="00F774E2">
            <w:pPr>
              <w:pStyle w:val="Tablehead1"/>
              <w:jc w:val="center"/>
            </w:pPr>
            <w:r>
              <w:t>Bachelor</w:t>
            </w:r>
            <w:r w:rsidR="001B4C1C">
              <w:t xml:space="preserve"> degree</w:t>
            </w:r>
          </w:p>
        </w:tc>
      </w:tr>
      <w:tr w:rsidR="000D4BAF" w:rsidTr="00232A0E">
        <w:tc>
          <w:tcPr>
            <w:tcW w:w="5357" w:type="dxa"/>
            <w:tcBorders>
              <w:top w:val="nil"/>
              <w:left w:val="nil"/>
              <w:bottom w:val="single" w:sz="4" w:space="0" w:color="000000" w:themeColor="text1"/>
              <w:right w:val="nil"/>
            </w:tcBorders>
          </w:tcPr>
          <w:p w:rsidR="001B4C1C" w:rsidRPr="00847330" w:rsidRDefault="001B4C1C" w:rsidP="00232A0E">
            <w:pPr>
              <w:pStyle w:val="Tablehead2"/>
            </w:pPr>
          </w:p>
        </w:tc>
        <w:tc>
          <w:tcPr>
            <w:tcW w:w="1716" w:type="dxa"/>
            <w:tcBorders>
              <w:top w:val="nil"/>
              <w:left w:val="nil"/>
              <w:bottom w:val="single" w:sz="4" w:space="0" w:color="000000" w:themeColor="text1"/>
              <w:right w:val="nil"/>
            </w:tcBorders>
          </w:tcPr>
          <w:p w:rsidR="00370B3C" w:rsidRPr="00847330" w:rsidRDefault="001B4C1C" w:rsidP="00232A0E">
            <w:pPr>
              <w:pStyle w:val="Tablehead2"/>
              <w:jc w:val="center"/>
            </w:pPr>
            <w:r w:rsidRPr="00847330">
              <w:t>%</w:t>
            </w:r>
            <w:r>
              <w:t xml:space="preserve"> of students</w:t>
            </w:r>
            <w:r w:rsidR="00232A0E">
              <w:br/>
            </w:r>
            <w:r w:rsidR="00370B3C" w:rsidRPr="00232A0E">
              <w:rPr>
                <w:i/>
              </w:rPr>
              <w:t>n = 27</w:t>
            </w:r>
          </w:p>
        </w:tc>
        <w:tc>
          <w:tcPr>
            <w:tcW w:w="1716" w:type="dxa"/>
            <w:tcBorders>
              <w:top w:val="nil"/>
              <w:left w:val="nil"/>
              <w:bottom w:val="single" w:sz="4" w:space="0" w:color="000000" w:themeColor="text1"/>
              <w:right w:val="nil"/>
            </w:tcBorders>
          </w:tcPr>
          <w:p w:rsidR="00370B3C" w:rsidRPr="00847330" w:rsidRDefault="001B4C1C" w:rsidP="00232A0E">
            <w:pPr>
              <w:pStyle w:val="Tablehead2"/>
              <w:jc w:val="center"/>
            </w:pPr>
            <w:r w:rsidRPr="00847330">
              <w:t>%</w:t>
            </w:r>
            <w:r>
              <w:t xml:space="preserve"> of students</w:t>
            </w:r>
            <w:r w:rsidR="00232A0E">
              <w:br/>
            </w:r>
            <w:r w:rsidR="00370B3C" w:rsidRPr="00232A0E">
              <w:rPr>
                <w:i/>
              </w:rPr>
              <w:t>n = 20</w:t>
            </w:r>
          </w:p>
        </w:tc>
      </w:tr>
      <w:tr w:rsidR="000D4BAF" w:rsidTr="00232A0E">
        <w:tc>
          <w:tcPr>
            <w:tcW w:w="5357" w:type="dxa"/>
            <w:tcBorders>
              <w:left w:val="nil"/>
              <w:bottom w:val="nil"/>
              <w:right w:val="nil"/>
            </w:tcBorders>
          </w:tcPr>
          <w:p w:rsidR="001B4C1C" w:rsidRPr="00847330" w:rsidRDefault="000D4BAF" w:rsidP="00AF67FA">
            <w:pPr>
              <w:pStyle w:val="Tabletext"/>
            </w:pPr>
            <w:r>
              <w:t>Unit/module notes</w:t>
            </w:r>
          </w:p>
        </w:tc>
        <w:tc>
          <w:tcPr>
            <w:tcW w:w="1716" w:type="dxa"/>
            <w:tcBorders>
              <w:left w:val="nil"/>
              <w:bottom w:val="nil"/>
              <w:right w:val="nil"/>
            </w:tcBorders>
          </w:tcPr>
          <w:p w:rsidR="001B4C1C" w:rsidRPr="00847330" w:rsidRDefault="000D4BAF" w:rsidP="00232A0E">
            <w:pPr>
              <w:pStyle w:val="Tabletext"/>
              <w:tabs>
                <w:tab w:val="decimal" w:pos="822"/>
              </w:tabs>
            </w:pPr>
            <w:r>
              <w:t>89</w:t>
            </w:r>
          </w:p>
        </w:tc>
        <w:tc>
          <w:tcPr>
            <w:tcW w:w="1716" w:type="dxa"/>
            <w:tcBorders>
              <w:left w:val="nil"/>
              <w:bottom w:val="nil"/>
              <w:right w:val="nil"/>
            </w:tcBorders>
          </w:tcPr>
          <w:p w:rsidR="001B4C1C" w:rsidRPr="00847330" w:rsidRDefault="000D4BAF" w:rsidP="00232A0E">
            <w:pPr>
              <w:pStyle w:val="Tabletext"/>
              <w:tabs>
                <w:tab w:val="decimal" w:pos="822"/>
              </w:tabs>
            </w:pPr>
            <w:r>
              <w:t>90</w:t>
            </w:r>
          </w:p>
        </w:tc>
      </w:tr>
      <w:tr w:rsidR="000D4BAF" w:rsidTr="00232A0E">
        <w:tc>
          <w:tcPr>
            <w:tcW w:w="5357" w:type="dxa"/>
            <w:tcBorders>
              <w:top w:val="nil"/>
              <w:left w:val="nil"/>
              <w:bottom w:val="nil"/>
              <w:right w:val="nil"/>
            </w:tcBorders>
          </w:tcPr>
          <w:p w:rsidR="001B4C1C" w:rsidRPr="00847330" w:rsidRDefault="000D4BAF" w:rsidP="002D112D">
            <w:pPr>
              <w:pStyle w:val="Tabletext"/>
            </w:pPr>
            <w:r>
              <w:t>Prescribed textbook</w:t>
            </w:r>
          </w:p>
        </w:tc>
        <w:tc>
          <w:tcPr>
            <w:tcW w:w="1716" w:type="dxa"/>
            <w:tcBorders>
              <w:top w:val="nil"/>
              <w:left w:val="nil"/>
              <w:bottom w:val="nil"/>
              <w:right w:val="nil"/>
            </w:tcBorders>
          </w:tcPr>
          <w:p w:rsidR="001B4C1C" w:rsidRPr="00847330" w:rsidRDefault="000D4BAF" w:rsidP="00232A0E">
            <w:pPr>
              <w:pStyle w:val="Tabletext"/>
              <w:tabs>
                <w:tab w:val="decimal" w:pos="822"/>
              </w:tabs>
            </w:pPr>
            <w:r>
              <w:t>89</w:t>
            </w:r>
          </w:p>
        </w:tc>
        <w:tc>
          <w:tcPr>
            <w:tcW w:w="1716" w:type="dxa"/>
            <w:tcBorders>
              <w:top w:val="nil"/>
              <w:left w:val="nil"/>
              <w:bottom w:val="nil"/>
              <w:right w:val="nil"/>
            </w:tcBorders>
          </w:tcPr>
          <w:p w:rsidR="001B4C1C" w:rsidRPr="00847330" w:rsidRDefault="000D4BAF" w:rsidP="00232A0E">
            <w:pPr>
              <w:pStyle w:val="Tabletext"/>
              <w:tabs>
                <w:tab w:val="decimal" w:pos="822"/>
              </w:tabs>
            </w:pPr>
            <w:r>
              <w:t>95</w:t>
            </w:r>
          </w:p>
        </w:tc>
      </w:tr>
      <w:tr w:rsidR="000D4BAF" w:rsidTr="00232A0E">
        <w:tc>
          <w:tcPr>
            <w:tcW w:w="5357" w:type="dxa"/>
            <w:tcBorders>
              <w:top w:val="nil"/>
              <w:left w:val="nil"/>
              <w:bottom w:val="nil"/>
              <w:right w:val="nil"/>
            </w:tcBorders>
          </w:tcPr>
          <w:p w:rsidR="001B4C1C" w:rsidRPr="00847330" w:rsidRDefault="000D4BAF" w:rsidP="002D112D">
            <w:pPr>
              <w:pStyle w:val="Tabletext"/>
            </w:pPr>
            <w:r>
              <w:t>Other textbooks/e-books</w:t>
            </w:r>
          </w:p>
        </w:tc>
        <w:tc>
          <w:tcPr>
            <w:tcW w:w="1716" w:type="dxa"/>
            <w:tcBorders>
              <w:top w:val="nil"/>
              <w:left w:val="nil"/>
              <w:bottom w:val="nil"/>
              <w:right w:val="nil"/>
            </w:tcBorders>
          </w:tcPr>
          <w:p w:rsidR="001B4C1C" w:rsidRPr="00847330" w:rsidRDefault="000D4BAF" w:rsidP="00232A0E">
            <w:pPr>
              <w:pStyle w:val="Tabletext"/>
              <w:tabs>
                <w:tab w:val="decimal" w:pos="822"/>
              </w:tabs>
            </w:pPr>
            <w:r>
              <w:t>37</w:t>
            </w:r>
          </w:p>
        </w:tc>
        <w:tc>
          <w:tcPr>
            <w:tcW w:w="1716" w:type="dxa"/>
            <w:tcBorders>
              <w:top w:val="nil"/>
              <w:left w:val="nil"/>
              <w:bottom w:val="nil"/>
              <w:right w:val="nil"/>
            </w:tcBorders>
          </w:tcPr>
          <w:p w:rsidR="001B4C1C" w:rsidRPr="00847330" w:rsidRDefault="000D4BAF" w:rsidP="00232A0E">
            <w:pPr>
              <w:pStyle w:val="Tabletext"/>
              <w:tabs>
                <w:tab w:val="decimal" w:pos="822"/>
              </w:tabs>
            </w:pPr>
            <w:r>
              <w:t>85</w:t>
            </w:r>
          </w:p>
        </w:tc>
      </w:tr>
      <w:tr w:rsidR="000D4BAF" w:rsidTr="00232A0E">
        <w:tc>
          <w:tcPr>
            <w:tcW w:w="5357" w:type="dxa"/>
            <w:tcBorders>
              <w:top w:val="nil"/>
              <w:left w:val="nil"/>
              <w:bottom w:val="nil"/>
              <w:right w:val="nil"/>
            </w:tcBorders>
          </w:tcPr>
          <w:p w:rsidR="001B4C1C" w:rsidRPr="00847330" w:rsidRDefault="000D4BAF" w:rsidP="00AF67FA">
            <w:pPr>
              <w:pStyle w:val="Tabletext"/>
            </w:pPr>
            <w:r>
              <w:t>Unit/module readings</w:t>
            </w:r>
          </w:p>
        </w:tc>
        <w:tc>
          <w:tcPr>
            <w:tcW w:w="1716" w:type="dxa"/>
            <w:tcBorders>
              <w:top w:val="nil"/>
              <w:left w:val="nil"/>
              <w:bottom w:val="nil"/>
              <w:right w:val="nil"/>
            </w:tcBorders>
          </w:tcPr>
          <w:p w:rsidR="001B4C1C" w:rsidRPr="00847330" w:rsidRDefault="000D4BAF" w:rsidP="00232A0E">
            <w:pPr>
              <w:pStyle w:val="Tabletext"/>
              <w:tabs>
                <w:tab w:val="decimal" w:pos="822"/>
              </w:tabs>
            </w:pPr>
            <w:r>
              <w:t>48</w:t>
            </w:r>
          </w:p>
        </w:tc>
        <w:tc>
          <w:tcPr>
            <w:tcW w:w="1716" w:type="dxa"/>
            <w:tcBorders>
              <w:top w:val="nil"/>
              <w:left w:val="nil"/>
              <w:bottom w:val="nil"/>
              <w:right w:val="nil"/>
            </w:tcBorders>
          </w:tcPr>
          <w:p w:rsidR="001B4C1C" w:rsidRPr="00847330" w:rsidRDefault="000D4BAF" w:rsidP="00232A0E">
            <w:pPr>
              <w:pStyle w:val="Tabletext"/>
              <w:tabs>
                <w:tab w:val="decimal" w:pos="822"/>
              </w:tabs>
            </w:pPr>
            <w:r>
              <w:t>100</w:t>
            </w:r>
          </w:p>
        </w:tc>
      </w:tr>
      <w:tr w:rsidR="000D4BAF" w:rsidTr="00232A0E">
        <w:tc>
          <w:tcPr>
            <w:tcW w:w="5357" w:type="dxa"/>
            <w:tcBorders>
              <w:top w:val="nil"/>
              <w:left w:val="nil"/>
              <w:bottom w:val="nil"/>
              <w:right w:val="nil"/>
            </w:tcBorders>
          </w:tcPr>
          <w:p w:rsidR="001B4C1C" w:rsidRPr="00847330" w:rsidRDefault="000D4BAF" w:rsidP="00AF67FA">
            <w:pPr>
              <w:pStyle w:val="Tabletext"/>
            </w:pPr>
            <w:r>
              <w:t>Colleagues in the field</w:t>
            </w:r>
          </w:p>
        </w:tc>
        <w:tc>
          <w:tcPr>
            <w:tcW w:w="1716" w:type="dxa"/>
            <w:tcBorders>
              <w:top w:val="nil"/>
              <w:left w:val="nil"/>
              <w:bottom w:val="nil"/>
              <w:right w:val="nil"/>
            </w:tcBorders>
          </w:tcPr>
          <w:p w:rsidR="001B4C1C" w:rsidRPr="00847330" w:rsidRDefault="000D4BAF" w:rsidP="00232A0E">
            <w:pPr>
              <w:pStyle w:val="Tabletext"/>
              <w:tabs>
                <w:tab w:val="decimal" w:pos="822"/>
              </w:tabs>
            </w:pPr>
            <w:r>
              <w:t>48</w:t>
            </w:r>
          </w:p>
        </w:tc>
        <w:tc>
          <w:tcPr>
            <w:tcW w:w="1716" w:type="dxa"/>
            <w:tcBorders>
              <w:top w:val="nil"/>
              <w:left w:val="nil"/>
              <w:bottom w:val="nil"/>
              <w:right w:val="nil"/>
            </w:tcBorders>
          </w:tcPr>
          <w:p w:rsidR="001B4C1C" w:rsidRPr="00847330" w:rsidRDefault="000D4BAF" w:rsidP="00232A0E">
            <w:pPr>
              <w:pStyle w:val="Tabletext"/>
              <w:tabs>
                <w:tab w:val="decimal" w:pos="822"/>
              </w:tabs>
            </w:pPr>
            <w:r>
              <w:t>45</w:t>
            </w:r>
          </w:p>
        </w:tc>
      </w:tr>
      <w:tr w:rsidR="000D4BAF" w:rsidTr="00232A0E">
        <w:tc>
          <w:tcPr>
            <w:tcW w:w="5357" w:type="dxa"/>
            <w:tcBorders>
              <w:top w:val="nil"/>
              <w:left w:val="nil"/>
              <w:bottom w:val="nil"/>
              <w:right w:val="nil"/>
            </w:tcBorders>
          </w:tcPr>
          <w:p w:rsidR="001B4C1C" w:rsidRPr="00847330" w:rsidRDefault="000D4BAF" w:rsidP="00AF67FA">
            <w:pPr>
              <w:pStyle w:val="Tabletext"/>
            </w:pPr>
            <w:r>
              <w:t>Professional journal articles (</w:t>
            </w:r>
            <w:r w:rsidR="009C6870">
              <w:t>for example,</w:t>
            </w:r>
            <w:r>
              <w:t xml:space="preserve"> </w:t>
            </w:r>
            <w:r w:rsidRPr="00342868">
              <w:rPr>
                <w:i/>
              </w:rPr>
              <w:t>Every Child</w:t>
            </w:r>
            <w:r>
              <w:t>)</w:t>
            </w:r>
          </w:p>
        </w:tc>
        <w:tc>
          <w:tcPr>
            <w:tcW w:w="1716" w:type="dxa"/>
            <w:tcBorders>
              <w:top w:val="nil"/>
              <w:left w:val="nil"/>
              <w:bottom w:val="nil"/>
              <w:right w:val="nil"/>
            </w:tcBorders>
          </w:tcPr>
          <w:p w:rsidR="001B4C1C" w:rsidRPr="00847330" w:rsidRDefault="000D4BAF" w:rsidP="00232A0E">
            <w:pPr>
              <w:pStyle w:val="Tabletext"/>
              <w:tabs>
                <w:tab w:val="decimal" w:pos="822"/>
              </w:tabs>
            </w:pPr>
            <w:r>
              <w:t>22</w:t>
            </w:r>
          </w:p>
        </w:tc>
        <w:tc>
          <w:tcPr>
            <w:tcW w:w="1716" w:type="dxa"/>
            <w:tcBorders>
              <w:top w:val="nil"/>
              <w:left w:val="nil"/>
              <w:bottom w:val="nil"/>
              <w:right w:val="nil"/>
            </w:tcBorders>
          </w:tcPr>
          <w:p w:rsidR="001B4C1C" w:rsidRPr="00847330" w:rsidRDefault="000D4BAF" w:rsidP="00232A0E">
            <w:pPr>
              <w:pStyle w:val="Tabletext"/>
              <w:tabs>
                <w:tab w:val="decimal" w:pos="822"/>
              </w:tabs>
            </w:pPr>
            <w:r>
              <w:t>75</w:t>
            </w:r>
          </w:p>
        </w:tc>
      </w:tr>
      <w:tr w:rsidR="003E0946" w:rsidTr="00232A0E">
        <w:tc>
          <w:tcPr>
            <w:tcW w:w="5357" w:type="dxa"/>
            <w:tcBorders>
              <w:top w:val="nil"/>
              <w:left w:val="nil"/>
              <w:bottom w:val="nil"/>
              <w:right w:val="nil"/>
            </w:tcBorders>
          </w:tcPr>
          <w:p w:rsidR="001B4C1C" w:rsidRPr="00847330" w:rsidRDefault="000D4BAF" w:rsidP="00AF67FA">
            <w:pPr>
              <w:pStyle w:val="Tabletext"/>
            </w:pPr>
            <w:r>
              <w:t>Academic journal articles (</w:t>
            </w:r>
            <w:r w:rsidR="009C6870">
              <w:t>for example,</w:t>
            </w:r>
            <w:r>
              <w:t xml:space="preserve"> </w:t>
            </w:r>
            <w:r w:rsidRPr="00AD44CA">
              <w:rPr>
                <w:i/>
              </w:rPr>
              <w:t>Australasian Journal of Early Childhood</w:t>
            </w:r>
            <w:r>
              <w:t>)</w:t>
            </w:r>
          </w:p>
        </w:tc>
        <w:tc>
          <w:tcPr>
            <w:tcW w:w="1716" w:type="dxa"/>
            <w:tcBorders>
              <w:top w:val="nil"/>
              <w:left w:val="nil"/>
              <w:bottom w:val="nil"/>
              <w:right w:val="nil"/>
            </w:tcBorders>
          </w:tcPr>
          <w:p w:rsidR="001B4C1C" w:rsidRPr="00847330" w:rsidRDefault="000D4BAF" w:rsidP="00232A0E">
            <w:pPr>
              <w:pStyle w:val="Tabletext"/>
              <w:tabs>
                <w:tab w:val="decimal" w:pos="822"/>
              </w:tabs>
            </w:pPr>
            <w:r>
              <w:t>26</w:t>
            </w:r>
          </w:p>
        </w:tc>
        <w:tc>
          <w:tcPr>
            <w:tcW w:w="1716" w:type="dxa"/>
            <w:tcBorders>
              <w:top w:val="nil"/>
              <w:left w:val="nil"/>
              <w:bottom w:val="nil"/>
              <w:right w:val="nil"/>
            </w:tcBorders>
          </w:tcPr>
          <w:p w:rsidR="001B4C1C" w:rsidRPr="00847330" w:rsidRDefault="000D4BAF" w:rsidP="00232A0E">
            <w:pPr>
              <w:pStyle w:val="Tabletext"/>
              <w:tabs>
                <w:tab w:val="decimal" w:pos="822"/>
              </w:tabs>
            </w:pPr>
            <w:r>
              <w:t>90</w:t>
            </w:r>
          </w:p>
        </w:tc>
      </w:tr>
      <w:tr w:rsidR="000D4BAF" w:rsidTr="00232A0E">
        <w:tc>
          <w:tcPr>
            <w:tcW w:w="5357" w:type="dxa"/>
            <w:tcBorders>
              <w:top w:val="nil"/>
              <w:left w:val="nil"/>
              <w:bottom w:val="nil"/>
              <w:right w:val="nil"/>
            </w:tcBorders>
          </w:tcPr>
          <w:p w:rsidR="000D4BAF" w:rsidRDefault="000D4BAF" w:rsidP="00AF67FA">
            <w:pPr>
              <w:pStyle w:val="Tabletext"/>
            </w:pPr>
            <w:r>
              <w:t>Newspapers</w:t>
            </w:r>
          </w:p>
        </w:tc>
        <w:tc>
          <w:tcPr>
            <w:tcW w:w="1716" w:type="dxa"/>
            <w:tcBorders>
              <w:top w:val="nil"/>
              <w:left w:val="nil"/>
              <w:bottom w:val="nil"/>
              <w:right w:val="nil"/>
            </w:tcBorders>
          </w:tcPr>
          <w:p w:rsidR="000D4BAF" w:rsidRPr="00847330" w:rsidRDefault="000D4BAF" w:rsidP="00232A0E">
            <w:pPr>
              <w:pStyle w:val="Tabletext"/>
              <w:tabs>
                <w:tab w:val="decimal" w:pos="822"/>
              </w:tabs>
            </w:pPr>
            <w:r>
              <w:t>7</w:t>
            </w:r>
          </w:p>
        </w:tc>
        <w:tc>
          <w:tcPr>
            <w:tcW w:w="1716" w:type="dxa"/>
            <w:tcBorders>
              <w:top w:val="nil"/>
              <w:left w:val="nil"/>
              <w:bottom w:val="nil"/>
              <w:right w:val="nil"/>
            </w:tcBorders>
          </w:tcPr>
          <w:p w:rsidR="000D4BAF" w:rsidRPr="00847330" w:rsidRDefault="000D4BAF" w:rsidP="00232A0E">
            <w:pPr>
              <w:pStyle w:val="Tabletext"/>
              <w:tabs>
                <w:tab w:val="decimal" w:pos="822"/>
              </w:tabs>
            </w:pPr>
            <w:r>
              <w:t>45</w:t>
            </w:r>
          </w:p>
        </w:tc>
      </w:tr>
      <w:tr w:rsidR="000D4BAF" w:rsidTr="00232A0E">
        <w:tc>
          <w:tcPr>
            <w:tcW w:w="5357" w:type="dxa"/>
            <w:tcBorders>
              <w:top w:val="nil"/>
              <w:left w:val="nil"/>
              <w:bottom w:val="nil"/>
              <w:right w:val="nil"/>
            </w:tcBorders>
          </w:tcPr>
          <w:p w:rsidR="000D4BAF" w:rsidRDefault="000D4BAF" w:rsidP="00AF67FA">
            <w:pPr>
              <w:pStyle w:val="Tabletext"/>
            </w:pPr>
            <w:r>
              <w:t>Government documents (</w:t>
            </w:r>
            <w:r w:rsidR="009C6870">
              <w:t>for example,</w:t>
            </w:r>
            <w:r>
              <w:t xml:space="preserve"> Early Years Learning Framework)</w:t>
            </w:r>
          </w:p>
        </w:tc>
        <w:tc>
          <w:tcPr>
            <w:tcW w:w="1716" w:type="dxa"/>
            <w:tcBorders>
              <w:top w:val="nil"/>
              <w:left w:val="nil"/>
              <w:bottom w:val="nil"/>
              <w:right w:val="nil"/>
            </w:tcBorders>
          </w:tcPr>
          <w:p w:rsidR="000D4BAF" w:rsidRPr="00847330" w:rsidRDefault="000D4BAF" w:rsidP="00232A0E">
            <w:pPr>
              <w:pStyle w:val="Tabletext"/>
              <w:tabs>
                <w:tab w:val="decimal" w:pos="822"/>
              </w:tabs>
            </w:pPr>
            <w:r>
              <w:t>93</w:t>
            </w:r>
          </w:p>
        </w:tc>
        <w:tc>
          <w:tcPr>
            <w:tcW w:w="1716" w:type="dxa"/>
            <w:tcBorders>
              <w:top w:val="nil"/>
              <w:left w:val="nil"/>
              <w:bottom w:val="nil"/>
              <w:right w:val="nil"/>
            </w:tcBorders>
          </w:tcPr>
          <w:p w:rsidR="000D4BAF" w:rsidRPr="00847330" w:rsidRDefault="000D4BAF" w:rsidP="00232A0E">
            <w:pPr>
              <w:pStyle w:val="Tabletext"/>
              <w:tabs>
                <w:tab w:val="decimal" w:pos="822"/>
              </w:tabs>
            </w:pPr>
            <w:r>
              <w:t>95</w:t>
            </w:r>
          </w:p>
        </w:tc>
      </w:tr>
      <w:tr w:rsidR="000D4BAF" w:rsidTr="00232A0E">
        <w:tc>
          <w:tcPr>
            <w:tcW w:w="5357" w:type="dxa"/>
            <w:tcBorders>
              <w:top w:val="nil"/>
              <w:left w:val="nil"/>
              <w:right w:val="nil"/>
            </w:tcBorders>
          </w:tcPr>
          <w:p w:rsidR="000D4BAF" w:rsidRDefault="000D4BAF" w:rsidP="00AF67FA">
            <w:pPr>
              <w:pStyle w:val="Tabletext"/>
            </w:pPr>
            <w:r>
              <w:t>Online sources</w:t>
            </w:r>
          </w:p>
        </w:tc>
        <w:tc>
          <w:tcPr>
            <w:tcW w:w="1716" w:type="dxa"/>
            <w:tcBorders>
              <w:top w:val="nil"/>
              <w:left w:val="nil"/>
              <w:right w:val="nil"/>
            </w:tcBorders>
          </w:tcPr>
          <w:p w:rsidR="000D4BAF" w:rsidRPr="00847330" w:rsidRDefault="000D4BAF" w:rsidP="00232A0E">
            <w:pPr>
              <w:pStyle w:val="Tabletext"/>
              <w:tabs>
                <w:tab w:val="decimal" w:pos="822"/>
              </w:tabs>
            </w:pPr>
            <w:r>
              <w:t>85</w:t>
            </w:r>
          </w:p>
        </w:tc>
        <w:tc>
          <w:tcPr>
            <w:tcW w:w="1716" w:type="dxa"/>
            <w:tcBorders>
              <w:top w:val="nil"/>
              <w:left w:val="nil"/>
              <w:right w:val="nil"/>
            </w:tcBorders>
          </w:tcPr>
          <w:p w:rsidR="000D4BAF" w:rsidRPr="00847330" w:rsidRDefault="000D4BAF" w:rsidP="00232A0E">
            <w:pPr>
              <w:pStyle w:val="Tabletext"/>
              <w:tabs>
                <w:tab w:val="decimal" w:pos="822"/>
              </w:tabs>
            </w:pPr>
            <w:r>
              <w:t>80</w:t>
            </w:r>
          </w:p>
        </w:tc>
      </w:tr>
    </w:tbl>
    <w:p w:rsidR="000D4BAF" w:rsidRDefault="000D4BAF" w:rsidP="000D4BAF">
      <w:pPr>
        <w:pStyle w:val="Source"/>
      </w:pPr>
      <w:r>
        <w:t>Note:</w:t>
      </w:r>
      <w:r w:rsidR="00232A0E">
        <w:tab/>
      </w:r>
      <w:r w:rsidR="00F774E2">
        <w:t>W</w:t>
      </w:r>
      <w:r>
        <w:t xml:space="preserve">hen responding to this survey item participants were able to indicate multiple responses. </w:t>
      </w:r>
    </w:p>
    <w:p w:rsidR="00B21422" w:rsidRDefault="00B21422" w:rsidP="00B21422">
      <w:pPr>
        <w:pStyle w:val="Heading3"/>
        <w:rPr>
          <w:noProof/>
          <w:lang w:eastAsia="en-AU"/>
        </w:rPr>
      </w:pPr>
      <w:r>
        <w:rPr>
          <w:noProof/>
          <w:lang w:eastAsia="en-AU"/>
        </w:rPr>
        <w:t>Filtering of online information</w:t>
      </w:r>
    </w:p>
    <w:p w:rsidR="00414E5E" w:rsidRDefault="0036419D" w:rsidP="00232A0E">
      <w:pPr>
        <w:pStyle w:val="Textlessbefore"/>
        <w:rPr>
          <w:noProof/>
          <w:lang w:eastAsia="en-AU"/>
        </w:rPr>
      </w:pPr>
      <w:r>
        <w:rPr>
          <w:noProof/>
          <w:lang w:eastAsia="en-AU"/>
        </w:rPr>
        <w:t>A</w:t>
      </w:r>
      <w:r w:rsidR="00B21422">
        <w:rPr>
          <w:noProof/>
          <w:lang w:eastAsia="en-AU"/>
        </w:rPr>
        <w:t>n</w:t>
      </w:r>
      <w:r>
        <w:rPr>
          <w:noProof/>
          <w:lang w:eastAsia="en-AU"/>
        </w:rPr>
        <w:t xml:space="preserve"> open-ended</w:t>
      </w:r>
      <w:r w:rsidR="00414E5E">
        <w:rPr>
          <w:noProof/>
          <w:lang w:eastAsia="en-AU"/>
        </w:rPr>
        <w:t xml:space="preserve"> survey </w:t>
      </w:r>
      <w:r>
        <w:rPr>
          <w:noProof/>
          <w:lang w:eastAsia="en-AU"/>
        </w:rPr>
        <w:t xml:space="preserve">question </w:t>
      </w:r>
      <w:r w:rsidR="00414E5E">
        <w:rPr>
          <w:noProof/>
          <w:lang w:eastAsia="en-AU"/>
        </w:rPr>
        <w:t>asked participants to describe how they began searching for information when it was not supplied to them</w:t>
      </w:r>
      <w:r w:rsidR="00703D0C">
        <w:rPr>
          <w:noProof/>
          <w:lang w:eastAsia="en-AU"/>
        </w:rPr>
        <w:t>. M</w:t>
      </w:r>
      <w:r w:rsidR="0096094F">
        <w:rPr>
          <w:noProof/>
          <w:lang w:eastAsia="en-AU"/>
        </w:rPr>
        <w:t>any</w:t>
      </w:r>
      <w:r w:rsidR="00414E5E">
        <w:rPr>
          <w:noProof/>
          <w:lang w:eastAsia="en-AU"/>
        </w:rPr>
        <w:t xml:space="preserve"> </w:t>
      </w:r>
      <w:r w:rsidR="0096094F">
        <w:rPr>
          <w:noProof/>
          <w:lang w:eastAsia="en-AU"/>
        </w:rPr>
        <w:t xml:space="preserve">TAFE students </w:t>
      </w:r>
      <w:r w:rsidR="00414E5E">
        <w:rPr>
          <w:noProof/>
          <w:lang w:eastAsia="en-AU"/>
        </w:rPr>
        <w:t>responded with ‘the internet’</w:t>
      </w:r>
      <w:r w:rsidR="0096094F">
        <w:rPr>
          <w:noProof/>
          <w:lang w:eastAsia="en-AU"/>
        </w:rPr>
        <w:t xml:space="preserve"> </w:t>
      </w:r>
      <w:r w:rsidR="00414E5E">
        <w:rPr>
          <w:noProof/>
          <w:lang w:eastAsia="en-AU"/>
        </w:rPr>
        <w:t>or ‘</w:t>
      </w:r>
      <w:r w:rsidR="00DE4427">
        <w:rPr>
          <w:noProof/>
          <w:lang w:eastAsia="en-AU"/>
        </w:rPr>
        <w:t>G</w:t>
      </w:r>
      <w:r w:rsidR="00414E5E">
        <w:rPr>
          <w:noProof/>
          <w:lang w:eastAsia="en-AU"/>
        </w:rPr>
        <w:t>oogle’</w:t>
      </w:r>
      <w:r w:rsidR="0096094F">
        <w:rPr>
          <w:noProof/>
          <w:lang w:eastAsia="en-AU"/>
        </w:rPr>
        <w:t>, and a few stated ‘the library catalogue’</w:t>
      </w:r>
      <w:r w:rsidR="00A16736">
        <w:rPr>
          <w:noProof/>
          <w:lang w:eastAsia="en-AU"/>
        </w:rPr>
        <w:t xml:space="preserve"> or ‘the Early Years Learning Framework’</w:t>
      </w:r>
      <w:r w:rsidR="00414E5E">
        <w:rPr>
          <w:noProof/>
          <w:lang w:eastAsia="en-AU"/>
        </w:rPr>
        <w:t xml:space="preserve">. </w:t>
      </w:r>
      <w:r w:rsidR="0096094F">
        <w:rPr>
          <w:noProof/>
          <w:lang w:eastAsia="en-AU"/>
        </w:rPr>
        <w:t>These same avenues were identi</w:t>
      </w:r>
      <w:r w:rsidR="00B21422">
        <w:rPr>
          <w:noProof/>
          <w:lang w:eastAsia="en-AU"/>
        </w:rPr>
        <w:t>fied by the university students. H</w:t>
      </w:r>
      <w:r w:rsidR="0096094F">
        <w:rPr>
          <w:noProof/>
          <w:lang w:eastAsia="en-AU"/>
        </w:rPr>
        <w:t>owever, ‘database searches’ and ‘the library online search’</w:t>
      </w:r>
      <w:r>
        <w:rPr>
          <w:noProof/>
          <w:lang w:eastAsia="en-AU"/>
        </w:rPr>
        <w:t xml:space="preserve"> were mentioned first</w:t>
      </w:r>
      <w:r w:rsidR="0096094F">
        <w:rPr>
          <w:noProof/>
          <w:lang w:eastAsia="en-AU"/>
        </w:rPr>
        <w:t xml:space="preserve">. </w:t>
      </w:r>
      <w:r w:rsidR="00414E5E">
        <w:rPr>
          <w:noProof/>
          <w:lang w:eastAsia="en-AU"/>
        </w:rPr>
        <w:t xml:space="preserve">Given </w:t>
      </w:r>
      <w:r w:rsidR="008B296F">
        <w:rPr>
          <w:noProof/>
          <w:lang w:eastAsia="en-AU"/>
        </w:rPr>
        <w:t xml:space="preserve">that </w:t>
      </w:r>
      <w:r w:rsidR="00414E5E">
        <w:rPr>
          <w:noProof/>
          <w:lang w:eastAsia="en-AU"/>
        </w:rPr>
        <w:t>online sources were used by 85% of TAFE students and 80% of university students</w:t>
      </w:r>
      <w:r w:rsidR="00D306B0">
        <w:rPr>
          <w:noProof/>
          <w:lang w:eastAsia="en-AU"/>
        </w:rPr>
        <w:t>, the specific type of online information and the</w:t>
      </w:r>
      <w:r w:rsidR="00414E5E">
        <w:rPr>
          <w:noProof/>
          <w:lang w:eastAsia="en-AU"/>
        </w:rPr>
        <w:t xml:space="preserve"> process of accessing information online was targeted in </w:t>
      </w:r>
      <w:r w:rsidR="00860568">
        <w:rPr>
          <w:noProof/>
          <w:lang w:eastAsia="en-AU"/>
        </w:rPr>
        <w:t xml:space="preserve">the </w:t>
      </w:r>
      <w:r w:rsidR="00414E5E">
        <w:rPr>
          <w:noProof/>
          <w:lang w:eastAsia="en-AU"/>
        </w:rPr>
        <w:t>interview</w:t>
      </w:r>
      <w:r w:rsidR="00860568">
        <w:rPr>
          <w:noProof/>
          <w:lang w:eastAsia="en-AU"/>
        </w:rPr>
        <w:t>s</w:t>
      </w:r>
      <w:r w:rsidR="00414E5E">
        <w:rPr>
          <w:noProof/>
          <w:lang w:eastAsia="en-AU"/>
        </w:rPr>
        <w:t>.</w:t>
      </w:r>
    </w:p>
    <w:p w:rsidR="00A16736" w:rsidRDefault="006E17C9" w:rsidP="003B2495">
      <w:pPr>
        <w:pStyle w:val="Text"/>
        <w:rPr>
          <w:noProof/>
          <w:lang w:eastAsia="en-AU"/>
        </w:rPr>
      </w:pPr>
      <w:r>
        <w:rPr>
          <w:noProof/>
          <w:lang w:eastAsia="en-AU"/>
        </w:rPr>
        <w:t>A specific interview question was ‘</w:t>
      </w:r>
      <w:r>
        <w:t xml:space="preserve">How do you go about finding information?’ </w:t>
      </w:r>
      <w:r w:rsidR="001337C6">
        <w:t>The participants who described an in</w:t>
      </w:r>
      <w:r w:rsidR="00B37561">
        <w:t>ternet search received a follow-</w:t>
      </w:r>
      <w:r w:rsidR="001337C6">
        <w:t>up question asking ‘</w:t>
      </w:r>
      <w:proofErr w:type="gramStart"/>
      <w:r w:rsidR="001337C6">
        <w:t>What</w:t>
      </w:r>
      <w:proofErr w:type="gramEnd"/>
      <w:r w:rsidR="001337C6">
        <w:t xml:space="preserve"> do you do when 10</w:t>
      </w:r>
      <w:r w:rsidR="00B37561">
        <w:t> </w:t>
      </w:r>
      <w:r w:rsidR="001337C6">
        <w:t xml:space="preserve">000 results come back?’ </w:t>
      </w:r>
      <w:r w:rsidR="0096094F">
        <w:rPr>
          <w:noProof/>
          <w:lang w:eastAsia="en-AU"/>
        </w:rPr>
        <w:t xml:space="preserve">When using </w:t>
      </w:r>
      <w:r w:rsidR="00F47C41">
        <w:rPr>
          <w:noProof/>
          <w:lang w:eastAsia="en-AU"/>
        </w:rPr>
        <w:t>an internet search, a</w:t>
      </w:r>
      <w:r w:rsidR="00D306B0">
        <w:rPr>
          <w:noProof/>
          <w:lang w:eastAsia="en-AU"/>
        </w:rPr>
        <w:t xml:space="preserve">ll students identified </w:t>
      </w:r>
      <w:r w:rsidR="00342868">
        <w:rPr>
          <w:noProof/>
          <w:lang w:eastAsia="en-AU"/>
        </w:rPr>
        <w:t>that they had adopted</w:t>
      </w:r>
      <w:r w:rsidR="00F47C41">
        <w:rPr>
          <w:noProof/>
          <w:lang w:eastAsia="en-AU"/>
        </w:rPr>
        <w:t xml:space="preserve"> </w:t>
      </w:r>
      <w:r w:rsidR="00D306B0">
        <w:rPr>
          <w:noProof/>
          <w:lang w:eastAsia="en-AU"/>
        </w:rPr>
        <w:t xml:space="preserve">some level of online filtering to </w:t>
      </w:r>
      <w:r w:rsidR="00342868">
        <w:rPr>
          <w:noProof/>
          <w:lang w:eastAsia="en-AU"/>
        </w:rPr>
        <w:t>locate</w:t>
      </w:r>
      <w:r w:rsidR="00D306B0">
        <w:rPr>
          <w:noProof/>
          <w:lang w:eastAsia="en-AU"/>
        </w:rPr>
        <w:t xml:space="preserve"> reputable sources. These search filters included refining search terms, looking for Australian sites and </w:t>
      </w:r>
      <w:r w:rsidR="008B296F">
        <w:rPr>
          <w:noProof/>
          <w:lang w:eastAsia="en-AU"/>
        </w:rPr>
        <w:t xml:space="preserve">using </w:t>
      </w:r>
      <w:r w:rsidR="00D306B0">
        <w:rPr>
          <w:noProof/>
          <w:lang w:eastAsia="en-AU"/>
        </w:rPr>
        <w:t>an identified author.</w:t>
      </w:r>
      <w:r w:rsidR="00D23DBA">
        <w:rPr>
          <w:noProof/>
          <w:lang w:eastAsia="en-AU"/>
        </w:rPr>
        <w:t xml:space="preserve"> </w:t>
      </w:r>
      <w:r w:rsidR="00D26613">
        <w:rPr>
          <w:noProof/>
          <w:lang w:eastAsia="en-AU"/>
        </w:rPr>
        <w:t xml:space="preserve">While both TAFE and university students applied search filters, there </w:t>
      </w:r>
      <w:r w:rsidR="006100DC">
        <w:rPr>
          <w:noProof/>
          <w:lang w:eastAsia="en-AU"/>
        </w:rPr>
        <w:t xml:space="preserve">was a distinction between the two groups </w:t>
      </w:r>
      <w:r w:rsidR="00D26613">
        <w:rPr>
          <w:noProof/>
          <w:lang w:eastAsia="en-AU"/>
        </w:rPr>
        <w:t xml:space="preserve">because of their </w:t>
      </w:r>
      <w:r w:rsidR="006100DC">
        <w:rPr>
          <w:noProof/>
          <w:lang w:eastAsia="en-AU"/>
        </w:rPr>
        <w:t>specific priorities. For example</w:t>
      </w:r>
      <w:r w:rsidR="00A16736">
        <w:rPr>
          <w:noProof/>
          <w:lang w:eastAsia="en-AU"/>
        </w:rPr>
        <w:t>, one TAFE student explained their priorities</w:t>
      </w:r>
      <w:r w:rsidR="008D06E8">
        <w:rPr>
          <w:noProof/>
          <w:lang w:eastAsia="en-AU"/>
        </w:rPr>
        <w:t xml:space="preserve"> as being ‘the </w:t>
      </w:r>
      <w:r w:rsidR="00600884">
        <w:rPr>
          <w:noProof/>
          <w:lang w:eastAsia="en-AU"/>
        </w:rPr>
        <w:t>most professional site that I can find</w:t>
      </w:r>
      <w:r w:rsidR="00B37561">
        <w:rPr>
          <w:noProof/>
          <w:lang w:eastAsia="en-AU"/>
        </w:rPr>
        <w:t xml:space="preserve"> </w:t>
      </w:r>
      <w:r w:rsidR="001B6BBE">
        <w:rPr>
          <w:noProof/>
          <w:lang w:eastAsia="en-AU"/>
        </w:rPr>
        <w:t>…</w:t>
      </w:r>
      <w:r w:rsidR="00B37561">
        <w:rPr>
          <w:noProof/>
          <w:lang w:eastAsia="en-AU"/>
        </w:rPr>
        <w:t xml:space="preserve"> </w:t>
      </w:r>
      <w:r w:rsidR="00600884">
        <w:rPr>
          <w:noProof/>
          <w:lang w:eastAsia="en-AU"/>
        </w:rPr>
        <w:t xml:space="preserve">I look for the most practical information that you could use as somebody who was coming into the day care’. </w:t>
      </w:r>
      <w:r w:rsidR="003B2495">
        <w:rPr>
          <w:noProof/>
          <w:lang w:eastAsia="en-AU"/>
        </w:rPr>
        <w:t>The priority on practical information for TAFE students directs them to particular sources of inf</w:t>
      </w:r>
      <w:r w:rsidR="00D26613">
        <w:rPr>
          <w:noProof/>
          <w:lang w:eastAsia="en-AU"/>
        </w:rPr>
        <w:t xml:space="preserve">ormation and those sources represent </w:t>
      </w:r>
      <w:r w:rsidR="003B2495">
        <w:rPr>
          <w:noProof/>
          <w:lang w:eastAsia="en-AU"/>
        </w:rPr>
        <w:t xml:space="preserve">various levels of information, as indicated in the following two examples. </w:t>
      </w:r>
    </w:p>
    <w:p w:rsidR="00B37561" w:rsidRDefault="00B37561">
      <w:pPr>
        <w:spacing w:before="0" w:line="240" w:lineRule="auto"/>
        <w:rPr>
          <w:noProof/>
          <w:lang w:eastAsia="en-AU"/>
        </w:rPr>
      </w:pPr>
      <w:r>
        <w:rPr>
          <w:noProof/>
          <w:lang w:eastAsia="en-AU"/>
        </w:rPr>
        <w:br w:type="page"/>
      </w:r>
    </w:p>
    <w:p w:rsidR="003B2495" w:rsidRDefault="00973CC4" w:rsidP="003B2495">
      <w:pPr>
        <w:pStyle w:val="Text"/>
        <w:rPr>
          <w:noProof/>
          <w:lang w:eastAsia="en-AU"/>
        </w:rPr>
      </w:pPr>
      <w:r>
        <w:rPr>
          <w:noProof/>
          <w:lang w:eastAsia="en-AU"/>
        </w:rPr>
        <w:lastRenderedPageBreak/>
        <w:t xml:space="preserve">TAFE </w:t>
      </w:r>
      <w:r w:rsidR="003B2495">
        <w:rPr>
          <w:noProof/>
          <w:lang w:eastAsia="en-AU"/>
        </w:rPr>
        <w:t>Example 1</w:t>
      </w:r>
    </w:p>
    <w:p w:rsidR="003B2495" w:rsidRDefault="003B2495" w:rsidP="003B2495">
      <w:pPr>
        <w:pStyle w:val="Quote"/>
        <w:rPr>
          <w:noProof/>
          <w:lang w:eastAsia="en-AU"/>
        </w:rPr>
      </w:pPr>
      <w:r>
        <w:rPr>
          <w:noProof/>
          <w:lang w:eastAsia="en-AU"/>
        </w:rPr>
        <w:t>Normally I’d just Google it</w:t>
      </w:r>
      <w:r w:rsidR="008B296F">
        <w:rPr>
          <w:noProof/>
          <w:lang w:eastAsia="en-AU"/>
        </w:rPr>
        <w:t xml:space="preserve"> —</w:t>
      </w:r>
      <w:r>
        <w:rPr>
          <w:noProof/>
          <w:lang w:eastAsia="en-AU"/>
        </w:rPr>
        <w:t>‘autistic spectrum disorder in young children’. A whole range came up. One of them was called something to do with mums and autism. It was a really helpful website. It was all about mums who had children with autism spectrum disorder. They were able to give me a lot of information.</w:t>
      </w:r>
    </w:p>
    <w:p w:rsidR="003B2495" w:rsidRDefault="00973CC4" w:rsidP="003B2495">
      <w:pPr>
        <w:pStyle w:val="Text"/>
        <w:rPr>
          <w:noProof/>
          <w:lang w:eastAsia="en-AU"/>
        </w:rPr>
      </w:pPr>
      <w:r>
        <w:rPr>
          <w:noProof/>
          <w:lang w:eastAsia="en-AU"/>
        </w:rPr>
        <w:t xml:space="preserve">TAFE </w:t>
      </w:r>
      <w:r w:rsidR="003B2495">
        <w:rPr>
          <w:noProof/>
          <w:lang w:eastAsia="en-AU"/>
        </w:rPr>
        <w:t>Example 2</w:t>
      </w:r>
    </w:p>
    <w:p w:rsidR="003B2495" w:rsidRDefault="003B2495" w:rsidP="003B2495">
      <w:pPr>
        <w:pStyle w:val="Quote"/>
        <w:rPr>
          <w:noProof/>
          <w:lang w:eastAsia="en-AU"/>
        </w:rPr>
      </w:pPr>
      <w:r>
        <w:rPr>
          <w:noProof/>
          <w:lang w:eastAsia="en-AU"/>
        </w:rPr>
        <w:t>The first thing that I normally do is I will go to Google, and the second page that I go to is a page called www.aussiechildcarenetwork.com. I found them really good. They’re really resourceful. They have different sections for different people but they have assignment help. The people that are doing the assignment</w:t>
      </w:r>
      <w:r w:rsidR="00DE4427">
        <w:rPr>
          <w:noProof/>
          <w:lang w:eastAsia="en-AU"/>
        </w:rPr>
        <w:t xml:space="preserve"> </w:t>
      </w:r>
      <w:r w:rsidR="001B6BBE">
        <w:rPr>
          <w:noProof/>
          <w:lang w:eastAsia="en-AU"/>
        </w:rPr>
        <w:t>…</w:t>
      </w:r>
      <w:r w:rsidR="00DE4427">
        <w:rPr>
          <w:noProof/>
          <w:lang w:eastAsia="en-AU"/>
        </w:rPr>
        <w:t xml:space="preserve"> </w:t>
      </w:r>
      <w:r>
        <w:rPr>
          <w:noProof/>
          <w:lang w:eastAsia="en-AU"/>
        </w:rPr>
        <w:t>will post questions. People won’t obviously post the answer but they’ll either give you a link or reword the question so it’s a bit easier to understand. I found them really quite helpful.</w:t>
      </w:r>
    </w:p>
    <w:p w:rsidR="00D26613" w:rsidRDefault="006B54C2" w:rsidP="00D26613">
      <w:pPr>
        <w:pStyle w:val="Text"/>
        <w:rPr>
          <w:noProof/>
          <w:lang w:eastAsia="en-AU"/>
        </w:rPr>
      </w:pPr>
      <w:r>
        <w:rPr>
          <w:noProof/>
          <w:lang w:eastAsia="en-AU"/>
        </w:rPr>
        <w:t xml:space="preserve">In contrast, </w:t>
      </w:r>
      <w:r w:rsidR="00D26613">
        <w:rPr>
          <w:noProof/>
          <w:lang w:eastAsia="en-AU"/>
        </w:rPr>
        <w:t>university students are encouraged to prioritise theory, recent research and scholarly/peer</w:t>
      </w:r>
      <w:r>
        <w:rPr>
          <w:noProof/>
          <w:lang w:eastAsia="en-AU"/>
        </w:rPr>
        <w:t>-</w:t>
      </w:r>
      <w:r w:rsidR="00225210">
        <w:rPr>
          <w:noProof/>
          <w:lang w:eastAsia="en-AU"/>
        </w:rPr>
        <w:t>reviewed sources and</w:t>
      </w:r>
      <w:r w:rsidR="00D26613">
        <w:rPr>
          <w:noProof/>
          <w:lang w:eastAsia="en-AU"/>
        </w:rPr>
        <w:t xml:space="preserve"> their search filters were </w:t>
      </w:r>
      <w:r w:rsidR="00225210">
        <w:rPr>
          <w:noProof/>
          <w:lang w:eastAsia="en-AU"/>
        </w:rPr>
        <w:t xml:space="preserve">therefore </w:t>
      </w:r>
      <w:r w:rsidR="00D26613">
        <w:rPr>
          <w:noProof/>
          <w:lang w:eastAsia="en-AU"/>
        </w:rPr>
        <w:t>quite different.</w:t>
      </w:r>
    </w:p>
    <w:p w:rsidR="00973CC4" w:rsidRDefault="00973CC4" w:rsidP="00973CC4">
      <w:pPr>
        <w:pStyle w:val="Quote"/>
        <w:rPr>
          <w:noProof/>
          <w:lang w:eastAsia="en-AU"/>
        </w:rPr>
      </w:pPr>
      <w:r>
        <w:rPr>
          <w:noProof/>
          <w:lang w:eastAsia="en-AU"/>
        </w:rPr>
        <w:t xml:space="preserve">I type in key words and then find those. Then I just make sure that the wesbite is a reliable website and it’s not one that can be easily accessed by anyone that can change information. So I don’t use Wikipedia. I use reliable websites. If I’m looking on a website and I see who the author is of the article, sometimes I’ll go back onto the university website and I’ll look up journal articles. If they’ve written journal articles that </w:t>
      </w:r>
      <w:r w:rsidR="00225210">
        <w:rPr>
          <w:noProof/>
          <w:lang w:eastAsia="en-AU"/>
        </w:rPr>
        <w:t>have</w:t>
      </w:r>
      <w:r>
        <w:rPr>
          <w:noProof/>
          <w:lang w:eastAsia="en-AU"/>
        </w:rPr>
        <w:t xml:space="preserve"> been peer-reviewed, I know that they’re a reliable source and I’ll use that website. </w:t>
      </w:r>
    </w:p>
    <w:p w:rsidR="001B4C1C" w:rsidRDefault="003B5B6A" w:rsidP="003B5B6A">
      <w:pPr>
        <w:pStyle w:val="Text"/>
      </w:pPr>
      <w:r>
        <w:t>When looking at</w:t>
      </w:r>
      <w:r w:rsidR="00600884">
        <w:t xml:space="preserve"> both </w:t>
      </w:r>
      <w:r>
        <w:t xml:space="preserve">groups of students </w:t>
      </w:r>
      <w:r w:rsidR="00600884">
        <w:t>the most important point is that filters were applied to their online search strategies. In terms of transitioning to university, it is necessary to build on the existing knowledge of search filters and enhance the specific strategies that match university priorities</w:t>
      </w:r>
      <w:r w:rsidR="002A5355">
        <w:t xml:space="preserve"> and the </w:t>
      </w:r>
      <w:r w:rsidR="00FE7ED0">
        <w:t>information needed</w:t>
      </w:r>
      <w:r w:rsidR="002A5355">
        <w:t xml:space="preserve"> (Standard 1)</w:t>
      </w:r>
      <w:r w:rsidR="00600884">
        <w:t xml:space="preserve">. </w:t>
      </w:r>
      <w:r w:rsidR="004C1F2B">
        <w:t>University lecture</w:t>
      </w:r>
      <w:r w:rsidR="00183597">
        <w:t>r</w:t>
      </w:r>
      <w:r w:rsidR="004C1F2B">
        <w:t>s must be aw</w:t>
      </w:r>
      <w:r w:rsidR="00225210">
        <w:t>are of this shift in priorities</w:t>
      </w:r>
      <w:r w:rsidR="008B296F">
        <w:t xml:space="preserve"> </w:t>
      </w:r>
      <w:r w:rsidR="00DA00D3">
        <w:t>that</w:t>
      </w:r>
      <w:r w:rsidR="00D2233F">
        <w:t xml:space="preserve"> transitioning students experience. </w:t>
      </w:r>
    </w:p>
    <w:p w:rsidR="000A4FDE" w:rsidRDefault="00CB23BF" w:rsidP="001B3201">
      <w:pPr>
        <w:pStyle w:val="Heading3"/>
      </w:pPr>
      <w:r>
        <w:t xml:space="preserve">Information </w:t>
      </w:r>
      <w:r w:rsidR="00B43C84">
        <w:t xml:space="preserve">literacy </w:t>
      </w:r>
      <w:r>
        <w:t>skills</w:t>
      </w:r>
    </w:p>
    <w:p w:rsidR="008754DD" w:rsidRDefault="00821B19" w:rsidP="001B6BBE">
      <w:pPr>
        <w:pStyle w:val="Textlessbefore"/>
      </w:pPr>
      <w:r>
        <w:t xml:space="preserve">The </w:t>
      </w:r>
      <w:r w:rsidR="003C3DA5">
        <w:t xml:space="preserve">Information Skills Survey </w:t>
      </w:r>
      <w:r>
        <w:t>targets Standards 2 to 6</w:t>
      </w:r>
      <w:r w:rsidR="00D23DBA">
        <w:t xml:space="preserve"> in the </w:t>
      </w:r>
      <w:r w:rsidR="003C3DA5">
        <w:t xml:space="preserve">Australian and New Zealand Institute for Information Literacy </w:t>
      </w:r>
      <w:r w:rsidR="00D23DBA">
        <w:t>Framework</w:t>
      </w:r>
      <w:r w:rsidR="00302BBE">
        <w:t>:</w:t>
      </w:r>
      <w:r>
        <w:t xml:space="preserve"> finding information, evaluating a</w:t>
      </w:r>
      <w:r w:rsidR="001337C6">
        <w:t>nd managing information, applying</w:t>
      </w:r>
      <w:r>
        <w:t xml:space="preserve"> information to create new understanding and us</w:t>
      </w:r>
      <w:r w:rsidR="00302BBE">
        <w:t>ing</w:t>
      </w:r>
      <w:r>
        <w:t xml:space="preserve"> information appropriately. The survey instrument required participants to </w:t>
      </w:r>
      <w:r w:rsidR="00C0348A">
        <w:t xml:space="preserve">consider statements and indicate </w:t>
      </w:r>
      <w:r w:rsidR="001B3201">
        <w:t>from 0 to 3 (0 never, 1 sometimes, 2 often,</w:t>
      </w:r>
      <w:r w:rsidR="00C0348A">
        <w:t xml:space="preserve"> 3 always) what best represents </w:t>
      </w:r>
      <w:r w:rsidR="001B3201">
        <w:t xml:space="preserve">their practices in </w:t>
      </w:r>
      <w:r w:rsidR="00C0348A">
        <w:t xml:space="preserve">their current studies. For example, </w:t>
      </w:r>
      <w:r w:rsidR="001B3201" w:rsidRPr="001B3201">
        <w:t>‘To do assignments I (never/sometimes/often/always) find extra ar</w:t>
      </w:r>
      <w:r w:rsidR="001B3201">
        <w:t>ticles to support my argument</w:t>
      </w:r>
      <w:r w:rsidR="008B296F">
        <w:t>’.</w:t>
      </w:r>
      <w:r w:rsidR="004B6537">
        <w:t xml:space="preserve"> Thi</w:t>
      </w:r>
      <w:r w:rsidR="00822A8E">
        <w:t xml:space="preserve">s </w:t>
      </w:r>
      <w:r w:rsidR="001B6BBE">
        <w:br/>
      </w:r>
      <w:r w:rsidR="00822A8E">
        <w:t>20</w:t>
      </w:r>
      <w:r w:rsidR="00302BBE">
        <w:t>-</w:t>
      </w:r>
      <w:r w:rsidR="00822A8E">
        <w:t>item instrument appeared at the end</w:t>
      </w:r>
      <w:r w:rsidR="004B6537">
        <w:t xml:space="preserve"> </w:t>
      </w:r>
      <w:r w:rsidR="007C6941">
        <w:t>of the online survey</w:t>
      </w:r>
      <w:r w:rsidR="004B6537">
        <w:t>.</w:t>
      </w:r>
    </w:p>
    <w:p w:rsidR="00804E82" w:rsidRDefault="00C11CDB" w:rsidP="001B6BBE">
      <w:pPr>
        <w:pStyle w:val="Text"/>
        <w:ind w:right="141"/>
      </w:pPr>
      <w:r>
        <w:t>T</w:t>
      </w:r>
      <w:r w:rsidR="001B3201">
        <w:t xml:space="preserve">he </w:t>
      </w:r>
      <w:r w:rsidR="00973CC4">
        <w:t xml:space="preserve">TAFE </w:t>
      </w:r>
      <w:r w:rsidR="001B3201">
        <w:t xml:space="preserve">and university groups had averages </w:t>
      </w:r>
      <w:r w:rsidR="00B43C84">
        <w:t xml:space="preserve">above 1 </w:t>
      </w:r>
      <w:r>
        <w:t xml:space="preserve">on Standards 2 to 6 </w:t>
      </w:r>
      <w:r w:rsidR="00B43C84">
        <w:t>(</w:t>
      </w:r>
      <w:r w:rsidR="008B296F">
        <w:t>f</w:t>
      </w:r>
      <w:r w:rsidR="001B3201">
        <w:t xml:space="preserve">igure 1). </w:t>
      </w:r>
      <w:r w:rsidR="00A84E17">
        <w:t xml:space="preserve">This means that across Standards 2 to 6, all students </w:t>
      </w:r>
      <w:r w:rsidR="00D2233F">
        <w:t>were</w:t>
      </w:r>
      <w:r w:rsidR="00A84E17">
        <w:t xml:space="preserve"> at least some</w:t>
      </w:r>
      <w:r w:rsidR="003C78AA">
        <w:t>times demonstrating information-</w:t>
      </w:r>
      <w:r w:rsidR="00A84E17">
        <w:t xml:space="preserve">literate behaviours. </w:t>
      </w:r>
      <w:r w:rsidR="001B3201">
        <w:t xml:space="preserve">There </w:t>
      </w:r>
      <w:r w:rsidR="003C3DA5">
        <w:t>appeared to be</w:t>
      </w:r>
      <w:r w:rsidR="001B3201">
        <w:t xml:space="preserve"> differences between the groups</w:t>
      </w:r>
      <w:r w:rsidR="003C78AA">
        <w:t>,</w:t>
      </w:r>
      <w:r w:rsidR="00B43C84">
        <w:t xml:space="preserve"> </w:t>
      </w:r>
      <w:r w:rsidR="001502E3">
        <w:t xml:space="preserve">however, </w:t>
      </w:r>
      <w:r w:rsidR="001B3201">
        <w:t xml:space="preserve">with university students indicating more </w:t>
      </w:r>
      <w:r w:rsidR="00264C09">
        <w:t>consistent</w:t>
      </w:r>
      <w:r w:rsidR="003C78AA">
        <w:t xml:space="preserve"> behaviours, </w:t>
      </w:r>
      <w:r w:rsidR="00225210">
        <w:t xml:space="preserve">behaviours </w:t>
      </w:r>
      <w:r w:rsidR="003C78AA">
        <w:t>which</w:t>
      </w:r>
      <w:r w:rsidR="001B3201">
        <w:t xml:space="preserve"> relate to </w:t>
      </w:r>
      <w:r w:rsidR="00B43C84">
        <w:t xml:space="preserve">systematically </w:t>
      </w:r>
      <w:r w:rsidR="001B3201">
        <w:t xml:space="preserve">managing </w:t>
      </w:r>
      <w:r w:rsidR="00225210">
        <w:t xml:space="preserve">the </w:t>
      </w:r>
      <w:r w:rsidR="001B3201">
        <w:t xml:space="preserve">information collected (Standard 4) and </w:t>
      </w:r>
      <w:r w:rsidR="001B3201" w:rsidRPr="00264C09">
        <w:t>using</w:t>
      </w:r>
      <w:r w:rsidR="001B3201">
        <w:t xml:space="preserve"> information appropriately</w:t>
      </w:r>
      <w:r w:rsidR="00A74EE8">
        <w:t xml:space="preserve"> through</w:t>
      </w:r>
      <w:r w:rsidR="00B43C84">
        <w:t xml:space="preserve"> referencing and adhering to specific writing styles</w:t>
      </w:r>
      <w:r w:rsidR="001B3201">
        <w:t xml:space="preserve"> (Standard 6).</w:t>
      </w:r>
      <w:r w:rsidR="00A84E17">
        <w:t xml:space="preserve"> The less frequent </w:t>
      </w:r>
      <w:r w:rsidR="00AC17E9">
        <w:t>demonstration</w:t>
      </w:r>
      <w:r w:rsidR="00A84E17">
        <w:t xml:space="preserve"> </w:t>
      </w:r>
      <w:r w:rsidR="00225210">
        <w:t xml:space="preserve">by the TAFE students </w:t>
      </w:r>
      <w:r w:rsidR="00AC17E9">
        <w:t xml:space="preserve">of </w:t>
      </w:r>
      <w:r w:rsidR="00225210">
        <w:t xml:space="preserve">the </w:t>
      </w:r>
      <w:r w:rsidR="00AC17E9">
        <w:t>systematic</w:t>
      </w:r>
      <w:r w:rsidR="00225210">
        <w:t xml:space="preserve"> management of</w:t>
      </w:r>
      <w:r w:rsidR="00FC6ADA">
        <w:t xml:space="preserve"> </w:t>
      </w:r>
      <w:r w:rsidR="00AC17E9">
        <w:t>information may be linked to the type of assessment completed at TAFE (</w:t>
      </w:r>
      <w:r w:rsidR="009C6870">
        <w:t>for example,</w:t>
      </w:r>
      <w:r w:rsidR="00AC17E9">
        <w:t xml:space="preserve"> essays broken into a series of questions)</w:t>
      </w:r>
      <w:r w:rsidR="00225210">
        <w:t>, while</w:t>
      </w:r>
      <w:r w:rsidR="00AC17E9">
        <w:t xml:space="preserve"> the structured guidance in locating relevant sources means t</w:t>
      </w:r>
      <w:r w:rsidR="00225210">
        <w:t>here are reduced expectations relating to</w:t>
      </w:r>
      <w:r w:rsidR="00AC17E9">
        <w:t xml:space="preserve"> information management.</w:t>
      </w:r>
      <w:r w:rsidR="000B5986">
        <w:t xml:space="preserve"> </w:t>
      </w:r>
      <w:r w:rsidR="00BB5B25">
        <w:t>The different expectations in</w:t>
      </w:r>
      <w:r w:rsidR="00C60712">
        <w:t xml:space="preserve"> </w:t>
      </w:r>
      <w:r w:rsidR="00225210">
        <w:t xml:space="preserve">this area </w:t>
      </w:r>
      <w:r w:rsidR="00BB5B25">
        <w:t xml:space="preserve">at TAFE and university received support from </w:t>
      </w:r>
      <w:r w:rsidR="00BB5B25">
        <w:lastRenderedPageBreak/>
        <w:t xml:space="preserve">interview responses. </w:t>
      </w:r>
      <w:r w:rsidR="00A53957" w:rsidRPr="00A53957">
        <w:t>For example, one TAFE student described their routine as first writing the questions up and then reading through the gathered information to pick relevant bits to make a paragraph response</w:t>
      </w:r>
      <w:r w:rsidR="003C78AA">
        <w:t>, w</w:t>
      </w:r>
      <w:r w:rsidR="00C82EB4">
        <w:t>hereas a university student comment</w:t>
      </w:r>
      <w:r w:rsidR="00804E82">
        <w:t>ed</w:t>
      </w:r>
      <w:r w:rsidR="00C82EB4">
        <w:t xml:space="preserve"> on the need to construct concept maps and organise their</w:t>
      </w:r>
      <w:r w:rsidR="003C78AA">
        <w:t xml:space="preserve"> responses into subheadings, which</w:t>
      </w:r>
      <w:r w:rsidR="00C82EB4">
        <w:t xml:space="preserve"> were not prescribed in the assessment task</w:t>
      </w:r>
      <w:r w:rsidR="003C78AA">
        <w:t>. T</w:t>
      </w:r>
      <w:r w:rsidR="00C82EB4">
        <w:t>his same student said at the beginning of her degree</w:t>
      </w:r>
      <w:r w:rsidR="00A53957">
        <w:t>:</w:t>
      </w:r>
      <w:r w:rsidR="00C82EB4">
        <w:t xml:space="preserve"> ‘I didn’t have a plan and I was just writing it all down. It made no sense’.</w:t>
      </w:r>
    </w:p>
    <w:p w:rsidR="001B3201" w:rsidRPr="00804E82" w:rsidRDefault="001B6BBE" w:rsidP="00CF4183">
      <w:pPr>
        <w:pStyle w:val="Figuretitle"/>
      </w:pPr>
      <w:r>
        <w:rPr>
          <w:noProof/>
          <w:lang w:eastAsia="en-AU"/>
        </w:rPr>
        <w:drawing>
          <wp:anchor distT="0" distB="0" distL="114300" distR="114300" simplePos="0" relativeHeight="251699200" behindDoc="0" locked="0" layoutInCell="1" allowOverlap="1">
            <wp:simplePos x="0" y="0"/>
            <wp:positionH relativeFrom="column">
              <wp:posOffset>-3810</wp:posOffset>
            </wp:positionH>
            <wp:positionV relativeFrom="paragraph">
              <wp:posOffset>628015</wp:posOffset>
            </wp:positionV>
            <wp:extent cx="5486400" cy="3200400"/>
            <wp:effectExtent l="19050" t="0" r="19050" b="0"/>
            <wp:wrapTopAndBottom/>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bookmarkStart w:id="56" w:name="_Toc378160510"/>
      <w:r w:rsidR="00804E82">
        <w:t>Figure 1</w:t>
      </w:r>
      <w:r w:rsidR="00804E82">
        <w:tab/>
        <w:t xml:space="preserve">Self-reported use of information skills </w:t>
      </w:r>
      <w:r w:rsidR="00804E82" w:rsidRPr="00CF4183">
        <w:t>across</w:t>
      </w:r>
      <w:r w:rsidR="00804E82">
        <w:t xml:space="preserve"> Standards 2</w:t>
      </w:r>
      <w:r w:rsidR="00CF4183">
        <w:rPr>
          <w:rFonts w:cs="Tahoma"/>
        </w:rPr>
        <w:t>–</w:t>
      </w:r>
      <w:r w:rsidR="00804E82">
        <w:t xml:space="preserve">6 of </w:t>
      </w:r>
      <w:r w:rsidR="003C78AA">
        <w:t>the ANZIIL Framework,</w:t>
      </w:r>
      <w:r w:rsidR="00804E82">
        <w:t xml:space="preserve"> averaged by student group</w:t>
      </w:r>
      <w:bookmarkEnd w:id="56"/>
    </w:p>
    <w:p w:rsidR="00F9714E" w:rsidRDefault="005A2120" w:rsidP="001B3201">
      <w:pPr>
        <w:pStyle w:val="Heading2"/>
      </w:pPr>
      <w:bookmarkStart w:id="57" w:name="_Toc378160492"/>
      <w:r>
        <w:t>The</w:t>
      </w:r>
      <w:r w:rsidRPr="00F02D1C">
        <w:t xml:space="preserve"> in</w:t>
      </w:r>
      <w:r>
        <w:t>formation literacy challenges</w:t>
      </w:r>
      <w:bookmarkEnd w:id="57"/>
    </w:p>
    <w:p w:rsidR="00EE27F9" w:rsidRDefault="00C11CDB" w:rsidP="000B5986">
      <w:pPr>
        <w:pStyle w:val="Text"/>
      </w:pPr>
      <w:r>
        <w:t>T</w:t>
      </w:r>
      <w:r w:rsidR="00EE27F9" w:rsidRPr="00EE27F9">
        <w:t xml:space="preserve">his section reports on </w:t>
      </w:r>
      <w:r w:rsidR="002948F6">
        <w:t>those</w:t>
      </w:r>
      <w:r w:rsidR="003C78AA">
        <w:t xml:space="preserve"> </w:t>
      </w:r>
      <w:r w:rsidR="00EE27F9">
        <w:t xml:space="preserve">aspects of information literacy </w:t>
      </w:r>
      <w:r>
        <w:t xml:space="preserve">that </w:t>
      </w:r>
      <w:r w:rsidR="00EE27F9">
        <w:t xml:space="preserve">are </w:t>
      </w:r>
      <w:r w:rsidR="000C4708">
        <w:t>the most</w:t>
      </w:r>
      <w:r w:rsidR="00EE27F9">
        <w:t xml:space="preserve"> challenging</w:t>
      </w:r>
      <w:r w:rsidR="001502E3">
        <w:t xml:space="preserve"> for students</w:t>
      </w:r>
      <w:r w:rsidR="00EE27F9">
        <w:t xml:space="preserve"> (</w:t>
      </w:r>
      <w:r w:rsidR="003C78AA">
        <w:t>second research question</w:t>
      </w:r>
      <w:r w:rsidR="00EE27F9">
        <w:t xml:space="preserve">). </w:t>
      </w:r>
      <w:r>
        <w:t>O</w:t>
      </w:r>
      <w:r w:rsidR="00EE27F9">
        <w:t>nline survey findings from the larger participant group</w:t>
      </w:r>
      <w:r w:rsidR="001502E3">
        <w:t xml:space="preserve"> are presented first</w:t>
      </w:r>
      <w:r>
        <w:t>.</w:t>
      </w:r>
      <w:r w:rsidR="001502E3">
        <w:t xml:space="preserve"> </w:t>
      </w:r>
      <w:r>
        <w:t>T</w:t>
      </w:r>
      <w:r w:rsidR="00EE27F9">
        <w:t xml:space="preserve">he interview data </w:t>
      </w:r>
      <w:r w:rsidR="003C78AA">
        <w:t>are</w:t>
      </w:r>
      <w:r>
        <w:t xml:space="preserve"> then </w:t>
      </w:r>
      <w:r w:rsidR="001502E3">
        <w:t xml:space="preserve">used </w:t>
      </w:r>
      <w:r w:rsidR="00EE27F9">
        <w:t>to demonstrate the intricacies of the challenge</w:t>
      </w:r>
      <w:r w:rsidR="00C13838">
        <w:t xml:space="preserve">s </w:t>
      </w:r>
      <w:r w:rsidR="002948F6">
        <w:t xml:space="preserve">faced by </w:t>
      </w:r>
      <w:r w:rsidR="001502E3">
        <w:t xml:space="preserve">the </w:t>
      </w:r>
      <w:r w:rsidR="002948F6">
        <w:t>students</w:t>
      </w:r>
      <w:r w:rsidR="00EE27F9">
        <w:t>.</w:t>
      </w:r>
    </w:p>
    <w:p w:rsidR="0058651E" w:rsidRDefault="00C13838" w:rsidP="000B5986">
      <w:pPr>
        <w:pStyle w:val="Text"/>
      </w:pPr>
      <w:r>
        <w:t xml:space="preserve">As </w:t>
      </w:r>
      <w:r w:rsidR="00D2233F">
        <w:t xml:space="preserve">an </w:t>
      </w:r>
      <w:r>
        <w:t xml:space="preserve">initial insight into the most challenging aspect of information literacy, </w:t>
      </w:r>
      <w:r w:rsidR="007C6941">
        <w:t>the online survey</w:t>
      </w:r>
      <w:r>
        <w:t xml:space="preserve"> used the </w:t>
      </w:r>
      <w:r w:rsidR="00E445C7">
        <w:t>information literacy standards</w:t>
      </w:r>
      <w:r>
        <w:t xml:space="preserve"> (1</w:t>
      </w:r>
      <w:r w:rsidR="003C78AA">
        <w:t>—</w:t>
      </w:r>
      <w:r>
        <w:t xml:space="preserve">6) and asked students to indicate how </w:t>
      </w:r>
      <w:r w:rsidR="00E445C7">
        <w:t>challenging they found each aspect (not at all, somewhat, very, extremely challenging)</w:t>
      </w:r>
      <w:r w:rsidR="003C78AA">
        <w:t xml:space="preserve"> (f</w:t>
      </w:r>
      <w:r w:rsidR="00724B47">
        <w:t>igure 2)</w:t>
      </w:r>
      <w:r w:rsidR="00E445C7">
        <w:t xml:space="preserve">. </w:t>
      </w:r>
      <w:r w:rsidR="00425FA6">
        <w:t>For both TAFE and university respondents, understanding the assessment task</w:t>
      </w:r>
      <w:r w:rsidR="007D23EA">
        <w:t xml:space="preserve"> (Standard 1)</w:t>
      </w:r>
      <w:r w:rsidR="00425FA6">
        <w:t xml:space="preserve">, bringing together and preparing the assessment </w:t>
      </w:r>
      <w:r w:rsidR="007D23EA">
        <w:t xml:space="preserve">(Standard 5) </w:t>
      </w:r>
      <w:r w:rsidR="00425FA6">
        <w:t xml:space="preserve">and adhering to the writing and referencing styles </w:t>
      </w:r>
      <w:r w:rsidR="007D23EA">
        <w:t xml:space="preserve">(Standard 6) </w:t>
      </w:r>
      <w:r w:rsidR="00425FA6">
        <w:t xml:space="preserve">were the three aspects most consistently identified as being </w:t>
      </w:r>
      <w:r w:rsidR="002948F6">
        <w:t xml:space="preserve">the </w:t>
      </w:r>
      <w:r w:rsidR="00425FA6">
        <w:t>most challenging.</w:t>
      </w:r>
      <w:r w:rsidR="00D4761D">
        <w:t xml:space="preserve"> </w:t>
      </w:r>
      <w:r w:rsidR="00894783">
        <w:t xml:space="preserve">While it is very interesting that these three aspects are evident across both sectors, the nature of the challenge is somewhat different, as was </w:t>
      </w:r>
      <w:r w:rsidR="00D2233F">
        <w:t>revealed</w:t>
      </w:r>
      <w:r w:rsidR="00894783">
        <w:t xml:space="preserve"> in interview.</w:t>
      </w:r>
      <w:r w:rsidR="009E462D">
        <w:t xml:space="preserve"> </w:t>
      </w:r>
    </w:p>
    <w:p w:rsidR="001D60A2" w:rsidRDefault="001D60A2">
      <w:pPr>
        <w:spacing w:before="0" w:line="240" w:lineRule="auto"/>
        <w:rPr>
          <w:rFonts w:ascii="Tahoma" w:hAnsi="Tahoma"/>
          <w:b/>
          <w:sz w:val="17"/>
        </w:rPr>
      </w:pPr>
      <w:r>
        <w:br w:type="page"/>
      </w:r>
    </w:p>
    <w:p w:rsidR="001D60A2" w:rsidRDefault="001B6BBE" w:rsidP="001D60A2">
      <w:pPr>
        <w:pStyle w:val="Figuretitle"/>
      </w:pPr>
      <w:r>
        <w:rPr>
          <w:noProof/>
          <w:lang w:eastAsia="en-AU"/>
        </w:rPr>
        <w:lastRenderedPageBreak/>
        <w:drawing>
          <wp:anchor distT="0" distB="0" distL="114300" distR="114300" simplePos="0" relativeHeight="251700224" behindDoc="0" locked="0" layoutInCell="1" allowOverlap="1">
            <wp:simplePos x="0" y="0"/>
            <wp:positionH relativeFrom="column">
              <wp:posOffset>4445</wp:posOffset>
            </wp:positionH>
            <wp:positionV relativeFrom="paragraph">
              <wp:posOffset>380365</wp:posOffset>
            </wp:positionV>
            <wp:extent cx="5486400" cy="3200400"/>
            <wp:effectExtent l="19050" t="0" r="19050" b="0"/>
            <wp:wrapTopAndBottom/>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bookmarkStart w:id="58" w:name="_Toc378160511"/>
      <w:r w:rsidR="001D60A2">
        <w:t>Figure 2</w:t>
      </w:r>
      <w:r w:rsidR="001D60A2">
        <w:tab/>
      </w:r>
      <w:r w:rsidR="001D60A2" w:rsidRPr="001D60A2">
        <w:t>Student</w:t>
      </w:r>
      <w:r w:rsidR="001D60A2">
        <w:t xml:space="preserve">-perceived </w:t>
      </w:r>
      <w:proofErr w:type="gramStart"/>
      <w:r w:rsidR="001D60A2">
        <w:t>challenge</w:t>
      </w:r>
      <w:proofErr w:type="gramEnd"/>
      <w:r w:rsidR="001D60A2">
        <w:t xml:space="preserve"> of information skills across Standards 1–6 of </w:t>
      </w:r>
      <w:r w:rsidR="003C78AA">
        <w:t>ANZIIL Framework,</w:t>
      </w:r>
      <w:r w:rsidR="001D60A2">
        <w:t xml:space="preserve"> averaged by student group</w:t>
      </w:r>
      <w:bookmarkEnd w:id="58"/>
    </w:p>
    <w:p w:rsidR="00E445C7" w:rsidRDefault="00C13838" w:rsidP="001B6BBE">
      <w:pPr>
        <w:pStyle w:val="Textmorebefore"/>
      </w:pPr>
      <w:r>
        <w:t>During</w:t>
      </w:r>
      <w:r w:rsidR="00C11CDB">
        <w:t xml:space="preserve"> the </w:t>
      </w:r>
      <w:r>
        <w:t xml:space="preserve">interview </w:t>
      </w:r>
      <w:r w:rsidR="00BE0FBF">
        <w:t xml:space="preserve">TAFE students spoke about writing up the information and </w:t>
      </w:r>
      <w:r w:rsidR="003C78AA">
        <w:t>attempting</w:t>
      </w:r>
      <w:r w:rsidR="00BE0FBF">
        <w:t xml:space="preserve"> to </w:t>
      </w:r>
      <w:r w:rsidR="002948F6">
        <w:t>convert it</w:t>
      </w:r>
      <w:r w:rsidR="00BE0FBF">
        <w:t xml:space="preserve"> into </w:t>
      </w:r>
      <w:r w:rsidR="003C78AA">
        <w:t>their</w:t>
      </w:r>
      <w:r w:rsidR="000C4708">
        <w:t xml:space="preserve"> own</w:t>
      </w:r>
      <w:r w:rsidR="00BE0FBF">
        <w:t xml:space="preserve"> words. Many students spoke about how it was clear in their head but they had difficulty </w:t>
      </w:r>
      <w:r w:rsidR="003C78AA">
        <w:t>presenting</w:t>
      </w:r>
      <w:r w:rsidR="00BE0FBF">
        <w:t xml:space="preserve"> a clear argument on the page</w:t>
      </w:r>
      <w:r w:rsidR="003C78AA">
        <w:t>, with</w:t>
      </w:r>
      <w:r w:rsidR="00BE0FBF">
        <w:t xml:space="preserve"> aspects of grammar </w:t>
      </w:r>
      <w:r w:rsidR="00512D05">
        <w:t xml:space="preserve">also </w:t>
      </w:r>
      <w:r w:rsidR="00BE0FBF">
        <w:t>ma</w:t>
      </w:r>
      <w:r w:rsidR="003C78AA">
        <w:t>king</w:t>
      </w:r>
      <w:r w:rsidR="00BE0FBF">
        <w:t xml:space="preserve"> </w:t>
      </w:r>
      <w:r w:rsidR="002948F6">
        <w:t>the task</w:t>
      </w:r>
      <w:r w:rsidR="003C78AA">
        <w:t xml:space="preserve"> difficult</w:t>
      </w:r>
      <w:r w:rsidR="00BE0FBF">
        <w:t xml:space="preserve">. </w:t>
      </w:r>
      <w:r w:rsidR="00512D05">
        <w:t>Several spoke about how they</w:t>
      </w:r>
      <w:r w:rsidR="00BE0FBF">
        <w:t xml:space="preserve"> lacked confidence in their ability to reference. </w:t>
      </w:r>
      <w:r w:rsidR="00A53957" w:rsidRPr="00A53957">
        <w:t xml:space="preserve">University students also mentioned </w:t>
      </w:r>
      <w:r w:rsidR="00A53957">
        <w:t xml:space="preserve">that </w:t>
      </w:r>
      <w:r w:rsidR="00A53957" w:rsidRPr="00A53957">
        <w:t>formulating their responses, assimilating the</w:t>
      </w:r>
      <w:r w:rsidR="00A53957">
        <w:t>ir</w:t>
      </w:r>
      <w:r w:rsidR="00A53957" w:rsidRPr="00A53957">
        <w:t xml:space="preserve"> ideas and appropriately acknowledging </w:t>
      </w:r>
      <w:r w:rsidR="00A53957">
        <w:t>references</w:t>
      </w:r>
      <w:r w:rsidR="00A53957" w:rsidRPr="00A53957">
        <w:t xml:space="preserve"> </w:t>
      </w:r>
      <w:r w:rsidR="00A53957">
        <w:t>w</w:t>
      </w:r>
      <w:r w:rsidR="00DA00D3">
        <w:t>ere</w:t>
      </w:r>
      <w:r w:rsidR="00A53957" w:rsidRPr="00A53957">
        <w:t xml:space="preserve"> challenging.</w:t>
      </w:r>
      <w:r w:rsidR="00BE0FBF">
        <w:t xml:space="preserve"> </w:t>
      </w:r>
      <w:r w:rsidR="00512D05">
        <w:t>One university student described</w:t>
      </w:r>
      <w:r w:rsidR="00FB1E81">
        <w:t>:</w:t>
      </w:r>
      <w:r w:rsidR="00512D05">
        <w:t xml:space="preserve"> </w:t>
      </w:r>
    </w:p>
    <w:p w:rsidR="00512D05" w:rsidRDefault="00FB1E81" w:rsidP="001B6BBE">
      <w:pPr>
        <w:pStyle w:val="Quote"/>
      </w:pPr>
      <w:r>
        <w:t>W</w:t>
      </w:r>
      <w:r w:rsidR="00512D05">
        <w:t xml:space="preserve">hat I find the most </w:t>
      </w:r>
      <w:r w:rsidR="00512D05" w:rsidRPr="001B6BBE">
        <w:t>challenging</w:t>
      </w:r>
      <w:r w:rsidR="00512D05">
        <w:t xml:space="preserve"> is keeping all the quoting and the referencing in line and to not give my opinion about something. It’s what I’ve learnt from academic people.</w:t>
      </w:r>
    </w:p>
    <w:p w:rsidR="00FB1E81" w:rsidRDefault="00FB1E81" w:rsidP="00512D05">
      <w:pPr>
        <w:pStyle w:val="Text"/>
      </w:pPr>
      <w:r>
        <w:t xml:space="preserve">Another university student found </w:t>
      </w:r>
      <w:r w:rsidR="00B52454">
        <w:t>the various differences</w:t>
      </w:r>
      <w:r>
        <w:t xml:space="preserve"> in referencing to be particularly difficult and believed that they did not reference in their previous TAFE studies, </w:t>
      </w:r>
      <w:r w:rsidR="00B52454">
        <w:t>which meant a reduction in</w:t>
      </w:r>
      <w:r w:rsidR="008D55FE">
        <w:t xml:space="preserve"> </w:t>
      </w:r>
      <w:r w:rsidR="002948F6">
        <w:t xml:space="preserve">their </w:t>
      </w:r>
      <w:r w:rsidR="008D55FE">
        <w:t>confidence as they</w:t>
      </w:r>
      <w:r>
        <w:t xml:space="preserve"> transitioned to university:</w:t>
      </w:r>
    </w:p>
    <w:p w:rsidR="00512D05" w:rsidRDefault="00FB1E81" w:rsidP="00FB1E81">
      <w:pPr>
        <w:pStyle w:val="Quote"/>
      </w:pPr>
      <w:r>
        <w:t>I don’t think it’s something that I did. We certainly didn’t have to do it when we were in TAFE. So it was a new thing when I came to university. I knew that I had to do it but I had no previous experience.</w:t>
      </w:r>
    </w:p>
    <w:p w:rsidR="00D0616A" w:rsidRDefault="00D0616A" w:rsidP="00D4761D">
      <w:pPr>
        <w:pStyle w:val="Text"/>
      </w:pPr>
      <w:r>
        <w:t>What is interesting here is that the TAFE students</w:t>
      </w:r>
      <w:r w:rsidR="00985335">
        <w:t xml:space="preserve"> who were</w:t>
      </w:r>
      <w:r>
        <w:t xml:space="preserve"> interviewed report</w:t>
      </w:r>
      <w:r w:rsidR="00C11CDB">
        <w:t>ed</w:t>
      </w:r>
      <w:r>
        <w:t xml:space="preserve"> using referencing</w:t>
      </w:r>
      <w:r w:rsidR="00C11CDB">
        <w:t>. H</w:t>
      </w:r>
      <w:r>
        <w:t xml:space="preserve">owever, </w:t>
      </w:r>
      <w:r w:rsidR="001F6D29">
        <w:t>it was</w:t>
      </w:r>
      <w:r w:rsidR="006C5E1E">
        <w:t xml:space="preserve"> different </w:t>
      </w:r>
      <w:r w:rsidR="00B52454">
        <w:t>from what was expected at university</w:t>
      </w:r>
      <w:r w:rsidR="006C5E1E">
        <w:t>. Among the TAFE students</w:t>
      </w:r>
      <w:r w:rsidR="0011536C">
        <w:t>,</w:t>
      </w:r>
      <w:r w:rsidR="006C5E1E">
        <w:t xml:space="preserve"> government documents (</w:t>
      </w:r>
      <w:r w:rsidR="009C6870">
        <w:t>for example,</w:t>
      </w:r>
      <w:r w:rsidR="006C5E1E">
        <w:t xml:space="preserve"> Early Years Learning Framework) and theorists (</w:t>
      </w:r>
      <w:r w:rsidR="009C6870">
        <w:t>for example,</w:t>
      </w:r>
      <w:r w:rsidR="006C5E1E">
        <w:t xml:space="preserve"> Piaget and Vygotsky) were considered to</w:t>
      </w:r>
      <w:r w:rsidR="001F6D29">
        <w:t xml:space="preserve"> </w:t>
      </w:r>
      <w:r w:rsidR="006C5E1E">
        <w:t xml:space="preserve">be ‘referenced’ if they were named in the relevant sentence. </w:t>
      </w:r>
      <w:r w:rsidR="00B21422">
        <w:t>U</w:t>
      </w:r>
      <w:r w:rsidR="0011536C">
        <w:t>niversity studies require more formal in</w:t>
      </w:r>
      <w:r w:rsidR="00C11CDB">
        <w:t>-</w:t>
      </w:r>
      <w:r w:rsidR="0011536C">
        <w:t>text citations using the author</w:t>
      </w:r>
      <w:r w:rsidR="00A236FC">
        <w:t>–</w:t>
      </w:r>
      <w:r w:rsidR="0011536C">
        <w:t xml:space="preserve">date system and </w:t>
      </w:r>
      <w:r w:rsidR="00DA00D3">
        <w:t xml:space="preserve">an </w:t>
      </w:r>
      <w:r w:rsidR="0011536C">
        <w:t xml:space="preserve">accompanying reference list. </w:t>
      </w:r>
      <w:r w:rsidR="00F34C8E">
        <w:t>Students’</w:t>
      </w:r>
      <w:r w:rsidR="0011536C">
        <w:t xml:space="preserve"> understanding of what referencing </w:t>
      </w:r>
      <w:r w:rsidR="00A236FC">
        <w:t xml:space="preserve">entails </w:t>
      </w:r>
      <w:r w:rsidR="0011536C">
        <w:t xml:space="preserve">appears to be different across </w:t>
      </w:r>
      <w:r w:rsidR="009E03A4">
        <w:t xml:space="preserve">the two </w:t>
      </w:r>
      <w:r w:rsidR="0011536C">
        <w:t>sectors.</w:t>
      </w:r>
      <w:r w:rsidR="00FC6ADA">
        <w:t xml:space="preserve"> </w:t>
      </w:r>
    </w:p>
    <w:p w:rsidR="006B3E5B" w:rsidRDefault="00D0616A" w:rsidP="00D4761D">
      <w:pPr>
        <w:pStyle w:val="Text"/>
      </w:pPr>
      <w:r>
        <w:t>The discussion with</w:t>
      </w:r>
      <w:r w:rsidR="001636F9">
        <w:t xml:space="preserve"> university students reveal</w:t>
      </w:r>
      <w:r w:rsidR="00A236FC">
        <w:t>ed</w:t>
      </w:r>
      <w:r w:rsidR="001636F9">
        <w:t xml:space="preserve"> their perspectives on some of the </w:t>
      </w:r>
      <w:r w:rsidR="00F34C8E">
        <w:t>most substantial</w:t>
      </w:r>
      <w:r w:rsidR="001636F9">
        <w:t xml:space="preserve"> differences between TAFE and university studies. </w:t>
      </w:r>
      <w:r w:rsidR="00386C27">
        <w:t xml:space="preserve">For example, </w:t>
      </w:r>
      <w:r w:rsidR="001636F9">
        <w:t>the</w:t>
      </w:r>
      <w:r w:rsidR="009E462D">
        <w:t xml:space="preserve"> majority </w:t>
      </w:r>
      <w:r w:rsidR="009E03A4">
        <w:t>highlighted difficulties</w:t>
      </w:r>
      <w:r w:rsidR="0011536C">
        <w:t xml:space="preserve"> </w:t>
      </w:r>
      <w:r w:rsidR="009E462D">
        <w:t xml:space="preserve">in understanding the </w:t>
      </w:r>
      <w:r w:rsidR="0011536C">
        <w:t xml:space="preserve">assessment </w:t>
      </w:r>
      <w:r w:rsidR="009E462D">
        <w:t>criteria sheet</w:t>
      </w:r>
      <w:r w:rsidR="00386C27">
        <w:t xml:space="preserve">. </w:t>
      </w:r>
      <w:r w:rsidR="0011536C">
        <w:t xml:space="preserve">This was notably different </w:t>
      </w:r>
      <w:r w:rsidR="00F34C8E">
        <w:t>from</w:t>
      </w:r>
      <w:r w:rsidR="00386C27">
        <w:t xml:space="preserve"> the competency</w:t>
      </w:r>
      <w:r w:rsidR="00A236FC">
        <w:t>-</w:t>
      </w:r>
      <w:r w:rsidR="00386C27">
        <w:t xml:space="preserve">based </w:t>
      </w:r>
      <w:r w:rsidR="00386C27">
        <w:lastRenderedPageBreak/>
        <w:t xml:space="preserve">assessment at TAFE. </w:t>
      </w:r>
      <w:r w:rsidR="0011536C">
        <w:t>U</w:t>
      </w:r>
      <w:r w:rsidR="00386C27">
        <w:t xml:space="preserve">niversity </w:t>
      </w:r>
      <w:r w:rsidR="00DA00D3">
        <w:t xml:space="preserve">study </w:t>
      </w:r>
      <w:r w:rsidR="00386C27">
        <w:t>was identified as having a higher level of expectati</w:t>
      </w:r>
      <w:r w:rsidR="00F34C8E">
        <w:t>on, with more complex tasks, which</w:t>
      </w:r>
      <w:r w:rsidR="00386C27">
        <w:t xml:space="preserve"> require access to a wider range of scholarly information sources. </w:t>
      </w:r>
    </w:p>
    <w:p w:rsidR="006B3E5B" w:rsidRPr="006B3E5B" w:rsidRDefault="006B3E5B" w:rsidP="006B3E5B">
      <w:pPr>
        <w:pStyle w:val="Quote"/>
      </w:pPr>
      <w:r>
        <w:t>I think a lot of the information was just handed to you on a platter at TAFE and you could read it if you wanted to. But you could still do the minimal work and you’d get through. Where, uni is certainly not like that.</w:t>
      </w:r>
    </w:p>
    <w:p w:rsidR="00B561AE" w:rsidRDefault="006B3E5B" w:rsidP="00D4761D">
      <w:pPr>
        <w:pStyle w:val="Text"/>
      </w:pPr>
      <w:r>
        <w:t xml:space="preserve">What is challenging in this situation is the time commitment </w:t>
      </w:r>
      <w:r w:rsidR="009E03A4">
        <w:t>required by</w:t>
      </w:r>
      <w:r>
        <w:t xml:space="preserve"> university study. Six of the </w:t>
      </w:r>
      <w:r w:rsidR="00F34C8E">
        <w:t>ten</w:t>
      </w:r>
      <w:r>
        <w:t xml:space="preserve"> university students who were interviewed were working and studying externally</w:t>
      </w:r>
      <w:r w:rsidR="00B561AE">
        <w:t>. All o</w:t>
      </w:r>
      <w:r w:rsidR="00161206">
        <w:t xml:space="preserve">f them spoke about </w:t>
      </w:r>
      <w:r w:rsidR="009E03A4">
        <w:t>juggling</w:t>
      </w:r>
      <w:r w:rsidR="00B561AE">
        <w:t xml:space="preserve"> work, university, family and friends and </w:t>
      </w:r>
      <w:r w:rsidR="00D0616A">
        <w:t xml:space="preserve">that </w:t>
      </w:r>
      <w:r w:rsidR="00B561AE">
        <w:t>this time pressure made them feel less confident</w:t>
      </w:r>
      <w:r w:rsidR="00161206">
        <w:t xml:space="preserve"> when it came to their studies</w:t>
      </w:r>
      <w:r w:rsidR="00B561AE">
        <w:t>.</w:t>
      </w:r>
    </w:p>
    <w:p w:rsidR="003B6D95" w:rsidRDefault="00B561AE" w:rsidP="00B561AE">
      <w:pPr>
        <w:pStyle w:val="Quote"/>
      </w:pPr>
      <w:r>
        <w:t>When you first look at it you think, oh my goodness. You’re like oh, I can’t do this and that makes you want to quit, because you think I’m not smart enough for this.</w:t>
      </w:r>
    </w:p>
    <w:p w:rsidR="00B561AE" w:rsidRDefault="00B561AE" w:rsidP="00B561AE">
      <w:pPr>
        <w:pStyle w:val="Text"/>
      </w:pPr>
      <w:r>
        <w:t xml:space="preserve">It is matter of developing coping strategies and avenues for support. </w:t>
      </w:r>
      <w:r w:rsidR="008057A0">
        <w:t xml:space="preserve">Their previous TAFE </w:t>
      </w:r>
      <w:r w:rsidR="00CF2230">
        <w:t>d</w:t>
      </w:r>
      <w:r w:rsidR="008057A0">
        <w:t xml:space="preserve">iplomas </w:t>
      </w:r>
      <w:r w:rsidR="00DA00D3">
        <w:t>had been</w:t>
      </w:r>
      <w:r w:rsidR="008057A0">
        <w:t xml:space="preserve"> completed full</w:t>
      </w:r>
      <w:r w:rsidR="00CF2230">
        <w:t>-</w:t>
      </w:r>
      <w:r w:rsidR="008057A0">
        <w:t>time on campus, so studying externally was always going to be a big change. The small TAFE class sizes and one</w:t>
      </w:r>
      <w:r w:rsidR="00CF2230">
        <w:t>-</w:t>
      </w:r>
      <w:r w:rsidR="008057A0">
        <w:t>on</w:t>
      </w:r>
      <w:r w:rsidR="00CF2230">
        <w:t>-</w:t>
      </w:r>
      <w:r w:rsidR="008057A0">
        <w:t xml:space="preserve">one interaction are replaced </w:t>
      </w:r>
      <w:r w:rsidR="00FF1C48">
        <w:t>by</w:t>
      </w:r>
      <w:r w:rsidR="008057A0">
        <w:t xml:space="preserve"> emails, readings, online forums and lecture recordings.</w:t>
      </w:r>
      <w:r w:rsidR="00D56AB7">
        <w:t xml:space="preserve"> This can be a very isolating experience for external students.</w:t>
      </w:r>
      <w:r w:rsidR="00076883">
        <w:t xml:space="preserve"> The different transitioning experiences of an internal university student and an external university student </w:t>
      </w:r>
      <w:r w:rsidR="00C3327A">
        <w:t>are</w:t>
      </w:r>
      <w:r w:rsidR="009E03A4">
        <w:t xml:space="preserve"> clearly present in the nex</w:t>
      </w:r>
      <w:r w:rsidR="00076883">
        <w:t>t section</w:t>
      </w:r>
      <w:r w:rsidR="009E03A4">
        <w:t>, which</w:t>
      </w:r>
      <w:r w:rsidR="00076883">
        <w:t xml:space="preserve"> looks at student perspective</w:t>
      </w:r>
      <w:r w:rsidR="00CF2230">
        <w:t>s</w:t>
      </w:r>
      <w:r w:rsidR="00076883">
        <w:t xml:space="preserve"> on information literacy </w:t>
      </w:r>
      <w:r w:rsidR="0005501E">
        <w:t>eas</w:t>
      </w:r>
      <w:r w:rsidR="00D0616A">
        <w:t>ing</w:t>
      </w:r>
      <w:r w:rsidR="00076883">
        <w:t xml:space="preserve"> the transition to university.</w:t>
      </w:r>
    </w:p>
    <w:p w:rsidR="00F9714E" w:rsidRDefault="005A2120" w:rsidP="001B3201">
      <w:pPr>
        <w:pStyle w:val="Heading2"/>
      </w:pPr>
      <w:bookmarkStart w:id="59" w:name="_Toc378160493"/>
      <w:r>
        <w:t>I</w:t>
      </w:r>
      <w:r w:rsidRPr="00F02D1C">
        <w:t xml:space="preserve">mprovements to information literacy </w:t>
      </w:r>
      <w:r w:rsidR="001C3453">
        <w:t xml:space="preserve">support </w:t>
      </w:r>
      <w:r>
        <w:t xml:space="preserve">to </w:t>
      </w:r>
      <w:r w:rsidR="00C11CDB">
        <w:t>ease</w:t>
      </w:r>
      <w:r>
        <w:t xml:space="preserve"> the transition to</w:t>
      </w:r>
      <w:r w:rsidR="001B6BBE">
        <w:t> </w:t>
      </w:r>
      <w:r>
        <w:t>university</w:t>
      </w:r>
      <w:bookmarkEnd w:id="59"/>
      <w:r>
        <w:t xml:space="preserve"> </w:t>
      </w:r>
    </w:p>
    <w:p w:rsidR="001E57C2" w:rsidRDefault="00A53957" w:rsidP="001E57C2">
      <w:pPr>
        <w:pStyle w:val="Text"/>
      </w:pPr>
      <w:r w:rsidRPr="00A53957">
        <w:t>This final section on the findings reports student perspectives from both sides of the transition, with a focus on improving information literacy support as a means to ease the VET-to-university transition (third research question).</w:t>
      </w:r>
      <w:r w:rsidR="001E57C2">
        <w:t xml:space="preserve"> </w:t>
      </w:r>
      <w:r w:rsidR="00FF1C48">
        <w:t>The</w:t>
      </w:r>
      <w:r w:rsidR="00DB6CBE">
        <w:t xml:space="preserve"> data </w:t>
      </w:r>
      <w:r w:rsidR="00FF1C48">
        <w:t xml:space="preserve">here are </w:t>
      </w:r>
      <w:r w:rsidR="00DB6CBE">
        <w:t>taken solely</w:t>
      </w:r>
      <w:r w:rsidR="001E57C2">
        <w:t xml:space="preserve"> from the interview</w:t>
      </w:r>
      <w:r w:rsidR="00C13838">
        <w:t>s</w:t>
      </w:r>
      <w:r w:rsidR="001E57C2">
        <w:t xml:space="preserve"> with </w:t>
      </w:r>
      <w:r w:rsidR="00FF1C48">
        <w:t>ten</w:t>
      </w:r>
      <w:r w:rsidR="001E57C2">
        <w:t xml:space="preserve"> TAFE students and </w:t>
      </w:r>
      <w:r w:rsidR="00FF1C48">
        <w:t>ten university students; that is,</w:t>
      </w:r>
      <w:r w:rsidR="001E57C2">
        <w:t xml:space="preserve"> TAFE students looking towards uni</w:t>
      </w:r>
      <w:r w:rsidR="00FF1C48">
        <w:t xml:space="preserve">versity and university students who </w:t>
      </w:r>
      <w:r w:rsidR="001E57C2">
        <w:t>hav</w:t>
      </w:r>
      <w:r w:rsidR="00FF1C48">
        <w:t>e</w:t>
      </w:r>
      <w:r w:rsidR="001E57C2">
        <w:t xml:space="preserve"> made the transition.</w:t>
      </w:r>
    </w:p>
    <w:p w:rsidR="00161206" w:rsidRDefault="00161206" w:rsidP="00161206">
      <w:pPr>
        <w:pStyle w:val="Heading3"/>
      </w:pPr>
      <w:r>
        <w:t xml:space="preserve">TAFE students </w:t>
      </w:r>
      <w:r w:rsidR="00687B1E">
        <w:t xml:space="preserve">looking </w:t>
      </w:r>
      <w:r>
        <w:t>towards university</w:t>
      </w:r>
    </w:p>
    <w:p w:rsidR="00C11CDB" w:rsidRDefault="00863B88" w:rsidP="00DA00D3">
      <w:pPr>
        <w:pStyle w:val="Textlessbefore"/>
        <w:ind w:right="283"/>
      </w:pPr>
      <w:r>
        <w:t xml:space="preserve">Information literacy support was typically provided </w:t>
      </w:r>
      <w:r w:rsidR="00FF1C48">
        <w:t>by the individual TAFE teachers</w:t>
      </w:r>
      <w:r>
        <w:t xml:space="preserve"> </w:t>
      </w:r>
      <w:r w:rsidR="0094001D">
        <w:t xml:space="preserve">and </w:t>
      </w:r>
      <w:r>
        <w:t>was clearly focused on the skills necessary to complete assessment</w:t>
      </w:r>
      <w:r w:rsidR="0094001D">
        <w:t>s</w:t>
      </w:r>
      <w:r>
        <w:t xml:space="preserve">. There was some mention of using an online tool in the library </w:t>
      </w:r>
      <w:r w:rsidR="00DA00D3">
        <w:t>that</w:t>
      </w:r>
      <w:r>
        <w:t xml:space="preserve"> allowed access to journal articles. </w:t>
      </w:r>
      <w:r w:rsidR="0094001D">
        <w:t>However, and a</w:t>
      </w:r>
      <w:r>
        <w:t xml:space="preserve">s mentioned in the section on assessment and information literacy, priorities were on practical information </w:t>
      </w:r>
      <w:r w:rsidR="0094001D">
        <w:t>‘</w:t>
      </w:r>
      <w:r>
        <w:t>f</w:t>
      </w:r>
      <w:r w:rsidR="0094001D">
        <w:t xml:space="preserve">rom </w:t>
      </w:r>
      <w:r>
        <w:t>the field</w:t>
      </w:r>
      <w:r w:rsidR="0094001D">
        <w:t>’</w:t>
      </w:r>
      <w:r>
        <w:t xml:space="preserve">, so students did not always develop </w:t>
      </w:r>
      <w:r w:rsidR="0094001D">
        <w:t xml:space="preserve">the </w:t>
      </w:r>
      <w:r>
        <w:t>skills of accessing, reading and comprehending journal</w:t>
      </w:r>
      <w:r w:rsidR="007B5198">
        <w:t>-</w:t>
      </w:r>
      <w:r>
        <w:t xml:space="preserve">style articles. </w:t>
      </w:r>
    </w:p>
    <w:p w:rsidR="00863B88" w:rsidRPr="001B6BBE" w:rsidRDefault="00863B88" w:rsidP="001B6BBE">
      <w:pPr>
        <w:pStyle w:val="Text"/>
      </w:pPr>
      <w:r>
        <w:t>General support services were offered by TAFE librarians</w:t>
      </w:r>
      <w:r w:rsidR="00921E5C">
        <w:t xml:space="preserve"> in the ‘learning hub’</w:t>
      </w:r>
      <w:r w:rsidR="007B5198">
        <w:t>;</w:t>
      </w:r>
      <w:r w:rsidR="00921E5C">
        <w:t xml:space="preserve"> however</w:t>
      </w:r>
      <w:r w:rsidR="007B5198">
        <w:t>,</w:t>
      </w:r>
      <w:r w:rsidR="00921E5C">
        <w:t xml:space="preserve"> nine o</w:t>
      </w:r>
      <w:r w:rsidR="0094001D">
        <w:t xml:space="preserve">f the </w:t>
      </w:r>
      <w:r w:rsidR="00FF1C48">
        <w:t>ten</w:t>
      </w:r>
      <w:r w:rsidR="00921E5C">
        <w:t xml:space="preserve"> interviewees reported not using these services because they ‘didn’t need them’, or </w:t>
      </w:r>
      <w:r w:rsidR="0094001D">
        <w:t>‘</w:t>
      </w:r>
      <w:r w:rsidR="00921E5C">
        <w:t xml:space="preserve">they </w:t>
      </w:r>
      <w:r w:rsidR="00D2233F">
        <w:t xml:space="preserve">were </w:t>
      </w:r>
      <w:r w:rsidR="00921E5C">
        <w:t>inconveniently timed</w:t>
      </w:r>
      <w:r w:rsidR="0094001D">
        <w:t>’</w:t>
      </w:r>
      <w:r w:rsidR="00921E5C">
        <w:t xml:space="preserve"> or </w:t>
      </w:r>
      <w:r w:rsidR="0094001D">
        <w:t>‘</w:t>
      </w:r>
      <w:r w:rsidR="00921E5C">
        <w:t>it was too hard to get an appointment as it was for the whole TAFE, not ju</w:t>
      </w:r>
      <w:r w:rsidR="00AC48C9">
        <w:t>st Children’</w:t>
      </w:r>
      <w:r w:rsidR="00921E5C">
        <w:t>s Services students</w:t>
      </w:r>
      <w:r w:rsidR="0094001D">
        <w:t>’</w:t>
      </w:r>
      <w:r w:rsidR="00921E5C">
        <w:t xml:space="preserve">. One student explained ‘there was nothing offered that was </w:t>
      </w:r>
      <w:r w:rsidR="009E03A4">
        <w:t>specific like academic writing’;</w:t>
      </w:r>
      <w:r w:rsidR="00921E5C">
        <w:t xml:space="preserve"> it was more general assignment help. This indicates that the </w:t>
      </w:r>
      <w:r w:rsidR="009E03A4">
        <w:t xml:space="preserve">chief </w:t>
      </w:r>
      <w:r w:rsidR="00921E5C">
        <w:t xml:space="preserve">source of information literacy skills in </w:t>
      </w:r>
      <w:r w:rsidR="008738D4">
        <w:t>this instance</w:t>
      </w:r>
      <w:r w:rsidR="00921E5C">
        <w:t xml:space="preserve"> is tied to the individual TAFE teacher, which is distinctly different </w:t>
      </w:r>
      <w:r w:rsidR="00FF1C48">
        <w:t>from</w:t>
      </w:r>
      <w:r w:rsidR="00921E5C">
        <w:t xml:space="preserve"> </w:t>
      </w:r>
      <w:r w:rsidR="0094001D">
        <w:t xml:space="preserve">the </w:t>
      </w:r>
      <w:r w:rsidR="00921E5C">
        <w:t xml:space="preserve">university </w:t>
      </w:r>
      <w:r w:rsidR="00921E5C" w:rsidRPr="001B6BBE">
        <w:t xml:space="preserve">teaching </w:t>
      </w:r>
      <w:r w:rsidR="00D2233F" w:rsidRPr="001B6BBE">
        <w:t>approach</w:t>
      </w:r>
      <w:r w:rsidR="009E03A4" w:rsidRPr="001B6BBE">
        <w:t>,</w:t>
      </w:r>
      <w:r w:rsidR="0094001D" w:rsidRPr="001B6BBE">
        <w:t xml:space="preserve"> as outlined shortly</w:t>
      </w:r>
      <w:r w:rsidR="006F47DC" w:rsidRPr="001B6BBE">
        <w:t>.</w:t>
      </w:r>
    </w:p>
    <w:p w:rsidR="00921E5C" w:rsidRDefault="00921E5C" w:rsidP="001B6BBE">
      <w:pPr>
        <w:pStyle w:val="Text"/>
      </w:pPr>
      <w:r w:rsidRPr="001B6BBE">
        <w:t xml:space="preserve">Three of the </w:t>
      </w:r>
      <w:r w:rsidR="00FF1C48" w:rsidRPr="001B6BBE">
        <w:t>ten</w:t>
      </w:r>
      <w:r w:rsidR="0094001D" w:rsidRPr="001B6BBE">
        <w:t xml:space="preserve"> TAFE student </w:t>
      </w:r>
      <w:r w:rsidRPr="001B6BBE">
        <w:t>inter</w:t>
      </w:r>
      <w:r>
        <w:t xml:space="preserve">viewees had just enrolled in university programs, none specialising in early childhood. There was </w:t>
      </w:r>
      <w:r w:rsidR="0094001D">
        <w:t xml:space="preserve">a </w:t>
      </w:r>
      <w:r>
        <w:t xml:space="preserve">distinct perception that going to university and staying in the early </w:t>
      </w:r>
      <w:r w:rsidR="0094001D">
        <w:lastRenderedPageBreak/>
        <w:t xml:space="preserve">childhood field </w:t>
      </w:r>
      <w:r w:rsidR="00B81E7E">
        <w:t>was not the best use of your time and money. One student</w:t>
      </w:r>
      <w:r w:rsidR="008B5ABB">
        <w:t>,</w:t>
      </w:r>
      <w:r w:rsidR="00B81E7E">
        <w:t xml:space="preserve"> yet to commence her university studies</w:t>
      </w:r>
      <w:r w:rsidR="008B5ABB">
        <w:t>,</w:t>
      </w:r>
      <w:r w:rsidR="00B81E7E">
        <w:t xml:space="preserve"> declared ‘staying in child</w:t>
      </w:r>
      <w:r w:rsidR="00402435">
        <w:t xml:space="preserve"> </w:t>
      </w:r>
      <w:r w:rsidR="00B81E7E">
        <w:t xml:space="preserve">care isn’t </w:t>
      </w:r>
      <w:proofErr w:type="gramStart"/>
      <w:r w:rsidR="00B81E7E">
        <w:t>good,</w:t>
      </w:r>
      <w:proofErr w:type="gramEnd"/>
      <w:r w:rsidR="00B81E7E">
        <w:t xml:space="preserve"> the pay isn’t good so I am moving to </w:t>
      </w:r>
      <w:r w:rsidR="003B309E">
        <w:t>p</w:t>
      </w:r>
      <w:r w:rsidR="00B81E7E">
        <w:t xml:space="preserve">rimary education’. This issue is a wider professional problem for early childhood teachers. Other students would consider applying to university in the coming few years, but </w:t>
      </w:r>
      <w:r w:rsidR="008B5ABB">
        <w:t>considered</w:t>
      </w:r>
      <w:r w:rsidR="00B81E7E">
        <w:t xml:space="preserve"> work experience </w:t>
      </w:r>
      <w:r w:rsidR="008B5ABB">
        <w:t xml:space="preserve">to be valuable before undertaking </w:t>
      </w:r>
      <w:r w:rsidR="00B81E7E">
        <w:t>further study.</w:t>
      </w:r>
      <w:r w:rsidR="00D2233F">
        <w:t xml:space="preserve"> </w:t>
      </w:r>
      <w:r w:rsidR="008B5ABB">
        <w:t>An examination of</w:t>
      </w:r>
      <w:r w:rsidR="00D2233F">
        <w:t xml:space="preserve"> the age difference in the two participant groups of this </w:t>
      </w:r>
      <w:r w:rsidR="00724B47">
        <w:t>research</w:t>
      </w:r>
      <w:r w:rsidR="008B5ABB">
        <w:t xml:space="preserve"> indicates </w:t>
      </w:r>
      <w:r w:rsidR="00FF1C48">
        <w:t>that there is potentially a ten</w:t>
      </w:r>
      <w:r w:rsidR="003B309E">
        <w:t>-</w:t>
      </w:r>
      <w:r w:rsidR="00D2233F">
        <w:t>year gap</w:t>
      </w:r>
      <w:r w:rsidR="00F929BB">
        <w:t xml:space="preserve"> in the transition</w:t>
      </w:r>
      <w:r w:rsidR="00FF1C48">
        <w:t xml:space="preserve"> (t</w:t>
      </w:r>
      <w:r w:rsidR="00D2233F">
        <w:t>able</w:t>
      </w:r>
      <w:r w:rsidR="003B309E">
        <w:t> </w:t>
      </w:r>
      <w:r w:rsidR="00D2233F">
        <w:t>3).</w:t>
      </w:r>
      <w:r w:rsidR="00B81E7E">
        <w:t xml:space="preserve"> </w:t>
      </w:r>
      <w:r w:rsidR="00A53957" w:rsidRPr="00A53957">
        <w:t>This return to study after years in the field is often motivated by career advancement in the early childhood sector. The fact that the pathway from vocational education and training to university is not always a direct one is a necessary consideration in the proposed transitional collaborative framework.</w:t>
      </w:r>
    </w:p>
    <w:p w:rsidR="00B81E7E" w:rsidRDefault="00BF66C1" w:rsidP="00863B88">
      <w:pPr>
        <w:pStyle w:val="Text"/>
      </w:pPr>
      <w:r>
        <w:t xml:space="preserve">Students were asked to describe </w:t>
      </w:r>
      <w:r w:rsidR="0094001D">
        <w:t>what</w:t>
      </w:r>
      <w:r>
        <w:t xml:space="preserve"> academic aspect</w:t>
      </w:r>
      <w:r w:rsidR="00EA521C">
        <w:t>,</w:t>
      </w:r>
      <w:r>
        <w:t xml:space="preserve"> </w:t>
      </w:r>
      <w:r w:rsidR="00EA521C">
        <w:t xml:space="preserve">if they were to go to university, </w:t>
      </w:r>
      <w:r>
        <w:t>would concern them the most. All respondents indicated ‘understanding’</w:t>
      </w:r>
      <w:r w:rsidR="0094001D">
        <w:t xml:space="preserve"> issues, including</w:t>
      </w:r>
      <w:r>
        <w:t xml:space="preserve"> understanding the lectures </w:t>
      </w:r>
      <w:r w:rsidR="0094001D">
        <w:t xml:space="preserve">and </w:t>
      </w:r>
      <w:r>
        <w:t>the assessment</w:t>
      </w:r>
      <w:r w:rsidR="008B5ABB">
        <w:t>,</w:t>
      </w:r>
      <w:r>
        <w:t xml:space="preserve"> and having confidence in their capabilities. They </w:t>
      </w:r>
      <w:r w:rsidR="00A0232D">
        <w:t>were</w:t>
      </w:r>
      <w:r>
        <w:t xml:space="preserve"> aware of the differences in class sizes, the increase in the size of assessment</w:t>
      </w:r>
      <w:r w:rsidR="008B5ABB">
        <w:t>s</w:t>
      </w:r>
      <w:r>
        <w:t xml:space="preserve"> and a change in standards, but the students d</w:t>
      </w:r>
      <w:r w:rsidR="0094001D">
        <w:t>id</w:t>
      </w:r>
      <w:r>
        <w:t xml:space="preserve"> not necessarily have a clear understanding of the system as a whol</w:t>
      </w:r>
      <w:r w:rsidR="00303C6D">
        <w:t>e. There is a need to convey this wider understanding of university and the</w:t>
      </w:r>
      <w:r>
        <w:t xml:space="preserve"> opportunities</w:t>
      </w:r>
      <w:r w:rsidR="006B0CC5">
        <w:t xml:space="preserve"> available</w:t>
      </w:r>
      <w:r>
        <w:t xml:space="preserve"> for support</w:t>
      </w:r>
      <w:r w:rsidR="00303C6D">
        <w:t>. TAFE students named some specific aspects that included:</w:t>
      </w:r>
    </w:p>
    <w:p w:rsidR="00303C6D" w:rsidRDefault="00303C6D" w:rsidP="00303C6D">
      <w:pPr>
        <w:pStyle w:val="Quote"/>
      </w:pPr>
      <w:r>
        <w:t>What will a university degree will do for my career?</w:t>
      </w:r>
    </w:p>
    <w:p w:rsidR="00303C6D" w:rsidRDefault="00303C6D" w:rsidP="00303C6D">
      <w:pPr>
        <w:pStyle w:val="Quote"/>
      </w:pPr>
      <w:r>
        <w:t>How do you complete the different forms of assessment?</w:t>
      </w:r>
    </w:p>
    <w:p w:rsidR="00303C6D" w:rsidRDefault="00303C6D" w:rsidP="00303C6D">
      <w:pPr>
        <w:pStyle w:val="Quote"/>
      </w:pPr>
      <w:r>
        <w:t>The general stuff, how to apply? What units to enrol in?</w:t>
      </w:r>
    </w:p>
    <w:p w:rsidR="00303C6D" w:rsidRDefault="00303C6D" w:rsidP="00303C6D">
      <w:pPr>
        <w:pStyle w:val="Quote"/>
      </w:pPr>
      <w:r>
        <w:t>I’m not really sure how uni works, but p</w:t>
      </w:r>
      <w:r w:rsidR="0001018B">
        <w:t>erhaps student support sessions?</w:t>
      </w:r>
    </w:p>
    <w:p w:rsidR="00375817" w:rsidRPr="00863B88" w:rsidRDefault="00303C6D" w:rsidP="00375817">
      <w:pPr>
        <w:pStyle w:val="Text"/>
      </w:pPr>
      <w:r>
        <w:t xml:space="preserve">All participants </w:t>
      </w:r>
      <w:r w:rsidR="00B04CF8">
        <w:t>preferred</w:t>
      </w:r>
      <w:r>
        <w:t xml:space="preserve"> the </w:t>
      </w:r>
      <w:r w:rsidR="008B5ABB">
        <w:t>idea of a</w:t>
      </w:r>
      <w:r w:rsidR="00B04CF8">
        <w:t xml:space="preserve"> </w:t>
      </w:r>
      <w:r w:rsidR="008B5ABB">
        <w:t xml:space="preserve">face-to-face </w:t>
      </w:r>
      <w:r>
        <w:t>ori</w:t>
      </w:r>
      <w:r w:rsidR="008B5ABB">
        <w:t xml:space="preserve">entation or </w:t>
      </w:r>
      <w:r w:rsidR="00F51353">
        <w:t xml:space="preserve">an </w:t>
      </w:r>
      <w:r w:rsidR="008B5ABB">
        <w:t xml:space="preserve">open day, </w:t>
      </w:r>
      <w:r w:rsidR="00B04CF8">
        <w:t>but also note</w:t>
      </w:r>
      <w:r w:rsidR="0094001D">
        <w:t>d</w:t>
      </w:r>
      <w:r w:rsidR="00B04CF8">
        <w:t xml:space="preserve"> the importance of having the information easily available online and accessible any</w:t>
      </w:r>
      <w:r w:rsidR="0094001D">
        <w:t xml:space="preserve"> </w:t>
      </w:r>
      <w:r w:rsidR="00B04CF8">
        <w:t xml:space="preserve">time. Students reported wanting sessions </w:t>
      </w:r>
      <w:r w:rsidR="00F51353">
        <w:t>facilitated by</w:t>
      </w:r>
      <w:r w:rsidR="00B04CF8">
        <w:t xml:space="preserve"> someone who understood the TAFE</w:t>
      </w:r>
      <w:r w:rsidR="00EA521C">
        <w:t>-</w:t>
      </w:r>
      <w:r w:rsidR="00B04CF8">
        <w:t>to</w:t>
      </w:r>
      <w:r w:rsidR="00EA521C">
        <w:t>-</w:t>
      </w:r>
      <w:r w:rsidR="00B04CF8">
        <w:t xml:space="preserve">university transition. In terms of supporting </w:t>
      </w:r>
      <w:r w:rsidR="00375817">
        <w:t>th</w:t>
      </w:r>
      <w:r w:rsidR="00DC66B6">
        <w:t>e</w:t>
      </w:r>
      <w:r w:rsidR="00375817">
        <w:t xml:space="preserve"> transition, students described what they wanted from both TAFE and university staff. One student believed it should be ‘like a mutual agreement between TAFE and uni’, with TAFE staff providing information and helping </w:t>
      </w:r>
      <w:r w:rsidR="00A0232D">
        <w:t xml:space="preserve">students to </w:t>
      </w:r>
      <w:r w:rsidR="00375817">
        <w:t xml:space="preserve">prepare </w:t>
      </w:r>
      <w:r w:rsidR="00080483">
        <w:t xml:space="preserve">for university and knowing what to expect. It was very clear that TAFE students wanted to have </w:t>
      </w:r>
      <w:r w:rsidR="00A0232D">
        <w:t xml:space="preserve">current </w:t>
      </w:r>
      <w:r w:rsidR="00080483">
        <w:t>university staff and students visit them</w:t>
      </w:r>
      <w:r w:rsidR="00A0232D">
        <w:t xml:space="preserve"> and interact</w:t>
      </w:r>
      <w:r w:rsidR="00080483">
        <w:t xml:space="preserve"> </w:t>
      </w:r>
      <w:r w:rsidR="00E715A6">
        <w:t xml:space="preserve">with them </w:t>
      </w:r>
      <w:r w:rsidR="00080483">
        <w:t xml:space="preserve">during their </w:t>
      </w:r>
      <w:r w:rsidR="002228FA">
        <w:t>d</w:t>
      </w:r>
      <w:r w:rsidR="00080483">
        <w:t>iploma course. This would allow for those considering university to ask important questions</w:t>
      </w:r>
      <w:r w:rsidR="006B0CC5">
        <w:t>, which would help them to decide whether</w:t>
      </w:r>
      <w:r w:rsidR="00A0232D">
        <w:t xml:space="preserve"> to enrol or not</w:t>
      </w:r>
      <w:r w:rsidR="00080483">
        <w:t xml:space="preserve">. When enrolled in university, the students hoped the staff would be both knowledgeable and understanding of the transition </w:t>
      </w:r>
      <w:r w:rsidR="00F51353">
        <w:t xml:space="preserve">that was </w:t>
      </w:r>
      <w:r w:rsidR="00080483">
        <w:t>being made, and flexible in providing support, particularly in the first semester.</w:t>
      </w:r>
    </w:p>
    <w:p w:rsidR="00161206" w:rsidRDefault="00161206" w:rsidP="00161206">
      <w:pPr>
        <w:pStyle w:val="Heading3"/>
      </w:pPr>
      <w:r>
        <w:t>University students having made the transition</w:t>
      </w:r>
    </w:p>
    <w:p w:rsidR="002154DC" w:rsidRDefault="002154DC" w:rsidP="001B6BBE">
      <w:pPr>
        <w:pStyle w:val="Textlessbefore"/>
      </w:pPr>
      <w:r>
        <w:t xml:space="preserve">As </w:t>
      </w:r>
      <w:r w:rsidR="00004FAC">
        <w:t xml:space="preserve">noted </w:t>
      </w:r>
      <w:r>
        <w:t>earlier, the experiences of internal and external university students are different</w:t>
      </w:r>
      <w:r w:rsidR="00E715A6">
        <w:t>,</w:t>
      </w:r>
      <w:r>
        <w:t xml:space="preserve"> and this distinction emerged clearly during </w:t>
      </w:r>
      <w:r w:rsidR="00DC66B6">
        <w:t xml:space="preserve">the </w:t>
      </w:r>
      <w:r>
        <w:t xml:space="preserve">interviews with </w:t>
      </w:r>
      <w:r w:rsidR="00E715A6">
        <w:t xml:space="preserve">the </w:t>
      </w:r>
      <w:r>
        <w:t>university students</w:t>
      </w:r>
      <w:r w:rsidR="00DC66B6">
        <w:t xml:space="preserve"> </w:t>
      </w:r>
      <w:r w:rsidR="00457C61">
        <w:t xml:space="preserve">who </w:t>
      </w:r>
      <w:r w:rsidR="00DC66B6">
        <w:t xml:space="preserve">had </w:t>
      </w:r>
      <w:r>
        <w:t>made the transition from TAFE. It is important to note that</w:t>
      </w:r>
      <w:r w:rsidR="00004FAC">
        <w:t>,</w:t>
      </w:r>
      <w:r>
        <w:t xml:space="preserve"> for the university reported in this case study, internal and external students</w:t>
      </w:r>
      <w:r w:rsidR="00283E25">
        <w:t xml:space="preserve"> complete</w:t>
      </w:r>
      <w:r>
        <w:t xml:space="preserve"> a similar, but slightly different su</w:t>
      </w:r>
      <w:r w:rsidR="00076880">
        <w:t xml:space="preserve">ite of units. </w:t>
      </w:r>
      <w:r w:rsidR="00283E25">
        <w:t>External</w:t>
      </w:r>
      <w:r>
        <w:t xml:space="preserve"> students</w:t>
      </w:r>
      <w:r w:rsidR="00076880">
        <w:t xml:space="preserve"> and those enrolled in </w:t>
      </w:r>
      <w:r w:rsidR="00457C61">
        <w:t xml:space="preserve">the </w:t>
      </w:r>
      <w:r w:rsidR="00076880">
        <w:t xml:space="preserve">Bachelor </w:t>
      </w:r>
      <w:r w:rsidR="00457C61">
        <w:t>of</w:t>
      </w:r>
      <w:r w:rsidR="00076880">
        <w:t xml:space="preserve"> Early Childhood Studies</w:t>
      </w:r>
      <w:r>
        <w:t xml:space="preserve"> complete a unit dedicated to academic and professional communication. Those completing the Bachelor of Education (Early Childhood) internal</w:t>
      </w:r>
      <w:r w:rsidR="00283E25">
        <w:t>ly</w:t>
      </w:r>
      <w:r>
        <w:t xml:space="preserve"> do not complete this u</w:t>
      </w:r>
      <w:r w:rsidR="0035001B">
        <w:t xml:space="preserve">nit, but </w:t>
      </w:r>
      <w:r w:rsidR="00E715A6">
        <w:t>instead</w:t>
      </w:r>
      <w:r w:rsidR="0035001B">
        <w:t xml:space="preserve"> have tutorial and library sessions embedded in</w:t>
      </w:r>
      <w:r w:rsidR="00D2233F">
        <w:t xml:space="preserve"> their first</w:t>
      </w:r>
      <w:r w:rsidR="00457C61">
        <w:t>-</w:t>
      </w:r>
      <w:r w:rsidR="00D2233F">
        <w:t>year units</w:t>
      </w:r>
      <w:r w:rsidR="0035001B">
        <w:t>. In addition to</w:t>
      </w:r>
      <w:r w:rsidR="00004FAC">
        <w:t xml:space="preserve"> information skills support </w:t>
      </w:r>
      <w:r w:rsidR="0035001B">
        <w:t>in units</w:t>
      </w:r>
      <w:r w:rsidR="00E715A6">
        <w:t>,</w:t>
      </w:r>
      <w:r w:rsidR="0035001B">
        <w:t xml:space="preserve"> additional workshops coordinated by the </w:t>
      </w:r>
      <w:r w:rsidR="00E715A6">
        <w:t xml:space="preserve">two </w:t>
      </w:r>
      <w:r w:rsidR="0035001B">
        <w:t>different campus libraries</w:t>
      </w:r>
      <w:r w:rsidR="00E715A6">
        <w:t xml:space="preserve"> are conducted and</w:t>
      </w:r>
      <w:r w:rsidR="0035001B">
        <w:t xml:space="preserve"> academic skills </w:t>
      </w:r>
      <w:r w:rsidR="0035001B">
        <w:lastRenderedPageBreak/>
        <w:t xml:space="preserve">advisors </w:t>
      </w:r>
      <w:r w:rsidR="00E715A6">
        <w:t>are present in the library, while</w:t>
      </w:r>
      <w:r w:rsidR="0035001B">
        <w:t xml:space="preserve"> language and learning educators (with a focus on students who have English as an additional language) </w:t>
      </w:r>
      <w:r w:rsidR="00E715A6">
        <w:t xml:space="preserve">are </w:t>
      </w:r>
      <w:r w:rsidR="0035001B">
        <w:t>in the Faculty of Education</w:t>
      </w:r>
      <w:r w:rsidR="00EE2694">
        <w:t>.</w:t>
      </w:r>
    </w:p>
    <w:p w:rsidR="00EE2694" w:rsidRDefault="00EE2694" w:rsidP="001B6BBE">
      <w:pPr>
        <w:pStyle w:val="Text"/>
        <w:ind w:right="-143"/>
      </w:pPr>
      <w:r>
        <w:t xml:space="preserve">When describing </w:t>
      </w:r>
      <w:r w:rsidR="00E715A6">
        <w:t xml:space="preserve">their </w:t>
      </w:r>
      <w:r>
        <w:t>experiences with information skills in the first year, the four students</w:t>
      </w:r>
      <w:r w:rsidR="00C11CDB">
        <w:t xml:space="preserve"> </w:t>
      </w:r>
      <w:r w:rsidR="00004FAC">
        <w:t>involved in</w:t>
      </w:r>
      <w:r w:rsidR="001B6BBE">
        <w:t> </w:t>
      </w:r>
      <w:r w:rsidR="00004FAC">
        <w:t xml:space="preserve">the interviews who were </w:t>
      </w:r>
      <w:r w:rsidR="00C11CDB">
        <w:t>studying internally</w:t>
      </w:r>
      <w:r>
        <w:t xml:space="preserve"> commented on how many of the tutorials</w:t>
      </w:r>
      <w:r w:rsidR="00F90FEF">
        <w:t xml:space="preserve"> in the first few months</w:t>
      </w:r>
      <w:r>
        <w:t xml:space="preserve"> focused on </w:t>
      </w:r>
      <w:r w:rsidR="00D2233F">
        <w:t xml:space="preserve">information </w:t>
      </w:r>
      <w:r>
        <w:t xml:space="preserve">skills and </w:t>
      </w:r>
      <w:r w:rsidR="00004FAC">
        <w:t xml:space="preserve">noted </w:t>
      </w:r>
      <w:r>
        <w:t>that library staff were also involved in these</w:t>
      </w:r>
      <w:r w:rsidR="00004FAC">
        <w:t>. Library staff</w:t>
      </w:r>
      <w:r w:rsidR="00F90FEF">
        <w:t xml:space="preserve"> </w:t>
      </w:r>
      <w:r w:rsidR="00004FAC">
        <w:t>explained how</w:t>
      </w:r>
      <w:r w:rsidR="00F90FEF">
        <w:t xml:space="preserve"> to navigate the library website and conduct database searches.</w:t>
      </w:r>
      <w:r w:rsidR="00004FAC">
        <w:t xml:space="preserve"> The students</w:t>
      </w:r>
      <w:r w:rsidR="006648A4">
        <w:t xml:space="preserve"> commented on accessing one</w:t>
      </w:r>
      <w:r w:rsidR="00506B65">
        <w:t>-</w:t>
      </w:r>
      <w:r w:rsidR="006648A4">
        <w:t>on</w:t>
      </w:r>
      <w:r w:rsidR="00506B65">
        <w:t>-</w:t>
      </w:r>
      <w:r w:rsidR="006648A4">
        <w:t xml:space="preserve">one ‘study solutions’ </w:t>
      </w:r>
      <w:r w:rsidR="00E715A6">
        <w:t>appointments with library staff</w:t>
      </w:r>
      <w:r w:rsidR="006648A4">
        <w:t xml:space="preserve"> and the online ‘study smart’ modules. It was appreciated that lecturers responded to emails quickly and student mentors were helpful in terms of general guidance. When </w:t>
      </w:r>
      <w:r w:rsidR="00004FAC">
        <w:t>discussing the</w:t>
      </w:r>
      <w:r w:rsidR="006648A4">
        <w:t xml:space="preserve"> wider learning opportunities for </w:t>
      </w:r>
      <w:r w:rsidR="00E715A6">
        <w:t xml:space="preserve">gaining </w:t>
      </w:r>
      <w:r w:rsidR="006648A4">
        <w:t>information skills, the interviewees all commented</w:t>
      </w:r>
      <w:r w:rsidR="0001018B">
        <w:t xml:space="preserve"> on being able to attend some sessions (</w:t>
      </w:r>
      <w:r w:rsidR="009C6870">
        <w:t>for example,</w:t>
      </w:r>
      <w:r w:rsidR="0001018B">
        <w:t xml:space="preserve"> writing </w:t>
      </w:r>
      <w:r w:rsidR="00065E52">
        <w:t xml:space="preserve">and referencing </w:t>
      </w:r>
      <w:r w:rsidR="0001018B">
        <w:t>workshop</w:t>
      </w:r>
      <w:r w:rsidR="00065E52">
        <w:t>s</w:t>
      </w:r>
      <w:r w:rsidR="0001018B">
        <w:t>), but not all. It was usually an issue that the timing of</w:t>
      </w:r>
      <w:r w:rsidR="001B6BBE">
        <w:t> </w:t>
      </w:r>
      <w:r w:rsidR="0001018B">
        <w:t>the sess</w:t>
      </w:r>
      <w:r w:rsidR="00D2233F">
        <w:t>ion</w:t>
      </w:r>
      <w:r w:rsidR="0001018B">
        <w:t xml:space="preserve"> was inconvenient and only offered</w:t>
      </w:r>
      <w:r w:rsidR="00B34232">
        <w:t xml:space="preserve"> on campus</w:t>
      </w:r>
      <w:r w:rsidR="0001018B">
        <w:t xml:space="preserve"> at the beginning of the year.</w:t>
      </w:r>
    </w:p>
    <w:p w:rsidR="00D7498D" w:rsidRDefault="00C11CDB" w:rsidP="002154DC">
      <w:pPr>
        <w:pStyle w:val="Text"/>
      </w:pPr>
      <w:r>
        <w:t>T</w:t>
      </w:r>
      <w:r w:rsidR="006A658C">
        <w:t xml:space="preserve">he </w:t>
      </w:r>
      <w:r w:rsidR="00B219A7">
        <w:t xml:space="preserve">six </w:t>
      </w:r>
      <w:r w:rsidR="006A658C">
        <w:t xml:space="preserve">students </w:t>
      </w:r>
      <w:r>
        <w:t xml:space="preserve">studying externally </w:t>
      </w:r>
      <w:r w:rsidR="006A658C">
        <w:t>commented on accessing the online ‘study smart’ modules, but found most of the on</w:t>
      </w:r>
      <w:r w:rsidR="00506B65">
        <w:t>-</w:t>
      </w:r>
      <w:r w:rsidR="006A658C">
        <w:t xml:space="preserve">campus library workshops impossible to attend due to work commitments, as they were most often </w:t>
      </w:r>
      <w:r w:rsidR="00506B65">
        <w:t xml:space="preserve">run </w:t>
      </w:r>
      <w:r w:rsidR="006A658C">
        <w:t>during business hours. One student commented that the ‘twilight’ sessions were only offered ‘every now and then’. Overall, these students found the academic and professional communication subject to be a ‘great prerequisite for other subjects’. Students appreciate</w:t>
      </w:r>
      <w:r w:rsidR="00D7498D">
        <w:t>d</w:t>
      </w:r>
      <w:r w:rsidR="006A658C">
        <w:t xml:space="preserve"> the orientation day </w:t>
      </w:r>
      <w:r w:rsidR="00D7498D">
        <w:t>and the information received. They were</w:t>
      </w:r>
      <w:r w:rsidR="006A658C">
        <w:t xml:space="preserve"> introduced </w:t>
      </w:r>
      <w:r w:rsidR="00DC66B6">
        <w:t xml:space="preserve">to </w:t>
      </w:r>
      <w:r w:rsidR="00D7498D">
        <w:t>the library website and relevant</w:t>
      </w:r>
      <w:r w:rsidR="006A658C">
        <w:t xml:space="preserve"> online skills, such as </w:t>
      </w:r>
      <w:r w:rsidR="00D7498D">
        <w:t xml:space="preserve">using </w:t>
      </w:r>
      <w:r w:rsidR="006A658C">
        <w:t>Blackboard Collaborate</w:t>
      </w:r>
      <w:r w:rsidR="00D7498D">
        <w:t>. This enable</w:t>
      </w:r>
      <w:r w:rsidR="00F929BB">
        <w:t>d</w:t>
      </w:r>
      <w:r w:rsidR="00D7498D">
        <w:t xml:space="preserve"> subsequent units</w:t>
      </w:r>
      <w:r w:rsidR="00E715A6">
        <w:t>,</w:t>
      </w:r>
      <w:r w:rsidR="00D7498D">
        <w:t xml:space="preserve"> </w:t>
      </w:r>
      <w:r w:rsidR="00E715A6">
        <w:t>which used</w:t>
      </w:r>
      <w:r w:rsidR="00D7498D">
        <w:t xml:space="preserve"> live online sessions during the evenings or on the weekend</w:t>
      </w:r>
      <w:r w:rsidR="00997650">
        <w:t>. H</w:t>
      </w:r>
      <w:r w:rsidR="00D7498D">
        <w:t xml:space="preserve">owever, not all students had the opportunity to </w:t>
      </w:r>
      <w:r w:rsidR="00E715A6">
        <w:t>access</w:t>
      </w:r>
      <w:r w:rsidR="00D7498D">
        <w:t xml:space="preserve"> th</w:t>
      </w:r>
      <w:r w:rsidR="00997650">
        <w:t>e available</w:t>
      </w:r>
      <w:r w:rsidR="00D7498D">
        <w:t xml:space="preserve"> information, as </w:t>
      </w:r>
      <w:r w:rsidR="00DC66B6">
        <w:t xml:space="preserve">the </w:t>
      </w:r>
      <w:r w:rsidR="00D7498D">
        <w:t xml:space="preserve">majority </w:t>
      </w:r>
      <w:r w:rsidR="00F929BB">
        <w:t xml:space="preserve">of the orientation </w:t>
      </w:r>
      <w:r w:rsidR="00997650">
        <w:t>sessions</w:t>
      </w:r>
      <w:r w:rsidR="00F929BB">
        <w:t xml:space="preserve"> </w:t>
      </w:r>
      <w:r w:rsidR="00997650">
        <w:t xml:space="preserve">were </w:t>
      </w:r>
      <w:r w:rsidR="00F929BB">
        <w:t>run</w:t>
      </w:r>
      <w:r w:rsidR="00D7498D">
        <w:t xml:space="preserve"> on campus, with </w:t>
      </w:r>
      <w:r w:rsidR="00B219A7">
        <w:t>only</w:t>
      </w:r>
      <w:r w:rsidR="00D7498D">
        <w:t xml:space="preserve"> a small portion recorded </w:t>
      </w:r>
      <w:r w:rsidR="00F929BB">
        <w:t xml:space="preserve">and accessible </w:t>
      </w:r>
      <w:r w:rsidR="00D7498D">
        <w:t xml:space="preserve">online. Missing </w:t>
      </w:r>
      <w:r w:rsidR="00004FAC">
        <w:t xml:space="preserve">out on </w:t>
      </w:r>
      <w:r w:rsidR="00D7498D">
        <w:t xml:space="preserve">this early information created </w:t>
      </w:r>
      <w:r w:rsidR="00997650">
        <w:t>gaps</w:t>
      </w:r>
      <w:r w:rsidR="00D7498D">
        <w:t xml:space="preserve"> in students</w:t>
      </w:r>
      <w:r w:rsidR="007A1E72">
        <w:t>’</w:t>
      </w:r>
      <w:r w:rsidR="00D7498D">
        <w:t xml:space="preserve"> skill</w:t>
      </w:r>
      <w:r w:rsidR="00DC66B6">
        <w:t>s</w:t>
      </w:r>
      <w:r w:rsidR="00D7498D">
        <w:t xml:space="preserve"> </w:t>
      </w:r>
      <w:r w:rsidR="006F47DC">
        <w:t>development and</w:t>
      </w:r>
      <w:r w:rsidR="00004FAC">
        <w:t xml:space="preserve"> </w:t>
      </w:r>
      <w:r w:rsidR="00997650">
        <w:t xml:space="preserve">their </w:t>
      </w:r>
      <w:r w:rsidR="00004FAC">
        <w:t>awareness of information-</w:t>
      </w:r>
      <w:r w:rsidR="00D7498D">
        <w:t xml:space="preserve">support structures. Some students knew how to use the online chat with a librarian and </w:t>
      </w:r>
      <w:r w:rsidR="00004FAC">
        <w:t>considered</w:t>
      </w:r>
      <w:r w:rsidR="00D7498D">
        <w:t xml:space="preserve"> it </w:t>
      </w:r>
      <w:r w:rsidR="00004FAC">
        <w:t>to be</w:t>
      </w:r>
      <w:r w:rsidR="00D7498D">
        <w:t xml:space="preserve"> a great help, whereas others believe</w:t>
      </w:r>
      <w:r w:rsidR="00EE4D31">
        <w:t>d</w:t>
      </w:r>
      <w:r w:rsidR="00D7498D">
        <w:t xml:space="preserve"> they were not offered any help.</w:t>
      </w:r>
    </w:p>
    <w:p w:rsidR="006A658C" w:rsidRDefault="00D7498D" w:rsidP="00D7498D">
      <w:pPr>
        <w:pStyle w:val="Quote"/>
      </w:pPr>
      <w:r>
        <w:t xml:space="preserve">I wasn’t offered any help really, and nobody particularly helped me. </w:t>
      </w:r>
      <w:r w:rsidR="00EE4D31">
        <w:t>There is</w:t>
      </w:r>
      <w:r w:rsidR="001220AD">
        <w:t>,</w:t>
      </w:r>
      <w:r w:rsidR="00EE4D31">
        <w:t xml:space="preserve"> as I know, a lot of additional support on the website. If you are having difficulty you can contact somebody who is</w:t>
      </w:r>
      <w:r w:rsidR="001220AD">
        <w:t xml:space="preserve"> —</w:t>
      </w:r>
      <w:r w:rsidR="00E06EDA">
        <w:t xml:space="preserve"> </w:t>
      </w:r>
      <w:r w:rsidR="00EE4D31">
        <w:t>I’m not sure what they’re called. But, I probably came across that in my second year</w:t>
      </w:r>
      <w:r w:rsidR="008A5BF0">
        <w:t xml:space="preserve"> </w:t>
      </w:r>
      <w:r w:rsidR="001B6BBE">
        <w:t>…</w:t>
      </w:r>
      <w:r>
        <w:t xml:space="preserve"> </w:t>
      </w:r>
      <w:r w:rsidR="00EE4D31">
        <w:t>I was very new to it, and quite honestly hadn’t used a computer like a Blackboard website or anything like that at TAFE. So my first year was probably more about me finding my way around, and trying to work out where I can find what. So maybe I had missed something</w:t>
      </w:r>
      <w:r w:rsidR="008A5BF0">
        <w:t xml:space="preserve"> </w:t>
      </w:r>
      <w:r w:rsidR="001B6BBE">
        <w:t>…</w:t>
      </w:r>
    </w:p>
    <w:p w:rsidR="00EE4D31" w:rsidRDefault="00B219A7" w:rsidP="00EE4D31">
      <w:pPr>
        <w:pStyle w:val="Text"/>
      </w:pPr>
      <w:r>
        <w:t>A</w:t>
      </w:r>
      <w:r w:rsidR="00EE4D31">
        <w:t>lternatively,</w:t>
      </w:r>
      <w:r>
        <w:t xml:space="preserve"> students</w:t>
      </w:r>
      <w:r w:rsidR="00EE4D31">
        <w:t xml:space="preserve"> did receive an initial introduction but did not realise the full potential of the various online information sources.</w:t>
      </w:r>
    </w:p>
    <w:p w:rsidR="00B23C8D" w:rsidRDefault="00EE4D31" w:rsidP="00EE4D31">
      <w:pPr>
        <w:pStyle w:val="Quote"/>
      </w:pPr>
      <w:r>
        <w:t>There was a lot of information given through the lectures that were recorded</w:t>
      </w:r>
      <w:r w:rsidR="008A5BF0">
        <w:t xml:space="preserve"> </w:t>
      </w:r>
      <w:r w:rsidR="001B6BBE">
        <w:t>…</w:t>
      </w:r>
      <w:r w:rsidR="008A5BF0">
        <w:t xml:space="preserve"> </w:t>
      </w:r>
      <w:r>
        <w:t>you had things to do, activities, and then there were just the lectures themselves. You might laugh when you hear this, because I didn’t realise that you could listen to them. I used to gather all the notes and I’d go through these notes. I’d look at stuff and I’d say, oh, I wish I could listen to this. Then right in the last month or so, I finally realised that</w:t>
      </w:r>
      <w:r w:rsidR="001220AD">
        <w:t xml:space="preserve"> —</w:t>
      </w:r>
      <w:r w:rsidR="00E06EDA">
        <w:t xml:space="preserve"> </w:t>
      </w:r>
      <w:r>
        <w:t>and I asked the computer specialists that lived with me and they sh</w:t>
      </w:r>
      <w:r w:rsidR="001220AD">
        <w:t xml:space="preserve">owed me how. I felt like such a </w:t>
      </w:r>
      <w:r>
        <w:t>dill, because then I wanted to go back and listen to them all.</w:t>
      </w:r>
    </w:p>
    <w:p w:rsidR="00EE4D31" w:rsidRDefault="00B23C8D" w:rsidP="00B23C8D">
      <w:pPr>
        <w:pStyle w:val="Text"/>
      </w:pPr>
      <w:r>
        <w:t>What these examples indicate is that</w:t>
      </w:r>
      <w:r w:rsidR="001220AD">
        <w:t>,</w:t>
      </w:r>
      <w:r>
        <w:t xml:space="preserve"> while </w:t>
      </w:r>
      <w:r w:rsidR="00B219A7">
        <w:t xml:space="preserve">the presence of </w:t>
      </w:r>
      <w:r>
        <w:t>information</w:t>
      </w:r>
      <w:r w:rsidR="00DC66B6">
        <w:t xml:space="preserve"> literacy</w:t>
      </w:r>
      <w:r>
        <w:t xml:space="preserve"> skill support is important</w:t>
      </w:r>
      <w:r w:rsidR="001220AD">
        <w:t>,</w:t>
      </w:r>
      <w:r>
        <w:t xml:space="preserve"> enabling mechanisms</w:t>
      </w:r>
      <w:r w:rsidR="001220AD">
        <w:t xml:space="preserve"> which </w:t>
      </w:r>
      <w:r>
        <w:t>create a foundation of skills to navigate and access the university support systems, both as an internal and external student</w:t>
      </w:r>
      <w:r w:rsidR="001220AD">
        <w:t>,</w:t>
      </w:r>
      <w:r w:rsidR="001220AD" w:rsidRPr="001220AD">
        <w:t xml:space="preserve"> </w:t>
      </w:r>
      <w:r w:rsidR="001220AD">
        <w:t>must be in place</w:t>
      </w:r>
      <w:r>
        <w:t>.</w:t>
      </w:r>
    </w:p>
    <w:p w:rsidR="00AD3FC3" w:rsidRDefault="00B219A7" w:rsidP="00B23C8D">
      <w:pPr>
        <w:pStyle w:val="Text"/>
      </w:pPr>
      <w:r>
        <w:lastRenderedPageBreak/>
        <w:t xml:space="preserve">When discussing </w:t>
      </w:r>
      <w:r w:rsidR="00AD3FC3">
        <w:t xml:space="preserve">the type of support and how it could best </w:t>
      </w:r>
      <w:r w:rsidR="00DC66B6">
        <w:t xml:space="preserve">be </w:t>
      </w:r>
      <w:r w:rsidR="00AD3FC3">
        <w:t xml:space="preserve">offered to TAFE students transitioning to university, several suggestions </w:t>
      </w:r>
      <w:r w:rsidR="00DC66B6">
        <w:t xml:space="preserve">were made by </w:t>
      </w:r>
      <w:r w:rsidR="00AD3FC3">
        <w:t>the current university students (internal and external). These include</w:t>
      </w:r>
      <w:r w:rsidR="00B05F8C">
        <w:t>d</w:t>
      </w:r>
      <w:r w:rsidR="00AD3FC3">
        <w:t>:</w:t>
      </w:r>
    </w:p>
    <w:p w:rsidR="00152B8F" w:rsidRDefault="001220AD" w:rsidP="00AD3FC3">
      <w:pPr>
        <w:pStyle w:val="Dotpoint1"/>
      </w:pPr>
      <w:r>
        <w:t>p</w:t>
      </w:r>
      <w:r w:rsidR="00E27D91">
        <w:t>roviding</w:t>
      </w:r>
      <w:r w:rsidR="00D46F8B">
        <w:t xml:space="preserve"> a</w:t>
      </w:r>
      <w:r w:rsidR="00152B8F">
        <w:t>n online orientation to the university, including aspects such as enrolment and where to find inf</w:t>
      </w:r>
      <w:r>
        <w:t>ormation on a variety of topics</w:t>
      </w:r>
    </w:p>
    <w:p w:rsidR="00AD3FC3" w:rsidRDefault="001220AD" w:rsidP="00AD3FC3">
      <w:pPr>
        <w:pStyle w:val="Dotpoint1"/>
      </w:pPr>
      <w:r>
        <w:t>s</w:t>
      </w:r>
      <w:r w:rsidR="00E27D91">
        <w:t>cheduling</w:t>
      </w:r>
      <w:r w:rsidR="00D46F8B">
        <w:t xml:space="preserve"> s</w:t>
      </w:r>
      <w:r w:rsidR="00AD3FC3">
        <w:t xml:space="preserve">essions on using Blackboard, academic writing and database searching at </w:t>
      </w:r>
      <w:r w:rsidR="00821C2C">
        <w:t xml:space="preserve">an </w:t>
      </w:r>
      <w:r w:rsidR="00AD3FC3">
        <w:t>accessible time for those who work full</w:t>
      </w:r>
      <w:r w:rsidR="00B05F8C">
        <w:t>-</w:t>
      </w:r>
      <w:r>
        <w:t>time</w:t>
      </w:r>
      <w:r w:rsidR="00AD3FC3">
        <w:t xml:space="preserve"> </w:t>
      </w:r>
    </w:p>
    <w:p w:rsidR="00AD3FC3" w:rsidRDefault="001220AD" w:rsidP="00AD3FC3">
      <w:pPr>
        <w:pStyle w:val="Dotpoint1"/>
      </w:pPr>
      <w:r>
        <w:t>o</w:t>
      </w:r>
      <w:r w:rsidR="00D46F8B">
        <w:t>ffer</w:t>
      </w:r>
      <w:r w:rsidR="00E27D91">
        <w:t>ing</w:t>
      </w:r>
      <w:r w:rsidR="00997650">
        <w:t xml:space="preserve"> face-to-</w:t>
      </w:r>
      <w:r w:rsidR="00D46F8B">
        <w:t>face and online i</w:t>
      </w:r>
      <w:r w:rsidR="00AD3FC3">
        <w:t xml:space="preserve">nformation skill support </w:t>
      </w:r>
      <w:r w:rsidR="00152B8F">
        <w:t>throughout the entire year</w:t>
      </w:r>
      <w:r w:rsidR="00AD3FC3">
        <w:t>. Students app</w:t>
      </w:r>
      <w:r w:rsidR="00997650">
        <w:t>reciate seeing how to do things:</w:t>
      </w:r>
      <w:r w:rsidR="00AD3FC3">
        <w:t xml:space="preserve"> ‘I like the online ones, the ones where you can click on i</w:t>
      </w:r>
      <w:r>
        <w:t>t and you can see how to do it’</w:t>
      </w:r>
    </w:p>
    <w:p w:rsidR="00AD3FC3" w:rsidRDefault="001220AD" w:rsidP="00AD3FC3">
      <w:pPr>
        <w:pStyle w:val="Dotpoint1"/>
      </w:pPr>
      <w:r>
        <w:t>c</w:t>
      </w:r>
      <w:r w:rsidR="00E27D91">
        <w:t>ontinuing to teach</w:t>
      </w:r>
      <w:r w:rsidR="00AD3FC3">
        <w:t xml:space="preserve"> academic and professional communication, with a combination of online and in</w:t>
      </w:r>
      <w:r w:rsidR="00DA00D3">
        <w:t>-</w:t>
      </w:r>
      <w:r w:rsidR="00AD3FC3">
        <w:t>person sess</w:t>
      </w:r>
      <w:r>
        <w:t>ions that enable early feedback</w:t>
      </w:r>
    </w:p>
    <w:p w:rsidR="00AD3FC3" w:rsidRDefault="001220AD" w:rsidP="00152B8F">
      <w:pPr>
        <w:pStyle w:val="Dotpoint1"/>
      </w:pPr>
      <w:r>
        <w:t>p</w:t>
      </w:r>
      <w:r w:rsidR="00E27D91">
        <w:t>roviding</w:t>
      </w:r>
      <w:r w:rsidR="0079586C">
        <w:t xml:space="preserve"> a </w:t>
      </w:r>
      <w:r w:rsidR="00AD3FC3">
        <w:t>more thorough tour of the library and library services</w:t>
      </w:r>
      <w:r w:rsidR="00152B8F">
        <w:t xml:space="preserve">. </w:t>
      </w:r>
      <w:r w:rsidR="00AD3FC3">
        <w:t>One student declared that ‘it took a whole sem</w:t>
      </w:r>
      <w:r>
        <w:t>ester to work out how to print’</w:t>
      </w:r>
    </w:p>
    <w:p w:rsidR="00AD3FC3" w:rsidRPr="002154DC" w:rsidRDefault="001220AD" w:rsidP="00AD3FC3">
      <w:pPr>
        <w:pStyle w:val="Dotpoint1"/>
      </w:pPr>
      <w:r>
        <w:t>u</w:t>
      </w:r>
      <w:r w:rsidR="00E27D91">
        <w:t>sing</w:t>
      </w:r>
      <w:r w:rsidR="0079586C">
        <w:t xml:space="preserve"> </w:t>
      </w:r>
      <w:r w:rsidR="00AD3FC3">
        <w:t xml:space="preserve">student mentors </w:t>
      </w:r>
      <w:r w:rsidR="00E27D91">
        <w:t>to answer</w:t>
      </w:r>
      <w:r w:rsidR="00AD3FC3">
        <w:t xml:space="preserve"> questions</w:t>
      </w:r>
      <w:r w:rsidR="00997650">
        <w:t>.</w:t>
      </w:r>
      <w:r w:rsidR="00AD3FC3">
        <w:t xml:space="preserve"> </w:t>
      </w:r>
      <w:r w:rsidR="00997650">
        <w:t xml:space="preserve">It was claimed that it </w:t>
      </w:r>
      <w:r w:rsidR="00E27D91">
        <w:t>would be a bonus</w:t>
      </w:r>
      <w:r w:rsidR="00AD3FC3">
        <w:t xml:space="preserve"> </w:t>
      </w:r>
      <w:r w:rsidR="00E27D91">
        <w:t>if they were students with</w:t>
      </w:r>
      <w:r w:rsidR="00AD3FC3">
        <w:t xml:space="preserve"> previous experience in TAF</w:t>
      </w:r>
      <w:r w:rsidR="00E27D91">
        <w:t>E</w:t>
      </w:r>
      <w:r w:rsidR="00AD3FC3">
        <w:t>.</w:t>
      </w:r>
    </w:p>
    <w:p w:rsidR="00CF7D82" w:rsidRDefault="00324D1F" w:rsidP="00C3327A">
      <w:pPr>
        <w:pStyle w:val="Text"/>
      </w:pPr>
      <w:r>
        <w:t>Wh</w:t>
      </w:r>
      <w:r w:rsidR="00F929BB">
        <w:t>en</w:t>
      </w:r>
      <w:r>
        <w:t xml:space="preserve"> asked what specific advice they would offer to </w:t>
      </w:r>
      <w:r w:rsidR="00DA00D3">
        <w:t xml:space="preserve">staff from </w:t>
      </w:r>
      <w:r>
        <w:t xml:space="preserve">both TAFE and </w:t>
      </w:r>
      <w:r w:rsidR="00DA00D3">
        <w:t xml:space="preserve">the </w:t>
      </w:r>
      <w:r>
        <w:t xml:space="preserve">university in order to best support </w:t>
      </w:r>
      <w:r w:rsidR="006F47DC">
        <w:t>students</w:t>
      </w:r>
      <w:r w:rsidR="00676B85">
        <w:t xml:space="preserve"> making the transition to university studies</w:t>
      </w:r>
      <w:r w:rsidR="006F47DC">
        <w:t>, the</w:t>
      </w:r>
      <w:r w:rsidR="00DC66B6">
        <w:t xml:space="preserve"> k</w:t>
      </w:r>
      <w:r>
        <w:t xml:space="preserve">ey aspects </w:t>
      </w:r>
      <w:r w:rsidR="00DC66B6">
        <w:t xml:space="preserve">that </w:t>
      </w:r>
      <w:r>
        <w:t xml:space="preserve">emerged in relation to TAFE staff </w:t>
      </w:r>
      <w:r w:rsidR="00920FBF">
        <w:t xml:space="preserve">centred </w:t>
      </w:r>
      <w:proofErr w:type="gramStart"/>
      <w:r>
        <w:t>around</w:t>
      </w:r>
      <w:proofErr w:type="gramEnd"/>
      <w:r>
        <w:t xml:space="preserve"> providing information as early as possible about university. </w:t>
      </w:r>
      <w:r w:rsidR="00287710">
        <w:t xml:space="preserve">Specific to information skills, several students commented </w:t>
      </w:r>
      <w:r w:rsidR="002F34E0">
        <w:t>on the desirability of</w:t>
      </w:r>
      <w:r w:rsidR="00287710">
        <w:t xml:space="preserve"> raising the expectations of TAFE assessments towards the end of the diploma. This would include</w:t>
      </w:r>
      <w:r w:rsidR="002F34E0">
        <w:t>,</w:t>
      </w:r>
      <w:r w:rsidR="00287710">
        <w:t xml:space="preserve"> </w:t>
      </w:r>
      <w:r w:rsidR="001220AD">
        <w:t>in particular</w:t>
      </w:r>
      <w:r w:rsidR="002F34E0">
        <w:t>,</w:t>
      </w:r>
      <w:r w:rsidR="001220AD">
        <w:t xml:space="preserve"> alerting students </w:t>
      </w:r>
      <w:r w:rsidR="002F34E0">
        <w:t xml:space="preserve">to </w:t>
      </w:r>
      <w:r w:rsidR="001220AD">
        <w:t xml:space="preserve">the necessity </w:t>
      </w:r>
      <w:r w:rsidR="002F34E0">
        <w:t>of</w:t>
      </w:r>
      <w:r w:rsidR="00287710">
        <w:t xml:space="preserve"> independently search</w:t>
      </w:r>
      <w:r w:rsidR="002F34E0">
        <w:t>ing</w:t>
      </w:r>
      <w:r w:rsidR="00287710">
        <w:t xml:space="preserve"> for information and </w:t>
      </w:r>
      <w:r w:rsidR="002F34E0">
        <w:t>using</w:t>
      </w:r>
      <w:r w:rsidR="00287710">
        <w:t xml:space="preserve"> more formal referencing. This </w:t>
      </w:r>
      <w:r w:rsidR="00DA00D3">
        <w:t>comment</w:t>
      </w:r>
      <w:r w:rsidR="00287710">
        <w:t xml:space="preserve"> links to the suggestions made to university staff</w:t>
      </w:r>
      <w:r w:rsidR="00DC66B6">
        <w:t xml:space="preserve">. They </w:t>
      </w:r>
      <w:r w:rsidR="00287710">
        <w:t>focus</w:t>
      </w:r>
      <w:r w:rsidR="00DC66B6">
        <w:t>ed</w:t>
      </w:r>
      <w:r w:rsidR="00287710">
        <w:t xml:space="preserve"> on opportunities </w:t>
      </w:r>
      <w:r w:rsidR="002F34E0">
        <w:t xml:space="preserve">for students </w:t>
      </w:r>
      <w:r w:rsidR="00287710">
        <w:t xml:space="preserve">to get ‘the university experience’ before enrolling. </w:t>
      </w:r>
      <w:r w:rsidR="00091F9A">
        <w:t xml:space="preserve">Several students suggested participating in </w:t>
      </w:r>
      <w:r w:rsidR="001220AD">
        <w:t>targeted introductory days</w:t>
      </w:r>
      <w:r w:rsidR="00DA00D3">
        <w:t>,</w:t>
      </w:r>
      <w:r w:rsidR="001220AD">
        <w:t xml:space="preserve"> at which TAFE students could</w:t>
      </w:r>
      <w:r w:rsidR="00091F9A">
        <w:t xml:space="preserve"> participate in </w:t>
      </w:r>
      <w:r w:rsidR="0065602E">
        <w:t xml:space="preserve">specific </w:t>
      </w:r>
      <w:r w:rsidR="00091F9A">
        <w:t xml:space="preserve">university activities. One student </w:t>
      </w:r>
      <w:r w:rsidR="006F47DC">
        <w:t>elaborated</w:t>
      </w:r>
      <w:r w:rsidR="00206472">
        <w:t>:</w:t>
      </w:r>
      <w:r w:rsidR="0065602E">
        <w:t xml:space="preserve"> </w:t>
      </w:r>
      <w:r w:rsidR="00091F9A">
        <w:t>‘looking at a mock assignment, talking about what is right and what is wrong’</w:t>
      </w:r>
      <w:r w:rsidR="00DA00D3">
        <w:t>,</w:t>
      </w:r>
      <w:r w:rsidR="002F34E0">
        <w:t xml:space="preserve"> and</w:t>
      </w:r>
      <w:r w:rsidR="00091F9A">
        <w:t xml:space="preserve"> setting clear expectations of </w:t>
      </w:r>
      <w:r w:rsidR="002F34E0">
        <w:t xml:space="preserve">what’s required </w:t>
      </w:r>
      <w:r w:rsidR="00091F9A">
        <w:t xml:space="preserve">university. </w:t>
      </w:r>
      <w:r w:rsidR="00676B85">
        <w:t>W</w:t>
      </w:r>
      <w:r w:rsidR="00091F9A">
        <w:t xml:space="preserve">hen enrolled </w:t>
      </w:r>
      <w:r w:rsidR="00676B85">
        <w:t>at</w:t>
      </w:r>
      <w:r w:rsidR="00091F9A">
        <w:t xml:space="preserve"> university, early communication was identified as being vital. At all st</w:t>
      </w:r>
      <w:r w:rsidR="00CF7D82">
        <w:t>ages of the process, it is evident th</w:t>
      </w:r>
      <w:r w:rsidR="00206472">
        <w:t>at early information is the key:</w:t>
      </w:r>
      <w:r w:rsidR="00CF7D82">
        <w:t xml:space="preserve"> information about what to expect, information about what to do, and </w:t>
      </w:r>
      <w:r w:rsidR="00283E25">
        <w:t>ensuring students are able to access this necessary information</w:t>
      </w:r>
      <w:r w:rsidR="00CF7D82">
        <w:t xml:space="preserve">. </w:t>
      </w:r>
    </w:p>
    <w:p w:rsidR="00867F0A" w:rsidRDefault="00867F0A" w:rsidP="00C3327A">
      <w:pPr>
        <w:pStyle w:val="Text"/>
      </w:pPr>
    </w:p>
    <w:p w:rsidR="00DC66B6" w:rsidRDefault="00DC66B6">
      <w:pPr>
        <w:spacing w:before="0" w:line="240" w:lineRule="auto"/>
        <w:rPr>
          <w:rFonts w:ascii="Tahoma" w:hAnsi="Tahoma" w:cs="Tahoma"/>
          <w:color w:val="000000"/>
          <w:kern w:val="28"/>
          <w:sz w:val="56"/>
          <w:szCs w:val="56"/>
        </w:rPr>
      </w:pPr>
      <w:r>
        <w:br w:type="page"/>
      </w:r>
    </w:p>
    <w:p w:rsidR="00CC62A9" w:rsidRDefault="00676B85" w:rsidP="00CC62A9">
      <w:pPr>
        <w:pStyle w:val="Heading1"/>
      </w:pPr>
      <w:bookmarkStart w:id="60" w:name="_Toc378160494"/>
      <w:r>
        <w:lastRenderedPageBreak/>
        <w:t>Discussion</w:t>
      </w:r>
      <w:bookmarkEnd w:id="60"/>
    </w:p>
    <w:p w:rsidR="00920FBF" w:rsidRDefault="00F929BB" w:rsidP="00DB6CBE">
      <w:pPr>
        <w:pStyle w:val="Text"/>
      </w:pPr>
      <w:r>
        <w:t xml:space="preserve">This section </w:t>
      </w:r>
      <w:r w:rsidR="00DB6CBE">
        <w:t>bring</w:t>
      </w:r>
      <w:r>
        <w:t>s</w:t>
      </w:r>
      <w:r w:rsidR="00DB6CBE">
        <w:t xml:space="preserve"> together the findings </w:t>
      </w:r>
      <w:r w:rsidR="00545AAD">
        <w:t>on</w:t>
      </w:r>
      <w:r w:rsidR="00DB6CBE">
        <w:t xml:space="preserve"> the three research questions and proposes a transitional collaborative framework </w:t>
      </w:r>
      <w:r w:rsidR="002F34E0">
        <w:t xml:space="preserve">designed </w:t>
      </w:r>
      <w:r w:rsidR="00545AAD">
        <w:t>to</w:t>
      </w:r>
      <w:r w:rsidR="00DB6CBE">
        <w:t xml:space="preserve"> support </w:t>
      </w:r>
      <w:r>
        <w:t>students and their</w:t>
      </w:r>
      <w:r w:rsidR="00DB6CBE">
        <w:t xml:space="preserve"> information literacy skills</w:t>
      </w:r>
      <w:r w:rsidR="00920FBF">
        <w:t xml:space="preserve"> </w:t>
      </w:r>
      <w:r w:rsidR="002F34E0">
        <w:t>as they transition</w:t>
      </w:r>
      <w:r w:rsidR="00920FBF">
        <w:t xml:space="preserve"> from TAFE to university</w:t>
      </w:r>
      <w:r w:rsidR="00DB6CBE">
        <w:t>.</w:t>
      </w:r>
      <w:r w:rsidR="004A5241">
        <w:t xml:space="preserve"> </w:t>
      </w:r>
    </w:p>
    <w:p w:rsidR="0096654C" w:rsidRDefault="00206472" w:rsidP="00DB6CBE">
      <w:pPr>
        <w:pStyle w:val="Text"/>
      </w:pPr>
      <w:r>
        <w:t>An investigation of</w:t>
      </w:r>
      <w:r w:rsidR="004A5241">
        <w:t xml:space="preserve"> the nature of information literacy skills across the VET and university sectors </w:t>
      </w:r>
      <w:r>
        <w:t xml:space="preserve">indicates </w:t>
      </w:r>
      <w:r w:rsidR="004A5241">
        <w:t xml:space="preserve">that there is a distinct difference in the level of expectation in both the </w:t>
      </w:r>
      <w:r w:rsidR="002F34E0">
        <w:t xml:space="preserve">overall </w:t>
      </w:r>
      <w:r w:rsidR="00DA00D3">
        <w:t xml:space="preserve">course </w:t>
      </w:r>
      <w:r w:rsidR="004A5241" w:rsidRPr="002F34E0">
        <w:t>assessment</w:t>
      </w:r>
      <w:r w:rsidR="004A5241">
        <w:t xml:space="preserve"> and</w:t>
      </w:r>
      <w:r w:rsidR="002F34E0">
        <w:t xml:space="preserve"> the</w:t>
      </w:r>
      <w:r w:rsidR="004A5241">
        <w:t xml:space="preserve"> </w:t>
      </w:r>
      <w:r w:rsidR="00545AAD">
        <w:t>capabilities</w:t>
      </w:r>
      <w:r w:rsidR="004A5241">
        <w:t xml:space="preserve"> </w:t>
      </w:r>
      <w:r>
        <w:t>for locating and using</w:t>
      </w:r>
      <w:r w:rsidR="004A5241">
        <w:t xml:space="preserve"> different sources of information</w:t>
      </w:r>
      <w:r w:rsidR="00DA00D3">
        <w:t xml:space="preserve"> in the course</w:t>
      </w:r>
      <w:r w:rsidR="004A5241">
        <w:t xml:space="preserve">. While the </w:t>
      </w:r>
      <w:r w:rsidR="00676B85">
        <w:t xml:space="preserve">Information Skills Survey </w:t>
      </w:r>
      <w:r w:rsidR="004A5241">
        <w:t>indicated similar patterns of behaviour,</w:t>
      </w:r>
      <w:r w:rsidR="000A4D41">
        <w:t xml:space="preserve"> </w:t>
      </w:r>
      <w:r w:rsidR="00DA00D3">
        <w:t xml:space="preserve">the </w:t>
      </w:r>
      <w:r w:rsidR="000A4D41">
        <w:t>i</w:t>
      </w:r>
      <w:r w:rsidR="004A5241">
        <w:t xml:space="preserve">nterviews revealed </w:t>
      </w:r>
      <w:r w:rsidR="000A4D41">
        <w:t xml:space="preserve">that students noted </w:t>
      </w:r>
      <w:r w:rsidR="004A5241">
        <w:t xml:space="preserve">more formal expectations in assessment at university </w:t>
      </w:r>
      <w:r>
        <w:t>by</w:t>
      </w:r>
      <w:r w:rsidR="004A5241">
        <w:t xml:space="preserve"> comparison </w:t>
      </w:r>
      <w:r>
        <w:t>with</w:t>
      </w:r>
      <w:r w:rsidR="004A5241">
        <w:t xml:space="preserve"> TAFE. </w:t>
      </w:r>
      <w:r w:rsidR="00F929BB">
        <w:t>W</w:t>
      </w:r>
      <w:r w:rsidR="00500F91">
        <w:t>hat TAFE and university st</w:t>
      </w:r>
      <w:r w:rsidR="00F929BB">
        <w:t>udents mean by ‘referencing’ is</w:t>
      </w:r>
      <w:r w:rsidR="00500F91">
        <w:t xml:space="preserve"> distinctly different</w:t>
      </w:r>
      <w:r w:rsidR="000A4D41">
        <w:t>, with university students reporting the use of the formal author</w:t>
      </w:r>
      <w:r w:rsidR="007147FA">
        <w:t>–</w:t>
      </w:r>
      <w:r w:rsidR="000A4D41">
        <w:t>date system</w:t>
      </w:r>
      <w:r w:rsidR="00500F91">
        <w:t xml:space="preserve">. </w:t>
      </w:r>
      <w:r w:rsidR="00A81B85">
        <w:t>When considering the challenges of information literacy</w:t>
      </w:r>
      <w:r w:rsidR="002F34E0">
        <w:t>,</w:t>
      </w:r>
      <w:r w:rsidR="00A81B85">
        <w:t xml:space="preserve"> it emerged that both TAFE and university students identified</w:t>
      </w:r>
      <w:r>
        <w:t xml:space="preserve"> difficulty in the same aspects;</w:t>
      </w:r>
      <w:r w:rsidR="00A81B85">
        <w:t xml:space="preserve"> namely</w:t>
      </w:r>
      <w:r w:rsidR="007147FA">
        <w:t>,</w:t>
      </w:r>
      <w:r w:rsidR="00A81B85">
        <w:t xml:space="preserve"> understanding the assessment task, </w:t>
      </w:r>
      <w:r w:rsidR="001B2A0B">
        <w:t>assembling the</w:t>
      </w:r>
      <w:r w:rsidR="00A81B85">
        <w:t xml:space="preserve"> information and preparing </w:t>
      </w:r>
      <w:r w:rsidR="001B2A0B">
        <w:t xml:space="preserve">the </w:t>
      </w:r>
      <w:r w:rsidR="00A81B85">
        <w:t>assessment</w:t>
      </w:r>
      <w:r w:rsidR="001B2A0B">
        <w:t xml:space="preserve"> task</w:t>
      </w:r>
      <w:r w:rsidR="00A81B85">
        <w:t xml:space="preserve">, adhering to the </w:t>
      </w:r>
      <w:r w:rsidR="002F34E0">
        <w:t xml:space="preserve">desired </w:t>
      </w:r>
      <w:r w:rsidR="00A81B85">
        <w:t xml:space="preserve">writing style and referencing the assessment </w:t>
      </w:r>
      <w:r w:rsidR="00F929BB">
        <w:t>task. T</w:t>
      </w:r>
      <w:r w:rsidR="00A81B85">
        <w:t xml:space="preserve">he time commitment </w:t>
      </w:r>
      <w:r w:rsidR="00DA00D3">
        <w:t>required by</w:t>
      </w:r>
      <w:r w:rsidR="00A81B85">
        <w:t xml:space="preserve"> university</w:t>
      </w:r>
      <w:r w:rsidR="001B2A0B">
        <w:t>,</w:t>
      </w:r>
      <w:r w:rsidR="00A81B85">
        <w:t xml:space="preserve"> combined with full</w:t>
      </w:r>
      <w:r w:rsidR="007147FA">
        <w:t>-</w:t>
      </w:r>
      <w:r w:rsidR="00A81B85">
        <w:t>time work and family</w:t>
      </w:r>
      <w:r w:rsidR="001B2A0B">
        <w:t>,</w:t>
      </w:r>
      <w:r w:rsidR="00A81B85">
        <w:t xml:space="preserve"> was a</w:t>
      </w:r>
      <w:r w:rsidR="00646894">
        <w:t xml:space="preserve"> </w:t>
      </w:r>
      <w:r w:rsidR="001B2A0B">
        <w:t>significant</w:t>
      </w:r>
      <w:r w:rsidR="00646894">
        <w:t xml:space="preserve"> </w:t>
      </w:r>
      <w:r w:rsidR="00DA00D3">
        <w:t>burden</w:t>
      </w:r>
      <w:r w:rsidR="00A81B85">
        <w:t xml:space="preserve"> on</w:t>
      </w:r>
      <w:r w:rsidR="00F929BB">
        <w:t xml:space="preserve"> the</w:t>
      </w:r>
      <w:r w:rsidR="00500F91">
        <w:t xml:space="preserve"> </w:t>
      </w:r>
      <w:r w:rsidR="00F929BB">
        <w:t>students</w:t>
      </w:r>
      <w:r w:rsidR="008D06E8">
        <w:t xml:space="preserve"> </w:t>
      </w:r>
      <w:r w:rsidR="001B2A0B">
        <w:t xml:space="preserve">who were </w:t>
      </w:r>
      <w:r w:rsidR="008D06E8">
        <w:t>studying externally</w:t>
      </w:r>
      <w:r w:rsidR="00500F91">
        <w:t>.</w:t>
      </w:r>
      <w:r w:rsidR="00646894">
        <w:t xml:space="preserve"> </w:t>
      </w:r>
    </w:p>
    <w:p w:rsidR="0096654C" w:rsidRDefault="00F929BB" w:rsidP="00DB6CBE">
      <w:pPr>
        <w:pStyle w:val="Text"/>
      </w:pPr>
      <w:r>
        <w:t>From the data collected on students</w:t>
      </w:r>
      <w:r w:rsidR="007147FA">
        <w:t>’</w:t>
      </w:r>
      <w:r>
        <w:t xml:space="preserve"> perceptions and experiences </w:t>
      </w:r>
      <w:r w:rsidR="00646894">
        <w:t>three themes emerged</w:t>
      </w:r>
      <w:r w:rsidR="00F42F44">
        <w:t>:</w:t>
      </w:r>
      <w:r w:rsidR="00646894">
        <w:t xml:space="preserve"> </w:t>
      </w:r>
      <w:r w:rsidR="00F42F44">
        <w:t xml:space="preserve">first, </w:t>
      </w:r>
      <w:r w:rsidR="00646894">
        <w:t>information and support needs to be received early and prior to commencing university studies</w:t>
      </w:r>
      <w:r w:rsidR="00F42F44">
        <w:t>;</w:t>
      </w:r>
      <w:r w:rsidR="00646894">
        <w:t xml:space="preserve"> </w:t>
      </w:r>
      <w:r w:rsidR="00F42F44">
        <w:t xml:space="preserve">second, </w:t>
      </w:r>
      <w:r w:rsidR="00646894">
        <w:t xml:space="preserve">there must be mechanisms to ensure </w:t>
      </w:r>
      <w:r w:rsidR="001B2A0B">
        <w:t xml:space="preserve">that </w:t>
      </w:r>
      <w:r w:rsidR="00646894">
        <w:t xml:space="preserve">students have the necessary skills </w:t>
      </w:r>
      <w:r w:rsidR="002F34E0">
        <w:t>for</w:t>
      </w:r>
      <w:r w:rsidR="00646894">
        <w:t xml:space="preserve"> access</w:t>
      </w:r>
      <w:r w:rsidR="002F34E0">
        <w:t>ing</w:t>
      </w:r>
      <w:r w:rsidR="00646894">
        <w:t xml:space="preserve"> support (particularly external students</w:t>
      </w:r>
      <w:r w:rsidR="002F34E0">
        <w:t>,</w:t>
      </w:r>
      <w:r w:rsidR="00646894">
        <w:t xml:space="preserve"> who are reliant on an online interface)</w:t>
      </w:r>
      <w:r w:rsidR="00F42F44">
        <w:t>;</w:t>
      </w:r>
      <w:r w:rsidR="00646894">
        <w:t xml:space="preserve"> </w:t>
      </w:r>
      <w:r w:rsidR="00F42F44">
        <w:t>and third,</w:t>
      </w:r>
      <w:r w:rsidR="00545AAD">
        <w:t xml:space="preserve"> </w:t>
      </w:r>
      <w:r w:rsidR="00646894">
        <w:t xml:space="preserve">the timing of </w:t>
      </w:r>
      <w:r w:rsidR="002F34E0">
        <w:t xml:space="preserve">the </w:t>
      </w:r>
      <w:r w:rsidR="00646894">
        <w:t>support sessions need</w:t>
      </w:r>
      <w:r w:rsidR="00545AAD">
        <w:t xml:space="preserve">s </w:t>
      </w:r>
      <w:r w:rsidR="00F42F44">
        <w:t xml:space="preserve">to </w:t>
      </w:r>
      <w:r w:rsidR="00545AAD">
        <w:t xml:space="preserve">take into account </w:t>
      </w:r>
      <w:r w:rsidR="00646894">
        <w:t xml:space="preserve">that many </w:t>
      </w:r>
      <w:r w:rsidR="000A4D41">
        <w:t>external</w:t>
      </w:r>
      <w:r w:rsidR="00646894">
        <w:t xml:space="preserve"> students work full</w:t>
      </w:r>
      <w:r w:rsidR="00F42F44">
        <w:t>-</w:t>
      </w:r>
      <w:r w:rsidR="00646894">
        <w:t>time and are unable to access support during business hours.</w:t>
      </w:r>
      <w:r w:rsidR="00416208">
        <w:t xml:space="preserve"> </w:t>
      </w:r>
    </w:p>
    <w:p w:rsidR="00646894" w:rsidRDefault="000A4D41" w:rsidP="00DB6CBE">
      <w:pPr>
        <w:pStyle w:val="Text"/>
      </w:pPr>
      <w:r>
        <w:t xml:space="preserve">This summary of </w:t>
      </w:r>
      <w:r w:rsidR="00DA00D3">
        <w:t xml:space="preserve">the </w:t>
      </w:r>
      <w:r>
        <w:t>key findings is</w:t>
      </w:r>
      <w:r w:rsidR="00416208">
        <w:t xml:space="preserve"> applied in the proposed </w:t>
      </w:r>
      <w:r w:rsidR="00DD1F06">
        <w:t xml:space="preserve">collaborative framework </w:t>
      </w:r>
      <w:r w:rsidR="002F34E0">
        <w:t xml:space="preserve">for transition students </w:t>
      </w:r>
      <w:r w:rsidR="00545AAD">
        <w:t xml:space="preserve">presented </w:t>
      </w:r>
      <w:r w:rsidR="00EC0770">
        <w:t>in figure 3</w:t>
      </w:r>
      <w:r w:rsidR="00545AAD">
        <w:t xml:space="preserve">, while the final section of this chapter </w:t>
      </w:r>
      <w:r w:rsidR="0063191E">
        <w:t>discuss</w:t>
      </w:r>
      <w:r w:rsidR="00545AAD">
        <w:t>es</w:t>
      </w:r>
      <w:r w:rsidR="0063191E">
        <w:t xml:space="preserve"> the implications </w:t>
      </w:r>
      <w:r w:rsidR="00545AAD">
        <w:t xml:space="preserve">of the framework </w:t>
      </w:r>
      <w:r w:rsidR="0063191E">
        <w:t>for transition</w:t>
      </w:r>
      <w:r>
        <w:t xml:space="preserve"> in general. </w:t>
      </w:r>
    </w:p>
    <w:p w:rsidR="00C3441E" w:rsidRPr="00C3441E" w:rsidRDefault="00C3441E" w:rsidP="001B3201">
      <w:pPr>
        <w:pStyle w:val="Heading2"/>
      </w:pPr>
      <w:bookmarkStart w:id="61" w:name="_Toc378160495"/>
      <w:r>
        <w:t>A transitional collaborative framework</w:t>
      </w:r>
      <w:bookmarkEnd w:id="61"/>
    </w:p>
    <w:p w:rsidR="00CE142C" w:rsidRDefault="00FA6449" w:rsidP="008D2902">
      <w:pPr>
        <w:pStyle w:val="Text"/>
      </w:pPr>
      <w:r>
        <w:t xml:space="preserve">A conceptual representation of the proposed collaborative framework </w:t>
      </w:r>
      <w:r w:rsidR="003413FD">
        <w:t xml:space="preserve">for strengthening information literacy in the transition </w:t>
      </w:r>
      <w:r w:rsidR="008F0134">
        <w:t xml:space="preserve">from </w:t>
      </w:r>
      <w:r w:rsidR="006C24B8">
        <w:t xml:space="preserve">vocational education and training </w:t>
      </w:r>
      <w:r w:rsidR="003413FD">
        <w:t xml:space="preserve">to university </w:t>
      </w:r>
      <w:r w:rsidR="001B2A0B">
        <w:t>is presented in f</w:t>
      </w:r>
      <w:r>
        <w:t xml:space="preserve">igure </w:t>
      </w:r>
      <w:r w:rsidR="00163E4B">
        <w:t>3</w:t>
      </w:r>
      <w:r>
        <w:t xml:space="preserve">. This </w:t>
      </w:r>
      <w:r w:rsidRPr="008D2902">
        <w:t>diagram</w:t>
      </w:r>
      <w:r>
        <w:t xml:space="preserve"> alone cannot convey the intricacies of the proposed</w:t>
      </w:r>
      <w:r w:rsidR="002D10FD">
        <w:t xml:space="preserve"> collaboration</w:t>
      </w:r>
      <w:r w:rsidR="00DA00D3">
        <w:t>;</w:t>
      </w:r>
      <w:r w:rsidR="00EC0770">
        <w:t xml:space="preserve"> </w:t>
      </w:r>
      <w:r w:rsidR="002D10FD">
        <w:t>t</w:t>
      </w:r>
      <w:r w:rsidR="00545AAD">
        <w:t xml:space="preserve">he </w:t>
      </w:r>
      <w:r>
        <w:t xml:space="preserve">text </w:t>
      </w:r>
      <w:r w:rsidR="001B2A0B">
        <w:t xml:space="preserve">that follows </w:t>
      </w:r>
      <w:r w:rsidR="00EC0770">
        <w:t>elaborat</w:t>
      </w:r>
      <w:r w:rsidR="00DA00D3">
        <w:t>es</w:t>
      </w:r>
      <w:r w:rsidR="00EC0770">
        <w:t xml:space="preserve"> on </w:t>
      </w:r>
      <w:r>
        <w:t>the framework</w:t>
      </w:r>
      <w:r w:rsidR="00EA711A">
        <w:t>.</w:t>
      </w:r>
      <w:r w:rsidR="00920FBF">
        <w:t xml:space="preserve"> </w:t>
      </w:r>
      <w:r w:rsidR="00EA711A">
        <w:t>C</w:t>
      </w:r>
      <w:r>
        <w:t xml:space="preserve">onsideration </w:t>
      </w:r>
      <w:r w:rsidR="00920FBF">
        <w:t>is given to the</w:t>
      </w:r>
      <w:r>
        <w:t xml:space="preserve"> different tim</w:t>
      </w:r>
      <w:r w:rsidR="00852669">
        <w:t>e periods in the transition and </w:t>
      </w:r>
      <w:r>
        <w:t xml:space="preserve">the issues of who will manage the </w:t>
      </w:r>
      <w:r w:rsidR="001B2A0B">
        <w:t>various</w:t>
      </w:r>
      <w:r>
        <w:t xml:space="preserve"> elements and modes of del</w:t>
      </w:r>
      <w:r w:rsidR="002D10FD">
        <w:t xml:space="preserve">ivery to ensure equitable access. The time periods of the transition structure the </w:t>
      </w:r>
      <w:r w:rsidR="002D10FD" w:rsidRPr="00F929BB">
        <w:t>subsequent text</w:t>
      </w:r>
      <w:r w:rsidR="00EA711A">
        <w:t>:</w:t>
      </w:r>
      <w:r w:rsidR="002D10FD" w:rsidRPr="00F929BB">
        <w:t xml:space="preserve"> </w:t>
      </w:r>
      <w:r w:rsidR="00F929BB">
        <w:t>p</w:t>
      </w:r>
      <w:r w:rsidR="00EC0770">
        <w:t>rior to enrolling in university; the</w:t>
      </w:r>
      <w:r w:rsidR="002D10FD" w:rsidRPr="00F929BB">
        <w:t xml:space="preserve"> </w:t>
      </w:r>
      <w:r w:rsidR="00F929BB">
        <w:t>p</w:t>
      </w:r>
      <w:r w:rsidR="002D10FD" w:rsidRPr="00F929BB">
        <w:t>eriod between receiving a university offer and commencing studies</w:t>
      </w:r>
      <w:r w:rsidR="00852669">
        <w:t>;</w:t>
      </w:r>
      <w:r w:rsidR="002D10FD" w:rsidRPr="00F929BB">
        <w:t xml:space="preserve"> and </w:t>
      </w:r>
      <w:r w:rsidR="00F929BB">
        <w:t>c</w:t>
      </w:r>
      <w:r w:rsidR="002D10FD" w:rsidRPr="00F929BB">
        <w:t>ommencing university study.</w:t>
      </w:r>
    </w:p>
    <w:p w:rsidR="00A109D1" w:rsidRPr="00CE142C" w:rsidRDefault="00A109D1" w:rsidP="00357AC8">
      <w:pPr>
        <w:pStyle w:val="Text"/>
        <w:ind w:right="0"/>
      </w:pPr>
    </w:p>
    <w:p w:rsidR="00A109D1" w:rsidRDefault="00A109D1" w:rsidP="00EE2694">
      <w:pPr>
        <w:pStyle w:val="Text"/>
        <w:rPr>
          <w:color w:val="FF0000"/>
        </w:rPr>
        <w:sectPr w:rsidR="00A109D1" w:rsidSect="00227E29">
          <w:footerReference w:type="even" r:id="rId16"/>
          <w:footerReference w:type="default" r:id="rId17"/>
          <w:pgSz w:w="11907" w:h="16840" w:code="9"/>
          <w:pgMar w:top="1276" w:right="1701" w:bottom="1276" w:left="1418" w:header="709" w:footer="556" w:gutter="0"/>
          <w:cols w:space="708"/>
          <w:docGrid w:linePitch="360"/>
        </w:sectPr>
      </w:pPr>
    </w:p>
    <w:p w:rsidR="0075358C" w:rsidRDefault="0075358C" w:rsidP="0075358C">
      <w:pPr>
        <w:pStyle w:val="Figuretitle"/>
      </w:pPr>
      <w:bookmarkStart w:id="62" w:name="_Toc378160512"/>
      <w:r>
        <w:lastRenderedPageBreak/>
        <w:t>Figure 3</w:t>
      </w:r>
      <w:r>
        <w:tab/>
        <w:t>Proposed transitional collaborative framework, based on evidence from the present research</w:t>
      </w:r>
      <w:bookmarkEnd w:id="62"/>
    </w:p>
    <w:p w:rsidR="0075358C" w:rsidRDefault="00A04EA9" w:rsidP="005B4B70">
      <w:pPr>
        <w:pStyle w:val="Text"/>
      </w:pPr>
      <w:r>
        <w:rPr>
          <w:noProof/>
          <w:lang w:eastAsia="en-AU"/>
        </w:rPr>
        <w:pict>
          <v:group id="Group 73" o:spid="_x0000_s1031" style="position:absolute;margin-left:-9pt;margin-top:2.5pt;width:764.7pt;height:414.15pt;z-index:251693056;mso-height-relative:margin" coordorigin=",1536" coordsize="97115,5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">
            <v:shape id="Text Box 63" o:spid="_x0000_s1032" type="#_x0000_t202" style="position:absolute;left:45061;top:6655;width:9144;height:186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MuBMQA&#10;AADbAAAADwAAAGRycy9kb3ducmV2LnhtbESPQYvCMBSE74L/ITzBm6YqiFSjLIriXhatetjb2+Zt&#10;W2xeahNt/febBcHjMDPfMItVa0rxoNoVlhWMhhEI4tTqgjMF59N2MAPhPLLG0jIpeJKD1bLbWWCs&#10;bcNHeiQ+EwHCLkYFufdVLKVLczLohrYiDt6vrQ36IOtM6hqbADelHEfRVBosOCzkWNE6p/Sa3I2C&#10;y8/XszxWk++oaD4P7e52SDa7TKl+r/2Yg/DU+nf41d5rBdMJ/H8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zLgTEAAAA2wAAAA8AAAAAAAAAAAAAAAAAmAIAAGRycy9k&#10;b3ducmV2LnhtbFBLBQYAAAAABAAEAPUAAACJAwAAAAA=&#10;" filled="f" stroked="f">
              <v:textbox style="layout-flow:vertical;mso-layout-flow-alt:bottom-to-top">
                <w:txbxContent>
                  <w:p w:rsidR="00DA00D3" w:rsidRPr="008D06E8" w:rsidRDefault="00DA00D3" w:rsidP="00C67351">
                    <w:pPr>
                      <w:spacing w:before="0" w:line="240" w:lineRule="auto"/>
                      <w:jc w:val="center"/>
                      <w:rPr>
                        <w:rFonts w:ascii="Arial" w:hAnsi="Arial" w:cs="Arial"/>
                        <w:sz w:val="18"/>
                        <w:szCs w:val="18"/>
                      </w:rPr>
                    </w:pPr>
                    <w:r w:rsidRPr="008D06E8">
                      <w:rPr>
                        <w:rFonts w:ascii="Arial" w:hAnsi="Arial" w:cs="Arial"/>
                        <w:b/>
                        <w:sz w:val="18"/>
                        <w:szCs w:val="18"/>
                      </w:rPr>
                      <w:t>Information literacy course commences bef</w:t>
                    </w:r>
                    <w:r>
                      <w:rPr>
                        <w:rFonts w:ascii="Arial" w:hAnsi="Arial" w:cs="Arial"/>
                        <w:b/>
                        <w:sz w:val="18"/>
                        <w:szCs w:val="18"/>
                      </w:rPr>
                      <w:t>ore orientation w</w:t>
                    </w:r>
                    <w:r w:rsidRPr="008D06E8">
                      <w:rPr>
                        <w:rFonts w:ascii="Arial" w:hAnsi="Arial" w:cs="Arial"/>
                        <w:b/>
                        <w:sz w:val="18"/>
                        <w:szCs w:val="18"/>
                      </w:rPr>
                      <w:t>eek</w:t>
                    </w:r>
                    <w:r w:rsidRPr="008D06E8">
                      <w:rPr>
                        <w:rFonts w:ascii="Arial" w:hAnsi="Arial" w:cs="Arial"/>
                        <w:sz w:val="18"/>
                        <w:szCs w:val="18"/>
                      </w:rPr>
                      <w:t xml:space="preserve"> </w:t>
                    </w:r>
                  </w:p>
                  <w:p w:rsidR="00DA00D3" w:rsidRPr="008D06E8" w:rsidRDefault="00DA00D3" w:rsidP="00C67351">
                    <w:pPr>
                      <w:spacing w:before="0" w:line="240" w:lineRule="auto"/>
                      <w:jc w:val="center"/>
                      <w:rPr>
                        <w:rFonts w:ascii="Arial" w:hAnsi="Arial" w:cs="Arial"/>
                        <w:sz w:val="18"/>
                        <w:szCs w:val="18"/>
                      </w:rPr>
                    </w:pPr>
                    <w:r>
                      <w:rPr>
                        <w:rFonts w:ascii="Arial" w:hAnsi="Arial" w:cs="Arial"/>
                        <w:sz w:val="18"/>
                        <w:szCs w:val="18"/>
                      </w:rPr>
                      <w:t>Session</w:t>
                    </w:r>
                    <w:r w:rsidRPr="008D06E8">
                      <w:rPr>
                        <w:rFonts w:ascii="Arial" w:hAnsi="Arial" w:cs="Arial"/>
                        <w:sz w:val="18"/>
                        <w:szCs w:val="18"/>
                      </w:rPr>
                      <w:t xml:space="preserve"> 1: Online orientation</w:t>
                    </w:r>
                  </w:p>
                </w:txbxContent>
              </v:textbox>
            </v:shape>
            <v:group id="Group 72" o:spid="_x0000_s1033" style="position:absolute;top:1536;width:97115;height:52592" coordorigin=",1682" coordsize="97115,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type id="_x0000_t32" coordsize="21600,21600" o:spt="32" o:oned="t" path="m,l21600,21600e" filled="f">
                <v:path arrowok="t" fillok="f" o:connecttype="none"/>
                <o:lock v:ext="edit" shapetype="t"/>
              </v:shapetype>
              <v:shape id="Straight Arrow Connector 57" o:spid="_x0000_s1034" type="#_x0000_t32" style="position:absolute;left:1243;top:6803;width:9587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Eb0sMAAADbAAAADwAAAGRycy9kb3ducmV2LnhtbESPQWvCQBSE74L/YXmCN90o2ErqKlUJ&#10;CD1pPXh8Zp9J2uzbkH1q7K/vCoUeh5n5hlmsOlerG7Wh8mxgMk5AEefeVlwYOH5mozmoIMgWa89k&#10;4EEBVst+b4Gp9Xfe0+0ghYoQDikaKEWaVOuQl+QwjH1DHL2Lbx1KlG2hbYv3CHe1nibJi3ZYcVwo&#10;saFNSfn34eoMhGM9P09PH+tJI3LZVtlX5vnHmOGge38DJdTJf/ivvbMGZq/w/BJ/gF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RG9LDAAAA2wAAAA8AAAAAAAAAAAAA&#10;AAAAoQIAAGRycy9kb3ducmV2LnhtbFBLBQYAAAAABAAEAPkAAACRAwAAAAA=&#10;" strokecolor="#1f497d [3215]" strokeweight="3.5pt">
                <v:stroke endarrow="block"/>
              </v:shape>
              <v:shape id="Straight Arrow Connector 67" o:spid="_x0000_s1035" type="#_x0000_t32" style="position:absolute;left:34527;top:1901;width:0;height:5098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2hzcMAAADbAAAADwAAAGRycy9kb3ducmV2LnhtbESPT2sCMRTE74V+h/AKXkSzFWplNYoU&#10;CuJF/EO9PjfPZLubl2UTdf32jSD0OMzMb5jZonO1uFIbSs8K3ocZCOLC65KNgsP+ezABESKyxtoz&#10;KbhTgMX89WWGufY33tJ1F41IEA45KrAxNrmUobDkMAx9Q5y8s28dxiRbI3WLtwR3tRxl2Vg6LDkt&#10;WGzoy1JR7S5OQfHrTb2Smz4e18ZWPyfTfVRLpXpv3XIKIlIX/8PP9korGH/C40v6A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9Noc3DAAAA2wAAAA8AAAAAAAAAAAAA&#10;AAAAoQIAAGRycy9kb3ducmV2LnhtbFBLBQYAAAAABAAEAPkAAACRAwAAAAA=&#10;" strokecolor="#c0504d [3205]" strokeweight="1.75pt">
                <v:stroke dashstyle="longDash"/>
              </v:shape>
              <v:shape id="Straight Arrow Connector 56" o:spid="_x0000_s1036" type="#_x0000_t32" style="position:absolute;left:64081;top:1901;width:146;height:5098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3IgsYAAADbAAAADwAAAGRycy9kb3ducmV2LnhtbESP3WrCQBSE74W+w3IK3ohuDGgldZUi&#10;rQqC0PSP3h2yxyQ0ezZkVxN9elcQejnMzDfMfNmZSpyocaVlBeNRBII4s7rkXMHnx9twBsJ5ZI2V&#10;ZVJwJgfLxUNvjom2Lb/TKfW5CBB2CSoovK8TKV1WkEE3sjVx8A62MeiDbHKpG2wD3FQyjqKpNFhy&#10;WCiwplVB2V96NArar/KnrV8vu2zzG6+/+WmfxoeBUv3H7uUZhKfO/4fv7a1WMJnC7Uv4AX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9yILGAAAA2wAAAA8AAAAAAAAA&#10;AAAAAAAAoQIAAGRycy9kb3ducmV2LnhtbFBLBQYAAAAABAAEAPkAAACUAwAAAAA=&#10;" strokecolor="#c0504d [3205]" strokeweight="1.75pt">
                <v:stroke dashstyle="longDash"/>
              </v:shape>
              <v:shape id="Text Box 54" o:spid="_x0000_s1037" type="#_x0000_t202" style="position:absolute;left:2706;top:3730;width:31528;height:2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DA00D3" w:rsidRPr="008D06E8" w:rsidRDefault="00DA00D3" w:rsidP="00BB3A31">
                      <w:pPr>
                        <w:spacing w:before="0" w:line="240" w:lineRule="auto"/>
                        <w:jc w:val="center"/>
                        <w:rPr>
                          <w:rFonts w:ascii="Arial" w:hAnsi="Arial" w:cs="Arial"/>
                          <w:b/>
                          <w:sz w:val="20"/>
                        </w:rPr>
                      </w:pPr>
                      <w:r w:rsidRPr="008D06E8">
                        <w:rPr>
                          <w:rFonts w:ascii="Arial" w:hAnsi="Arial" w:cs="Arial"/>
                          <w:b/>
                          <w:sz w:val="20"/>
                        </w:rPr>
                        <w:t>Prior to enrolling in university</w:t>
                      </w:r>
                    </w:p>
                    <w:p w:rsidR="00DA00D3" w:rsidRPr="008D06E8" w:rsidRDefault="00DA00D3" w:rsidP="00F51956">
                      <w:pPr>
                        <w:rPr>
                          <w:rFonts w:ascii="Arial" w:hAnsi="Arial" w:cs="Arial"/>
                          <w:sz w:val="18"/>
                          <w:szCs w:val="18"/>
                        </w:rPr>
                      </w:pPr>
                    </w:p>
                  </w:txbxContent>
                </v:textbox>
              </v:shape>
              <v:shape id="Text Box 65" o:spid="_x0000_s1038" type="#_x0000_t202" style="position:absolute;left:64077;top:2779;width:30906;height:36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rsidR="00DA00D3" w:rsidRPr="008D06E8" w:rsidRDefault="00DA00D3" w:rsidP="00F51956">
                      <w:pPr>
                        <w:spacing w:line="240" w:lineRule="auto"/>
                        <w:jc w:val="center"/>
                        <w:rPr>
                          <w:rFonts w:ascii="Arial" w:hAnsi="Arial" w:cs="Arial"/>
                          <w:b/>
                          <w:sz w:val="20"/>
                        </w:rPr>
                      </w:pPr>
                      <w:r w:rsidRPr="008D06E8">
                        <w:rPr>
                          <w:rFonts w:ascii="Arial" w:hAnsi="Arial" w:cs="Arial"/>
                          <w:b/>
                          <w:sz w:val="20"/>
                        </w:rPr>
                        <w:t>Commencing university study</w:t>
                      </w:r>
                    </w:p>
                    <w:p w:rsidR="00DA00D3" w:rsidRPr="008D06E8" w:rsidRDefault="00DA00D3" w:rsidP="00F51956">
                      <w:pPr>
                        <w:spacing w:line="240" w:lineRule="auto"/>
                        <w:jc w:val="center"/>
                        <w:rPr>
                          <w:rFonts w:ascii="Arial" w:hAnsi="Arial" w:cs="Arial"/>
                          <w:sz w:val="18"/>
                          <w:szCs w:val="18"/>
                        </w:rPr>
                      </w:pPr>
                    </w:p>
                    <w:p w:rsidR="00DA00D3" w:rsidRPr="008D06E8" w:rsidRDefault="00DA00D3" w:rsidP="00F51956">
                      <w:pPr>
                        <w:rPr>
                          <w:rFonts w:ascii="Arial" w:hAnsi="Arial" w:cs="Arial"/>
                          <w:sz w:val="18"/>
                          <w:szCs w:val="18"/>
                        </w:rPr>
                      </w:pPr>
                    </w:p>
                  </w:txbxContent>
                </v:textbox>
              </v:shape>
              <v:shape id="Text Box 66" o:spid="_x0000_s1039" type="#_x0000_t202" style="position:absolute;left:36137;top:1682;width:26111;height:6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DA00D3" w:rsidRPr="008D06E8" w:rsidRDefault="00DA00D3" w:rsidP="00F51956">
                      <w:pPr>
                        <w:spacing w:line="240" w:lineRule="auto"/>
                        <w:jc w:val="center"/>
                        <w:rPr>
                          <w:rFonts w:ascii="Arial" w:hAnsi="Arial" w:cs="Arial"/>
                          <w:b/>
                          <w:sz w:val="20"/>
                        </w:rPr>
                      </w:pPr>
                      <w:r w:rsidRPr="008D06E8">
                        <w:rPr>
                          <w:rFonts w:ascii="Arial" w:hAnsi="Arial" w:cs="Arial"/>
                          <w:b/>
                          <w:sz w:val="20"/>
                        </w:rPr>
                        <w:t>Period between receiving a university offer and commencing studies</w:t>
                      </w:r>
                    </w:p>
                    <w:p w:rsidR="00DA00D3" w:rsidRPr="008D06E8" w:rsidRDefault="00DA00D3" w:rsidP="00F51956">
                      <w:pPr>
                        <w:spacing w:line="240" w:lineRule="auto"/>
                        <w:jc w:val="center"/>
                        <w:rPr>
                          <w:rFonts w:ascii="Arial" w:hAnsi="Arial" w:cs="Arial"/>
                          <w:b/>
                          <w:sz w:val="20"/>
                        </w:rPr>
                      </w:pPr>
                    </w:p>
                    <w:p w:rsidR="00DA00D3" w:rsidRPr="008D06E8" w:rsidRDefault="00DA00D3" w:rsidP="00F51956">
                      <w:pPr>
                        <w:rPr>
                          <w:rFonts w:ascii="Arial" w:hAnsi="Arial" w:cs="Arial"/>
                          <w:sz w:val="18"/>
                          <w:szCs w:val="18"/>
                        </w:rPr>
                      </w:pPr>
                    </w:p>
                  </w:txbxContent>
                </v:textbox>
              </v:shape>
              <v:shape id="Straight Arrow Connector 68" o:spid="_x0000_s1040" type="#_x0000_t32" style="position:absolute;left:2706;top:39940;width:317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GBtr8AAADbAAAADwAAAGRycy9kb3ducmV2LnhtbERPTYvCMBC9C/sfwix401RBka5RxGVR&#10;8OJaD3scmrGtNpPSRFv/vXMQ9vh438t172r1oDZUng1Mxgko4tzbigsD5+xntAAVIrLF2jMZeFKA&#10;9epjsMTU+o5/6XGKhZIQDikaKGNsUq1DXpLDMPYNsXAX3zqMAttC2xY7CXe1nibJXDusWBpKbGhb&#10;Un473Z2BeZ0899lh1/F08eeP1+84c84aM/zsN1+gIvXxX/x27634ZKx8kR+gV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wGBtr8AAADbAAAADwAAAAAAAAAAAAAAAACh&#10;AgAAZHJzL2Rvd25yZXYueG1sUEsFBgAAAAAEAAQA+QAAAI0DAAAAAA==&#10;">
                <v:stroke dashstyle="1 1"/>
              </v:shape>
              <v:shape id="Text Box 51" o:spid="_x0000_s1041" type="#_x0000_t202" style="position:absolute;left:73;top:39166;width:4572;height:144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fVcYA&#10;AADbAAAADwAAAGRycy9kb3ducmV2LnhtbESPQWvCQBSE70L/w/IKvZlNLJaSuoZSqehFNNpDb6/Z&#10;ZxLMvk2zq4n/visIPQ4z8w0zywbTiAt1rrasIIliEMSF1TWXCg77z/ErCOeRNTaWScGVHGTzh9EM&#10;U2173tEl96UIEHYpKqi8b1MpXVGRQRfZljh4R9sZ9EF2pdQd9gFuGjmJ4xdpsOawUGFLHxUVp/xs&#10;FHz9bK7Nrn3+jut+vR2Wv9t8sSyVenoc3t9AeBr8f/jeXmkF0wRuX8IP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HfVcYAAADbAAAADwAAAAAAAAAAAAAAAACYAgAAZHJz&#10;L2Rvd25yZXYueG1sUEsFBgAAAAAEAAQA9QAAAIsDAAAAAA==&#10;" filled="f" stroked="f">
                <v:textbox style="layout-flow:vertical;mso-layout-flow-alt:bottom-to-top">
                  <w:txbxContent>
                    <w:p w:rsidR="00DA00D3" w:rsidRPr="008D06E8" w:rsidRDefault="00DA00D3" w:rsidP="00F51956">
                      <w:pPr>
                        <w:jc w:val="center"/>
                        <w:rPr>
                          <w:rFonts w:ascii="Arial" w:hAnsi="Arial" w:cs="Arial"/>
                          <w:b/>
                          <w:sz w:val="18"/>
                          <w:szCs w:val="18"/>
                        </w:rPr>
                      </w:pPr>
                      <w:r w:rsidRPr="008D06E8">
                        <w:rPr>
                          <w:rFonts w:ascii="Arial" w:hAnsi="Arial" w:cs="Arial"/>
                          <w:b/>
                          <w:sz w:val="18"/>
                          <w:szCs w:val="18"/>
                        </w:rPr>
                        <w:t>Working in the field</w:t>
                      </w:r>
                    </w:p>
                  </w:txbxContent>
                </v:textbox>
              </v:shape>
              <v:shape id="Text Box 50" o:spid="_x0000_s1042" type="#_x0000_t202" style="position:absolute;top:15581;width:4572;height:180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16zsEA&#10;AADbAAAADwAAAGRycy9kb3ducmV2LnhtbERPTYvCMBC9L/gfwgje1tSVFalGERdl9yJa9eBtbMa2&#10;2Exqk7X135uD4PHxvqfz1pTiTrUrLCsY9CMQxKnVBWcKDvvV5xiE88gaS8uk4EEO5rPOxxRjbRve&#10;0T3xmQgh7GJUkHtfxVK6NCeDrm8r4sBdbG3QB1hnUtfYhHBTyq8oGkmDBYeGHCta5pRek3+j4Hje&#10;PMpdNTxFRfO3bde3bfKzzpTqddvFBISn1r/FL/evVvAd1ocv4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Nes7BAAAA2wAAAA8AAAAAAAAAAAAAAAAAmAIAAGRycy9kb3du&#10;cmV2LnhtbFBLBQYAAAAABAAEAPUAAACGAwAAAAA=&#10;" filled="f" stroked="f">
                <v:textbox style="layout-flow:vertical;mso-layout-flow-alt:bottom-to-top">
                  <w:txbxContent>
                    <w:p w:rsidR="00DA00D3" w:rsidRPr="008D06E8" w:rsidRDefault="00DA00D3" w:rsidP="00F51956">
                      <w:pPr>
                        <w:jc w:val="center"/>
                        <w:rPr>
                          <w:rFonts w:ascii="Arial" w:hAnsi="Arial" w:cs="Arial"/>
                          <w:b/>
                          <w:sz w:val="18"/>
                          <w:szCs w:val="18"/>
                        </w:rPr>
                      </w:pPr>
                      <w:r w:rsidRPr="008D06E8">
                        <w:rPr>
                          <w:rFonts w:ascii="Arial" w:hAnsi="Arial" w:cs="Arial"/>
                          <w:b/>
                          <w:sz w:val="18"/>
                          <w:szCs w:val="18"/>
                        </w:rPr>
                        <w:t>Studying at TAFE</w:t>
                      </w:r>
                    </w:p>
                  </w:txbxContent>
                </v:textbox>
              </v:shape>
              <v:roundrect id="Rounded Rectangle 60" o:spid="_x0000_s1043" style="position:absolute;left:9290;top:30284;width:21552;height:2260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YFF8AA&#10;AADbAAAADwAAAGRycy9kb3ducmV2LnhtbERPz2vCMBS+C/4P4Qm7aeJA0c4oMtjwNqwePL41b21Z&#10;81KTtHb7681B8Pjx/d7sBtuInnyoHWuYzxQI4sKZmksN59PHdAUiRGSDjWPS8EcBdtvxaIOZcTc+&#10;Up/HUqQQDhlqqGJsMylDUZHFMHMtceJ+nLcYE/SlNB5vKdw28lWppbRYc2qosKX3iorfvLMaCqM6&#10;5S/91/p7EfP/vruy/Lxq/TIZ9m8gIg3xKX64D0bDMq1PX9IPkN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YFF8AAAADbAAAADwAAAAAAAAAAAAAAAACYAgAAZHJzL2Rvd25y&#10;ZXYueG1sUEsFBgAAAAAEAAQA9QAAAIUDAAAAAA==&#10;">
                <v:textbox>
                  <w:txbxContent>
                    <w:p w:rsidR="00DA00D3" w:rsidRPr="008D06E8" w:rsidRDefault="00DA00D3" w:rsidP="00C67351">
                      <w:pPr>
                        <w:spacing w:before="0"/>
                        <w:jc w:val="center"/>
                        <w:rPr>
                          <w:rFonts w:ascii="Arial" w:hAnsi="Arial" w:cs="Arial"/>
                          <w:sz w:val="18"/>
                          <w:szCs w:val="18"/>
                        </w:rPr>
                      </w:pPr>
                      <w:r w:rsidRPr="008D06E8">
                        <w:rPr>
                          <w:rFonts w:ascii="Arial" w:hAnsi="Arial" w:cs="Arial"/>
                          <w:b/>
                          <w:sz w:val="18"/>
                          <w:szCs w:val="18"/>
                        </w:rPr>
                        <w:t xml:space="preserve">The university experience: </w:t>
                      </w:r>
                      <w:r>
                        <w:rPr>
                          <w:rFonts w:ascii="Arial" w:hAnsi="Arial" w:cs="Arial"/>
                          <w:sz w:val="18"/>
                          <w:szCs w:val="18"/>
                        </w:rPr>
                        <w:t>j</w:t>
                      </w:r>
                      <w:r w:rsidRPr="008D06E8">
                        <w:rPr>
                          <w:rFonts w:ascii="Arial" w:hAnsi="Arial" w:cs="Arial"/>
                          <w:sz w:val="18"/>
                          <w:szCs w:val="18"/>
                        </w:rPr>
                        <w:t>oin a first</w:t>
                      </w:r>
                      <w:r>
                        <w:rPr>
                          <w:rFonts w:ascii="Arial" w:hAnsi="Arial" w:cs="Arial"/>
                          <w:sz w:val="18"/>
                          <w:szCs w:val="18"/>
                        </w:rPr>
                        <w:t>-</w:t>
                      </w:r>
                      <w:r w:rsidRPr="008D06E8">
                        <w:rPr>
                          <w:rFonts w:ascii="Arial" w:hAnsi="Arial" w:cs="Arial"/>
                          <w:sz w:val="18"/>
                          <w:szCs w:val="18"/>
                        </w:rPr>
                        <w:t xml:space="preserve">year unit for the afternoon (talk to current students and their lecturers) – invitation to current </w:t>
                      </w:r>
                      <w:r>
                        <w:rPr>
                          <w:rFonts w:ascii="Arial" w:hAnsi="Arial" w:cs="Arial"/>
                          <w:sz w:val="18"/>
                          <w:szCs w:val="18"/>
                        </w:rPr>
                        <w:t>d</w:t>
                      </w:r>
                      <w:r w:rsidRPr="008D06E8">
                        <w:rPr>
                          <w:rFonts w:ascii="Arial" w:hAnsi="Arial" w:cs="Arial"/>
                          <w:sz w:val="18"/>
                          <w:szCs w:val="18"/>
                        </w:rPr>
                        <w:t xml:space="preserve">iploma students and early childhood educators who are interested in enrolling </w:t>
                      </w:r>
                      <w:r>
                        <w:rPr>
                          <w:rFonts w:ascii="Arial" w:hAnsi="Arial" w:cs="Arial"/>
                          <w:sz w:val="18"/>
                          <w:szCs w:val="18"/>
                        </w:rPr>
                        <w:t>in b</w:t>
                      </w:r>
                      <w:r w:rsidRPr="008D06E8">
                        <w:rPr>
                          <w:rFonts w:ascii="Arial" w:hAnsi="Arial" w:cs="Arial"/>
                          <w:sz w:val="18"/>
                          <w:szCs w:val="18"/>
                        </w:rPr>
                        <w:t xml:space="preserve">achelor degree in </w:t>
                      </w:r>
                      <w:r>
                        <w:rPr>
                          <w:rFonts w:ascii="Arial" w:hAnsi="Arial" w:cs="Arial"/>
                          <w:sz w:val="18"/>
                          <w:szCs w:val="18"/>
                        </w:rPr>
                        <w:t>early childhood</w:t>
                      </w:r>
                      <w:r w:rsidRPr="008D06E8">
                        <w:rPr>
                          <w:rFonts w:ascii="Arial" w:hAnsi="Arial" w:cs="Arial"/>
                          <w:sz w:val="18"/>
                          <w:szCs w:val="18"/>
                        </w:rPr>
                        <w:t>.</w:t>
                      </w:r>
                    </w:p>
                    <w:p w:rsidR="00DA00D3" w:rsidRPr="008D06E8" w:rsidRDefault="00DA00D3" w:rsidP="00C67351">
                      <w:pPr>
                        <w:spacing w:before="0"/>
                        <w:jc w:val="center"/>
                        <w:rPr>
                          <w:rFonts w:ascii="Arial" w:hAnsi="Arial" w:cs="Arial"/>
                          <w:sz w:val="18"/>
                          <w:szCs w:val="18"/>
                        </w:rPr>
                      </w:pPr>
                    </w:p>
                    <w:p w:rsidR="00DA00D3" w:rsidRPr="008D06E8" w:rsidRDefault="00DA00D3" w:rsidP="00C67351">
                      <w:pPr>
                        <w:spacing w:before="0"/>
                        <w:jc w:val="center"/>
                        <w:rPr>
                          <w:rFonts w:ascii="Arial" w:hAnsi="Arial" w:cs="Arial"/>
                          <w:i/>
                          <w:sz w:val="18"/>
                          <w:szCs w:val="18"/>
                        </w:rPr>
                      </w:pPr>
                      <w:proofErr w:type="gramStart"/>
                      <w:r w:rsidRPr="008D06E8">
                        <w:rPr>
                          <w:rFonts w:ascii="Arial" w:hAnsi="Arial" w:cs="Arial"/>
                          <w:i/>
                          <w:sz w:val="18"/>
                          <w:szCs w:val="18"/>
                        </w:rPr>
                        <w:t>Session available in person or online.</w:t>
                      </w:r>
                      <w:proofErr w:type="gramEnd"/>
                    </w:p>
                    <w:p w:rsidR="00DA00D3" w:rsidRPr="008D06E8" w:rsidRDefault="00DA00D3" w:rsidP="00F51956">
                      <w:pPr>
                        <w:rPr>
                          <w:rFonts w:ascii="Arial" w:hAnsi="Arial" w:cs="Arial"/>
                          <w:sz w:val="18"/>
                          <w:szCs w:val="18"/>
                        </w:rPr>
                      </w:pPr>
                    </w:p>
                  </w:txbxContent>
                </v:textbox>
              </v:roundrect>
              <v:shape id="Straight Arrow Connector 55" o:spid="_x0000_s1044" type="#_x0000_t32" style="position:absolute;left:57424;top:6802;width:0;height:4607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zklcQAAADbAAAADwAAAGRycy9kb3ducmV2LnhtbESPzWrDMBCE74W8g9hAb41cg0NwIpvQ&#10;UmLoJU1yyHGxtrYba2UsxT9vHxUKPQ4z8w2zyyfTioF611hW8LqKQBCXVjdcKbicP142IJxH1tha&#10;JgUzOcizxdMOU21H/qLh5CsRIOxSVFB736VSurImg25lO+LgfdveoA+yr6TucQxw08o4itbSYMNh&#10;ocaO3moqb6e7UbBuo7k4fx5GjjdXe/x594kxWqnn5bTfgvA0+f/wX7vQCpIEfr+EHyC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bOSVxAAAANsAAAAPAAAAAAAAAAAA&#10;AAAAAKECAABkcnMvZG93bnJldi54bWxQSwUGAAAAAAQABAD5AAAAkgMAAAAA&#10;">
                <v:stroke dashstyle="1 1"/>
              </v:shape>
              <v:shape id="Text Box 53" o:spid="_x0000_s1045" type="#_x0000_t202" style="position:absolute;left:57351;top:15508;width:7855;height:387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kucYA&#10;AADbAAAADwAAAGRycy9kb3ducmV2LnhtbESPQWvCQBSE74L/YXlCb2bThpYSXUNRKu2laNSDt2f2&#10;mQSzb9Ps1sR/3y0IPQ4z8w0zzwbTiCt1rras4DGKQRAXVtdcKtjv3qevIJxH1thYJgU3cpAtxqM5&#10;ptr2vKVr7ksRIOxSVFB536ZSuqIigy6yLXHwzrYz6IPsSqk77APcNPIpjl+kwZrDQoUtLSsqLvmP&#10;UXA4fd2abZsc47r/3Azr702+WpdKPUyGtxkIT4P/D9/bH1rBcwJ/X8IP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kucYAAADbAAAADwAAAAAAAAAAAAAAAACYAgAAZHJz&#10;L2Rvd25yZXYueG1sUEsFBgAAAAAEAAQA9QAAAIsDAAAAAA==&#10;" filled="f" stroked="f">
                <v:textbox style="layout-flow:vertical;mso-layout-flow-alt:bottom-to-top">
                  <w:txbxContent>
                    <w:p w:rsidR="00DA00D3" w:rsidRPr="008D06E8" w:rsidRDefault="00DA00D3" w:rsidP="00F51956">
                      <w:pPr>
                        <w:spacing w:before="0" w:line="240" w:lineRule="auto"/>
                        <w:jc w:val="center"/>
                        <w:rPr>
                          <w:rFonts w:ascii="Arial" w:hAnsi="Arial" w:cs="Arial"/>
                          <w:b/>
                          <w:sz w:val="18"/>
                          <w:szCs w:val="18"/>
                        </w:rPr>
                      </w:pPr>
                      <w:r w:rsidRPr="008D06E8">
                        <w:rPr>
                          <w:rFonts w:ascii="Arial" w:hAnsi="Arial" w:cs="Arial"/>
                          <w:b/>
                          <w:sz w:val="18"/>
                          <w:szCs w:val="18"/>
                        </w:rPr>
                        <w:t xml:space="preserve">University orientation week </w:t>
                      </w:r>
                      <w:r>
                        <w:rPr>
                          <w:rFonts w:ascii="Arial" w:hAnsi="Arial" w:cs="Arial"/>
                          <w:b/>
                          <w:sz w:val="18"/>
                          <w:szCs w:val="18"/>
                        </w:rPr>
                        <w:t>a</w:t>
                      </w:r>
                      <w:r w:rsidRPr="008D06E8">
                        <w:rPr>
                          <w:rFonts w:ascii="Arial" w:hAnsi="Arial" w:cs="Arial"/>
                          <w:b/>
                          <w:sz w:val="18"/>
                          <w:szCs w:val="18"/>
                        </w:rPr>
                        <w:t>ctivities</w:t>
                      </w:r>
                    </w:p>
                    <w:p w:rsidR="00DA00D3" w:rsidRPr="008D06E8" w:rsidRDefault="00DA00D3" w:rsidP="00F51956">
                      <w:pPr>
                        <w:spacing w:before="0" w:line="240" w:lineRule="auto"/>
                        <w:jc w:val="center"/>
                        <w:rPr>
                          <w:rFonts w:ascii="Arial" w:hAnsi="Arial" w:cs="Arial"/>
                          <w:sz w:val="18"/>
                          <w:szCs w:val="18"/>
                        </w:rPr>
                      </w:pPr>
                      <w:r w:rsidRPr="008D06E8">
                        <w:rPr>
                          <w:rFonts w:ascii="Arial" w:hAnsi="Arial" w:cs="Arial"/>
                          <w:b/>
                          <w:sz w:val="18"/>
                          <w:szCs w:val="18"/>
                        </w:rPr>
                        <w:t xml:space="preserve">Targeted </w:t>
                      </w:r>
                      <w:r w:rsidRPr="008D06E8">
                        <w:rPr>
                          <w:rFonts w:ascii="Arial" w:hAnsi="Arial" w:cs="Arial"/>
                          <w:sz w:val="18"/>
                          <w:szCs w:val="18"/>
                        </w:rPr>
                        <w:t>external and internal student Early Childhood</w:t>
                      </w:r>
                      <w:r>
                        <w:rPr>
                          <w:rFonts w:ascii="Arial" w:hAnsi="Arial" w:cs="Arial"/>
                          <w:sz w:val="18"/>
                          <w:szCs w:val="18"/>
                        </w:rPr>
                        <w:t xml:space="preserve"> Orientation – includes session 2</w:t>
                      </w:r>
                      <w:r w:rsidRPr="008D06E8">
                        <w:rPr>
                          <w:rFonts w:ascii="Arial" w:hAnsi="Arial" w:cs="Arial"/>
                          <w:sz w:val="18"/>
                          <w:szCs w:val="18"/>
                        </w:rPr>
                        <w:t xml:space="preserve"> of the information literacy course</w:t>
                      </w:r>
                    </w:p>
                  </w:txbxContent>
                </v:textbox>
              </v:shape>
              <v:roundrect id="Rounded Rectangle 62" o:spid="_x0000_s1046" style="position:absolute;left:34893;top:30870;width:17337;height:1594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g++8MA&#10;AADbAAAADwAAAGRycy9kb3ducmV2LnhtbESPQWsCMRSE7wX/Q3iCt5ooKHU1igiW3kq3Hjw+N8/d&#10;xc3LmmTXbX99Uyj0OMzMN8xmN9hG9ORD7VjDbKpAEBfO1FxqOH0en19AhIhssHFMGr4owG47etpg&#10;ZtyDP6jPYykShEOGGqoY20zKUFRkMUxdS5y8q/MWY5K+lMbjI8FtI+dKLaXFmtNChS0dKipueWc1&#10;FEZ1yp/799VlEfPvvruzfL1rPRkP+zWISEP8D/+134yG5Rx+v6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8g++8MAAADbAAAADwAAAAAAAAAAAAAAAACYAgAAZHJzL2Rv&#10;d25yZXYueG1sUEsFBgAAAAAEAAQA9QAAAIgDAAAAAA==&#10;">
                <v:textbox>
                  <w:txbxContent>
                    <w:p w:rsidR="00DA00D3" w:rsidRPr="008D06E8" w:rsidRDefault="00DA00D3" w:rsidP="00C67351">
                      <w:pPr>
                        <w:spacing w:before="0"/>
                        <w:rPr>
                          <w:rFonts w:ascii="Arial" w:hAnsi="Arial" w:cs="Arial"/>
                          <w:b/>
                          <w:sz w:val="18"/>
                          <w:szCs w:val="18"/>
                        </w:rPr>
                      </w:pPr>
                      <w:r w:rsidRPr="008D06E8">
                        <w:rPr>
                          <w:rFonts w:ascii="Arial" w:hAnsi="Arial" w:cs="Arial"/>
                          <w:b/>
                          <w:sz w:val="18"/>
                          <w:szCs w:val="18"/>
                        </w:rPr>
                        <w:t xml:space="preserve">Students receive </w:t>
                      </w:r>
                      <w:r>
                        <w:rPr>
                          <w:rFonts w:ascii="Arial" w:hAnsi="Arial" w:cs="Arial"/>
                          <w:b/>
                          <w:sz w:val="18"/>
                          <w:szCs w:val="18"/>
                        </w:rPr>
                        <w:t>two</w:t>
                      </w:r>
                      <w:r w:rsidRPr="008D06E8">
                        <w:rPr>
                          <w:rFonts w:ascii="Arial" w:hAnsi="Arial" w:cs="Arial"/>
                          <w:b/>
                          <w:sz w:val="18"/>
                          <w:szCs w:val="18"/>
                        </w:rPr>
                        <w:t xml:space="preserve"> key pieces of information: </w:t>
                      </w:r>
                    </w:p>
                    <w:p w:rsidR="00DA00D3" w:rsidRPr="008D06E8" w:rsidRDefault="00DA00D3" w:rsidP="001B2A0B">
                      <w:pPr>
                        <w:pStyle w:val="ListParagraph"/>
                        <w:numPr>
                          <w:ilvl w:val="0"/>
                          <w:numId w:val="46"/>
                        </w:numPr>
                        <w:spacing w:before="0" w:line="276" w:lineRule="auto"/>
                        <w:rPr>
                          <w:rFonts w:ascii="Arial" w:hAnsi="Arial" w:cs="Arial"/>
                          <w:sz w:val="18"/>
                          <w:szCs w:val="18"/>
                        </w:rPr>
                      </w:pPr>
                      <w:r>
                        <w:rPr>
                          <w:rFonts w:ascii="Arial" w:hAnsi="Arial" w:cs="Arial"/>
                          <w:sz w:val="18"/>
                          <w:szCs w:val="18"/>
                        </w:rPr>
                        <w:t>a</w:t>
                      </w:r>
                      <w:r w:rsidRPr="008D06E8">
                        <w:rPr>
                          <w:rFonts w:ascii="Arial" w:hAnsi="Arial" w:cs="Arial"/>
                          <w:sz w:val="18"/>
                          <w:szCs w:val="18"/>
                        </w:rPr>
                        <w:t xml:space="preserve"> link to </w:t>
                      </w:r>
                      <w:r>
                        <w:rPr>
                          <w:rFonts w:ascii="Arial" w:hAnsi="Arial" w:cs="Arial"/>
                          <w:sz w:val="18"/>
                          <w:szCs w:val="18"/>
                        </w:rPr>
                        <w:t>a video example of how to enrol</w:t>
                      </w:r>
                    </w:p>
                    <w:p w:rsidR="00DA00D3" w:rsidRPr="008D06E8" w:rsidRDefault="00DA00D3" w:rsidP="001B2A0B">
                      <w:pPr>
                        <w:pStyle w:val="ListParagraph"/>
                        <w:numPr>
                          <w:ilvl w:val="0"/>
                          <w:numId w:val="46"/>
                        </w:numPr>
                        <w:spacing w:before="0" w:line="276" w:lineRule="auto"/>
                        <w:rPr>
                          <w:rFonts w:ascii="Arial" w:hAnsi="Arial" w:cs="Arial"/>
                          <w:sz w:val="18"/>
                          <w:szCs w:val="18"/>
                        </w:rPr>
                      </w:pPr>
                      <w:proofErr w:type="gramStart"/>
                      <w:r>
                        <w:rPr>
                          <w:rFonts w:ascii="Arial" w:hAnsi="Arial" w:cs="Arial"/>
                          <w:sz w:val="18"/>
                          <w:szCs w:val="18"/>
                        </w:rPr>
                        <w:t>a</w:t>
                      </w:r>
                      <w:proofErr w:type="gramEnd"/>
                      <w:r w:rsidRPr="008D06E8">
                        <w:rPr>
                          <w:rFonts w:ascii="Arial" w:hAnsi="Arial" w:cs="Arial"/>
                          <w:sz w:val="18"/>
                          <w:szCs w:val="18"/>
                        </w:rPr>
                        <w:t xml:space="preserve"> phone number and email for general assistance.</w:t>
                      </w:r>
                    </w:p>
                  </w:txbxContent>
                </v:textbox>
              </v:roundrect>
              <v:shape id="Text Box 49" o:spid="_x0000_s1047" type="#_x0000_t202" style="position:absolute;left:2706;top:13679;width:6657;height:244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5FjsYA&#10;AADbAAAADwAAAGRycy9kb3ducmV2LnhtbESPQWvCQBSE74L/YXlCb7rRirSpq4jSUC8S0/bQ22v2&#10;NQlm36bZrYn/3hWEHoeZ+YZZrntTizO1rrKsYDqJQBDnVldcKPh4fx0/gXAeWWNtmRRcyMF6NRws&#10;Mda24yOdM1+IAGEXo4LS+yaW0uUlGXQT2xAH78e2Bn2QbSF1i12Am1rOomghDVYcFkpsaFtSfsr+&#10;jILP78OlPjaPX1HV7dM++U2zXVIo9TDqNy8gPPX+P3xvv2kF82e4fQk/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5FjsYAAADbAAAADwAAAAAAAAAAAAAAAACYAgAAZHJz&#10;L2Rvd25yZXYueG1sUEsFBgAAAAAEAAQA9QAAAIsDAAAAAA==&#10;" filled="f" stroked="f">
                <v:textbox style="layout-flow:vertical;mso-layout-flow-alt:bottom-to-top">
                  <w:txbxContent>
                    <w:p w:rsidR="00DA00D3" w:rsidRPr="008D06E8" w:rsidRDefault="00DA00D3" w:rsidP="00F51956">
                      <w:pPr>
                        <w:jc w:val="center"/>
                        <w:rPr>
                          <w:rFonts w:ascii="Arial" w:hAnsi="Arial" w:cs="Arial"/>
                          <w:i/>
                          <w:sz w:val="18"/>
                          <w:szCs w:val="18"/>
                        </w:rPr>
                      </w:pPr>
                      <w:r w:rsidRPr="008D06E8">
                        <w:rPr>
                          <w:rFonts w:ascii="Arial" w:hAnsi="Arial" w:cs="Arial"/>
                          <w:i/>
                          <w:sz w:val="18"/>
                          <w:szCs w:val="18"/>
                        </w:rPr>
                        <w:t>University pamphlets and information booklets available</w:t>
                      </w:r>
                    </w:p>
                  </w:txbxContent>
                </v:textbox>
              </v:shape>
              <v:shape id="Straight Arrow Connector 52" o:spid="_x0000_s1048" type="#_x0000_t32" style="position:absolute;left:52888;top:15654;width:36462;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jDrcMAAADbAAAADwAAAGRycy9kb3ducmV2LnhtbESP0YrCMBRE3xf8h3AFX0RTBVe3axQR&#10;BPVltfYDLs3dtm5zU5qo1a83grCPw8ycYebL1lTiSo0rLSsYDSMQxJnVJecK0tNmMAPhPLLGyjIp&#10;uJOD5aLzMcdY2xsf6Zr4XAQIuxgVFN7XsZQuK8igG9qaOHi/tjHog2xyqRu8Bbip5DiKPqXBksNC&#10;gTWtC8r+kotR8Dj307PZnX50cqDH1zTdOLevlOp129U3CE+t/w+/21utYDKG15fwA+Ti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Iw63DAAAA2wAAAA8AAAAAAAAAAAAA&#10;AAAAoQIAAGRycy9kb3ducmV2LnhtbFBLBQYAAAAABAAEAPkAAACRAwAAAAA=&#10;" strokecolor="#9bbb59 [3206]" strokeweight="2.5pt">
                <v:stroke endarrow="block"/>
              </v:shape>
              <v:shape id="Text Box 61" o:spid="_x0000_s1049" type="#_x0000_t202" style="position:absolute;left:61291;top:11994;width:33718;height:58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x3sIA&#10;AADbAAAADwAAAGRycy9kb3ducmV2LnhtbESPwWrDMBBE74X8g9hCb43sQkNwIpvQtJBDL02c+2Jt&#10;LVNrZaxt7Px9FQj0OMzMG2Zbzb5XFxpjF9hAvsxAETfBdtwaqE8fz2tQUZAt9oHJwJUiVOXiYYuF&#10;DRN/0eUorUoQjgUacCJDoXVsHHmMyzAQJ+87jB4lybHVdsQpwX2vX7JspT12nBYcDvTmqPk5/noD&#10;InaXX+t3Hw/n+XM/uax5xdqYp8d5twElNMt/+N4+WAOrHG5f0g/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ybHewgAAANsAAAAPAAAAAAAAAAAAAAAAAJgCAABkcnMvZG93&#10;bnJldi54bWxQSwUGAAAAAAQABAD1AAAAhwMAAAAA&#10;" filled="f" stroked="f">
                <v:textbox style="mso-fit-shape-to-text:t">
                  <w:txbxContent>
                    <w:p w:rsidR="00DA00D3" w:rsidRPr="008D06E8" w:rsidRDefault="00DA00D3" w:rsidP="00F51956">
                      <w:pPr>
                        <w:spacing w:before="0" w:line="240" w:lineRule="auto"/>
                        <w:jc w:val="center"/>
                        <w:rPr>
                          <w:rFonts w:ascii="Arial" w:hAnsi="Arial" w:cs="Arial"/>
                          <w:b/>
                          <w:sz w:val="18"/>
                          <w:szCs w:val="18"/>
                        </w:rPr>
                      </w:pPr>
                      <w:r w:rsidRPr="008D06E8">
                        <w:rPr>
                          <w:rFonts w:ascii="Arial" w:hAnsi="Arial" w:cs="Arial"/>
                          <w:b/>
                          <w:sz w:val="18"/>
                          <w:szCs w:val="18"/>
                        </w:rPr>
                        <w:t>6 week information literacy core skills course</w:t>
                      </w:r>
                    </w:p>
                    <w:p w:rsidR="00DA00D3" w:rsidRPr="008D06E8" w:rsidRDefault="00DA00D3" w:rsidP="00F51956">
                      <w:pPr>
                        <w:spacing w:before="0" w:line="240" w:lineRule="auto"/>
                        <w:jc w:val="center"/>
                        <w:rPr>
                          <w:rFonts w:ascii="Arial" w:hAnsi="Arial" w:cs="Arial"/>
                          <w:sz w:val="18"/>
                          <w:szCs w:val="18"/>
                        </w:rPr>
                      </w:pPr>
                      <w:r>
                        <w:rPr>
                          <w:rFonts w:ascii="Arial" w:hAnsi="Arial" w:cs="Arial"/>
                          <w:sz w:val="18"/>
                          <w:szCs w:val="18"/>
                        </w:rPr>
                        <w:t>–</w:t>
                      </w:r>
                      <w:r w:rsidRPr="008D06E8">
                        <w:rPr>
                          <w:rFonts w:ascii="Arial" w:hAnsi="Arial" w:cs="Arial"/>
                          <w:sz w:val="18"/>
                          <w:szCs w:val="18"/>
                        </w:rPr>
                        <w:t xml:space="preserve"> facilitated by librarians </w:t>
                      </w:r>
                      <w:r>
                        <w:rPr>
                          <w:rFonts w:ascii="Arial" w:hAnsi="Arial" w:cs="Arial"/>
                          <w:sz w:val="18"/>
                          <w:szCs w:val="18"/>
                        </w:rPr>
                        <w:t>and</w:t>
                      </w:r>
                      <w:r w:rsidRPr="008D06E8">
                        <w:rPr>
                          <w:rFonts w:ascii="Arial" w:hAnsi="Arial" w:cs="Arial"/>
                          <w:sz w:val="18"/>
                          <w:szCs w:val="18"/>
                        </w:rPr>
                        <w:t xml:space="preserve"> academics</w:t>
                      </w:r>
                    </w:p>
                    <w:p w:rsidR="00DA00D3" w:rsidRPr="008D06E8" w:rsidRDefault="00DA00D3" w:rsidP="00F51956">
                      <w:pPr>
                        <w:spacing w:line="240" w:lineRule="auto"/>
                        <w:jc w:val="center"/>
                        <w:rPr>
                          <w:rFonts w:ascii="Arial" w:hAnsi="Arial" w:cs="Arial"/>
                          <w:i/>
                          <w:sz w:val="18"/>
                          <w:szCs w:val="18"/>
                        </w:rPr>
                      </w:pPr>
                      <w:proofErr w:type="gramStart"/>
                      <w:r w:rsidRPr="008D06E8">
                        <w:rPr>
                          <w:rFonts w:ascii="Arial" w:hAnsi="Arial" w:cs="Arial"/>
                          <w:i/>
                          <w:sz w:val="18"/>
                          <w:szCs w:val="18"/>
                        </w:rPr>
                        <w:t>Offered on campus and online.</w:t>
                      </w:r>
                      <w:proofErr w:type="gramEnd"/>
                    </w:p>
                  </w:txbxContent>
                </v:textbox>
              </v:shape>
              <v:oval id="Oval 64" o:spid="_x0000_s1050" style="position:absolute;left:64739;top:28456;width:30942;height:215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LZKsMA&#10;AADbAAAADwAAAGRycy9kb3ducmV2LnhtbESPQWvCQBSE74L/YXlCb7qxqaGkriKVgh48NLb3R/aZ&#10;BLNvQ/Y1pv/eLQg9DjPzDbPejq5VA/Wh8WxguUhAEZfeNlwZ+Dp/zF9BBUG22HomA78UYLuZTtaY&#10;W3/jTxoKqVSEcMjRQC3S5VqHsiaHYeE74uhdfO9QouwrbXu8Rbhr9XOSZNphw3Ghxo7eayqvxY8z&#10;sK92RTboVFbpZX+Q1fX7dEyXxjzNxt0bKKFR/sOP9sEayF7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LZKsMAAADbAAAADwAAAAAAAAAAAAAAAACYAgAAZHJzL2Rv&#10;d25yZXYueG1sUEsFBgAAAAAEAAQA9QAAAIgDAAAAAA==&#10;">
                <v:textbox>
                  <w:txbxContent>
                    <w:p w:rsidR="00DA00D3" w:rsidRPr="008D06E8" w:rsidRDefault="00DA00D3" w:rsidP="00F51956">
                      <w:pPr>
                        <w:jc w:val="center"/>
                        <w:rPr>
                          <w:rFonts w:ascii="Arial" w:hAnsi="Arial" w:cs="Arial"/>
                          <w:sz w:val="18"/>
                          <w:szCs w:val="18"/>
                        </w:rPr>
                      </w:pPr>
                      <w:r w:rsidRPr="008D06E8">
                        <w:rPr>
                          <w:rFonts w:ascii="Arial" w:hAnsi="Arial" w:cs="Arial"/>
                          <w:b/>
                          <w:sz w:val="18"/>
                          <w:szCs w:val="18"/>
                        </w:rPr>
                        <w:t xml:space="preserve">University </w:t>
                      </w:r>
                      <w:r>
                        <w:rPr>
                          <w:rFonts w:ascii="Arial" w:hAnsi="Arial" w:cs="Arial"/>
                          <w:b/>
                          <w:sz w:val="18"/>
                          <w:szCs w:val="18"/>
                        </w:rPr>
                        <w:t>s</w:t>
                      </w:r>
                      <w:r w:rsidRPr="008D06E8">
                        <w:rPr>
                          <w:rFonts w:ascii="Arial" w:hAnsi="Arial" w:cs="Arial"/>
                          <w:b/>
                          <w:sz w:val="18"/>
                          <w:szCs w:val="18"/>
                        </w:rPr>
                        <w:t>taff:</w:t>
                      </w:r>
                      <w:r w:rsidRPr="008D06E8">
                        <w:rPr>
                          <w:rFonts w:ascii="Arial" w:hAnsi="Arial" w:cs="Arial"/>
                          <w:sz w:val="18"/>
                          <w:szCs w:val="18"/>
                        </w:rPr>
                        <w:t xml:space="preserve"> </w:t>
                      </w:r>
                    </w:p>
                    <w:p w:rsidR="00DA00D3" w:rsidRPr="008D06E8" w:rsidRDefault="00DA00D3" w:rsidP="00F51956">
                      <w:pPr>
                        <w:pStyle w:val="ListParagraph"/>
                        <w:numPr>
                          <w:ilvl w:val="0"/>
                          <w:numId w:val="38"/>
                        </w:numPr>
                        <w:spacing w:before="0" w:line="276" w:lineRule="auto"/>
                        <w:rPr>
                          <w:rFonts w:ascii="Arial" w:hAnsi="Arial" w:cs="Arial"/>
                          <w:sz w:val="18"/>
                          <w:szCs w:val="18"/>
                        </w:rPr>
                      </w:pPr>
                      <w:r>
                        <w:rPr>
                          <w:rFonts w:ascii="Arial" w:hAnsi="Arial" w:cs="Arial"/>
                          <w:sz w:val="18"/>
                          <w:szCs w:val="18"/>
                        </w:rPr>
                        <w:t>d</w:t>
                      </w:r>
                      <w:r w:rsidRPr="008D06E8">
                        <w:rPr>
                          <w:rFonts w:ascii="Arial" w:hAnsi="Arial" w:cs="Arial"/>
                          <w:sz w:val="18"/>
                          <w:szCs w:val="18"/>
                        </w:rPr>
                        <w:t>edicate time to explaining assessment tasks an</w:t>
                      </w:r>
                      <w:r>
                        <w:rPr>
                          <w:rFonts w:ascii="Arial" w:hAnsi="Arial" w:cs="Arial"/>
                          <w:sz w:val="18"/>
                          <w:szCs w:val="18"/>
                        </w:rPr>
                        <w:t>d corresponding criteria sheets</w:t>
                      </w:r>
                    </w:p>
                    <w:p w:rsidR="00DA00D3" w:rsidRPr="008D06E8" w:rsidRDefault="00DA00D3" w:rsidP="00F51956">
                      <w:pPr>
                        <w:pStyle w:val="ListParagraph"/>
                        <w:numPr>
                          <w:ilvl w:val="0"/>
                          <w:numId w:val="38"/>
                        </w:numPr>
                        <w:spacing w:before="0" w:line="276" w:lineRule="auto"/>
                        <w:rPr>
                          <w:rFonts w:ascii="Arial" w:hAnsi="Arial" w:cs="Arial"/>
                          <w:sz w:val="18"/>
                          <w:szCs w:val="18"/>
                        </w:rPr>
                      </w:pPr>
                      <w:proofErr w:type="gramStart"/>
                      <w:r>
                        <w:rPr>
                          <w:rFonts w:ascii="Arial" w:hAnsi="Arial" w:cs="Arial"/>
                          <w:sz w:val="18"/>
                          <w:szCs w:val="18"/>
                        </w:rPr>
                        <w:t>c</w:t>
                      </w:r>
                      <w:r w:rsidRPr="008D06E8">
                        <w:rPr>
                          <w:rFonts w:ascii="Arial" w:hAnsi="Arial" w:cs="Arial"/>
                          <w:sz w:val="18"/>
                          <w:szCs w:val="18"/>
                        </w:rPr>
                        <w:t>ommit</w:t>
                      </w:r>
                      <w:proofErr w:type="gramEnd"/>
                      <w:r w:rsidRPr="008D06E8">
                        <w:rPr>
                          <w:rFonts w:ascii="Arial" w:hAnsi="Arial" w:cs="Arial"/>
                          <w:sz w:val="18"/>
                          <w:szCs w:val="18"/>
                        </w:rPr>
                        <w:t xml:space="preserve"> to developing learning experiences that equally engage both external and internal students.</w:t>
                      </w:r>
                    </w:p>
                    <w:p w:rsidR="00DA00D3" w:rsidRPr="008D06E8" w:rsidRDefault="00DA00D3" w:rsidP="00F51956">
                      <w:pPr>
                        <w:rPr>
                          <w:rFonts w:ascii="Arial" w:hAnsi="Arial" w:cs="Arial"/>
                          <w:sz w:val="18"/>
                          <w:szCs w:val="18"/>
                        </w:rPr>
                      </w:pPr>
                    </w:p>
                  </w:txbxContent>
                </v:textbox>
              </v:oval>
              <v:shape id="Straight Arrow Connector 58" o:spid="_x0000_s1051" type="#_x0000_t32" style="position:absolute;left:57204;top:11265;width:3882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dSVL8AAADbAAAADwAAAGRycy9kb3ducmV2LnhtbERPzYrCMBC+C75DGGEvoqmCstTGsojF&#10;PQnWfYChGdu4zaQ0sda33xwWPH58/1k+2lYM1HvjWMFqmYAgrpw2XCv4uRaLTxA+IGtsHZOCF3nI&#10;99NJhql2T77QUIZaxBD2KSpoQuhSKX3VkEW/dB1x5G6utxgi7Gupe3zGcNvKdZJspUXDsaHBjg4N&#10;Vb/lwyrQZu7nXbveVvdX6Y+nc3Eyl0Kpj9n4tQMRaAxv8b/7WyvYxLHxS/wBcv8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TdSVL8AAADbAAAADwAAAAAAAAAAAAAAAACh&#10;AgAAZHJzL2Rvd25yZXYueG1sUEsFBgAAAAAEAAQA+QAAAI0DAAAAAA==&#10;" strokecolor="#f79646 [3209]" strokeweight="1.5pt">
                <v:stroke endarrow="block"/>
              </v:shape>
              <v:shape id="Text Box 59" o:spid="_x0000_s1052" type="#_x0000_t202" style="position:absolute;left:63858;top:7680;width:31820;height:63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DA00D3" w:rsidRPr="008D06E8" w:rsidRDefault="00DA00D3" w:rsidP="008D06E8">
                      <w:pPr>
                        <w:spacing w:before="0" w:line="240" w:lineRule="auto"/>
                        <w:jc w:val="center"/>
                        <w:rPr>
                          <w:rFonts w:ascii="Arial" w:hAnsi="Arial" w:cs="Arial"/>
                          <w:sz w:val="18"/>
                          <w:szCs w:val="18"/>
                        </w:rPr>
                      </w:pPr>
                      <w:r>
                        <w:rPr>
                          <w:rFonts w:ascii="Arial" w:hAnsi="Arial" w:cs="Arial"/>
                          <w:b/>
                          <w:sz w:val="18"/>
                          <w:szCs w:val="18"/>
                        </w:rPr>
                        <w:t>Engagement with peer mentors</w:t>
                      </w:r>
                      <w:r w:rsidRPr="008D06E8">
                        <w:rPr>
                          <w:rFonts w:ascii="Arial" w:hAnsi="Arial" w:cs="Arial"/>
                          <w:b/>
                          <w:sz w:val="18"/>
                          <w:szCs w:val="18"/>
                        </w:rPr>
                        <w:t>:</w:t>
                      </w:r>
                      <w:r w:rsidRPr="008D06E8">
                        <w:rPr>
                          <w:rFonts w:ascii="Arial" w:hAnsi="Arial" w:cs="Arial"/>
                          <w:sz w:val="18"/>
                          <w:szCs w:val="18"/>
                        </w:rPr>
                        <w:t xml:space="preserve"> </w:t>
                      </w:r>
                    </w:p>
                    <w:p w:rsidR="00DA00D3" w:rsidRPr="008D06E8" w:rsidRDefault="00DA00D3" w:rsidP="008D06E8">
                      <w:pPr>
                        <w:spacing w:before="0" w:line="240" w:lineRule="auto"/>
                        <w:jc w:val="center"/>
                        <w:rPr>
                          <w:rFonts w:ascii="Arial" w:hAnsi="Arial" w:cs="Arial"/>
                          <w:sz w:val="18"/>
                          <w:szCs w:val="18"/>
                        </w:rPr>
                      </w:pPr>
                      <w:proofErr w:type="gramStart"/>
                      <w:r>
                        <w:rPr>
                          <w:rFonts w:ascii="Arial" w:hAnsi="Arial" w:cs="Arial"/>
                          <w:sz w:val="18"/>
                          <w:szCs w:val="18"/>
                        </w:rPr>
                        <w:t>i</w:t>
                      </w:r>
                      <w:r w:rsidRPr="008D06E8">
                        <w:rPr>
                          <w:rFonts w:ascii="Arial" w:hAnsi="Arial" w:cs="Arial"/>
                          <w:sz w:val="18"/>
                          <w:szCs w:val="18"/>
                        </w:rPr>
                        <w:t>nitially</w:t>
                      </w:r>
                      <w:proofErr w:type="gramEnd"/>
                      <w:r w:rsidRPr="008D06E8">
                        <w:rPr>
                          <w:rFonts w:ascii="Arial" w:hAnsi="Arial" w:cs="Arial"/>
                          <w:sz w:val="18"/>
                          <w:szCs w:val="18"/>
                        </w:rPr>
                        <w:t xml:space="preserve"> structured, but reducing over time.</w:t>
                      </w:r>
                    </w:p>
                  </w:txbxContent>
                </v:textbox>
              </v:shape>
              <v:oval id="Oval 69" o:spid="_x0000_s1053" style="position:absolute;left:7534;top:7461;width:26194;height:205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N2tMMA&#10;AADbAAAADwAAAGRycy9kb3ducmV2LnhtbESPQWvCQBSE70L/w/IKvelGg6FNXUUqBT300NjeH9ln&#10;Esy+DdlnjP/eFQo9DjPzDbPajK5VA/Wh8WxgPktAEZfeNlwZ+Dl+Tl9BBUG22HomAzcKsFk/TVaY&#10;W3/lbxoKqVSEcMjRQC3S5VqHsiaHYeY74uidfO9QouwrbXu8Rrhr9SJJMu2w4bhQY0cfNZXn4uIM&#10;7KptkQ06lWV62u1lef79OqRzY16ex+07KKFR/sN/7b01kL3B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N2tMMAAADbAAAADwAAAAAAAAAAAAAAAACYAgAAZHJzL2Rv&#10;d25yZXYueG1sUEsFBgAAAAAEAAQA9QAAAIgDAAAAAA==&#10;">
                <v:textbox>
                  <w:txbxContent>
                    <w:p w:rsidR="00DA00D3" w:rsidRPr="008D06E8" w:rsidRDefault="00DA00D3" w:rsidP="00F51956">
                      <w:pPr>
                        <w:spacing w:before="0"/>
                        <w:jc w:val="center"/>
                        <w:rPr>
                          <w:rFonts w:ascii="Arial" w:hAnsi="Arial" w:cs="Arial"/>
                          <w:sz w:val="18"/>
                          <w:szCs w:val="18"/>
                        </w:rPr>
                      </w:pPr>
                      <w:r>
                        <w:rPr>
                          <w:rFonts w:ascii="Arial" w:hAnsi="Arial" w:cs="Arial"/>
                          <w:b/>
                          <w:sz w:val="18"/>
                          <w:szCs w:val="18"/>
                        </w:rPr>
                        <w:t>TAFE s</w:t>
                      </w:r>
                      <w:r w:rsidRPr="008D06E8">
                        <w:rPr>
                          <w:rFonts w:ascii="Arial" w:hAnsi="Arial" w:cs="Arial"/>
                          <w:b/>
                          <w:sz w:val="18"/>
                          <w:szCs w:val="18"/>
                        </w:rPr>
                        <w:t>taff:</w:t>
                      </w:r>
                    </w:p>
                    <w:p w:rsidR="00DA00D3" w:rsidRPr="008D06E8" w:rsidRDefault="00DA00D3" w:rsidP="00F51956">
                      <w:pPr>
                        <w:spacing w:before="0"/>
                        <w:jc w:val="center"/>
                        <w:rPr>
                          <w:rFonts w:ascii="Arial" w:hAnsi="Arial" w:cs="Arial"/>
                          <w:sz w:val="18"/>
                          <w:szCs w:val="18"/>
                        </w:rPr>
                      </w:pPr>
                      <w:r w:rsidRPr="008D06E8">
                        <w:rPr>
                          <w:rFonts w:ascii="Arial" w:hAnsi="Arial" w:cs="Arial"/>
                          <w:sz w:val="18"/>
                          <w:szCs w:val="18"/>
                        </w:rPr>
                        <w:t>Create opportunities for students to develop research skills, including searching for scholarly sources independently, using the information and establish</w:t>
                      </w:r>
                      <w:r>
                        <w:rPr>
                          <w:rFonts w:ascii="Arial" w:hAnsi="Arial" w:cs="Arial"/>
                          <w:sz w:val="18"/>
                          <w:szCs w:val="18"/>
                        </w:rPr>
                        <w:t>ing</w:t>
                      </w:r>
                      <w:r w:rsidRPr="008D06E8">
                        <w:rPr>
                          <w:rFonts w:ascii="Arial" w:hAnsi="Arial" w:cs="Arial"/>
                          <w:sz w:val="18"/>
                          <w:szCs w:val="18"/>
                        </w:rPr>
                        <w:t xml:space="preserve"> formal referencing skills.</w:t>
                      </w:r>
                    </w:p>
                  </w:txbxContent>
                </v:textbox>
              </v:oval>
            </v:group>
          </v:group>
        </w:pict>
      </w:r>
    </w:p>
    <w:p w:rsidR="0075358C" w:rsidRDefault="0075358C" w:rsidP="005B4B70">
      <w:pPr>
        <w:pStyle w:val="Text"/>
      </w:pPr>
    </w:p>
    <w:p w:rsidR="00F51956" w:rsidRDefault="00F51956" w:rsidP="005B4B70">
      <w:pPr>
        <w:pStyle w:val="Text"/>
      </w:pPr>
    </w:p>
    <w:p w:rsidR="00F51956" w:rsidRDefault="00F51956" w:rsidP="005B4B70">
      <w:pPr>
        <w:pStyle w:val="Text"/>
      </w:pPr>
    </w:p>
    <w:p w:rsidR="00F51956" w:rsidRDefault="00F51956" w:rsidP="00943B0A">
      <w:pPr>
        <w:pStyle w:val="Text"/>
      </w:pPr>
    </w:p>
    <w:p w:rsidR="00F51956" w:rsidRDefault="00F51956" w:rsidP="00943B0A">
      <w:pPr>
        <w:pStyle w:val="Text"/>
      </w:pPr>
    </w:p>
    <w:p w:rsidR="00F51956" w:rsidRDefault="00F51956" w:rsidP="00943B0A">
      <w:pPr>
        <w:pStyle w:val="Text"/>
      </w:pPr>
    </w:p>
    <w:p w:rsidR="00F51956" w:rsidRDefault="00F51956" w:rsidP="00943B0A">
      <w:pPr>
        <w:pStyle w:val="Text"/>
      </w:pPr>
    </w:p>
    <w:p w:rsidR="005B4B70" w:rsidRDefault="005B4B70" w:rsidP="00943B0A">
      <w:pPr>
        <w:pStyle w:val="Text"/>
      </w:pPr>
    </w:p>
    <w:p w:rsidR="00F51956" w:rsidRDefault="00F51956" w:rsidP="00943B0A">
      <w:pPr>
        <w:pStyle w:val="Text"/>
      </w:pPr>
    </w:p>
    <w:p w:rsidR="00F51956" w:rsidRPr="00943B0A" w:rsidRDefault="00F51956" w:rsidP="00943B0A">
      <w:pPr>
        <w:pStyle w:val="Text"/>
      </w:pPr>
    </w:p>
    <w:p w:rsidR="00F51956" w:rsidRDefault="00F51956" w:rsidP="00943B0A">
      <w:pPr>
        <w:pStyle w:val="Text"/>
      </w:pPr>
    </w:p>
    <w:p w:rsidR="00F51956" w:rsidRDefault="00F51956" w:rsidP="00943B0A">
      <w:pPr>
        <w:pStyle w:val="Text"/>
      </w:pPr>
    </w:p>
    <w:p w:rsidR="00F51956" w:rsidRDefault="00F51956" w:rsidP="00943B0A">
      <w:pPr>
        <w:pStyle w:val="Text"/>
      </w:pPr>
    </w:p>
    <w:p w:rsidR="005B4B70" w:rsidRDefault="005B4B70" w:rsidP="005B4B70">
      <w:pPr>
        <w:pStyle w:val="Text"/>
      </w:pPr>
    </w:p>
    <w:p w:rsidR="00CE142C" w:rsidRDefault="00CE142C" w:rsidP="00AA74CD">
      <w:pPr>
        <w:pStyle w:val="Figuretitle"/>
        <w:ind w:left="0" w:firstLine="0"/>
        <w:sectPr w:rsidR="00CE142C" w:rsidSect="008D2902">
          <w:footerReference w:type="default" r:id="rId18"/>
          <w:pgSz w:w="16840" w:h="11907" w:orient="landscape" w:code="9"/>
          <w:pgMar w:top="1134" w:right="1276" w:bottom="567" w:left="992" w:header="709" w:footer="556" w:gutter="0"/>
          <w:cols w:space="708"/>
          <w:docGrid w:linePitch="360"/>
        </w:sectPr>
      </w:pPr>
    </w:p>
    <w:p w:rsidR="00FA6449" w:rsidRDefault="00FA6449" w:rsidP="00FA6449">
      <w:pPr>
        <w:pStyle w:val="Heading3"/>
      </w:pPr>
      <w:r>
        <w:lastRenderedPageBreak/>
        <w:t>Prior to enrolling in university</w:t>
      </w:r>
    </w:p>
    <w:p w:rsidR="00920FBF" w:rsidRDefault="0091401B" w:rsidP="008D2902">
      <w:pPr>
        <w:pStyle w:val="Textlessbefore"/>
        <w:ind w:right="141"/>
      </w:pPr>
      <w:r>
        <w:t>In re</w:t>
      </w:r>
      <w:r w:rsidR="009565DD">
        <w:t>lation to f</w:t>
      </w:r>
      <w:r>
        <w:t xml:space="preserve">igure </w:t>
      </w:r>
      <w:r w:rsidR="00163E4B">
        <w:t>3</w:t>
      </w:r>
      <w:r>
        <w:t xml:space="preserve">, it is important to acknowledge that the pathway to university is not always directly from </w:t>
      </w:r>
      <w:r w:rsidR="009565DD">
        <w:t xml:space="preserve">a </w:t>
      </w:r>
      <w:r>
        <w:t>TAFE</w:t>
      </w:r>
      <w:r w:rsidR="009565DD">
        <w:t xml:space="preserve"> institute</w:t>
      </w:r>
      <w:r w:rsidR="00730D65">
        <w:t>, as</w:t>
      </w:r>
      <w:r>
        <w:t xml:space="preserve"> evidenced by the age difference between the </w:t>
      </w:r>
      <w:r w:rsidR="00ED66F2">
        <w:t xml:space="preserve">TAFE </w:t>
      </w:r>
      <w:r>
        <w:t>and</w:t>
      </w:r>
      <w:r w:rsidR="00ED66F2">
        <w:t xml:space="preserve"> university</w:t>
      </w:r>
      <w:r>
        <w:t xml:space="preserve"> participants in this </w:t>
      </w:r>
      <w:r w:rsidR="00253A2C">
        <w:t>study</w:t>
      </w:r>
      <w:r w:rsidR="009565DD">
        <w:t xml:space="preserve"> (t</w:t>
      </w:r>
      <w:r>
        <w:t xml:space="preserve">able </w:t>
      </w:r>
      <w:r w:rsidR="00A66EEF">
        <w:t>3</w:t>
      </w:r>
      <w:r>
        <w:t>)</w:t>
      </w:r>
      <w:r w:rsidR="00527D2B">
        <w:t xml:space="preserve"> and the fact that three </w:t>
      </w:r>
      <w:r w:rsidR="00253A2C">
        <w:t xml:space="preserve">of the </w:t>
      </w:r>
      <w:r w:rsidR="00527D2B">
        <w:t>TAFE students indicated they would only consider university after obtaining full</w:t>
      </w:r>
      <w:r w:rsidR="00B3773E">
        <w:t>-</w:t>
      </w:r>
      <w:r w:rsidR="00527D2B">
        <w:t>time experience in the field</w:t>
      </w:r>
      <w:r>
        <w:t>. Where possible</w:t>
      </w:r>
      <w:r w:rsidR="00253A2C">
        <w:t>,</w:t>
      </w:r>
      <w:r>
        <w:t xml:space="preserve"> a transition framework needs to encompass those studying at TAFE and </w:t>
      </w:r>
      <w:r w:rsidR="00527D2B">
        <w:t xml:space="preserve">those </w:t>
      </w:r>
      <w:r>
        <w:t xml:space="preserve">working in the early childhood field. </w:t>
      </w:r>
      <w:r w:rsidR="00594172">
        <w:t>Overall, as revealed in the section</w:t>
      </w:r>
      <w:r w:rsidR="00730D65">
        <w:t>,</w:t>
      </w:r>
      <w:r w:rsidR="00594172">
        <w:t xml:space="preserve"> </w:t>
      </w:r>
      <w:r w:rsidR="009565DD">
        <w:t>‘</w:t>
      </w:r>
      <w:r w:rsidR="00594172" w:rsidRPr="009565DD">
        <w:t xml:space="preserve">TAFE students </w:t>
      </w:r>
      <w:r w:rsidR="00920FBF" w:rsidRPr="009565DD">
        <w:t xml:space="preserve">looking </w:t>
      </w:r>
      <w:r w:rsidR="00594172" w:rsidRPr="009565DD">
        <w:t>toward</w:t>
      </w:r>
      <w:r w:rsidR="00B3773E" w:rsidRPr="009565DD">
        <w:t>s</w:t>
      </w:r>
      <w:r w:rsidR="00594172" w:rsidRPr="009565DD">
        <w:t xml:space="preserve"> university</w:t>
      </w:r>
      <w:r w:rsidR="009565DD">
        <w:t>’</w:t>
      </w:r>
      <w:r w:rsidR="00594172">
        <w:t xml:space="preserve">, TAFE students </w:t>
      </w:r>
      <w:r w:rsidR="00F929BB">
        <w:t>want</w:t>
      </w:r>
      <w:r w:rsidR="00594172">
        <w:t xml:space="preserve"> to know more about university and the university experience. On a basic level, </w:t>
      </w:r>
      <w:r w:rsidR="00920FBF">
        <w:t xml:space="preserve">this can be achieved through </w:t>
      </w:r>
      <w:r w:rsidR="00594172">
        <w:t>the provision of pamphlets and university information booklets at TAFE institutions</w:t>
      </w:r>
      <w:r w:rsidR="00730D65">
        <w:t xml:space="preserve"> and</w:t>
      </w:r>
      <w:r w:rsidR="00BB02B6">
        <w:t xml:space="preserve"> would</w:t>
      </w:r>
      <w:r w:rsidR="008D2902">
        <w:t xml:space="preserve"> </w:t>
      </w:r>
      <w:r w:rsidR="00BB02B6">
        <w:t xml:space="preserve">be further </w:t>
      </w:r>
      <w:r w:rsidR="00852669">
        <w:t>enhanced</w:t>
      </w:r>
      <w:r w:rsidR="00BB02B6">
        <w:t xml:space="preserve"> if </w:t>
      </w:r>
      <w:r w:rsidR="00527D2B">
        <w:t xml:space="preserve">TAFE </w:t>
      </w:r>
      <w:r w:rsidR="00BB02B6">
        <w:t>staff encouraged students to consider the</w:t>
      </w:r>
      <w:r w:rsidR="00253A2C">
        <w:t xml:space="preserve"> option of further study — at university</w:t>
      </w:r>
      <w:r w:rsidR="00BB02B6">
        <w:t xml:space="preserve">. </w:t>
      </w:r>
    </w:p>
    <w:p w:rsidR="00A86F0D" w:rsidRPr="008D2902" w:rsidRDefault="00BB02B6" w:rsidP="008D2902">
      <w:pPr>
        <w:pStyle w:val="Text"/>
      </w:pPr>
      <w:r>
        <w:t>On a more detailed lev</w:t>
      </w:r>
      <w:r w:rsidR="00527D2B">
        <w:t>el it is important</w:t>
      </w:r>
      <w:r>
        <w:t xml:space="preserve"> to provide information </w:t>
      </w:r>
      <w:r w:rsidR="00730D65">
        <w:t>to</w:t>
      </w:r>
      <w:r>
        <w:t xml:space="preserve"> help TAFE students </w:t>
      </w:r>
      <w:r w:rsidR="009565DD">
        <w:t xml:space="preserve">to </w:t>
      </w:r>
      <w:r>
        <w:t xml:space="preserve">‘understand’ university. The students </w:t>
      </w:r>
      <w:r w:rsidR="00730D65">
        <w:t xml:space="preserve">indicated </w:t>
      </w:r>
      <w:r w:rsidR="00253A2C">
        <w:t>clearly</w:t>
      </w:r>
      <w:r>
        <w:t xml:space="preserve"> that they wanted ‘the university experience’ before applying and enrolling; one student commented </w:t>
      </w:r>
      <w:r w:rsidR="00730D65">
        <w:t>that</w:t>
      </w:r>
      <w:r>
        <w:t xml:space="preserve"> </w:t>
      </w:r>
      <w:r w:rsidR="00253A2C">
        <w:t>this experience</w:t>
      </w:r>
      <w:r w:rsidR="00730D65">
        <w:t xml:space="preserve"> </w:t>
      </w:r>
      <w:r>
        <w:t>need</w:t>
      </w:r>
      <w:r w:rsidR="00253A2C">
        <w:t>ed</w:t>
      </w:r>
      <w:r>
        <w:t xml:space="preserve"> to be ‘a mutual agreement between TAFE and uni’</w:t>
      </w:r>
      <w:r w:rsidR="00DF60E6">
        <w:t xml:space="preserve"> and </w:t>
      </w:r>
      <w:r w:rsidR="00730D65">
        <w:t xml:space="preserve">suggested that it might be </w:t>
      </w:r>
      <w:r w:rsidR="00730D65" w:rsidRPr="008D2902">
        <w:t>desirable for visits from</w:t>
      </w:r>
      <w:r w:rsidR="00DF60E6" w:rsidRPr="008D2902">
        <w:t xml:space="preserve"> current</w:t>
      </w:r>
      <w:r w:rsidR="00730D65" w:rsidRPr="008D2902">
        <w:t xml:space="preserve"> university staff and students</w:t>
      </w:r>
      <w:r w:rsidR="00DF60E6" w:rsidRPr="008D2902">
        <w:t xml:space="preserve">. </w:t>
      </w:r>
    </w:p>
    <w:p w:rsidR="00594172" w:rsidRPr="008D2902" w:rsidRDefault="00BB02B6" w:rsidP="008D2902">
      <w:pPr>
        <w:pStyle w:val="Text"/>
      </w:pPr>
      <w:r w:rsidRPr="008D2902">
        <w:t xml:space="preserve">In the proposed </w:t>
      </w:r>
      <w:r w:rsidR="00702C0B" w:rsidRPr="008D2902">
        <w:t>collaborative framework</w:t>
      </w:r>
      <w:r w:rsidR="00730D65" w:rsidRPr="008D2902">
        <w:t xml:space="preserve"> therefore</w:t>
      </w:r>
      <w:r w:rsidR="00702C0B" w:rsidRPr="008D2902">
        <w:t xml:space="preserve"> one of the major inclusions for the period prior to enrolling in university is an invitation to current </w:t>
      </w:r>
      <w:r w:rsidR="00172E91" w:rsidRPr="008D2902">
        <w:t>d</w:t>
      </w:r>
      <w:r w:rsidR="00702C0B" w:rsidRPr="008D2902">
        <w:t xml:space="preserve">iploma students and those working in the field to </w:t>
      </w:r>
      <w:r w:rsidR="000A4D41" w:rsidRPr="008D2902">
        <w:t xml:space="preserve">participate </w:t>
      </w:r>
      <w:r w:rsidR="00702C0B" w:rsidRPr="008D2902">
        <w:t>in a first</w:t>
      </w:r>
      <w:r w:rsidR="00172E91" w:rsidRPr="008D2902">
        <w:t>-</w:t>
      </w:r>
      <w:r w:rsidR="00702C0B" w:rsidRPr="008D2902">
        <w:t>year university unit</w:t>
      </w:r>
      <w:r w:rsidR="002B1A1B" w:rsidRPr="008D2902">
        <w:t xml:space="preserve"> (</w:t>
      </w:r>
      <w:r w:rsidR="00852669">
        <w:t>‘</w:t>
      </w:r>
      <w:r w:rsidR="002B1A1B" w:rsidRPr="008D2902">
        <w:t>the university experience</w:t>
      </w:r>
      <w:r w:rsidR="00852669">
        <w:t>’</w:t>
      </w:r>
      <w:r w:rsidR="002B1A1B" w:rsidRPr="008D2902">
        <w:t xml:space="preserve">). </w:t>
      </w:r>
      <w:r w:rsidR="000A4D41" w:rsidRPr="008D2902">
        <w:t xml:space="preserve">As part of overall university outreach, a </w:t>
      </w:r>
      <w:r w:rsidR="00702C0B" w:rsidRPr="008D2902">
        <w:t xml:space="preserve">lecturer would conduct a workshop and engage with all students, facilitating </w:t>
      </w:r>
      <w:r w:rsidR="00852669">
        <w:t>a dialogue</w:t>
      </w:r>
      <w:r w:rsidR="00702C0B" w:rsidRPr="008D2902">
        <w:t xml:space="preserve"> betwee</w:t>
      </w:r>
      <w:r w:rsidR="00A758EF" w:rsidRPr="008D2902">
        <w:t>n TAFE and university students. The specific content of this session could be negotiated between TAFE and university staff and students</w:t>
      </w:r>
      <w:r w:rsidR="00253A2C" w:rsidRPr="008D2902">
        <w:t xml:space="preserve"> and its overall aim</w:t>
      </w:r>
      <w:r w:rsidR="00702C0B" w:rsidRPr="008D2902">
        <w:t xml:space="preserve"> would be to </w:t>
      </w:r>
      <w:r w:rsidR="00DF60E6" w:rsidRPr="008D2902">
        <w:t>decr</w:t>
      </w:r>
      <w:r w:rsidR="00253A2C" w:rsidRPr="008D2902">
        <w:t>ease the fear of the unknown and</w:t>
      </w:r>
      <w:r w:rsidR="00702C0B" w:rsidRPr="008D2902">
        <w:t xml:space="preserve"> to increase</w:t>
      </w:r>
      <w:r w:rsidR="00527D2B" w:rsidRPr="008D2902">
        <w:t xml:space="preserve"> ‘understanding’ of university</w:t>
      </w:r>
      <w:r w:rsidR="00253A2C" w:rsidRPr="008D2902">
        <w:t xml:space="preserve"> and</w:t>
      </w:r>
      <w:r w:rsidR="00DF60E6" w:rsidRPr="008D2902">
        <w:t xml:space="preserve"> </w:t>
      </w:r>
      <w:r w:rsidR="009565DD" w:rsidRPr="008D2902">
        <w:t>inculcate in students</w:t>
      </w:r>
      <w:r w:rsidR="00527D2B" w:rsidRPr="008D2902">
        <w:t xml:space="preserve"> </w:t>
      </w:r>
      <w:r w:rsidR="009565DD" w:rsidRPr="008D2902">
        <w:t>a recognition</w:t>
      </w:r>
      <w:r w:rsidR="00702C0B" w:rsidRPr="008D2902">
        <w:t xml:space="preserve"> that</w:t>
      </w:r>
      <w:r w:rsidR="00527D2B" w:rsidRPr="008D2902">
        <w:t xml:space="preserve"> university study is achievable for those who want to pursue it.</w:t>
      </w:r>
    </w:p>
    <w:p w:rsidR="00DF60E6" w:rsidRDefault="00DF60E6" w:rsidP="008D2902">
      <w:pPr>
        <w:pStyle w:val="Text"/>
      </w:pPr>
      <w:r w:rsidRPr="008D2902">
        <w:t>The contribution of th</w:t>
      </w:r>
      <w:r w:rsidR="009565DD" w:rsidRPr="008D2902">
        <w:t>e TAFE staff during this period —</w:t>
      </w:r>
      <w:r w:rsidRPr="008D2902">
        <w:t xml:space="preserve"> towards the </w:t>
      </w:r>
      <w:r w:rsidR="00172E91" w:rsidRPr="008D2902">
        <w:t>end</w:t>
      </w:r>
      <w:r w:rsidR="00172E91">
        <w:t xml:space="preserve"> </w:t>
      </w:r>
      <w:r>
        <w:t xml:space="preserve">of a </w:t>
      </w:r>
      <w:r w:rsidR="00172E91">
        <w:t>d</w:t>
      </w:r>
      <w:r w:rsidR="009565DD">
        <w:t>iploma program —</w:t>
      </w:r>
      <w:r>
        <w:t xml:space="preserve"> would be to create opportunities for </w:t>
      </w:r>
      <w:r w:rsidR="009565DD">
        <w:t xml:space="preserve">those </w:t>
      </w:r>
      <w:r>
        <w:t xml:space="preserve">students who are interested in university to develop </w:t>
      </w:r>
      <w:r w:rsidR="009565DD">
        <w:t>their research skills. Specific examples</w:t>
      </w:r>
      <w:r>
        <w:t xml:space="preserve"> mentioned by students who have made the transition to university include </w:t>
      </w:r>
      <w:r w:rsidR="000D3D4D">
        <w:t>encouraging</w:t>
      </w:r>
      <w:r>
        <w:t xml:space="preserve"> students to independently search for scholarly information and </w:t>
      </w:r>
      <w:r w:rsidR="000D3D4D">
        <w:t>introducing</w:t>
      </w:r>
      <w:r>
        <w:t xml:space="preserve"> </w:t>
      </w:r>
      <w:r w:rsidR="000D3D4D">
        <w:t xml:space="preserve">the </w:t>
      </w:r>
      <w:r>
        <w:t xml:space="preserve">formal referencing skills </w:t>
      </w:r>
      <w:r w:rsidR="000D3D4D">
        <w:t>that</w:t>
      </w:r>
      <w:r>
        <w:t xml:space="preserve"> would be expected at university. </w:t>
      </w:r>
      <w:r w:rsidR="00730D65">
        <w:t>S</w:t>
      </w:r>
      <w:r w:rsidR="00F972E0">
        <w:t>uch activities could</w:t>
      </w:r>
      <w:r w:rsidR="00730D65">
        <w:t xml:space="preserve"> potentially</w:t>
      </w:r>
      <w:r w:rsidR="00F972E0">
        <w:t xml:space="preserve"> be embedded in ‘the university experience’ </w:t>
      </w:r>
      <w:r w:rsidR="00651ACC">
        <w:t>session</w:t>
      </w:r>
      <w:r w:rsidR="00172E91">
        <w:t>;</w:t>
      </w:r>
      <w:r w:rsidR="00651ACC">
        <w:t xml:space="preserve"> </w:t>
      </w:r>
      <w:r w:rsidR="00F972E0">
        <w:t>however</w:t>
      </w:r>
      <w:r w:rsidR="00172E91">
        <w:t>,</w:t>
      </w:r>
      <w:r w:rsidR="00F972E0">
        <w:t xml:space="preserve"> this would need to be carefully managed so that the program </w:t>
      </w:r>
      <w:r w:rsidR="00F929BB">
        <w:t>was sustainable</w:t>
      </w:r>
      <w:r w:rsidR="00651ACC">
        <w:t xml:space="preserve">. </w:t>
      </w:r>
      <w:r w:rsidR="00D041EC" w:rsidRPr="00D041EC">
        <w:t>A program driven by a few individual and interested staff members would not be sustainable in the long</w:t>
      </w:r>
      <w:r w:rsidR="00852669">
        <w:t>-</w:t>
      </w:r>
      <w:r w:rsidR="00D041EC" w:rsidRPr="00D041EC">
        <w:t>term. The additional workload and organisation required to reach a range of VET providers as well as educators in the field is not feasible. Sustainable implementation requires the mobilisation of the wider university network to attract participants as well as to enable access to the necessary facilities.</w:t>
      </w:r>
    </w:p>
    <w:p w:rsidR="00FA6449" w:rsidRDefault="00FA6449" w:rsidP="00FA6449">
      <w:pPr>
        <w:pStyle w:val="Heading3"/>
      </w:pPr>
      <w:r>
        <w:t>Period between receiving a university offer and commencing studies</w:t>
      </w:r>
    </w:p>
    <w:p w:rsidR="00A758EF" w:rsidRDefault="00A758EF" w:rsidP="008D2902">
      <w:pPr>
        <w:pStyle w:val="Textlessbefore"/>
      </w:pPr>
      <w:r>
        <w:t xml:space="preserve">This </w:t>
      </w:r>
      <w:r w:rsidR="00651ACC">
        <w:t>period</w:t>
      </w:r>
      <w:r>
        <w:t xml:space="preserve"> is equally important in support</w:t>
      </w:r>
      <w:r w:rsidR="00651ACC">
        <w:t>ing</w:t>
      </w:r>
      <w:r>
        <w:t xml:space="preserve"> the transition</w:t>
      </w:r>
      <w:r w:rsidR="000D3D4D">
        <w:t>,</w:t>
      </w:r>
      <w:r>
        <w:t xml:space="preserve"> </w:t>
      </w:r>
      <w:r w:rsidR="00CC0A22">
        <w:t>with</w:t>
      </w:r>
      <w:r>
        <w:t xml:space="preserve"> the framework </w:t>
      </w:r>
      <w:r w:rsidR="00CC0A22">
        <w:t>proposing</w:t>
      </w:r>
      <w:r>
        <w:t xml:space="preserve"> that two key pieces of information are required</w:t>
      </w:r>
      <w:r w:rsidR="00651ACC">
        <w:t xml:space="preserve"> initially</w:t>
      </w:r>
      <w:r>
        <w:t>: a link to an interactive/video example of how to enrol and a phone number and</w:t>
      </w:r>
      <w:r w:rsidR="000D3D4D">
        <w:t xml:space="preserve"> email for general assistance (f</w:t>
      </w:r>
      <w:r>
        <w:t xml:space="preserve">igure </w:t>
      </w:r>
      <w:r w:rsidR="00163E4B">
        <w:t>3</w:t>
      </w:r>
      <w:r>
        <w:t>).</w:t>
      </w:r>
      <w:r w:rsidR="00651ACC">
        <w:t xml:space="preserve"> Uncertainty and confusion </w:t>
      </w:r>
      <w:r w:rsidR="000D3D4D">
        <w:t>over</w:t>
      </w:r>
      <w:r w:rsidR="00651ACC">
        <w:t xml:space="preserve"> enrolment procedures was mentioned by both the TAFE and university students involved in this </w:t>
      </w:r>
      <w:r w:rsidR="00724B47">
        <w:t>research</w:t>
      </w:r>
      <w:r w:rsidR="00651ACC">
        <w:t xml:space="preserve">. University staff and students often forget how hard it is to navigate an unfamiliar, complex online interface, particularly </w:t>
      </w:r>
      <w:r w:rsidR="00730D65">
        <w:t>in relation to</w:t>
      </w:r>
      <w:r w:rsidR="00651ACC">
        <w:t xml:space="preserve"> something as important as enrolment. </w:t>
      </w:r>
      <w:r w:rsidR="001420D1">
        <w:t xml:space="preserve">An overwhelming </w:t>
      </w:r>
      <w:r w:rsidR="001420D1">
        <w:lastRenderedPageBreak/>
        <w:t>amount of information is often provided to</w:t>
      </w:r>
      <w:r w:rsidR="00651ACC">
        <w:t xml:space="preserve"> commencing university </w:t>
      </w:r>
      <w:r w:rsidR="001420D1">
        <w:t>students</w:t>
      </w:r>
      <w:r w:rsidR="000D3D4D">
        <w:t>. T</w:t>
      </w:r>
      <w:r w:rsidR="00651ACC">
        <w:t xml:space="preserve">he aim of this aspect is to provide the essential information in a simple and </w:t>
      </w:r>
      <w:r w:rsidR="001420D1">
        <w:t xml:space="preserve">readily </w:t>
      </w:r>
      <w:r w:rsidR="00651ACC">
        <w:t>accessible form</w:t>
      </w:r>
      <w:r w:rsidR="001420D1">
        <w:t>at</w:t>
      </w:r>
      <w:r w:rsidR="00651ACC">
        <w:t xml:space="preserve">. </w:t>
      </w:r>
    </w:p>
    <w:p w:rsidR="009814DE" w:rsidRDefault="006C576F" w:rsidP="00FA6449">
      <w:pPr>
        <w:pStyle w:val="Text"/>
      </w:pPr>
      <w:r>
        <w:t>There was a clear distinction between the experiences of university students who were engaged</w:t>
      </w:r>
      <w:r w:rsidR="00B40668">
        <w:t xml:space="preserve"> in</w:t>
      </w:r>
      <w:r>
        <w:t xml:space="preserve"> internal </w:t>
      </w:r>
      <w:r w:rsidR="001420D1">
        <w:t xml:space="preserve">study </w:t>
      </w:r>
      <w:r w:rsidR="000D3D4D">
        <w:t>and those who were involved in</w:t>
      </w:r>
      <w:r w:rsidR="001420D1">
        <w:t xml:space="preserve"> external study</w:t>
      </w:r>
      <w:r>
        <w:t xml:space="preserve">. The internal students described numerous occasions </w:t>
      </w:r>
      <w:r w:rsidR="00CC0A22">
        <w:t>during</w:t>
      </w:r>
      <w:r w:rsidR="001420D1">
        <w:t xml:space="preserve"> the first months of study when </w:t>
      </w:r>
      <w:r>
        <w:t>information literacy support w</w:t>
      </w:r>
      <w:r w:rsidR="003D4F57">
        <w:t>as</w:t>
      </w:r>
      <w:r>
        <w:t xml:space="preserve"> offered. Conversely, external students have two potential barriers to accessing </w:t>
      </w:r>
      <w:r w:rsidR="008F0134">
        <w:t>support. The</w:t>
      </w:r>
      <w:r w:rsidR="009814DE">
        <w:t xml:space="preserve"> first is the timing of the information literacy support</w:t>
      </w:r>
      <w:r w:rsidR="00E57452">
        <w:t xml:space="preserve">: </w:t>
      </w:r>
      <w:r w:rsidR="009814DE">
        <w:t xml:space="preserve">many workshops and sessions </w:t>
      </w:r>
      <w:r w:rsidR="00E57452">
        <w:t>were held</w:t>
      </w:r>
      <w:r w:rsidR="009814DE">
        <w:t xml:space="preserve"> during business hours </w:t>
      </w:r>
      <w:r w:rsidR="001E072E">
        <w:t>and</w:t>
      </w:r>
      <w:r w:rsidR="000E1A07">
        <w:t xml:space="preserve"> ‘twilight’ sessions were only offered ‘every now and then’. </w:t>
      </w:r>
      <w:r w:rsidR="009814DE">
        <w:t xml:space="preserve">The second potential barrier </w:t>
      </w:r>
      <w:r w:rsidR="000E1A07">
        <w:t xml:space="preserve">relates to being able to access support online and </w:t>
      </w:r>
      <w:r w:rsidR="003D4F57">
        <w:t xml:space="preserve">having </w:t>
      </w:r>
      <w:r>
        <w:t xml:space="preserve">the prerequisite </w:t>
      </w:r>
      <w:r w:rsidR="000E1A07">
        <w:t>skills. B</w:t>
      </w:r>
      <w:r w:rsidR="009814DE">
        <w:t xml:space="preserve">eing engaged in online study places high </w:t>
      </w:r>
      <w:r w:rsidR="001420D1">
        <w:t>demands</w:t>
      </w:r>
      <w:r w:rsidR="009814DE">
        <w:t xml:space="preserve"> on the student</w:t>
      </w:r>
      <w:r w:rsidR="001420D1">
        <w:t>,</w:t>
      </w:r>
      <w:r w:rsidR="009814DE">
        <w:t xml:space="preserve"> who may have no prior experience in online learning and </w:t>
      </w:r>
      <w:r w:rsidR="001420D1">
        <w:t>particularly if</w:t>
      </w:r>
      <w:r w:rsidR="00E57452">
        <w:t xml:space="preserve"> </w:t>
      </w:r>
      <w:r w:rsidR="009814DE">
        <w:t xml:space="preserve">using programs such as Blackboard or Blackboard Collaborate. </w:t>
      </w:r>
      <w:r w:rsidR="000E1A07">
        <w:t xml:space="preserve">This point </w:t>
      </w:r>
      <w:r w:rsidR="001420D1">
        <w:t>leads to the next component of the proposed framework:</w:t>
      </w:r>
      <w:r w:rsidR="000E1A07">
        <w:t xml:space="preserve"> an information literacy course that commences prior to </w:t>
      </w:r>
      <w:r w:rsidR="00E57452">
        <w:t>orientation week</w:t>
      </w:r>
      <w:r w:rsidR="000E1A07">
        <w:t xml:space="preserve">. </w:t>
      </w:r>
      <w:r w:rsidR="00D9491F">
        <w:t>This would be a required course for those enrolled in external studies and an optional course for those enrolled internally</w:t>
      </w:r>
      <w:r w:rsidR="00FD543C">
        <w:t>;</w:t>
      </w:r>
      <w:r w:rsidR="00B40668">
        <w:t xml:space="preserve"> it </w:t>
      </w:r>
      <w:r w:rsidR="008D06E8">
        <w:t>would</w:t>
      </w:r>
      <w:r w:rsidR="00B40668">
        <w:t xml:space="preserve"> be off</w:t>
      </w:r>
      <w:r w:rsidR="00E57452">
        <w:t>ered both internally (outside</w:t>
      </w:r>
      <w:r w:rsidR="00B40668">
        <w:t xml:space="preserve"> business hours) and externally online</w:t>
      </w:r>
      <w:r w:rsidR="00D9491F">
        <w:t xml:space="preserve">. </w:t>
      </w:r>
      <w:r w:rsidR="000E1A07">
        <w:t>Specifically</w:t>
      </w:r>
      <w:r w:rsidR="00E57452">
        <w:t>,</w:t>
      </w:r>
      <w:r w:rsidR="000E1A07">
        <w:t xml:space="preserve"> th</w:t>
      </w:r>
      <w:r w:rsidR="008D06E8">
        <w:t>e</w:t>
      </w:r>
      <w:r w:rsidR="000E1A07">
        <w:t xml:space="preserve"> first session would focus on ‘online orientation’ and assist students </w:t>
      </w:r>
      <w:r w:rsidR="00E57452">
        <w:t>to navigate</w:t>
      </w:r>
      <w:r w:rsidR="00D9491F">
        <w:t xml:space="preserve"> the university system and ensur</w:t>
      </w:r>
      <w:r w:rsidR="00E57452">
        <w:t>e</w:t>
      </w:r>
      <w:r w:rsidR="00D9491F">
        <w:t xml:space="preserve"> they had the necessary s</w:t>
      </w:r>
      <w:r w:rsidR="00F929BB">
        <w:t xml:space="preserve">kills to engage in external </w:t>
      </w:r>
      <w:r w:rsidR="00D9491F">
        <w:t xml:space="preserve">studies. This program would continue </w:t>
      </w:r>
      <w:r w:rsidR="00B40668">
        <w:t xml:space="preserve">for </w:t>
      </w:r>
      <w:r w:rsidR="00E95A97">
        <w:t>one to two</w:t>
      </w:r>
      <w:r w:rsidR="00B40668">
        <w:t xml:space="preserve"> hours each week </w:t>
      </w:r>
      <w:r w:rsidR="00E95A97">
        <w:t>for a period of six weeks and cover</w:t>
      </w:r>
      <w:r w:rsidR="00D9491F">
        <w:t xml:space="preserve"> the six</w:t>
      </w:r>
      <w:r w:rsidR="00E95A97">
        <w:t xml:space="preserve"> information literacy standards</w:t>
      </w:r>
      <w:r w:rsidR="00D9491F">
        <w:t xml:space="preserve"> and the </w:t>
      </w:r>
      <w:r w:rsidR="00252A05">
        <w:t>available</w:t>
      </w:r>
      <w:r w:rsidR="00D9491F">
        <w:t xml:space="preserve"> library services support</w:t>
      </w:r>
      <w:r w:rsidR="00252A05">
        <w:t>ing</w:t>
      </w:r>
      <w:r w:rsidR="00D9491F">
        <w:t xml:space="preserve"> their information needs</w:t>
      </w:r>
      <w:r w:rsidR="00865C24">
        <w:t xml:space="preserve"> while at university</w:t>
      </w:r>
      <w:r w:rsidR="00D9491F">
        <w:t>.</w:t>
      </w:r>
      <w:r w:rsidR="001E072E">
        <w:t xml:space="preserve"> Given the advanced standing awarded to students with a TAFE diploma</w:t>
      </w:r>
      <w:r w:rsidR="00FD543C">
        <w:t>,</w:t>
      </w:r>
      <w:r w:rsidR="001E072E">
        <w:t xml:space="preserve"> students </w:t>
      </w:r>
      <w:r w:rsidR="00252A05">
        <w:t>are potentially</w:t>
      </w:r>
      <w:r w:rsidR="001E072E">
        <w:t xml:space="preserve"> </w:t>
      </w:r>
      <w:r w:rsidR="00252A05">
        <w:t xml:space="preserve">able to bypass the </w:t>
      </w:r>
      <w:r w:rsidR="001E072E">
        <w:t>first</w:t>
      </w:r>
      <w:r w:rsidR="00252A05">
        <w:t>-</w:t>
      </w:r>
      <w:r w:rsidR="001E072E">
        <w:t xml:space="preserve">year units </w:t>
      </w:r>
      <w:r w:rsidR="00252A05">
        <w:t>containing</w:t>
      </w:r>
      <w:r w:rsidR="001E072E">
        <w:t xml:space="preserve"> the embedded information literacy skills. This </w:t>
      </w:r>
      <w:r w:rsidR="00FD543C">
        <w:t>‘</w:t>
      </w:r>
      <w:r w:rsidR="001E072E">
        <w:t>on</w:t>
      </w:r>
      <w:r w:rsidR="00FD543C">
        <w:t>-</w:t>
      </w:r>
      <w:r w:rsidR="001E072E">
        <w:t>entry</w:t>
      </w:r>
      <w:r w:rsidR="00FD543C">
        <w:t>’</w:t>
      </w:r>
      <w:r w:rsidR="001E072E">
        <w:t xml:space="preserve"> course will manage this situation and provide the foundation skills.</w:t>
      </w:r>
    </w:p>
    <w:p w:rsidR="003D4F57" w:rsidRDefault="00D9491F" w:rsidP="00FA6449">
      <w:pPr>
        <w:pStyle w:val="Text"/>
      </w:pPr>
      <w:r>
        <w:t xml:space="preserve">Targeted activities </w:t>
      </w:r>
      <w:r w:rsidR="00865C24">
        <w:t xml:space="preserve">during </w:t>
      </w:r>
      <w:r w:rsidR="00E95A97">
        <w:t xml:space="preserve">orientation week </w:t>
      </w:r>
      <w:r w:rsidR="00865C24">
        <w:t>are a</w:t>
      </w:r>
      <w:r w:rsidR="00852669">
        <w:t xml:space="preserve"> hallmark of many faculties </w:t>
      </w:r>
      <w:r w:rsidR="00865C24">
        <w:t>in universities</w:t>
      </w:r>
      <w:r w:rsidR="001C3882">
        <w:t xml:space="preserve"> and are an essential component in </w:t>
      </w:r>
      <w:r w:rsidR="00E95A97">
        <w:t>the provision of</w:t>
      </w:r>
      <w:r w:rsidR="001C3882">
        <w:t xml:space="preserve"> support before studies</w:t>
      </w:r>
      <w:r w:rsidR="00852669">
        <w:t xml:space="preserve"> begin</w:t>
      </w:r>
      <w:r w:rsidR="00865C24">
        <w:t>. In the present proposal this session will occur</w:t>
      </w:r>
      <w:r w:rsidR="00B40668">
        <w:t xml:space="preserve"> on the same day f</w:t>
      </w:r>
      <w:r w:rsidR="00865C24">
        <w:t>or both</w:t>
      </w:r>
      <w:r w:rsidR="00E95A97">
        <w:t xml:space="preserve"> internal and external students</w:t>
      </w:r>
      <w:r w:rsidR="00865C24">
        <w:t xml:space="preserve"> as a means of</w:t>
      </w:r>
      <w:r w:rsidR="001C3882">
        <w:t xml:space="preserve"> socialising and network</w:t>
      </w:r>
      <w:r w:rsidR="00F929BB">
        <w:t>ing</w:t>
      </w:r>
      <w:r w:rsidR="00865C24">
        <w:t xml:space="preserve"> across the </w:t>
      </w:r>
      <w:r w:rsidR="001F6F8A">
        <w:t>program</w:t>
      </w:r>
      <w:r w:rsidR="00865C24">
        <w:t>, regardless of study mode. Students will be free to attend other university</w:t>
      </w:r>
      <w:r w:rsidR="00287B73">
        <w:t>-</w:t>
      </w:r>
      <w:r w:rsidR="00865C24">
        <w:t>wide orientation activities during the week, but this sessio</w:t>
      </w:r>
      <w:r w:rsidR="001C3882">
        <w:t xml:space="preserve">n will work towards creating equal opportunity at the beginning of the degree program. This will be the forum for the </w:t>
      </w:r>
      <w:r w:rsidR="00865C24">
        <w:t>introduction of peer mentors</w:t>
      </w:r>
      <w:r w:rsidR="00E95A97">
        <w:t>. As noted in f</w:t>
      </w:r>
      <w:r w:rsidR="001C3882">
        <w:t xml:space="preserve">igure </w:t>
      </w:r>
      <w:r w:rsidR="00331D7F">
        <w:t>3</w:t>
      </w:r>
      <w:r w:rsidR="001C3882">
        <w:t xml:space="preserve">, the </w:t>
      </w:r>
      <w:r w:rsidR="00E95A97">
        <w:t>peer-</w:t>
      </w:r>
      <w:r w:rsidR="001C3882">
        <w:t>mentoring relationship is structured</w:t>
      </w:r>
      <w:r w:rsidR="00252A05" w:rsidRPr="00252A05">
        <w:t xml:space="preserve"> </w:t>
      </w:r>
      <w:r w:rsidR="00252A05">
        <w:t>initially</w:t>
      </w:r>
      <w:r w:rsidR="00C85AD7">
        <w:t xml:space="preserve">, </w:t>
      </w:r>
      <w:r w:rsidR="00252A05">
        <w:t xml:space="preserve">but </w:t>
      </w:r>
      <w:r w:rsidR="00C85AD7">
        <w:t>subsequently becom</w:t>
      </w:r>
      <w:r w:rsidR="00CC0A22">
        <w:t>es</w:t>
      </w:r>
      <w:r w:rsidR="001C3882">
        <w:t xml:space="preserve"> more informal.</w:t>
      </w:r>
      <w:r w:rsidR="005C552E">
        <w:t xml:space="preserve"> During the interviews for this research project several participants acknowledged the valuable assistance offered by student mentors</w:t>
      </w:r>
      <w:r w:rsidR="00C85AD7">
        <w:t xml:space="preserve">, commenting that </w:t>
      </w:r>
      <w:r w:rsidR="005C552E">
        <w:t xml:space="preserve">if </w:t>
      </w:r>
      <w:r w:rsidR="00CC0A22">
        <w:t>mentors</w:t>
      </w:r>
      <w:r w:rsidR="005C552E">
        <w:t xml:space="preserve"> </w:t>
      </w:r>
      <w:r w:rsidR="00C85AD7">
        <w:t>come</w:t>
      </w:r>
      <w:r w:rsidR="005C552E">
        <w:t xml:space="preserve"> from a TAFE background then that would be a bonus.</w:t>
      </w:r>
    </w:p>
    <w:p w:rsidR="00D9491F" w:rsidRDefault="005C552E" w:rsidP="00FA6449">
      <w:pPr>
        <w:pStyle w:val="Text"/>
      </w:pPr>
      <w:r>
        <w:t>It is proposed here that peer mentors</w:t>
      </w:r>
      <w:r w:rsidR="000A633D">
        <w:t xml:space="preserve"> who have made the transition from TAFE are allocated to</w:t>
      </w:r>
      <w:r>
        <w:t xml:space="preserve"> group</w:t>
      </w:r>
      <w:r w:rsidR="000A633D">
        <w:t>s</w:t>
      </w:r>
      <w:r>
        <w:t xml:space="preserve"> of students </w:t>
      </w:r>
      <w:r w:rsidR="000A633D">
        <w:t xml:space="preserve">commencing university </w:t>
      </w:r>
      <w:r w:rsidR="00841A60">
        <w:t>via</w:t>
      </w:r>
      <w:r>
        <w:t xml:space="preserve"> a TAFE pathway. </w:t>
      </w:r>
      <w:r w:rsidR="00612C85">
        <w:t>The mentors will have direct knowledge of what the new students will be experiencing, the different approach</w:t>
      </w:r>
      <w:r w:rsidR="0084580D">
        <w:t>es to learning (</w:t>
      </w:r>
      <w:r w:rsidR="009C6870">
        <w:t>for example,</w:t>
      </w:r>
      <w:r w:rsidR="00612C85">
        <w:t xml:space="preserve"> large lecture halls</w:t>
      </w:r>
      <w:r w:rsidR="0084580D">
        <w:t xml:space="preserve"> </w:t>
      </w:r>
      <w:proofErr w:type="spellStart"/>
      <w:r w:rsidR="00852669">
        <w:t>vs</w:t>
      </w:r>
      <w:proofErr w:type="spellEnd"/>
      <w:r w:rsidR="0084580D">
        <w:t xml:space="preserve"> Blackboard Collaborate)</w:t>
      </w:r>
      <w:r w:rsidR="00612C85">
        <w:t>, the shift in assessment</w:t>
      </w:r>
      <w:r w:rsidR="00C85AD7">
        <w:t xml:space="preserve"> style</w:t>
      </w:r>
      <w:r w:rsidR="00612C85">
        <w:t xml:space="preserve">, the </w:t>
      </w:r>
      <w:r w:rsidR="0084580D">
        <w:t xml:space="preserve">different </w:t>
      </w:r>
      <w:r w:rsidR="00612C85">
        <w:t xml:space="preserve">sources of information used, and </w:t>
      </w:r>
      <w:r w:rsidR="00C85AD7">
        <w:t xml:space="preserve">the </w:t>
      </w:r>
      <w:r w:rsidR="00612C85">
        <w:t xml:space="preserve">more formal </w:t>
      </w:r>
      <w:r w:rsidR="00C85AD7">
        <w:t xml:space="preserve">approach to </w:t>
      </w:r>
      <w:r w:rsidR="00612C85">
        <w:t xml:space="preserve">referencing. The experienced mentors will be able to guide the commencing students and help them to develop management strategies. </w:t>
      </w:r>
      <w:r w:rsidR="00C85AD7">
        <w:t>To maximise learning potential, t</w:t>
      </w:r>
      <w:r w:rsidR="0084580D">
        <w:t xml:space="preserve">hese key support mechanisms must be established prior to the first week of study. </w:t>
      </w:r>
    </w:p>
    <w:p w:rsidR="00EE583F" w:rsidRDefault="00FA6449" w:rsidP="00EE583F">
      <w:pPr>
        <w:pStyle w:val="Heading3"/>
      </w:pPr>
      <w:r>
        <w:t>Commencing university study</w:t>
      </w:r>
    </w:p>
    <w:p w:rsidR="000C7EE9" w:rsidRDefault="00C85AD7" w:rsidP="008D2902">
      <w:pPr>
        <w:pStyle w:val="Textlessbefore"/>
        <w:ind w:right="-143"/>
        <w:rPr>
          <w:rStyle w:val="TextChar"/>
        </w:rPr>
      </w:pPr>
      <w:r>
        <w:rPr>
          <w:rStyle w:val="TextChar"/>
        </w:rPr>
        <w:t>Once</w:t>
      </w:r>
      <w:r w:rsidR="007202DF" w:rsidRPr="00D93D4B">
        <w:rPr>
          <w:rStyle w:val="TextChar"/>
        </w:rPr>
        <w:t xml:space="preserve"> university study</w:t>
      </w:r>
      <w:r>
        <w:rPr>
          <w:rStyle w:val="TextChar"/>
        </w:rPr>
        <w:t xml:space="preserve"> has commenced</w:t>
      </w:r>
      <w:r w:rsidR="007202DF" w:rsidRPr="00D93D4B">
        <w:rPr>
          <w:rStyle w:val="TextChar"/>
        </w:rPr>
        <w:t xml:space="preserve">, </w:t>
      </w:r>
      <w:r w:rsidR="00D93D4B">
        <w:rPr>
          <w:rStyle w:val="TextChar"/>
        </w:rPr>
        <w:t xml:space="preserve">the </w:t>
      </w:r>
      <w:r w:rsidR="007202DF" w:rsidRPr="00D93D4B">
        <w:rPr>
          <w:rStyle w:val="TextChar"/>
        </w:rPr>
        <w:t xml:space="preserve">process of supporting transition </w:t>
      </w:r>
      <w:r w:rsidR="00841A60">
        <w:rPr>
          <w:rStyle w:val="TextChar"/>
        </w:rPr>
        <w:t>becomes</w:t>
      </w:r>
      <w:r w:rsidR="007202DF" w:rsidRPr="00D93D4B">
        <w:rPr>
          <w:rStyle w:val="TextChar"/>
        </w:rPr>
        <w:t xml:space="preserve"> a shared </w:t>
      </w:r>
      <w:r w:rsidR="00F929BB">
        <w:rPr>
          <w:rStyle w:val="TextChar"/>
        </w:rPr>
        <w:t>responsibility between</w:t>
      </w:r>
      <w:r w:rsidR="007202DF" w:rsidRPr="00D93D4B">
        <w:rPr>
          <w:rStyle w:val="TextChar"/>
        </w:rPr>
        <w:t xml:space="preserve"> student</w:t>
      </w:r>
      <w:r w:rsidR="00F929BB">
        <w:rPr>
          <w:rStyle w:val="TextChar"/>
        </w:rPr>
        <w:t>s</w:t>
      </w:r>
      <w:r w:rsidR="007202DF" w:rsidRPr="00D93D4B">
        <w:rPr>
          <w:rStyle w:val="TextChar"/>
        </w:rPr>
        <w:t xml:space="preserve"> and university staff. The information literacy core skills course continues and is facilitated by library and academic staf</w:t>
      </w:r>
      <w:r w:rsidR="00841A60">
        <w:rPr>
          <w:rStyle w:val="TextChar"/>
        </w:rPr>
        <w:t>f. This course is completed in w</w:t>
      </w:r>
      <w:r w:rsidR="007202DF" w:rsidRPr="00D93D4B">
        <w:rPr>
          <w:rStyle w:val="TextChar"/>
        </w:rPr>
        <w:t xml:space="preserve">eek </w:t>
      </w:r>
      <w:r w:rsidR="008D06E8">
        <w:rPr>
          <w:rStyle w:val="TextChar"/>
        </w:rPr>
        <w:t>4</w:t>
      </w:r>
      <w:r w:rsidR="007202DF" w:rsidRPr="00D93D4B">
        <w:rPr>
          <w:rStyle w:val="TextChar"/>
        </w:rPr>
        <w:t xml:space="preserve"> </w:t>
      </w:r>
      <w:r w:rsidR="003D4F57">
        <w:rPr>
          <w:rStyle w:val="TextChar"/>
        </w:rPr>
        <w:t>(</w:t>
      </w:r>
      <w:r w:rsidR="008D06E8">
        <w:rPr>
          <w:rStyle w:val="TextChar"/>
        </w:rPr>
        <w:t xml:space="preserve">with </w:t>
      </w:r>
      <w:r w:rsidR="008D06E8">
        <w:rPr>
          <w:rStyle w:val="TextChar"/>
        </w:rPr>
        <w:lastRenderedPageBreak/>
        <w:t>sessions 1 and 2 completed prior to the start of semester)</w:t>
      </w:r>
      <w:r w:rsidR="003D4F57">
        <w:rPr>
          <w:rStyle w:val="TextChar"/>
        </w:rPr>
        <w:t xml:space="preserve"> </w:t>
      </w:r>
      <w:r w:rsidR="007202DF" w:rsidRPr="00D93D4B">
        <w:rPr>
          <w:rStyle w:val="TextChar"/>
        </w:rPr>
        <w:t>and in collaboration with</w:t>
      </w:r>
      <w:r w:rsidR="00D93D4B">
        <w:rPr>
          <w:rStyle w:val="TextChar"/>
        </w:rPr>
        <w:t xml:space="preserve"> the relevant unit coordinators</w:t>
      </w:r>
      <w:r w:rsidR="000C7EE9">
        <w:rPr>
          <w:rStyle w:val="TextChar"/>
        </w:rPr>
        <w:t xml:space="preserve">. </w:t>
      </w:r>
      <w:r w:rsidR="008F0134">
        <w:rPr>
          <w:rStyle w:val="TextChar"/>
        </w:rPr>
        <w:t>S</w:t>
      </w:r>
      <w:r w:rsidR="008F0134" w:rsidRPr="00D93D4B">
        <w:rPr>
          <w:rStyle w:val="TextChar"/>
        </w:rPr>
        <w:t>ome</w:t>
      </w:r>
      <w:r w:rsidR="007202DF" w:rsidRPr="00D93D4B">
        <w:rPr>
          <w:rStyle w:val="TextChar"/>
        </w:rPr>
        <w:t xml:space="preserve"> of the final activities c</w:t>
      </w:r>
      <w:r w:rsidR="000C7EE9">
        <w:rPr>
          <w:rStyle w:val="TextChar"/>
        </w:rPr>
        <w:t xml:space="preserve">ould be </w:t>
      </w:r>
      <w:r w:rsidR="007202DF" w:rsidRPr="00D93D4B">
        <w:rPr>
          <w:rStyle w:val="TextChar"/>
        </w:rPr>
        <w:t>target</w:t>
      </w:r>
      <w:r w:rsidR="00D93D4B" w:rsidRPr="00D93D4B">
        <w:rPr>
          <w:rStyle w:val="TextChar"/>
        </w:rPr>
        <w:t xml:space="preserve">ed to specific </w:t>
      </w:r>
      <w:r w:rsidR="00D93D4B">
        <w:rPr>
          <w:rStyle w:val="TextChar"/>
        </w:rPr>
        <w:t>mid</w:t>
      </w:r>
      <w:r w:rsidR="008A308C">
        <w:rPr>
          <w:rStyle w:val="TextChar"/>
        </w:rPr>
        <w:t>-</w:t>
      </w:r>
      <w:r w:rsidR="00D93D4B">
        <w:rPr>
          <w:rStyle w:val="TextChar"/>
        </w:rPr>
        <w:t xml:space="preserve">semester </w:t>
      </w:r>
      <w:r w:rsidR="00D93D4B" w:rsidRPr="00D93D4B">
        <w:rPr>
          <w:rStyle w:val="TextChar"/>
        </w:rPr>
        <w:t xml:space="preserve">assessment items. </w:t>
      </w:r>
    </w:p>
    <w:p w:rsidR="00A14259" w:rsidRPr="00EE583F" w:rsidRDefault="00D93D4B" w:rsidP="00EE583F">
      <w:pPr>
        <w:pStyle w:val="Heading3"/>
        <w:spacing w:before="160" w:line="300" w:lineRule="exact"/>
        <w:rPr>
          <w:rStyle w:val="TextChar"/>
          <w:rFonts w:ascii="Tahoma" w:hAnsi="Tahoma"/>
          <w:sz w:val="24"/>
        </w:rPr>
      </w:pPr>
      <w:r w:rsidRPr="00D93D4B">
        <w:rPr>
          <w:rStyle w:val="TextChar"/>
        </w:rPr>
        <w:t>The peer mentor</w:t>
      </w:r>
      <w:r>
        <w:rPr>
          <w:rStyle w:val="TextChar"/>
        </w:rPr>
        <w:t>s in</w:t>
      </w:r>
      <w:r w:rsidR="00C85AD7">
        <w:rPr>
          <w:rStyle w:val="TextChar"/>
        </w:rPr>
        <w:t>itiate</w:t>
      </w:r>
      <w:r>
        <w:rPr>
          <w:rStyle w:val="TextChar"/>
        </w:rPr>
        <w:t xml:space="preserve"> contact </w:t>
      </w:r>
      <w:r w:rsidRPr="00D93D4B">
        <w:rPr>
          <w:rStyle w:val="TextChar"/>
        </w:rPr>
        <w:t xml:space="preserve">with students </w:t>
      </w:r>
      <w:r>
        <w:rPr>
          <w:rStyle w:val="TextChar"/>
        </w:rPr>
        <w:t xml:space="preserve">in the first few </w:t>
      </w:r>
      <w:r w:rsidR="00F929BB">
        <w:rPr>
          <w:rStyle w:val="TextChar"/>
        </w:rPr>
        <w:t xml:space="preserve">weeks </w:t>
      </w:r>
      <w:r>
        <w:rPr>
          <w:rStyle w:val="TextChar"/>
        </w:rPr>
        <w:t>and again around mid</w:t>
      </w:r>
      <w:r w:rsidR="008A308C">
        <w:rPr>
          <w:rStyle w:val="TextChar"/>
        </w:rPr>
        <w:t>-</w:t>
      </w:r>
      <w:r>
        <w:rPr>
          <w:rStyle w:val="TextChar"/>
        </w:rPr>
        <w:t xml:space="preserve">semester when </w:t>
      </w:r>
      <w:r w:rsidR="00841A60">
        <w:rPr>
          <w:rStyle w:val="TextChar"/>
        </w:rPr>
        <w:t xml:space="preserve">the </w:t>
      </w:r>
      <w:r>
        <w:rPr>
          <w:rStyle w:val="TextChar"/>
        </w:rPr>
        <w:t xml:space="preserve">first assessment pieces are likely to be completed. </w:t>
      </w:r>
      <w:r w:rsidR="00A14259">
        <w:rPr>
          <w:rStyle w:val="TextChar"/>
        </w:rPr>
        <w:t xml:space="preserve">Again, </w:t>
      </w:r>
      <w:r w:rsidR="00841A60">
        <w:rPr>
          <w:rStyle w:val="TextChar"/>
        </w:rPr>
        <w:t>it must be emphasised that the mentor should</w:t>
      </w:r>
      <w:r w:rsidR="000C7EE9">
        <w:rPr>
          <w:rStyle w:val="TextChar"/>
        </w:rPr>
        <w:t xml:space="preserve"> </w:t>
      </w:r>
      <w:r w:rsidR="00852669">
        <w:rPr>
          <w:rStyle w:val="TextChar"/>
        </w:rPr>
        <w:t xml:space="preserve">be </w:t>
      </w:r>
      <w:r w:rsidR="008F0134">
        <w:rPr>
          <w:rStyle w:val="TextChar"/>
        </w:rPr>
        <w:t>an approachable</w:t>
      </w:r>
      <w:r w:rsidR="00A14259">
        <w:rPr>
          <w:rStyle w:val="TextChar"/>
        </w:rPr>
        <w:t xml:space="preserve"> person </w:t>
      </w:r>
      <w:r w:rsidR="00C85AD7">
        <w:rPr>
          <w:rStyle w:val="TextChar"/>
        </w:rPr>
        <w:t>with a</w:t>
      </w:r>
      <w:r w:rsidR="00A14259">
        <w:rPr>
          <w:rStyle w:val="TextChar"/>
        </w:rPr>
        <w:t xml:space="preserve"> direct experience </w:t>
      </w:r>
      <w:r w:rsidR="00287EE8">
        <w:rPr>
          <w:rStyle w:val="TextChar"/>
        </w:rPr>
        <w:t>of</w:t>
      </w:r>
      <w:r w:rsidR="00A14259">
        <w:rPr>
          <w:rStyle w:val="TextChar"/>
        </w:rPr>
        <w:t xml:space="preserve"> transitioning from TAFE to university and </w:t>
      </w:r>
      <w:r w:rsidR="00841A60">
        <w:rPr>
          <w:rStyle w:val="TextChar"/>
        </w:rPr>
        <w:t xml:space="preserve">possessing </w:t>
      </w:r>
      <w:r w:rsidR="00A14259">
        <w:rPr>
          <w:rStyle w:val="TextChar"/>
        </w:rPr>
        <w:t>the knowledge to informally guide and</w:t>
      </w:r>
      <w:r w:rsidR="00867F0A">
        <w:rPr>
          <w:rStyle w:val="TextChar"/>
        </w:rPr>
        <w:t xml:space="preserve"> support the individual student. This could a</w:t>
      </w:r>
      <w:r w:rsidR="00C85AD7">
        <w:rPr>
          <w:rStyle w:val="TextChar"/>
        </w:rPr>
        <w:t xml:space="preserve">lso include </w:t>
      </w:r>
      <w:r w:rsidR="00841A60">
        <w:rPr>
          <w:rStyle w:val="TextChar"/>
        </w:rPr>
        <w:t xml:space="preserve">explaining </w:t>
      </w:r>
      <w:r w:rsidR="00C85AD7">
        <w:rPr>
          <w:rStyle w:val="TextChar"/>
        </w:rPr>
        <w:t>time-</w:t>
      </w:r>
      <w:r w:rsidR="00867F0A">
        <w:rPr>
          <w:rStyle w:val="TextChar"/>
        </w:rPr>
        <w:t xml:space="preserve">management strategies </w:t>
      </w:r>
      <w:r w:rsidR="00852669">
        <w:rPr>
          <w:rStyle w:val="TextChar"/>
        </w:rPr>
        <w:t>to</w:t>
      </w:r>
      <w:r w:rsidR="00867F0A">
        <w:rPr>
          <w:rStyle w:val="TextChar"/>
        </w:rPr>
        <w:t xml:space="preserve"> those students who are working full</w:t>
      </w:r>
      <w:r w:rsidR="008A308C">
        <w:rPr>
          <w:rStyle w:val="TextChar"/>
        </w:rPr>
        <w:t>-</w:t>
      </w:r>
      <w:r w:rsidR="00867F0A">
        <w:rPr>
          <w:rStyle w:val="TextChar"/>
        </w:rPr>
        <w:t xml:space="preserve">time and studying </w:t>
      </w:r>
      <w:r w:rsidR="008D06E8">
        <w:rPr>
          <w:rStyle w:val="TextChar"/>
        </w:rPr>
        <w:t>externally</w:t>
      </w:r>
      <w:r w:rsidR="00867F0A">
        <w:rPr>
          <w:rStyle w:val="TextChar"/>
        </w:rPr>
        <w:t>.</w:t>
      </w:r>
    </w:p>
    <w:p w:rsidR="006221E3" w:rsidRDefault="006221E3" w:rsidP="008D2902">
      <w:pPr>
        <w:pStyle w:val="Text"/>
        <w:ind w:right="-143"/>
      </w:pPr>
      <w:r>
        <w:t xml:space="preserve">One of the </w:t>
      </w:r>
      <w:r w:rsidR="00841A60">
        <w:t>most substantial</w:t>
      </w:r>
      <w:r w:rsidR="008068BD">
        <w:t xml:space="preserve"> </w:t>
      </w:r>
      <w:r>
        <w:t xml:space="preserve">responsibilities in supporting student transition in the early stages of university </w:t>
      </w:r>
      <w:r w:rsidR="00287EE8">
        <w:t>lies</w:t>
      </w:r>
      <w:r>
        <w:t xml:space="preserve"> with the university staff. The proposed frame</w:t>
      </w:r>
      <w:r w:rsidR="00841A60">
        <w:t>work summarises two key actions. The</w:t>
      </w:r>
      <w:r w:rsidR="008D2902">
        <w:t>y </w:t>
      </w:r>
      <w:r w:rsidR="00841A60">
        <w:t>must:</w:t>
      </w:r>
    </w:p>
    <w:p w:rsidR="006221E3" w:rsidRDefault="00841A60" w:rsidP="008D2902">
      <w:pPr>
        <w:pStyle w:val="Dotpoint1"/>
      </w:pPr>
      <w:r>
        <w:t>d</w:t>
      </w:r>
      <w:r w:rsidR="006221E3" w:rsidRPr="008A308C">
        <w:t>edicate</w:t>
      </w:r>
      <w:r w:rsidR="006221E3">
        <w:t xml:space="preserve"> time to explaining asses</w:t>
      </w:r>
      <w:r>
        <w:t>sment tasks and criteria sheets</w:t>
      </w:r>
    </w:p>
    <w:p w:rsidR="006221E3" w:rsidRPr="008A308C" w:rsidRDefault="00841A60" w:rsidP="008D2902">
      <w:pPr>
        <w:pStyle w:val="Dotpoint1"/>
      </w:pPr>
      <w:proofErr w:type="gramStart"/>
      <w:r>
        <w:t>make</w:t>
      </w:r>
      <w:proofErr w:type="gramEnd"/>
      <w:r>
        <w:t xml:space="preserve"> a commitment to </w:t>
      </w:r>
      <w:r w:rsidR="006221E3" w:rsidRPr="008A308C">
        <w:t>developing learning experiences that engage external and internal students</w:t>
      </w:r>
      <w:r w:rsidR="00287EE8" w:rsidRPr="00287EE8">
        <w:t xml:space="preserve"> </w:t>
      </w:r>
      <w:r w:rsidR="00287EE8" w:rsidRPr="008A308C">
        <w:t>equally</w:t>
      </w:r>
      <w:r w:rsidR="006221E3" w:rsidRPr="008A308C">
        <w:t>.</w:t>
      </w:r>
    </w:p>
    <w:p w:rsidR="001D214B" w:rsidRDefault="00D52D2C" w:rsidP="006221E3">
      <w:pPr>
        <w:pStyle w:val="Text"/>
      </w:pPr>
      <w:r>
        <w:t xml:space="preserve">The shift in assessment and expectations </w:t>
      </w:r>
      <w:r w:rsidR="00841A60">
        <w:t xml:space="preserve">from one sector to the next </w:t>
      </w:r>
      <w:r>
        <w:t xml:space="preserve">has been noted several times, </w:t>
      </w:r>
      <w:r w:rsidR="00821BD6">
        <w:t>specifically</w:t>
      </w:r>
      <w:r w:rsidR="00841A60">
        <w:t xml:space="preserve"> in relation to the</w:t>
      </w:r>
      <w:r w:rsidR="000C7EE9">
        <w:t xml:space="preserve"> </w:t>
      </w:r>
      <w:r>
        <w:t>shift from competency</w:t>
      </w:r>
      <w:r w:rsidR="00525C84">
        <w:t>-</w:t>
      </w:r>
      <w:r>
        <w:t>based assessment to grading systems and criteria sheets</w:t>
      </w:r>
      <w:r w:rsidR="00841A60">
        <w:t xml:space="preserve">, </w:t>
      </w:r>
      <w:r w:rsidR="00287EE8">
        <w:t xml:space="preserve">both of </w:t>
      </w:r>
      <w:r w:rsidR="00841A60">
        <w:t>which will</w:t>
      </w:r>
      <w:r>
        <w:t xml:space="preserve"> </w:t>
      </w:r>
      <w:r w:rsidR="00841A60">
        <w:t>prove</w:t>
      </w:r>
      <w:r>
        <w:t xml:space="preserve"> challenging to students. Difficulties in understanding assessment tasks can also be linked to difficulties </w:t>
      </w:r>
      <w:r w:rsidR="008068BD">
        <w:t xml:space="preserve">in </w:t>
      </w:r>
      <w:r>
        <w:t>understanding a complex criteria sheet. This is the foundation of t</w:t>
      </w:r>
      <w:r w:rsidR="008068BD">
        <w:t>he information literacy process:</w:t>
      </w:r>
      <w:r>
        <w:t xml:space="preserve"> </w:t>
      </w:r>
      <w:r w:rsidR="001D214B">
        <w:t xml:space="preserve">establishing </w:t>
      </w:r>
      <w:r>
        <w:t>the information need</w:t>
      </w:r>
      <w:r w:rsidR="000C7EE9">
        <w:t>s</w:t>
      </w:r>
      <w:r>
        <w:t>. It is essential, particularly in the early units</w:t>
      </w:r>
      <w:r w:rsidR="00525C84">
        <w:t>,</w:t>
      </w:r>
      <w:r>
        <w:t xml:space="preserve"> that lecturers take time to introduce all students (TAFE pathway or otherwise) to the language of university assessment</w:t>
      </w:r>
      <w:r w:rsidR="001D214B">
        <w:t xml:space="preserve"> and </w:t>
      </w:r>
      <w:r w:rsidR="000C7EE9">
        <w:t xml:space="preserve">to </w:t>
      </w:r>
      <w:r w:rsidR="001D214B">
        <w:t>clearly articulate expectations.</w:t>
      </w:r>
      <w:r>
        <w:t xml:space="preserve"> </w:t>
      </w:r>
    </w:p>
    <w:p w:rsidR="001D214B" w:rsidRDefault="00676B85" w:rsidP="00EE583F">
      <w:pPr>
        <w:pStyle w:val="Text"/>
      </w:pPr>
      <w:r>
        <w:t>Th</w:t>
      </w:r>
      <w:r w:rsidR="0005501E">
        <w:t xml:space="preserve">e challenge </w:t>
      </w:r>
      <w:r>
        <w:t xml:space="preserve">for academic and library staff in the times ahead will be </w:t>
      </w:r>
      <w:r w:rsidR="00821BD6">
        <w:t xml:space="preserve">in the development of </w:t>
      </w:r>
      <w:r w:rsidR="000D75A2" w:rsidRPr="00676B85">
        <w:t>learning experiences that engage both external and internal students</w:t>
      </w:r>
      <w:r w:rsidR="001D214B">
        <w:t xml:space="preserve">. Students </w:t>
      </w:r>
      <w:r w:rsidR="00852669">
        <w:t xml:space="preserve">are </w:t>
      </w:r>
      <w:r w:rsidR="001D214B">
        <w:t>not always</w:t>
      </w:r>
      <w:r w:rsidR="00852669">
        <w:t xml:space="preserve"> able to</w:t>
      </w:r>
      <w:r w:rsidR="001D214B">
        <w:t xml:space="preserve"> attend on</w:t>
      </w:r>
      <w:r w:rsidR="00525C84">
        <w:t>-</w:t>
      </w:r>
      <w:r w:rsidR="001D214B">
        <w:t xml:space="preserve">campus sessions and the times when students engage with university learning experiences are </w:t>
      </w:r>
      <w:r w:rsidR="009D1008">
        <w:t>d</w:t>
      </w:r>
      <w:r w:rsidR="00821BD6">
        <w:t>etermined</w:t>
      </w:r>
      <w:r w:rsidR="00287EE8">
        <w:t xml:space="preserve"> by individual</w:t>
      </w:r>
      <w:r w:rsidR="009D1008">
        <w:t xml:space="preserve"> situation</w:t>
      </w:r>
      <w:r w:rsidR="00287EE8">
        <w:t>s</w:t>
      </w:r>
      <w:r w:rsidR="009D1008">
        <w:t xml:space="preserve">. </w:t>
      </w:r>
      <w:r w:rsidR="008068BD">
        <w:t xml:space="preserve">Running library workshops outside the traditional business hours </w:t>
      </w:r>
      <w:r w:rsidR="009D1008">
        <w:t xml:space="preserve">will need to become standard </w:t>
      </w:r>
      <w:r w:rsidR="008068BD">
        <w:t>practice</w:t>
      </w:r>
      <w:r w:rsidR="003B7D49">
        <w:t>, as will ensuring</w:t>
      </w:r>
      <w:r w:rsidR="009D1008">
        <w:t xml:space="preserve"> that students can participate </w:t>
      </w:r>
      <w:r w:rsidR="00C16041">
        <w:t>in on-campus workshops online</w:t>
      </w:r>
      <w:r w:rsidR="009D1008">
        <w:t xml:space="preserve">. The workshops need to be accessible at any time </w:t>
      </w:r>
      <w:r w:rsidR="00287EE8">
        <w:t>during</w:t>
      </w:r>
      <w:r w:rsidR="009D1008">
        <w:t xml:space="preserve"> the semester, not </w:t>
      </w:r>
      <w:r w:rsidR="00C16041">
        <w:t>solely</w:t>
      </w:r>
      <w:r w:rsidR="009D1008">
        <w:t xml:space="preserve"> in the first </w:t>
      </w:r>
      <w:r w:rsidR="008D06E8">
        <w:t>few</w:t>
      </w:r>
      <w:r w:rsidR="009D1008">
        <w:t xml:space="preserve"> weeks. </w:t>
      </w:r>
      <w:r w:rsidR="000C7EE9">
        <w:t>This c</w:t>
      </w:r>
      <w:r w:rsidR="009D1008">
        <w:t xml:space="preserve">ould be </w:t>
      </w:r>
      <w:r w:rsidR="000C7EE9">
        <w:t xml:space="preserve">achieved by </w:t>
      </w:r>
      <w:r w:rsidR="009D1008">
        <w:t xml:space="preserve">sessions </w:t>
      </w:r>
      <w:r w:rsidR="000C7EE9">
        <w:t>being</w:t>
      </w:r>
      <w:r w:rsidR="009D1008">
        <w:t xml:space="preserve"> recorded and</w:t>
      </w:r>
      <w:r w:rsidR="000C7EE9">
        <w:t>/or</w:t>
      </w:r>
      <w:r w:rsidR="009D1008">
        <w:t xml:space="preserve"> </w:t>
      </w:r>
      <w:r w:rsidR="00C16041">
        <w:t xml:space="preserve">through the development of </w:t>
      </w:r>
      <w:r w:rsidR="009D1008">
        <w:t xml:space="preserve">a resource centre or a more advanced interactive interface. The same could be said </w:t>
      </w:r>
      <w:r w:rsidR="00287EE8">
        <w:t>about</w:t>
      </w:r>
      <w:r w:rsidR="009D1008">
        <w:t xml:space="preserve"> the delivery of lectures and tutorials. TAFE pathway students are </w:t>
      </w:r>
      <w:r w:rsidR="00867F0A">
        <w:t>transitioning from a different learning environment, most moving from one that was full</w:t>
      </w:r>
      <w:r w:rsidR="00525C84">
        <w:t>-</w:t>
      </w:r>
      <w:r w:rsidR="00867F0A">
        <w:t xml:space="preserve">time </w:t>
      </w:r>
      <w:r w:rsidR="00C16041">
        <w:t xml:space="preserve">and </w:t>
      </w:r>
      <w:r w:rsidR="00B40668">
        <w:t>internal with</w:t>
      </w:r>
      <w:r w:rsidR="00867F0A">
        <w:t xml:space="preserve"> small class sizes </w:t>
      </w:r>
      <w:r w:rsidR="00B40668">
        <w:t>and</w:t>
      </w:r>
      <w:r w:rsidR="00867F0A">
        <w:t xml:space="preserve"> a </w:t>
      </w:r>
      <w:r w:rsidR="003B7D49">
        <w:t>great deal</w:t>
      </w:r>
      <w:r w:rsidR="00867F0A">
        <w:t xml:space="preserve"> of individual attention</w:t>
      </w:r>
      <w:r w:rsidR="00525C84">
        <w:t>,</w:t>
      </w:r>
      <w:r w:rsidR="00867F0A">
        <w:t xml:space="preserve"> to university study (</w:t>
      </w:r>
      <w:r w:rsidR="00B40668">
        <w:t xml:space="preserve">external or internal) with larger classes in a range of lecture, tutorial and online learning formats, and </w:t>
      </w:r>
      <w:r w:rsidR="00C16041">
        <w:t xml:space="preserve">with </w:t>
      </w:r>
      <w:r w:rsidR="00B40668">
        <w:t>expectations for independent work. Th</w:t>
      </w:r>
      <w:r w:rsidR="00867F0A">
        <w:t xml:space="preserve">ere is the risk of </w:t>
      </w:r>
      <w:r w:rsidR="00C16041">
        <w:t>transition students not feeling connected</w:t>
      </w:r>
      <w:r w:rsidR="00852669">
        <w:t>, and</w:t>
      </w:r>
      <w:r w:rsidR="00867F0A">
        <w:t xml:space="preserve"> </w:t>
      </w:r>
      <w:r w:rsidR="003B7D49">
        <w:t xml:space="preserve">there is a challenge for </w:t>
      </w:r>
      <w:r w:rsidR="00867F0A">
        <w:t xml:space="preserve">the lecturer to </w:t>
      </w:r>
      <w:r w:rsidR="00C16041">
        <w:t>develop an engaging program</w:t>
      </w:r>
      <w:r w:rsidR="00C16041" w:rsidRPr="00C16041">
        <w:t xml:space="preserve"> </w:t>
      </w:r>
      <w:r w:rsidR="00C16041">
        <w:t>for students studying externally, one which</w:t>
      </w:r>
      <w:r w:rsidR="00867F0A">
        <w:t xml:space="preserve"> utilises a range of media and enables live participation.</w:t>
      </w:r>
    </w:p>
    <w:p w:rsidR="00D52D2C" w:rsidRDefault="0063191E" w:rsidP="0063191E">
      <w:pPr>
        <w:pStyle w:val="Heading2"/>
      </w:pPr>
      <w:bookmarkStart w:id="63" w:name="_Toc378160496"/>
      <w:r>
        <w:t>Implications for transition</w:t>
      </w:r>
      <w:r w:rsidR="0005501E">
        <w:t xml:space="preserve"> to university</w:t>
      </w:r>
      <w:bookmarkEnd w:id="63"/>
    </w:p>
    <w:p w:rsidR="00D52D2C" w:rsidRPr="00D52D2C" w:rsidRDefault="00723834" w:rsidP="00D52D2C">
      <w:pPr>
        <w:pStyle w:val="Text"/>
      </w:pPr>
      <w:r>
        <w:t>This research set out to understand the nature of the TAFE</w:t>
      </w:r>
      <w:r w:rsidR="00402435">
        <w:t>-to</w:t>
      </w:r>
      <w:r>
        <w:t>-university transition through the lens of information literacy</w:t>
      </w:r>
      <w:r w:rsidR="00D75AE7">
        <w:t xml:space="preserve">. By exploring the information literacy expectations and challenges on either side of the transition, this study has provided insights that will further benefit the relationship between </w:t>
      </w:r>
      <w:r w:rsidR="007A19AF">
        <w:t>TAFE and university</w:t>
      </w:r>
      <w:r w:rsidR="00D75AE7">
        <w:t xml:space="preserve">. </w:t>
      </w:r>
      <w:r w:rsidR="00B8049D">
        <w:t>O</w:t>
      </w:r>
      <w:r w:rsidR="00A30E58">
        <w:t>ne of the unique aspects of this proposal is ‘the university experience’</w:t>
      </w:r>
      <w:r w:rsidR="00B8049D">
        <w:t>. Universities run open days and information evenings, but th</w:t>
      </w:r>
      <w:r w:rsidR="003B7D49">
        <w:t>e</w:t>
      </w:r>
      <w:r w:rsidR="00B8049D">
        <w:t xml:space="preserve"> approach </w:t>
      </w:r>
      <w:r w:rsidR="003B7D49">
        <w:t xml:space="preserve">promoted in this report </w:t>
      </w:r>
      <w:r w:rsidR="00287EE8">
        <w:t xml:space="preserve">aims </w:t>
      </w:r>
      <w:r w:rsidR="003B7D49">
        <w:t xml:space="preserve">to </w:t>
      </w:r>
      <w:r w:rsidR="00B8049D">
        <w:lastRenderedPageBreak/>
        <w:t>target TAFE students</w:t>
      </w:r>
      <w:r w:rsidR="00C16041">
        <w:t xml:space="preserve">, giving </w:t>
      </w:r>
      <w:r w:rsidR="00B8049D">
        <w:t>giv</w:t>
      </w:r>
      <w:r w:rsidR="003B7D49">
        <w:t>e</w:t>
      </w:r>
      <w:r w:rsidR="00B8049D">
        <w:t xml:space="preserve"> them a real taste of what university would be like, particularly </w:t>
      </w:r>
      <w:r w:rsidR="00402435">
        <w:t>with</w:t>
      </w:r>
      <w:r w:rsidR="00B8049D">
        <w:t xml:space="preserve"> regard to information literacy. </w:t>
      </w:r>
      <w:r w:rsidR="00287EE8">
        <w:t>Although t</w:t>
      </w:r>
      <w:r w:rsidR="00C16041">
        <w:t xml:space="preserve">his study </w:t>
      </w:r>
      <w:r w:rsidR="00CD186C">
        <w:t>focused on</w:t>
      </w:r>
      <w:r w:rsidR="00C16041">
        <w:t xml:space="preserve"> child</w:t>
      </w:r>
      <w:r w:rsidR="00CD186C">
        <w:t xml:space="preserve">ren’s services </w:t>
      </w:r>
      <w:r w:rsidR="00C16041">
        <w:t>students transit</w:t>
      </w:r>
      <w:r w:rsidR="00287EE8">
        <w:t>ioning from TAFE to university, t</w:t>
      </w:r>
      <w:r w:rsidR="00D75AE7">
        <w:t>he framework proposed could be extended to other institutions and other disciplines</w:t>
      </w:r>
      <w:r w:rsidR="00A30E58">
        <w:t xml:space="preserve"> beyond early childhood</w:t>
      </w:r>
      <w:r w:rsidR="00852669">
        <w:t xml:space="preserve"> studies</w:t>
      </w:r>
      <w:r w:rsidR="00A30E58">
        <w:t>.</w:t>
      </w:r>
      <w:r w:rsidR="00B8049D">
        <w:t xml:space="preserve"> </w:t>
      </w:r>
      <w:r w:rsidR="00EE583F">
        <w:t xml:space="preserve">The specific case reported in this </w:t>
      </w:r>
      <w:r w:rsidR="00943B0A">
        <w:t>research</w:t>
      </w:r>
      <w:r w:rsidR="00EE583F">
        <w:t xml:space="preserve"> includes the ‘when’, ‘how’ and aspects of ‘what’ should be part of transition support. </w:t>
      </w:r>
      <w:r w:rsidR="00D041EC" w:rsidRPr="00D041EC">
        <w:t xml:space="preserve">The framework, with the specific elements </w:t>
      </w:r>
      <w:r w:rsidR="00852669">
        <w:t>described</w:t>
      </w:r>
      <w:r w:rsidR="00D041EC" w:rsidRPr="00D041EC">
        <w:t xml:space="preserve"> in the previous te</w:t>
      </w:r>
      <w:r w:rsidR="00852669">
        <w:t>x</w:t>
      </w:r>
      <w:r w:rsidR="00D041EC" w:rsidRPr="00D041EC">
        <w:t>t, guides the ‘when’ and ‘how’</w:t>
      </w:r>
      <w:r w:rsidR="00EE583F">
        <w:t xml:space="preserve">. </w:t>
      </w:r>
      <w:r w:rsidR="00B8049D">
        <w:t xml:space="preserve">The exact nature of the elements </w:t>
      </w:r>
      <w:r w:rsidR="00EE583F">
        <w:t xml:space="preserve">(‘what’) </w:t>
      </w:r>
      <w:r w:rsidR="00B8049D">
        <w:t>included in ‘the university experience’ and the information literacy course coul</w:t>
      </w:r>
      <w:r w:rsidR="001E072E">
        <w:t>d be developed to meet the needs of different students and different programs. Supporting transitioning students will always involve ongoing collaboration, re</w:t>
      </w:r>
      <w:r w:rsidR="00EE583F">
        <w:t>flection and adaptation.</w:t>
      </w:r>
    </w:p>
    <w:p w:rsidR="00A50895" w:rsidRDefault="00A50895" w:rsidP="008D2902">
      <w:pPr>
        <w:pStyle w:val="Heading1"/>
      </w:pPr>
      <w:r>
        <w:br w:type="page"/>
      </w:r>
      <w:bookmarkStart w:id="64" w:name="_Toc456000800"/>
      <w:bookmarkStart w:id="65" w:name="_Toc457122465"/>
      <w:bookmarkStart w:id="66" w:name="_Toc188077643"/>
      <w:bookmarkStart w:id="67" w:name="_Toc378160497"/>
      <w:r w:rsidRPr="008D2902">
        <w:lastRenderedPageBreak/>
        <w:t>References</w:t>
      </w:r>
      <w:bookmarkEnd w:id="64"/>
      <w:bookmarkEnd w:id="65"/>
      <w:bookmarkEnd w:id="66"/>
      <w:bookmarkEnd w:id="67"/>
    </w:p>
    <w:p w:rsidR="00CB23BF" w:rsidRDefault="00CB23BF" w:rsidP="00CB23BF">
      <w:pPr>
        <w:pStyle w:val="References"/>
      </w:pPr>
      <w:bookmarkStart w:id="68" w:name="_Toc188077644"/>
      <w:r>
        <w:t>Abbott-Chapman, J 2006</w:t>
      </w:r>
      <w:r w:rsidR="0076490C">
        <w:t>,</w:t>
      </w:r>
      <w:r>
        <w:t xml:space="preserve"> </w:t>
      </w:r>
      <w:r w:rsidR="0076490C">
        <w:t>‘</w:t>
      </w:r>
      <w:r>
        <w:t>Moving from technical and fu</w:t>
      </w:r>
      <w:r w:rsidR="003B7D49">
        <w:t>rther education to university: a</w:t>
      </w:r>
      <w:r>
        <w:t>n Australian study of mature students</w:t>
      </w:r>
      <w:r w:rsidR="0076490C">
        <w:t>’,</w:t>
      </w:r>
      <w:r>
        <w:t xml:space="preserve"> </w:t>
      </w:r>
      <w:r w:rsidRPr="0076490C">
        <w:rPr>
          <w:i/>
        </w:rPr>
        <w:t>Journal of Vocational Education and Training</w:t>
      </w:r>
      <w:r>
        <w:t xml:space="preserve">, </w:t>
      </w:r>
      <w:r w:rsidR="0076490C">
        <w:t>vol.</w:t>
      </w:r>
      <w:r>
        <w:t>58</w:t>
      </w:r>
      <w:r w:rsidR="0076490C">
        <w:t>,</w:t>
      </w:r>
      <w:r>
        <w:t xml:space="preserve"> </w:t>
      </w:r>
      <w:r w:rsidR="0076490C">
        <w:t>no.</w:t>
      </w:r>
      <w:r>
        <w:t xml:space="preserve">1, </w:t>
      </w:r>
      <w:r w:rsidR="0076490C">
        <w:t>pp.</w:t>
      </w:r>
      <w:r>
        <w:t>1</w:t>
      </w:r>
      <w:r w:rsidR="003B7D49">
        <w:t>—</w:t>
      </w:r>
      <w:r>
        <w:t>17.</w:t>
      </w:r>
    </w:p>
    <w:p w:rsidR="00CB23BF" w:rsidRDefault="00CB23BF" w:rsidP="00CB23BF">
      <w:pPr>
        <w:pStyle w:val="References"/>
      </w:pPr>
      <w:r>
        <w:t>Australian Children’s Education and Care Quality Authority (ACECQA) 2011</w:t>
      </w:r>
      <w:r w:rsidR="00402435">
        <w:t>,</w:t>
      </w:r>
      <w:r>
        <w:t xml:space="preserve"> </w:t>
      </w:r>
      <w:r w:rsidRPr="00AE4A69">
        <w:rPr>
          <w:i/>
        </w:rPr>
        <w:t>Guide to the National Quality Framework</w:t>
      </w:r>
      <w:r w:rsidR="00402435">
        <w:t xml:space="preserve">, viewed </w:t>
      </w:r>
      <w:r w:rsidR="00E27D91">
        <w:t>November 2012</w:t>
      </w:r>
      <w:r w:rsidR="00402435">
        <w:t>,</w:t>
      </w:r>
      <w:r>
        <w:t xml:space="preserve"> </w:t>
      </w:r>
      <w:r w:rsidR="00402435">
        <w:t>&lt;</w:t>
      </w:r>
      <w:r>
        <w:t>http://acecqa.gov.au/</w:t>
      </w:r>
      <w:r w:rsidR="00402435">
        <w:t>&gt;.</w:t>
      </w:r>
    </w:p>
    <w:p w:rsidR="00CB23BF" w:rsidRDefault="00CB23BF" w:rsidP="00CB23BF">
      <w:pPr>
        <w:pStyle w:val="References"/>
      </w:pPr>
      <w:r>
        <w:t xml:space="preserve">Australian Qualifications Framework Council (AQFC) </w:t>
      </w:r>
      <w:r w:rsidR="00AE4A69">
        <w:t>2013</w:t>
      </w:r>
      <w:r w:rsidR="00402435">
        <w:t>,</w:t>
      </w:r>
      <w:r>
        <w:t xml:space="preserve"> </w:t>
      </w:r>
      <w:r w:rsidRPr="00AE4A69">
        <w:rPr>
          <w:i/>
        </w:rPr>
        <w:t>Australian Qualifications Framework</w:t>
      </w:r>
      <w:r w:rsidR="00402435">
        <w:t>,</w:t>
      </w:r>
      <w:r w:rsidR="00AE4A69">
        <w:t xml:space="preserve"> </w:t>
      </w:r>
      <w:r w:rsidR="00402435">
        <w:t xml:space="preserve">viewed </w:t>
      </w:r>
      <w:r w:rsidR="00E27D91">
        <w:t>J</w:t>
      </w:r>
      <w:r w:rsidR="00AE4A69">
        <w:t>anuary 2013</w:t>
      </w:r>
      <w:r w:rsidR="00402435">
        <w:t>,</w:t>
      </w:r>
      <w:r>
        <w:t xml:space="preserve"> </w:t>
      </w:r>
      <w:r w:rsidR="00402435">
        <w:t>&lt;</w:t>
      </w:r>
      <w:r>
        <w:t>http://www.aqf.edu.au/</w:t>
      </w:r>
      <w:r w:rsidR="00402435">
        <w:t>&gt;.</w:t>
      </w:r>
    </w:p>
    <w:p w:rsidR="00CB23BF" w:rsidRDefault="00CB23BF" w:rsidP="00CB23BF">
      <w:pPr>
        <w:pStyle w:val="References"/>
      </w:pPr>
      <w:r>
        <w:t>Bundy, A (</w:t>
      </w:r>
      <w:r w:rsidR="0083463F">
        <w:t>ed.</w:t>
      </w:r>
      <w:r>
        <w:t>) 2004</w:t>
      </w:r>
      <w:r w:rsidR="0083463F">
        <w:t>,</w:t>
      </w:r>
      <w:r>
        <w:t xml:space="preserve"> </w:t>
      </w:r>
      <w:r w:rsidRPr="002C3C16">
        <w:rPr>
          <w:i/>
        </w:rPr>
        <w:t>Australian and New Zealand I</w:t>
      </w:r>
      <w:r w:rsidR="003B7D49">
        <w:rPr>
          <w:i/>
        </w:rPr>
        <w:t>nformation Literacy Framework: p</w:t>
      </w:r>
      <w:r w:rsidRPr="002C3C16">
        <w:rPr>
          <w:i/>
        </w:rPr>
        <w:t>rinciples, standards and practice</w:t>
      </w:r>
      <w:r w:rsidR="002C3C16">
        <w:t>,</w:t>
      </w:r>
      <w:r>
        <w:t xml:space="preserve"> 2nd edn</w:t>
      </w:r>
      <w:r w:rsidR="002C3C16">
        <w:t>,</w:t>
      </w:r>
      <w:r>
        <w:t xml:space="preserve"> Australian and New Zealand Institute for Information Literacy</w:t>
      </w:r>
      <w:r w:rsidR="002C3C16">
        <w:t>, Adelaide,</w:t>
      </w:r>
      <w:r>
        <w:t xml:space="preserve"> </w:t>
      </w:r>
      <w:r w:rsidR="002C3C16">
        <w:t xml:space="preserve">viewed </w:t>
      </w:r>
      <w:r w:rsidR="00E27D91">
        <w:t>January 2013</w:t>
      </w:r>
      <w:r w:rsidR="003B7D49">
        <w:t>,</w:t>
      </w:r>
      <w:r w:rsidR="002C3C16">
        <w:t xml:space="preserve"> &lt;</w:t>
      </w:r>
      <w:r>
        <w:t>http://archive.caul.edu.au/info-literacy/InfoLiteracyFramework.pdf</w:t>
      </w:r>
      <w:r w:rsidR="002C3C16">
        <w:t>&gt;</w:t>
      </w:r>
      <w:r w:rsidR="00402435">
        <w:t>.</w:t>
      </w:r>
    </w:p>
    <w:p w:rsidR="00CB23BF" w:rsidRDefault="00CB23BF" w:rsidP="00CB23BF">
      <w:pPr>
        <w:pStyle w:val="References"/>
      </w:pPr>
      <w:r>
        <w:t>Catts, R 2005</w:t>
      </w:r>
      <w:r w:rsidR="00344F6D">
        <w:t>,</w:t>
      </w:r>
      <w:r>
        <w:t xml:space="preserve"> </w:t>
      </w:r>
      <w:r w:rsidRPr="00BB0224">
        <w:rPr>
          <w:i/>
        </w:rPr>
        <w:t>Information skills survey for assessment of information literacy in higher education</w:t>
      </w:r>
      <w:r w:rsidR="00BB0224">
        <w:t>,</w:t>
      </w:r>
      <w:r>
        <w:t xml:space="preserve"> Council of Australian University Librarians</w:t>
      </w:r>
      <w:r w:rsidR="00BB0224">
        <w:t xml:space="preserve">, Canberra, viewed </w:t>
      </w:r>
      <w:r w:rsidR="00E27D91">
        <w:t>June 2012</w:t>
      </w:r>
      <w:r w:rsidR="00BB0224">
        <w:t>,</w:t>
      </w:r>
      <w:r>
        <w:t xml:space="preserve"> </w:t>
      </w:r>
      <w:r w:rsidR="00BB0224">
        <w:t>&lt;</w:t>
      </w:r>
      <w:r>
        <w:t>http://archive.caul.edu.au/info-literacy/publications.html#iss</w:t>
      </w:r>
      <w:r w:rsidR="00BB0224">
        <w:t>&gt;.</w:t>
      </w:r>
    </w:p>
    <w:p w:rsidR="00CB23BF" w:rsidRDefault="00CB23BF" w:rsidP="00CB23BF">
      <w:pPr>
        <w:pStyle w:val="References"/>
      </w:pPr>
      <w:r>
        <w:t>Nelson, KJ, Creagh, TA, Kift, SM &amp; Clarke, JA 2010</w:t>
      </w:r>
      <w:r w:rsidR="00B24688">
        <w:t>,</w:t>
      </w:r>
      <w:r>
        <w:t xml:space="preserve"> </w:t>
      </w:r>
      <w:r w:rsidR="003B7D49">
        <w:t>‘</w:t>
      </w:r>
      <w:r w:rsidR="003B7D49" w:rsidRPr="003B7D49">
        <w:t>Transition pedagogy handbook: a</w:t>
      </w:r>
      <w:r w:rsidRPr="003B7D49">
        <w:t xml:space="preserve"> good practice guide for policy and practice in the first year experience</w:t>
      </w:r>
      <w:r w:rsidR="003B7D49">
        <w:t>’</w:t>
      </w:r>
      <w:r w:rsidR="00B24688">
        <w:t>,</w:t>
      </w:r>
      <w:r>
        <w:t xml:space="preserve"> </w:t>
      </w:r>
      <w:r w:rsidR="00B24688">
        <w:t>u</w:t>
      </w:r>
      <w:r>
        <w:t>npublished</w:t>
      </w:r>
      <w:r w:rsidR="00B24688">
        <w:t xml:space="preserve">, </w:t>
      </w:r>
      <w:r w:rsidR="00B24688" w:rsidRPr="00E27D91">
        <w:t xml:space="preserve">viewed </w:t>
      </w:r>
      <w:r w:rsidR="00E27D91" w:rsidRPr="00E27D91">
        <w:t>October</w:t>
      </w:r>
      <w:r w:rsidR="00B24688" w:rsidRPr="00E27D91">
        <w:t xml:space="preserve"> </w:t>
      </w:r>
      <w:r w:rsidR="00E27D91">
        <w:t>2012</w:t>
      </w:r>
      <w:r w:rsidR="00B24688">
        <w:t>,</w:t>
      </w:r>
      <w:r>
        <w:t xml:space="preserve"> </w:t>
      </w:r>
      <w:r w:rsidR="00B24688">
        <w:t>&lt;</w:t>
      </w:r>
      <w:r>
        <w:t>http://eprints.qut.edu.au/41745/</w:t>
      </w:r>
      <w:r w:rsidR="00B24688">
        <w:t>&gt;.</w:t>
      </w:r>
    </w:p>
    <w:p w:rsidR="00CB23BF" w:rsidRDefault="00CB23BF" w:rsidP="00CB23BF">
      <w:pPr>
        <w:pStyle w:val="References"/>
      </w:pPr>
      <w:r>
        <w:t>Penn-Edwards, S &amp; Donnison, S 2011</w:t>
      </w:r>
      <w:r w:rsidR="0093792B">
        <w:t>,</w:t>
      </w:r>
      <w:r>
        <w:t xml:space="preserve"> </w:t>
      </w:r>
      <w:r w:rsidR="0093792B">
        <w:t>‘</w:t>
      </w:r>
      <w:r>
        <w:t>Engaging with high</w:t>
      </w:r>
      <w:r w:rsidR="00065494">
        <w:t>er education academic support: a</w:t>
      </w:r>
      <w:r>
        <w:t xml:space="preserve"> first year student teach</w:t>
      </w:r>
      <w:r w:rsidR="00B80157">
        <w:t>er</w:t>
      </w:r>
      <w:r>
        <w:t xml:space="preserve"> transition model</w:t>
      </w:r>
      <w:r w:rsidR="0093792B">
        <w:t>’,</w:t>
      </w:r>
      <w:r>
        <w:t xml:space="preserve"> </w:t>
      </w:r>
      <w:r w:rsidRPr="0093792B">
        <w:rPr>
          <w:i/>
        </w:rPr>
        <w:t>European Journal of Education</w:t>
      </w:r>
      <w:r>
        <w:t xml:space="preserve">, </w:t>
      </w:r>
      <w:r w:rsidR="0093792B">
        <w:t>vol.</w:t>
      </w:r>
      <w:r>
        <w:t>46</w:t>
      </w:r>
      <w:r w:rsidR="0093792B">
        <w:t>, no.</w:t>
      </w:r>
      <w:r>
        <w:t xml:space="preserve">4, </w:t>
      </w:r>
      <w:r w:rsidR="0093792B">
        <w:t>pp.</w:t>
      </w:r>
      <w:r>
        <w:t>566</w:t>
      </w:r>
      <w:r w:rsidR="00065494">
        <w:t>—</w:t>
      </w:r>
      <w:r>
        <w:t>80.</w:t>
      </w:r>
    </w:p>
    <w:p w:rsidR="00CB23BF" w:rsidRDefault="00CB23BF" w:rsidP="00CB23BF">
      <w:pPr>
        <w:pStyle w:val="References"/>
      </w:pPr>
      <w:r>
        <w:t>Thomas, JA &amp; Milne, C 2011</w:t>
      </w:r>
      <w:r w:rsidR="007A789C">
        <w:t>,</w:t>
      </w:r>
      <w:r>
        <w:t xml:space="preserve"> </w:t>
      </w:r>
      <w:r w:rsidR="007A789C">
        <w:t>‘</w:t>
      </w:r>
      <w:r>
        <w:t>Embedding a library program</w:t>
      </w:r>
      <w:r w:rsidR="00065494">
        <w:t xml:space="preserve"> in the first year curriculum: e</w:t>
      </w:r>
      <w:r>
        <w:t>xperiences and strategies of an Australian case study</w:t>
      </w:r>
      <w:r w:rsidR="007A789C">
        <w:t>’,</w:t>
      </w:r>
      <w:r>
        <w:t xml:space="preserve"> </w:t>
      </w:r>
      <w:r w:rsidR="007A789C">
        <w:t>i</w:t>
      </w:r>
      <w:r>
        <w:t xml:space="preserve">n </w:t>
      </w:r>
      <w:r w:rsidR="00065494">
        <w:rPr>
          <w:i/>
        </w:rPr>
        <w:t>Embedded librarianship: m</w:t>
      </w:r>
      <w:r w:rsidR="007A789C" w:rsidRPr="007A789C">
        <w:rPr>
          <w:i/>
        </w:rPr>
        <w:t>oving beyond one‐shot instruction</w:t>
      </w:r>
      <w:r w:rsidR="007A789C">
        <w:t xml:space="preserve">, eds </w:t>
      </w:r>
      <w:r>
        <w:t xml:space="preserve">C Kvenild &amp; K Calkins, </w:t>
      </w:r>
      <w:r w:rsidR="007A789C">
        <w:t xml:space="preserve">Association of College and Research Libraries, </w:t>
      </w:r>
      <w:r>
        <w:t>Chicago</w:t>
      </w:r>
      <w:r w:rsidR="00065494">
        <w:t>, pp.47—</w:t>
      </w:r>
      <w:r w:rsidR="007A789C">
        <w:t>60.</w:t>
      </w:r>
    </w:p>
    <w:p w:rsidR="00CB23BF" w:rsidRDefault="00CB23BF" w:rsidP="00CB23BF">
      <w:pPr>
        <w:pStyle w:val="References"/>
      </w:pPr>
      <w:r>
        <w:t>Watson, L 2006</w:t>
      </w:r>
      <w:r w:rsidR="00243FAA">
        <w:t>,</w:t>
      </w:r>
      <w:r>
        <w:t xml:space="preserve"> </w:t>
      </w:r>
      <w:r w:rsidR="00065494">
        <w:rPr>
          <w:i/>
        </w:rPr>
        <w:t>Pathways to a profession: e</w:t>
      </w:r>
      <w:r w:rsidRPr="00243FAA">
        <w:rPr>
          <w:i/>
        </w:rPr>
        <w:t>ducation and training in early childhood education and care, Australia</w:t>
      </w:r>
      <w:r w:rsidR="00243FAA">
        <w:t>,</w:t>
      </w:r>
      <w:r>
        <w:t xml:space="preserve"> Department of Education, Science and Training</w:t>
      </w:r>
      <w:r w:rsidR="00243FAA">
        <w:t>, Barton, ACT</w:t>
      </w:r>
      <w:r>
        <w:t>.</w:t>
      </w:r>
    </w:p>
    <w:p w:rsidR="00CB23BF" w:rsidRDefault="00CB23BF" w:rsidP="00CB23BF">
      <w:pPr>
        <w:pStyle w:val="References"/>
      </w:pPr>
      <w:r>
        <w:t>Wheelahan, L 2005</w:t>
      </w:r>
      <w:r w:rsidR="001F2431">
        <w:t>,</w:t>
      </w:r>
      <w:r>
        <w:t xml:space="preserve"> </w:t>
      </w:r>
      <w:r w:rsidRPr="001F2431">
        <w:rPr>
          <w:i/>
        </w:rPr>
        <w:t>Student progress and retention by basis of admission for 2002, 2003 and 2004 commencing students</w:t>
      </w:r>
      <w:r w:rsidR="001F2431">
        <w:t>,</w:t>
      </w:r>
      <w:r>
        <w:t xml:space="preserve"> Griffith University</w:t>
      </w:r>
      <w:r w:rsidR="001F2431">
        <w:t>, Brisbane, Queensland</w:t>
      </w:r>
      <w:r>
        <w:t>.</w:t>
      </w:r>
    </w:p>
    <w:p w:rsidR="002D3911" w:rsidRDefault="00CB23BF" w:rsidP="00CB23BF">
      <w:pPr>
        <w:pStyle w:val="References"/>
      </w:pPr>
      <w:r>
        <w:t xml:space="preserve">Whitington, V, Ebbeck, M, Diamond, A </w:t>
      </w:r>
      <w:r w:rsidR="005E3883">
        <w:t xml:space="preserve">&amp; </w:t>
      </w:r>
      <w:r>
        <w:t>Yim, HYB 2009</w:t>
      </w:r>
      <w:r w:rsidR="00657BCF">
        <w:t>,</w:t>
      </w:r>
      <w:r>
        <w:t xml:space="preserve"> </w:t>
      </w:r>
      <w:r w:rsidR="00657BCF">
        <w:t>‘</w:t>
      </w:r>
      <w:r>
        <w:t>A pathway</w:t>
      </w:r>
      <w:r w:rsidR="00065494">
        <w:t xml:space="preserve"> to enhancing professionalism: b</w:t>
      </w:r>
      <w:r>
        <w:t>uilding a bridge between TAFE and university early childhood qualifications</w:t>
      </w:r>
      <w:r w:rsidR="00657BCF">
        <w:t>’,</w:t>
      </w:r>
      <w:r>
        <w:t xml:space="preserve"> </w:t>
      </w:r>
      <w:r w:rsidRPr="00657BCF">
        <w:rPr>
          <w:i/>
        </w:rPr>
        <w:t>Australasian Journal of Early Childhood</w:t>
      </w:r>
      <w:r>
        <w:t xml:space="preserve">, </w:t>
      </w:r>
      <w:r w:rsidR="00657BCF">
        <w:t>vol.</w:t>
      </w:r>
      <w:r>
        <w:t>34</w:t>
      </w:r>
      <w:r w:rsidR="00657BCF">
        <w:t>, no.</w:t>
      </w:r>
      <w:r>
        <w:t xml:space="preserve">1, </w:t>
      </w:r>
      <w:r w:rsidR="00657BCF">
        <w:t>pp.</w:t>
      </w:r>
      <w:r>
        <w:t>27</w:t>
      </w:r>
      <w:r w:rsidR="00065494">
        <w:t>—</w:t>
      </w:r>
      <w:r>
        <w:t>35.</w:t>
      </w:r>
    </w:p>
    <w:p w:rsidR="002D3911" w:rsidRDefault="002D3911">
      <w:pPr>
        <w:spacing w:before="0" w:line="240" w:lineRule="auto"/>
        <w:rPr>
          <w:sz w:val="18"/>
        </w:rPr>
      </w:pPr>
      <w:r>
        <w:br w:type="page"/>
      </w:r>
    </w:p>
    <w:p w:rsidR="002D3911" w:rsidRDefault="002D3911" w:rsidP="00852669">
      <w:pPr>
        <w:pStyle w:val="Heading1"/>
        <w:ind w:right="-426"/>
      </w:pPr>
      <w:bookmarkStart w:id="69" w:name="_Toc378160498"/>
      <w:r>
        <w:lastRenderedPageBreak/>
        <w:t>Appendix A</w:t>
      </w:r>
      <w:bookmarkEnd w:id="69"/>
      <w:r w:rsidR="00852669">
        <w:t xml:space="preserve">: </w:t>
      </w:r>
      <w:bookmarkStart w:id="70" w:name="_Toc378160499"/>
      <w:r>
        <w:t>Online survey questions</w:t>
      </w:r>
      <w:bookmarkEnd w:id="70"/>
    </w:p>
    <w:p w:rsidR="002D3911" w:rsidRPr="002D3911" w:rsidRDefault="002D3911" w:rsidP="00DC4195">
      <w:pPr>
        <w:pStyle w:val="Text"/>
      </w:pPr>
    </w:p>
    <w:p w:rsidR="00DC4195" w:rsidRDefault="00DC4195" w:rsidP="00DC4195">
      <w:pPr>
        <w:pStyle w:val="Heading3"/>
      </w:pPr>
      <w:r>
        <w:t>About you</w:t>
      </w:r>
    </w:p>
    <w:p w:rsidR="00DC4195" w:rsidRDefault="00DC4195" w:rsidP="00DC4195">
      <w:pPr>
        <w:pStyle w:val="Text"/>
      </w:pPr>
      <w:r>
        <w:t>1.  What is your gender?</w:t>
      </w:r>
      <w:r>
        <w:tab/>
      </w:r>
      <w:r>
        <w:tab/>
        <w:t>Female</w:t>
      </w:r>
      <w:r>
        <w:tab/>
      </w:r>
      <w:r>
        <w:tab/>
        <w:t>Male</w:t>
      </w:r>
    </w:p>
    <w:p w:rsidR="00DC4195" w:rsidRDefault="00DC4195" w:rsidP="00DC4195">
      <w:pPr>
        <w:pStyle w:val="Text"/>
      </w:pPr>
    </w:p>
    <w:p w:rsidR="00DC4195" w:rsidRDefault="00DC4195" w:rsidP="00DC4195">
      <w:pPr>
        <w:pStyle w:val="Text"/>
      </w:pPr>
      <w:r>
        <w:t>2.  How old are you?</w:t>
      </w:r>
      <w:r>
        <w:tab/>
      </w:r>
      <w:r>
        <w:tab/>
        <w:t>Age in years_______________</w:t>
      </w:r>
    </w:p>
    <w:p w:rsidR="00DC4195" w:rsidRDefault="00DC4195" w:rsidP="00DC4195">
      <w:pPr>
        <w:pStyle w:val="Text"/>
      </w:pPr>
    </w:p>
    <w:p w:rsidR="00DC4195" w:rsidRDefault="00DC4195" w:rsidP="00DC4195">
      <w:pPr>
        <w:pStyle w:val="Text"/>
      </w:pPr>
      <w:r>
        <w:t>3.  Is English the main language that you speak at home?</w:t>
      </w:r>
      <w:r>
        <w:tab/>
      </w:r>
      <w:r>
        <w:tab/>
        <w:t>Yes</w:t>
      </w:r>
      <w:r>
        <w:tab/>
        <w:t>No</w:t>
      </w:r>
    </w:p>
    <w:p w:rsidR="00DC4195" w:rsidRDefault="00DC4195" w:rsidP="00DC4195">
      <w:pPr>
        <w:pStyle w:val="Text"/>
      </w:pPr>
    </w:p>
    <w:p w:rsidR="00DC4195" w:rsidRDefault="00DC4195" w:rsidP="00DC4195">
      <w:pPr>
        <w:pStyle w:val="Text"/>
      </w:pPr>
      <w:r>
        <w:t>4.  What is the highest year of school that you have completed? Mark one option only.</w:t>
      </w:r>
    </w:p>
    <w:p w:rsidR="00DC4195" w:rsidRDefault="00DC4195" w:rsidP="00DC4195">
      <w:pPr>
        <w:pStyle w:val="Text"/>
      </w:pPr>
      <w:r>
        <w:tab/>
      </w:r>
      <w:r>
        <w:tab/>
      </w:r>
      <w:r>
        <w:tab/>
      </w:r>
      <w:r>
        <w:tab/>
      </w:r>
      <w:r>
        <w:tab/>
      </w:r>
      <w:r>
        <w:tab/>
        <w:t>Year 12 or equivalent</w:t>
      </w:r>
      <w:r>
        <w:tab/>
      </w:r>
    </w:p>
    <w:p w:rsidR="00DC4195" w:rsidRDefault="00DC4195" w:rsidP="00DC4195">
      <w:pPr>
        <w:pStyle w:val="Text"/>
      </w:pPr>
      <w:r>
        <w:tab/>
      </w:r>
      <w:r>
        <w:tab/>
      </w:r>
      <w:r>
        <w:tab/>
      </w:r>
      <w:r>
        <w:tab/>
      </w:r>
      <w:r>
        <w:tab/>
      </w:r>
      <w:r>
        <w:tab/>
        <w:t xml:space="preserve">Year 11 or equivalent  </w:t>
      </w:r>
      <w:r>
        <w:tab/>
      </w:r>
    </w:p>
    <w:p w:rsidR="00DC4195" w:rsidRDefault="00DC4195" w:rsidP="00DC4195">
      <w:pPr>
        <w:pStyle w:val="Text"/>
      </w:pPr>
      <w:r>
        <w:tab/>
      </w:r>
      <w:r>
        <w:tab/>
      </w:r>
      <w:r>
        <w:tab/>
      </w:r>
      <w:r>
        <w:tab/>
      </w:r>
      <w:r>
        <w:tab/>
      </w:r>
      <w:r>
        <w:tab/>
        <w:t xml:space="preserve">Year 10 or equivalent </w:t>
      </w:r>
    </w:p>
    <w:p w:rsidR="00DC4195" w:rsidRDefault="00DC4195" w:rsidP="00DC4195">
      <w:pPr>
        <w:pStyle w:val="Text"/>
      </w:pPr>
      <w:r>
        <w:tab/>
      </w:r>
      <w:r>
        <w:tab/>
      </w:r>
      <w:r>
        <w:tab/>
      </w:r>
      <w:r>
        <w:tab/>
      </w:r>
      <w:r>
        <w:tab/>
      </w:r>
      <w:r>
        <w:tab/>
        <w:t>Year 9 or equivalent</w:t>
      </w:r>
    </w:p>
    <w:p w:rsidR="00DC4195" w:rsidRDefault="00DC4195" w:rsidP="00DC4195">
      <w:pPr>
        <w:pStyle w:val="Text"/>
      </w:pPr>
      <w:r>
        <w:tab/>
      </w:r>
      <w:r>
        <w:tab/>
      </w:r>
      <w:r>
        <w:tab/>
      </w:r>
      <w:r>
        <w:tab/>
      </w:r>
      <w:r>
        <w:tab/>
      </w:r>
      <w:r>
        <w:tab/>
        <w:t>Year 8 or below</w:t>
      </w:r>
    </w:p>
    <w:p w:rsidR="00DC4195" w:rsidRDefault="00DC4195" w:rsidP="00DC4195">
      <w:pPr>
        <w:pStyle w:val="Text"/>
        <w:ind w:left="3600" w:firstLine="720"/>
      </w:pPr>
      <w:r>
        <w:t>Never attended school</w:t>
      </w:r>
    </w:p>
    <w:p w:rsidR="00DC4195" w:rsidRDefault="00DC4195" w:rsidP="00DC4195">
      <w:pPr>
        <w:pStyle w:val="Text"/>
      </w:pPr>
    </w:p>
    <w:p w:rsidR="00DC4195" w:rsidRDefault="00DC4195" w:rsidP="00DC4195">
      <w:pPr>
        <w:pStyle w:val="Text"/>
      </w:pPr>
      <w:r>
        <w:t>5.  Have you completed any post-secondary school qualification?</w:t>
      </w:r>
      <w:r>
        <w:tab/>
      </w:r>
      <w:r>
        <w:tab/>
        <w:t>Yes</w:t>
      </w:r>
      <w:r>
        <w:tab/>
        <w:t>No</w:t>
      </w:r>
      <w:r>
        <w:tab/>
      </w:r>
    </w:p>
    <w:p w:rsidR="00DC4195" w:rsidRDefault="00DC4195" w:rsidP="00DC4195">
      <w:pPr>
        <w:pStyle w:val="Text"/>
      </w:pPr>
    </w:p>
    <w:p w:rsidR="00DC4195" w:rsidRDefault="00DC4195" w:rsidP="00DC4195">
      <w:pPr>
        <w:pStyle w:val="Text"/>
      </w:pPr>
      <w:r>
        <w:t xml:space="preserve">If you answered </w:t>
      </w:r>
      <w:r w:rsidRPr="00DC4195">
        <w:rPr>
          <w:b/>
        </w:rPr>
        <w:t>yes</w:t>
      </w:r>
      <w:r>
        <w:t>, please describe. If you have more than one qualification, describe the most recent first, and then describe any other qualifications.</w:t>
      </w:r>
    </w:p>
    <w:p w:rsidR="00DC4195" w:rsidRDefault="00DC4195" w:rsidP="00DC4195">
      <w:pPr>
        <w:pStyle w:val="Text"/>
      </w:pPr>
      <w:r>
        <w:t>(a) Level of qualification (</w:t>
      </w:r>
      <w:r w:rsidR="00065494">
        <w:t>for example</w:t>
      </w:r>
      <w:r>
        <w:t xml:space="preserve">, Certificate, Diploma, University Degree): </w:t>
      </w:r>
    </w:p>
    <w:p w:rsidR="00DC4195" w:rsidRDefault="00DC4195" w:rsidP="00DC4195">
      <w:pPr>
        <w:pStyle w:val="Text"/>
      </w:pPr>
      <w:r>
        <w:t>___________________________________________________________________</w:t>
      </w:r>
    </w:p>
    <w:p w:rsidR="00DC4195" w:rsidRDefault="00DC4195" w:rsidP="00DC4195">
      <w:pPr>
        <w:pStyle w:val="Text"/>
      </w:pPr>
      <w:r>
        <w:t>(b) Field of study (</w:t>
      </w:r>
      <w:r w:rsidR="009C6870">
        <w:t>for example,</w:t>
      </w:r>
      <w:r>
        <w:t xml:space="preserve"> child care, education, health, community services, hospitality) </w:t>
      </w:r>
    </w:p>
    <w:p w:rsidR="00DC4195" w:rsidRDefault="00DC4195" w:rsidP="00DC4195">
      <w:pPr>
        <w:pStyle w:val="Text"/>
      </w:pPr>
      <w:r>
        <w:t>___________________________________________________________________</w:t>
      </w:r>
    </w:p>
    <w:p w:rsidR="00DC4195" w:rsidRDefault="00DC4195" w:rsidP="00DC4195">
      <w:pPr>
        <w:pStyle w:val="Text"/>
      </w:pPr>
      <w:r>
        <w:t>(c) When was this qualification awarded:</w:t>
      </w:r>
    </w:p>
    <w:p w:rsidR="00DC4195" w:rsidRDefault="00DC4195" w:rsidP="00DC4195">
      <w:pPr>
        <w:pStyle w:val="Text"/>
      </w:pPr>
      <w:r>
        <w:t>___________________________________________________________________</w:t>
      </w:r>
    </w:p>
    <w:p w:rsidR="00DC4195" w:rsidRDefault="00DC4195" w:rsidP="00DC4195">
      <w:pPr>
        <w:pStyle w:val="Text"/>
      </w:pPr>
      <w:r>
        <w:t>(d) Other qualifications (</w:t>
      </w:r>
      <w:r w:rsidR="009C6870">
        <w:t>for example,</w:t>
      </w:r>
      <w:r>
        <w:t xml:space="preserve"> level of qualification, field of study and when awarded):</w:t>
      </w:r>
    </w:p>
    <w:p w:rsidR="00DC4195" w:rsidRDefault="00DC4195" w:rsidP="00DC4195">
      <w:pPr>
        <w:pStyle w:val="Text"/>
      </w:pPr>
      <w:r>
        <w:t>___________________________________________________________________</w:t>
      </w:r>
    </w:p>
    <w:p w:rsidR="00DC4195" w:rsidRDefault="00DC4195" w:rsidP="00DC4195">
      <w:pPr>
        <w:pStyle w:val="Text"/>
      </w:pPr>
      <w:r>
        <w:lastRenderedPageBreak/>
        <w:t>6.  Are you currently, or have you ever been employed, in any care or education program with young children?</w:t>
      </w:r>
    </w:p>
    <w:p w:rsidR="00DC4195" w:rsidRDefault="00DC4195" w:rsidP="00DC4195">
      <w:pPr>
        <w:pStyle w:val="Text"/>
      </w:pPr>
      <w:r>
        <w:t>Employed means paid work for 10 or more hours per week.</w:t>
      </w:r>
      <w:r>
        <w:tab/>
        <w:t xml:space="preserve"> </w:t>
      </w:r>
      <w:r>
        <w:tab/>
        <w:t>Yes</w:t>
      </w:r>
      <w:r>
        <w:tab/>
      </w:r>
      <w:r>
        <w:tab/>
        <w:t>No</w:t>
      </w:r>
      <w:r>
        <w:tab/>
      </w:r>
    </w:p>
    <w:p w:rsidR="00DC4195" w:rsidRDefault="00DC4195" w:rsidP="00DC4195">
      <w:pPr>
        <w:pStyle w:val="Text"/>
      </w:pPr>
    </w:p>
    <w:p w:rsidR="00DC4195" w:rsidRDefault="00DC4195" w:rsidP="00DC4195">
      <w:pPr>
        <w:pStyle w:val="Text"/>
      </w:pPr>
      <w:r>
        <w:t xml:space="preserve">If you answered </w:t>
      </w:r>
      <w:r w:rsidRPr="00DC4195">
        <w:rPr>
          <w:b/>
        </w:rPr>
        <w:t>yes</w:t>
      </w:r>
      <w:r>
        <w:t>, describe the most recent, or the current program:</w:t>
      </w:r>
    </w:p>
    <w:p w:rsidR="00DC4195" w:rsidRDefault="00DC4195" w:rsidP="00DC4195">
      <w:pPr>
        <w:pStyle w:val="Text"/>
      </w:pPr>
      <w:r>
        <w:t>(a) Nature of the program (</w:t>
      </w:r>
      <w:r w:rsidR="009C6870">
        <w:t>for example,</w:t>
      </w:r>
      <w:r>
        <w:t xml:space="preserve">, long day care centre, after school care, family day care, preschool, kindergarten, early intervention program, aide in a school). </w:t>
      </w:r>
    </w:p>
    <w:p w:rsidR="00DC4195" w:rsidRDefault="00DC4195" w:rsidP="00DC4195">
      <w:pPr>
        <w:pStyle w:val="Text"/>
      </w:pPr>
      <w:r>
        <w:t>_________________________________________________________________________</w:t>
      </w:r>
    </w:p>
    <w:p w:rsidR="00DC4195" w:rsidRDefault="00DC4195" w:rsidP="00DC4195">
      <w:pPr>
        <w:pStyle w:val="Text"/>
      </w:pPr>
      <w:r>
        <w:t xml:space="preserve">(b) How many years have you been employed in this program (if you are describing employment that is not current, please indicate period of employment </w:t>
      </w:r>
      <w:r w:rsidR="009C6870">
        <w:t>for example,</w:t>
      </w:r>
      <w:r w:rsidR="00065494">
        <w:t xml:space="preserve"> 2007—</w:t>
      </w:r>
      <w:r>
        <w:t>2010)?</w:t>
      </w:r>
    </w:p>
    <w:p w:rsidR="00DC4195" w:rsidRDefault="00DC4195" w:rsidP="00DC4195">
      <w:pPr>
        <w:pStyle w:val="Text"/>
      </w:pPr>
      <w:r>
        <w:t>_________________________________________________________________________</w:t>
      </w:r>
    </w:p>
    <w:p w:rsidR="00DC4195" w:rsidRDefault="00DC4195" w:rsidP="00DC4195">
      <w:pPr>
        <w:pStyle w:val="Text"/>
      </w:pPr>
      <w:r>
        <w:t xml:space="preserve">(c) What is the total number of years that you have ever been employed in care or education programs (include the number of years that you indicated above)? </w:t>
      </w:r>
    </w:p>
    <w:p w:rsidR="00DC4195" w:rsidRDefault="00DC4195" w:rsidP="00DC4195">
      <w:pPr>
        <w:pStyle w:val="Text"/>
      </w:pPr>
      <w:r>
        <w:t>________________________________________________________________________</w:t>
      </w:r>
    </w:p>
    <w:p w:rsidR="00DC4195" w:rsidRDefault="00DC4195" w:rsidP="00DC4195">
      <w:pPr>
        <w:pStyle w:val="Text"/>
      </w:pPr>
    </w:p>
    <w:p w:rsidR="00DC4195" w:rsidRDefault="00DC4195" w:rsidP="00DC4195">
      <w:pPr>
        <w:pStyle w:val="Text"/>
      </w:pPr>
      <w:r>
        <w:t>7.</w:t>
      </w:r>
      <w:r w:rsidR="00266EC2">
        <w:t xml:space="preserve"> </w:t>
      </w:r>
      <w:r>
        <w:t xml:space="preserve"> What course are you currently enrolled in?</w:t>
      </w:r>
    </w:p>
    <w:p w:rsidR="00DC4195" w:rsidRDefault="00DC4195" w:rsidP="00DC4195">
      <w:pPr>
        <w:pStyle w:val="Text"/>
      </w:pPr>
      <w:r>
        <w:t>(a) Course.</w:t>
      </w:r>
    </w:p>
    <w:p w:rsidR="00DC4195" w:rsidRDefault="00DC4195" w:rsidP="00DC4195">
      <w:pPr>
        <w:pStyle w:val="Text"/>
      </w:pPr>
      <w:r>
        <w:t>________________________________________________________________________</w:t>
      </w:r>
    </w:p>
    <w:p w:rsidR="00DC4195" w:rsidRDefault="00DC4195" w:rsidP="00DC4195">
      <w:pPr>
        <w:pStyle w:val="Text"/>
      </w:pPr>
      <w:r>
        <w:t>(b) What mode do you study (full-time/part-time, on campus/online etc.)?</w:t>
      </w:r>
    </w:p>
    <w:p w:rsidR="00DC4195" w:rsidRDefault="00DC4195" w:rsidP="00DC4195">
      <w:pPr>
        <w:pStyle w:val="Text"/>
      </w:pPr>
      <w:r>
        <w:t>________________________________________________________________________</w:t>
      </w:r>
    </w:p>
    <w:p w:rsidR="00DC4195" w:rsidRDefault="00DC4195" w:rsidP="00DC4195">
      <w:pPr>
        <w:pStyle w:val="Text"/>
      </w:pPr>
      <w:r>
        <w:t>(c) When did you commence this study?</w:t>
      </w:r>
    </w:p>
    <w:p w:rsidR="00DC4195" w:rsidRDefault="00DC4195" w:rsidP="00DC4195">
      <w:pPr>
        <w:pStyle w:val="Text"/>
      </w:pPr>
      <w:r>
        <w:t>________________________________________________________________________</w:t>
      </w:r>
    </w:p>
    <w:p w:rsidR="00DC4195" w:rsidRDefault="00DC4195" w:rsidP="00DC4195">
      <w:pPr>
        <w:pStyle w:val="Text"/>
      </w:pPr>
      <w:r>
        <w:t>(d) Prior to commencing your current course, how many years has it been since you were enrolled in some form of tertiary study?</w:t>
      </w:r>
    </w:p>
    <w:p w:rsidR="00DC4195" w:rsidRDefault="00DC4195" w:rsidP="00DC4195">
      <w:pPr>
        <w:pStyle w:val="Text"/>
      </w:pPr>
      <w:r>
        <w:t>________________________________________________________________________</w:t>
      </w:r>
    </w:p>
    <w:p w:rsidR="00DC4195" w:rsidRDefault="00DC4195" w:rsidP="00DC4195">
      <w:pPr>
        <w:pStyle w:val="Text"/>
      </w:pPr>
    </w:p>
    <w:p w:rsidR="00DC4195" w:rsidRDefault="00DC4195" w:rsidP="00DC4195">
      <w:pPr>
        <w:pStyle w:val="Text"/>
      </w:pPr>
    </w:p>
    <w:p w:rsidR="00DC4195" w:rsidRDefault="00DC4195" w:rsidP="00DC4195">
      <w:pPr>
        <w:pStyle w:val="Text"/>
      </w:pPr>
    </w:p>
    <w:p w:rsidR="00DC4195" w:rsidRDefault="00DC4195" w:rsidP="00DC4195">
      <w:pPr>
        <w:pStyle w:val="Text"/>
      </w:pPr>
    </w:p>
    <w:p w:rsidR="00DC4195" w:rsidRDefault="00DC4195" w:rsidP="00DC4195">
      <w:pPr>
        <w:pStyle w:val="Text"/>
      </w:pPr>
    </w:p>
    <w:p w:rsidR="00DC4195" w:rsidRDefault="00DC4195" w:rsidP="00DC4195">
      <w:pPr>
        <w:pStyle w:val="Text"/>
      </w:pPr>
    </w:p>
    <w:p w:rsidR="00DC4195" w:rsidRDefault="00DC4195" w:rsidP="00DC4195">
      <w:pPr>
        <w:pStyle w:val="Text"/>
      </w:pPr>
    </w:p>
    <w:p w:rsidR="00DC4195" w:rsidRDefault="00DC4195" w:rsidP="00DC4195">
      <w:pPr>
        <w:pStyle w:val="Heading3"/>
      </w:pPr>
      <w:r>
        <w:lastRenderedPageBreak/>
        <w:t>About your current course</w:t>
      </w:r>
    </w:p>
    <w:p w:rsidR="00DC4195" w:rsidRDefault="00DC4195" w:rsidP="00DC4195">
      <w:pPr>
        <w:pStyle w:val="Text"/>
      </w:pPr>
      <w:r>
        <w:t>Thinking about the units you are currently enrolled in, or have recently completed, please answer the following questions:</w:t>
      </w:r>
    </w:p>
    <w:p w:rsidR="00E166F8" w:rsidRDefault="00E166F8" w:rsidP="00DC4195">
      <w:pPr>
        <w:pStyle w:val="Text"/>
      </w:pPr>
    </w:p>
    <w:p w:rsidR="00DC4195" w:rsidRDefault="00DC4195" w:rsidP="00DC4195">
      <w:pPr>
        <w:pStyle w:val="Text"/>
      </w:pPr>
      <w:r>
        <w:t xml:space="preserve">8. </w:t>
      </w:r>
      <w:r w:rsidR="00266EC2">
        <w:t xml:space="preserve"> </w:t>
      </w:r>
      <w:r>
        <w:t>What type of assessment do you typically complete? (Circle all that are relevant)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2"/>
        <w:gridCol w:w="4502"/>
      </w:tblGrid>
      <w:tr w:rsidR="00347942" w:rsidTr="00347942">
        <w:tc>
          <w:tcPr>
            <w:tcW w:w="4502" w:type="dxa"/>
          </w:tcPr>
          <w:p w:rsidR="00347942" w:rsidRPr="00794103" w:rsidRDefault="00347942" w:rsidP="00E166F8">
            <w:pPr>
              <w:pStyle w:val="Tabletext"/>
            </w:pPr>
            <w:r w:rsidRPr="00794103">
              <w:t>Observation of your practice</w:t>
            </w:r>
          </w:p>
        </w:tc>
        <w:tc>
          <w:tcPr>
            <w:tcW w:w="4502" w:type="dxa"/>
          </w:tcPr>
          <w:p w:rsidR="00347942" w:rsidRPr="00315661" w:rsidRDefault="00347942" w:rsidP="00E166F8">
            <w:pPr>
              <w:pStyle w:val="Tabletext"/>
            </w:pPr>
            <w:r w:rsidRPr="00315661">
              <w:t>Research reports</w:t>
            </w:r>
          </w:p>
        </w:tc>
      </w:tr>
      <w:tr w:rsidR="00347942" w:rsidTr="00347942">
        <w:tc>
          <w:tcPr>
            <w:tcW w:w="4502" w:type="dxa"/>
          </w:tcPr>
          <w:p w:rsidR="00347942" w:rsidRPr="00794103" w:rsidRDefault="00347942" w:rsidP="00E166F8">
            <w:pPr>
              <w:pStyle w:val="Tabletext"/>
            </w:pPr>
            <w:r w:rsidRPr="00794103">
              <w:t>Portfolios (</w:t>
            </w:r>
            <w:r w:rsidR="009C6870">
              <w:t>for example,</w:t>
            </w:r>
            <w:r w:rsidRPr="00794103">
              <w:t xml:space="preserve"> work samples, observations, planning)</w:t>
            </w:r>
          </w:p>
        </w:tc>
        <w:tc>
          <w:tcPr>
            <w:tcW w:w="4502" w:type="dxa"/>
          </w:tcPr>
          <w:p w:rsidR="00347942" w:rsidRPr="00315661" w:rsidRDefault="00347942" w:rsidP="00E166F8">
            <w:pPr>
              <w:pStyle w:val="Tabletext"/>
            </w:pPr>
            <w:r w:rsidRPr="00315661">
              <w:t>Reflections/Reflective Diaries</w:t>
            </w:r>
          </w:p>
        </w:tc>
      </w:tr>
      <w:tr w:rsidR="00347942" w:rsidTr="00347942">
        <w:tc>
          <w:tcPr>
            <w:tcW w:w="4502" w:type="dxa"/>
          </w:tcPr>
          <w:p w:rsidR="00347942" w:rsidRPr="00794103" w:rsidRDefault="00347942" w:rsidP="00E166F8">
            <w:pPr>
              <w:pStyle w:val="Tabletext"/>
            </w:pPr>
            <w:r w:rsidRPr="00794103">
              <w:t>Short answer (</w:t>
            </w:r>
            <w:r w:rsidR="009C6870">
              <w:t>for example,</w:t>
            </w:r>
            <w:r w:rsidRPr="00794103">
              <w:t xml:space="preserve"> up to a paragraph) responses</w:t>
            </w:r>
          </w:p>
        </w:tc>
        <w:tc>
          <w:tcPr>
            <w:tcW w:w="4502" w:type="dxa"/>
          </w:tcPr>
          <w:p w:rsidR="00347942" w:rsidRPr="00315661" w:rsidRDefault="00347942" w:rsidP="00E166F8">
            <w:pPr>
              <w:pStyle w:val="Tabletext"/>
            </w:pPr>
            <w:r w:rsidRPr="00315661">
              <w:t>Essays (without supporting references)</w:t>
            </w:r>
          </w:p>
        </w:tc>
      </w:tr>
      <w:tr w:rsidR="00347942" w:rsidTr="00347942">
        <w:tc>
          <w:tcPr>
            <w:tcW w:w="4502" w:type="dxa"/>
          </w:tcPr>
          <w:p w:rsidR="00347942" w:rsidRPr="00794103" w:rsidRDefault="00347942" w:rsidP="00065494">
            <w:pPr>
              <w:pStyle w:val="Tabletext"/>
            </w:pPr>
            <w:r w:rsidRPr="00794103">
              <w:t>Long answer (</w:t>
            </w:r>
            <w:r w:rsidR="00065494">
              <w:t>for example,</w:t>
            </w:r>
            <w:r w:rsidRPr="00794103">
              <w:t xml:space="preserve"> multiple paragraph) responses</w:t>
            </w:r>
          </w:p>
        </w:tc>
        <w:tc>
          <w:tcPr>
            <w:tcW w:w="4502" w:type="dxa"/>
          </w:tcPr>
          <w:p w:rsidR="00347942" w:rsidRPr="00315661" w:rsidRDefault="00347942" w:rsidP="00E166F8">
            <w:pPr>
              <w:pStyle w:val="Tabletext"/>
            </w:pPr>
            <w:r w:rsidRPr="00315661">
              <w:t>Essays (with supporting references)</w:t>
            </w:r>
          </w:p>
        </w:tc>
      </w:tr>
      <w:tr w:rsidR="00347942" w:rsidTr="00347942">
        <w:tc>
          <w:tcPr>
            <w:tcW w:w="4502" w:type="dxa"/>
          </w:tcPr>
          <w:p w:rsidR="00347942" w:rsidRPr="00794103" w:rsidRDefault="00347942" w:rsidP="00E166F8">
            <w:pPr>
              <w:pStyle w:val="Tabletext"/>
            </w:pPr>
            <w:r w:rsidRPr="00794103">
              <w:t>Oral presentations</w:t>
            </w:r>
          </w:p>
        </w:tc>
        <w:tc>
          <w:tcPr>
            <w:tcW w:w="4502" w:type="dxa"/>
          </w:tcPr>
          <w:p w:rsidR="00347942" w:rsidRPr="00315661" w:rsidRDefault="00347942" w:rsidP="00E166F8">
            <w:pPr>
              <w:pStyle w:val="Tabletext"/>
            </w:pPr>
            <w:r>
              <w:t>Other please s</w:t>
            </w:r>
            <w:r w:rsidRPr="00315661">
              <w:t>pe</w:t>
            </w:r>
            <w:r>
              <w:t>cify____________________</w:t>
            </w:r>
          </w:p>
        </w:tc>
      </w:tr>
    </w:tbl>
    <w:p w:rsidR="00347942" w:rsidRDefault="00347942" w:rsidP="00DC4195">
      <w:pPr>
        <w:pStyle w:val="Text"/>
      </w:pPr>
    </w:p>
    <w:p w:rsidR="00DC4195" w:rsidRDefault="00347942" w:rsidP="00347942">
      <w:pPr>
        <w:pStyle w:val="Heading4"/>
      </w:pPr>
      <w:r>
        <w:t>Question 9</w:t>
      </w:r>
      <w:r w:rsidR="00266EC2">
        <w:t>–</w:t>
      </w:r>
      <w:r>
        <w:t>12 all relate to written assessment tasks</w:t>
      </w:r>
    </w:p>
    <w:p w:rsidR="00E166F8" w:rsidRDefault="00E166F8" w:rsidP="00DC4195">
      <w:pPr>
        <w:pStyle w:val="Text"/>
      </w:pPr>
    </w:p>
    <w:p w:rsidR="00DC4195" w:rsidRDefault="00DC4195" w:rsidP="00DC4195">
      <w:pPr>
        <w:pStyle w:val="Text"/>
      </w:pPr>
      <w:r>
        <w:t>9.</w:t>
      </w:r>
      <w:r w:rsidR="00266EC2">
        <w:t xml:space="preserve"> </w:t>
      </w:r>
      <w:r>
        <w:t xml:space="preserve"> When reading an assessment item do you find it hard to understand the task? (circle one option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51"/>
        <w:gridCol w:w="2251"/>
        <w:gridCol w:w="2251"/>
        <w:gridCol w:w="2251"/>
      </w:tblGrid>
      <w:tr w:rsidR="00347942" w:rsidTr="00347942">
        <w:tc>
          <w:tcPr>
            <w:tcW w:w="2251" w:type="dxa"/>
          </w:tcPr>
          <w:p w:rsidR="00347942" w:rsidRDefault="00347942" w:rsidP="00DC4195">
            <w:pPr>
              <w:pStyle w:val="Text"/>
            </w:pPr>
            <w:r>
              <w:t>Never</w:t>
            </w:r>
          </w:p>
        </w:tc>
        <w:tc>
          <w:tcPr>
            <w:tcW w:w="2251" w:type="dxa"/>
          </w:tcPr>
          <w:p w:rsidR="00347942" w:rsidRDefault="00347942" w:rsidP="00DC4195">
            <w:pPr>
              <w:pStyle w:val="Text"/>
            </w:pPr>
            <w:r>
              <w:t>Sometimes</w:t>
            </w:r>
          </w:p>
        </w:tc>
        <w:tc>
          <w:tcPr>
            <w:tcW w:w="2251" w:type="dxa"/>
          </w:tcPr>
          <w:p w:rsidR="00347942" w:rsidRDefault="00347942" w:rsidP="00DC4195">
            <w:pPr>
              <w:pStyle w:val="Text"/>
            </w:pPr>
            <w:r>
              <w:t>Often</w:t>
            </w:r>
          </w:p>
        </w:tc>
        <w:tc>
          <w:tcPr>
            <w:tcW w:w="2251" w:type="dxa"/>
          </w:tcPr>
          <w:p w:rsidR="00347942" w:rsidRDefault="00347942" w:rsidP="00DC4195">
            <w:pPr>
              <w:pStyle w:val="Text"/>
            </w:pPr>
            <w:r>
              <w:t>Always</w:t>
            </w:r>
          </w:p>
        </w:tc>
      </w:tr>
    </w:tbl>
    <w:p w:rsidR="00DC4195" w:rsidRDefault="00DC4195" w:rsidP="00DC4195">
      <w:pPr>
        <w:pStyle w:val="Text"/>
      </w:pPr>
    </w:p>
    <w:p w:rsidR="00DC4195" w:rsidRDefault="00DC4195" w:rsidP="00DC4195">
      <w:pPr>
        <w:pStyle w:val="Text"/>
      </w:pPr>
      <w:r>
        <w:t xml:space="preserve">10. </w:t>
      </w:r>
      <w:r w:rsidR="00266EC2">
        <w:t xml:space="preserve"> </w:t>
      </w:r>
      <w:r>
        <w:t xml:space="preserve">When preparing for assessment you need to find relevant information. What sources information do you typically use? (Circle all that are relevant)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2"/>
        <w:gridCol w:w="4502"/>
      </w:tblGrid>
      <w:tr w:rsidR="00347942" w:rsidTr="00347942">
        <w:tc>
          <w:tcPr>
            <w:tcW w:w="4502" w:type="dxa"/>
          </w:tcPr>
          <w:p w:rsidR="00347942" w:rsidRPr="003E2CDF" w:rsidRDefault="00347942" w:rsidP="00E166F8">
            <w:pPr>
              <w:pStyle w:val="Tabletext"/>
            </w:pPr>
            <w:r w:rsidRPr="003E2CDF">
              <w:t>Unit/class notes</w:t>
            </w:r>
          </w:p>
        </w:tc>
        <w:tc>
          <w:tcPr>
            <w:tcW w:w="4502" w:type="dxa"/>
          </w:tcPr>
          <w:p w:rsidR="00347942" w:rsidRPr="007E28B0" w:rsidRDefault="00347942" w:rsidP="00E166F8">
            <w:pPr>
              <w:pStyle w:val="Tabletext"/>
            </w:pPr>
            <w:r w:rsidRPr="007E28B0">
              <w:t>Professional journal articles (</w:t>
            </w:r>
            <w:r w:rsidR="009C6870">
              <w:t>for example,</w:t>
            </w:r>
            <w:r w:rsidRPr="007E28B0">
              <w:t xml:space="preserve"> Every Child)</w:t>
            </w:r>
          </w:p>
        </w:tc>
      </w:tr>
      <w:tr w:rsidR="00347942" w:rsidTr="00347942">
        <w:tc>
          <w:tcPr>
            <w:tcW w:w="4502" w:type="dxa"/>
          </w:tcPr>
          <w:p w:rsidR="00347942" w:rsidRPr="003E2CDF" w:rsidRDefault="00347942" w:rsidP="00E166F8">
            <w:pPr>
              <w:pStyle w:val="Tabletext"/>
            </w:pPr>
            <w:r w:rsidRPr="003E2CDF">
              <w:t>Prescribed text book</w:t>
            </w:r>
          </w:p>
        </w:tc>
        <w:tc>
          <w:tcPr>
            <w:tcW w:w="4502" w:type="dxa"/>
          </w:tcPr>
          <w:p w:rsidR="00347942" w:rsidRPr="007E28B0" w:rsidRDefault="00347942" w:rsidP="00E166F8">
            <w:pPr>
              <w:pStyle w:val="Tabletext"/>
            </w:pPr>
            <w:r w:rsidRPr="007E28B0">
              <w:t>Academic journal articles (</w:t>
            </w:r>
            <w:r w:rsidR="009C6870">
              <w:t>for example,</w:t>
            </w:r>
            <w:r w:rsidRPr="007E28B0">
              <w:t xml:space="preserve"> Australasian Journal of Early Childhood)</w:t>
            </w:r>
          </w:p>
        </w:tc>
      </w:tr>
      <w:tr w:rsidR="00347942" w:rsidTr="00347942">
        <w:tc>
          <w:tcPr>
            <w:tcW w:w="4502" w:type="dxa"/>
          </w:tcPr>
          <w:p w:rsidR="00347942" w:rsidRPr="003E2CDF" w:rsidRDefault="00347942" w:rsidP="00E166F8">
            <w:pPr>
              <w:pStyle w:val="Tabletext"/>
            </w:pPr>
            <w:r w:rsidRPr="003E2CDF">
              <w:t>Other text books/e-books</w:t>
            </w:r>
          </w:p>
        </w:tc>
        <w:tc>
          <w:tcPr>
            <w:tcW w:w="4502" w:type="dxa"/>
          </w:tcPr>
          <w:p w:rsidR="00347942" w:rsidRPr="007E28B0" w:rsidRDefault="00347942" w:rsidP="00E166F8">
            <w:pPr>
              <w:pStyle w:val="Tabletext"/>
            </w:pPr>
            <w:r w:rsidRPr="007E28B0">
              <w:t>Newspapers</w:t>
            </w:r>
          </w:p>
        </w:tc>
      </w:tr>
      <w:tr w:rsidR="00347942" w:rsidTr="00347942">
        <w:tc>
          <w:tcPr>
            <w:tcW w:w="4502" w:type="dxa"/>
          </w:tcPr>
          <w:p w:rsidR="00347942" w:rsidRPr="003E2CDF" w:rsidRDefault="00347942" w:rsidP="00E166F8">
            <w:pPr>
              <w:pStyle w:val="Tabletext"/>
            </w:pPr>
            <w:r w:rsidRPr="003E2CDF">
              <w:t>Unit readings</w:t>
            </w:r>
          </w:p>
        </w:tc>
        <w:tc>
          <w:tcPr>
            <w:tcW w:w="4502" w:type="dxa"/>
          </w:tcPr>
          <w:p w:rsidR="00347942" w:rsidRPr="007E28B0" w:rsidRDefault="00347942" w:rsidP="00E166F8">
            <w:pPr>
              <w:pStyle w:val="Tabletext"/>
            </w:pPr>
            <w:r w:rsidRPr="007E28B0">
              <w:t>Government documents (</w:t>
            </w:r>
            <w:r w:rsidR="009C6870">
              <w:t>for example,</w:t>
            </w:r>
            <w:r w:rsidRPr="007E28B0">
              <w:t xml:space="preserve"> Early Years Learning Framework).</w:t>
            </w:r>
          </w:p>
        </w:tc>
      </w:tr>
      <w:tr w:rsidR="00347942" w:rsidTr="00347942">
        <w:tc>
          <w:tcPr>
            <w:tcW w:w="4502" w:type="dxa"/>
          </w:tcPr>
          <w:p w:rsidR="00347942" w:rsidRPr="003E2CDF" w:rsidRDefault="00347942" w:rsidP="00E166F8">
            <w:pPr>
              <w:pStyle w:val="Tabletext"/>
            </w:pPr>
            <w:r w:rsidRPr="003E2CDF">
              <w:t>Colleagues in the field</w:t>
            </w:r>
          </w:p>
        </w:tc>
        <w:tc>
          <w:tcPr>
            <w:tcW w:w="4502" w:type="dxa"/>
          </w:tcPr>
          <w:p w:rsidR="00347942" w:rsidRPr="007E28B0" w:rsidRDefault="00347942" w:rsidP="00E166F8">
            <w:pPr>
              <w:pStyle w:val="Tabletext"/>
            </w:pPr>
            <w:r w:rsidRPr="007E28B0">
              <w:t xml:space="preserve">Online sources                                                                           </w:t>
            </w:r>
          </w:p>
        </w:tc>
      </w:tr>
      <w:tr w:rsidR="00347942" w:rsidTr="00347942">
        <w:tc>
          <w:tcPr>
            <w:tcW w:w="4502" w:type="dxa"/>
          </w:tcPr>
          <w:p w:rsidR="00347942" w:rsidRPr="003E2CDF" w:rsidRDefault="00347942" w:rsidP="00E166F8">
            <w:pPr>
              <w:pStyle w:val="Tabletext"/>
            </w:pPr>
          </w:p>
        </w:tc>
        <w:tc>
          <w:tcPr>
            <w:tcW w:w="4502" w:type="dxa"/>
          </w:tcPr>
          <w:p w:rsidR="00347942" w:rsidRPr="007E28B0" w:rsidRDefault="00347942" w:rsidP="00E166F8">
            <w:pPr>
              <w:pStyle w:val="Tabletext"/>
            </w:pPr>
            <w:r>
              <w:t>Other   please specify________________________</w:t>
            </w:r>
          </w:p>
        </w:tc>
      </w:tr>
    </w:tbl>
    <w:p w:rsidR="00DC4195" w:rsidRDefault="00DC4195" w:rsidP="00DC4195">
      <w:pPr>
        <w:pStyle w:val="Text"/>
      </w:pPr>
    </w:p>
    <w:p w:rsidR="00DC4195" w:rsidRDefault="00DC4195" w:rsidP="00DC4195">
      <w:pPr>
        <w:pStyle w:val="Text"/>
      </w:pPr>
      <w:r>
        <w:t xml:space="preserve">11. </w:t>
      </w:r>
      <w:r w:rsidR="00266EC2">
        <w:t xml:space="preserve"> </w:t>
      </w:r>
      <w:r>
        <w:t xml:space="preserve">When searching for information, how do you find what you are looking for? </w:t>
      </w:r>
    </w:p>
    <w:p w:rsidR="00DC4195" w:rsidRDefault="00DC4195" w:rsidP="00DC4195">
      <w:pPr>
        <w:pStyle w:val="Text"/>
      </w:pPr>
      <w:r>
        <w:t>For example, you may ask a librarian for help, or browse the internet using web search engines, or you might use a library catalogue or database search engine, or a combination of strategies – please give as much detail as you can to describe your process.</w:t>
      </w:r>
    </w:p>
    <w:p w:rsidR="00E166F8" w:rsidRDefault="00E166F8" w:rsidP="00DC4195">
      <w:pPr>
        <w:pStyle w:val="Text"/>
      </w:pPr>
    </w:p>
    <w:p w:rsidR="00E166F8" w:rsidRDefault="00E166F8" w:rsidP="00DC4195">
      <w:pPr>
        <w:pStyle w:val="Text"/>
      </w:pPr>
    </w:p>
    <w:p w:rsidR="00E166F8" w:rsidRDefault="00E166F8" w:rsidP="00DC4195">
      <w:pPr>
        <w:pStyle w:val="Text"/>
      </w:pPr>
    </w:p>
    <w:p w:rsidR="00E166F8" w:rsidRDefault="00E166F8" w:rsidP="00DC4195">
      <w:pPr>
        <w:pStyle w:val="Text"/>
      </w:pPr>
    </w:p>
    <w:p w:rsidR="00E166F8" w:rsidRDefault="00E166F8" w:rsidP="00DC4195">
      <w:pPr>
        <w:pStyle w:val="Text"/>
      </w:pPr>
    </w:p>
    <w:p w:rsidR="00E166F8" w:rsidRDefault="00E166F8" w:rsidP="00DC4195">
      <w:pPr>
        <w:pStyle w:val="Text"/>
      </w:pPr>
    </w:p>
    <w:p w:rsidR="00DC4195" w:rsidRDefault="00DC4195" w:rsidP="00DC4195">
      <w:pPr>
        <w:pStyle w:val="Text"/>
      </w:pPr>
      <w:r>
        <w:lastRenderedPageBreak/>
        <w:t xml:space="preserve">12. </w:t>
      </w:r>
      <w:r w:rsidR="00266EC2">
        <w:t xml:space="preserve"> </w:t>
      </w:r>
      <w:r>
        <w:t xml:space="preserve">When completing a written assessment task, how challenging do you find the following aspects? </w:t>
      </w:r>
    </w:p>
    <w:p w:rsidR="00DC4195" w:rsidRDefault="00DC4195" w:rsidP="00DC4195">
      <w:pPr>
        <w:pStyle w:val="Text"/>
      </w:pPr>
      <w:r>
        <w:t>For the six aspects below, please indicate how challenging you find the task.</w:t>
      </w:r>
    </w:p>
    <w:tbl>
      <w:tblPr>
        <w:tblStyle w:val="TableGrid"/>
        <w:tblW w:w="0" w:type="auto"/>
        <w:tblBorders>
          <w:left w:val="none" w:sz="0" w:space="0" w:color="auto"/>
          <w:right w:val="none" w:sz="0" w:space="0" w:color="auto"/>
          <w:insideV w:val="none" w:sz="0" w:space="0" w:color="auto"/>
        </w:tblBorders>
        <w:tblLook w:val="04A0"/>
      </w:tblPr>
      <w:tblGrid>
        <w:gridCol w:w="4077"/>
        <w:gridCol w:w="1231"/>
        <w:gridCol w:w="1232"/>
        <w:gridCol w:w="1232"/>
        <w:gridCol w:w="1232"/>
      </w:tblGrid>
      <w:tr w:rsidR="00347942" w:rsidTr="006C2BD3">
        <w:tc>
          <w:tcPr>
            <w:tcW w:w="4077" w:type="dxa"/>
            <w:tcBorders>
              <w:bottom w:val="single" w:sz="4" w:space="0" w:color="000000" w:themeColor="text1"/>
            </w:tcBorders>
          </w:tcPr>
          <w:p w:rsidR="00347942" w:rsidRDefault="00347942" w:rsidP="00DC4195">
            <w:pPr>
              <w:pStyle w:val="Text"/>
            </w:pPr>
          </w:p>
        </w:tc>
        <w:tc>
          <w:tcPr>
            <w:tcW w:w="1231" w:type="dxa"/>
            <w:tcBorders>
              <w:bottom w:val="single" w:sz="4" w:space="0" w:color="000000" w:themeColor="text1"/>
            </w:tcBorders>
          </w:tcPr>
          <w:p w:rsidR="00347942" w:rsidRDefault="00347942" w:rsidP="00E166F8">
            <w:pPr>
              <w:pStyle w:val="Tablehead1"/>
            </w:pPr>
            <w:r>
              <w:t>Not at all challenging</w:t>
            </w:r>
          </w:p>
        </w:tc>
        <w:tc>
          <w:tcPr>
            <w:tcW w:w="1232" w:type="dxa"/>
            <w:tcBorders>
              <w:bottom w:val="single" w:sz="4" w:space="0" w:color="000000" w:themeColor="text1"/>
            </w:tcBorders>
          </w:tcPr>
          <w:p w:rsidR="00347942" w:rsidRDefault="00347942" w:rsidP="00E166F8">
            <w:pPr>
              <w:pStyle w:val="Tablehead1"/>
            </w:pPr>
            <w:r>
              <w:t>Somewhat challenging</w:t>
            </w:r>
          </w:p>
        </w:tc>
        <w:tc>
          <w:tcPr>
            <w:tcW w:w="1232" w:type="dxa"/>
            <w:tcBorders>
              <w:bottom w:val="single" w:sz="4" w:space="0" w:color="000000" w:themeColor="text1"/>
            </w:tcBorders>
          </w:tcPr>
          <w:p w:rsidR="00347942" w:rsidRDefault="00347942" w:rsidP="00E166F8">
            <w:pPr>
              <w:pStyle w:val="Tablehead1"/>
            </w:pPr>
            <w:r>
              <w:t>Very challenging</w:t>
            </w:r>
          </w:p>
        </w:tc>
        <w:tc>
          <w:tcPr>
            <w:tcW w:w="1232" w:type="dxa"/>
            <w:tcBorders>
              <w:bottom w:val="single" w:sz="4" w:space="0" w:color="000000" w:themeColor="text1"/>
            </w:tcBorders>
          </w:tcPr>
          <w:p w:rsidR="00347942" w:rsidRDefault="00347942" w:rsidP="00E166F8">
            <w:pPr>
              <w:pStyle w:val="Tablehead1"/>
            </w:pPr>
            <w:r>
              <w:t>Extremely challenging</w:t>
            </w:r>
          </w:p>
        </w:tc>
      </w:tr>
      <w:tr w:rsidR="00347942" w:rsidTr="00A81B85">
        <w:trPr>
          <w:trHeight w:val="374"/>
        </w:trPr>
        <w:tc>
          <w:tcPr>
            <w:tcW w:w="4077" w:type="dxa"/>
            <w:tcBorders>
              <w:bottom w:val="nil"/>
            </w:tcBorders>
          </w:tcPr>
          <w:p w:rsidR="00347942" w:rsidRDefault="00347942" w:rsidP="00E166F8">
            <w:pPr>
              <w:pStyle w:val="Tabletext"/>
            </w:pPr>
            <w:r>
              <w:t>Understanding your assessment task</w:t>
            </w:r>
          </w:p>
        </w:tc>
        <w:tc>
          <w:tcPr>
            <w:tcW w:w="1231" w:type="dxa"/>
            <w:tcBorders>
              <w:bottom w:val="nil"/>
            </w:tcBorders>
          </w:tcPr>
          <w:p w:rsidR="00347942" w:rsidRDefault="00347942" w:rsidP="00DC4195">
            <w:pPr>
              <w:pStyle w:val="Text"/>
            </w:pPr>
          </w:p>
        </w:tc>
        <w:tc>
          <w:tcPr>
            <w:tcW w:w="1232" w:type="dxa"/>
            <w:tcBorders>
              <w:bottom w:val="nil"/>
            </w:tcBorders>
          </w:tcPr>
          <w:p w:rsidR="00347942" w:rsidRDefault="00347942" w:rsidP="00DC4195">
            <w:pPr>
              <w:pStyle w:val="Text"/>
            </w:pPr>
          </w:p>
        </w:tc>
        <w:tc>
          <w:tcPr>
            <w:tcW w:w="1232" w:type="dxa"/>
            <w:tcBorders>
              <w:bottom w:val="nil"/>
            </w:tcBorders>
          </w:tcPr>
          <w:p w:rsidR="00347942" w:rsidRDefault="00347942" w:rsidP="00DC4195">
            <w:pPr>
              <w:pStyle w:val="Text"/>
            </w:pPr>
          </w:p>
        </w:tc>
        <w:tc>
          <w:tcPr>
            <w:tcW w:w="1232" w:type="dxa"/>
            <w:tcBorders>
              <w:bottom w:val="nil"/>
            </w:tcBorders>
          </w:tcPr>
          <w:p w:rsidR="00347942" w:rsidRDefault="00347942" w:rsidP="00DC4195">
            <w:pPr>
              <w:pStyle w:val="Text"/>
            </w:pPr>
          </w:p>
        </w:tc>
      </w:tr>
      <w:tr w:rsidR="00347942" w:rsidTr="006C2BD3">
        <w:tc>
          <w:tcPr>
            <w:tcW w:w="4077" w:type="dxa"/>
            <w:tcBorders>
              <w:top w:val="nil"/>
              <w:bottom w:val="nil"/>
            </w:tcBorders>
          </w:tcPr>
          <w:p w:rsidR="00347942" w:rsidRDefault="00347942" w:rsidP="00E166F8">
            <w:pPr>
              <w:pStyle w:val="Tabletext"/>
            </w:pPr>
            <w:r>
              <w:t>Identifying and finding information that is relevant to your assessment</w:t>
            </w:r>
          </w:p>
        </w:tc>
        <w:tc>
          <w:tcPr>
            <w:tcW w:w="1231" w:type="dxa"/>
            <w:tcBorders>
              <w:top w:val="nil"/>
              <w:bottom w:val="nil"/>
            </w:tcBorders>
          </w:tcPr>
          <w:p w:rsidR="00347942" w:rsidRDefault="00347942" w:rsidP="00DC4195">
            <w:pPr>
              <w:pStyle w:val="Text"/>
            </w:pPr>
          </w:p>
        </w:tc>
        <w:tc>
          <w:tcPr>
            <w:tcW w:w="1232" w:type="dxa"/>
            <w:tcBorders>
              <w:top w:val="nil"/>
              <w:bottom w:val="nil"/>
            </w:tcBorders>
          </w:tcPr>
          <w:p w:rsidR="00347942" w:rsidRDefault="00347942" w:rsidP="00DC4195">
            <w:pPr>
              <w:pStyle w:val="Text"/>
            </w:pPr>
          </w:p>
        </w:tc>
        <w:tc>
          <w:tcPr>
            <w:tcW w:w="1232" w:type="dxa"/>
            <w:tcBorders>
              <w:top w:val="nil"/>
              <w:bottom w:val="nil"/>
            </w:tcBorders>
          </w:tcPr>
          <w:p w:rsidR="00347942" w:rsidRDefault="00347942" w:rsidP="00DC4195">
            <w:pPr>
              <w:pStyle w:val="Text"/>
            </w:pPr>
          </w:p>
        </w:tc>
        <w:tc>
          <w:tcPr>
            <w:tcW w:w="1232" w:type="dxa"/>
            <w:tcBorders>
              <w:top w:val="nil"/>
              <w:bottom w:val="nil"/>
            </w:tcBorders>
          </w:tcPr>
          <w:p w:rsidR="00347942" w:rsidRDefault="00347942" w:rsidP="00DC4195">
            <w:pPr>
              <w:pStyle w:val="Text"/>
            </w:pPr>
          </w:p>
        </w:tc>
      </w:tr>
      <w:tr w:rsidR="00347942" w:rsidTr="006C2BD3">
        <w:tc>
          <w:tcPr>
            <w:tcW w:w="4077" w:type="dxa"/>
            <w:tcBorders>
              <w:top w:val="nil"/>
              <w:bottom w:val="nil"/>
            </w:tcBorders>
          </w:tcPr>
          <w:p w:rsidR="00347942" w:rsidRDefault="00347942" w:rsidP="00E166F8">
            <w:pPr>
              <w:pStyle w:val="Tabletext"/>
            </w:pPr>
            <w:r>
              <w:t>Evaluating whether the information you find will be useful for your assessment</w:t>
            </w:r>
          </w:p>
        </w:tc>
        <w:tc>
          <w:tcPr>
            <w:tcW w:w="1231" w:type="dxa"/>
            <w:tcBorders>
              <w:top w:val="nil"/>
              <w:bottom w:val="nil"/>
            </w:tcBorders>
          </w:tcPr>
          <w:p w:rsidR="00347942" w:rsidRDefault="00347942" w:rsidP="00DC4195">
            <w:pPr>
              <w:pStyle w:val="Text"/>
            </w:pPr>
          </w:p>
        </w:tc>
        <w:tc>
          <w:tcPr>
            <w:tcW w:w="1232" w:type="dxa"/>
            <w:tcBorders>
              <w:top w:val="nil"/>
              <w:bottom w:val="nil"/>
            </w:tcBorders>
          </w:tcPr>
          <w:p w:rsidR="00347942" w:rsidRDefault="00347942" w:rsidP="00DC4195">
            <w:pPr>
              <w:pStyle w:val="Text"/>
            </w:pPr>
          </w:p>
        </w:tc>
        <w:tc>
          <w:tcPr>
            <w:tcW w:w="1232" w:type="dxa"/>
            <w:tcBorders>
              <w:top w:val="nil"/>
              <w:bottom w:val="nil"/>
            </w:tcBorders>
          </w:tcPr>
          <w:p w:rsidR="00347942" w:rsidRDefault="00347942" w:rsidP="00DC4195">
            <w:pPr>
              <w:pStyle w:val="Text"/>
            </w:pPr>
          </w:p>
        </w:tc>
        <w:tc>
          <w:tcPr>
            <w:tcW w:w="1232" w:type="dxa"/>
            <w:tcBorders>
              <w:top w:val="nil"/>
              <w:bottom w:val="nil"/>
            </w:tcBorders>
          </w:tcPr>
          <w:p w:rsidR="00347942" w:rsidRDefault="00347942" w:rsidP="00DC4195">
            <w:pPr>
              <w:pStyle w:val="Text"/>
            </w:pPr>
          </w:p>
        </w:tc>
      </w:tr>
      <w:tr w:rsidR="00347942" w:rsidTr="006C2BD3">
        <w:tc>
          <w:tcPr>
            <w:tcW w:w="4077" w:type="dxa"/>
            <w:tcBorders>
              <w:top w:val="nil"/>
              <w:bottom w:val="nil"/>
            </w:tcBorders>
          </w:tcPr>
          <w:p w:rsidR="00347942" w:rsidRDefault="00347942" w:rsidP="00E166F8">
            <w:pPr>
              <w:pStyle w:val="Tabletext"/>
            </w:pPr>
            <w:r>
              <w:t>Managing information you have gathered from different sources</w:t>
            </w:r>
          </w:p>
        </w:tc>
        <w:tc>
          <w:tcPr>
            <w:tcW w:w="1231" w:type="dxa"/>
            <w:tcBorders>
              <w:top w:val="nil"/>
              <w:bottom w:val="nil"/>
            </w:tcBorders>
          </w:tcPr>
          <w:p w:rsidR="00347942" w:rsidRDefault="00347942" w:rsidP="00DC4195">
            <w:pPr>
              <w:pStyle w:val="Text"/>
            </w:pPr>
          </w:p>
        </w:tc>
        <w:tc>
          <w:tcPr>
            <w:tcW w:w="1232" w:type="dxa"/>
            <w:tcBorders>
              <w:top w:val="nil"/>
              <w:bottom w:val="nil"/>
            </w:tcBorders>
          </w:tcPr>
          <w:p w:rsidR="00347942" w:rsidRDefault="00347942" w:rsidP="00DC4195">
            <w:pPr>
              <w:pStyle w:val="Text"/>
            </w:pPr>
          </w:p>
        </w:tc>
        <w:tc>
          <w:tcPr>
            <w:tcW w:w="1232" w:type="dxa"/>
            <w:tcBorders>
              <w:top w:val="nil"/>
              <w:bottom w:val="nil"/>
            </w:tcBorders>
          </w:tcPr>
          <w:p w:rsidR="00347942" w:rsidRDefault="00347942" w:rsidP="00DC4195">
            <w:pPr>
              <w:pStyle w:val="Text"/>
            </w:pPr>
          </w:p>
        </w:tc>
        <w:tc>
          <w:tcPr>
            <w:tcW w:w="1232" w:type="dxa"/>
            <w:tcBorders>
              <w:top w:val="nil"/>
              <w:bottom w:val="nil"/>
            </w:tcBorders>
          </w:tcPr>
          <w:p w:rsidR="00347942" w:rsidRDefault="00347942" w:rsidP="00DC4195">
            <w:pPr>
              <w:pStyle w:val="Text"/>
            </w:pPr>
          </w:p>
        </w:tc>
      </w:tr>
      <w:tr w:rsidR="00347942" w:rsidTr="006C2BD3">
        <w:tc>
          <w:tcPr>
            <w:tcW w:w="4077" w:type="dxa"/>
            <w:tcBorders>
              <w:top w:val="nil"/>
              <w:bottom w:val="nil"/>
            </w:tcBorders>
          </w:tcPr>
          <w:p w:rsidR="00347942" w:rsidRDefault="00347942" w:rsidP="00E166F8">
            <w:pPr>
              <w:pStyle w:val="Tabletext"/>
            </w:pPr>
            <w:r>
              <w:t>Bringing together all of the different information and preparing your assessment</w:t>
            </w:r>
          </w:p>
        </w:tc>
        <w:tc>
          <w:tcPr>
            <w:tcW w:w="1231" w:type="dxa"/>
            <w:tcBorders>
              <w:top w:val="nil"/>
              <w:bottom w:val="nil"/>
            </w:tcBorders>
          </w:tcPr>
          <w:p w:rsidR="00347942" w:rsidRDefault="00347942" w:rsidP="00DC4195">
            <w:pPr>
              <w:pStyle w:val="Text"/>
            </w:pPr>
          </w:p>
        </w:tc>
        <w:tc>
          <w:tcPr>
            <w:tcW w:w="1232" w:type="dxa"/>
            <w:tcBorders>
              <w:top w:val="nil"/>
              <w:bottom w:val="nil"/>
            </w:tcBorders>
          </w:tcPr>
          <w:p w:rsidR="00347942" w:rsidRDefault="00347942" w:rsidP="00DC4195">
            <w:pPr>
              <w:pStyle w:val="Text"/>
            </w:pPr>
          </w:p>
        </w:tc>
        <w:tc>
          <w:tcPr>
            <w:tcW w:w="1232" w:type="dxa"/>
            <w:tcBorders>
              <w:top w:val="nil"/>
              <w:bottom w:val="nil"/>
            </w:tcBorders>
          </w:tcPr>
          <w:p w:rsidR="00347942" w:rsidRDefault="00347942" w:rsidP="00DC4195">
            <w:pPr>
              <w:pStyle w:val="Text"/>
            </w:pPr>
          </w:p>
        </w:tc>
        <w:tc>
          <w:tcPr>
            <w:tcW w:w="1232" w:type="dxa"/>
            <w:tcBorders>
              <w:top w:val="nil"/>
              <w:bottom w:val="nil"/>
            </w:tcBorders>
          </w:tcPr>
          <w:p w:rsidR="00347942" w:rsidRDefault="00347942" w:rsidP="00DC4195">
            <w:pPr>
              <w:pStyle w:val="Text"/>
            </w:pPr>
          </w:p>
        </w:tc>
      </w:tr>
      <w:tr w:rsidR="00347942" w:rsidTr="006C2BD3">
        <w:tc>
          <w:tcPr>
            <w:tcW w:w="4077" w:type="dxa"/>
            <w:tcBorders>
              <w:top w:val="nil"/>
            </w:tcBorders>
          </w:tcPr>
          <w:p w:rsidR="00347942" w:rsidRDefault="00347942" w:rsidP="00E166F8">
            <w:pPr>
              <w:pStyle w:val="Tabletext"/>
            </w:pPr>
            <w:r>
              <w:t>Adhering to the writing style and referencing of the assessment task</w:t>
            </w:r>
          </w:p>
        </w:tc>
        <w:tc>
          <w:tcPr>
            <w:tcW w:w="1231" w:type="dxa"/>
            <w:tcBorders>
              <w:top w:val="nil"/>
            </w:tcBorders>
          </w:tcPr>
          <w:p w:rsidR="00347942" w:rsidRDefault="00347942" w:rsidP="00DC4195">
            <w:pPr>
              <w:pStyle w:val="Text"/>
            </w:pPr>
          </w:p>
        </w:tc>
        <w:tc>
          <w:tcPr>
            <w:tcW w:w="1232" w:type="dxa"/>
            <w:tcBorders>
              <w:top w:val="nil"/>
            </w:tcBorders>
          </w:tcPr>
          <w:p w:rsidR="00347942" w:rsidRDefault="00347942" w:rsidP="00DC4195">
            <w:pPr>
              <w:pStyle w:val="Text"/>
            </w:pPr>
          </w:p>
        </w:tc>
        <w:tc>
          <w:tcPr>
            <w:tcW w:w="1232" w:type="dxa"/>
            <w:tcBorders>
              <w:top w:val="nil"/>
            </w:tcBorders>
          </w:tcPr>
          <w:p w:rsidR="00347942" w:rsidRDefault="00347942" w:rsidP="00DC4195">
            <w:pPr>
              <w:pStyle w:val="Text"/>
            </w:pPr>
          </w:p>
        </w:tc>
        <w:tc>
          <w:tcPr>
            <w:tcW w:w="1232" w:type="dxa"/>
            <w:tcBorders>
              <w:top w:val="nil"/>
            </w:tcBorders>
          </w:tcPr>
          <w:p w:rsidR="00347942" w:rsidRDefault="00347942" w:rsidP="00DC4195">
            <w:pPr>
              <w:pStyle w:val="Text"/>
            </w:pPr>
          </w:p>
        </w:tc>
      </w:tr>
    </w:tbl>
    <w:p w:rsidR="00347942" w:rsidRDefault="00347942" w:rsidP="00DC4195">
      <w:pPr>
        <w:pStyle w:val="Text"/>
      </w:pPr>
    </w:p>
    <w:p w:rsidR="00DC4195" w:rsidRDefault="00DC4195" w:rsidP="006C2BD3">
      <w:pPr>
        <w:pStyle w:val="Heading3"/>
      </w:pPr>
      <w:r>
        <w:t>Information skills</w:t>
      </w:r>
    </w:p>
    <w:p w:rsidR="00DC4195" w:rsidRDefault="00DC4195" w:rsidP="00DC4195">
      <w:pPr>
        <w:pStyle w:val="Text"/>
      </w:pPr>
      <w:r>
        <w:t>Below are questions that were designed by librarians to understand information skills. Remember, information is what you use in your assessment in order to demonstrate your understanding of the content of your unit. Please select the number that best represents what you do in your studies currently.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1276"/>
        <w:gridCol w:w="2551"/>
        <w:gridCol w:w="1183"/>
        <w:gridCol w:w="699"/>
        <w:gridCol w:w="528"/>
        <w:gridCol w:w="602"/>
        <w:gridCol w:w="682"/>
        <w:gridCol w:w="808"/>
      </w:tblGrid>
      <w:tr w:rsidR="006C2BD3" w:rsidTr="006C2BD3">
        <w:tc>
          <w:tcPr>
            <w:tcW w:w="1951" w:type="dxa"/>
            <w:gridSpan w:val="2"/>
          </w:tcPr>
          <w:p w:rsidR="006C2BD3" w:rsidRDefault="006C2BD3" w:rsidP="00E166F8">
            <w:pPr>
              <w:pStyle w:val="Tabletext"/>
            </w:pPr>
            <w:r>
              <w:t>0  never</w:t>
            </w:r>
          </w:p>
        </w:tc>
        <w:tc>
          <w:tcPr>
            <w:tcW w:w="2551" w:type="dxa"/>
            <w:shd w:val="clear" w:color="auto" w:fill="auto"/>
          </w:tcPr>
          <w:p w:rsidR="006C2BD3" w:rsidRDefault="006C2BD3" w:rsidP="00E166F8">
            <w:pPr>
              <w:pStyle w:val="Tabletext"/>
            </w:pPr>
            <w:r>
              <w:t>1 sometimes</w:t>
            </w:r>
          </w:p>
          <w:p w:rsidR="006C2BD3" w:rsidRDefault="006C2BD3" w:rsidP="00E166F8">
            <w:pPr>
              <w:pStyle w:val="Tabletext"/>
            </w:pPr>
            <w:r>
              <w:t>(less than half the time)</w:t>
            </w:r>
          </w:p>
        </w:tc>
        <w:tc>
          <w:tcPr>
            <w:tcW w:w="2410" w:type="dxa"/>
            <w:gridSpan w:val="3"/>
            <w:shd w:val="clear" w:color="auto" w:fill="auto"/>
          </w:tcPr>
          <w:p w:rsidR="006C2BD3" w:rsidRDefault="006C2BD3" w:rsidP="00E166F8">
            <w:pPr>
              <w:pStyle w:val="Tabletext"/>
            </w:pPr>
            <w:r>
              <w:t>2 often</w:t>
            </w:r>
          </w:p>
          <w:p w:rsidR="006C2BD3" w:rsidRDefault="006C2BD3" w:rsidP="00E166F8">
            <w:pPr>
              <w:pStyle w:val="Tabletext"/>
            </w:pPr>
            <w:r>
              <w:t>(more than half the time)</w:t>
            </w:r>
          </w:p>
        </w:tc>
        <w:tc>
          <w:tcPr>
            <w:tcW w:w="2092" w:type="dxa"/>
            <w:gridSpan w:val="3"/>
          </w:tcPr>
          <w:p w:rsidR="006C2BD3" w:rsidRDefault="006C2BD3" w:rsidP="00E166F8">
            <w:pPr>
              <w:pStyle w:val="Tabletext"/>
            </w:pPr>
            <w:r>
              <w:t>3 always</w:t>
            </w:r>
          </w:p>
        </w:tc>
      </w:tr>
      <w:tr w:rsidR="00BA2CFA" w:rsidTr="00BA2CFA">
        <w:tblPrEx>
          <w:tblBorders>
            <w:top w:val="single" w:sz="4" w:space="0" w:color="000000" w:themeColor="text1"/>
            <w:bottom w:val="single" w:sz="4" w:space="0" w:color="000000" w:themeColor="text1"/>
            <w:insideH w:val="single" w:sz="4" w:space="0" w:color="000000" w:themeColor="text1"/>
          </w:tblBorders>
        </w:tblPrEx>
        <w:tc>
          <w:tcPr>
            <w:tcW w:w="675" w:type="dxa"/>
            <w:tcBorders>
              <w:bottom w:val="single" w:sz="4" w:space="0" w:color="000000" w:themeColor="text1"/>
            </w:tcBorders>
          </w:tcPr>
          <w:p w:rsidR="00BA2CFA" w:rsidRDefault="00BA2CFA" w:rsidP="00E166F8">
            <w:pPr>
              <w:pStyle w:val="Tablehead1"/>
            </w:pPr>
            <w:r>
              <w:t>Item</w:t>
            </w:r>
          </w:p>
        </w:tc>
        <w:tc>
          <w:tcPr>
            <w:tcW w:w="5010" w:type="dxa"/>
            <w:gridSpan w:val="3"/>
            <w:tcBorders>
              <w:bottom w:val="single" w:sz="4" w:space="0" w:color="000000" w:themeColor="text1"/>
            </w:tcBorders>
          </w:tcPr>
          <w:p w:rsidR="00BA2CFA" w:rsidRDefault="00BA2CFA" w:rsidP="00E166F8">
            <w:pPr>
              <w:pStyle w:val="Tablehead1"/>
            </w:pPr>
            <w:r>
              <w:t>Statement</w:t>
            </w:r>
          </w:p>
        </w:tc>
        <w:tc>
          <w:tcPr>
            <w:tcW w:w="699" w:type="dxa"/>
            <w:tcBorders>
              <w:bottom w:val="single" w:sz="4" w:space="0" w:color="000000" w:themeColor="text1"/>
            </w:tcBorders>
          </w:tcPr>
          <w:p w:rsidR="00BA2CFA" w:rsidRDefault="00BA2CFA" w:rsidP="00E166F8">
            <w:pPr>
              <w:pStyle w:val="Tablehead1"/>
            </w:pPr>
            <w:r>
              <w:t>Never</w:t>
            </w:r>
          </w:p>
        </w:tc>
        <w:tc>
          <w:tcPr>
            <w:tcW w:w="1130" w:type="dxa"/>
            <w:gridSpan w:val="2"/>
            <w:tcBorders>
              <w:bottom w:val="single" w:sz="4" w:space="0" w:color="000000" w:themeColor="text1"/>
            </w:tcBorders>
          </w:tcPr>
          <w:p w:rsidR="00BA2CFA" w:rsidRDefault="00BA2CFA" w:rsidP="00E166F8">
            <w:pPr>
              <w:pStyle w:val="Tablehead1"/>
            </w:pPr>
            <w:r>
              <w:t>Sometimes</w:t>
            </w:r>
          </w:p>
        </w:tc>
        <w:tc>
          <w:tcPr>
            <w:tcW w:w="682" w:type="dxa"/>
            <w:tcBorders>
              <w:bottom w:val="single" w:sz="4" w:space="0" w:color="000000" w:themeColor="text1"/>
            </w:tcBorders>
          </w:tcPr>
          <w:p w:rsidR="00BA2CFA" w:rsidRDefault="00BA2CFA" w:rsidP="00E166F8">
            <w:pPr>
              <w:pStyle w:val="Tablehead1"/>
            </w:pPr>
            <w:r>
              <w:t>Often</w:t>
            </w:r>
          </w:p>
        </w:tc>
        <w:tc>
          <w:tcPr>
            <w:tcW w:w="808" w:type="dxa"/>
            <w:tcBorders>
              <w:bottom w:val="single" w:sz="4" w:space="0" w:color="000000" w:themeColor="text1"/>
            </w:tcBorders>
          </w:tcPr>
          <w:p w:rsidR="00BA2CFA" w:rsidRDefault="00BA2CFA" w:rsidP="00E166F8">
            <w:pPr>
              <w:pStyle w:val="Tablehead1"/>
            </w:pPr>
            <w:r>
              <w:t>Always</w:t>
            </w:r>
          </w:p>
        </w:tc>
      </w:tr>
      <w:tr w:rsidR="00BA2CFA" w:rsidTr="00BA2CFA">
        <w:tblPrEx>
          <w:tblBorders>
            <w:top w:val="single" w:sz="4" w:space="0" w:color="000000" w:themeColor="text1"/>
            <w:bottom w:val="single" w:sz="4" w:space="0" w:color="000000" w:themeColor="text1"/>
            <w:insideH w:val="single" w:sz="4" w:space="0" w:color="000000" w:themeColor="text1"/>
          </w:tblBorders>
        </w:tblPrEx>
        <w:tc>
          <w:tcPr>
            <w:tcW w:w="675" w:type="dxa"/>
            <w:tcBorders>
              <w:bottom w:val="nil"/>
            </w:tcBorders>
          </w:tcPr>
          <w:p w:rsidR="00BA2CFA" w:rsidRDefault="00BA2CFA" w:rsidP="00E166F8">
            <w:pPr>
              <w:pStyle w:val="Tabletext"/>
            </w:pPr>
            <w:r>
              <w:t>1</w:t>
            </w:r>
          </w:p>
        </w:tc>
        <w:tc>
          <w:tcPr>
            <w:tcW w:w="5010" w:type="dxa"/>
            <w:gridSpan w:val="3"/>
            <w:tcBorders>
              <w:bottom w:val="nil"/>
            </w:tcBorders>
          </w:tcPr>
          <w:p w:rsidR="00BA2CFA" w:rsidRDefault="00BA2CFA" w:rsidP="00E166F8">
            <w:pPr>
              <w:pStyle w:val="Tabletext"/>
            </w:pPr>
            <w:r>
              <w:t>I have a system that helps me organise the information I need</w:t>
            </w:r>
          </w:p>
        </w:tc>
        <w:tc>
          <w:tcPr>
            <w:tcW w:w="699" w:type="dxa"/>
            <w:tcBorders>
              <w:bottom w:val="nil"/>
            </w:tcBorders>
          </w:tcPr>
          <w:p w:rsidR="00BA2CFA" w:rsidRPr="0023572C" w:rsidRDefault="00BA2CFA" w:rsidP="00E166F8">
            <w:pPr>
              <w:pStyle w:val="Tabletext"/>
            </w:pPr>
            <w:r w:rsidRPr="0023572C">
              <w:t>0</w:t>
            </w:r>
          </w:p>
        </w:tc>
        <w:tc>
          <w:tcPr>
            <w:tcW w:w="1130" w:type="dxa"/>
            <w:gridSpan w:val="2"/>
            <w:tcBorders>
              <w:bottom w:val="nil"/>
            </w:tcBorders>
          </w:tcPr>
          <w:p w:rsidR="00BA2CFA" w:rsidRPr="0023572C" w:rsidRDefault="00BA2CFA" w:rsidP="00E166F8">
            <w:pPr>
              <w:pStyle w:val="Tabletext"/>
            </w:pPr>
            <w:r w:rsidRPr="0023572C">
              <w:t>1</w:t>
            </w:r>
          </w:p>
        </w:tc>
        <w:tc>
          <w:tcPr>
            <w:tcW w:w="682" w:type="dxa"/>
            <w:tcBorders>
              <w:bottom w:val="nil"/>
            </w:tcBorders>
          </w:tcPr>
          <w:p w:rsidR="00BA2CFA" w:rsidRPr="0023572C" w:rsidRDefault="00BA2CFA" w:rsidP="00E166F8">
            <w:pPr>
              <w:pStyle w:val="Tabletext"/>
            </w:pPr>
            <w:r w:rsidRPr="0023572C">
              <w:t>2</w:t>
            </w:r>
          </w:p>
        </w:tc>
        <w:tc>
          <w:tcPr>
            <w:tcW w:w="808" w:type="dxa"/>
            <w:tcBorders>
              <w:bottom w:val="nil"/>
            </w:tcBorders>
          </w:tcPr>
          <w:p w:rsidR="00BA2CFA" w:rsidRDefault="00BA2CFA" w:rsidP="00E166F8">
            <w:pPr>
              <w:pStyle w:val="Tabletext"/>
            </w:pPr>
            <w:r w:rsidRPr="0023572C">
              <w:t>3</w:t>
            </w:r>
          </w:p>
        </w:tc>
      </w:tr>
      <w:tr w:rsidR="00BA2CFA" w:rsidTr="00BA2CFA">
        <w:tblPrEx>
          <w:tblBorders>
            <w:top w:val="single" w:sz="4" w:space="0" w:color="000000" w:themeColor="text1"/>
            <w:bottom w:val="single" w:sz="4" w:space="0" w:color="000000" w:themeColor="text1"/>
            <w:insideH w:val="single" w:sz="4" w:space="0" w:color="000000" w:themeColor="text1"/>
          </w:tblBorders>
        </w:tblPrEx>
        <w:tc>
          <w:tcPr>
            <w:tcW w:w="675" w:type="dxa"/>
            <w:tcBorders>
              <w:top w:val="nil"/>
              <w:bottom w:val="nil"/>
            </w:tcBorders>
          </w:tcPr>
          <w:p w:rsidR="00BA2CFA" w:rsidRDefault="00BA2CFA" w:rsidP="00E166F8">
            <w:pPr>
              <w:pStyle w:val="Tabletext"/>
            </w:pPr>
            <w:r>
              <w:t>2</w:t>
            </w:r>
          </w:p>
        </w:tc>
        <w:tc>
          <w:tcPr>
            <w:tcW w:w="5010" w:type="dxa"/>
            <w:gridSpan w:val="3"/>
            <w:tcBorders>
              <w:top w:val="nil"/>
              <w:bottom w:val="nil"/>
            </w:tcBorders>
          </w:tcPr>
          <w:p w:rsidR="00BA2CFA" w:rsidRDefault="00BA2CFA" w:rsidP="00E166F8">
            <w:pPr>
              <w:pStyle w:val="Tabletext"/>
            </w:pPr>
            <w:r>
              <w:t>I keep accurate details of everything I read</w:t>
            </w:r>
          </w:p>
        </w:tc>
        <w:tc>
          <w:tcPr>
            <w:tcW w:w="699" w:type="dxa"/>
            <w:tcBorders>
              <w:top w:val="nil"/>
              <w:bottom w:val="nil"/>
            </w:tcBorders>
          </w:tcPr>
          <w:p w:rsidR="00BA2CFA" w:rsidRPr="00DD507E" w:rsidRDefault="00BA2CFA" w:rsidP="00E166F8">
            <w:pPr>
              <w:pStyle w:val="Tabletext"/>
            </w:pPr>
            <w:r w:rsidRPr="00DD507E">
              <w:t>0</w:t>
            </w:r>
          </w:p>
        </w:tc>
        <w:tc>
          <w:tcPr>
            <w:tcW w:w="1130" w:type="dxa"/>
            <w:gridSpan w:val="2"/>
            <w:tcBorders>
              <w:top w:val="nil"/>
              <w:bottom w:val="nil"/>
            </w:tcBorders>
          </w:tcPr>
          <w:p w:rsidR="00BA2CFA" w:rsidRPr="00DD507E" w:rsidRDefault="00BA2CFA" w:rsidP="00E166F8">
            <w:pPr>
              <w:pStyle w:val="Tabletext"/>
            </w:pPr>
            <w:r w:rsidRPr="00DD507E">
              <w:t>1</w:t>
            </w:r>
          </w:p>
        </w:tc>
        <w:tc>
          <w:tcPr>
            <w:tcW w:w="682" w:type="dxa"/>
            <w:tcBorders>
              <w:top w:val="nil"/>
              <w:bottom w:val="nil"/>
            </w:tcBorders>
          </w:tcPr>
          <w:p w:rsidR="00BA2CFA" w:rsidRPr="00DD507E" w:rsidRDefault="00BA2CFA" w:rsidP="00E166F8">
            <w:pPr>
              <w:pStyle w:val="Tabletext"/>
            </w:pPr>
            <w:r w:rsidRPr="00DD507E">
              <w:t>2</w:t>
            </w:r>
          </w:p>
        </w:tc>
        <w:tc>
          <w:tcPr>
            <w:tcW w:w="808" w:type="dxa"/>
            <w:tcBorders>
              <w:top w:val="nil"/>
              <w:bottom w:val="nil"/>
            </w:tcBorders>
          </w:tcPr>
          <w:p w:rsidR="00BA2CFA" w:rsidRDefault="00BA2CFA" w:rsidP="00E166F8">
            <w:pPr>
              <w:pStyle w:val="Tabletext"/>
            </w:pPr>
            <w:r w:rsidRPr="00DD507E">
              <w:t>3</w:t>
            </w:r>
          </w:p>
        </w:tc>
      </w:tr>
      <w:tr w:rsidR="00BA2CFA" w:rsidTr="00BA2CFA">
        <w:tblPrEx>
          <w:tblBorders>
            <w:top w:val="single" w:sz="4" w:space="0" w:color="000000" w:themeColor="text1"/>
            <w:bottom w:val="single" w:sz="4" w:space="0" w:color="000000" w:themeColor="text1"/>
            <w:insideH w:val="single" w:sz="4" w:space="0" w:color="000000" w:themeColor="text1"/>
          </w:tblBorders>
        </w:tblPrEx>
        <w:tc>
          <w:tcPr>
            <w:tcW w:w="675" w:type="dxa"/>
            <w:tcBorders>
              <w:top w:val="nil"/>
              <w:bottom w:val="nil"/>
            </w:tcBorders>
          </w:tcPr>
          <w:p w:rsidR="00BA2CFA" w:rsidRDefault="00BA2CFA" w:rsidP="00E166F8">
            <w:pPr>
              <w:pStyle w:val="Tabletext"/>
            </w:pPr>
            <w:r>
              <w:t>3</w:t>
            </w:r>
          </w:p>
        </w:tc>
        <w:tc>
          <w:tcPr>
            <w:tcW w:w="5010" w:type="dxa"/>
            <w:gridSpan w:val="3"/>
            <w:tcBorders>
              <w:top w:val="nil"/>
              <w:bottom w:val="nil"/>
            </w:tcBorders>
          </w:tcPr>
          <w:p w:rsidR="00BA2CFA" w:rsidRDefault="00BA2CFA" w:rsidP="00E166F8">
            <w:pPr>
              <w:pStyle w:val="Tabletext"/>
            </w:pPr>
            <w:r>
              <w:t>I use a combination of search tools including library catalogues and web search engines</w:t>
            </w:r>
          </w:p>
        </w:tc>
        <w:tc>
          <w:tcPr>
            <w:tcW w:w="699" w:type="dxa"/>
            <w:tcBorders>
              <w:top w:val="nil"/>
              <w:bottom w:val="nil"/>
            </w:tcBorders>
          </w:tcPr>
          <w:p w:rsidR="00BA2CFA" w:rsidRPr="00EB64BA" w:rsidRDefault="00BA2CFA" w:rsidP="00E166F8">
            <w:pPr>
              <w:pStyle w:val="Tabletext"/>
            </w:pPr>
            <w:r w:rsidRPr="00EB64BA">
              <w:t>0</w:t>
            </w:r>
          </w:p>
        </w:tc>
        <w:tc>
          <w:tcPr>
            <w:tcW w:w="1130" w:type="dxa"/>
            <w:gridSpan w:val="2"/>
            <w:tcBorders>
              <w:top w:val="nil"/>
              <w:bottom w:val="nil"/>
            </w:tcBorders>
          </w:tcPr>
          <w:p w:rsidR="00BA2CFA" w:rsidRPr="00EB64BA" w:rsidRDefault="00BA2CFA" w:rsidP="00E166F8">
            <w:pPr>
              <w:pStyle w:val="Tabletext"/>
            </w:pPr>
            <w:r w:rsidRPr="00EB64BA">
              <w:t>1</w:t>
            </w:r>
          </w:p>
        </w:tc>
        <w:tc>
          <w:tcPr>
            <w:tcW w:w="682" w:type="dxa"/>
            <w:tcBorders>
              <w:top w:val="nil"/>
              <w:bottom w:val="nil"/>
            </w:tcBorders>
          </w:tcPr>
          <w:p w:rsidR="00BA2CFA" w:rsidRPr="00EB64BA" w:rsidRDefault="00BA2CFA" w:rsidP="00E166F8">
            <w:pPr>
              <w:pStyle w:val="Tabletext"/>
            </w:pPr>
            <w:r w:rsidRPr="00EB64BA">
              <w:t>2</w:t>
            </w:r>
          </w:p>
        </w:tc>
        <w:tc>
          <w:tcPr>
            <w:tcW w:w="808" w:type="dxa"/>
            <w:tcBorders>
              <w:top w:val="nil"/>
              <w:bottom w:val="nil"/>
            </w:tcBorders>
          </w:tcPr>
          <w:p w:rsidR="00BA2CFA" w:rsidRDefault="00BA2CFA" w:rsidP="00E166F8">
            <w:pPr>
              <w:pStyle w:val="Tabletext"/>
            </w:pPr>
            <w:r w:rsidRPr="00EB64BA">
              <w:t>3</w:t>
            </w:r>
          </w:p>
        </w:tc>
      </w:tr>
      <w:tr w:rsidR="00BA2CFA" w:rsidTr="00BA2CFA">
        <w:tblPrEx>
          <w:tblBorders>
            <w:top w:val="single" w:sz="4" w:space="0" w:color="000000" w:themeColor="text1"/>
            <w:bottom w:val="single" w:sz="4" w:space="0" w:color="000000" w:themeColor="text1"/>
            <w:insideH w:val="single" w:sz="4" w:space="0" w:color="000000" w:themeColor="text1"/>
          </w:tblBorders>
        </w:tblPrEx>
        <w:tc>
          <w:tcPr>
            <w:tcW w:w="675" w:type="dxa"/>
            <w:tcBorders>
              <w:top w:val="nil"/>
              <w:bottom w:val="nil"/>
            </w:tcBorders>
          </w:tcPr>
          <w:p w:rsidR="00BA2CFA" w:rsidRDefault="00BA2CFA" w:rsidP="00E166F8">
            <w:pPr>
              <w:pStyle w:val="Tabletext"/>
            </w:pPr>
            <w:r>
              <w:t>4</w:t>
            </w:r>
          </w:p>
        </w:tc>
        <w:tc>
          <w:tcPr>
            <w:tcW w:w="5010" w:type="dxa"/>
            <w:gridSpan w:val="3"/>
            <w:tcBorders>
              <w:top w:val="nil"/>
              <w:bottom w:val="nil"/>
            </w:tcBorders>
          </w:tcPr>
          <w:p w:rsidR="00BA2CFA" w:rsidRDefault="00BA2CFA" w:rsidP="00E166F8">
            <w:pPr>
              <w:pStyle w:val="Tabletext"/>
            </w:pPr>
            <w:r>
              <w:t>When I get a new idea, I work out how to explain it effectively</w:t>
            </w:r>
          </w:p>
        </w:tc>
        <w:tc>
          <w:tcPr>
            <w:tcW w:w="699" w:type="dxa"/>
            <w:tcBorders>
              <w:top w:val="nil"/>
              <w:bottom w:val="nil"/>
            </w:tcBorders>
          </w:tcPr>
          <w:p w:rsidR="00BA2CFA" w:rsidRPr="00E83875" w:rsidRDefault="00BA2CFA" w:rsidP="00E166F8">
            <w:pPr>
              <w:pStyle w:val="Tabletext"/>
            </w:pPr>
            <w:r w:rsidRPr="00E83875">
              <w:t>0</w:t>
            </w:r>
          </w:p>
        </w:tc>
        <w:tc>
          <w:tcPr>
            <w:tcW w:w="1130" w:type="dxa"/>
            <w:gridSpan w:val="2"/>
            <w:tcBorders>
              <w:top w:val="nil"/>
              <w:bottom w:val="nil"/>
            </w:tcBorders>
          </w:tcPr>
          <w:p w:rsidR="00BA2CFA" w:rsidRPr="00E83875" w:rsidRDefault="00BA2CFA" w:rsidP="00E166F8">
            <w:pPr>
              <w:pStyle w:val="Tabletext"/>
            </w:pPr>
            <w:r w:rsidRPr="00E83875">
              <w:t>1</w:t>
            </w:r>
          </w:p>
        </w:tc>
        <w:tc>
          <w:tcPr>
            <w:tcW w:w="682" w:type="dxa"/>
            <w:tcBorders>
              <w:top w:val="nil"/>
              <w:bottom w:val="nil"/>
            </w:tcBorders>
          </w:tcPr>
          <w:p w:rsidR="00BA2CFA" w:rsidRPr="00E83875" w:rsidRDefault="00BA2CFA" w:rsidP="00E166F8">
            <w:pPr>
              <w:pStyle w:val="Tabletext"/>
            </w:pPr>
            <w:r w:rsidRPr="00E83875">
              <w:t>2</w:t>
            </w:r>
          </w:p>
        </w:tc>
        <w:tc>
          <w:tcPr>
            <w:tcW w:w="808" w:type="dxa"/>
            <w:tcBorders>
              <w:top w:val="nil"/>
              <w:bottom w:val="nil"/>
            </w:tcBorders>
          </w:tcPr>
          <w:p w:rsidR="00BA2CFA" w:rsidRDefault="00BA2CFA" w:rsidP="00E166F8">
            <w:pPr>
              <w:pStyle w:val="Tabletext"/>
            </w:pPr>
            <w:r w:rsidRPr="00E83875">
              <w:t>3</w:t>
            </w:r>
          </w:p>
        </w:tc>
      </w:tr>
      <w:tr w:rsidR="00BA2CFA" w:rsidTr="00BA2CFA">
        <w:tblPrEx>
          <w:tblBorders>
            <w:top w:val="single" w:sz="4" w:space="0" w:color="000000" w:themeColor="text1"/>
            <w:bottom w:val="single" w:sz="4" w:space="0" w:color="000000" w:themeColor="text1"/>
            <w:insideH w:val="single" w:sz="4" w:space="0" w:color="000000" w:themeColor="text1"/>
          </w:tblBorders>
        </w:tblPrEx>
        <w:tc>
          <w:tcPr>
            <w:tcW w:w="675" w:type="dxa"/>
            <w:tcBorders>
              <w:top w:val="nil"/>
              <w:bottom w:val="nil"/>
            </w:tcBorders>
          </w:tcPr>
          <w:p w:rsidR="00BA2CFA" w:rsidRDefault="00BA2CFA" w:rsidP="00E166F8">
            <w:pPr>
              <w:pStyle w:val="Tabletext"/>
            </w:pPr>
            <w:r>
              <w:t>5</w:t>
            </w:r>
          </w:p>
        </w:tc>
        <w:tc>
          <w:tcPr>
            <w:tcW w:w="5010" w:type="dxa"/>
            <w:gridSpan w:val="3"/>
            <w:tcBorders>
              <w:top w:val="nil"/>
              <w:bottom w:val="nil"/>
            </w:tcBorders>
          </w:tcPr>
          <w:p w:rsidR="00BA2CFA" w:rsidRDefault="00BA2CFA" w:rsidP="00E166F8">
            <w:pPr>
              <w:pStyle w:val="Tabletext"/>
            </w:pPr>
            <w:r>
              <w:t>I critically evaluate each information source I use</w:t>
            </w:r>
          </w:p>
        </w:tc>
        <w:tc>
          <w:tcPr>
            <w:tcW w:w="699" w:type="dxa"/>
            <w:tcBorders>
              <w:top w:val="nil"/>
              <w:bottom w:val="nil"/>
            </w:tcBorders>
          </w:tcPr>
          <w:p w:rsidR="00BA2CFA" w:rsidRPr="007F3920" w:rsidRDefault="00BA2CFA" w:rsidP="00E166F8">
            <w:pPr>
              <w:pStyle w:val="Tabletext"/>
            </w:pPr>
            <w:r w:rsidRPr="007F3920">
              <w:t>0</w:t>
            </w:r>
          </w:p>
        </w:tc>
        <w:tc>
          <w:tcPr>
            <w:tcW w:w="1130" w:type="dxa"/>
            <w:gridSpan w:val="2"/>
            <w:tcBorders>
              <w:top w:val="nil"/>
              <w:bottom w:val="nil"/>
            </w:tcBorders>
          </w:tcPr>
          <w:p w:rsidR="00BA2CFA" w:rsidRPr="007F3920" w:rsidRDefault="00BA2CFA" w:rsidP="00E166F8">
            <w:pPr>
              <w:pStyle w:val="Tabletext"/>
            </w:pPr>
            <w:r w:rsidRPr="007F3920">
              <w:t>1</w:t>
            </w:r>
          </w:p>
        </w:tc>
        <w:tc>
          <w:tcPr>
            <w:tcW w:w="682" w:type="dxa"/>
            <w:tcBorders>
              <w:top w:val="nil"/>
              <w:bottom w:val="nil"/>
            </w:tcBorders>
          </w:tcPr>
          <w:p w:rsidR="00BA2CFA" w:rsidRPr="007F3920" w:rsidRDefault="00BA2CFA" w:rsidP="00E166F8">
            <w:pPr>
              <w:pStyle w:val="Tabletext"/>
            </w:pPr>
            <w:r w:rsidRPr="007F3920">
              <w:t>2</w:t>
            </w:r>
          </w:p>
        </w:tc>
        <w:tc>
          <w:tcPr>
            <w:tcW w:w="808" w:type="dxa"/>
            <w:tcBorders>
              <w:top w:val="nil"/>
              <w:bottom w:val="nil"/>
            </w:tcBorders>
          </w:tcPr>
          <w:p w:rsidR="00BA2CFA" w:rsidRDefault="00BA2CFA" w:rsidP="00E166F8">
            <w:pPr>
              <w:pStyle w:val="Tabletext"/>
            </w:pPr>
            <w:r w:rsidRPr="007F3920">
              <w:t>3</w:t>
            </w:r>
          </w:p>
        </w:tc>
      </w:tr>
      <w:tr w:rsidR="00BA2CFA" w:rsidTr="00BA2CFA">
        <w:tblPrEx>
          <w:tblBorders>
            <w:top w:val="single" w:sz="4" w:space="0" w:color="000000" w:themeColor="text1"/>
            <w:bottom w:val="single" w:sz="4" w:space="0" w:color="000000" w:themeColor="text1"/>
            <w:insideH w:val="single" w:sz="4" w:space="0" w:color="000000" w:themeColor="text1"/>
          </w:tblBorders>
        </w:tblPrEx>
        <w:tc>
          <w:tcPr>
            <w:tcW w:w="675" w:type="dxa"/>
            <w:tcBorders>
              <w:top w:val="nil"/>
              <w:bottom w:val="nil"/>
            </w:tcBorders>
          </w:tcPr>
          <w:p w:rsidR="00BA2CFA" w:rsidRDefault="00BA2CFA" w:rsidP="00E166F8">
            <w:pPr>
              <w:pStyle w:val="Tabletext"/>
            </w:pPr>
            <w:r>
              <w:t>6</w:t>
            </w:r>
          </w:p>
        </w:tc>
        <w:tc>
          <w:tcPr>
            <w:tcW w:w="5010" w:type="dxa"/>
            <w:gridSpan w:val="3"/>
            <w:tcBorders>
              <w:top w:val="nil"/>
              <w:bottom w:val="nil"/>
            </w:tcBorders>
          </w:tcPr>
          <w:p w:rsidR="00BA2CFA" w:rsidRDefault="00BA2CFA" w:rsidP="00E166F8">
            <w:pPr>
              <w:pStyle w:val="Tabletext"/>
            </w:pPr>
            <w:r>
              <w:t>When I make notes about the information I am reading, I include the author and title</w:t>
            </w:r>
          </w:p>
        </w:tc>
        <w:tc>
          <w:tcPr>
            <w:tcW w:w="699" w:type="dxa"/>
            <w:tcBorders>
              <w:top w:val="nil"/>
              <w:bottom w:val="nil"/>
            </w:tcBorders>
          </w:tcPr>
          <w:p w:rsidR="00BA2CFA" w:rsidRPr="00AE0387" w:rsidRDefault="00BA2CFA" w:rsidP="00E166F8">
            <w:pPr>
              <w:pStyle w:val="Tabletext"/>
            </w:pPr>
            <w:r w:rsidRPr="00AE0387">
              <w:t>0</w:t>
            </w:r>
          </w:p>
        </w:tc>
        <w:tc>
          <w:tcPr>
            <w:tcW w:w="1130" w:type="dxa"/>
            <w:gridSpan w:val="2"/>
            <w:tcBorders>
              <w:top w:val="nil"/>
              <w:bottom w:val="nil"/>
            </w:tcBorders>
          </w:tcPr>
          <w:p w:rsidR="00BA2CFA" w:rsidRPr="00AE0387" w:rsidRDefault="00BA2CFA" w:rsidP="00E166F8">
            <w:pPr>
              <w:pStyle w:val="Tabletext"/>
            </w:pPr>
            <w:r w:rsidRPr="00AE0387">
              <w:t>1</w:t>
            </w:r>
          </w:p>
        </w:tc>
        <w:tc>
          <w:tcPr>
            <w:tcW w:w="682" w:type="dxa"/>
            <w:tcBorders>
              <w:top w:val="nil"/>
              <w:bottom w:val="nil"/>
            </w:tcBorders>
          </w:tcPr>
          <w:p w:rsidR="00BA2CFA" w:rsidRPr="00AE0387" w:rsidRDefault="00BA2CFA" w:rsidP="00E166F8">
            <w:pPr>
              <w:pStyle w:val="Tabletext"/>
            </w:pPr>
            <w:r w:rsidRPr="00AE0387">
              <w:t>2</w:t>
            </w:r>
          </w:p>
        </w:tc>
        <w:tc>
          <w:tcPr>
            <w:tcW w:w="808" w:type="dxa"/>
            <w:tcBorders>
              <w:top w:val="nil"/>
              <w:bottom w:val="nil"/>
            </w:tcBorders>
          </w:tcPr>
          <w:p w:rsidR="00BA2CFA" w:rsidRDefault="00BA2CFA" w:rsidP="00E166F8">
            <w:pPr>
              <w:pStyle w:val="Tabletext"/>
            </w:pPr>
            <w:r w:rsidRPr="00AE0387">
              <w:t>3</w:t>
            </w:r>
          </w:p>
        </w:tc>
      </w:tr>
      <w:tr w:rsidR="00BA2CFA" w:rsidTr="00BA2CFA">
        <w:tblPrEx>
          <w:tblBorders>
            <w:top w:val="single" w:sz="4" w:space="0" w:color="000000" w:themeColor="text1"/>
            <w:bottom w:val="single" w:sz="4" w:space="0" w:color="000000" w:themeColor="text1"/>
            <w:insideH w:val="single" w:sz="4" w:space="0" w:color="000000" w:themeColor="text1"/>
          </w:tblBorders>
        </w:tblPrEx>
        <w:tc>
          <w:tcPr>
            <w:tcW w:w="675" w:type="dxa"/>
            <w:tcBorders>
              <w:top w:val="nil"/>
              <w:bottom w:val="nil"/>
            </w:tcBorders>
          </w:tcPr>
          <w:p w:rsidR="00BA2CFA" w:rsidRDefault="00BA2CFA" w:rsidP="00E166F8">
            <w:pPr>
              <w:pStyle w:val="Tabletext"/>
            </w:pPr>
            <w:r>
              <w:t>7</w:t>
            </w:r>
          </w:p>
        </w:tc>
        <w:tc>
          <w:tcPr>
            <w:tcW w:w="5010" w:type="dxa"/>
            <w:gridSpan w:val="3"/>
            <w:tcBorders>
              <w:top w:val="nil"/>
              <w:bottom w:val="nil"/>
            </w:tcBorders>
          </w:tcPr>
          <w:p w:rsidR="00BA2CFA" w:rsidRDefault="00BA2CFA" w:rsidP="00E166F8">
            <w:pPr>
              <w:pStyle w:val="Tabletext"/>
            </w:pPr>
            <w:r>
              <w:t>I reference websites that I have used in my assignment</w:t>
            </w:r>
          </w:p>
        </w:tc>
        <w:tc>
          <w:tcPr>
            <w:tcW w:w="699" w:type="dxa"/>
            <w:tcBorders>
              <w:top w:val="nil"/>
              <w:bottom w:val="nil"/>
            </w:tcBorders>
          </w:tcPr>
          <w:p w:rsidR="00BA2CFA" w:rsidRPr="00DF0B2C" w:rsidRDefault="00BA2CFA" w:rsidP="00E166F8">
            <w:pPr>
              <w:pStyle w:val="Tabletext"/>
            </w:pPr>
            <w:r w:rsidRPr="00DF0B2C">
              <w:t>0</w:t>
            </w:r>
          </w:p>
        </w:tc>
        <w:tc>
          <w:tcPr>
            <w:tcW w:w="1130" w:type="dxa"/>
            <w:gridSpan w:val="2"/>
            <w:tcBorders>
              <w:top w:val="nil"/>
              <w:bottom w:val="nil"/>
            </w:tcBorders>
          </w:tcPr>
          <w:p w:rsidR="00BA2CFA" w:rsidRPr="00DF0B2C" w:rsidRDefault="00BA2CFA" w:rsidP="00E166F8">
            <w:pPr>
              <w:pStyle w:val="Tabletext"/>
            </w:pPr>
            <w:r w:rsidRPr="00DF0B2C">
              <w:t>1</w:t>
            </w:r>
          </w:p>
        </w:tc>
        <w:tc>
          <w:tcPr>
            <w:tcW w:w="682" w:type="dxa"/>
            <w:tcBorders>
              <w:top w:val="nil"/>
              <w:bottom w:val="nil"/>
            </w:tcBorders>
          </w:tcPr>
          <w:p w:rsidR="00BA2CFA" w:rsidRPr="00DF0B2C" w:rsidRDefault="00BA2CFA" w:rsidP="00E166F8">
            <w:pPr>
              <w:pStyle w:val="Tabletext"/>
            </w:pPr>
            <w:r w:rsidRPr="00DF0B2C">
              <w:t>2</w:t>
            </w:r>
          </w:p>
        </w:tc>
        <w:tc>
          <w:tcPr>
            <w:tcW w:w="808" w:type="dxa"/>
            <w:tcBorders>
              <w:top w:val="nil"/>
              <w:bottom w:val="nil"/>
            </w:tcBorders>
          </w:tcPr>
          <w:p w:rsidR="00BA2CFA" w:rsidRDefault="00BA2CFA" w:rsidP="00E166F8">
            <w:pPr>
              <w:pStyle w:val="Tabletext"/>
            </w:pPr>
            <w:r w:rsidRPr="00DF0B2C">
              <w:t>3</w:t>
            </w:r>
          </w:p>
        </w:tc>
      </w:tr>
      <w:tr w:rsidR="00BA2CFA" w:rsidTr="00BA2CFA">
        <w:tblPrEx>
          <w:tblBorders>
            <w:top w:val="single" w:sz="4" w:space="0" w:color="000000" w:themeColor="text1"/>
            <w:bottom w:val="single" w:sz="4" w:space="0" w:color="000000" w:themeColor="text1"/>
            <w:insideH w:val="single" w:sz="4" w:space="0" w:color="000000" w:themeColor="text1"/>
          </w:tblBorders>
        </w:tblPrEx>
        <w:tc>
          <w:tcPr>
            <w:tcW w:w="675" w:type="dxa"/>
            <w:tcBorders>
              <w:top w:val="nil"/>
              <w:bottom w:val="nil"/>
            </w:tcBorders>
          </w:tcPr>
          <w:p w:rsidR="00BA2CFA" w:rsidRDefault="00BA2CFA" w:rsidP="00E166F8">
            <w:pPr>
              <w:pStyle w:val="Tabletext"/>
            </w:pPr>
            <w:r>
              <w:t>8</w:t>
            </w:r>
          </w:p>
        </w:tc>
        <w:tc>
          <w:tcPr>
            <w:tcW w:w="5010" w:type="dxa"/>
            <w:gridSpan w:val="3"/>
            <w:tcBorders>
              <w:top w:val="nil"/>
              <w:bottom w:val="nil"/>
            </w:tcBorders>
          </w:tcPr>
          <w:p w:rsidR="00BA2CFA" w:rsidRDefault="00BA2CFA" w:rsidP="00E166F8">
            <w:pPr>
              <w:pStyle w:val="Tabletext"/>
            </w:pPr>
            <w:r>
              <w:t>I evaluate information I read for criteria including accuracy and relevance</w:t>
            </w:r>
          </w:p>
        </w:tc>
        <w:tc>
          <w:tcPr>
            <w:tcW w:w="699" w:type="dxa"/>
            <w:tcBorders>
              <w:top w:val="nil"/>
              <w:bottom w:val="nil"/>
            </w:tcBorders>
          </w:tcPr>
          <w:p w:rsidR="00BA2CFA" w:rsidRPr="0023572C" w:rsidRDefault="00BA2CFA" w:rsidP="00E166F8">
            <w:pPr>
              <w:pStyle w:val="Tabletext"/>
            </w:pPr>
            <w:r w:rsidRPr="0023572C">
              <w:t>0</w:t>
            </w:r>
          </w:p>
        </w:tc>
        <w:tc>
          <w:tcPr>
            <w:tcW w:w="1130" w:type="dxa"/>
            <w:gridSpan w:val="2"/>
            <w:tcBorders>
              <w:top w:val="nil"/>
              <w:bottom w:val="nil"/>
            </w:tcBorders>
          </w:tcPr>
          <w:p w:rsidR="00BA2CFA" w:rsidRPr="0023572C" w:rsidRDefault="00BA2CFA" w:rsidP="00E166F8">
            <w:pPr>
              <w:pStyle w:val="Tabletext"/>
            </w:pPr>
            <w:r w:rsidRPr="0023572C">
              <w:t>1</w:t>
            </w:r>
          </w:p>
        </w:tc>
        <w:tc>
          <w:tcPr>
            <w:tcW w:w="682" w:type="dxa"/>
            <w:tcBorders>
              <w:top w:val="nil"/>
              <w:bottom w:val="nil"/>
            </w:tcBorders>
          </w:tcPr>
          <w:p w:rsidR="00BA2CFA" w:rsidRPr="0023572C" w:rsidRDefault="00BA2CFA" w:rsidP="00E166F8">
            <w:pPr>
              <w:pStyle w:val="Tabletext"/>
            </w:pPr>
            <w:r w:rsidRPr="0023572C">
              <w:t>2</w:t>
            </w:r>
          </w:p>
        </w:tc>
        <w:tc>
          <w:tcPr>
            <w:tcW w:w="808" w:type="dxa"/>
            <w:tcBorders>
              <w:top w:val="nil"/>
              <w:bottom w:val="nil"/>
            </w:tcBorders>
          </w:tcPr>
          <w:p w:rsidR="00BA2CFA" w:rsidRDefault="00BA2CFA" w:rsidP="00E166F8">
            <w:pPr>
              <w:pStyle w:val="Tabletext"/>
            </w:pPr>
            <w:r w:rsidRPr="0023572C">
              <w:t>3</w:t>
            </w:r>
          </w:p>
        </w:tc>
      </w:tr>
      <w:tr w:rsidR="00BA2CFA" w:rsidTr="00BA2CFA">
        <w:tblPrEx>
          <w:tblBorders>
            <w:top w:val="single" w:sz="4" w:space="0" w:color="000000" w:themeColor="text1"/>
            <w:bottom w:val="single" w:sz="4" w:space="0" w:color="000000" w:themeColor="text1"/>
            <w:insideH w:val="single" w:sz="4" w:space="0" w:color="000000" w:themeColor="text1"/>
          </w:tblBorders>
        </w:tblPrEx>
        <w:tc>
          <w:tcPr>
            <w:tcW w:w="675" w:type="dxa"/>
            <w:tcBorders>
              <w:top w:val="nil"/>
              <w:bottom w:val="nil"/>
            </w:tcBorders>
          </w:tcPr>
          <w:p w:rsidR="00BA2CFA" w:rsidRDefault="00BA2CFA" w:rsidP="00E166F8">
            <w:pPr>
              <w:pStyle w:val="Tabletext"/>
            </w:pPr>
            <w:r>
              <w:t>9</w:t>
            </w:r>
          </w:p>
        </w:tc>
        <w:tc>
          <w:tcPr>
            <w:tcW w:w="5010" w:type="dxa"/>
            <w:gridSpan w:val="3"/>
            <w:tcBorders>
              <w:top w:val="nil"/>
              <w:bottom w:val="nil"/>
            </w:tcBorders>
          </w:tcPr>
          <w:p w:rsidR="00BA2CFA" w:rsidRDefault="00BA2CFA" w:rsidP="00E166F8">
            <w:pPr>
              <w:pStyle w:val="Tabletext"/>
            </w:pPr>
            <w:r>
              <w:t>I develop a system to keep track of the information I find and its sources</w:t>
            </w:r>
          </w:p>
        </w:tc>
        <w:tc>
          <w:tcPr>
            <w:tcW w:w="699" w:type="dxa"/>
            <w:tcBorders>
              <w:top w:val="nil"/>
              <w:bottom w:val="nil"/>
            </w:tcBorders>
          </w:tcPr>
          <w:p w:rsidR="00BA2CFA" w:rsidRPr="00DD507E" w:rsidRDefault="00BA2CFA" w:rsidP="00E166F8">
            <w:pPr>
              <w:pStyle w:val="Tabletext"/>
            </w:pPr>
            <w:r w:rsidRPr="00DD507E">
              <w:t>0</w:t>
            </w:r>
          </w:p>
        </w:tc>
        <w:tc>
          <w:tcPr>
            <w:tcW w:w="1130" w:type="dxa"/>
            <w:gridSpan w:val="2"/>
            <w:tcBorders>
              <w:top w:val="nil"/>
              <w:bottom w:val="nil"/>
            </w:tcBorders>
          </w:tcPr>
          <w:p w:rsidR="00BA2CFA" w:rsidRPr="00DD507E" w:rsidRDefault="00BA2CFA" w:rsidP="00E166F8">
            <w:pPr>
              <w:pStyle w:val="Tabletext"/>
            </w:pPr>
            <w:r w:rsidRPr="00DD507E">
              <w:t>1</w:t>
            </w:r>
          </w:p>
        </w:tc>
        <w:tc>
          <w:tcPr>
            <w:tcW w:w="682" w:type="dxa"/>
            <w:tcBorders>
              <w:top w:val="nil"/>
              <w:bottom w:val="nil"/>
            </w:tcBorders>
          </w:tcPr>
          <w:p w:rsidR="00BA2CFA" w:rsidRPr="00DD507E" w:rsidRDefault="00BA2CFA" w:rsidP="00E166F8">
            <w:pPr>
              <w:pStyle w:val="Tabletext"/>
            </w:pPr>
            <w:r w:rsidRPr="00DD507E">
              <w:t>2</w:t>
            </w:r>
          </w:p>
        </w:tc>
        <w:tc>
          <w:tcPr>
            <w:tcW w:w="808" w:type="dxa"/>
            <w:tcBorders>
              <w:top w:val="nil"/>
              <w:bottom w:val="nil"/>
            </w:tcBorders>
          </w:tcPr>
          <w:p w:rsidR="00BA2CFA" w:rsidRDefault="00BA2CFA" w:rsidP="00E166F8">
            <w:pPr>
              <w:pStyle w:val="Tabletext"/>
            </w:pPr>
            <w:r w:rsidRPr="00DD507E">
              <w:t>3</w:t>
            </w:r>
          </w:p>
        </w:tc>
      </w:tr>
      <w:tr w:rsidR="00BA2CFA" w:rsidTr="00BA2CFA">
        <w:tblPrEx>
          <w:tblBorders>
            <w:top w:val="single" w:sz="4" w:space="0" w:color="000000" w:themeColor="text1"/>
            <w:bottom w:val="single" w:sz="4" w:space="0" w:color="000000" w:themeColor="text1"/>
            <w:insideH w:val="single" w:sz="4" w:space="0" w:color="000000" w:themeColor="text1"/>
          </w:tblBorders>
        </w:tblPrEx>
        <w:tc>
          <w:tcPr>
            <w:tcW w:w="675" w:type="dxa"/>
            <w:tcBorders>
              <w:top w:val="nil"/>
              <w:bottom w:val="nil"/>
            </w:tcBorders>
          </w:tcPr>
          <w:p w:rsidR="00BA2CFA" w:rsidRDefault="00BA2CFA" w:rsidP="00E166F8">
            <w:pPr>
              <w:pStyle w:val="Tabletext"/>
            </w:pPr>
            <w:r>
              <w:t>10</w:t>
            </w:r>
          </w:p>
        </w:tc>
        <w:tc>
          <w:tcPr>
            <w:tcW w:w="5010" w:type="dxa"/>
            <w:gridSpan w:val="3"/>
            <w:tcBorders>
              <w:top w:val="nil"/>
              <w:bottom w:val="nil"/>
            </w:tcBorders>
          </w:tcPr>
          <w:p w:rsidR="00BA2CFA" w:rsidRDefault="00BA2CFA" w:rsidP="00E166F8">
            <w:pPr>
              <w:pStyle w:val="Tabletext"/>
            </w:pPr>
            <w:r>
              <w:t>I apply my institution’s policies regarding plagiarism</w:t>
            </w:r>
          </w:p>
        </w:tc>
        <w:tc>
          <w:tcPr>
            <w:tcW w:w="699" w:type="dxa"/>
            <w:tcBorders>
              <w:top w:val="nil"/>
              <w:bottom w:val="nil"/>
            </w:tcBorders>
          </w:tcPr>
          <w:p w:rsidR="00BA2CFA" w:rsidRPr="00EB64BA" w:rsidRDefault="00BA2CFA" w:rsidP="00E166F8">
            <w:pPr>
              <w:pStyle w:val="Tabletext"/>
            </w:pPr>
            <w:r w:rsidRPr="00EB64BA">
              <w:t>0</w:t>
            </w:r>
          </w:p>
        </w:tc>
        <w:tc>
          <w:tcPr>
            <w:tcW w:w="1130" w:type="dxa"/>
            <w:gridSpan w:val="2"/>
            <w:tcBorders>
              <w:top w:val="nil"/>
              <w:bottom w:val="nil"/>
            </w:tcBorders>
          </w:tcPr>
          <w:p w:rsidR="00BA2CFA" w:rsidRPr="00EB64BA" w:rsidRDefault="00BA2CFA" w:rsidP="00E166F8">
            <w:pPr>
              <w:pStyle w:val="Tabletext"/>
            </w:pPr>
            <w:r w:rsidRPr="00EB64BA">
              <w:t>1</w:t>
            </w:r>
          </w:p>
        </w:tc>
        <w:tc>
          <w:tcPr>
            <w:tcW w:w="682" w:type="dxa"/>
            <w:tcBorders>
              <w:top w:val="nil"/>
              <w:bottom w:val="nil"/>
            </w:tcBorders>
          </w:tcPr>
          <w:p w:rsidR="00BA2CFA" w:rsidRPr="00EB64BA" w:rsidRDefault="00BA2CFA" w:rsidP="00E166F8">
            <w:pPr>
              <w:pStyle w:val="Tabletext"/>
            </w:pPr>
            <w:r w:rsidRPr="00EB64BA">
              <w:t>2</w:t>
            </w:r>
          </w:p>
        </w:tc>
        <w:tc>
          <w:tcPr>
            <w:tcW w:w="808" w:type="dxa"/>
            <w:tcBorders>
              <w:top w:val="nil"/>
              <w:bottom w:val="nil"/>
            </w:tcBorders>
          </w:tcPr>
          <w:p w:rsidR="00BA2CFA" w:rsidRDefault="00BA2CFA" w:rsidP="00E166F8">
            <w:pPr>
              <w:pStyle w:val="Tabletext"/>
            </w:pPr>
            <w:r w:rsidRPr="00EB64BA">
              <w:t>3</w:t>
            </w:r>
          </w:p>
        </w:tc>
      </w:tr>
      <w:tr w:rsidR="00BA2CFA" w:rsidTr="00BA2CFA">
        <w:tblPrEx>
          <w:tblBorders>
            <w:top w:val="single" w:sz="4" w:space="0" w:color="000000" w:themeColor="text1"/>
            <w:bottom w:val="single" w:sz="4" w:space="0" w:color="000000" w:themeColor="text1"/>
            <w:insideH w:val="single" w:sz="4" w:space="0" w:color="000000" w:themeColor="text1"/>
          </w:tblBorders>
        </w:tblPrEx>
        <w:tc>
          <w:tcPr>
            <w:tcW w:w="675" w:type="dxa"/>
            <w:tcBorders>
              <w:top w:val="nil"/>
              <w:bottom w:val="nil"/>
            </w:tcBorders>
          </w:tcPr>
          <w:p w:rsidR="00BA2CFA" w:rsidRDefault="00BA2CFA" w:rsidP="00E166F8">
            <w:pPr>
              <w:pStyle w:val="Tabletext"/>
            </w:pPr>
            <w:r>
              <w:t>11</w:t>
            </w:r>
          </w:p>
        </w:tc>
        <w:tc>
          <w:tcPr>
            <w:tcW w:w="5010" w:type="dxa"/>
            <w:gridSpan w:val="3"/>
            <w:tcBorders>
              <w:top w:val="nil"/>
              <w:bottom w:val="nil"/>
            </w:tcBorders>
          </w:tcPr>
          <w:p w:rsidR="00BA2CFA" w:rsidRDefault="00BA2CFA" w:rsidP="00E166F8">
            <w:pPr>
              <w:pStyle w:val="Tabletext"/>
            </w:pPr>
            <w:r>
              <w:t>In selecting information, I evaluate the quality of the information</w:t>
            </w:r>
          </w:p>
        </w:tc>
        <w:tc>
          <w:tcPr>
            <w:tcW w:w="699" w:type="dxa"/>
            <w:tcBorders>
              <w:top w:val="nil"/>
              <w:bottom w:val="nil"/>
            </w:tcBorders>
          </w:tcPr>
          <w:p w:rsidR="00BA2CFA" w:rsidRPr="00E83875" w:rsidRDefault="00BA2CFA" w:rsidP="00E166F8">
            <w:pPr>
              <w:pStyle w:val="Tabletext"/>
            </w:pPr>
            <w:r w:rsidRPr="00E83875">
              <w:t>0</w:t>
            </w:r>
          </w:p>
        </w:tc>
        <w:tc>
          <w:tcPr>
            <w:tcW w:w="1130" w:type="dxa"/>
            <w:gridSpan w:val="2"/>
            <w:tcBorders>
              <w:top w:val="nil"/>
              <w:bottom w:val="nil"/>
            </w:tcBorders>
          </w:tcPr>
          <w:p w:rsidR="00BA2CFA" w:rsidRPr="00E83875" w:rsidRDefault="00BA2CFA" w:rsidP="00E166F8">
            <w:pPr>
              <w:pStyle w:val="Tabletext"/>
            </w:pPr>
            <w:r w:rsidRPr="00E83875">
              <w:t>1</w:t>
            </w:r>
          </w:p>
        </w:tc>
        <w:tc>
          <w:tcPr>
            <w:tcW w:w="682" w:type="dxa"/>
            <w:tcBorders>
              <w:top w:val="nil"/>
              <w:bottom w:val="nil"/>
            </w:tcBorders>
          </w:tcPr>
          <w:p w:rsidR="00BA2CFA" w:rsidRPr="00E83875" w:rsidRDefault="00BA2CFA" w:rsidP="00E166F8">
            <w:pPr>
              <w:pStyle w:val="Tabletext"/>
            </w:pPr>
            <w:r w:rsidRPr="00E83875">
              <w:t>2</w:t>
            </w:r>
          </w:p>
        </w:tc>
        <w:tc>
          <w:tcPr>
            <w:tcW w:w="808" w:type="dxa"/>
            <w:tcBorders>
              <w:top w:val="nil"/>
              <w:bottom w:val="nil"/>
            </w:tcBorders>
          </w:tcPr>
          <w:p w:rsidR="00BA2CFA" w:rsidRDefault="00BA2CFA" w:rsidP="00E166F8">
            <w:pPr>
              <w:pStyle w:val="Tabletext"/>
            </w:pPr>
            <w:r w:rsidRPr="00E83875">
              <w:t>3</w:t>
            </w:r>
          </w:p>
        </w:tc>
      </w:tr>
      <w:tr w:rsidR="00BA2CFA" w:rsidTr="00BA2CFA">
        <w:tblPrEx>
          <w:tblBorders>
            <w:top w:val="single" w:sz="4" w:space="0" w:color="000000" w:themeColor="text1"/>
            <w:bottom w:val="single" w:sz="4" w:space="0" w:color="000000" w:themeColor="text1"/>
            <w:insideH w:val="single" w:sz="4" w:space="0" w:color="000000" w:themeColor="text1"/>
          </w:tblBorders>
        </w:tblPrEx>
        <w:tc>
          <w:tcPr>
            <w:tcW w:w="675" w:type="dxa"/>
            <w:tcBorders>
              <w:top w:val="nil"/>
              <w:bottom w:val="nil"/>
            </w:tcBorders>
          </w:tcPr>
          <w:p w:rsidR="00BA2CFA" w:rsidRDefault="00BA2CFA" w:rsidP="00E166F8">
            <w:pPr>
              <w:pStyle w:val="Tabletext"/>
            </w:pPr>
            <w:r>
              <w:t>12</w:t>
            </w:r>
          </w:p>
        </w:tc>
        <w:tc>
          <w:tcPr>
            <w:tcW w:w="5010" w:type="dxa"/>
            <w:gridSpan w:val="3"/>
            <w:tcBorders>
              <w:top w:val="nil"/>
              <w:bottom w:val="nil"/>
            </w:tcBorders>
          </w:tcPr>
          <w:p w:rsidR="00BA2CFA" w:rsidRDefault="00BA2CFA" w:rsidP="00E166F8">
            <w:pPr>
              <w:pStyle w:val="Tabletext"/>
            </w:pPr>
            <w:r>
              <w:t>I have a system for searching for information on a subject</w:t>
            </w:r>
          </w:p>
        </w:tc>
        <w:tc>
          <w:tcPr>
            <w:tcW w:w="699" w:type="dxa"/>
            <w:tcBorders>
              <w:top w:val="nil"/>
              <w:bottom w:val="nil"/>
            </w:tcBorders>
          </w:tcPr>
          <w:p w:rsidR="00BA2CFA" w:rsidRPr="007F3920" w:rsidRDefault="00BA2CFA" w:rsidP="00E166F8">
            <w:pPr>
              <w:pStyle w:val="Tabletext"/>
            </w:pPr>
            <w:r w:rsidRPr="007F3920">
              <w:t>0</w:t>
            </w:r>
          </w:p>
        </w:tc>
        <w:tc>
          <w:tcPr>
            <w:tcW w:w="1130" w:type="dxa"/>
            <w:gridSpan w:val="2"/>
            <w:tcBorders>
              <w:top w:val="nil"/>
              <w:bottom w:val="nil"/>
            </w:tcBorders>
          </w:tcPr>
          <w:p w:rsidR="00BA2CFA" w:rsidRPr="007F3920" w:rsidRDefault="00BA2CFA" w:rsidP="00E166F8">
            <w:pPr>
              <w:pStyle w:val="Tabletext"/>
            </w:pPr>
            <w:r w:rsidRPr="007F3920">
              <w:t>1</w:t>
            </w:r>
          </w:p>
        </w:tc>
        <w:tc>
          <w:tcPr>
            <w:tcW w:w="682" w:type="dxa"/>
            <w:tcBorders>
              <w:top w:val="nil"/>
              <w:bottom w:val="nil"/>
            </w:tcBorders>
          </w:tcPr>
          <w:p w:rsidR="00BA2CFA" w:rsidRPr="007F3920" w:rsidRDefault="00BA2CFA" w:rsidP="00E166F8">
            <w:pPr>
              <w:pStyle w:val="Tabletext"/>
            </w:pPr>
            <w:r w:rsidRPr="007F3920">
              <w:t>2</w:t>
            </w:r>
          </w:p>
        </w:tc>
        <w:tc>
          <w:tcPr>
            <w:tcW w:w="808" w:type="dxa"/>
            <w:tcBorders>
              <w:top w:val="nil"/>
              <w:bottom w:val="nil"/>
            </w:tcBorders>
          </w:tcPr>
          <w:p w:rsidR="00BA2CFA" w:rsidRDefault="00BA2CFA" w:rsidP="00E166F8">
            <w:pPr>
              <w:pStyle w:val="Tabletext"/>
            </w:pPr>
            <w:r w:rsidRPr="007F3920">
              <w:t>3</w:t>
            </w:r>
          </w:p>
        </w:tc>
      </w:tr>
      <w:tr w:rsidR="00BA2CFA" w:rsidTr="00BA2CFA">
        <w:tblPrEx>
          <w:tblBorders>
            <w:top w:val="single" w:sz="4" w:space="0" w:color="000000" w:themeColor="text1"/>
            <w:bottom w:val="single" w:sz="4" w:space="0" w:color="000000" w:themeColor="text1"/>
            <w:insideH w:val="single" w:sz="4" w:space="0" w:color="000000" w:themeColor="text1"/>
          </w:tblBorders>
        </w:tblPrEx>
        <w:tc>
          <w:tcPr>
            <w:tcW w:w="675" w:type="dxa"/>
            <w:tcBorders>
              <w:top w:val="nil"/>
              <w:bottom w:val="nil"/>
            </w:tcBorders>
          </w:tcPr>
          <w:p w:rsidR="00BA2CFA" w:rsidRDefault="00BA2CFA" w:rsidP="00E166F8">
            <w:pPr>
              <w:pStyle w:val="Tabletext"/>
            </w:pPr>
            <w:r>
              <w:t>13</w:t>
            </w:r>
          </w:p>
        </w:tc>
        <w:tc>
          <w:tcPr>
            <w:tcW w:w="5010" w:type="dxa"/>
            <w:gridSpan w:val="3"/>
            <w:tcBorders>
              <w:top w:val="nil"/>
              <w:bottom w:val="nil"/>
            </w:tcBorders>
          </w:tcPr>
          <w:p w:rsidR="00BA2CFA" w:rsidRDefault="00BA2CFA" w:rsidP="00E166F8">
            <w:pPr>
              <w:pStyle w:val="Tabletext"/>
            </w:pPr>
            <w:r>
              <w:t>I need to keep relearning because life is constantly changing</w:t>
            </w:r>
          </w:p>
        </w:tc>
        <w:tc>
          <w:tcPr>
            <w:tcW w:w="699" w:type="dxa"/>
            <w:tcBorders>
              <w:top w:val="nil"/>
              <w:bottom w:val="nil"/>
            </w:tcBorders>
          </w:tcPr>
          <w:p w:rsidR="00BA2CFA" w:rsidRPr="00AE0387" w:rsidRDefault="00BA2CFA" w:rsidP="00E166F8">
            <w:pPr>
              <w:pStyle w:val="Tabletext"/>
            </w:pPr>
            <w:r w:rsidRPr="00AE0387">
              <w:t>0</w:t>
            </w:r>
          </w:p>
        </w:tc>
        <w:tc>
          <w:tcPr>
            <w:tcW w:w="1130" w:type="dxa"/>
            <w:gridSpan w:val="2"/>
            <w:tcBorders>
              <w:top w:val="nil"/>
              <w:bottom w:val="nil"/>
            </w:tcBorders>
          </w:tcPr>
          <w:p w:rsidR="00BA2CFA" w:rsidRPr="00AE0387" w:rsidRDefault="00BA2CFA" w:rsidP="00E166F8">
            <w:pPr>
              <w:pStyle w:val="Tabletext"/>
            </w:pPr>
            <w:r w:rsidRPr="00AE0387">
              <w:t>1</w:t>
            </w:r>
          </w:p>
        </w:tc>
        <w:tc>
          <w:tcPr>
            <w:tcW w:w="682" w:type="dxa"/>
            <w:tcBorders>
              <w:top w:val="nil"/>
              <w:bottom w:val="nil"/>
            </w:tcBorders>
          </w:tcPr>
          <w:p w:rsidR="00BA2CFA" w:rsidRPr="00AE0387" w:rsidRDefault="00BA2CFA" w:rsidP="00E166F8">
            <w:pPr>
              <w:pStyle w:val="Tabletext"/>
            </w:pPr>
            <w:r w:rsidRPr="00AE0387">
              <w:t>2</w:t>
            </w:r>
          </w:p>
        </w:tc>
        <w:tc>
          <w:tcPr>
            <w:tcW w:w="808" w:type="dxa"/>
            <w:tcBorders>
              <w:top w:val="nil"/>
              <w:bottom w:val="nil"/>
            </w:tcBorders>
          </w:tcPr>
          <w:p w:rsidR="00BA2CFA" w:rsidRDefault="00BA2CFA" w:rsidP="00E166F8">
            <w:pPr>
              <w:pStyle w:val="Tabletext"/>
            </w:pPr>
            <w:r w:rsidRPr="00AE0387">
              <w:t>3</w:t>
            </w:r>
          </w:p>
        </w:tc>
      </w:tr>
      <w:tr w:rsidR="00BA2CFA" w:rsidTr="00BA2CFA">
        <w:tblPrEx>
          <w:tblBorders>
            <w:top w:val="single" w:sz="4" w:space="0" w:color="000000" w:themeColor="text1"/>
            <w:bottom w:val="single" w:sz="4" w:space="0" w:color="000000" w:themeColor="text1"/>
            <w:insideH w:val="single" w:sz="4" w:space="0" w:color="000000" w:themeColor="text1"/>
          </w:tblBorders>
        </w:tblPrEx>
        <w:tc>
          <w:tcPr>
            <w:tcW w:w="675" w:type="dxa"/>
            <w:tcBorders>
              <w:top w:val="nil"/>
              <w:bottom w:val="nil"/>
            </w:tcBorders>
          </w:tcPr>
          <w:p w:rsidR="00BA2CFA" w:rsidRDefault="00BA2CFA" w:rsidP="00E166F8">
            <w:pPr>
              <w:pStyle w:val="Tabletext"/>
            </w:pPr>
            <w:r>
              <w:t>14</w:t>
            </w:r>
          </w:p>
        </w:tc>
        <w:tc>
          <w:tcPr>
            <w:tcW w:w="5010" w:type="dxa"/>
            <w:gridSpan w:val="3"/>
            <w:tcBorders>
              <w:top w:val="nil"/>
              <w:bottom w:val="nil"/>
            </w:tcBorders>
          </w:tcPr>
          <w:p w:rsidR="00BA2CFA" w:rsidRDefault="00BA2CFA" w:rsidP="00E166F8">
            <w:pPr>
              <w:pStyle w:val="Tabletext"/>
            </w:pPr>
            <w:r>
              <w:t>I revise my research plan and strategy if I need to gather more information or data</w:t>
            </w:r>
          </w:p>
        </w:tc>
        <w:tc>
          <w:tcPr>
            <w:tcW w:w="699" w:type="dxa"/>
            <w:tcBorders>
              <w:top w:val="nil"/>
              <w:bottom w:val="nil"/>
            </w:tcBorders>
          </w:tcPr>
          <w:p w:rsidR="00BA2CFA" w:rsidRPr="00DF0B2C" w:rsidRDefault="00BA2CFA" w:rsidP="00E166F8">
            <w:pPr>
              <w:pStyle w:val="Tabletext"/>
            </w:pPr>
            <w:r w:rsidRPr="00DF0B2C">
              <w:t>0</w:t>
            </w:r>
          </w:p>
        </w:tc>
        <w:tc>
          <w:tcPr>
            <w:tcW w:w="1130" w:type="dxa"/>
            <w:gridSpan w:val="2"/>
            <w:tcBorders>
              <w:top w:val="nil"/>
              <w:bottom w:val="nil"/>
            </w:tcBorders>
          </w:tcPr>
          <w:p w:rsidR="00BA2CFA" w:rsidRPr="00DF0B2C" w:rsidRDefault="00BA2CFA" w:rsidP="00E166F8">
            <w:pPr>
              <w:pStyle w:val="Tabletext"/>
            </w:pPr>
            <w:r w:rsidRPr="00DF0B2C">
              <w:t>1</w:t>
            </w:r>
          </w:p>
        </w:tc>
        <w:tc>
          <w:tcPr>
            <w:tcW w:w="682" w:type="dxa"/>
            <w:tcBorders>
              <w:top w:val="nil"/>
              <w:bottom w:val="nil"/>
            </w:tcBorders>
          </w:tcPr>
          <w:p w:rsidR="00BA2CFA" w:rsidRPr="00DF0B2C" w:rsidRDefault="00BA2CFA" w:rsidP="00E166F8">
            <w:pPr>
              <w:pStyle w:val="Tabletext"/>
            </w:pPr>
            <w:r w:rsidRPr="00DF0B2C">
              <w:t>2</w:t>
            </w:r>
          </w:p>
        </w:tc>
        <w:tc>
          <w:tcPr>
            <w:tcW w:w="808" w:type="dxa"/>
            <w:tcBorders>
              <w:top w:val="nil"/>
              <w:bottom w:val="nil"/>
            </w:tcBorders>
          </w:tcPr>
          <w:p w:rsidR="00BA2CFA" w:rsidRDefault="00BA2CFA" w:rsidP="00E166F8">
            <w:pPr>
              <w:pStyle w:val="Tabletext"/>
            </w:pPr>
            <w:r w:rsidRPr="00DF0B2C">
              <w:t>3</w:t>
            </w:r>
          </w:p>
        </w:tc>
      </w:tr>
      <w:tr w:rsidR="00BA2CFA" w:rsidTr="00BA2CFA">
        <w:tblPrEx>
          <w:tblBorders>
            <w:top w:val="single" w:sz="4" w:space="0" w:color="000000" w:themeColor="text1"/>
            <w:bottom w:val="single" w:sz="4" w:space="0" w:color="000000" w:themeColor="text1"/>
            <w:insideH w:val="single" w:sz="4" w:space="0" w:color="000000" w:themeColor="text1"/>
          </w:tblBorders>
        </w:tblPrEx>
        <w:tc>
          <w:tcPr>
            <w:tcW w:w="675" w:type="dxa"/>
            <w:tcBorders>
              <w:top w:val="nil"/>
              <w:bottom w:val="nil"/>
            </w:tcBorders>
          </w:tcPr>
          <w:p w:rsidR="00BA2CFA" w:rsidRDefault="00BA2CFA" w:rsidP="00E166F8">
            <w:pPr>
              <w:pStyle w:val="Tabletext"/>
            </w:pPr>
            <w:r>
              <w:t>15</w:t>
            </w:r>
          </w:p>
        </w:tc>
        <w:tc>
          <w:tcPr>
            <w:tcW w:w="5010" w:type="dxa"/>
            <w:gridSpan w:val="3"/>
            <w:tcBorders>
              <w:top w:val="nil"/>
              <w:bottom w:val="nil"/>
            </w:tcBorders>
          </w:tcPr>
          <w:p w:rsidR="00BA2CFA" w:rsidRDefault="00BA2CFA" w:rsidP="00E166F8">
            <w:pPr>
              <w:pStyle w:val="Tabletext"/>
            </w:pPr>
            <w:r>
              <w:t>I present the information in a medium that suits the audience</w:t>
            </w:r>
          </w:p>
        </w:tc>
        <w:tc>
          <w:tcPr>
            <w:tcW w:w="699" w:type="dxa"/>
            <w:tcBorders>
              <w:top w:val="nil"/>
              <w:bottom w:val="nil"/>
            </w:tcBorders>
          </w:tcPr>
          <w:p w:rsidR="00BA2CFA" w:rsidRPr="0023572C" w:rsidRDefault="00BA2CFA" w:rsidP="00E166F8">
            <w:pPr>
              <w:pStyle w:val="Tabletext"/>
            </w:pPr>
            <w:r w:rsidRPr="0023572C">
              <w:t>0</w:t>
            </w:r>
          </w:p>
        </w:tc>
        <w:tc>
          <w:tcPr>
            <w:tcW w:w="1130" w:type="dxa"/>
            <w:gridSpan w:val="2"/>
            <w:tcBorders>
              <w:top w:val="nil"/>
              <w:bottom w:val="nil"/>
            </w:tcBorders>
          </w:tcPr>
          <w:p w:rsidR="00BA2CFA" w:rsidRPr="0023572C" w:rsidRDefault="00BA2CFA" w:rsidP="00E166F8">
            <w:pPr>
              <w:pStyle w:val="Tabletext"/>
            </w:pPr>
            <w:r w:rsidRPr="0023572C">
              <w:t>1</w:t>
            </w:r>
          </w:p>
        </w:tc>
        <w:tc>
          <w:tcPr>
            <w:tcW w:w="682" w:type="dxa"/>
            <w:tcBorders>
              <w:top w:val="nil"/>
              <w:bottom w:val="nil"/>
            </w:tcBorders>
          </w:tcPr>
          <w:p w:rsidR="00BA2CFA" w:rsidRPr="0023572C" w:rsidRDefault="00BA2CFA" w:rsidP="00E166F8">
            <w:pPr>
              <w:pStyle w:val="Tabletext"/>
            </w:pPr>
            <w:r w:rsidRPr="0023572C">
              <w:t>2</w:t>
            </w:r>
          </w:p>
        </w:tc>
        <w:tc>
          <w:tcPr>
            <w:tcW w:w="808" w:type="dxa"/>
            <w:tcBorders>
              <w:top w:val="nil"/>
              <w:bottom w:val="nil"/>
            </w:tcBorders>
          </w:tcPr>
          <w:p w:rsidR="00BA2CFA" w:rsidRDefault="00BA2CFA" w:rsidP="00E166F8">
            <w:pPr>
              <w:pStyle w:val="Tabletext"/>
            </w:pPr>
            <w:r w:rsidRPr="0023572C">
              <w:t>3</w:t>
            </w:r>
          </w:p>
        </w:tc>
      </w:tr>
      <w:tr w:rsidR="00BA2CFA" w:rsidTr="00BA2CFA">
        <w:tblPrEx>
          <w:tblBorders>
            <w:top w:val="single" w:sz="4" w:space="0" w:color="000000" w:themeColor="text1"/>
            <w:bottom w:val="single" w:sz="4" w:space="0" w:color="000000" w:themeColor="text1"/>
            <w:insideH w:val="single" w:sz="4" w:space="0" w:color="000000" w:themeColor="text1"/>
          </w:tblBorders>
        </w:tblPrEx>
        <w:tc>
          <w:tcPr>
            <w:tcW w:w="675" w:type="dxa"/>
            <w:tcBorders>
              <w:top w:val="nil"/>
              <w:bottom w:val="nil"/>
            </w:tcBorders>
          </w:tcPr>
          <w:p w:rsidR="00BA2CFA" w:rsidRDefault="00BA2CFA" w:rsidP="00E166F8">
            <w:pPr>
              <w:pStyle w:val="Tabletext"/>
            </w:pPr>
            <w:r>
              <w:t>16</w:t>
            </w:r>
          </w:p>
        </w:tc>
        <w:tc>
          <w:tcPr>
            <w:tcW w:w="5010" w:type="dxa"/>
            <w:gridSpan w:val="3"/>
            <w:tcBorders>
              <w:top w:val="nil"/>
              <w:bottom w:val="nil"/>
            </w:tcBorders>
          </w:tcPr>
          <w:p w:rsidR="00BA2CFA" w:rsidRDefault="00BA2CFA" w:rsidP="00E166F8">
            <w:pPr>
              <w:pStyle w:val="Tabletext"/>
            </w:pPr>
            <w:r>
              <w:t>If my searching returns too much irrelevant information, I change my keywords</w:t>
            </w:r>
          </w:p>
        </w:tc>
        <w:tc>
          <w:tcPr>
            <w:tcW w:w="699" w:type="dxa"/>
            <w:tcBorders>
              <w:top w:val="nil"/>
              <w:bottom w:val="nil"/>
            </w:tcBorders>
          </w:tcPr>
          <w:p w:rsidR="00BA2CFA" w:rsidRPr="00DD507E" w:rsidRDefault="00BA2CFA" w:rsidP="00E166F8">
            <w:pPr>
              <w:pStyle w:val="Tabletext"/>
            </w:pPr>
            <w:r w:rsidRPr="00DD507E">
              <w:t>0</w:t>
            </w:r>
          </w:p>
        </w:tc>
        <w:tc>
          <w:tcPr>
            <w:tcW w:w="1130" w:type="dxa"/>
            <w:gridSpan w:val="2"/>
            <w:tcBorders>
              <w:top w:val="nil"/>
              <w:bottom w:val="nil"/>
            </w:tcBorders>
          </w:tcPr>
          <w:p w:rsidR="00BA2CFA" w:rsidRPr="00DD507E" w:rsidRDefault="00BA2CFA" w:rsidP="00E166F8">
            <w:pPr>
              <w:pStyle w:val="Tabletext"/>
            </w:pPr>
            <w:r w:rsidRPr="00DD507E">
              <w:t>1</w:t>
            </w:r>
          </w:p>
        </w:tc>
        <w:tc>
          <w:tcPr>
            <w:tcW w:w="682" w:type="dxa"/>
            <w:tcBorders>
              <w:top w:val="nil"/>
              <w:bottom w:val="nil"/>
            </w:tcBorders>
          </w:tcPr>
          <w:p w:rsidR="00BA2CFA" w:rsidRPr="00DD507E" w:rsidRDefault="00BA2CFA" w:rsidP="00E166F8">
            <w:pPr>
              <w:pStyle w:val="Tabletext"/>
            </w:pPr>
            <w:r w:rsidRPr="00DD507E">
              <w:t>2</w:t>
            </w:r>
          </w:p>
        </w:tc>
        <w:tc>
          <w:tcPr>
            <w:tcW w:w="808" w:type="dxa"/>
            <w:tcBorders>
              <w:top w:val="nil"/>
              <w:bottom w:val="nil"/>
            </w:tcBorders>
          </w:tcPr>
          <w:p w:rsidR="00BA2CFA" w:rsidRDefault="00BA2CFA" w:rsidP="00E166F8">
            <w:pPr>
              <w:pStyle w:val="Tabletext"/>
            </w:pPr>
            <w:r w:rsidRPr="00DD507E">
              <w:t>3</w:t>
            </w:r>
          </w:p>
        </w:tc>
      </w:tr>
      <w:tr w:rsidR="00BA2CFA" w:rsidTr="00BA2CFA">
        <w:tblPrEx>
          <w:tblBorders>
            <w:top w:val="single" w:sz="4" w:space="0" w:color="000000" w:themeColor="text1"/>
            <w:bottom w:val="single" w:sz="4" w:space="0" w:color="000000" w:themeColor="text1"/>
            <w:insideH w:val="single" w:sz="4" w:space="0" w:color="000000" w:themeColor="text1"/>
          </w:tblBorders>
        </w:tblPrEx>
        <w:tc>
          <w:tcPr>
            <w:tcW w:w="675" w:type="dxa"/>
            <w:tcBorders>
              <w:top w:val="nil"/>
              <w:bottom w:val="nil"/>
            </w:tcBorders>
          </w:tcPr>
          <w:p w:rsidR="00BA2CFA" w:rsidRDefault="00BA2CFA" w:rsidP="00E166F8">
            <w:pPr>
              <w:pStyle w:val="Tabletext"/>
            </w:pPr>
            <w:r>
              <w:t>17</w:t>
            </w:r>
          </w:p>
        </w:tc>
        <w:tc>
          <w:tcPr>
            <w:tcW w:w="5010" w:type="dxa"/>
            <w:gridSpan w:val="3"/>
            <w:tcBorders>
              <w:top w:val="nil"/>
              <w:bottom w:val="nil"/>
            </w:tcBorders>
          </w:tcPr>
          <w:p w:rsidR="00BA2CFA" w:rsidRDefault="00BA2CFA" w:rsidP="00E166F8">
            <w:pPr>
              <w:pStyle w:val="Tabletext"/>
            </w:pPr>
            <w:r>
              <w:t>When I consider information I have found, I state the key ideas in my own words</w:t>
            </w:r>
          </w:p>
        </w:tc>
        <w:tc>
          <w:tcPr>
            <w:tcW w:w="699" w:type="dxa"/>
            <w:tcBorders>
              <w:top w:val="nil"/>
              <w:bottom w:val="nil"/>
            </w:tcBorders>
          </w:tcPr>
          <w:p w:rsidR="00BA2CFA" w:rsidRPr="00EB64BA" w:rsidRDefault="00BA2CFA" w:rsidP="00E166F8">
            <w:pPr>
              <w:pStyle w:val="Tabletext"/>
            </w:pPr>
            <w:r w:rsidRPr="00EB64BA">
              <w:t>0</w:t>
            </w:r>
          </w:p>
        </w:tc>
        <w:tc>
          <w:tcPr>
            <w:tcW w:w="1130" w:type="dxa"/>
            <w:gridSpan w:val="2"/>
            <w:tcBorders>
              <w:top w:val="nil"/>
              <w:bottom w:val="nil"/>
            </w:tcBorders>
          </w:tcPr>
          <w:p w:rsidR="00BA2CFA" w:rsidRPr="00EB64BA" w:rsidRDefault="00BA2CFA" w:rsidP="00E166F8">
            <w:pPr>
              <w:pStyle w:val="Tabletext"/>
            </w:pPr>
            <w:r w:rsidRPr="00EB64BA">
              <w:t>1</w:t>
            </w:r>
          </w:p>
        </w:tc>
        <w:tc>
          <w:tcPr>
            <w:tcW w:w="682" w:type="dxa"/>
            <w:tcBorders>
              <w:top w:val="nil"/>
              <w:bottom w:val="nil"/>
            </w:tcBorders>
          </w:tcPr>
          <w:p w:rsidR="00BA2CFA" w:rsidRPr="00EB64BA" w:rsidRDefault="00BA2CFA" w:rsidP="00E166F8">
            <w:pPr>
              <w:pStyle w:val="Tabletext"/>
            </w:pPr>
            <w:r w:rsidRPr="00EB64BA">
              <w:t>2</w:t>
            </w:r>
          </w:p>
        </w:tc>
        <w:tc>
          <w:tcPr>
            <w:tcW w:w="808" w:type="dxa"/>
            <w:tcBorders>
              <w:top w:val="nil"/>
              <w:bottom w:val="nil"/>
            </w:tcBorders>
          </w:tcPr>
          <w:p w:rsidR="00BA2CFA" w:rsidRDefault="00BA2CFA" w:rsidP="00E166F8">
            <w:pPr>
              <w:pStyle w:val="Tabletext"/>
            </w:pPr>
            <w:r w:rsidRPr="00EB64BA">
              <w:t>3</w:t>
            </w:r>
          </w:p>
        </w:tc>
      </w:tr>
      <w:tr w:rsidR="00BA2CFA" w:rsidTr="00BA2CFA">
        <w:tblPrEx>
          <w:tblBorders>
            <w:top w:val="single" w:sz="4" w:space="0" w:color="000000" w:themeColor="text1"/>
            <w:bottom w:val="single" w:sz="4" w:space="0" w:color="000000" w:themeColor="text1"/>
            <w:insideH w:val="single" w:sz="4" w:space="0" w:color="000000" w:themeColor="text1"/>
          </w:tblBorders>
        </w:tblPrEx>
        <w:tc>
          <w:tcPr>
            <w:tcW w:w="675" w:type="dxa"/>
            <w:tcBorders>
              <w:top w:val="nil"/>
              <w:bottom w:val="nil"/>
            </w:tcBorders>
          </w:tcPr>
          <w:p w:rsidR="00BA2CFA" w:rsidRDefault="00BA2CFA" w:rsidP="00E166F8">
            <w:pPr>
              <w:pStyle w:val="Tabletext"/>
            </w:pPr>
            <w:r>
              <w:t>18</w:t>
            </w:r>
          </w:p>
        </w:tc>
        <w:tc>
          <w:tcPr>
            <w:tcW w:w="5010" w:type="dxa"/>
            <w:gridSpan w:val="3"/>
            <w:tcBorders>
              <w:top w:val="nil"/>
              <w:bottom w:val="nil"/>
            </w:tcBorders>
          </w:tcPr>
          <w:p w:rsidR="00BA2CFA" w:rsidRDefault="00BA2CFA" w:rsidP="00E166F8">
            <w:pPr>
              <w:pStyle w:val="Tabletext"/>
            </w:pPr>
            <w:r>
              <w:t>I compare information as I’m reading with what I already know</w:t>
            </w:r>
          </w:p>
        </w:tc>
        <w:tc>
          <w:tcPr>
            <w:tcW w:w="699" w:type="dxa"/>
            <w:tcBorders>
              <w:top w:val="nil"/>
              <w:bottom w:val="nil"/>
            </w:tcBorders>
          </w:tcPr>
          <w:p w:rsidR="00BA2CFA" w:rsidRPr="00E83875" w:rsidRDefault="00BA2CFA" w:rsidP="00E166F8">
            <w:pPr>
              <w:pStyle w:val="Tabletext"/>
            </w:pPr>
            <w:r w:rsidRPr="00E83875">
              <w:t>0</w:t>
            </w:r>
          </w:p>
        </w:tc>
        <w:tc>
          <w:tcPr>
            <w:tcW w:w="1130" w:type="dxa"/>
            <w:gridSpan w:val="2"/>
            <w:tcBorders>
              <w:top w:val="nil"/>
              <w:bottom w:val="nil"/>
            </w:tcBorders>
          </w:tcPr>
          <w:p w:rsidR="00BA2CFA" w:rsidRPr="00E83875" w:rsidRDefault="00BA2CFA" w:rsidP="00E166F8">
            <w:pPr>
              <w:pStyle w:val="Tabletext"/>
            </w:pPr>
            <w:r w:rsidRPr="00E83875">
              <w:t>1</w:t>
            </w:r>
          </w:p>
        </w:tc>
        <w:tc>
          <w:tcPr>
            <w:tcW w:w="682" w:type="dxa"/>
            <w:tcBorders>
              <w:top w:val="nil"/>
              <w:bottom w:val="nil"/>
            </w:tcBorders>
          </w:tcPr>
          <w:p w:rsidR="00BA2CFA" w:rsidRPr="00E83875" w:rsidRDefault="00BA2CFA" w:rsidP="00E166F8">
            <w:pPr>
              <w:pStyle w:val="Tabletext"/>
            </w:pPr>
            <w:r w:rsidRPr="00E83875">
              <w:t>2</w:t>
            </w:r>
          </w:p>
        </w:tc>
        <w:tc>
          <w:tcPr>
            <w:tcW w:w="808" w:type="dxa"/>
            <w:tcBorders>
              <w:top w:val="nil"/>
              <w:bottom w:val="nil"/>
            </w:tcBorders>
          </w:tcPr>
          <w:p w:rsidR="00BA2CFA" w:rsidRDefault="00BA2CFA" w:rsidP="00E166F8">
            <w:pPr>
              <w:pStyle w:val="Tabletext"/>
            </w:pPr>
            <w:r w:rsidRPr="00E83875">
              <w:t>3</w:t>
            </w:r>
          </w:p>
        </w:tc>
      </w:tr>
      <w:tr w:rsidR="00BA2CFA" w:rsidTr="00BA2CFA">
        <w:tblPrEx>
          <w:tblBorders>
            <w:top w:val="single" w:sz="4" w:space="0" w:color="000000" w:themeColor="text1"/>
            <w:bottom w:val="single" w:sz="4" w:space="0" w:color="000000" w:themeColor="text1"/>
            <w:insideH w:val="single" w:sz="4" w:space="0" w:color="000000" w:themeColor="text1"/>
          </w:tblBorders>
        </w:tblPrEx>
        <w:tc>
          <w:tcPr>
            <w:tcW w:w="675" w:type="dxa"/>
            <w:tcBorders>
              <w:top w:val="nil"/>
              <w:bottom w:val="nil"/>
            </w:tcBorders>
          </w:tcPr>
          <w:p w:rsidR="00BA2CFA" w:rsidRDefault="00BA2CFA" w:rsidP="00E166F8">
            <w:pPr>
              <w:pStyle w:val="Tabletext"/>
            </w:pPr>
            <w:r>
              <w:t>19</w:t>
            </w:r>
          </w:p>
        </w:tc>
        <w:tc>
          <w:tcPr>
            <w:tcW w:w="5010" w:type="dxa"/>
            <w:gridSpan w:val="3"/>
            <w:tcBorders>
              <w:top w:val="nil"/>
              <w:bottom w:val="nil"/>
            </w:tcBorders>
          </w:tcPr>
          <w:p w:rsidR="00BA2CFA" w:rsidRDefault="00BA2CFA" w:rsidP="00E166F8">
            <w:pPr>
              <w:pStyle w:val="Tabletext"/>
            </w:pPr>
            <w:r>
              <w:t>I decide how best to find the information I require for a particular task</w:t>
            </w:r>
          </w:p>
        </w:tc>
        <w:tc>
          <w:tcPr>
            <w:tcW w:w="699" w:type="dxa"/>
            <w:tcBorders>
              <w:top w:val="nil"/>
              <w:bottom w:val="nil"/>
            </w:tcBorders>
          </w:tcPr>
          <w:p w:rsidR="00BA2CFA" w:rsidRPr="007F3920" w:rsidRDefault="00BA2CFA" w:rsidP="00E166F8">
            <w:pPr>
              <w:pStyle w:val="Tabletext"/>
            </w:pPr>
            <w:r w:rsidRPr="007F3920">
              <w:t>0</w:t>
            </w:r>
          </w:p>
        </w:tc>
        <w:tc>
          <w:tcPr>
            <w:tcW w:w="1130" w:type="dxa"/>
            <w:gridSpan w:val="2"/>
            <w:tcBorders>
              <w:top w:val="nil"/>
              <w:bottom w:val="nil"/>
            </w:tcBorders>
          </w:tcPr>
          <w:p w:rsidR="00BA2CFA" w:rsidRPr="007F3920" w:rsidRDefault="00BA2CFA" w:rsidP="00E166F8">
            <w:pPr>
              <w:pStyle w:val="Tabletext"/>
            </w:pPr>
            <w:r w:rsidRPr="007F3920">
              <w:t>1</w:t>
            </w:r>
          </w:p>
        </w:tc>
        <w:tc>
          <w:tcPr>
            <w:tcW w:w="682" w:type="dxa"/>
            <w:tcBorders>
              <w:top w:val="nil"/>
              <w:bottom w:val="nil"/>
            </w:tcBorders>
          </w:tcPr>
          <w:p w:rsidR="00BA2CFA" w:rsidRPr="007F3920" w:rsidRDefault="00BA2CFA" w:rsidP="00E166F8">
            <w:pPr>
              <w:pStyle w:val="Tabletext"/>
            </w:pPr>
            <w:r w:rsidRPr="007F3920">
              <w:t>2</w:t>
            </w:r>
          </w:p>
        </w:tc>
        <w:tc>
          <w:tcPr>
            <w:tcW w:w="808" w:type="dxa"/>
            <w:tcBorders>
              <w:top w:val="nil"/>
              <w:bottom w:val="nil"/>
            </w:tcBorders>
          </w:tcPr>
          <w:p w:rsidR="00BA2CFA" w:rsidRDefault="00BA2CFA" w:rsidP="00E166F8">
            <w:pPr>
              <w:pStyle w:val="Tabletext"/>
            </w:pPr>
            <w:r w:rsidRPr="007F3920">
              <w:t>3</w:t>
            </w:r>
          </w:p>
        </w:tc>
      </w:tr>
      <w:tr w:rsidR="00BA2CFA" w:rsidTr="00BA2CFA">
        <w:tblPrEx>
          <w:tblBorders>
            <w:top w:val="single" w:sz="4" w:space="0" w:color="000000" w:themeColor="text1"/>
            <w:bottom w:val="single" w:sz="4" w:space="0" w:color="000000" w:themeColor="text1"/>
            <w:insideH w:val="single" w:sz="4" w:space="0" w:color="000000" w:themeColor="text1"/>
          </w:tblBorders>
        </w:tblPrEx>
        <w:tc>
          <w:tcPr>
            <w:tcW w:w="675" w:type="dxa"/>
            <w:tcBorders>
              <w:top w:val="nil"/>
            </w:tcBorders>
          </w:tcPr>
          <w:p w:rsidR="00BA2CFA" w:rsidRDefault="00BA2CFA" w:rsidP="00E166F8">
            <w:pPr>
              <w:pStyle w:val="Tabletext"/>
            </w:pPr>
            <w:r>
              <w:t>20</w:t>
            </w:r>
          </w:p>
        </w:tc>
        <w:tc>
          <w:tcPr>
            <w:tcW w:w="5010" w:type="dxa"/>
            <w:gridSpan w:val="3"/>
            <w:tcBorders>
              <w:top w:val="nil"/>
            </w:tcBorders>
          </w:tcPr>
          <w:p w:rsidR="00BA2CFA" w:rsidRDefault="00BA2CFA" w:rsidP="00E166F8">
            <w:pPr>
              <w:pStyle w:val="Tabletext"/>
            </w:pPr>
            <w:r>
              <w:t>I comply with stated restrictions on the use of intellectual property</w:t>
            </w:r>
          </w:p>
        </w:tc>
        <w:tc>
          <w:tcPr>
            <w:tcW w:w="699" w:type="dxa"/>
            <w:tcBorders>
              <w:top w:val="nil"/>
            </w:tcBorders>
          </w:tcPr>
          <w:p w:rsidR="00BA2CFA" w:rsidRPr="00AE0387" w:rsidRDefault="00BA2CFA" w:rsidP="00E166F8">
            <w:pPr>
              <w:pStyle w:val="Tabletext"/>
            </w:pPr>
            <w:r w:rsidRPr="00AE0387">
              <w:t>0</w:t>
            </w:r>
          </w:p>
        </w:tc>
        <w:tc>
          <w:tcPr>
            <w:tcW w:w="1130" w:type="dxa"/>
            <w:gridSpan w:val="2"/>
            <w:tcBorders>
              <w:top w:val="nil"/>
            </w:tcBorders>
          </w:tcPr>
          <w:p w:rsidR="00BA2CFA" w:rsidRPr="00AE0387" w:rsidRDefault="00BA2CFA" w:rsidP="00E166F8">
            <w:pPr>
              <w:pStyle w:val="Tabletext"/>
            </w:pPr>
            <w:r w:rsidRPr="00AE0387">
              <w:t>1</w:t>
            </w:r>
          </w:p>
        </w:tc>
        <w:tc>
          <w:tcPr>
            <w:tcW w:w="682" w:type="dxa"/>
            <w:tcBorders>
              <w:top w:val="nil"/>
            </w:tcBorders>
          </w:tcPr>
          <w:p w:rsidR="00BA2CFA" w:rsidRPr="00AE0387" w:rsidRDefault="00BA2CFA" w:rsidP="00E166F8">
            <w:pPr>
              <w:pStyle w:val="Tabletext"/>
            </w:pPr>
            <w:r w:rsidRPr="00AE0387">
              <w:t>2</w:t>
            </w:r>
          </w:p>
        </w:tc>
        <w:tc>
          <w:tcPr>
            <w:tcW w:w="808" w:type="dxa"/>
            <w:tcBorders>
              <w:top w:val="nil"/>
            </w:tcBorders>
          </w:tcPr>
          <w:p w:rsidR="00BA2CFA" w:rsidRDefault="00BA2CFA" w:rsidP="00E166F8">
            <w:pPr>
              <w:pStyle w:val="Tabletext"/>
            </w:pPr>
            <w:r w:rsidRPr="00AE0387">
              <w:t>3</w:t>
            </w:r>
          </w:p>
        </w:tc>
      </w:tr>
    </w:tbl>
    <w:p w:rsidR="002D3911" w:rsidRDefault="002D3911" w:rsidP="00852669">
      <w:pPr>
        <w:pStyle w:val="Heading1"/>
      </w:pPr>
      <w:bookmarkStart w:id="71" w:name="_Toc378160500"/>
      <w:r>
        <w:lastRenderedPageBreak/>
        <w:t>Appendix B</w:t>
      </w:r>
      <w:bookmarkEnd w:id="71"/>
      <w:r w:rsidR="00852669">
        <w:t xml:space="preserve">: </w:t>
      </w:r>
      <w:bookmarkStart w:id="72" w:name="_Toc378160501"/>
      <w:r>
        <w:t>Interview questions for TAFE students</w:t>
      </w:r>
      <w:bookmarkEnd w:id="72"/>
    </w:p>
    <w:p w:rsidR="002D3911" w:rsidRDefault="002D3911" w:rsidP="002D3911">
      <w:pPr>
        <w:pStyle w:val="Text"/>
      </w:pPr>
    </w:p>
    <w:p w:rsidR="002D3911" w:rsidRDefault="002D3911" w:rsidP="002D3911">
      <w:pPr>
        <w:pStyle w:val="Heading3"/>
      </w:pPr>
      <w:r>
        <w:t>Part A: Questions about what you do</w:t>
      </w:r>
    </w:p>
    <w:p w:rsidR="002D3911" w:rsidRDefault="002D3911" w:rsidP="002D3911">
      <w:pPr>
        <w:pStyle w:val="Text"/>
      </w:pPr>
      <w:r>
        <w:t>1.</w:t>
      </w:r>
      <w:r>
        <w:tab/>
        <w:t xml:space="preserve">In the last units you completed, what types of assessment did you complete? </w:t>
      </w:r>
    </w:p>
    <w:p w:rsidR="002D3911" w:rsidRDefault="002D3911" w:rsidP="002D3911">
      <w:pPr>
        <w:pStyle w:val="Text"/>
      </w:pPr>
      <w:r>
        <w:t>2.</w:t>
      </w:r>
      <w:r>
        <w:tab/>
        <w:t>What type of information have you used to complete your most recent written assessments?</w:t>
      </w:r>
    </w:p>
    <w:p w:rsidR="002D3911" w:rsidRDefault="002D3911" w:rsidP="002D3911">
      <w:pPr>
        <w:pStyle w:val="Text"/>
      </w:pPr>
      <w:r>
        <w:t>3.</w:t>
      </w:r>
      <w:r>
        <w:tab/>
        <w:t>How do you go about finding information?</w:t>
      </w:r>
    </w:p>
    <w:p w:rsidR="002D3911" w:rsidRDefault="002D3911" w:rsidP="002D3911">
      <w:pPr>
        <w:pStyle w:val="Text"/>
      </w:pPr>
      <w:r>
        <w:t>4.</w:t>
      </w:r>
      <w:r>
        <w:tab/>
        <w:t>Thinking of an assessment piece you have recently completed; how did you bring together all your information and prepare your written assessment?</w:t>
      </w:r>
    </w:p>
    <w:p w:rsidR="002D3911" w:rsidRDefault="002D3911" w:rsidP="002D3911">
      <w:pPr>
        <w:pStyle w:val="Text"/>
      </w:pPr>
      <w:r>
        <w:t>5.</w:t>
      </w:r>
      <w:r>
        <w:tab/>
        <w:t>Thinking about the assessment in your most recent units, the need to find information and bring it altogether for the finished product, what aspect do you find most challenging?</w:t>
      </w:r>
    </w:p>
    <w:p w:rsidR="002D3911" w:rsidRDefault="002D3911" w:rsidP="002D3911">
      <w:pPr>
        <w:pStyle w:val="Text"/>
      </w:pPr>
    </w:p>
    <w:p w:rsidR="002D3911" w:rsidRDefault="002D3911" w:rsidP="002D3911">
      <w:pPr>
        <w:pStyle w:val="Heading3"/>
      </w:pPr>
      <w:r>
        <w:t>Part B: Thinking about the transition and the support structures</w:t>
      </w:r>
    </w:p>
    <w:p w:rsidR="002D3911" w:rsidRDefault="002D3911" w:rsidP="002D3911">
      <w:pPr>
        <w:pStyle w:val="Text"/>
      </w:pPr>
      <w:r>
        <w:t>6.</w:t>
      </w:r>
      <w:r>
        <w:tab/>
        <w:t>In terms of developing your skills in order to gather, evaluate and use information in assessment pieces what support did you receive in your TAFE Diploma?</w:t>
      </w:r>
    </w:p>
    <w:p w:rsidR="002D3911" w:rsidRDefault="002D3911" w:rsidP="002D3911">
      <w:pPr>
        <w:pStyle w:val="Text"/>
      </w:pPr>
      <w:r>
        <w:t>7.</w:t>
      </w:r>
      <w:r>
        <w:tab/>
        <w:t>In your TAFE Diploma, were there any learning opportunities or support services that you were interested in but unable to participate in?</w:t>
      </w:r>
    </w:p>
    <w:p w:rsidR="002D3911" w:rsidRDefault="002D3911" w:rsidP="002D3911">
      <w:pPr>
        <w:pStyle w:val="Text"/>
      </w:pPr>
      <w:r>
        <w:t>8.</w:t>
      </w:r>
      <w:r>
        <w:tab/>
        <w:t>What are your thoughts on enrolling in a university program in the future?</w:t>
      </w:r>
    </w:p>
    <w:p w:rsidR="002D3911" w:rsidRDefault="002D3911" w:rsidP="002D3911">
      <w:pPr>
        <w:pStyle w:val="Text"/>
      </w:pPr>
      <w:r>
        <w:t>9.</w:t>
      </w:r>
      <w:r>
        <w:tab/>
        <w:t>If you were to enrol in a university program, what academic aspect would concern you most?</w:t>
      </w:r>
    </w:p>
    <w:p w:rsidR="002D3911" w:rsidRDefault="002D3911" w:rsidP="002D3911">
      <w:pPr>
        <w:pStyle w:val="Text"/>
      </w:pPr>
      <w:r>
        <w:t>10.</w:t>
      </w:r>
      <w:r>
        <w:tab/>
        <w:t>Thinking about university study, what do you think will be different about written assessment and how you use information?</w:t>
      </w:r>
    </w:p>
    <w:p w:rsidR="002D3911" w:rsidRDefault="002D3911" w:rsidP="002D3911">
      <w:pPr>
        <w:pStyle w:val="Text"/>
      </w:pPr>
      <w:r>
        <w:t>11.</w:t>
      </w:r>
      <w:r>
        <w:tab/>
        <w:t>What type of support do you believe would help you in the transitioning from TAFE to university?</w:t>
      </w:r>
    </w:p>
    <w:p w:rsidR="002D3911" w:rsidRPr="002D3911" w:rsidRDefault="002D3911" w:rsidP="002D3911">
      <w:pPr>
        <w:pStyle w:val="Text"/>
      </w:pPr>
      <w:r>
        <w:t>12.</w:t>
      </w:r>
      <w:r>
        <w:tab/>
        <w:t>What advice would you offer to TAFE and university staff about supporting those students who are transitioning from TAFE to university?</w:t>
      </w:r>
    </w:p>
    <w:p w:rsidR="002D3911" w:rsidRDefault="002D3911">
      <w:pPr>
        <w:spacing w:before="0" w:line="240" w:lineRule="auto"/>
        <w:rPr>
          <w:rFonts w:ascii="Tahoma" w:hAnsi="Tahoma" w:cs="Tahoma"/>
          <w:color w:val="000000"/>
          <w:kern w:val="28"/>
          <w:sz w:val="56"/>
          <w:szCs w:val="56"/>
        </w:rPr>
      </w:pPr>
      <w:r>
        <w:br w:type="page"/>
      </w:r>
    </w:p>
    <w:p w:rsidR="002D3911" w:rsidRDefault="002D3911" w:rsidP="00852669">
      <w:pPr>
        <w:pStyle w:val="Heading1"/>
      </w:pPr>
      <w:bookmarkStart w:id="73" w:name="_Toc378160502"/>
      <w:r>
        <w:lastRenderedPageBreak/>
        <w:t>Appendix C</w:t>
      </w:r>
      <w:bookmarkEnd w:id="73"/>
      <w:r w:rsidR="00852669">
        <w:t xml:space="preserve">: </w:t>
      </w:r>
      <w:bookmarkStart w:id="74" w:name="_Toc378160503"/>
      <w:r>
        <w:t>Interview questions for university students</w:t>
      </w:r>
      <w:bookmarkEnd w:id="74"/>
    </w:p>
    <w:p w:rsidR="002D3911" w:rsidRDefault="002D3911" w:rsidP="002D3911">
      <w:pPr>
        <w:pStyle w:val="Text"/>
      </w:pPr>
    </w:p>
    <w:p w:rsidR="002D3911" w:rsidRDefault="002D3911" w:rsidP="002D3911">
      <w:pPr>
        <w:pStyle w:val="Heading3"/>
      </w:pPr>
      <w:r>
        <w:t>Part A: Questions about what you do</w:t>
      </w:r>
    </w:p>
    <w:p w:rsidR="002D3911" w:rsidRDefault="002D3911" w:rsidP="002D3911">
      <w:pPr>
        <w:pStyle w:val="Text"/>
      </w:pPr>
      <w:r>
        <w:t>1.</w:t>
      </w:r>
      <w:r>
        <w:tab/>
        <w:t xml:space="preserve">In the last units you completed, what types of assessment did you complete? </w:t>
      </w:r>
    </w:p>
    <w:p w:rsidR="002D3911" w:rsidRDefault="002D3911" w:rsidP="002D3911">
      <w:pPr>
        <w:pStyle w:val="Text"/>
      </w:pPr>
      <w:r>
        <w:t>2.</w:t>
      </w:r>
      <w:r>
        <w:tab/>
        <w:t>What type of information have you used to complete your most recent written assessments?</w:t>
      </w:r>
    </w:p>
    <w:p w:rsidR="002D3911" w:rsidRDefault="002D3911" w:rsidP="002D3911">
      <w:pPr>
        <w:pStyle w:val="Text"/>
      </w:pPr>
      <w:r>
        <w:t>3.</w:t>
      </w:r>
      <w:r>
        <w:tab/>
        <w:t>How do you go about finding information?</w:t>
      </w:r>
    </w:p>
    <w:p w:rsidR="002D3911" w:rsidRDefault="002D3911" w:rsidP="002D3911">
      <w:pPr>
        <w:pStyle w:val="Text"/>
      </w:pPr>
      <w:r>
        <w:t>4.</w:t>
      </w:r>
      <w:r>
        <w:tab/>
        <w:t>Thinking of an assessment piece you have recently completed; how did you bring together all your information and prepare your written assessment?</w:t>
      </w:r>
    </w:p>
    <w:p w:rsidR="002D3911" w:rsidRDefault="002D3911" w:rsidP="002D3911">
      <w:pPr>
        <w:pStyle w:val="Text"/>
      </w:pPr>
      <w:r>
        <w:t>5.</w:t>
      </w:r>
      <w:r>
        <w:tab/>
        <w:t>Thinking of that same assessment piece you have recently completed; the need to find information and bring it altogether for the finished product, what aspect did you find most challenging?</w:t>
      </w:r>
    </w:p>
    <w:p w:rsidR="002D3911" w:rsidRDefault="002D3911" w:rsidP="002D3911">
      <w:pPr>
        <w:pStyle w:val="Text"/>
      </w:pPr>
    </w:p>
    <w:p w:rsidR="002D3911" w:rsidRDefault="002D3911" w:rsidP="002D3911">
      <w:pPr>
        <w:pStyle w:val="Heading3"/>
      </w:pPr>
      <w:r>
        <w:t>Part B: Thinking about the transition and the support structures</w:t>
      </w:r>
    </w:p>
    <w:p w:rsidR="002D3911" w:rsidRDefault="002D3911" w:rsidP="002D3911">
      <w:pPr>
        <w:pStyle w:val="Text"/>
      </w:pPr>
      <w:r>
        <w:t>6.</w:t>
      </w:r>
      <w:r>
        <w:tab/>
        <w:t>In terms of the type of assessment and information skills required, what do you believe is the biggest difference between TAFE and university study?</w:t>
      </w:r>
    </w:p>
    <w:p w:rsidR="002D3911" w:rsidRDefault="002D3911" w:rsidP="002D3911">
      <w:pPr>
        <w:pStyle w:val="Text"/>
      </w:pPr>
      <w:r>
        <w:t>7.</w:t>
      </w:r>
      <w:r>
        <w:tab/>
        <w:t>In terms of developing your skills in order to gather, evaluate and use information in assessment pieces what support did you receive in the first year of your university degree?</w:t>
      </w:r>
    </w:p>
    <w:p w:rsidR="002D3911" w:rsidRDefault="002D3911" w:rsidP="002D3911">
      <w:pPr>
        <w:pStyle w:val="Text"/>
      </w:pPr>
      <w:r>
        <w:t>8.</w:t>
      </w:r>
      <w:r>
        <w:tab/>
        <w:t>During you first year at university, were there any learning opportunities or support services that you were interested in but unable to participate in?</w:t>
      </w:r>
    </w:p>
    <w:p w:rsidR="002D3911" w:rsidRDefault="002D3911" w:rsidP="002D3911">
      <w:pPr>
        <w:pStyle w:val="Text"/>
      </w:pPr>
      <w:r>
        <w:t>9.</w:t>
      </w:r>
      <w:r>
        <w:tab/>
        <w:t>What type of support do you believe would be helpful to students transitioning with a TAFE Diploma?</w:t>
      </w:r>
    </w:p>
    <w:p w:rsidR="00A34D75" w:rsidRDefault="002D3911" w:rsidP="002D3911">
      <w:pPr>
        <w:pStyle w:val="Text"/>
        <w:rPr>
          <w:kern w:val="28"/>
        </w:rPr>
      </w:pPr>
      <w:r>
        <w:t>10.</w:t>
      </w:r>
      <w:r>
        <w:tab/>
        <w:t>What advice would you offer to TAFE and university staff about supporting those students who are transitioning from TAFE to university?</w:t>
      </w:r>
    </w:p>
    <w:p w:rsidR="002D3911" w:rsidRDefault="002D3911">
      <w:pPr>
        <w:spacing w:before="0" w:line="240" w:lineRule="auto"/>
        <w:rPr>
          <w:rFonts w:ascii="Tahoma" w:hAnsi="Tahoma" w:cs="Tahoma"/>
          <w:color w:val="000000"/>
          <w:kern w:val="28"/>
          <w:sz w:val="56"/>
          <w:szCs w:val="56"/>
        </w:rPr>
      </w:pPr>
      <w:r>
        <w:br w:type="page"/>
      </w:r>
    </w:p>
    <w:p w:rsidR="00EC3B91" w:rsidRDefault="00FF246B" w:rsidP="00EC3B91">
      <w:pPr>
        <w:pStyle w:val="Heading1"/>
      </w:pPr>
      <w:bookmarkStart w:id="75" w:name="_Toc378160504"/>
      <w:bookmarkEnd w:id="68"/>
      <w:r>
        <w:lastRenderedPageBreak/>
        <w:t>NVETR</w:t>
      </w:r>
      <w:r w:rsidR="00EC3B91">
        <w:t xml:space="preserve"> </w:t>
      </w:r>
      <w:r>
        <w:t>P</w:t>
      </w:r>
      <w:r w:rsidR="00EC3B91">
        <w:t>rogram funding</w:t>
      </w:r>
      <w:bookmarkEnd w:id="75"/>
    </w:p>
    <w:p w:rsidR="00676EB6" w:rsidRPr="00157690" w:rsidRDefault="00676EB6" w:rsidP="00676EB6">
      <w:pPr>
        <w:pStyle w:val="Text"/>
      </w:pPr>
      <w:r w:rsidRPr="00157690">
        <w:t>This work has been produced by NCVER under the National Vocational Education and Training Research (NVETR) Program, which is coordinated and managed by NCVER on behalf of the Australian Government and state and territory governments. Funding is provided through the Department of Industry</w:t>
      </w:r>
      <w:r>
        <w:t xml:space="preserve"> (formerly the Department of Industry</w:t>
      </w:r>
      <w:r w:rsidRPr="00157690">
        <w:t xml:space="preserve">, Innovation, </w:t>
      </w:r>
      <w:r>
        <w:t xml:space="preserve">Climate Change, </w:t>
      </w:r>
      <w:r w:rsidRPr="00157690">
        <w:t>Science, Research and Tertiary Education</w:t>
      </w:r>
      <w:r>
        <w:t>)</w:t>
      </w:r>
      <w:r w:rsidRPr="00157690">
        <w:t xml:space="preserve">. </w:t>
      </w:r>
    </w:p>
    <w:p w:rsidR="00676EB6" w:rsidRPr="00157690" w:rsidRDefault="00676EB6" w:rsidP="00676EB6">
      <w:pPr>
        <w:pStyle w:val="Text"/>
      </w:pPr>
      <w:r w:rsidRPr="00157690">
        <w:t xml:space="preserve">The NVETR Program is based on national research priorities approved by ministers with responsibility for vocational education and training. </w:t>
      </w:r>
    </w:p>
    <w:p w:rsidR="00676EB6" w:rsidRPr="00157690" w:rsidRDefault="00676EB6" w:rsidP="00676EB6">
      <w:pPr>
        <w:pStyle w:val="Text"/>
      </w:pPr>
      <w:r>
        <w:t>Authors/project teams are</w:t>
      </w:r>
      <w:r w:rsidRPr="00157690">
        <w:t xml:space="preserve"> funded to undertake this research via a grant under the NVETR Program. The research grants are awarded to organisations through a competitive process, in which NCVER does not participate. To ensure the quality and relevance of the research</w:t>
      </w:r>
      <w:r>
        <w:t>,</w:t>
      </w:r>
      <w:r w:rsidRPr="00157690">
        <w:t xml:space="preserve"> projects are selected using an independent and transparent process and researc</w:t>
      </w:r>
      <w:r>
        <w:t>h reports are peer-</w:t>
      </w:r>
      <w:r w:rsidRPr="00157690">
        <w:t>reviewed.</w:t>
      </w:r>
    </w:p>
    <w:p w:rsidR="00676EB6" w:rsidRPr="00157690" w:rsidRDefault="00676EB6" w:rsidP="00676EB6">
      <w:pPr>
        <w:pStyle w:val="Text"/>
      </w:pPr>
      <w:r w:rsidRPr="00157690">
        <w:t xml:space="preserve">The NVETR </w:t>
      </w:r>
      <w:r>
        <w:t>P</w:t>
      </w:r>
      <w:r w:rsidRPr="00157690">
        <w:t xml:space="preserve">rogram aims to improve policy and practice in the VET sector. The research effort itself is collaborative </w:t>
      </w:r>
      <w:r>
        <w:t>and</w:t>
      </w:r>
      <w:r w:rsidRPr="00157690">
        <w:t xml:space="preserve"> requires strong relationships with the research community in Australia’s universities and beyond. NCVER may also involve various stakeholders</w:t>
      </w:r>
      <w:r>
        <w:t>,</w:t>
      </w:r>
      <w:r w:rsidRPr="00157690">
        <w:t xml:space="preserve"> including state and territory governments, industry and practitioners</w:t>
      </w:r>
      <w:r>
        <w:t>,</w:t>
      </w:r>
      <w:r w:rsidRPr="00157690">
        <w:t xml:space="preserve"> to inform the commissioned research, </w:t>
      </w:r>
      <w:r>
        <w:t xml:space="preserve">and </w:t>
      </w:r>
      <w:r w:rsidRPr="00157690">
        <w:t>us</w:t>
      </w:r>
      <w:r>
        <w:t>e</w:t>
      </w:r>
      <w:r w:rsidRPr="00157690">
        <w:t xml:space="preserve"> a variety of mechanisms such as project roundtables and forums. </w:t>
      </w:r>
    </w:p>
    <w:p w:rsidR="00676EB6" w:rsidRDefault="00676EB6" w:rsidP="00676EB6">
      <w:pPr>
        <w:pStyle w:val="Text"/>
      </w:pPr>
      <w:proofErr w:type="gramStart"/>
      <w:r w:rsidRPr="00157690">
        <w:t>For further information about the program go to the NCVER website &lt;</w:t>
      </w:r>
      <w:r>
        <w:t>http://</w:t>
      </w:r>
      <w:r w:rsidRPr="00157690">
        <w:t>www.ncver.edu.au&gt;.</w:t>
      </w:r>
      <w:proofErr w:type="gramEnd"/>
    </w:p>
    <w:p w:rsidR="00266EC2" w:rsidRDefault="00266EC2" w:rsidP="00676EB6">
      <w:pPr>
        <w:pStyle w:val="Text"/>
        <w:ind w:right="566"/>
      </w:pPr>
    </w:p>
    <w:sectPr w:rsidR="00266EC2" w:rsidSect="004C44EB">
      <w:footerReference w:type="even" r:id="rId19"/>
      <w:footerReference w:type="default" r:id="rId20"/>
      <w:pgSz w:w="11907" w:h="16840" w:code="9"/>
      <w:pgMar w:top="1276" w:right="1701" w:bottom="1276" w:left="1418" w:header="709"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0D3" w:rsidRDefault="00DA00D3">
      <w:r>
        <w:separator/>
      </w:r>
    </w:p>
    <w:p w:rsidR="00DA00D3" w:rsidRDefault="00DA00D3"/>
  </w:endnote>
  <w:endnote w:type="continuationSeparator" w:id="0">
    <w:p w:rsidR="00DA00D3" w:rsidRDefault="00DA00D3">
      <w:r>
        <w:continuationSeparator/>
      </w:r>
    </w:p>
    <w:p w:rsidR="00DA00D3" w:rsidRDefault="00DA00D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0D3" w:rsidRPr="00D70491" w:rsidRDefault="00A04EA9" w:rsidP="00D70491">
    <w:pPr>
      <w:pStyle w:val="Footer"/>
      <w:tabs>
        <w:tab w:val="clear" w:pos="8505"/>
        <w:tab w:val="right" w:pos="8789"/>
      </w:tabs>
      <w:rPr>
        <w:b/>
      </w:rPr>
    </w:pPr>
    <w:r w:rsidRPr="00A04EA9">
      <w:rPr>
        <w:b/>
        <w:noProof/>
        <w:color w:val="FFFFFF" w:themeColor="background1"/>
        <w:lang w:eastAsia="en-AU"/>
      </w:rPr>
      <w:pict>
        <v:rect id="Rectangle 3" o:spid="_x0000_s4099" style="position:absolute;margin-left:-85.05pt;margin-top:-2.45pt;width:99pt;height:18.7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" fillcolor="black [3213]" stroked="f" strokecolor="#bfbfbf [2412]"/>
      </w:pict>
    </w:r>
    <w:r w:rsidRPr="008C0A74">
      <w:rPr>
        <w:b/>
        <w:color w:val="FFFFFF" w:themeColor="background1"/>
      </w:rPr>
      <w:fldChar w:fldCharType="begin"/>
    </w:r>
    <w:r w:rsidR="00DA00D3" w:rsidRPr="008C0A74">
      <w:rPr>
        <w:b/>
        <w:color w:val="FFFFFF" w:themeColor="background1"/>
      </w:rPr>
      <w:instrText xml:space="preserve"> PAGE </w:instrText>
    </w:r>
    <w:r w:rsidRPr="008C0A74">
      <w:rPr>
        <w:b/>
        <w:color w:val="FFFFFF" w:themeColor="background1"/>
      </w:rPr>
      <w:fldChar w:fldCharType="separate"/>
    </w:r>
    <w:r w:rsidR="00CD186C">
      <w:rPr>
        <w:b/>
        <w:noProof/>
        <w:color w:val="FFFFFF" w:themeColor="background1"/>
      </w:rPr>
      <w:t>26</w:t>
    </w:r>
    <w:r w:rsidRPr="008C0A74">
      <w:rPr>
        <w:b/>
        <w:color w:val="FFFFFF" w:themeColor="background1"/>
      </w:rPr>
      <w:fldChar w:fldCharType="end"/>
    </w:r>
    <w:r w:rsidR="00DA00D3" w:rsidRPr="008C0A74">
      <w:rPr>
        <w:b/>
        <w:color w:val="FFFFFF" w:themeColor="background1"/>
      </w:rPr>
      <w:tab/>
    </w:r>
    <w:r w:rsidR="00DA00D3" w:rsidRPr="00F263B4">
      <w:rPr>
        <w:b/>
      </w:rPr>
      <w:t xml:space="preserve">Transitioning from VET to university: </w:t>
    </w:r>
    <w:r w:rsidR="00DA00D3">
      <w:rPr>
        <w:b/>
      </w:rPr>
      <w:t>s</w:t>
    </w:r>
    <w:r w:rsidR="00DA00D3" w:rsidRPr="00F263B4">
      <w:rPr>
        <w:b/>
      </w:rPr>
      <w:t>trengthening information literacy through collaboration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0D3" w:rsidRPr="00D70491" w:rsidRDefault="00A04EA9" w:rsidP="00D70491">
    <w:pPr>
      <w:pStyle w:val="Footer"/>
      <w:tabs>
        <w:tab w:val="clear" w:pos="8505"/>
        <w:tab w:val="right" w:pos="8789"/>
      </w:tabs>
      <w:rPr>
        <w:color w:val="FFFFFF" w:themeColor="background1"/>
      </w:rPr>
    </w:pPr>
    <w:r w:rsidRPr="00A04EA9">
      <w:rPr>
        <w:b/>
        <w:noProof/>
        <w:lang w:eastAsia="en-AU"/>
      </w:rPr>
      <w:pict>
        <v:rect id="_x0000_s4100" style="position:absolute;margin-left:425.6pt;margin-top:-2.45pt;width:99pt;height:18.7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" fillcolor="black [3213]" stroked="f" strokecolor="#bfbfbf [2412]"/>
      </w:pict>
    </w:r>
    <w:r w:rsidR="00DA00D3" w:rsidRPr="009775C7">
      <w:rPr>
        <w:b/>
      </w:rPr>
      <w:t>NCVER</w:t>
    </w:r>
    <w:r w:rsidR="00DA00D3" w:rsidRPr="009775C7">
      <w:tab/>
    </w:r>
    <w:r w:rsidRPr="009775C7">
      <w:rPr>
        <w:rStyle w:val="PageNumber"/>
        <w:rFonts w:cs="Tahoma"/>
        <w:b/>
        <w:color w:val="FFFFFF" w:themeColor="background1"/>
        <w:sz w:val="17"/>
      </w:rPr>
      <w:fldChar w:fldCharType="begin"/>
    </w:r>
    <w:r w:rsidR="00DA00D3"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CD186C">
      <w:rPr>
        <w:rStyle w:val="PageNumber"/>
        <w:rFonts w:cs="Tahoma"/>
        <w:b/>
        <w:noProof/>
        <w:color w:val="FFFFFF" w:themeColor="background1"/>
        <w:sz w:val="17"/>
      </w:rPr>
      <w:t>25</w:t>
    </w:r>
    <w:r w:rsidRPr="009775C7">
      <w:rPr>
        <w:rStyle w:val="PageNumber"/>
        <w:rFonts w:cs="Tahoma"/>
        <w:b/>
        <w:color w:val="FFFFFF" w:themeColor="background1"/>
        <w:sz w:val="17"/>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0D3" w:rsidRPr="00D70491" w:rsidRDefault="00DA00D3" w:rsidP="00D70491">
    <w:pPr>
      <w:pStyle w:val="Footer"/>
      <w:tabs>
        <w:tab w:val="clear" w:pos="8505"/>
        <w:tab w:val="right" w:pos="8789"/>
      </w:tabs>
      <w:rPr>
        <w:color w:val="FFFFFF" w:themeColor="background1"/>
      </w:rPr>
    </w:pPr>
    <w:r w:rsidRPr="00D70491">
      <w:rPr>
        <w:color w:val="FFFFFF" w:themeColor="background1"/>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0D3" w:rsidRPr="00D70491" w:rsidRDefault="00A04EA9" w:rsidP="00D70491">
    <w:pPr>
      <w:pStyle w:val="Footer"/>
      <w:tabs>
        <w:tab w:val="clear" w:pos="8505"/>
        <w:tab w:val="right" w:pos="8789"/>
      </w:tabs>
      <w:rPr>
        <w:b/>
      </w:rPr>
    </w:pPr>
    <w:r w:rsidRPr="00A04EA9">
      <w:rPr>
        <w:b/>
        <w:noProof/>
        <w:color w:val="FFFFFF" w:themeColor="background1"/>
        <w:lang w:eastAsia="en-AU"/>
      </w:rPr>
      <w:pict>
        <v:rect id="_x0000_s4101" style="position:absolute;margin-left:-85.05pt;margin-top:-2.45pt;width:99pt;height:18.7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" fillcolor="black [3213]" stroked="f" strokecolor="#bfbfbf [2412]"/>
      </w:pict>
    </w:r>
    <w:r w:rsidRPr="008C0A74">
      <w:rPr>
        <w:b/>
        <w:color w:val="FFFFFF" w:themeColor="background1"/>
      </w:rPr>
      <w:fldChar w:fldCharType="begin"/>
    </w:r>
    <w:r w:rsidR="00DA00D3" w:rsidRPr="008C0A74">
      <w:rPr>
        <w:b/>
        <w:color w:val="FFFFFF" w:themeColor="background1"/>
      </w:rPr>
      <w:instrText xml:space="preserve"> PAGE </w:instrText>
    </w:r>
    <w:r w:rsidRPr="008C0A74">
      <w:rPr>
        <w:b/>
        <w:color w:val="FFFFFF" w:themeColor="background1"/>
      </w:rPr>
      <w:fldChar w:fldCharType="separate"/>
    </w:r>
    <w:r w:rsidR="00CD186C">
      <w:rPr>
        <w:b/>
        <w:noProof/>
        <w:color w:val="FFFFFF" w:themeColor="background1"/>
      </w:rPr>
      <w:t>30</w:t>
    </w:r>
    <w:r w:rsidRPr="008C0A74">
      <w:rPr>
        <w:b/>
        <w:color w:val="FFFFFF" w:themeColor="background1"/>
      </w:rPr>
      <w:fldChar w:fldCharType="end"/>
    </w:r>
    <w:r w:rsidR="00DA00D3" w:rsidRPr="008C0A74">
      <w:rPr>
        <w:b/>
        <w:color w:val="FFFFFF" w:themeColor="background1"/>
      </w:rPr>
      <w:tab/>
    </w:r>
    <w:r w:rsidR="00DA00D3" w:rsidRPr="00F263B4">
      <w:rPr>
        <w:b/>
      </w:rPr>
      <w:t xml:space="preserve">Transitioning from VET to university: </w:t>
    </w:r>
    <w:r w:rsidR="00DA00D3">
      <w:rPr>
        <w:b/>
      </w:rPr>
      <w:t>s</w:t>
    </w:r>
    <w:r w:rsidR="00DA00D3" w:rsidRPr="00F263B4">
      <w:rPr>
        <w:b/>
      </w:rPr>
      <w:t>trengthening information literacy through collaboration</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0D3" w:rsidRPr="00D70491" w:rsidRDefault="00A04EA9" w:rsidP="00D70491">
    <w:pPr>
      <w:pStyle w:val="Footer"/>
      <w:tabs>
        <w:tab w:val="clear" w:pos="8505"/>
        <w:tab w:val="right" w:pos="8789"/>
      </w:tabs>
      <w:rPr>
        <w:color w:val="FFFFFF" w:themeColor="background1"/>
      </w:rPr>
    </w:pPr>
    <w:r w:rsidRPr="00A04EA9">
      <w:rPr>
        <w:b/>
        <w:noProof/>
        <w:lang w:eastAsia="en-AU"/>
      </w:rPr>
      <w:pict>
        <v:rect id="_x0000_s4102" style="position:absolute;margin-left:425.6pt;margin-top:-2.45pt;width:99pt;height:18.7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" fillcolor="black [3213]" stroked="f" strokecolor="#bfbfbf [2412]"/>
      </w:pict>
    </w:r>
    <w:r w:rsidR="00DA00D3" w:rsidRPr="009775C7">
      <w:rPr>
        <w:b/>
      </w:rPr>
      <w:t>NCVER</w:t>
    </w:r>
    <w:r w:rsidR="00DA00D3" w:rsidRPr="009775C7">
      <w:tab/>
    </w:r>
    <w:r w:rsidRPr="009775C7">
      <w:rPr>
        <w:rStyle w:val="PageNumber"/>
        <w:rFonts w:cs="Tahoma"/>
        <w:b/>
        <w:color w:val="FFFFFF" w:themeColor="background1"/>
        <w:sz w:val="17"/>
      </w:rPr>
      <w:fldChar w:fldCharType="begin"/>
    </w:r>
    <w:r w:rsidR="00DA00D3"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CD186C">
      <w:rPr>
        <w:rStyle w:val="PageNumber"/>
        <w:rFonts w:cs="Tahoma"/>
        <w:b/>
        <w:noProof/>
        <w:color w:val="FFFFFF" w:themeColor="background1"/>
        <w:sz w:val="17"/>
      </w:rPr>
      <w:t>31</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0D3" w:rsidRDefault="00DA00D3">
      <w:r>
        <w:separator/>
      </w:r>
    </w:p>
    <w:p w:rsidR="00DA00D3" w:rsidRDefault="00DA00D3"/>
  </w:footnote>
  <w:footnote w:type="continuationSeparator" w:id="0">
    <w:p w:rsidR="00DA00D3" w:rsidRDefault="00DA00D3">
      <w:r>
        <w:continuationSeparator/>
      </w:r>
    </w:p>
    <w:p w:rsidR="00DA00D3" w:rsidRDefault="00DA00D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multilevel"/>
    <w:tmpl w:val="D5C8F09E"/>
    <w:lvl w:ilvl="0">
      <w:start w:val="1"/>
      <w:numFmt w:val="bullet"/>
      <w:lvlText w:val=""/>
      <w:lvlJc w:val="left"/>
      <w:pPr>
        <w:tabs>
          <w:tab w:val="num" w:pos="284"/>
        </w:tabs>
        <w:ind w:left="284" w:hanging="284"/>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nsid w:val="1BA65429"/>
    <w:multiLevelType w:val="multilevel"/>
    <w:tmpl w:val="D5C8F09E"/>
    <w:lvl w:ilvl="0">
      <w:start w:val="1"/>
      <w:numFmt w:val="bullet"/>
      <w:lvlText w:val=""/>
      <w:lvlJc w:val="left"/>
      <w:pPr>
        <w:tabs>
          <w:tab w:val="num" w:pos="284"/>
        </w:tabs>
        <w:ind w:left="284" w:hanging="284"/>
      </w:pPr>
      <w:rPr>
        <w:rFonts w:ascii="Symbol" w:hAnsi="Symbol" w:hint="default"/>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nsid w:val="2B383CE5"/>
    <w:multiLevelType w:val="multilevel"/>
    <w:tmpl w:val="D5C8F09E"/>
    <w:lvl w:ilvl="0">
      <w:start w:val="1"/>
      <w:numFmt w:val="bullet"/>
      <w:lvlText w:val=""/>
      <w:lvlJc w:val="left"/>
      <w:pPr>
        <w:tabs>
          <w:tab w:val="num" w:pos="284"/>
        </w:tabs>
        <w:ind w:left="284" w:hanging="284"/>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2BC60363"/>
    <w:multiLevelType w:val="hybridMultilevel"/>
    <w:tmpl w:val="543CE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327C7FCC"/>
    <w:multiLevelType w:val="multilevel"/>
    <w:tmpl w:val="D5C8F09E"/>
    <w:lvl w:ilvl="0">
      <w:start w:val="1"/>
      <w:numFmt w:val="bullet"/>
      <w:lvlText w:val=""/>
      <w:lvlJc w:val="left"/>
      <w:pPr>
        <w:tabs>
          <w:tab w:val="num" w:pos="284"/>
        </w:tabs>
        <w:ind w:left="284" w:hanging="284"/>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6906A06"/>
    <w:multiLevelType w:val="hybridMultilevel"/>
    <w:tmpl w:val="F1BAF442"/>
    <w:lvl w:ilvl="0" w:tplc="0898F7EA">
      <w:start w:val="1"/>
      <w:numFmt w:val="decimal"/>
      <w:lvlText w:val="%1."/>
      <w:lvlJc w:val="left"/>
      <w:pPr>
        <w:ind w:left="360" w:hanging="360"/>
      </w:pPr>
      <w:rPr>
        <w:rFonts w:ascii="Arial" w:hAnsi="Arial" w:cs="Arial"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38637BD"/>
    <w:multiLevelType w:val="hybridMultilevel"/>
    <w:tmpl w:val="1BE6B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9">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3">
    <w:nsid w:val="650129FB"/>
    <w:multiLevelType w:val="hybridMultilevel"/>
    <w:tmpl w:val="EDAECF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24"/>
  </w:num>
  <w:num w:numId="5">
    <w:abstractNumId w:val="12"/>
  </w:num>
  <w:num w:numId="6">
    <w:abstractNumId w:val="28"/>
  </w:num>
  <w:num w:numId="7">
    <w:abstractNumId w:val="30"/>
  </w:num>
  <w:num w:numId="8">
    <w:abstractNumId w:val="29"/>
  </w:num>
  <w:num w:numId="9">
    <w:abstractNumId w:val="34"/>
  </w:num>
  <w:num w:numId="10">
    <w:abstractNumId w:val="25"/>
  </w:num>
  <w:num w:numId="11">
    <w:abstractNumId w:val="21"/>
  </w:num>
  <w:num w:numId="12">
    <w:abstractNumId w:val="26"/>
  </w:num>
  <w:num w:numId="13">
    <w:abstractNumId w:val="27"/>
  </w:num>
  <w:num w:numId="14">
    <w:abstractNumId w:val="15"/>
  </w:num>
  <w:num w:numId="15">
    <w:abstractNumId w:val="22"/>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35"/>
  </w:num>
  <w:num w:numId="27">
    <w:abstractNumId w:val="32"/>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31"/>
  </w:num>
  <w:num w:numId="35">
    <w:abstractNumId w:val="10"/>
    <w:lvlOverride w:ilvl="0">
      <w:startOverride w:val="1"/>
    </w:lvlOverride>
  </w:num>
  <w:num w:numId="36">
    <w:abstractNumId w:val="10"/>
    <w:lvlOverride w:ilvl="0">
      <w:startOverride w:val="1"/>
    </w:lvlOverride>
  </w:num>
  <w:num w:numId="37">
    <w:abstractNumId w:val="20"/>
  </w:num>
  <w:num w:numId="38">
    <w:abstractNumId w:val="14"/>
  </w:num>
  <w:num w:numId="39">
    <w:abstractNumId w:val="10"/>
    <w:lvlOverride w:ilvl="0">
      <w:startOverride w:val="1"/>
    </w:lvlOverride>
  </w:num>
  <w:num w:numId="40">
    <w:abstractNumId w:val="23"/>
  </w:num>
  <w:num w:numId="41">
    <w:abstractNumId w:val="10"/>
  </w:num>
  <w:num w:numId="42">
    <w:abstractNumId w:val="33"/>
  </w:num>
  <w:num w:numId="43">
    <w:abstractNumId w:val="10"/>
  </w:num>
  <w:num w:numId="44">
    <w:abstractNumId w:val="17"/>
  </w:num>
  <w:num w:numId="45">
    <w:abstractNumId w:val="16"/>
  </w:num>
  <w:num w:numId="4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808"/>
  <w:stylePaneSortMethod w:val="0000"/>
  <w:doNotTrackFormatting/>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rsids>
    <w:rsidRoot w:val="00404CCE"/>
    <w:rsid w:val="00001646"/>
    <w:rsid w:val="00004FAC"/>
    <w:rsid w:val="00005445"/>
    <w:rsid w:val="0001018B"/>
    <w:rsid w:val="000108B2"/>
    <w:rsid w:val="00012B64"/>
    <w:rsid w:val="00012CB7"/>
    <w:rsid w:val="00013265"/>
    <w:rsid w:val="00013AF5"/>
    <w:rsid w:val="00016449"/>
    <w:rsid w:val="00016903"/>
    <w:rsid w:val="00022290"/>
    <w:rsid w:val="00022525"/>
    <w:rsid w:val="000315D7"/>
    <w:rsid w:val="00033E59"/>
    <w:rsid w:val="000345A3"/>
    <w:rsid w:val="000357E6"/>
    <w:rsid w:val="00036A98"/>
    <w:rsid w:val="00053100"/>
    <w:rsid w:val="0005501E"/>
    <w:rsid w:val="00055CDE"/>
    <w:rsid w:val="0006125F"/>
    <w:rsid w:val="00062EBC"/>
    <w:rsid w:val="00064F00"/>
    <w:rsid w:val="00065494"/>
    <w:rsid w:val="00065E52"/>
    <w:rsid w:val="0007194B"/>
    <w:rsid w:val="00074BD4"/>
    <w:rsid w:val="00076880"/>
    <w:rsid w:val="00076883"/>
    <w:rsid w:val="00080483"/>
    <w:rsid w:val="000843CB"/>
    <w:rsid w:val="00090B92"/>
    <w:rsid w:val="00091F9A"/>
    <w:rsid w:val="00092AEF"/>
    <w:rsid w:val="00095E89"/>
    <w:rsid w:val="000A0745"/>
    <w:rsid w:val="000A2B91"/>
    <w:rsid w:val="000A4D41"/>
    <w:rsid w:val="000A4FDE"/>
    <w:rsid w:val="000A633D"/>
    <w:rsid w:val="000B0EEB"/>
    <w:rsid w:val="000B11EB"/>
    <w:rsid w:val="000B5986"/>
    <w:rsid w:val="000C1119"/>
    <w:rsid w:val="000C3FD4"/>
    <w:rsid w:val="000C4708"/>
    <w:rsid w:val="000C7EE9"/>
    <w:rsid w:val="000D2258"/>
    <w:rsid w:val="000D2D35"/>
    <w:rsid w:val="000D3C53"/>
    <w:rsid w:val="000D3D4D"/>
    <w:rsid w:val="000D4BAF"/>
    <w:rsid w:val="000D4F74"/>
    <w:rsid w:val="000D7381"/>
    <w:rsid w:val="000D75A2"/>
    <w:rsid w:val="000E1A07"/>
    <w:rsid w:val="000E4EC6"/>
    <w:rsid w:val="000F4354"/>
    <w:rsid w:val="000F55DE"/>
    <w:rsid w:val="000F641C"/>
    <w:rsid w:val="001009EC"/>
    <w:rsid w:val="00100A83"/>
    <w:rsid w:val="00107475"/>
    <w:rsid w:val="0010761A"/>
    <w:rsid w:val="00111AB8"/>
    <w:rsid w:val="0011319B"/>
    <w:rsid w:val="0011536C"/>
    <w:rsid w:val="001220AD"/>
    <w:rsid w:val="001234DE"/>
    <w:rsid w:val="00123781"/>
    <w:rsid w:val="00123B5C"/>
    <w:rsid w:val="00132A1F"/>
    <w:rsid w:val="001337C6"/>
    <w:rsid w:val="00135C75"/>
    <w:rsid w:val="001420D1"/>
    <w:rsid w:val="00143CE4"/>
    <w:rsid w:val="001502E3"/>
    <w:rsid w:val="00150874"/>
    <w:rsid w:val="001509F3"/>
    <w:rsid w:val="001516B3"/>
    <w:rsid w:val="00151FA2"/>
    <w:rsid w:val="00152B8F"/>
    <w:rsid w:val="00154D17"/>
    <w:rsid w:val="00155839"/>
    <w:rsid w:val="00155AFC"/>
    <w:rsid w:val="00157690"/>
    <w:rsid w:val="00161206"/>
    <w:rsid w:val="0016133C"/>
    <w:rsid w:val="0016280A"/>
    <w:rsid w:val="001636F9"/>
    <w:rsid w:val="00163E4B"/>
    <w:rsid w:val="00166EF6"/>
    <w:rsid w:val="001673A9"/>
    <w:rsid w:val="00170452"/>
    <w:rsid w:val="00172E91"/>
    <w:rsid w:val="00173D1C"/>
    <w:rsid w:val="00174905"/>
    <w:rsid w:val="00176C34"/>
    <w:rsid w:val="0017769C"/>
    <w:rsid w:val="00177827"/>
    <w:rsid w:val="001806DB"/>
    <w:rsid w:val="00182DA0"/>
    <w:rsid w:val="00183597"/>
    <w:rsid w:val="00184504"/>
    <w:rsid w:val="00185E1A"/>
    <w:rsid w:val="001863BB"/>
    <w:rsid w:val="00186590"/>
    <w:rsid w:val="001A327F"/>
    <w:rsid w:val="001B1998"/>
    <w:rsid w:val="001B1BB2"/>
    <w:rsid w:val="001B2A0B"/>
    <w:rsid w:val="001B3201"/>
    <w:rsid w:val="001B43CF"/>
    <w:rsid w:val="001B4C1C"/>
    <w:rsid w:val="001B6BBE"/>
    <w:rsid w:val="001C0466"/>
    <w:rsid w:val="001C0BAC"/>
    <w:rsid w:val="001C2CB5"/>
    <w:rsid w:val="001C3453"/>
    <w:rsid w:val="001C3882"/>
    <w:rsid w:val="001C64BA"/>
    <w:rsid w:val="001C7F96"/>
    <w:rsid w:val="001D214B"/>
    <w:rsid w:val="001D3D5E"/>
    <w:rsid w:val="001D597F"/>
    <w:rsid w:val="001D60A2"/>
    <w:rsid w:val="001D7281"/>
    <w:rsid w:val="001E072E"/>
    <w:rsid w:val="001E2628"/>
    <w:rsid w:val="001E37E0"/>
    <w:rsid w:val="001E57C2"/>
    <w:rsid w:val="001F1D88"/>
    <w:rsid w:val="001F2431"/>
    <w:rsid w:val="001F4F08"/>
    <w:rsid w:val="001F6D29"/>
    <w:rsid w:val="001F6F8A"/>
    <w:rsid w:val="001F74A0"/>
    <w:rsid w:val="001F7D84"/>
    <w:rsid w:val="0020001E"/>
    <w:rsid w:val="00206472"/>
    <w:rsid w:val="00213B2C"/>
    <w:rsid w:val="002154DC"/>
    <w:rsid w:val="002160AB"/>
    <w:rsid w:val="002167DE"/>
    <w:rsid w:val="002228FA"/>
    <w:rsid w:val="00222E30"/>
    <w:rsid w:val="00225210"/>
    <w:rsid w:val="002277A9"/>
    <w:rsid w:val="00227E00"/>
    <w:rsid w:val="00227E29"/>
    <w:rsid w:val="00232A0E"/>
    <w:rsid w:val="00233A3C"/>
    <w:rsid w:val="00233BFA"/>
    <w:rsid w:val="00234E2B"/>
    <w:rsid w:val="00243BF5"/>
    <w:rsid w:val="00243FAA"/>
    <w:rsid w:val="00245503"/>
    <w:rsid w:val="00246222"/>
    <w:rsid w:val="00246227"/>
    <w:rsid w:val="00252A05"/>
    <w:rsid w:val="00253A2C"/>
    <w:rsid w:val="0026055E"/>
    <w:rsid w:val="00264C09"/>
    <w:rsid w:val="00266EC2"/>
    <w:rsid w:val="0027206E"/>
    <w:rsid w:val="00283E25"/>
    <w:rsid w:val="00283E6E"/>
    <w:rsid w:val="00284FCB"/>
    <w:rsid w:val="00287710"/>
    <w:rsid w:val="00287B73"/>
    <w:rsid w:val="00287EE8"/>
    <w:rsid w:val="00291539"/>
    <w:rsid w:val="002922C3"/>
    <w:rsid w:val="002948F6"/>
    <w:rsid w:val="00294EF5"/>
    <w:rsid w:val="002A3C9F"/>
    <w:rsid w:val="002A4213"/>
    <w:rsid w:val="002A5355"/>
    <w:rsid w:val="002B07FE"/>
    <w:rsid w:val="002B1A1B"/>
    <w:rsid w:val="002B5CC1"/>
    <w:rsid w:val="002C3C16"/>
    <w:rsid w:val="002C4F4E"/>
    <w:rsid w:val="002C5148"/>
    <w:rsid w:val="002C6396"/>
    <w:rsid w:val="002D10FD"/>
    <w:rsid w:val="002D112D"/>
    <w:rsid w:val="002D24B0"/>
    <w:rsid w:val="002D3911"/>
    <w:rsid w:val="002E196B"/>
    <w:rsid w:val="002E630F"/>
    <w:rsid w:val="002F34E0"/>
    <w:rsid w:val="003011A0"/>
    <w:rsid w:val="00302BBE"/>
    <w:rsid w:val="003030ED"/>
    <w:rsid w:val="00303C6D"/>
    <w:rsid w:val="00307D53"/>
    <w:rsid w:val="00311FC3"/>
    <w:rsid w:val="00316404"/>
    <w:rsid w:val="00316E8C"/>
    <w:rsid w:val="003226AE"/>
    <w:rsid w:val="00324D1F"/>
    <w:rsid w:val="00326824"/>
    <w:rsid w:val="00331CB3"/>
    <w:rsid w:val="00331D7F"/>
    <w:rsid w:val="003322D8"/>
    <w:rsid w:val="0033357E"/>
    <w:rsid w:val="003345AE"/>
    <w:rsid w:val="00334CE3"/>
    <w:rsid w:val="00340B4D"/>
    <w:rsid w:val="00341376"/>
    <w:rsid w:val="003413FD"/>
    <w:rsid w:val="00341603"/>
    <w:rsid w:val="00342185"/>
    <w:rsid w:val="00342868"/>
    <w:rsid w:val="00342A9F"/>
    <w:rsid w:val="00344341"/>
    <w:rsid w:val="00344F6D"/>
    <w:rsid w:val="00347942"/>
    <w:rsid w:val="0035001B"/>
    <w:rsid w:val="003506E8"/>
    <w:rsid w:val="00353843"/>
    <w:rsid w:val="00354EBA"/>
    <w:rsid w:val="00357AC8"/>
    <w:rsid w:val="003614A5"/>
    <w:rsid w:val="0036419D"/>
    <w:rsid w:val="00366DBE"/>
    <w:rsid w:val="00370B3C"/>
    <w:rsid w:val="00375817"/>
    <w:rsid w:val="00383904"/>
    <w:rsid w:val="00386C27"/>
    <w:rsid w:val="00397B24"/>
    <w:rsid w:val="00397C94"/>
    <w:rsid w:val="003A240A"/>
    <w:rsid w:val="003A318A"/>
    <w:rsid w:val="003A6322"/>
    <w:rsid w:val="003B16DA"/>
    <w:rsid w:val="003B2495"/>
    <w:rsid w:val="003B309E"/>
    <w:rsid w:val="003B3DC3"/>
    <w:rsid w:val="003B483E"/>
    <w:rsid w:val="003B4B60"/>
    <w:rsid w:val="003B5B6A"/>
    <w:rsid w:val="003B676D"/>
    <w:rsid w:val="003B6D95"/>
    <w:rsid w:val="003B7D49"/>
    <w:rsid w:val="003C3DA5"/>
    <w:rsid w:val="003C49EF"/>
    <w:rsid w:val="003C69BE"/>
    <w:rsid w:val="003C78AA"/>
    <w:rsid w:val="003D4F57"/>
    <w:rsid w:val="003D5EB0"/>
    <w:rsid w:val="003D6251"/>
    <w:rsid w:val="003E0154"/>
    <w:rsid w:val="003E0946"/>
    <w:rsid w:val="003E1541"/>
    <w:rsid w:val="003E67CB"/>
    <w:rsid w:val="003F294C"/>
    <w:rsid w:val="00402435"/>
    <w:rsid w:val="00403E2B"/>
    <w:rsid w:val="00404960"/>
    <w:rsid w:val="00404A85"/>
    <w:rsid w:val="00404CCE"/>
    <w:rsid w:val="00404FCC"/>
    <w:rsid w:val="00412483"/>
    <w:rsid w:val="004130E2"/>
    <w:rsid w:val="00414E5E"/>
    <w:rsid w:val="00416208"/>
    <w:rsid w:val="00420A66"/>
    <w:rsid w:val="0042288A"/>
    <w:rsid w:val="00425FA6"/>
    <w:rsid w:val="00430FD7"/>
    <w:rsid w:val="004316CE"/>
    <w:rsid w:val="00432778"/>
    <w:rsid w:val="0044255D"/>
    <w:rsid w:val="00442B87"/>
    <w:rsid w:val="00442CDD"/>
    <w:rsid w:val="0044598E"/>
    <w:rsid w:val="00455FF9"/>
    <w:rsid w:val="00457C61"/>
    <w:rsid w:val="00473729"/>
    <w:rsid w:val="00473754"/>
    <w:rsid w:val="00477C9E"/>
    <w:rsid w:val="0048643A"/>
    <w:rsid w:val="0048663C"/>
    <w:rsid w:val="004878EA"/>
    <w:rsid w:val="004903B6"/>
    <w:rsid w:val="00491EAB"/>
    <w:rsid w:val="0049453B"/>
    <w:rsid w:val="00494E7C"/>
    <w:rsid w:val="004960C4"/>
    <w:rsid w:val="004A5241"/>
    <w:rsid w:val="004A5CED"/>
    <w:rsid w:val="004A7CF6"/>
    <w:rsid w:val="004B0223"/>
    <w:rsid w:val="004B422D"/>
    <w:rsid w:val="004B6537"/>
    <w:rsid w:val="004C1F2B"/>
    <w:rsid w:val="004C35D4"/>
    <w:rsid w:val="004C3C58"/>
    <w:rsid w:val="004C4063"/>
    <w:rsid w:val="004C44EB"/>
    <w:rsid w:val="004D067B"/>
    <w:rsid w:val="004D17D2"/>
    <w:rsid w:val="004D4802"/>
    <w:rsid w:val="004D5A04"/>
    <w:rsid w:val="004E08BF"/>
    <w:rsid w:val="004E43FB"/>
    <w:rsid w:val="004E566E"/>
    <w:rsid w:val="004E6524"/>
    <w:rsid w:val="004E7227"/>
    <w:rsid w:val="004F215B"/>
    <w:rsid w:val="004F4B09"/>
    <w:rsid w:val="004F7471"/>
    <w:rsid w:val="004F7C64"/>
    <w:rsid w:val="004F7F14"/>
    <w:rsid w:val="00500F91"/>
    <w:rsid w:val="00506B65"/>
    <w:rsid w:val="0050722E"/>
    <w:rsid w:val="00512D05"/>
    <w:rsid w:val="005141EE"/>
    <w:rsid w:val="00520315"/>
    <w:rsid w:val="0052276C"/>
    <w:rsid w:val="00525C84"/>
    <w:rsid w:val="00527D2B"/>
    <w:rsid w:val="00537817"/>
    <w:rsid w:val="00541B94"/>
    <w:rsid w:val="00545AAD"/>
    <w:rsid w:val="005547B2"/>
    <w:rsid w:val="005607D7"/>
    <w:rsid w:val="00562DA2"/>
    <w:rsid w:val="0056561B"/>
    <w:rsid w:val="00570758"/>
    <w:rsid w:val="005746EB"/>
    <w:rsid w:val="00575DB5"/>
    <w:rsid w:val="00577091"/>
    <w:rsid w:val="00581779"/>
    <w:rsid w:val="0058651E"/>
    <w:rsid w:val="005929A4"/>
    <w:rsid w:val="00594172"/>
    <w:rsid w:val="0059755D"/>
    <w:rsid w:val="005A0C28"/>
    <w:rsid w:val="005A2120"/>
    <w:rsid w:val="005B1F5D"/>
    <w:rsid w:val="005B2D91"/>
    <w:rsid w:val="005B4B70"/>
    <w:rsid w:val="005C24DD"/>
    <w:rsid w:val="005C277E"/>
    <w:rsid w:val="005C27FE"/>
    <w:rsid w:val="005C552E"/>
    <w:rsid w:val="005C61F8"/>
    <w:rsid w:val="005C64BC"/>
    <w:rsid w:val="005C7020"/>
    <w:rsid w:val="005C78E9"/>
    <w:rsid w:val="005D0481"/>
    <w:rsid w:val="005D7318"/>
    <w:rsid w:val="005E3883"/>
    <w:rsid w:val="005E4764"/>
    <w:rsid w:val="005E5C34"/>
    <w:rsid w:val="005F16CF"/>
    <w:rsid w:val="005F5A36"/>
    <w:rsid w:val="00600884"/>
    <w:rsid w:val="00606094"/>
    <w:rsid w:val="006100DC"/>
    <w:rsid w:val="00610C02"/>
    <w:rsid w:val="006119DD"/>
    <w:rsid w:val="0061207B"/>
    <w:rsid w:val="00612C85"/>
    <w:rsid w:val="00617463"/>
    <w:rsid w:val="0062126A"/>
    <w:rsid w:val="006221E3"/>
    <w:rsid w:val="00631544"/>
    <w:rsid w:val="0063191E"/>
    <w:rsid w:val="00642C0C"/>
    <w:rsid w:val="0064594F"/>
    <w:rsid w:val="00646894"/>
    <w:rsid w:val="00646FAF"/>
    <w:rsid w:val="00647293"/>
    <w:rsid w:val="00651ACC"/>
    <w:rsid w:val="00652973"/>
    <w:rsid w:val="00652F50"/>
    <w:rsid w:val="00652F85"/>
    <w:rsid w:val="0065513C"/>
    <w:rsid w:val="0065602E"/>
    <w:rsid w:val="00656679"/>
    <w:rsid w:val="00657BCF"/>
    <w:rsid w:val="006630A8"/>
    <w:rsid w:val="00664127"/>
    <w:rsid w:val="006648A4"/>
    <w:rsid w:val="0066785A"/>
    <w:rsid w:val="00670D31"/>
    <w:rsid w:val="00671229"/>
    <w:rsid w:val="00676B85"/>
    <w:rsid w:val="00676EB6"/>
    <w:rsid w:val="00677106"/>
    <w:rsid w:val="0067712D"/>
    <w:rsid w:val="00680710"/>
    <w:rsid w:val="00682A97"/>
    <w:rsid w:val="00686A32"/>
    <w:rsid w:val="00687B1E"/>
    <w:rsid w:val="00690061"/>
    <w:rsid w:val="00696A48"/>
    <w:rsid w:val="006A1CE4"/>
    <w:rsid w:val="006A658C"/>
    <w:rsid w:val="006A6B03"/>
    <w:rsid w:val="006A76AC"/>
    <w:rsid w:val="006B0CC5"/>
    <w:rsid w:val="006B3E5B"/>
    <w:rsid w:val="006B54C2"/>
    <w:rsid w:val="006B5B52"/>
    <w:rsid w:val="006C1D05"/>
    <w:rsid w:val="006C2435"/>
    <w:rsid w:val="006C24B8"/>
    <w:rsid w:val="006C2BD3"/>
    <w:rsid w:val="006C4E39"/>
    <w:rsid w:val="006C576F"/>
    <w:rsid w:val="006C5DA9"/>
    <w:rsid w:val="006C5E1E"/>
    <w:rsid w:val="006C623B"/>
    <w:rsid w:val="006D6A34"/>
    <w:rsid w:val="006D72FC"/>
    <w:rsid w:val="006E17C9"/>
    <w:rsid w:val="006F47DC"/>
    <w:rsid w:val="006F570F"/>
    <w:rsid w:val="006F696A"/>
    <w:rsid w:val="006F780B"/>
    <w:rsid w:val="0070204B"/>
    <w:rsid w:val="00702C0B"/>
    <w:rsid w:val="00702F6B"/>
    <w:rsid w:val="007037A4"/>
    <w:rsid w:val="00703D0C"/>
    <w:rsid w:val="007054E2"/>
    <w:rsid w:val="00705578"/>
    <w:rsid w:val="00705CA8"/>
    <w:rsid w:val="007147FA"/>
    <w:rsid w:val="007202DF"/>
    <w:rsid w:val="00723834"/>
    <w:rsid w:val="00724B47"/>
    <w:rsid w:val="0073053F"/>
    <w:rsid w:val="00730D65"/>
    <w:rsid w:val="00731EC8"/>
    <w:rsid w:val="007370FA"/>
    <w:rsid w:val="00740A14"/>
    <w:rsid w:val="00741A6C"/>
    <w:rsid w:val="00747586"/>
    <w:rsid w:val="007523C7"/>
    <w:rsid w:val="0075358C"/>
    <w:rsid w:val="007541D1"/>
    <w:rsid w:val="007616B2"/>
    <w:rsid w:val="0076490C"/>
    <w:rsid w:val="00772030"/>
    <w:rsid w:val="0077682B"/>
    <w:rsid w:val="00783F44"/>
    <w:rsid w:val="00784F4E"/>
    <w:rsid w:val="00784F75"/>
    <w:rsid w:val="00787494"/>
    <w:rsid w:val="00791A11"/>
    <w:rsid w:val="007951AB"/>
    <w:rsid w:val="0079586C"/>
    <w:rsid w:val="007A19AF"/>
    <w:rsid w:val="007A1E72"/>
    <w:rsid w:val="007A2079"/>
    <w:rsid w:val="007A789C"/>
    <w:rsid w:val="007B223F"/>
    <w:rsid w:val="007B5198"/>
    <w:rsid w:val="007B6C4A"/>
    <w:rsid w:val="007B7DE4"/>
    <w:rsid w:val="007C1A5C"/>
    <w:rsid w:val="007C3281"/>
    <w:rsid w:val="007C444C"/>
    <w:rsid w:val="007C50A7"/>
    <w:rsid w:val="007C6941"/>
    <w:rsid w:val="007C75D3"/>
    <w:rsid w:val="007D0C6D"/>
    <w:rsid w:val="007D23EA"/>
    <w:rsid w:val="007D6F42"/>
    <w:rsid w:val="007E2D8C"/>
    <w:rsid w:val="007E3663"/>
    <w:rsid w:val="007E4319"/>
    <w:rsid w:val="007E44FA"/>
    <w:rsid w:val="007E5307"/>
    <w:rsid w:val="007F3339"/>
    <w:rsid w:val="007F640B"/>
    <w:rsid w:val="00800A2B"/>
    <w:rsid w:val="00804C07"/>
    <w:rsid w:val="00804E82"/>
    <w:rsid w:val="008056ED"/>
    <w:rsid w:val="008057A0"/>
    <w:rsid w:val="008068BD"/>
    <w:rsid w:val="00806C1C"/>
    <w:rsid w:val="008070E9"/>
    <w:rsid w:val="00810E66"/>
    <w:rsid w:val="00815BDE"/>
    <w:rsid w:val="0082030C"/>
    <w:rsid w:val="00821B19"/>
    <w:rsid w:val="00821BD6"/>
    <w:rsid w:val="00821C2C"/>
    <w:rsid w:val="00822174"/>
    <w:rsid w:val="00822A8E"/>
    <w:rsid w:val="00822FDE"/>
    <w:rsid w:val="008236A4"/>
    <w:rsid w:val="00826757"/>
    <w:rsid w:val="00832772"/>
    <w:rsid w:val="0083463F"/>
    <w:rsid w:val="00837D2B"/>
    <w:rsid w:val="00841A60"/>
    <w:rsid w:val="00842044"/>
    <w:rsid w:val="00843928"/>
    <w:rsid w:val="0084580D"/>
    <w:rsid w:val="0084604B"/>
    <w:rsid w:val="00847330"/>
    <w:rsid w:val="00850174"/>
    <w:rsid w:val="00850814"/>
    <w:rsid w:val="00850915"/>
    <w:rsid w:val="0085204A"/>
    <w:rsid w:val="00852661"/>
    <w:rsid w:val="00852669"/>
    <w:rsid w:val="00854EF7"/>
    <w:rsid w:val="00860568"/>
    <w:rsid w:val="00861A77"/>
    <w:rsid w:val="00863AC9"/>
    <w:rsid w:val="00863B88"/>
    <w:rsid w:val="00865C24"/>
    <w:rsid w:val="00867ADB"/>
    <w:rsid w:val="00867F0A"/>
    <w:rsid w:val="00870B54"/>
    <w:rsid w:val="008738D4"/>
    <w:rsid w:val="00874DA5"/>
    <w:rsid w:val="008754DD"/>
    <w:rsid w:val="00883EA7"/>
    <w:rsid w:val="0088579D"/>
    <w:rsid w:val="008910B6"/>
    <w:rsid w:val="008923B6"/>
    <w:rsid w:val="00894271"/>
    <w:rsid w:val="00894783"/>
    <w:rsid w:val="00897D20"/>
    <w:rsid w:val="008A2B01"/>
    <w:rsid w:val="008A308C"/>
    <w:rsid w:val="008A5BF0"/>
    <w:rsid w:val="008A7C4C"/>
    <w:rsid w:val="008B11E1"/>
    <w:rsid w:val="008B22E2"/>
    <w:rsid w:val="008B296F"/>
    <w:rsid w:val="008B4B8A"/>
    <w:rsid w:val="008B5ABB"/>
    <w:rsid w:val="008B6C21"/>
    <w:rsid w:val="008B6D45"/>
    <w:rsid w:val="008C0A74"/>
    <w:rsid w:val="008C2283"/>
    <w:rsid w:val="008C2F61"/>
    <w:rsid w:val="008C33F0"/>
    <w:rsid w:val="008C3B91"/>
    <w:rsid w:val="008C6646"/>
    <w:rsid w:val="008D06E8"/>
    <w:rsid w:val="008D2902"/>
    <w:rsid w:val="008D31EF"/>
    <w:rsid w:val="008D55FE"/>
    <w:rsid w:val="008D5A7E"/>
    <w:rsid w:val="008D7BA0"/>
    <w:rsid w:val="008E1AD1"/>
    <w:rsid w:val="008E6E36"/>
    <w:rsid w:val="008F0134"/>
    <w:rsid w:val="008F182D"/>
    <w:rsid w:val="008F20BA"/>
    <w:rsid w:val="008F2A23"/>
    <w:rsid w:val="008F348C"/>
    <w:rsid w:val="009050C1"/>
    <w:rsid w:val="0090533E"/>
    <w:rsid w:val="009058B5"/>
    <w:rsid w:val="0090648B"/>
    <w:rsid w:val="009115B5"/>
    <w:rsid w:val="009128DF"/>
    <w:rsid w:val="0091401B"/>
    <w:rsid w:val="00920FBF"/>
    <w:rsid w:val="00921E5C"/>
    <w:rsid w:val="00926F29"/>
    <w:rsid w:val="00931CED"/>
    <w:rsid w:val="00933317"/>
    <w:rsid w:val="009353C4"/>
    <w:rsid w:val="0093792B"/>
    <w:rsid w:val="0094001D"/>
    <w:rsid w:val="00941446"/>
    <w:rsid w:val="0094226E"/>
    <w:rsid w:val="00943B0A"/>
    <w:rsid w:val="0094416B"/>
    <w:rsid w:val="009461ED"/>
    <w:rsid w:val="00947411"/>
    <w:rsid w:val="009538E6"/>
    <w:rsid w:val="009565DD"/>
    <w:rsid w:val="0096094F"/>
    <w:rsid w:val="00960D5A"/>
    <w:rsid w:val="009634A6"/>
    <w:rsid w:val="00966150"/>
    <w:rsid w:val="0096654C"/>
    <w:rsid w:val="0096658E"/>
    <w:rsid w:val="009701A3"/>
    <w:rsid w:val="009704E4"/>
    <w:rsid w:val="00973CC4"/>
    <w:rsid w:val="00974529"/>
    <w:rsid w:val="009775C7"/>
    <w:rsid w:val="009814DE"/>
    <w:rsid w:val="00981AE9"/>
    <w:rsid w:val="00983922"/>
    <w:rsid w:val="00984388"/>
    <w:rsid w:val="00985335"/>
    <w:rsid w:val="009875D2"/>
    <w:rsid w:val="0099154F"/>
    <w:rsid w:val="00994892"/>
    <w:rsid w:val="00997650"/>
    <w:rsid w:val="009A397C"/>
    <w:rsid w:val="009A6006"/>
    <w:rsid w:val="009A74E5"/>
    <w:rsid w:val="009B189C"/>
    <w:rsid w:val="009B1FE5"/>
    <w:rsid w:val="009C22BE"/>
    <w:rsid w:val="009C6870"/>
    <w:rsid w:val="009D1008"/>
    <w:rsid w:val="009D2CEA"/>
    <w:rsid w:val="009D4A13"/>
    <w:rsid w:val="009E03A4"/>
    <w:rsid w:val="009E231A"/>
    <w:rsid w:val="009E2F64"/>
    <w:rsid w:val="009E462D"/>
    <w:rsid w:val="009E62BC"/>
    <w:rsid w:val="009F10FA"/>
    <w:rsid w:val="009F56E3"/>
    <w:rsid w:val="00A0232D"/>
    <w:rsid w:val="00A04EA9"/>
    <w:rsid w:val="00A109D1"/>
    <w:rsid w:val="00A10A6B"/>
    <w:rsid w:val="00A10E2B"/>
    <w:rsid w:val="00A14259"/>
    <w:rsid w:val="00A14BA5"/>
    <w:rsid w:val="00A16736"/>
    <w:rsid w:val="00A2128E"/>
    <w:rsid w:val="00A236FC"/>
    <w:rsid w:val="00A30084"/>
    <w:rsid w:val="00A3012D"/>
    <w:rsid w:val="00A30E58"/>
    <w:rsid w:val="00A33DF7"/>
    <w:rsid w:val="00A34D75"/>
    <w:rsid w:val="00A45638"/>
    <w:rsid w:val="00A50895"/>
    <w:rsid w:val="00A527FE"/>
    <w:rsid w:val="00A53957"/>
    <w:rsid w:val="00A5408F"/>
    <w:rsid w:val="00A5674C"/>
    <w:rsid w:val="00A567A3"/>
    <w:rsid w:val="00A56A4A"/>
    <w:rsid w:val="00A56E40"/>
    <w:rsid w:val="00A61657"/>
    <w:rsid w:val="00A62BEF"/>
    <w:rsid w:val="00A64D36"/>
    <w:rsid w:val="00A65A93"/>
    <w:rsid w:val="00A665C9"/>
    <w:rsid w:val="00A66EEF"/>
    <w:rsid w:val="00A73318"/>
    <w:rsid w:val="00A73505"/>
    <w:rsid w:val="00A73EE1"/>
    <w:rsid w:val="00A74EE8"/>
    <w:rsid w:val="00A758EF"/>
    <w:rsid w:val="00A81B85"/>
    <w:rsid w:val="00A82E44"/>
    <w:rsid w:val="00A83522"/>
    <w:rsid w:val="00A84E17"/>
    <w:rsid w:val="00A855A4"/>
    <w:rsid w:val="00A86F0D"/>
    <w:rsid w:val="00A871A4"/>
    <w:rsid w:val="00A93867"/>
    <w:rsid w:val="00A96FE6"/>
    <w:rsid w:val="00AA4431"/>
    <w:rsid w:val="00AA44D4"/>
    <w:rsid w:val="00AA74CD"/>
    <w:rsid w:val="00AB3A42"/>
    <w:rsid w:val="00AB4063"/>
    <w:rsid w:val="00AB562B"/>
    <w:rsid w:val="00AB6D14"/>
    <w:rsid w:val="00AB6FC3"/>
    <w:rsid w:val="00AB7C9D"/>
    <w:rsid w:val="00AC17E9"/>
    <w:rsid w:val="00AC48C9"/>
    <w:rsid w:val="00AC5187"/>
    <w:rsid w:val="00AC5FEA"/>
    <w:rsid w:val="00AC688A"/>
    <w:rsid w:val="00AD3FC3"/>
    <w:rsid w:val="00AD44CA"/>
    <w:rsid w:val="00AE42A9"/>
    <w:rsid w:val="00AE4A69"/>
    <w:rsid w:val="00AE68D2"/>
    <w:rsid w:val="00AE6D4A"/>
    <w:rsid w:val="00AF1005"/>
    <w:rsid w:val="00AF2FE4"/>
    <w:rsid w:val="00AF67FA"/>
    <w:rsid w:val="00B04CF8"/>
    <w:rsid w:val="00B05F5C"/>
    <w:rsid w:val="00B05F8C"/>
    <w:rsid w:val="00B20BEE"/>
    <w:rsid w:val="00B21422"/>
    <w:rsid w:val="00B219A7"/>
    <w:rsid w:val="00B23A2C"/>
    <w:rsid w:val="00B23C8D"/>
    <w:rsid w:val="00B24688"/>
    <w:rsid w:val="00B24CED"/>
    <w:rsid w:val="00B32F19"/>
    <w:rsid w:val="00B33739"/>
    <w:rsid w:val="00B34232"/>
    <w:rsid w:val="00B37561"/>
    <w:rsid w:val="00B3773E"/>
    <w:rsid w:val="00B40668"/>
    <w:rsid w:val="00B41272"/>
    <w:rsid w:val="00B426FE"/>
    <w:rsid w:val="00B43C84"/>
    <w:rsid w:val="00B46C0A"/>
    <w:rsid w:val="00B47118"/>
    <w:rsid w:val="00B47151"/>
    <w:rsid w:val="00B50924"/>
    <w:rsid w:val="00B52454"/>
    <w:rsid w:val="00B561AE"/>
    <w:rsid w:val="00B56E5F"/>
    <w:rsid w:val="00B57028"/>
    <w:rsid w:val="00B57EF2"/>
    <w:rsid w:val="00B662C0"/>
    <w:rsid w:val="00B77043"/>
    <w:rsid w:val="00B80157"/>
    <w:rsid w:val="00B8049D"/>
    <w:rsid w:val="00B80D9A"/>
    <w:rsid w:val="00B81E7E"/>
    <w:rsid w:val="00B83E06"/>
    <w:rsid w:val="00B86D06"/>
    <w:rsid w:val="00B91B65"/>
    <w:rsid w:val="00BA2444"/>
    <w:rsid w:val="00BA2CFA"/>
    <w:rsid w:val="00BA518E"/>
    <w:rsid w:val="00BA576A"/>
    <w:rsid w:val="00BB0224"/>
    <w:rsid w:val="00BB02B6"/>
    <w:rsid w:val="00BB113D"/>
    <w:rsid w:val="00BB3A31"/>
    <w:rsid w:val="00BB5B25"/>
    <w:rsid w:val="00BB6B55"/>
    <w:rsid w:val="00BC1A48"/>
    <w:rsid w:val="00BC4467"/>
    <w:rsid w:val="00BC6D6F"/>
    <w:rsid w:val="00BC770A"/>
    <w:rsid w:val="00BC7C47"/>
    <w:rsid w:val="00BD0850"/>
    <w:rsid w:val="00BD1272"/>
    <w:rsid w:val="00BD18E8"/>
    <w:rsid w:val="00BD209A"/>
    <w:rsid w:val="00BD2D00"/>
    <w:rsid w:val="00BD647B"/>
    <w:rsid w:val="00BD649A"/>
    <w:rsid w:val="00BD7497"/>
    <w:rsid w:val="00BE0FBF"/>
    <w:rsid w:val="00BE1E87"/>
    <w:rsid w:val="00BF4D43"/>
    <w:rsid w:val="00BF66C1"/>
    <w:rsid w:val="00BF690E"/>
    <w:rsid w:val="00C005D9"/>
    <w:rsid w:val="00C0348A"/>
    <w:rsid w:val="00C053D5"/>
    <w:rsid w:val="00C11903"/>
    <w:rsid w:val="00C11CDB"/>
    <w:rsid w:val="00C13838"/>
    <w:rsid w:val="00C14B94"/>
    <w:rsid w:val="00C16041"/>
    <w:rsid w:val="00C1756A"/>
    <w:rsid w:val="00C21270"/>
    <w:rsid w:val="00C22199"/>
    <w:rsid w:val="00C22AAA"/>
    <w:rsid w:val="00C26005"/>
    <w:rsid w:val="00C304A9"/>
    <w:rsid w:val="00C3327A"/>
    <w:rsid w:val="00C338EC"/>
    <w:rsid w:val="00C3441E"/>
    <w:rsid w:val="00C37003"/>
    <w:rsid w:val="00C41C6E"/>
    <w:rsid w:val="00C42CA8"/>
    <w:rsid w:val="00C4367F"/>
    <w:rsid w:val="00C46310"/>
    <w:rsid w:val="00C53A5F"/>
    <w:rsid w:val="00C54125"/>
    <w:rsid w:val="00C55683"/>
    <w:rsid w:val="00C559F5"/>
    <w:rsid w:val="00C60712"/>
    <w:rsid w:val="00C63294"/>
    <w:rsid w:val="00C67351"/>
    <w:rsid w:val="00C7115B"/>
    <w:rsid w:val="00C71D43"/>
    <w:rsid w:val="00C73655"/>
    <w:rsid w:val="00C7635A"/>
    <w:rsid w:val="00C77DC6"/>
    <w:rsid w:val="00C801DA"/>
    <w:rsid w:val="00C82EB4"/>
    <w:rsid w:val="00C85AD7"/>
    <w:rsid w:val="00C926F0"/>
    <w:rsid w:val="00C934C5"/>
    <w:rsid w:val="00C9656D"/>
    <w:rsid w:val="00CA0DB6"/>
    <w:rsid w:val="00CA13DE"/>
    <w:rsid w:val="00CA2007"/>
    <w:rsid w:val="00CA3FDB"/>
    <w:rsid w:val="00CA4AFC"/>
    <w:rsid w:val="00CA5610"/>
    <w:rsid w:val="00CB23BF"/>
    <w:rsid w:val="00CC0A22"/>
    <w:rsid w:val="00CC0FD5"/>
    <w:rsid w:val="00CC5594"/>
    <w:rsid w:val="00CC5DBB"/>
    <w:rsid w:val="00CC62A9"/>
    <w:rsid w:val="00CD186C"/>
    <w:rsid w:val="00CD50C7"/>
    <w:rsid w:val="00CD5F32"/>
    <w:rsid w:val="00CD64C9"/>
    <w:rsid w:val="00CD6ACD"/>
    <w:rsid w:val="00CE142C"/>
    <w:rsid w:val="00CE28A1"/>
    <w:rsid w:val="00CE3896"/>
    <w:rsid w:val="00CF025A"/>
    <w:rsid w:val="00CF13FF"/>
    <w:rsid w:val="00CF1CEB"/>
    <w:rsid w:val="00CF2230"/>
    <w:rsid w:val="00CF3CED"/>
    <w:rsid w:val="00CF4183"/>
    <w:rsid w:val="00CF4769"/>
    <w:rsid w:val="00CF7C87"/>
    <w:rsid w:val="00CF7D82"/>
    <w:rsid w:val="00D00BC7"/>
    <w:rsid w:val="00D0293D"/>
    <w:rsid w:val="00D041EC"/>
    <w:rsid w:val="00D042CD"/>
    <w:rsid w:val="00D05138"/>
    <w:rsid w:val="00D0616A"/>
    <w:rsid w:val="00D07B81"/>
    <w:rsid w:val="00D159FD"/>
    <w:rsid w:val="00D166BF"/>
    <w:rsid w:val="00D20C3D"/>
    <w:rsid w:val="00D2233F"/>
    <w:rsid w:val="00D22AF9"/>
    <w:rsid w:val="00D23DBA"/>
    <w:rsid w:val="00D26613"/>
    <w:rsid w:val="00D306B0"/>
    <w:rsid w:val="00D31478"/>
    <w:rsid w:val="00D33430"/>
    <w:rsid w:val="00D33DEF"/>
    <w:rsid w:val="00D35D48"/>
    <w:rsid w:val="00D43B5F"/>
    <w:rsid w:val="00D44ED1"/>
    <w:rsid w:val="00D45CBA"/>
    <w:rsid w:val="00D46D90"/>
    <w:rsid w:val="00D46F8B"/>
    <w:rsid w:val="00D4761D"/>
    <w:rsid w:val="00D51E32"/>
    <w:rsid w:val="00D52D2C"/>
    <w:rsid w:val="00D564A8"/>
    <w:rsid w:val="00D56AB7"/>
    <w:rsid w:val="00D61E1D"/>
    <w:rsid w:val="00D650B4"/>
    <w:rsid w:val="00D70491"/>
    <w:rsid w:val="00D7498D"/>
    <w:rsid w:val="00D75AE7"/>
    <w:rsid w:val="00D806B0"/>
    <w:rsid w:val="00D84AC0"/>
    <w:rsid w:val="00D92B79"/>
    <w:rsid w:val="00D93D4B"/>
    <w:rsid w:val="00D9491F"/>
    <w:rsid w:val="00D95DD1"/>
    <w:rsid w:val="00DA00D3"/>
    <w:rsid w:val="00DA14B6"/>
    <w:rsid w:val="00DB0CCB"/>
    <w:rsid w:val="00DB3F8E"/>
    <w:rsid w:val="00DB54E1"/>
    <w:rsid w:val="00DB599C"/>
    <w:rsid w:val="00DB660B"/>
    <w:rsid w:val="00DB6CBE"/>
    <w:rsid w:val="00DB71C0"/>
    <w:rsid w:val="00DC24E3"/>
    <w:rsid w:val="00DC3904"/>
    <w:rsid w:val="00DC4195"/>
    <w:rsid w:val="00DC46CC"/>
    <w:rsid w:val="00DC5F5C"/>
    <w:rsid w:val="00DC66B6"/>
    <w:rsid w:val="00DC6E84"/>
    <w:rsid w:val="00DD0E26"/>
    <w:rsid w:val="00DD1F06"/>
    <w:rsid w:val="00DE28E6"/>
    <w:rsid w:val="00DE2C71"/>
    <w:rsid w:val="00DE4427"/>
    <w:rsid w:val="00DE5312"/>
    <w:rsid w:val="00DE5F06"/>
    <w:rsid w:val="00DE74A2"/>
    <w:rsid w:val="00DF0014"/>
    <w:rsid w:val="00DF03FC"/>
    <w:rsid w:val="00DF60E6"/>
    <w:rsid w:val="00E008EA"/>
    <w:rsid w:val="00E02E77"/>
    <w:rsid w:val="00E06B95"/>
    <w:rsid w:val="00E06EDA"/>
    <w:rsid w:val="00E123CB"/>
    <w:rsid w:val="00E13992"/>
    <w:rsid w:val="00E1434F"/>
    <w:rsid w:val="00E14994"/>
    <w:rsid w:val="00E14FA9"/>
    <w:rsid w:val="00E166F8"/>
    <w:rsid w:val="00E236D0"/>
    <w:rsid w:val="00E27199"/>
    <w:rsid w:val="00E27D91"/>
    <w:rsid w:val="00E3393A"/>
    <w:rsid w:val="00E3639B"/>
    <w:rsid w:val="00E365F8"/>
    <w:rsid w:val="00E37A77"/>
    <w:rsid w:val="00E4326B"/>
    <w:rsid w:val="00E445C7"/>
    <w:rsid w:val="00E45A10"/>
    <w:rsid w:val="00E46DDF"/>
    <w:rsid w:val="00E47318"/>
    <w:rsid w:val="00E51A8B"/>
    <w:rsid w:val="00E52313"/>
    <w:rsid w:val="00E52EB8"/>
    <w:rsid w:val="00E533D2"/>
    <w:rsid w:val="00E54C87"/>
    <w:rsid w:val="00E56EC1"/>
    <w:rsid w:val="00E57452"/>
    <w:rsid w:val="00E57478"/>
    <w:rsid w:val="00E63CD2"/>
    <w:rsid w:val="00E64817"/>
    <w:rsid w:val="00E70BF4"/>
    <w:rsid w:val="00E70FDB"/>
    <w:rsid w:val="00E713CB"/>
    <w:rsid w:val="00E715A6"/>
    <w:rsid w:val="00E752B0"/>
    <w:rsid w:val="00E77735"/>
    <w:rsid w:val="00E81A91"/>
    <w:rsid w:val="00E87DA9"/>
    <w:rsid w:val="00E919D7"/>
    <w:rsid w:val="00E93B15"/>
    <w:rsid w:val="00E94C4C"/>
    <w:rsid w:val="00E95812"/>
    <w:rsid w:val="00E95948"/>
    <w:rsid w:val="00E95A97"/>
    <w:rsid w:val="00E95D9D"/>
    <w:rsid w:val="00EA521C"/>
    <w:rsid w:val="00EA711A"/>
    <w:rsid w:val="00EA76B3"/>
    <w:rsid w:val="00EB2F61"/>
    <w:rsid w:val="00EB6D9C"/>
    <w:rsid w:val="00EC0770"/>
    <w:rsid w:val="00EC0CAE"/>
    <w:rsid w:val="00EC29E3"/>
    <w:rsid w:val="00EC3B91"/>
    <w:rsid w:val="00EC5A8E"/>
    <w:rsid w:val="00ED02AF"/>
    <w:rsid w:val="00ED24F6"/>
    <w:rsid w:val="00ED34B4"/>
    <w:rsid w:val="00ED4D6D"/>
    <w:rsid w:val="00ED5DD0"/>
    <w:rsid w:val="00ED66F2"/>
    <w:rsid w:val="00EE2694"/>
    <w:rsid w:val="00EE27F9"/>
    <w:rsid w:val="00EE34A1"/>
    <w:rsid w:val="00EE42D9"/>
    <w:rsid w:val="00EE4D31"/>
    <w:rsid w:val="00EE562A"/>
    <w:rsid w:val="00EE583F"/>
    <w:rsid w:val="00EE67B3"/>
    <w:rsid w:val="00EE6B7F"/>
    <w:rsid w:val="00EF04A6"/>
    <w:rsid w:val="00EF09BF"/>
    <w:rsid w:val="00EF151D"/>
    <w:rsid w:val="00EF2290"/>
    <w:rsid w:val="00EF29B3"/>
    <w:rsid w:val="00EF3A31"/>
    <w:rsid w:val="00F02D1C"/>
    <w:rsid w:val="00F0475E"/>
    <w:rsid w:val="00F07094"/>
    <w:rsid w:val="00F167F3"/>
    <w:rsid w:val="00F20ED9"/>
    <w:rsid w:val="00F263B4"/>
    <w:rsid w:val="00F27DA7"/>
    <w:rsid w:val="00F30A13"/>
    <w:rsid w:val="00F31C78"/>
    <w:rsid w:val="00F342E9"/>
    <w:rsid w:val="00F34840"/>
    <w:rsid w:val="00F34C8E"/>
    <w:rsid w:val="00F4025D"/>
    <w:rsid w:val="00F42F44"/>
    <w:rsid w:val="00F4492E"/>
    <w:rsid w:val="00F47C41"/>
    <w:rsid w:val="00F51353"/>
    <w:rsid w:val="00F51956"/>
    <w:rsid w:val="00F52519"/>
    <w:rsid w:val="00F53718"/>
    <w:rsid w:val="00F60BA5"/>
    <w:rsid w:val="00F63CBC"/>
    <w:rsid w:val="00F66340"/>
    <w:rsid w:val="00F736B4"/>
    <w:rsid w:val="00F746C3"/>
    <w:rsid w:val="00F74F3B"/>
    <w:rsid w:val="00F774E2"/>
    <w:rsid w:val="00F826E9"/>
    <w:rsid w:val="00F86CC6"/>
    <w:rsid w:val="00F8762F"/>
    <w:rsid w:val="00F90FEF"/>
    <w:rsid w:val="00F911DF"/>
    <w:rsid w:val="00F929BB"/>
    <w:rsid w:val="00F93048"/>
    <w:rsid w:val="00F936DC"/>
    <w:rsid w:val="00F95C2A"/>
    <w:rsid w:val="00F9680C"/>
    <w:rsid w:val="00F969AF"/>
    <w:rsid w:val="00F9714E"/>
    <w:rsid w:val="00F972E0"/>
    <w:rsid w:val="00FA2DC2"/>
    <w:rsid w:val="00FA3387"/>
    <w:rsid w:val="00FA4E1E"/>
    <w:rsid w:val="00FA584E"/>
    <w:rsid w:val="00FA6449"/>
    <w:rsid w:val="00FA79F7"/>
    <w:rsid w:val="00FB1E81"/>
    <w:rsid w:val="00FB78CD"/>
    <w:rsid w:val="00FC0658"/>
    <w:rsid w:val="00FC2D0C"/>
    <w:rsid w:val="00FC6ADA"/>
    <w:rsid w:val="00FC76CE"/>
    <w:rsid w:val="00FD026F"/>
    <w:rsid w:val="00FD0ADD"/>
    <w:rsid w:val="00FD1BC3"/>
    <w:rsid w:val="00FD543C"/>
    <w:rsid w:val="00FD5F75"/>
    <w:rsid w:val="00FE2D60"/>
    <w:rsid w:val="00FE3F74"/>
    <w:rsid w:val="00FE4A2D"/>
    <w:rsid w:val="00FE7ED0"/>
    <w:rsid w:val="00FF06BF"/>
    <w:rsid w:val="00FF1C48"/>
    <w:rsid w:val="00FF1C71"/>
    <w:rsid w:val="00FF246B"/>
    <w:rsid w:val="00FF28F5"/>
    <w:rsid w:val="00FF405F"/>
    <w:rsid w:val="00FF41C9"/>
    <w:rsid w:val="00FF5931"/>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rules v:ext="edit">
        <o:r id="V:Rule8" type="connector" idref="#Straight Arrow Connector 68"/>
        <o:r id="V:Rule9" type="connector" idref="#Straight Arrow Connector 67"/>
        <o:r id="V:Rule10" type="connector" idref="#Straight Arrow Connector 57"/>
        <o:r id="V:Rule11" type="connector" idref="#Straight Arrow Connector 55"/>
        <o:r id="V:Rule12" type="connector" idref="#Straight Arrow Connector 52"/>
        <o:r id="V:Rule13" type="connector" idref="#Straight Arrow Connector 58"/>
        <o:r id="V:Rule14" type="connector" idref="#Straight Arrow Connector 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055CDE"/>
    <w:pPr>
      <w:spacing w:before="160" w:line="260" w:lineRule="exact"/>
    </w:pPr>
    <w:rPr>
      <w:rFonts w:ascii="Trebuchet MS" w:hAnsi="Trebuchet MS"/>
      <w:sz w:val="19"/>
      <w:lang w:val="en-AU"/>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3A6322"/>
    <w:pPr>
      <w:tabs>
        <w:tab w:val="right" w:pos="6804"/>
      </w:tabs>
      <w:spacing w:before="20" w:after="20" w:line="300" w:lineRule="exact"/>
      <w:ind w:left="284" w:right="2552"/>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1B6BBE"/>
    <w:pPr>
      <w:tabs>
        <w:tab w:val="right" w:pos="8136"/>
      </w:tabs>
      <w:spacing w:before="80"/>
      <w:ind w:left="567" w:right="652"/>
    </w:pPr>
    <w:rPr>
      <w:sz w:val="17"/>
    </w:rPr>
  </w:style>
  <w:style w:type="paragraph" w:customStyle="1" w:styleId="References">
    <w:name w:val="References"/>
    <w:rsid w:val="008D2902"/>
    <w:pPr>
      <w:spacing w:before="80"/>
      <w:ind w:left="284"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EB2F61"/>
    <w:pPr>
      <w:spacing w:before="80"/>
      <w:ind w:left="425" w:right="2268"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customStyle="1" w:styleId="NumberedAlphaLevel2">
    <w:name w:val="NumberedAlphaLevel2"/>
    <w:basedOn w:val="NumberedListContinuing"/>
    <w:uiPriority w:val="1"/>
    <w:qFormat/>
    <w:rsid w:val="00ED24F6"/>
    <w:pPr>
      <w:numPr>
        <w:ilvl w:val="1"/>
      </w:numPr>
      <w:tabs>
        <w:tab w:val="num" w:pos="567"/>
      </w:tabs>
      <w:ind w:left="567" w:hanging="283"/>
    </w:pPr>
  </w:style>
  <w:style w:type="paragraph" w:customStyle="1" w:styleId="Default">
    <w:name w:val="Default"/>
    <w:rsid w:val="00D07B81"/>
    <w:pPr>
      <w:autoSpaceDE w:val="0"/>
      <w:autoSpaceDN w:val="0"/>
      <w:adjustRightInd w:val="0"/>
    </w:pPr>
    <w:rPr>
      <w:rFonts w:ascii="Arial" w:hAnsi="Arial" w:cs="Arial"/>
      <w:color w:val="000000"/>
      <w:sz w:val="24"/>
      <w:szCs w:val="24"/>
      <w:lang w:val="en-AU"/>
    </w:rPr>
  </w:style>
  <w:style w:type="character" w:styleId="CommentReference">
    <w:name w:val="annotation reference"/>
    <w:basedOn w:val="DefaultParagraphFont"/>
    <w:uiPriority w:val="99"/>
    <w:semiHidden/>
    <w:rsid w:val="00397B24"/>
    <w:rPr>
      <w:sz w:val="16"/>
      <w:szCs w:val="16"/>
    </w:rPr>
  </w:style>
  <w:style w:type="paragraph" w:styleId="CommentText">
    <w:name w:val="annotation text"/>
    <w:basedOn w:val="Normal"/>
    <w:link w:val="CommentTextChar"/>
    <w:uiPriority w:val="99"/>
    <w:semiHidden/>
    <w:rsid w:val="00397B24"/>
    <w:pPr>
      <w:spacing w:line="240" w:lineRule="auto"/>
    </w:pPr>
    <w:rPr>
      <w:sz w:val="20"/>
    </w:rPr>
  </w:style>
  <w:style w:type="character" w:customStyle="1" w:styleId="CommentTextChar">
    <w:name w:val="Comment Text Char"/>
    <w:basedOn w:val="DefaultParagraphFont"/>
    <w:link w:val="CommentText"/>
    <w:uiPriority w:val="99"/>
    <w:semiHidden/>
    <w:rsid w:val="00397B24"/>
    <w:rPr>
      <w:rFonts w:ascii="Trebuchet MS" w:hAnsi="Trebuchet MS"/>
      <w:lang w:val="en-AU"/>
    </w:rPr>
  </w:style>
  <w:style w:type="paragraph" w:styleId="CommentSubject">
    <w:name w:val="annotation subject"/>
    <w:basedOn w:val="CommentText"/>
    <w:next w:val="CommentText"/>
    <w:link w:val="CommentSubjectChar"/>
    <w:uiPriority w:val="99"/>
    <w:semiHidden/>
    <w:rsid w:val="00397B24"/>
    <w:rPr>
      <w:b/>
      <w:bCs/>
    </w:rPr>
  </w:style>
  <w:style w:type="character" w:customStyle="1" w:styleId="CommentSubjectChar">
    <w:name w:val="Comment Subject Char"/>
    <w:basedOn w:val="CommentTextChar"/>
    <w:link w:val="CommentSubject"/>
    <w:uiPriority w:val="99"/>
    <w:semiHidden/>
    <w:rsid w:val="00397B24"/>
    <w:rPr>
      <w:rFonts w:ascii="Trebuchet MS" w:hAnsi="Trebuchet MS"/>
      <w:b/>
      <w:bCs/>
      <w:lang w:val="en-AU"/>
    </w:rPr>
  </w:style>
  <w:style w:type="paragraph" w:styleId="DocumentMap">
    <w:name w:val="Document Map"/>
    <w:basedOn w:val="Normal"/>
    <w:link w:val="DocumentMapChar"/>
    <w:uiPriority w:val="99"/>
    <w:semiHidden/>
    <w:rsid w:val="00B57EF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57EF2"/>
    <w:rPr>
      <w:rFonts w:ascii="Tahoma" w:hAnsi="Tahoma" w:cs="Tahoma"/>
      <w:sz w:val="16"/>
      <w:szCs w:val="16"/>
      <w:lang w:val="en-AU"/>
    </w:rPr>
  </w:style>
  <w:style w:type="paragraph" w:customStyle="1" w:styleId="Textmorebefore">
    <w:name w:val="Text more # before"/>
    <w:basedOn w:val="Text"/>
    <w:uiPriority w:val="1"/>
    <w:qFormat/>
    <w:rsid w:val="00D70491"/>
    <w:pPr>
      <w:spacing w:before="360"/>
      <w:ind w:right="0"/>
    </w:pPr>
  </w:style>
  <w:style w:type="paragraph" w:customStyle="1" w:styleId="Textlessbefore">
    <w:name w:val="Text less # before"/>
    <w:basedOn w:val="Text"/>
    <w:uiPriority w:val="1"/>
    <w:qFormat/>
    <w:rsid w:val="00222E30"/>
    <w:pPr>
      <w:spacing w:before="80"/>
      <w:ind w:right="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055CDE"/>
    <w:pPr>
      <w:spacing w:before="160" w:line="260" w:lineRule="exact"/>
    </w:pPr>
    <w:rPr>
      <w:rFonts w:ascii="Trebuchet MS" w:hAnsi="Trebuchet MS"/>
      <w:sz w:val="19"/>
      <w:lang w:val="en-AU"/>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3A6322"/>
    <w:pPr>
      <w:tabs>
        <w:tab w:val="right" w:pos="6804"/>
      </w:tabs>
      <w:spacing w:before="20" w:after="20" w:line="300" w:lineRule="exact"/>
      <w:ind w:left="284" w:right="2552"/>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3A6322"/>
    <w:pPr>
      <w:tabs>
        <w:tab w:val="left" w:pos="284"/>
      </w:tabs>
      <w:spacing w:before="80"/>
      <w:ind w:left="425" w:right="2268"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41"/>
      </w:num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customStyle="1" w:styleId="NumberedAlphaLevel2">
    <w:name w:val="NumberedAlphaLevel2"/>
    <w:basedOn w:val="NumberedListContinuing"/>
    <w:uiPriority w:val="1"/>
    <w:qFormat/>
    <w:rsid w:val="00ED24F6"/>
    <w:pPr>
      <w:numPr>
        <w:ilvl w:val="1"/>
      </w:numPr>
      <w:tabs>
        <w:tab w:val="clear" w:pos="1440"/>
        <w:tab w:val="num" w:pos="567"/>
      </w:tabs>
      <w:ind w:left="567" w:hanging="283"/>
    </w:pPr>
  </w:style>
  <w:style w:type="paragraph" w:customStyle="1" w:styleId="Default">
    <w:name w:val="Default"/>
    <w:rsid w:val="00D07B81"/>
    <w:pPr>
      <w:autoSpaceDE w:val="0"/>
      <w:autoSpaceDN w:val="0"/>
      <w:adjustRightInd w:val="0"/>
    </w:pPr>
    <w:rPr>
      <w:rFonts w:ascii="Arial" w:hAnsi="Arial" w:cs="Arial"/>
      <w:color w:val="000000"/>
      <w:sz w:val="24"/>
      <w:szCs w:val="24"/>
      <w:lang w:val="en-AU"/>
    </w:rPr>
  </w:style>
  <w:style w:type="character" w:styleId="CommentReference">
    <w:name w:val="annotation reference"/>
    <w:basedOn w:val="DefaultParagraphFont"/>
    <w:uiPriority w:val="99"/>
    <w:semiHidden/>
    <w:rsid w:val="00397B24"/>
    <w:rPr>
      <w:sz w:val="16"/>
      <w:szCs w:val="16"/>
    </w:rPr>
  </w:style>
  <w:style w:type="paragraph" w:styleId="CommentText">
    <w:name w:val="annotation text"/>
    <w:basedOn w:val="Normal"/>
    <w:link w:val="CommentTextChar"/>
    <w:uiPriority w:val="99"/>
    <w:semiHidden/>
    <w:rsid w:val="00397B24"/>
    <w:pPr>
      <w:spacing w:line="240" w:lineRule="auto"/>
    </w:pPr>
    <w:rPr>
      <w:sz w:val="20"/>
    </w:rPr>
  </w:style>
  <w:style w:type="character" w:customStyle="1" w:styleId="CommentTextChar">
    <w:name w:val="Comment Text Char"/>
    <w:basedOn w:val="DefaultParagraphFont"/>
    <w:link w:val="CommentText"/>
    <w:uiPriority w:val="99"/>
    <w:semiHidden/>
    <w:rsid w:val="00397B24"/>
    <w:rPr>
      <w:rFonts w:ascii="Trebuchet MS" w:hAnsi="Trebuchet MS"/>
      <w:lang w:val="en-AU"/>
    </w:rPr>
  </w:style>
  <w:style w:type="paragraph" w:styleId="CommentSubject">
    <w:name w:val="annotation subject"/>
    <w:basedOn w:val="CommentText"/>
    <w:next w:val="CommentText"/>
    <w:link w:val="CommentSubjectChar"/>
    <w:uiPriority w:val="99"/>
    <w:semiHidden/>
    <w:rsid w:val="00397B24"/>
    <w:rPr>
      <w:b/>
      <w:bCs/>
    </w:rPr>
  </w:style>
  <w:style w:type="character" w:customStyle="1" w:styleId="CommentSubjectChar">
    <w:name w:val="Comment Subject Char"/>
    <w:basedOn w:val="CommentTextChar"/>
    <w:link w:val="CommentSubject"/>
    <w:uiPriority w:val="99"/>
    <w:semiHidden/>
    <w:rsid w:val="00397B24"/>
    <w:rPr>
      <w:rFonts w:ascii="Trebuchet MS" w:hAnsi="Trebuchet MS"/>
      <w:b/>
      <w:bCs/>
      <w:lang w:val="en-AU"/>
    </w:rPr>
  </w:style>
  <w:style w:type="paragraph" w:styleId="DocumentMap">
    <w:name w:val="Document Map"/>
    <w:basedOn w:val="Normal"/>
    <w:link w:val="DocumentMapChar"/>
    <w:uiPriority w:val="99"/>
    <w:semiHidden/>
    <w:rsid w:val="00B57EF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57EF2"/>
    <w:rPr>
      <w:rFonts w:ascii="Tahoma" w:hAnsi="Tahoma" w:cs="Tahoma"/>
      <w:sz w:val="16"/>
      <w:szCs w:val="16"/>
      <w:lang w:val="en-AU"/>
    </w:rPr>
  </w:style>
</w:styles>
</file>

<file path=word/webSettings.xml><?xml version="1.0" encoding="utf-8"?>
<w:webSettings xmlns:r="http://schemas.openxmlformats.org/officeDocument/2006/relationships" xmlns:w="http://schemas.openxmlformats.org/wordprocessingml/2006/main">
  <w:divs>
    <w:div w:id="126435433">
      <w:bodyDiv w:val="1"/>
      <w:marLeft w:val="0"/>
      <w:marRight w:val="0"/>
      <w:marTop w:val="0"/>
      <w:marBottom w:val="0"/>
      <w:divBdr>
        <w:top w:val="none" w:sz="0" w:space="0" w:color="auto"/>
        <w:left w:val="none" w:sz="0" w:space="0" w:color="auto"/>
        <w:bottom w:val="none" w:sz="0" w:space="0" w:color="auto"/>
        <w:right w:val="none" w:sz="0" w:space="0" w:color="auto"/>
      </w:divBdr>
    </w:div>
    <w:div w:id="800004447">
      <w:bodyDiv w:val="1"/>
      <w:marLeft w:val="0"/>
      <w:marRight w:val="0"/>
      <w:marTop w:val="0"/>
      <w:marBottom w:val="0"/>
      <w:divBdr>
        <w:top w:val="none" w:sz="0" w:space="0" w:color="auto"/>
        <w:left w:val="none" w:sz="0" w:space="0" w:color="auto"/>
        <w:bottom w:val="none" w:sz="0" w:space="0" w:color="auto"/>
        <w:right w:val="none" w:sz="0" w:space="0" w:color="auto"/>
      </w:divBdr>
    </w:div>
    <w:div w:id="1401251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cver@ncver.edu.a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microsoft.com/office/2007/relationships/stylesWithEffects" Target="stylesWithEffects.xml"/><Relationship Id="rId10" Type="http://schemas.openxmlformats.org/officeDocument/2006/relationships/hyperlink" Target="http://www.voced.edu.a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chart>
    <c:plotArea>
      <c:layout/>
      <c:barChart>
        <c:barDir val="col"/>
        <c:grouping val="clustered"/>
        <c:ser>
          <c:idx val="0"/>
          <c:order val="0"/>
          <c:tx>
            <c:strRef>
              <c:f>Sheet1!$B$1</c:f>
              <c:strCache>
                <c:ptCount val="1"/>
                <c:pt idx="0">
                  <c:v>VET Students</c:v>
                </c:pt>
              </c:strCache>
            </c:strRef>
          </c:tx>
          <c:spPr>
            <a:solidFill>
              <a:schemeClr val="tx1"/>
            </a:solidFill>
          </c:spPr>
          <c:cat>
            <c:strRef>
              <c:f>Sheet1!$A$2:$A$6</c:f>
              <c:strCache>
                <c:ptCount val="5"/>
                <c:pt idx="0">
                  <c:v>Standard 2</c:v>
                </c:pt>
                <c:pt idx="1">
                  <c:v>Standard 3</c:v>
                </c:pt>
                <c:pt idx="2">
                  <c:v>Standard 4</c:v>
                </c:pt>
                <c:pt idx="3">
                  <c:v>Standard 5</c:v>
                </c:pt>
                <c:pt idx="4">
                  <c:v>Standard 6</c:v>
                </c:pt>
              </c:strCache>
            </c:strRef>
          </c:cat>
          <c:val>
            <c:numRef>
              <c:f>Sheet1!$B$2:$B$6</c:f>
              <c:numCache>
                <c:formatCode>General</c:formatCode>
                <c:ptCount val="5"/>
                <c:pt idx="0">
                  <c:v>1.9100000000000001</c:v>
                </c:pt>
                <c:pt idx="1">
                  <c:v>1.7700000000000007</c:v>
                </c:pt>
                <c:pt idx="2">
                  <c:v>1.53</c:v>
                </c:pt>
                <c:pt idx="3">
                  <c:v>2.04</c:v>
                </c:pt>
                <c:pt idx="4">
                  <c:v>2.36</c:v>
                </c:pt>
              </c:numCache>
            </c:numRef>
          </c:val>
        </c:ser>
        <c:ser>
          <c:idx val="1"/>
          <c:order val="1"/>
          <c:tx>
            <c:strRef>
              <c:f>Sheet1!$C$1</c:f>
              <c:strCache>
                <c:ptCount val="1"/>
                <c:pt idx="0">
                  <c:v>University Students</c:v>
                </c:pt>
              </c:strCache>
            </c:strRef>
          </c:tx>
          <c:spPr>
            <a:solidFill>
              <a:schemeClr val="bg1"/>
            </a:solidFill>
            <a:ln>
              <a:solidFill>
                <a:schemeClr val="tx1"/>
              </a:solidFill>
            </a:ln>
          </c:spPr>
          <c:cat>
            <c:strRef>
              <c:f>Sheet1!$A$2:$A$6</c:f>
              <c:strCache>
                <c:ptCount val="5"/>
                <c:pt idx="0">
                  <c:v>Standard 2</c:v>
                </c:pt>
                <c:pt idx="1">
                  <c:v>Standard 3</c:v>
                </c:pt>
                <c:pt idx="2">
                  <c:v>Standard 4</c:v>
                </c:pt>
                <c:pt idx="3">
                  <c:v>Standard 5</c:v>
                </c:pt>
                <c:pt idx="4">
                  <c:v>Standard 6</c:v>
                </c:pt>
              </c:strCache>
            </c:strRef>
          </c:cat>
          <c:val>
            <c:numRef>
              <c:f>Sheet1!$C$2:$C$6</c:f>
              <c:numCache>
                <c:formatCode>General</c:formatCode>
                <c:ptCount val="5"/>
                <c:pt idx="0">
                  <c:v>2.09</c:v>
                </c:pt>
                <c:pt idx="1">
                  <c:v>2.06</c:v>
                </c:pt>
                <c:pt idx="2">
                  <c:v>1.9800000000000053</c:v>
                </c:pt>
                <c:pt idx="3">
                  <c:v>2.0499999999999998</c:v>
                </c:pt>
                <c:pt idx="4">
                  <c:v>2.66</c:v>
                </c:pt>
              </c:numCache>
            </c:numRef>
          </c:val>
        </c:ser>
        <c:axId val="156474368"/>
        <c:axId val="156485120"/>
      </c:barChart>
      <c:catAx>
        <c:axId val="156474368"/>
        <c:scaling>
          <c:orientation val="minMax"/>
        </c:scaling>
        <c:axPos val="b"/>
        <c:title>
          <c:tx>
            <c:rich>
              <a:bodyPr/>
              <a:lstStyle/>
              <a:p>
                <a:pPr>
                  <a:defRPr/>
                </a:pPr>
                <a:r>
                  <a:rPr lang="en-AU"/>
                  <a:t>Information skills</a:t>
                </a:r>
              </a:p>
            </c:rich>
          </c:tx>
          <c:layout/>
        </c:title>
        <c:tickLblPos val="nextTo"/>
        <c:crossAx val="156485120"/>
        <c:crosses val="autoZero"/>
        <c:auto val="1"/>
        <c:lblAlgn val="ctr"/>
        <c:lblOffset val="100"/>
      </c:catAx>
      <c:valAx>
        <c:axId val="156485120"/>
        <c:scaling>
          <c:orientation val="minMax"/>
        </c:scaling>
        <c:axPos val="l"/>
        <c:majorGridlines/>
        <c:title>
          <c:tx>
            <c:rich>
              <a:bodyPr rot="-5400000" vert="horz"/>
              <a:lstStyle/>
              <a:p>
                <a:pPr>
                  <a:defRPr/>
                </a:pPr>
                <a:r>
                  <a:rPr lang="en-AU"/>
                  <a:t>Use of information skills</a:t>
                </a:r>
              </a:p>
              <a:p>
                <a:pPr>
                  <a:defRPr/>
                </a:pPr>
                <a:r>
                  <a:rPr lang="en-AU"/>
                  <a:t>(0 = never through to 3 = always)</a:t>
                </a:r>
              </a:p>
            </c:rich>
          </c:tx>
          <c:layout/>
        </c:title>
        <c:numFmt formatCode="General" sourceLinked="1"/>
        <c:tickLblPos val="nextTo"/>
        <c:crossAx val="156474368"/>
        <c:crosses val="autoZero"/>
        <c:crossBetween val="between"/>
        <c:majorUnit val="1"/>
      </c:valAx>
    </c:plotArea>
    <c:legend>
      <c:legendPos val="b"/>
      <c:layout/>
    </c:legend>
    <c:plotVisOnly val="1"/>
    <c:dispBlanksAs val="gap"/>
  </c:chart>
  <c:txPr>
    <a:bodyPr/>
    <a:lstStyle/>
    <a:p>
      <a:pPr>
        <a:defRPr sz="900">
          <a:latin typeface="Arial" pitchFamily="34" charset="0"/>
          <a:cs typeface="Arial" pitchFamily="34"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AU"/>
  <c:chart>
    <c:plotArea>
      <c:layout/>
      <c:barChart>
        <c:barDir val="col"/>
        <c:grouping val="clustered"/>
        <c:ser>
          <c:idx val="0"/>
          <c:order val="0"/>
          <c:tx>
            <c:strRef>
              <c:f>Sheet1!$B$1</c:f>
              <c:strCache>
                <c:ptCount val="1"/>
                <c:pt idx="0">
                  <c:v>VET Students</c:v>
                </c:pt>
              </c:strCache>
            </c:strRef>
          </c:tx>
          <c:spPr>
            <a:solidFill>
              <a:schemeClr val="tx1"/>
            </a:solidFill>
          </c:spPr>
          <c:cat>
            <c:strRef>
              <c:f>Sheet1!$A$2:$A$7</c:f>
              <c:strCache>
                <c:ptCount val="6"/>
                <c:pt idx="0">
                  <c:v>Standard 1</c:v>
                </c:pt>
                <c:pt idx="1">
                  <c:v>Standard 2</c:v>
                </c:pt>
                <c:pt idx="2">
                  <c:v>Standard 3</c:v>
                </c:pt>
                <c:pt idx="3">
                  <c:v>Standard 4</c:v>
                </c:pt>
                <c:pt idx="4">
                  <c:v>Standard 5</c:v>
                </c:pt>
                <c:pt idx="5">
                  <c:v>Standard 6</c:v>
                </c:pt>
              </c:strCache>
            </c:strRef>
          </c:cat>
          <c:val>
            <c:numRef>
              <c:f>Sheet1!$B$2:$B$7</c:f>
              <c:numCache>
                <c:formatCode>General</c:formatCode>
                <c:ptCount val="6"/>
                <c:pt idx="0">
                  <c:v>1</c:v>
                </c:pt>
                <c:pt idx="1">
                  <c:v>0.96296296296295847</c:v>
                </c:pt>
                <c:pt idx="2">
                  <c:v>0.7407407407407407</c:v>
                </c:pt>
                <c:pt idx="3">
                  <c:v>0.70370370370370372</c:v>
                </c:pt>
                <c:pt idx="4">
                  <c:v>0.88888888888888884</c:v>
                </c:pt>
                <c:pt idx="5">
                  <c:v>1.037037037037037</c:v>
                </c:pt>
              </c:numCache>
            </c:numRef>
          </c:val>
        </c:ser>
        <c:ser>
          <c:idx val="1"/>
          <c:order val="1"/>
          <c:tx>
            <c:strRef>
              <c:f>Sheet1!$C$1</c:f>
              <c:strCache>
                <c:ptCount val="1"/>
                <c:pt idx="0">
                  <c:v>University Students</c:v>
                </c:pt>
              </c:strCache>
            </c:strRef>
          </c:tx>
          <c:spPr>
            <a:solidFill>
              <a:schemeClr val="bg1"/>
            </a:solidFill>
            <a:ln>
              <a:solidFill>
                <a:schemeClr val="tx1"/>
              </a:solidFill>
            </a:ln>
          </c:spPr>
          <c:cat>
            <c:strRef>
              <c:f>Sheet1!$A$2:$A$7</c:f>
              <c:strCache>
                <c:ptCount val="6"/>
                <c:pt idx="0">
                  <c:v>Standard 1</c:v>
                </c:pt>
                <c:pt idx="1">
                  <c:v>Standard 2</c:v>
                </c:pt>
                <c:pt idx="2">
                  <c:v>Standard 3</c:v>
                </c:pt>
                <c:pt idx="3">
                  <c:v>Standard 4</c:v>
                </c:pt>
                <c:pt idx="4">
                  <c:v>Standard 5</c:v>
                </c:pt>
                <c:pt idx="5">
                  <c:v>Standard 6</c:v>
                </c:pt>
              </c:strCache>
            </c:strRef>
          </c:cat>
          <c:val>
            <c:numRef>
              <c:f>Sheet1!$C$2:$C$7</c:f>
              <c:numCache>
                <c:formatCode>General</c:formatCode>
                <c:ptCount val="6"/>
                <c:pt idx="0">
                  <c:v>1.25</c:v>
                </c:pt>
                <c:pt idx="1">
                  <c:v>1.05</c:v>
                </c:pt>
                <c:pt idx="2">
                  <c:v>0.9</c:v>
                </c:pt>
                <c:pt idx="3">
                  <c:v>1.05</c:v>
                </c:pt>
                <c:pt idx="4">
                  <c:v>1.55</c:v>
                </c:pt>
                <c:pt idx="5">
                  <c:v>1.55</c:v>
                </c:pt>
              </c:numCache>
            </c:numRef>
          </c:val>
        </c:ser>
        <c:axId val="156706688"/>
        <c:axId val="156745728"/>
      </c:barChart>
      <c:catAx>
        <c:axId val="156706688"/>
        <c:scaling>
          <c:orientation val="minMax"/>
        </c:scaling>
        <c:axPos val="b"/>
        <c:title>
          <c:tx>
            <c:rich>
              <a:bodyPr/>
              <a:lstStyle/>
              <a:p>
                <a:pPr>
                  <a:defRPr sz="900"/>
                </a:pPr>
                <a:r>
                  <a:rPr lang="en-AU" sz="900"/>
                  <a:t>Information skills</a:t>
                </a:r>
              </a:p>
            </c:rich>
          </c:tx>
          <c:layout/>
        </c:title>
        <c:tickLblPos val="nextTo"/>
        <c:txPr>
          <a:bodyPr/>
          <a:lstStyle/>
          <a:p>
            <a:pPr>
              <a:defRPr sz="900"/>
            </a:pPr>
            <a:endParaRPr lang="en-US"/>
          </a:p>
        </c:txPr>
        <c:crossAx val="156745728"/>
        <c:crosses val="autoZero"/>
        <c:auto val="1"/>
        <c:lblAlgn val="ctr"/>
        <c:lblOffset val="100"/>
      </c:catAx>
      <c:valAx>
        <c:axId val="156745728"/>
        <c:scaling>
          <c:orientation val="minMax"/>
          <c:max val="3"/>
        </c:scaling>
        <c:axPos val="l"/>
        <c:majorGridlines/>
        <c:title>
          <c:tx>
            <c:rich>
              <a:bodyPr rot="-5400000" vert="horz"/>
              <a:lstStyle/>
              <a:p>
                <a:pPr>
                  <a:defRPr sz="900"/>
                </a:pPr>
                <a:r>
                  <a:rPr lang="en-AU" sz="900"/>
                  <a:t>Challenge of information skills</a:t>
                </a:r>
              </a:p>
              <a:p>
                <a:pPr>
                  <a:defRPr sz="900"/>
                </a:pPr>
                <a:r>
                  <a:rPr lang="en-AU" sz="900"/>
                  <a:t>(0 = not at all challenging through to </a:t>
                </a:r>
              </a:p>
              <a:p>
                <a:pPr>
                  <a:defRPr sz="900"/>
                </a:pPr>
                <a:r>
                  <a:rPr lang="en-AU" sz="900"/>
                  <a:t>3 = extremely challenging)</a:t>
                </a:r>
              </a:p>
            </c:rich>
          </c:tx>
          <c:layout/>
        </c:title>
        <c:numFmt formatCode="General" sourceLinked="1"/>
        <c:tickLblPos val="nextTo"/>
        <c:crossAx val="156706688"/>
        <c:crosses val="autoZero"/>
        <c:crossBetween val="between"/>
        <c:majorUnit val="1"/>
      </c:valAx>
    </c:plotArea>
    <c:legend>
      <c:legendPos val="b"/>
      <c:layout/>
      <c:txPr>
        <a:bodyPr/>
        <a:lstStyle/>
        <a:p>
          <a:pPr>
            <a:defRPr sz="900"/>
          </a:pPr>
          <a:endParaRPr lang="en-US"/>
        </a:p>
      </c:txPr>
    </c:legend>
    <c:plotVisOnly val="1"/>
    <c:dispBlanksAs val="gap"/>
  </c:chart>
  <c:txPr>
    <a:bodyPr/>
    <a:lstStyle/>
    <a:p>
      <a:pPr>
        <a:defRPr>
          <a:latin typeface="Arial" pitchFamily="34" charset="0"/>
          <a:cs typeface="Arial" pitchFamily="34"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2574E-8727-4B0F-9A88-6C809D2DD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39</Pages>
  <Words>13726</Words>
  <Characters>78241</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91784</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kayemcadam</dc:creator>
  <cp:lastModifiedBy>AmyMellow</cp:lastModifiedBy>
  <cp:revision>19</cp:revision>
  <cp:lastPrinted>2014-01-22T03:00:00Z</cp:lastPrinted>
  <dcterms:created xsi:type="dcterms:W3CDTF">2014-01-15T23:45:00Z</dcterms:created>
  <dcterms:modified xsi:type="dcterms:W3CDTF">2014-02-25T05:08:00Z</dcterms:modified>
</cp:coreProperties>
</file>