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D1DEF" w14:textId="69AAE2F4" w:rsidR="009E231A" w:rsidRPr="005C2FCF" w:rsidRDefault="00DC7A49" w:rsidP="00940830">
      <w:pPr>
        <w:pStyle w:val="PublicationTitle"/>
      </w:pPr>
      <w:r>
        <w:t>Towards a</w:t>
      </w:r>
      <w:r w:rsidR="008F781D">
        <w:t xml:space="preserve"> new approach to </w:t>
      </w:r>
      <w:r w:rsidR="00A16831">
        <w:t>mid-</w:t>
      </w:r>
      <w:r>
        <w:t xml:space="preserve">level </w:t>
      </w:r>
      <w:r w:rsidR="008F781D">
        <w:t xml:space="preserve">qualifications – case studies </w:t>
      </w:r>
    </w:p>
    <w:p w14:paraId="4E522760" w14:textId="77777777" w:rsidR="00177827" w:rsidRDefault="008F781D" w:rsidP="00940830">
      <w:pPr>
        <w:pStyle w:val="Authors"/>
      </w:pPr>
      <w:bookmarkStart w:id="0" w:name="_Toc296423678"/>
      <w:bookmarkStart w:id="1" w:name="_Toc296497509"/>
      <w:proofErr w:type="spellStart"/>
      <w:r>
        <w:t>Leesa</w:t>
      </w:r>
      <w:proofErr w:type="spellEnd"/>
      <w:r>
        <w:t xml:space="preserve"> </w:t>
      </w:r>
      <w:proofErr w:type="spellStart"/>
      <w:r>
        <w:t>Wheelahan</w:t>
      </w:r>
      <w:proofErr w:type="spellEnd"/>
    </w:p>
    <w:p w14:paraId="40BD67A4" w14:textId="77777777" w:rsidR="008F781D" w:rsidRDefault="008F781D" w:rsidP="00940830">
      <w:pPr>
        <w:pStyle w:val="Authors"/>
      </w:pPr>
      <w:r>
        <w:t xml:space="preserve">Nick </w:t>
      </w:r>
      <w:proofErr w:type="spellStart"/>
      <w:r>
        <w:t>Fredman</w:t>
      </w:r>
      <w:proofErr w:type="spellEnd"/>
    </w:p>
    <w:p w14:paraId="3D3DC948" w14:textId="77777777" w:rsidR="008F781D" w:rsidRDefault="008F781D" w:rsidP="00940830">
      <w:pPr>
        <w:pStyle w:val="Authors"/>
      </w:pPr>
      <w:proofErr w:type="spellStart"/>
      <w:r>
        <w:t>Emmaline</w:t>
      </w:r>
      <w:proofErr w:type="spellEnd"/>
      <w:r>
        <w:t xml:space="preserve"> Bexley</w:t>
      </w:r>
    </w:p>
    <w:bookmarkEnd w:id="0"/>
    <w:bookmarkEnd w:id="1"/>
    <w:p w14:paraId="065FACAC" w14:textId="77777777" w:rsidR="009E231A" w:rsidRDefault="008F781D" w:rsidP="00940830">
      <w:pPr>
        <w:pStyle w:val="Organisation"/>
      </w:pPr>
      <w:r>
        <w:t>University of Melbourne</w:t>
      </w:r>
    </w:p>
    <w:p w14:paraId="1F6FE9F9" w14:textId="77777777" w:rsidR="008F781D" w:rsidRDefault="008F781D" w:rsidP="008F781D">
      <w:pPr>
        <w:pStyle w:val="Authors"/>
      </w:pPr>
    </w:p>
    <w:p w14:paraId="236FC4BC" w14:textId="77777777" w:rsidR="00B0759C" w:rsidRDefault="00B0759C" w:rsidP="008F781D">
      <w:pPr>
        <w:pStyle w:val="Authors"/>
      </w:pPr>
      <w:r>
        <w:t xml:space="preserve">Gavin </w:t>
      </w:r>
      <w:proofErr w:type="spellStart"/>
      <w:r>
        <w:t>Moodie</w:t>
      </w:r>
      <w:proofErr w:type="spellEnd"/>
    </w:p>
    <w:p w14:paraId="11DB1A85" w14:textId="77777777" w:rsidR="00B0759C" w:rsidRDefault="00B0759C" w:rsidP="00B0759C">
      <w:pPr>
        <w:pStyle w:val="Organisation"/>
      </w:pPr>
      <w:r>
        <w:t>RMIT</w:t>
      </w:r>
    </w:p>
    <w:p w14:paraId="7BEB7B7E" w14:textId="77777777" w:rsidR="000315D7" w:rsidRDefault="000315D7" w:rsidP="00940830">
      <w:pPr>
        <w:pStyle w:val="Organisation"/>
      </w:pPr>
    </w:p>
    <w:p w14:paraId="13ED80B8" w14:textId="77777777" w:rsidR="006C5DA9" w:rsidRPr="006C5DA9" w:rsidRDefault="006C5DA9" w:rsidP="00A9334E">
      <w:pPr>
        <w:pStyle w:val="Text"/>
        <w:ind w:left="2552"/>
      </w:pPr>
    </w:p>
    <w:p w14:paraId="196FD4B5" w14:textId="01A4CFAB" w:rsidR="001B43CF" w:rsidRDefault="001B43CF" w:rsidP="00A9334E">
      <w:pPr>
        <w:pStyle w:val="Text"/>
        <w:ind w:left="2552"/>
      </w:pPr>
    </w:p>
    <w:p w14:paraId="723FF0A1" w14:textId="77777777" w:rsidR="001B43CF" w:rsidRDefault="001B43CF" w:rsidP="00A9334E">
      <w:pPr>
        <w:pStyle w:val="Text"/>
        <w:ind w:left="2552"/>
      </w:pPr>
    </w:p>
    <w:p w14:paraId="19FF3844" w14:textId="2ABF742B" w:rsidR="001B43CF" w:rsidRDefault="00E77C52"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560F9B77" wp14:editId="4E224A17">
                <wp:simplePos x="0" y="0"/>
                <wp:positionH relativeFrom="column">
                  <wp:posOffset>1566545</wp:posOffset>
                </wp:positionH>
                <wp:positionV relativeFrom="margin">
                  <wp:posOffset>6148070</wp:posOffset>
                </wp:positionV>
                <wp:extent cx="3825875" cy="212280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12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1BCBB" w14:textId="0B38EFF2" w:rsidR="00790572" w:rsidRPr="00B57CC9" w:rsidRDefault="00790572" w:rsidP="00B57CC9">
                            <w:pPr>
                              <w:pStyle w:val="Text"/>
                              <w:shd w:val="clear" w:color="auto" w:fill="000000" w:themeFill="text1"/>
                            </w:pPr>
                            <w:r w:rsidRPr="000C1642">
                              <w:t xml:space="preserve">This document was produced by the author(s) based on their research for the report </w:t>
                            </w:r>
                            <w:r w:rsidRPr="000C1642">
                              <w:rPr>
                                <w:i/>
                              </w:rPr>
                              <w:t>&lt;</w:t>
                            </w:r>
                            <w:r>
                              <w:rPr>
                                <w:i/>
                              </w:rPr>
                              <w:t>Towards a new approach to mid-level qualifications</w:t>
                            </w:r>
                            <w:r w:rsidRPr="000C1642">
                              <w:rPr>
                                <w:i/>
                              </w:rPr>
                              <w:t>&gt;</w:t>
                            </w:r>
                            <w:r w:rsidRPr="000C1642">
                              <w:t xml:space="preserve">, and is an added resource for further information. The report is available on NCVER’s </w:t>
                            </w:r>
                            <w:r>
                              <w:t>website: &lt;</w:t>
                            </w:r>
                            <w:r w:rsidRPr="00B57CC9">
                              <w:t>www.ncver.edu.au&gt;</w:t>
                            </w:r>
                            <w:r>
                              <w:t>.</w:t>
                            </w:r>
                          </w:p>
                          <w:p w14:paraId="0152319F" w14:textId="77777777" w:rsidR="00790572" w:rsidRDefault="00790572" w:rsidP="000C1642">
                            <w:pPr>
                              <w:pStyle w:val="Imprint"/>
                            </w:pPr>
                          </w:p>
                          <w:p w14:paraId="49465284" w14:textId="77777777" w:rsidR="00790572" w:rsidRDefault="00790572"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35pt;margin-top:484.1pt;width:301.25pt;height:1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" filled="f" stroked="f">
                <v:textbox>
                  <w:txbxContent>
                    <w:p w14:paraId="3821BCBB" w14:textId="0B38EFF2" w:rsidR="00790572" w:rsidRPr="00B57CC9" w:rsidRDefault="00790572" w:rsidP="00B57CC9">
                      <w:pPr>
                        <w:pStyle w:val="Text"/>
                        <w:shd w:val="clear" w:color="auto" w:fill="000000" w:themeFill="text1"/>
                      </w:pPr>
                      <w:r w:rsidRPr="000C1642">
                        <w:t xml:space="preserve">This document was produced by the author(s) based on their research for the report </w:t>
                      </w:r>
                      <w:r w:rsidRPr="000C1642">
                        <w:rPr>
                          <w:i/>
                        </w:rPr>
                        <w:t>&lt;</w:t>
                      </w:r>
                      <w:r>
                        <w:rPr>
                          <w:i/>
                        </w:rPr>
                        <w:t>Towards a new approach to mid-level qualifications</w:t>
                      </w:r>
                      <w:r w:rsidRPr="000C1642">
                        <w:rPr>
                          <w:i/>
                        </w:rPr>
                        <w:t>&gt;</w:t>
                      </w:r>
                      <w:r w:rsidRPr="000C1642">
                        <w:t xml:space="preserve">, and is an added resource for further information. The report is available on NCVER’s </w:t>
                      </w:r>
                      <w:r>
                        <w:t>website: &lt;</w:t>
                      </w:r>
                      <w:r w:rsidRPr="00B57CC9">
                        <w:t>www.ncver.edu.au&gt;</w:t>
                      </w:r>
                      <w:r>
                        <w:t>.</w:t>
                      </w:r>
                    </w:p>
                    <w:p w14:paraId="0152319F" w14:textId="77777777" w:rsidR="00790572" w:rsidRDefault="00790572" w:rsidP="000C1642">
                      <w:pPr>
                        <w:pStyle w:val="Imprint"/>
                      </w:pPr>
                    </w:p>
                    <w:p w14:paraId="49465284" w14:textId="77777777" w:rsidR="00790572" w:rsidRDefault="00790572"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mc:Fallback>
        </mc:AlternateContent>
      </w:r>
    </w:p>
    <w:p w14:paraId="6F1E5235" w14:textId="77777777" w:rsidR="001B43CF" w:rsidRDefault="001B43CF" w:rsidP="00A9334E">
      <w:pPr>
        <w:pStyle w:val="Text"/>
        <w:ind w:left="2552"/>
      </w:pPr>
    </w:p>
    <w:p w14:paraId="79449C5C" w14:textId="77777777" w:rsidR="001B43CF" w:rsidRDefault="001B43CF" w:rsidP="00A9334E">
      <w:pPr>
        <w:pStyle w:val="Text"/>
        <w:ind w:left="2552"/>
      </w:pPr>
    </w:p>
    <w:p w14:paraId="582F5ED8" w14:textId="77777777" w:rsidR="00DB599C" w:rsidRDefault="00DB599C" w:rsidP="00A9334E">
      <w:pPr>
        <w:pStyle w:val="Text"/>
        <w:ind w:left="2552"/>
      </w:pPr>
    </w:p>
    <w:p w14:paraId="2C567430" w14:textId="77777777" w:rsidR="00DB599C" w:rsidRDefault="00DB599C" w:rsidP="00A9334E">
      <w:pPr>
        <w:pStyle w:val="Text"/>
        <w:ind w:left="2552"/>
      </w:pPr>
    </w:p>
    <w:p w14:paraId="0BB4289D" w14:textId="77777777" w:rsidR="00DB599C" w:rsidRDefault="00DB599C" w:rsidP="00A9334E">
      <w:pPr>
        <w:pStyle w:val="Heading3"/>
        <w:ind w:left="2552" w:right="-1"/>
      </w:pPr>
      <w:r>
        <w:softHyphen/>
      </w:r>
    </w:p>
    <w:p w14:paraId="1986B3FA"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FB34659" w14:textId="77777777" w:rsidR="00177827" w:rsidRDefault="00177827" w:rsidP="00874DA5">
      <w:pPr>
        <w:pStyle w:val="Contents"/>
      </w:pPr>
    </w:p>
    <w:p w14:paraId="7B9EBDF0" w14:textId="77777777" w:rsidR="006A702B" w:rsidRDefault="006A702B" w:rsidP="006A702B">
      <w:pPr>
        <w:pStyle w:val="Heading1"/>
      </w:pPr>
    </w:p>
    <w:p w14:paraId="13E998D3" w14:textId="77777777" w:rsidR="006A702B" w:rsidRDefault="006A702B" w:rsidP="006A702B">
      <w:pPr>
        <w:pStyle w:val="Text"/>
      </w:pPr>
    </w:p>
    <w:p w14:paraId="03989B37" w14:textId="77777777" w:rsidR="006A702B" w:rsidRDefault="006A702B" w:rsidP="006A702B">
      <w:pPr>
        <w:pStyle w:val="Text"/>
      </w:pPr>
    </w:p>
    <w:p w14:paraId="1087482D" w14:textId="77777777" w:rsidR="006A702B" w:rsidRDefault="006A702B" w:rsidP="006A702B">
      <w:pPr>
        <w:pStyle w:val="Text"/>
      </w:pPr>
    </w:p>
    <w:p w14:paraId="30E8ACDB" w14:textId="77777777" w:rsidR="006A702B" w:rsidRDefault="006A702B" w:rsidP="006A702B">
      <w:pPr>
        <w:pStyle w:val="Text"/>
      </w:pPr>
    </w:p>
    <w:p w14:paraId="693C2479" w14:textId="0796F163" w:rsidR="006A702B" w:rsidRDefault="006A702B" w:rsidP="006A702B">
      <w:pPr>
        <w:pStyle w:val="Text"/>
      </w:pPr>
    </w:p>
    <w:p w14:paraId="43502AC5" w14:textId="77777777" w:rsidR="006A702B" w:rsidRDefault="006A702B" w:rsidP="006A702B">
      <w:pPr>
        <w:pStyle w:val="Text"/>
      </w:pPr>
    </w:p>
    <w:p w14:paraId="7585A839" w14:textId="77777777" w:rsidR="006A702B" w:rsidRDefault="006A702B" w:rsidP="006A702B">
      <w:pPr>
        <w:pStyle w:val="Text"/>
      </w:pPr>
    </w:p>
    <w:p w14:paraId="239378B0" w14:textId="77777777" w:rsidR="006A702B" w:rsidRDefault="006A702B" w:rsidP="006A702B">
      <w:pPr>
        <w:pStyle w:val="Text"/>
      </w:pPr>
    </w:p>
    <w:p w14:paraId="6B89B3A7" w14:textId="77777777" w:rsidR="006A702B" w:rsidRDefault="006A702B" w:rsidP="006A702B">
      <w:pPr>
        <w:pStyle w:val="Text"/>
      </w:pPr>
    </w:p>
    <w:p w14:paraId="1CBE04F5" w14:textId="44B71DC9" w:rsidR="006A702B" w:rsidRDefault="00E77C52"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38A46E16" wp14:editId="3FFE720D">
                <wp:simplePos x="0" y="0"/>
                <wp:positionH relativeFrom="column">
                  <wp:posOffset>-242570</wp:posOffset>
                </wp:positionH>
                <wp:positionV relativeFrom="margin">
                  <wp:posOffset>3998595</wp:posOffset>
                </wp:positionV>
                <wp:extent cx="5682615" cy="516445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16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C15D3" w14:textId="77777777" w:rsidR="00E77C52" w:rsidRPr="002261EA" w:rsidRDefault="00E77C52" w:rsidP="00E77C52">
                            <w:pPr>
                              <w:pStyle w:val="Imprint"/>
                              <w:rPr>
                                <w:b/>
                              </w:rPr>
                            </w:pPr>
                            <w:r w:rsidRPr="002261EA">
                              <w:rPr>
                                <w:b/>
                              </w:rPr>
                              <w:t>© Commonwealth of Australia, 2015</w:t>
                            </w:r>
                          </w:p>
                          <w:p w14:paraId="493E2D6C" w14:textId="77777777" w:rsidR="00E77C52" w:rsidRPr="002261EA" w:rsidRDefault="00E77C52" w:rsidP="00E77C52">
                            <w:pPr>
                              <w:pStyle w:val="Imprint"/>
                            </w:pPr>
                            <w:r w:rsidRPr="002261EA">
                              <w:rPr>
                                <w:noProof/>
                                <w:lang w:eastAsia="en-AU"/>
                              </w:rPr>
                              <w:drawing>
                                <wp:inline distT="0" distB="0" distL="0" distR="0" wp14:anchorId="14888213" wp14:editId="53F2E0C0">
                                  <wp:extent cx="850265" cy="302895"/>
                                  <wp:effectExtent l="19050" t="0" r="6985" b="0"/>
                                  <wp:docPr id="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7161660B" w14:textId="77777777" w:rsidR="00E77C52" w:rsidRPr="002261EA" w:rsidRDefault="00E77C52" w:rsidP="00E77C52">
                            <w:pPr>
                              <w:pStyle w:val="Imprint"/>
                            </w:pPr>
                            <w:r w:rsidRPr="002261E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40949DB8" w14:textId="04F55975" w:rsidR="00E77C52" w:rsidRPr="002261EA" w:rsidRDefault="00E77C52" w:rsidP="00E77C52">
                            <w:pPr>
                              <w:pStyle w:val="Imprint"/>
                            </w:pPr>
                            <w:r>
                              <w:t>T</w:t>
                            </w:r>
                            <w:r w:rsidR="00301BDA">
                              <w:t>h</w:t>
                            </w:r>
                            <w:r w:rsidRPr="002261EA">
                              <w:t>e details of the relevant licence conditions are available on the Creative Commons website (accessible using the links provided) as is the full legal code for the CC BY 3.0 AU licence &lt;http://creativecommons.org/licenses/by/3.0/legalcode&gt;.</w:t>
                            </w:r>
                          </w:p>
                          <w:p w14:paraId="20738113" w14:textId="77777777" w:rsidR="00E77C52" w:rsidRPr="002261EA" w:rsidRDefault="00E77C52" w:rsidP="00E77C52">
                            <w:pPr>
                              <w:pStyle w:val="Imprint"/>
                            </w:pPr>
                            <w:r w:rsidRPr="002261EA">
                              <w:t>The Creative Commons licence conditions do not apply to all logos, graphic design, artwork and photographs. Requests and enquiries concerning other reproduction and rights should be directed to the National Centre for Vocational Education Research (NCVER).</w:t>
                            </w:r>
                          </w:p>
                          <w:p w14:paraId="0A2B7898" w14:textId="4564D86E" w:rsidR="00E77C52" w:rsidRPr="002261EA" w:rsidRDefault="00E77C52" w:rsidP="00E77C52">
                            <w:pPr>
                              <w:pStyle w:val="Imprint"/>
                            </w:pPr>
                            <w:r w:rsidRPr="002261EA">
                              <w:t xml:space="preserve">This document should be attributed as </w:t>
                            </w:r>
                            <w:proofErr w:type="spellStart"/>
                            <w:r>
                              <w:t>Wheelahan</w:t>
                            </w:r>
                            <w:proofErr w:type="spellEnd"/>
                            <w:r>
                              <w:t xml:space="preserve">, L, </w:t>
                            </w:r>
                            <w:proofErr w:type="spellStart"/>
                            <w:r>
                              <w:t>Fredman</w:t>
                            </w:r>
                            <w:proofErr w:type="spellEnd"/>
                            <w:r>
                              <w:t xml:space="preserve">, N, Bexley, E &amp; </w:t>
                            </w:r>
                            <w:proofErr w:type="spellStart"/>
                            <w:r>
                              <w:t>Moodie</w:t>
                            </w:r>
                            <w:proofErr w:type="spellEnd"/>
                            <w:r>
                              <w:t>, G</w:t>
                            </w:r>
                            <w:r w:rsidRPr="002261EA">
                              <w:t xml:space="preserve"> 2015, </w:t>
                            </w:r>
                            <w:r>
                              <w:rPr>
                                <w:i/>
                              </w:rPr>
                              <w:t>Towards a new approach to mid-level qualifications – case studies</w:t>
                            </w:r>
                            <w:r w:rsidRPr="002261EA">
                              <w:rPr>
                                <w:i/>
                              </w:rPr>
                              <w:t>,</w:t>
                            </w:r>
                            <w:r w:rsidRPr="002261EA">
                              <w:t xml:space="preserve"> NCVER, Adelaide.</w:t>
                            </w:r>
                          </w:p>
                          <w:p w14:paraId="40BE05A8" w14:textId="77777777" w:rsidR="00E77C52" w:rsidRPr="00D42A61" w:rsidRDefault="00E77C52" w:rsidP="00E77C52">
                            <w:pPr>
                              <w:pStyle w:val="Imprint"/>
                              <w:rPr>
                                <w:color w:val="000000"/>
                              </w:rPr>
                            </w:pPr>
                            <w:r>
                              <w:rPr>
                                <w:color w:val="000000"/>
                              </w:rPr>
                              <w:t xml:space="preserve">Published </w:t>
                            </w:r>
                            <w:r w:rsidRPr="00D42A61">
                              <w:rPr>
                                <w:color w:val="000000"/>
                              </w:rPr>
                              <w:t>by NCVER, ABN 87 007 967 311</w:t>
                            </w:r>
                          </w:p>
                          <w:p w14:paraId="54EBDED6" w14:textId="77777777" w:rsidR="00E77C52" w:rsidRPr="00D42A61" w:rsidRDefault="00E77C52" w:rsidP="00E77C52">
                            <w:pPr>
                              <w:pStyle w:val="Imprint"/>
                              <w:rPr>
                                <w:color w:val="000000"/>
                              </w:rPr>
                            </w:pPr>
                            <w:r w:rsidRPr="00D42A61">
                              <w:rPr>
                                <w:color w:val="000000"/>
                              </w:rPr>
                              <w:t>Level 11, 33 King William Street, Adelaide, SA 5000</w:t>
                            </w:r>
                            <w:r w:rsidRPr="00D42A61">
                              <w:rPr>
                                <w:color w:val="000000"/>
                              </w:rPr>
                              <w:br/>
                              <w:t>PO Box 8288 Station Arcade, Adelaide SA 5000, Australia</w:t>
                            </w:r>
                          </w:p>
                          <w:p w14:paraId="77D0ABA7" w14:textId="77777777" w:rsidR="00E77C52" w:rsidRPr="00D42A61" w:rsidRDefault="00E77C52" w:rsidP="00E77C52">
                            <w:pPr>
                              <w:pStyle w:val="Imprint"/>
                              <w:rPr>
                                <w:color w:val="000000"/>
                              </w:rPr>
                            </w:pPr>
                            <w:r w:rsidRPr="00D42A61">
                              <w:rPr>
                                <w:b/>
                                <w:color w:val="000000"/>
                              </w:rPr>
                              <w:t>Phone</w:t>
                            </w:r>
                            <w:r w:rsidRPr="00D42A61">
                              <w:rPr>
                                <w:color w:val="000000"/>
                              </w:rPr>
                              <w:t xml:space="preserve"> +61 8 8230 8400     </w:t>
                            </w:r>
                            <w:r w:rsidRPr="00D42A61">
                              <w:rPr>
                                <w:b/>
                                <w:color w:val="000000"/>
                              </w:rPr>
                              <w:t>Fax</w:t>
                            </w:r>
                            <w:r w:rsidRPr="00D42A61">
                              <w:rPr>
                                <w:color w:val="000000"/>
                              </w:rPr>
                              <w:t xml:space="preserve"> +61 8 8212 3436</w:t>
                            </w:r>
                          </w:p>
                          <w:p w14:paraId="1B5625CC" w14:textId="77777777" w:rsidR="00E77C52" w:rsidRPr="00D42A61" w:rsidRDefault="00E77C52" w:rsidP="00E77C52">
                            <w:pPr>
                              <w:pStyle w:val="Imprint"/>
                              <w:rPr>
                                <w:color w:val="000000"/>
                              </w:rPr>
                            </w:pPr>
                            <w:r w:rsidRPr="00D42A61">
                              <w:rPr>
                                <w:b/>
                                <w:color w:val="000000"/>
                              </w:rPr>
                              <w:t>Email</w:t>
                            </w:r>
                            <w:r w:rsidRPr="00D42A61">
                              <w:rPr>
                                <w:color w:val="000000"/>
                              </w:rPr>
                              <w:t xml:space="preserve"> </w:t>
                            </w:r>
                            <w:hyperlink r:id="rId10" w:history="1">
                              <w:r w:rsidRPr="00D42A61">
                                <w:rPr>
                                  <w:rStyle w:val="Hyperlink"/>
                                  <w:sz w:val="16"/>
                                </w:rPr>
                                <w:t>ncver@ncver.edu.au</w:t>
                              </w:r>
                            </w:hyperlink>
                            <w:r w:rsidRPr="00D42A61">
                              <w:rPr>
                                <w:color w:val="000000"/>
                              </w:rPr>
                              <w:t xml:space="preserve">     </w:t>
                            </w:r>
                            <w:r w:rsidRPr="00D42A61">
                              <w:rPr>
                                <w:b/>
                                <w:color w:val="000000"/>
                              </w:rPr>
                              <w:t>Web</w:t>
                            </w:r>
                            <w:r w:rsidRPr="00D42A61">
                              <w:rPr>
                                <w:color w:val="000000"/>
                              </w:rPr>
                              <w:t xml:space="preserve"> &lt;http://www.ncver.edu.au</w:t>
                            </w:r>
                            <w:proofErr w:type="gramStart"/>
                            <w:r w:rsidRPr="00D42A61">
                              <w:rPr>
                                <w:color w:val="000000"/>
                              </w:rPr>
                              <w:t>&gt;  &lt;</w:t>
                            </w:r>
                            <w:proofErr w:type="gramEnd"/>
                            <w:hyperlink r:id="rId11" w:history="1">
                              <w:r w:rsidRPr="00D42A61">
                                <w:rPr>
                                  <w:rStyle w:val="Hyperlink"/>
                                  <w:sz w:val="16"/>
                                </w:rPr>
                                <w:t>http://www.lsay.edu.au</w:t>
                              </w:r>
                            </w:hyperlink>
                            <w:r w:rsidRPr="00D42A61">
                              <w:rPr>
                                <w:color w:val="000000"/>
                              </w:rPr>
                              <w:t>&gt;</w:t>
                            </w:r>
                          </w:p>
                          <w:p w14:paraId="52F4CDD0" w14:textId="77777777" w:rsidR="00E77C52" w:rsidRPr="002261EA" w:rsidRDefault="00E77C52" w:rsidP="00E77C52">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27A51B64" wp14:editId="0418858D">
                                  <wp:extent cx="123825"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&lt;http://twitter.com/ncver&gt;</w:t>
                            </w:r>
                            <w:r w:rsidRPr="00D42A61">
                              <w:rPr>
                                <w:color w:val="000000"/>
                              </w:rPr>
                              <w:tab/>
                            </w:r>
                            <w:r>
                              <w:rPr>
                                <w:noProof/>
                                <w:color w:val="000000"/>
                                <w:lang w:eastAsia="en-AU"/>
                              </w:rPr>
                              <w:drawing>
                                <wp:inline distT="0" distB="0" distL="0" distR="0" wp14:anchorId="3BC82ADE" wp14:editId="09216CC8">
                                  <wp:extent cx="133350"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&lt;http://www.linkedin.com/company/ncver&gt;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9.1pt;margin-top:314.85pt;width:447.45pt;height:4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cvuQ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" filled="f" stroked="f">
                <v:textbox>
                  <w:txbxContent>
                    <w:p w14:paraId="4FDC15D3" w14:textId="77777777" w:rsidR="00E77C52" w:rsidRPr="002261EA" w:rsidRDefault="00E77C52" w:rsidP="00E77C52">
                      <w:pPr>
                        <w:pStyle w:val="Imprint"/>
                        <w:rPr>
                          <w:b/>
                        </w:rPr>
                      </w:pPr>
                      <w:r w:rsidRPr="002261EA">
                        <w:rPr>
                          <w:b/>
                        </w:rPr>
                        <w:t>© Commonwealth of Australia, 2015</w:t>
                      </w:r>
                    </w:p>
                    <w:p w14:paraId="493E2D6C" w14:textId="77777777" w:rsidR="00E77C52" w:rsidRPr="002261EA" w:rsidRDefault="00E77C52" w:rsidP="00E77C52">
                      <w:pPr>
                        <w:pStyle w:val="Imprint"/>
                      </w:pPr>
                      <w:r w:rsidRPr="002261EA">
                        <w:rPr>
                          <w:noProof/>
                          <w:lang w:eastAsia="en-AU"/>
                        </w:rPr>
                        <w:drawing>
                          <wp:inline distT="0" distB="0" distL="0" distR="0" wp14:anchorId="14888213" wp14:editId="53F2E0C0">
                            <wp:extent cx="850265" cy="302895"/>
                            <wp:effectExtent l="19050" t="0" r="6985" b="0"/>
                            <wp:docPr id="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7161660B" w14:textId="77777777" w:rsidR="00E77C52" w:rsidRPr="002261EA" w:rsidRDefault="00E77C52" w:rsidP="00E77C52">
                      <w:pPr>
                        <w:pStyle w:val="Imprint"/>
                      </w:pPr>
                      <w:r w:rsidRPr="002261E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40949DB8" w14:textId="04F55975" w:rsidR="00E77C52" w:rsidRPr="002261EA" w:rsidRDefault="00E77C52" w:rsidP="00E77C52">
                      <w:pPr>
                        <w:pStyle w:val="Imprint"/>
                      </w:pPr>
                      <w:r>
                        <w:t>T</w:t>
                      </w:r>
                      <w:r w:rsidR="00301BDA">
                        <w:t>h</w:t>
                      </w:r>
                      <w:r w:rsidRPr="002261EA">
                        <w:t>e details of the relevant licence conditions are available on the Creative Commons website (accessible using the links provided) as is the full legal code for the CC BY 3.0 AU licence &lt;http://creativecommons.org/licenses/by/3.0/legalcode&gt;.</w:t>
                      </w:r>
                    </w:p>
                    <w:p w14:paraId="20738113" w14:textId="77777777" w:rsidR="00E77C52" w:rsidRPr="002261EA" w:rsidRDefault="00E77C52" w:rsidP="00E77C52">
                      <w:pPr>
                        <w:pStyle w:val="Imprint"/>
                      </w:pPr>
                      <w:r w:rsidRPr="002261EA">
                        <w:t>The Creative Commons licence conditions do not apply to all logos, graphic design, artwork and photographs. Requests and enquiries concerning other reproduction and rights should be directed to the National Centre for Vocational Education Research (NCVER).</w:t>
                      </w:r>
                    </w:p>
                    <w:p w14:paraId="0A2B7898" w14:textId="4564D86E" w:rsidR="00E77C52" w:rsidRPr="002261EA" w:rsidRDefault="00E77C52" w:rsidP="00E77C52">
                      <w:pPr>
                        <w:pStyle w:val="Imprint"/>
                      </w:pPr>
                      <w:r w:rsidRPr="002261EA">
                        <w:t xml:space="preserve">This document should be attributed as </w:t>
                      </w:r>
                      <w:proofErr w:type="spellStart"/>
                      <w:r>
                        <w:t>Wheelahan</w:t>
                      </w:r>
                      <w:proofErr w:type="spellEnd"/>
                      <w:r>
                        <w:t xml:space="preserve">, L, </w:t>
                      </w:r>
                      <w:proofErr w:type="spellStart"/>
                      <w:r>
                        <w:t>Fredman</w:t>
                      </w:r>
                      <w:proofErr w:type="spellEnd"/>
                      <w:r>
                        <w:t xml:space="preserve">, N, Bexley, E &amp; </w:t>
                      </w:r>
                      <w:proofErr w:type="spellStart"/>
                      <w:r>
                        <w:t>Moodie</w:t>
                      </w:r>
                      <w:proofErr w:type="spellEnd"/>
                      <w:r>
                        <w:t>, G</w:t>
                      </w:r>
                      <w:r w:rsidRPr="002261EA">
                        <w:t xml:space="preserve"> 2015, </w:t>
                      </w:r>
                      <w:r>
                        <w:rPr>
                          <w:i/>
                        </w:rPr>
                        <w:t>Towards a new approach to mid-level qualifications – case studies</w:t>
                      </w:r>
                      <w:r w:rsidRPr="002261EA">
                        <w:rPr>
                          <w:i/>
                        </w:rPr>
                        <w:t>,</w:t>
                      </w:r>
                      <w:r w:rsidRPr="002261EA">
                        <w:t xml:space="preserve"> NCVER, Adelaide.</w:t>
                      </w:r>
                    </w:p>
                    <w:p w14:paraId="40BE05A8" w14:textId="77777777" w:rsidR="00E77C52" w:rsidRPr="00D42A61" w:rsidRDefault="00E77C52" w:rsidP="00E77C52">
                      <w:pPr>
                        <w:pStyle w:val="Imprint"/>
                        <w:rPr>
                          <w:color w:val="000000"/>
                        </w:rPr>
                      </w:pPr>
                      <w:r>
                        <w:rPr>
                          <w:color w:val="000000"/>
                        </w:rPr>
                        <w:t xml:space="preserve">Published </w:t>
                      </w:r>
                      <w:r w:rsidRPr="00D42A61">
                        <w:rPr>
                          <w:color w:val="000000"/>
                        </w:rPr>
                        <w:t>by NCVER, ABN 87 007 967 311</w:t>
                      </w:r>
                    </w:p>
                    <w:p w14:paraId="54EBDED6" w14:textId="77777777" w:rsidR="00E77C52" w:rsidRPr="00D42A61" w:rsidRDefault="00E77C52" w:rsidP="00E77C52">
                      <w:pPr>
                        <w:pStyle w:val="Imprint"/>
                        <w:rPr>
                          <w:color w:val="000000"/>
                        </w:rPr>
                      </w:pPr>
                      <w:r w:rsidRPr="00D42A61">
                        <w:rPr>
                          <w:color w:val="000000"/>
                        </w:rPr>
                        <w:t>Level 11, 33 King William Street, Adelaide, SA 5000</w:t>
                      </w:r>
                      <w:r w:rsidRPr="00D42A61">
                        <w:rPr>
                          <w:color w:val="000000"/>
                        </w:rPr>
                        <w:br/>
                        <w:t>PO Box 8288 Station Arcade, Adelaide SA 5000, Australia</w:t>
                      </w:r>
                    </w:p>
                    <w:p w14:paraId="77D0ABA7" w14:textId="77777777" w:rsidR="00E77C52" w:rsidRPr="00D42A61" w:rsidRDefault="00E77C52" w:rsidP="00E77C52">
                      <w:pPr>
                        <w:pStyle w:val="Imprint"/>
                        <w:rPr>
                          <w:color w:val="000000"/>
                        </w:rPr>
                      </w:pPr>
                      <w:r w:rsidRPr="00D42A61">
                        <w:rPr>
                          <w:b/>
                          <w:color w:val="000000"/>
                        </w:rPr>
                        <w:t>Phone</w:t>
                      </w:r>
                      <w:r w:rsidRPr="00D42A61">
                        <w:rPr>
                          <w:color w:val="000000"/>
                        </w:rPr>
                        <w:t xml:space="preserve"> +61 8 8230 8400     </w:t>
                      </w:r>
                      <w:r w:rsidRPr="00D42A61">
                        <w:rPr>
                          <w:b/>
                          <w:color w:val="000000"/>
                        </w:rPr>
                        <w:t>Fax</w:t>
                      </w:r>
                      <w:r w:rsidRPr="00D42A61">
                        <w:rPr>
                          <w:color w:val="000000"/>
                        </w:rPr>
                        <w:t xml:space="preserve"> +61 8 8212 3436</w:t>
                      </w:r>
                    </w:p>
                    <w:p w14:paraId="1B5625CC" w14:textId="77777777" w:rsidR="00E77C52" w:rsidRPr="00D42A61" w:rsidRDefault="00E77C52" w:rsidP="00E77C52">
                      <w:pPr>
                        <w:pStyle w:val="Imprint"/>
                        <w:rPr>
                          <w:color w:val="000000"/>
                        </w:rPr>
                      </w:pPr>
                      <w:r w:rsidRPr="00D42A61">
                        <w:rPr>
                          <w:b/>
                          <w:color w:val="000000"/>
                        </w:rPr>
                        <w:t>Email</w:t>
                      </w:r>
                      <w:r w:rsidRPr="00D42A61">
                        <w:rPr>
                          <w:color w:val="000000"/>
                        </w:rPr>
                        <w:t xml:space="preserve"> </w:t>
                      </w:r>
                      <w:hyperlink r:id="rId14" w:history="1">
                        <w:r w:rsidRPr="00D42A61">
                          <w:rPr>
                            <w:rStyle w:val="Hyperlink"/>
                            <w:sz w:val="16"/>
                          </w:rPr>
                          <w:t>ncver@ncver.edu.au</w:t>
                        </w:r>
                      </w:hyperlink>
                      <w:r w:rsidRPr="00D42A61">
                        <w:rPr>
                          <w:color w:val="000000"/>
                        </w:rPr>
                        <w:t xml:space="preserve">     </w:t>
                      </w:r>
                      <w:r w:rsidRPr="00D42A61">
                        <w:rPr>
                          <w:b/>
                          <w:color w:val="000000"/>
                        </w:rPr>
                        <w:t>Web</w:t>
                      </w:r>
                      <w:r w:rsidRPr="00D42A61">
                        <w:rPr>
                          <w:color w:val="000000"/>
                        </w:rPr>
                        <w:t xml:space="preserve"> &lt;http://www.ncver.edu.au</w:t>
                      </w:r>
                      <w:proofErr w:type="gramStart"/>
                      <w:r w:rsidRPr="00D42A61">
                        <w:rPr>
                          <w:color w:val="000000"/>
                        </w:rPr>
                        <w:t>&gt;  &lt;</w:t>
                      </w:r>
                      <w:proofErr w:type="gramEnd"/>
                      <w:hyperlink r:id="rId15" w:history="1">
                        <w:r w:rsidRPr="00D42A61">
                          <w:rPr>
                            <w:rStyle w:val="Hyperlink"/>
                            <w:sz w:val="16"/>
                          </w:rPr>
                          <w:t>http://www.lsay.edu.au</w:t>
                        </w:r>
                      </w:hyperlink>
                      <w:r w:rsidRPr="00D42A61">
                        <w:rPr>
                          <w:color w:val="000000"/>
                        </w:rPr>
                        <w:t>&gt;</w:t>
                      </w:r>
                    </w:p>
                    <w:p w14:paraId="52F4CDD0" w14:textId="77777777" w:rsidR="00E77C52" w:rsidRPr="002261EA" w:rsidRDefault="00E77C52" w:rsidP="00E77C52">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27A51B64" wp14:editId="0418858D">
                            <wp:extent cx="123825"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&lt;http://twitter.com/ncver&gt;</w:t>
                      </w:r>
                      <w:r w:rsidRPr="00D42A61">
                        <w:rPr>
                          <w:color w:val="000000"/>
                        </w:rPr>
                        <w:tab/>
                      </w:r>
                      <w:r>
                        <w:rPr>
                          <w:noProof/>
                          <w:color w:val="000000"/>
                          <w:lang w:eastAsia="en-AU"/>
                        </w:rPr>
                        <w:drawing>
                          <wp:inline distT="0" distB="0" distL="0" distR="0" wp14:anchorId="3BC82ADE" wp14:editId="09216CC8">
                            <wp:extent cx="133350"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&lt;http://www.linkedin.com/company/ncver&gt;</w:t>
                      </w:r>
                    </w:p>
                  </w:txbxContent>
                </v:textbox>
                <w10:wrap anchory="margin"/>
              </v:shape>
            </w:pict>
          </mc:Fallback>
        </mc:AlternateContent>
      </w:r>
    </w:p>
    <w:p w14:paraId="40D0E513" w14:textId="76AEC53F" w:rsidR="006A702B" w:rsidRDefault="006A702B" w:rsidP="006A702B">
      <w:pPr>
        <w:pStyle w:val="Text"/>
      </w:pPr>
    </w:p>
    <w:p w14:paraId="28F0DAFA" w14:textId="77777777" w:rsidR="006A702B" w:rsidRDefault="006A702B" w:rsidP="006A702B">
      <w:pPr>
        <w:pStyle w:val="Text"/>
      </w:pPr>
    </w:p>
    <w:p w14:paraId="3B0D70D4" w14:textId="77777777" w:rsidR="006A702B" w:rsidRDefault="006A702B" w:rsidP="006A702B">
      <w:pPr>
        <w:pStyle w:val="Text"/>
      </w:pPr>
    </w:p>
    <w:p w14:paraId="0DAE3DD9" w14:textId="77777777" w:rsidR="006A702B" w:rsidRDefault="006A702B" w:rsidP="006A702B">
      <w:pPr>
        <w:pStyle w:val="Text"/>
      </w:pPr>
    </w:p>
    <w:p w14:paraId="70877696" w14:textId="77777777" w:rsidR="00177827" w:rsidRDefault="00177827" w:rsidP="00874DA5">
      <w:pPr>
        <w:pStyle w:val="Contents"/>
        <w:sectPr w:rsidR="00177827" w:rsidSect="00BB7429">
          <w:footerReference w:type="default" r:id="rId16"/>
          <w:type w:val="continuous"/>
          <w:pgSz w:w="11907" w:h="16840" w:code="9"/>
          <w:pgMar w:top="1418" w:right="1701" w:bottom="1134" w:left="1418" w:header="709" w:footer="556" w:gutter="0"/>
          <w:cols w:space="708" w:equalWidth="0">
            <w:col w:w="8788"/>
          </w:cols>
          <w:docGrid w:linePitch="360"/>
        </w:sectPr>
      </w:pPr>
    </w:p>
    <w:p w14:paraId="17DD40A5"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7692F7D5" w14:textId="77777777" w:rsidR="00257CB8" w:rsidRDefault="00B17A90">
      <w:pPr>
        <w:pStyle w:val="TOC1"/>
        <w:rPr>
          <w:rFonts w:asciiTheme="minorHAnsi" w:eastAsiaTheme="minorEastAsia" w:hAnsiTheme="minorHAnsi" w:cstheme="minorBidi"/>
          <w:color w:val="auto"/>
          <w:sz w:val="24"/>
          <w:szCs w:val="24"/>
          <w:lang w:val="en-US" w:eastAsia="ja-JP"/>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257CB8">
        <w:t>Tables and figures</w:t>
      </w:r>
      <w:r w:rsidR="00257CB8">
        <w:tab/>
      </w:r>
      <w:r w:rsidR="00257CB8">
        <w:fldChar w:fldCharType="begin"/>
      </w:r>
      <w:r w:rsidR="00257CB8">
        <w:instrText xml:space="preserve"> PAGEREF _Toc257836734 \h </w:instrText>
      </w:r>
      <w:r w:rsidR="00257CB8">
        <w:fldChar w:fldCharType="separate"/>
      </w:r>
      <w:r w:rsidR="005C41DB">
        <w:t>4</w:t>
      </w:r>
      <w:r w:rsidR="00257CB8">
        <w:fldChar w:fldCharType="end"/>
      </w:r>
    </w:p>
    <w:p w14:paraId="4FEFEE5D" w14:textId="77777777" w:rsidR="00257CB8" w:rsidRDefault="00257CB8">
      <w:pPr>
        <w:pStyle w:val="TOC1"/>
        <w:rPr>
          <w:rFonts w:asciiTheme="minorHAnsi" w:eastAsiaTheme="minorEastAsia" w:hAnsiTheme="minorHAnsi" w:cstheme="minorBidi"/>
          <w:color w:val="auto"/>
          <w:sz w:val="24"/>
          <w:szCs w:val="24"/>
          <w:lang w:val="en-US" w:eastAsia="ja-JP"/>
        </w:rPr>
      </w:pPr>
      <w:r>
        <w:t>Health and community services</w:t>
      </w:r>
      <w:r>
        <w:tab/>
      </w:r>
      <w:r>
        <w:fldChar w:fldCharType="begin"/>
      </w:r>
      <w:r>
        <w:instrText xml:space="preserve"> PAGEREF _Toc257836737 \h </w:instrText>
      </w:r>
      <w:r>
        <w:fldChar w:fldCharType="separate"/>
      </w:r>
      <w:r w:rsidR="005C41DB">
        <w:t>9</w:t>
      </w:r>
      <w:r>
        <w:fldChar w:fldCharType="end"/>
      </w:r>
    </w:p>
    <w:p w14:paraId="42985521" w14:textId="77777777" w:rsidR="00257CB8" w:rsidRDefault="00257CB8">
      <w:pPr>
        <w:pStyle w:val="TOC2"/>
        <w:rPr>
          <w:rFonts w:asciiTheme="minorHAnsi" w:eastAsiaTheme="minorEastAsia" w:hAnsiTheme="minorHAnsi" w:cstheme="minorBidi"/>
          <w:color w:val="auto"/>
          <w:sz w:val="24"/>
          <w:szCs w:val="24"/>
          <w:lang w:val="en-US" w:eastAsia="ja-JP"/>
        </w:rPr>
      </w:pPr>
      <w:r>
        <w:t>Challenges facing health &amp; community services</w:t>
      </w:r>
      <w:r>
        <w:tab/>
      </w:r>
      <w:r>
        <w:fldChar w:fldCharType="begin"/>
      </w:r>
      <w:r>
        <w:instrText xml:space="preserve"> PAGEREF _Toc257836738 \h </w:instrText>
      </w:r>
      <w:r>
        <w:fldChar w:fldCharType="separate"/>
      </w:r>
      <w:r w:rsidR="005C41DB">
        <w:t>10</w:t>
      </w:r>
      <w:r>
        <w:fldChar w:fldCharType="end"/>
      </w:r>
    </w:p>
    <w:p w14:paraId="6906A9AE" w14:textId="77777777" w:rsidR="00257CB8" w:rsidRDefault="00257CB8">
      <w:pPr>
        <w:pStyle w:val="TOC2"/>
        <w:rPr>
          <w:rFonts w:asciiTheme="minorHAnsi" w:eastAsiaTheme="minorEastAsia" w:hAnsiTheme="minorHAnsi" w:cstheme="minorBidi"/>
          <w:color w:val="auto"/>
          <w:sz w:val="24"/>
          <w:szCs w:val="24"/>
          <w:lang w:val="en-US" w:eastAsia="ja-JP"/>
        </w:rPr>
      </w:pPr>
      <w:r>
        <w:t>Enrolments, and employment and further study outcomes</w:t>
      </w:r>
      <w:r>
        <w:tab/>
      </w:r>
      <w:r>
        <w:fldChar w:fldCharType="begin"/>
      </w:r>
      <w:r>
        <w:instrText xml:space="preserve"> PAGEREF _Toc257836739 \h </w:instrText>
      </w:r>
      <w:r>
        <w:fldChar w:fldCharType="separate"/>
      </w:r>
      <w:r w:rsidR="005C41DB">
        <w:t>12</w:t>
      </w:r>
      <w:r>
        <w:fldChar w:fldCharType="end"/>
      </w:r>
    </w:p>
    <w:p w14:paraId="3FA8581F" w14:textId="77777777" w:rsidR="00257CB8" w:rsidRDefault="00257CB8">
      <w:pPr>
        <w:pStyle w:val="TOC2"/>
        <w:rPr>
          <w:rFonts w:asciiTheme="minorHAnsi" w:eastAsiaTheme="minorEastAsia" w:hAnsiTheme="minorHAnsi" w:cstheme="minorBidi"/>
          <w:color w:val="auto"/>
          <w:sz w:val="24"/>
          <w:szCs w:val="24"/>
          <w:lang w:val="en-US" w:eastAsia="ja-JP"/>
        </w:rPr>
      </w:pPr>
      <w:r>
        <w:t>Equity and social mobility</w:t>
      </w:r>
      <w:r>
        <w:tab/>
      </w:r>
      <w:r>
        <w:fldChar w:fldCharType="begin"/>
      </w:r>
      <w:r>
        <w:instrText xml:space="preserve"> PAGEREF _Toc257836740 \h </w:instrText>
      </w:r>
      <w:r>
        <w:fldChar w:fldCharType="separate"/>
      </w:r>
      <w:r w:rsidR="005C41DB">
        <w:t>16</w:t>
      </w:r>
      <w:r>
        <w:fldChar w:fldCharType="end"/>
      </w:r>
    </w:p>
    <w:p w14:paraId="384963EB" w14:textId="77777777" w:rsidR="00257CB8" w:rsidRDefault="00257CB8">
      <w:pPr>
        <w:pStyle w:val="TOC2"/>
        <w:rPr>
          <w:rFonts w:asciiTheme="minorHAnsi" w:eastAsiaTheme="minorEastAsia" w:hAnsiTheme="minorHAnsi" w:cstheme="minorBidi"/>
          <w:color w:val="auto"/>
          <w:sz w:val="24"/>
          <w:szCs w:val="24"/>
          <w:lang w:val="en-US" w:eastAsia="ja-JP"/>
        </w:rPr>
      </w:pPr>
      <w:r>
        <w:t>The potential for the capabilities approach and vocational streams</w:t>
      </w:r>
      <w:r>
        <w:tab/>
      </w:r>
      <w:r>
        <w:fldChar w:fldCharType="begin"/>
      </w:r>
      <w:r>
        <w:instrText xml:space="preserve"> PAGEREF _Toc257836741 \h </w:instrText>
      </w:r>
      <w:r>
        <w:fldChar w:fldCharType="separate"/>
      </w:r>
      <w:r w:rsidR="005C41DB">
        <w:t>18</w:t>
      </w:r>
      <w:r>
        <w:fldChar w:fldCharType="end"/>
      </w:r>
    </w:p>
    <w:p w14:paraId="728B1339" w14:textId="77777777" w:rsidR="00257CB8" w:rsidRDefault="00257CB8">
      <w:pPr>
        <w:pStyle w:val="TOC2"/>
        <w:rPr>
          <w:rFonts w:asciiTheme="minorHAnsi" w:eastAsiaTheme="minorEastAsia" w:hAnsiTheme="minorHAnsi" w:cstheme="minorBidi"/>
          <w:color w:val="auto"/>
          <w:sz w:val="24"/>
          <w:szCs w:val="24"/>
          <w:lang w:val="en-US" w:eastAsia="ja-JP"/>
        </w:rPr>
      </w:pPr>
      <w:r>
        <w:t>Dilemmas – vocational streams</w:t>
      </w:r>
      <w:r>
        <w:tab/>
      </w:r>
      <w:r>
        <w:fldChar w:fldCharType="begin"/>
      </w:r>
      <w:r>
        <w:instrText xml:space="preserve"> PAGEREF _Toc257836742 \h </w:instrText>
      </w:r>
      <w:r>
        <w:fldChar w:fldCharType="separate"/>
      </w:r>
      <w:r w:rsidR="005C41DB">
        <w:t>19</w:t>
      </w:r>
      <w:r>
        <w:fldChar w:fldCharType="end"/>
      </w:r>
    </w:p>
    <w:p w14:paraId="5C6D5E47" w14:textId="77777777" w:rsidR="00257CB8" w:rsidRDefault="00257CB8">
      <w:pPr>
        <w:pStyle w:val="TOC2"/>
        <w:rPr>
          <w:rFonts w:asciiTheme="minorHAnsi" w:eastAsiaTheme="minorEastAsia" w:hAnsiTheme="minorHAnsi" w:cstheme="minorBidi"/>
          <w:color w:val="auto"/>
          <w:sz w:val="24"/>
          <w:szCs w:val="24"/>
          <w:lang w:val="en-US" w:eastAsia="ja-JP"/>
        </w:rPr>
      </w:pPr>
      <w:r>
        <w:t>Conclusion</w:t>
      </w:r>
      <w:r>
        <w:tab/>
      </w:r>
      <w:r>
        <w:fldChar w:fldCharType="begin"/>
      </w:r>
      <w:r>
        <w:instrText xml:space="preserve"> PAGEREF _Toc257836743 \h </w:instrText>
      </w:r>
      <w:r>
        <w:fldChar w:fldCharType="separate"/>
      </w:r>
      <w:r w:rsidR="005C41DB">
        <w:t>21</w:t>
      </w:r>
      <w:r>
        <w:fldChar w:fldCharType="end"/>
      </w:r>
    </w:p>
    <w:p w14:paraId="6AC6AB46" w14:textId="77777777" w:rsidR="00257CB8" w:rsidRDefault="00257CB8">
      <w:pPr>
        <w:pStyle w:val="TOC1"/>
        <w:rPr>
          <w:rFonts w:asciiTheme="minorHAnsi" w:eastAsiaTheme="minorEastAsia" w:hAnsiTheme="minorHAnsi" w:cstheme="minorBidi"/>
          <w:color w:val="auto"/>
          <w:sz w:val="24"/>
          <w:szCs w:val="24"/>
          <w:lang w:val="en-US" w:eastAsia="ja-JP"/>
        </w:rPr>
      </w:pPr>
      <w:r>
        <w:t>Agriculture</w:t>
      </w:r>
      <w:r>
        <w:tab/>
      </w:r>
      <w:r>
        <w:fldChar w:fldCharType="begin"/>
      </w:r>
      <w:r>
        <w:instrText xml:space="preserve"> PAGEREF _Toc257836744 \h </w:instrText>
      </w:r>
      <w:r>
        <w:fldChar w:fldCharType="separate"/>
      </w:r>
      <w:r w:rsidR="005C41DB">
        <w:t>24</w:t>
      </w:r>
      <w:r>
        <w:fldChar w:fldCharType="end"/>
      </w:r>
    </w:p>
    <w:p w14:paraId="62A58255" w14:textId="77777777" w:rsidR="00257CB8" w:rsidRDefault="00257CB8">
      <w:pPr>
        <w:pStyle w:val="TOC2"/>
        <w:rPr>
          <w:rFonts w:asciiTheme="minorHAnsi" w:eastAsiaTheme="minorEastAsia" w:hAnsiTheme="minorHAnsi" w:cstheme="minorBidi"/>
          <w:color w:val="auto"/>
          <w:sz w:val="24"/>
          <w:szCs w:val="24"/>
          <w:lang w:val="en-US" w:eastAsia="ja-JP"/>
        </w:rPr>
      </w:pPr>
      <w:r>
        <w:t>Method, proposals and participants</w:t>
      </w:r>
      <w:r>
        <w:tab/>
      </w:r>
      <w:r>
        <w:fldChar w:fldCharType="begin"/>
      </w:r>
      <w:r>
        <w:instrText xml:space="preserve"> PAGEREF _Toc257836745 \h </w:instrText>
      </w:r>
      <w:r>
        <w:fldChar w:fldCharType="separate"/>
      </w:r>
      <w:r w:rsidR="005C41DB">
        <w:t>24</w:t>
      </w:r>
      <w:r>
        <w:fldChar w:fldCharType="end"/>
      </w:r>
    </w:p>
    <w:p w14:paraId="0285D1EC" w14:textId="77777777" w:rsidR="00257CB8" w:rsidRDefault="00257CB8">
      <w:pPr>
        <w:pStyle w:val="TOC2"/>
        <w:rPr>
          <w:rFonts w:asciiTheme="minorHAnsi" w:eastAsiaTheme="minorEastAsia" w:hAnsiTheme="minorHAnsi" w:cstheme="minorBidi"/>
          <w:color w:val="auto"/>
          <w:sz w:val="24"/>
          <w:szCs w:val="24"/>
          <w:lang w:val="en-US" w:eastAsia="ja-JP"/>
        </w:rPr>
      </w:pPr>
      <w:r>
        <w:t>The changing nature of agriculture and the need for change</w:t>
      </w:r>
      <w:r>
        <w:tab/>
      </w:r>
      <w:r>
        <w:fldChar w:fldCharType="begin"/>
      </w:r>
      <w:r>
        <w:instrText xml:space="preserve"> PAGEREF _Toc257836746 \h </w:instrText>
      </w:r>
      <w:r>
        <w:fldChar w:fldCharType="separate"/>
      </w:r>
      <w:r w:rsidR="005C41DB">
        <w:t>25</w:t>
      </w:r>
      <w:r>
        <w:fldChar w:fldCharType="end"/>
      </w:r>
    </w:p>
    <w:p w14:paraId="62D2F272" w14:textId="77777777" w:rsidR="00257CB8" w:rsidRDefault="00257CB8">
      <w:pPr>
        <w:pStyle w:val="TOC2"/>
        <w:rPr>
          <w:rFonts w:asciiTheme="minorHAnsi" w:eastAsiaTheme="minorEastAsia" w:hAnsiTheme="minorHAnsi" w:cstheme="minorBidi"/>
          <w:color w:val="auto"/>
          <w:sz w:val="24"/>
          <w:szCs w:val="24"/>
          <w:lang w:val="en-US" w:eastAsia="ja-JP"/>
        </w:rPr>
      </w:pPr>
      <w:r>
        <w:t>Purposes of qualifications</w:t>
      </w:r>
      <w:r>
        <w:tab/>
      </w:r>
      <w:r>
        <w:fldChar w:fldCharType="begin"/>
      </w:r>
      <w:r>
        <w:instrText xml:space="preserve"> PAGEREF _Toc257836747 \h </w:instrText>
      </w:r>
      <w:r>
        <w:fldChar w:fldCharType="separate"/>
      </w:r>
      <w:r w:rsidR="005C41DB">
        <w:t>27</w:t>
      </w:r>
      <w:r>
        <w:fldChar w:fldCharType="end"/>
      </w:r>
    </w:p>
    <w:p w14:paraId="51ABE398" w14:textId="77777777" w:rsidR="00257CB8" w:rsidRDefault="00257CB8">
      <w:pPr>
        <w:pStyle w:val="TOC2"/>
        <w:rPr>
          <w:rFonts w:asciiTheme="minorHAnsi" w:eastAsiaTheme="minorEastAsia" w:hAnsiTheme="minorHAnsi" w:cstheme="minorBidi"/>
          <w:color w:val="auto"/>
          <w:sz w:val="24"/>
          <w:szCs w:val="24"/>
          <w:lang w:val="en-US" w:eastAsia="ja-JP"/>
        </w:rPr>
      </w:pPr>
      <w:r>
        <w:t>Capabilities approach</w:t>
      </w:r>
      <w:r>
        <w:tab/>
      </w:r>
      <w:r>
        <w:fldChar w:fldCharType="begin"/>
      </w:r>
      <w:r>
        <w:instrText xml:space="preserve"> PAGEREF _Toc257836748 \h </w:instrText>
      </w:r>
      <w:r>
        <w:fldChar w:fldCharType="separate"/>
      </w:r>
      <w:r w:rsidR="005C41DB">
        <w:t>34</w:t>
      </w:r>
      <w:r>
        <w:fldChar w:fldCharType="end"/>
      </w:r>
    </w:p>
    <w:p w14:paraId="4A472971" w14:textId="77777777" w:rsidR="00257CB8" w:rsidRDefault="00257CB8">
      <w:pPr>
        <w:pStyle w:val="TOC2"/>
        <w:rPr>
          <w:rFonts w:asciiTheme="minorHAnsi" w:eastAsiaTheme="minorEastAsia" w:hAnsiTheme="minorHAnsi" w:cstheme="minorBidi"/>
          <w:color w:val="auto"/>
          <w:sz w:val="24"/>
          <w:szCs w:val="24"/>
          <w:lang w:val="en-US" w:eastAsia="ja-JP"/>
        </w:rPr>
      </w:pPr>
      <w:r>
        <w:t>Vocational streams</w:t>
      </w:r>
      <w:r>
        <w:tab/>
      </w:r>
      <w:r>
        <w:fldChar w:fldCharType="begin"/>
      </w:r>
      <w:r>
        <w:instrText xml:space="preserve"> PAGEREF _Toc257836749 \h </w:instrText>
      </w:r>
      <w:r>
        <w:fldChar w:fldCharType="separate"/>
      </w:r>
      <w:r w:rsidR="005C41DB">
        <w:t>37</w:t>
      </w:r>
      <w:r>
        <w:fldChar w:fldCharType="end"/>
      </w:r>
    </w:p>
    <w:p w14:paraId="270DAB1F" w14:textId="77777777" w:rsidR="00257CB8" w:rsidRDefault="00257CB8">
      <w:pPr>
        <w:pStyle w:val="TOC2"/>
        <w:rPr>
          <w:rFonts w:asciiTheme="minorHAnsi" w:eastAsiaTheme="minorEastAsia" w:hAnsiTheme="minorHAnsi" w:cstheme="minorBidi"/>
          <w:color w:val="auto"/>
          <w:sz w:val="24"/>
          <w:szCs w:val="24"/>
          <w:lang w:val="en-US" w:eastAsia="ja-JP"/>
        </w:rPr>
      </w:pPr>
      <w:r>
        <w:t>Regionality</w:t>
      </w:r>
      <w:r>
        <w:tab/>
      </w:r>
      <w:r>
        <w:fldChar w:fldCharType="begin"/>
      </w:r>
      <w:r>
        <w:instrText xml:space="preserve"> PAGEREF _Toc257836750 \h </w:instrText>
      </w:r>
      <w:r>
        <w:fldChar w:fldCharType="separate"/>
      </w:r>
      <w:r w:rsidR="005C41DB">
        <w:t>38</w:t>
      </w:r>
      <w:r>
        <w:fldChar w:fldCharType="end"/>
      </w:r>
    </w:p>
    <w:p w14:paraId="526A7A49" w14:textId="77777777" w:rsidR="00257CB8" w:rsidRDefault="00257CB8">
      <w:pPr>
        <w:pStyle w:val="TOC2"/>
        <w:rPr>
          <w:rFonts w:asciiTheme="minorHAnsi" w:eastAsiaTheme="minorEastAsia" w:hAnsiTheme="minorHAnsi" w:cstheme="minorBidi"/>
          <w:color w:val="auto"/>
          <w:sz w:val="24"/>
          <w:szCs w:val="24"/>
          <w:lang w:val="en-US" w:eastAsia="ja-JP"/>
        </w:rPr>
      </w:pPr>
      <w:r>
        <w:t>Social partnerships</w:t>
      </w:r>
      <w:r>
        <w:tab/>
      </w:r>
      <w:r>
        <w:fldChar w:fldCharType="begin"/>
      </w:r>
      <w:r>
        <w:instrText xml:space="preserve"> PAGEREF _Toc257836751 \h </w:instrText>
      </w:r>
      <w:r>
        <w:fldChar w:fldCharType="separate"/>
      </w:r>
      <w:r w:rsidR="005C41DB">
        <w:t>39</w:t>
      </w:r>
      <w:r>
        <w:fldChar w:fldCharType="end"/>
      </w:r>
    </w:p>
    <w:p w14:paraId="59E21AEF" w14:textId="77777777" w:rsidR="00257CB8" w:rsidRDefault="00257CB8">
      <w:pPr>
        <w:pStyle w:val="TOC2"/>
        <w:rPr>
          <w:rFonts w:asciiTheme="minorHAnsi" w:eastAsiaTheme="minorEastAsia" w:hAnsiTheme="minorHAnsi" w:cstheme="minorBidi"/>
          <w:color w:val="auto"/>
          <w:sz w:val="24"/>
          <w:szCs w:val="24"/>
          <w:lang w:val="en-US" w:eastAsia="ja-JP"/>
        </w:rPr>
      </w:pPr>
      <w:r>
        <w:t>Conclusions</w:t>
      </w:r>
      <w:r>
        <w:tab/>
      </w:r>
      <w:r>
        <w:fldChar w:fldCharType="begin"/>
      </w:r>
      <w:r>
        <w:instrText xml:space="preserve"> PAGEREF _Toc257836752 \h </w:instrText>
      </w:r>
      <w:r>
        <w:fldChar w:fldCharType="separate"/>
      </w:r>
      <w:r w:rsidR="005C41DB">
        <w:t>40</w:t>
      </w:r>
      <w:r>
        <w:fldChar w:fldCharType="end"/>
      </w:r>
    </w:p>
    <w:p w14:paraId="5230298D" w14:textId="77777777" w:rsidR="00257CB8" w:rsidRDefault="00257CB8">
      <w:pPr>
        <w:pStyle w:val="TOC1"/>
        <w:rPr>
          <w:rFonts w:asciiTheme="minorHAnsi" w:eastAsiaTheme="minorEastAsia" w:hAnsiTheme="minorHAnsi" w:cstheme="minorBidi"/>
          <w:color w:val="auto"/>
          <w:sz w:val="24"/>
          <w:szCs w:val="24"/>
          <w:lang w:val="en-US" w:eastAsia="ja-JP"/>
        </w:rPr>
      </w:pPr>
      <w:r>
        <w:t>Engineering</w:t>
      </w:r>
      <w:r>
        <w:tab/>
      </w:r>
      <w:r>
        <w:fldChar w:fldCharType="begin"/>
      </w:r>
      <w:r>
        <w:instrText xml:space="preserve"> PAGEREF _Toc257836753 \h </w:instrText>
      </w:r>
      <w:r>
        <w:fldChar w:fldCharType="separate"/>
      </w:r>
      <w:r w:rsidR="005C41DB">
        <w:t>41</w:t>
      </w:r>
      <w:r>
        <w:fldChar w:fldCharType="end"/>
      </w:r>
    </w:p>
    <w:p w14:paraId="1CB6E130" w14:textId="77777777" w:rsidR="00257CB8" w:rsidRDefault="00257CB8">
      <w:pPr>
        <w:pStyle w:val="TOC2"/>
        <w:rPr>
          <w:rFonts w:asciiTheme="minorHAnsi" w:eastAsiaTheme="minorEastAsia" w:hAnsiTheme="minorHAnsi" w:cstheme="minorBidi"/>
          <w:color w:val="auto"/>
          <w:sz w:val="24"/>
          <w:szCs w:val="24"/>
          <w:lang w:val="en-US" w:eastAsia="ja-JP"/>
        </w:rPr>
      </w:pPr>
      <w:r>
        <w:t>Method, proposals and participants</w:t>
      </w:r>
      <w:r>
        <w:tab/>
      </w:r>
      <w:r>
        <w:fldChar w:fldCharType="begin"/>
      </w:r>
      <w:r>
        <w:instrText xml:space="preserve"> PAGEREF _Toc257836754 \h </w:instrText>
      </w:r>
      <w:r>
        <w:fldChar w:fldCharType="separate"/>
      </w:r>
      <w:r w:rsidR="005C41DB">
        <w:t>41</w:t>
      </w:r>
      <w:r>
        <w:fldChar w:fldCharType="end"/>
      </w:r>
    </w:p>
    <w:p w14:paraId="2EE9B58C" w14:textId="77777777" w:rsidR="00257CB8" w:rsidRDefault="00257CB8">
      <w:pPr>
        <w:pStyle w:val="TOC2"/>
        <w:rPr>
          <w:rFonts w:asciiTheme="minorHAnsi" w:eastAsiaTheme="minorEastAsia" w:hAnsiTheme="minorHAnsi" w:cstheme="minorBidi"/>
          <w:color w:val="auto"/>
          <w:sz w:val="24"/>
          <w:szCs w:val="24"/>
          <w:lang w:val="en-US" w:eastAsia="ja-JP"/>
        </w:rPr>
      </w:pPr>
      <w:r>
        <w:t>The changing nature of engineering and the imperatives for change</w:t>
      </w:r>
      <w:r>
        <w:tab/>
      </w:r>
      <w:r>
        <w:fldChar w:fldCharType="begin"/>
      </w:r>
      <w:r>
        <w:instrText xml:space="preserve"> PAGEREF _Toc257836755 \h </w:instrText>
      </w:r>
      <w:r>
        <w:fldChar w:fldCharType="separate"/>
      </w:r>
      <w:r w:rsidR="005C41DB">
        <w:t>42</w:t>
      </w:r>
      <w:r>
        <w:fldChar w:fldCharType="end"/>
      </w:r>
    </w:p>
    <w:p w14:paraId="56E67DCC" w14:textId="77777777" w:rsidR="00257CB8" w:rsidRDefault="00257CB8">
      <w:pPr>
        <w:pStyle w:val="TOC2"/>
        <w:rPr>
          <w:rFonts w:asciiTheme="minorHAnsi" w:eastAsiaTheme="minorEastAsia" w:hAnsiTheme="minorHAnsi" w:cstheme="minorBidi"/>
          <w:color w:val="auto"/>
          <w:sz w:val="24"/>
          <w:szCs w:val="24"/>
          <w:lang w:val="en-US" w:eastAsia="ja-JP"/>
        </w:rPr>
      </w:pPr>
      <w:r>
        <w:t>Purposes of qualifications</w:t>
      </w:r>
      <w:r>
        <w:tab/>
      </w:r>
      <w:r>
        <w:fldChar w:fldCharType="begin"/>
      </w:r>
      <w:r>
        <w:instrText xml:space="preserve"> PAGEREF _Toc257836756 \h </w:instrText>
      </w:r>
      <w:r>
        <w:fldChar w:fldCharType="separate"/>
      </w:r>
      <w:r w:rsidR="005C41DB">
        <w:t>45</w:t>
      </w:r>
      <w:r>
        <w:fldChar w:fldCharType="end"/>
      </w:r>
    </w:p>
    <w:p w14:paraId="6374CEF4" w14:textId="77777777" w:rsidR="00257CB8" w:rsidRDefault="00257CB8">
      <w:pPr>
        <w:pStyle w:val="TOC2"/>
        <w:rPr>
          <w:rFonts w:asciiTheme="minorHAnsi" w:eastAsiaTheme="minorEastAsia" w:hAnsiTheme="minorHAnsi" w:cstheme="minorBidi"/>
          <w:color w:val="auto"/>
          <w:sz w:val="24"/>
          <w:szCs w:val="24"/>
          <w:lang w:val="en-US" w:eastAsia="ja-JP"/>
        </w:rPr>
      </w:pPr>
      <w:r>
        <w:t>Capabilities approach</w:t>
      </w:r>
      <w:r>
        <w:tab/>
      </w:r>
      <w:r>
        <w:fldChar w:fldCharType="begin"/>
      </w:r>
      <w:r>
        <w:instrText xml:space="preserve"> PAGEREF _Toc257836757 \h </w:instrText>
      </w:r>
      <w:r>
        <w:fldChar w:fldCharType="separate"/>
      </w:r>
      <w:r w:rsidR="005C41DB">
        <w:t>53</w:t>
      </w:r>
      <w:r>
        <w:fldChar w:fldCharType="end"/>
      </w:r>
    </w:p>
    <w:p w14:paraId="13344A4C" w14:textId="77777777" w:rsidR="00257CB8" w:rsidRDefault="00257CB8">
      <w:pPr>
        <w:pStyle w:val="TOC2"/>
        <w:rPr>
          <w:rFonts w:asciiTheme="minorHAnsi" w:eastAsiaTheme="minorEastAsia" w:hAnsiTheme="minorHAnsi" w:cstheme="minorBidi"/>
          <w:color w:val="auto"/>
          <w:sz w:val="24"/>
          <w:szCs w:val="24"/>
          <w:lang w:val="en-US" w:eastAsia="ja-JP"/>
        </w:rPr>
      </w:pPr>
      <w:r>
        <w:t>Vocational streams</w:t>
      </w:r>
      <w:r>
        <w:tab/>
      </w:r>
      <w:r>
        <w:fldChar w:fldCharType="begin"/>
      </w:r>
      <w:r>
        <w:instrText xml:space="preserve"> PAGEREF _Toc257836758 \h </w:instrText>
      </w:r>
      <w:r>
        <w:fldChar w:fldCharType="separate"/>
      </w:r>
      <w:r w:rsidR="005C41DB">
        <w:t>54</w:t>
      </w:r>
      <w:r>
        <w:fldChar w:fldCharType="end"/>
      </w:r>
    </w:p>
    <w:p w14:paraId="58130F6A" w14:textId="77777777" w:rsidR="00257CB8" w:rsidRDefault="00257CB8">
      <w:pPr>
        <w:pStyle w:val="TOC2"/>
        <w:rPr>
          <w:rFonts w:asciiTheme="minorHAnsi" w:eastAsiaTheme="minorEastAsia" w:hAnsiTheme="minorHAnsi" w:cstheme="minorBidi"/>
          <w:color w:val="auto"/>
          <w:sz w:val="24"/>
          <w:szCs w:val="24"/>
          <w:lang w:val="en-US" w:eastAsia="ja-JP"/>
        </w:rPr>
      </w:pPr>
      <w:r>
        <w:t>Social partnerships</w:t>
      </w:r>
      <w:r>
        <w:tab/>
      </w:r>
      <w:r>
        <w:fldChar w:fldCharType="begin"/>
      </w:r>
      <w:r>
        <w:instrText xml:space="preserve"> PAGEREF _Toc257836759 \h </w:instrText>
      </w:r>
      <w:r>
        <w:fldChar w:fldCharType="separate"/>
      </w:r>
      <w:r w:rsidR="005C41DB">
        <w:t>56</w:t>
      </w:r>
      <w:r>
        <w:fldChar w:fldCharType="end"/>
      </w:r>
    </w:p>
    <w:p w14:paraId="6E432C1F" w14:textId="77777777" w:rsidR="00257CB8" w:rsidRDefault="00257CB8">
      <w:pPr>
        <w:pStyle w:val="TOC2"/>
        <w:rPr>
          <w:rFonts w:asciiTheme="minorHAnsi" w:eastAsiaTheme="minorEastAsia" w:hAnsiTheme="minorHAnsi" w:cstheme="minorBidi"/>
          <w:color w:val="auto"/>
          <w:sz w:val="24"/>
          <w:szCs w:val="24"/>
          <w:lang w:val="en-US" w:eastAsia="ja-JP"/>
        </w:rPr>
      </w:pPr>
      <w:r>
        <w:t>Conclusions</w:t>
      </w:r>
      <w:r>
        <w:tab/>
      </w:r>
      <w:r>
        <w:fldChar w:fldCharType="begin"/>
      </w:r>
      <w:r>
        <w:instrText xml:space="preserve"> PAGEREF _Toc257836760 \h </w:instrText>
      </w:r>
      <w:r>
        <w:fldChar w:fldCharType="separate"/>
      </w:r>
      <w:r w:rsidR="005C41DB">
        <w:t>57</w:t>
      </w:r>
      <w:r>
        <w:fldChar w:fldCharType="end"/>
      </w:r>
    </w:p>
    <w:p w14:paraId="2200A091" w14:textId="77777777" w:rsidR="00257CB8" w:rsidRDefault="00257CB8">
      <w:pPr>
        <w:pStyle w:val="TOC1"/>
        <w:rPr>
          <w:rFonts w:asciiTheme="minorHAnsi" w:eastAsiaTheme="minorEastAsia" w:hAnsiTheme="minorHAnsi" w:cstheme="minorBidi"/>
          <w:color w:val="auto"/>
          <w:sz w:val="24"/>
          <w:szCs w:val="24"/>
          <w:lang w:val="en-US" w:eastAsia="ja-JP"/>
        </w:rPr>
      </w:pPr>
      <w:r>
        <w:t>Financial services</w:t>
      </w:r>
      <w:r>
        <w:tab/>
      </w:r>
      <w:r>
        <w:fldChar w:fldCharType="begin"/>
      </w:r>
      <w:r>
        <w:instrText xml:space="preserve"> PAGEREF _Toc257836761 \h </w:instrText>
      </w:r>
      <w:r>
        <w:fldChar w:fldCharType="separate"/>
      </w:r>
      <w:r w:rsidR="005C41DB">
        <w:t>59</w:t>
      </w:r>
      <w:r>
        <w:fldChar w:fldCharType="end"/>
      </w:r>
    </w:p>
    <w:p w14:paraId="0D1CA588" w14:textId="77777777" w:rsidR="00257CB8" w:rsidRDefault="00257CB8">
      <w:pPr>
        <w:pStyle w:val="TOC2"/>
        <w:rPr>
          <w:rFonts w:asciiTheme="minorHAnsi" w:eastAsiaTheme="minorEastAsia" w:hAnsiTheme="minorHAnsi" w:cstheme="minorBidi"/>
          <w:color w:val="auto"/>
          <w:sz w:val="24"/>
          <w:szCs w:val="24"/>
          <w:lang w:val="en-US" w:eastAsia="ja-JP"/>
        </w:rPr>
      </w:pPr>
      <w:r>
        <w:t>Method and participants</w:t>
      </w:r>
      <w:r>
        <w:tab/>
      </w:r>
      <w:r>
        <w:fldChar w:fldCharType="begin"/>
      </w:r>
      <w:r>
        <w:instrText xml:space="preserve"> PAGEREF _Toc257836762 \h </w:instrText>
      </w:r>
      <w:r>
        <w:fldChar w:fldCharType="separate"/>
      </w:r>
      <w:r w:rsidR="005C41DB">
        <w:t>59</w:t>
      </w:r>
      <w:r>
        <w:fldChar w:fldCharType="end"/>
      </w:r>
    </w:p>
    <w:p w14:paraId="1F07177E" w14:textId="77777777" w:rsidR="00257CB8" w:rsidRDefault="00257CB8">
      <w:pPr>
        <w:pStyle w:val="TOC2"/>
        <w:rPr>
          <w:rFonts w:asciiTheme="minorHAnsi" w:eastAsiaTheme="minorEastAsia" w:hAnsiTheme="minorHAnsi" w:cstheme="minorBidi"/>
          <w:color w:val="auto"/>
          <w:sz w:val="24"/>
          <w:szCs w:val="24"/>
          <w:lang w:val="en-US" w:eastAsia="ja-JP"/>
        </w:rPr>
      </w:pPr>
      <w:r>
        <w:t>Education and employment trends in banking and finance</w:t>
      </w:r>
      <w:r>
        <w:tab/>
      </w:r>
      <w:r>
        <w:fldChar w:fldCharType="begin"/>
      </w:r>
      <w:r>
        <w:instrText xml:space="preserve"> PAGEREF _Toc257836763 \h </w:instrText>
      </w:r>
      <w:r>
        <w:fldChar w:fldCharType="separate"/>
      </w:r>
      <w:r w:rsidR="005C41DB">
        <w:t>60</w:t>
      </w:r>
      <w:r>
        <w:fldChar w:fldCharType="end"/>
      </w:r>
    </w:p>
    <w:p w14:paraId="6E1D0261" w14:textId="77777777" w:rsidR="00257CB8" w:rsidRDefault="00257CB8">
      <w:pPr>
        <w:pStyle w:val="TOC2"/>
        <w:rPr>
          <w:rFonts w:asciiTheme="minorHAnsi" w:eastAsiaTheme="minorEastAsia" w:hAnsiTheme="minorHAnsi" w:cstheme="minorBidi"/>
          <w:color w:val="auto"/>
          <w:sz w:val="24"/>
          <w:szCs w:val="24"/>
          <w:lang w:val="en-US" w:eastAsia="ja-JP"/>
        </w:rPr>
      </w:pPr>
      <w:r>
        <w:t>Educational requirements and regulation under ASIC</w:t>
      </w:r>
      <w:r>
        <w:tab/>
      </w:r>
      <w:r>
        <w:fldChar w:fldCharType="begin"/>
      </w:r>
      <w:r>
        <w:instrText xml:space="preserve"> PAGEREF _Toc257836764 \h </w:instrText>
      </w:r>
      <w:r>
        <w:fldChar w:fldCharType="separate"/>
      </w:r>
      <w:r w:rsidR="005C41DB">
        <w:t>61</w:t>
      </w:r>
      <w:r>
        <w:fldChar w:fldCharType="end"/>
      </w:r>
    </w:p>
    <w:p w14:paraId="69F1399F" w14:textId="77777777" w:rsidR="00257CB8" w:rsidRDefault="00257CB8">
      <w:pPr>
        <w:pStyle w:val="TOC2"/>
        <w:rPr>
          <w:rFonts w:asciiTheme="minorHAnsi" w:eastAsiaTheme="minorEastAsia" w:hAnsiTheme="minorHAnsi" w:cstheme="minorBidi"/>
          <w:color w:val="auto"/>
          <w:sz w:val="24"/>
          <w:szCs w:val="24"/>
          <w:lang w:val="en-US" w:eastAsia="ja-JP"/>
        </w:rPr>
      </w:pPr>
      <w:r w:rsidRPr="00D65A85">
        <w:rPr>
          <w:lang w:val="en-US"/>
        </w:rPr>
        <w:t>The hollowing out of mid-level qualifications in financial services</w:t>
      </w:r>
      <w:r>
        <w:tab/>
      </w:r>
      <w:r>
        <w:fldChar w:fldCharType="begin"/>
      </w:r>
      <w:r>
        <w:instrText xml:space="preserve"> PAGEREF _Toc257836765 \h </w:instrText>
      </w:r>
      <w:r>
        <w:fldChar w:fldCharType="separate"/>
      </w:r>
      <w:r w:rsidR="005C41DB">
        <w:t>62</w:t>
      </w:r>
      <w:r>
        <w:fldChar w:fldCharType="end"/>
      </w:r>
    </w:p>
    <w:p w14:paraId="663C88AA" w14:textId="7296CF12" w:rsidR="00257CB8" w:rsidRDefault="00257CB8">
      <w:pPr>
        <w:pStyle w:val="TOC2"/>
        <w:rPr>
          <w:rFonts w:asciiTheme="minorHAnsi" w:eastAsiaTheme="minorEastAsia" w:hAnsiTheme="minorHAnsi" w:cstheme="minorBidi"/>
          <w:color w:val="auto"/>
          <w:sz w:val="24"/>
          <w:szCs w:val="24"/>
          <w:lang w:val="en-US" w:eastAsia="ja-JP"/>
        </w:rPr>
      </w:pPr>
      <w:r w:rsidRPr="00D65A85">
        <w:rPr>
          <w:lang w:val="en-US"/>
        </w:rPr>
        <w:t xml:space="preserve">The purpose of </w:t>
      </w:r>
      <w:r w:rsidR="00572455">
        <w:rPr>
          <w:lang w:val="en-US"/>
        </w:rPr>
        <w:t>mid-level</w:t>
      </w:r>
      <w:r w:rsidRPr="00D65A85">
        <w:rPr>
          <w:lang w:val="en-US"/>
        </w:rPr>
        <w:t xml:space="preserve"> qualifications in the financial services sector</w:t>
      </w:r>
      <w:r>
        <w:tab/>
      </w:r>
      <w:r>
        <w:fldChar w:fldCharType="begin"/>
      </w:r>
      <w:r>
        <w:instrText xml:space="preserve"> PAGEREF _Toc257836766 \h </w:instrText>
      </w:r>
      <w:r>
        <w:fldChar w:fldCharType="separate"/>
      </w:r>
      <w:r w:rsidR="005C41DB">
        <w:t>63</w:t>
      </w:r>
      <w:r>
        <w:fldChar w:fldCharType="end"/>
      </w:r>
    </w:p>
    <w:p w14:paraId="3B53BDEC" w14:textId="77777777" w:rsidR="00257CB8" w:rsidRDefault="00257CB8">
      <w:pPr>
        <w:pStyle w:val="TOC2"/>
        <w:rPr>
          <w:rFonts w:asciiTheme="minorHAnsi" w:eastAsiaTheme="minorEastAsia" w:hAnsiTheme="minorHAnsi" w:cstheme="minorBidi"/>
          <w:color w:val="auto"/>
          <w:sz w:val="24"/>
          <w:szCs w:val="24"/>
          <w:lang w:val="en-US" w:eastAsia="ja-JP"/>
        </w:rPr>
      </w:pPr>
      <w:r w:rsidRPr="00D65A85">
        <w:rPr>
          <w:lang w:val="en-US"/>
        </w:rPr>
        <w:t>Vertical mobility: tensions in the VET / HE transition</w:t>
      </w:r>
      <w:r>
        <w:tab/>
      </w:r>
      <w:r>
        <w:fldChar w:fldCharType="begin"/>
      </w:r>
      <w:r>
        <w:instrText xml:space="preserve"> PAGEREF _Toc257836767 \h </w:instrText>
      </w:r>
      <w:r>
        <w:fldChar w:fldCharType="separate"/>
      </w:r>
      <w:r w:rsidR="005C41DB">
        <w:t>65</w:t>
      </w:r>
      <w:r>
        <w:fldChar w:fldCharType="end"/>
      </w:r>
    </w:p>
    <w:p w14:paraId="16A9CA3F" w14:textId="77777777" w:rsidR="00257CB8" w:rsidRDefault="00257CB8">
      <w:pPr>
        <w:pStyle w:val="TOC2"/>
        <w:rPr>
          <w:rFonts w:asciiTheme="minorHAnsi" w:eastAsiaTheme="minorEastAsia" w:hAnsiTheme="minorHAnsi" w:cstheme="minorBidi"/>
          <w:color w:val="auto"/>
          <w:sz w:val="24"/>
          <w:szCs w:val="24"/>
          <w:lang w:val="en-US" w:eastAsia="ja-JP"/>
        </w:rPr>
      </w:pPr>
      <w:r w:rsidRPr="00D65A85">
        <w:rPr>
          <w:lang w:val="en-US"/>
        </w:rPr>
        <w:t>Horizontal flexibility and vocational streams</w:t>
      </w:r>
      <w:r>
        <w:tab/>
      </w:r>
      <w:r>
        <w:fldChar w:fldCharType="begin"/>
      </w:r>
      <w:r>
        <w:instrText xml:space="preserve"> PAGEREF _Toc257836768 \h </w:instrText>
      </w:r>
      <w:r>
        <w:fldChar w:fldCharType="separate"/>
      </w:r>
      <w:r w:rsidR="005C41DB">
        <w:t>65</w:t>
      </w:r>
      <w:r>
        <w:fldChar w:fldCharType="end"/>
      </w:r>
    </w:p>
    <w:p w14:paraId="0AC09F9E" w14:textId="77777777" w:rsidR="00257CB8" w:rsidRDefault="00257CB8">
      <w:pPr>
        <w:pStyle w:val="TOC2"/>
        <w:rPr>
          <w:rFonts w:asciiTheme="minorHAnsi" w:eastAsiaTheme="minorEastAsia" w:hAnsiTheme="minorHAnsi" w:cstheme="minorBidi"/>
          <w:color w:val="auto"/>
          <w:sz w:val="24"/>
          <w:szCs w:val="24"/>
          <w:lang w:val="en-US" w:eastAsia="ja-JP"/>
        </w:rPr>
      </w:pPr>
      <w:r w:rsidRPr="00D65A85">
        <w:rPr>
          <w:lang w:val="en-US"/>
        </w:rPr>
        <w:t>Key messages and conclusion</w:t>
      </w:r>
      <w:r>
        <w:tab/>
      </w:r>
      <w:r>
        <w:fldChar w:fldCharType="begin"/>
      </w:r>
      <w:r>
        <w:instrText xml:space="preserve"> PAGEREF _Toc257836769 \h </w:instrText>
      </w:r>
      <w:r>
        <w:fldChar w:fldCharType="separate"/>
      </w:r>
      <w:r w:rsidR="005C41DB">
        <w:t>66</w:t>
      </w:r>
      <w:r>
        <w:fldChar w:fldCharType="end"/>
      </w:r>
    </w:p>
    <w:p w14:paraId="1AB823E0" w14:textId="77777777" w:rsidR="00257CB8" w:rsidRDefault="00257CB8">
      <w:pPr>
        <w:pStyle w:val="TOC1"/>
        <w:rPr>
          <w:rFonts w:asciiTheme="minorHAnsi" w:eastAsiaTheme="minorEastAsia" w:hAnsiTheme="minorHAnsi" w:cstheme="minorBidi"/>
          <w:color w:val="auto"/>
          <w:sz w:val="24"/>
          <w:szCs w:val="24"/>
          <w:lang w:val="en-US" w:eastAsia="ja-JP"/>
        </w:rPr>
      </w:pPr>
      <w:r>
        <w:t>References</w:t>
      </w:r>
      <w:r>
        <w:tab/>
      </w:r>
      <w:r>
        <w:fldChar w:fldCharType="begin"/>
      </w:r>
      <w:r>
        <w:instrText xml:space="preserve"> PAGEREF _Toc257836770 \h </w:instrText>
      </w:r>
      <w:r>
        <w:fldChar w:fldCharType="separate"/>
      </w:r>
      <w:r w:rsidR="005C41DB">
        <w:t>68</w:t>
      </w:r>
      <w:r>
        <w:fldChar w:fldCharType="end"/>
      </w:r>
    </w:p>
    <w:p w14:paraId="233A4969" w14:textId="77777777" w:rsidR="004E7227" w:rsidRDefault="00B17A90" w:rsidP="0048643A">
      <w:pPr>
        <w:pStyle w:val="Text"/>
      </w:pPr>
      <w:r w:rsidRPr="009775C7">
        <w:fldChar w:fldCharType="end"/>
      </w:r>
    </w:p>
    <w:p w14:paraId="0E1F0808" w14:textId="77777777" w:rsidR="004E7227" w:rsidRDefault="004E7227" w:rsidP="004E7227">
      <w:pPr>
        <w:pStyle w:val="Heading1"/>
      </w:pPr>
      <w:bookmarkStart w:id="9" w:name="_Toc257836734"/>
      <w:r>
        <w:lastRenderedPageBreak/>
        <w:t>Tables and figures</w:t>
      </w:r>
      <w:bookmarkEnd w:id="9"/>
    </w:p>
    <w:p w14:paraId="5783C7F0" w14:textId="77777777" w:rsidR="004E7227" w:rsidRDefault="004E7227" w:rsidP="004E7227">
      <w:pPr>
        <w:pStyle w:val="Heading2"/>
      </w:pPr>
      <w:bookmarkStart w:id="10" w:name="_Toc296497516"/>
      <w:bookmarkStart w:id="11" w:name="_Toc298162801"/>
      <w:bookmarkStart w:id="12" w:name="_Toc257836735"/>
      <w:r>
        <w:t>Tables</w:t>
      </w:r>
      <w:bookmarkEnd w:id="10"/>
      <w:bookmarkEnd w:id="11"/>
      <w:bookmarkEnd w:id="12"/>
    </w:p>
    <w:p w14:paraId="3090BDCA" w14:textId="66452C95" w:rsidR="00C0017E" w:rsidRDefault="00B17A90">
      <w:pPr>
        <w:pStyle w:val="TableofFigures"/>
        <w:tabs>
          <w:tab w:val="left" w:pos="960"/>
        </w:tabs>
        <w:rPr>
          <w:rFonts w:asciiTheme="minorHAnsi" w:eastAsiaTheme="minorEastAsia" w:hAnsiTheme="minorHAnsi" w:cstheme="minorBidi"/>
          <w:color w:val="auto"/>
          <w:sz w:val="24"/>
          <w:szCs w:val="24"/>
          <w:lang w:val="en-US" w:eastAsia="ja-JP"/>
        </w:rPr>
      </w:pPr>
      <w:r>
        <w:fldChar w:fldCharType="begin"/>
      </w:r>
      <w:r w:rsidR="004E7227">
        <w:instrText xml:space="preserve"> TOC \f F \t "tabletitle" \c </w:instrText>
      </w:r>
      <w:r>
        <w:fldChar w:fldCharType="separate"/>
      </w:r>
      <w:r w:rsidR="00C0017E">
        <w:t>1</w:t>
      </w:r>
      <w:r w:rsidR="00C0017E">
        <w:rPr>
          <w:rFonts w:asciiTheme="minorHAnsi" w:eastAsiaTheme="minorEastAsia" w:hAnsiTheme="minorHAnsi" w:cstheme="minorBidi"/>
          <w:color w:val="auto"/>
          <w:sz w:val="24"/>
          <w:szCs w:val="24"/>
          <w:lang w:val="en-US" w:eastAsia="ja-JP"/>
        </w:rPr>
        <w:tab/>
      </w:r>
      <w:r w:rsidR="00C0017E">
        <w:t>Percentage of graduates in employment six months after training, by level of qualification and broad and selected narrow field of education, 2012</w:t>
      </w:r>
      <w:r w:rsidR="00C0017E">
        <w:tab/>
      </w:r>
      <w:r w:rsidR="00C0017E">
        <w:fldChar w:fldCharType="begin"/>
      </w:r>
      <w:r w:rsidR="00C0017E">
        <w:instrText xml:space="preserve"> PAGEREF _Toc257836864 \h </w:instrText>
      </w:r>
      <w:r w:rsidR="00C0017E">
        <w:fldChar w:fldCharType="separate"/>
      </w:r>
      <w:r w:rsidR="005C41DB">
        <w:t>14</w:t>
      </w:r>
      <w:r w:rsidR="00C0017E">
        <w:fldChar w:fldCharType="end"/>
      </w:r>
    </w:p>
    <w:p w14:paraId="3BCDB7E3" w14:textId="06CC49D1"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t>2</w:t>
      </w:r>
      <w:r>
        <w:rPr>
          <w:rFonts w:asciiTheme="minorHAnsi" w:eastAsiaTheme="minorEastAsia" w:hAnsiTheme="minorHAnsi" w:cstheme="minorBidi"/>
          <w:color w:val="auto"/>
          <w:sz w:val="24"/>
          <w:szCs w:val="24"/>
          <w:lang w:val="en-US" w:eastAsia="ja-JP"/>
        </w:rPr>
        <w:tab/>
      </w:r>
      <w:r>
        <w:t>Percentage of those employed six months after training working in the same occupation as their training, by level of qualification and broad and selected narrow field of education, 2012</w:t>
      </w:r>
      <w:r>
        <w:tab/>
      </w:r>
      <w:r>
        <w:fldChar w:fldCharType="begin"/>
      </w:r>
      <w:r>
        <w:instrText xml:space="preserve"> PAGEREF _Toc257836865 \h </w:instrText>
      </w:r>
      <w:r>
        <w:fldChar w:fldCharType="separate"/>
      </w:r>
      <w:r w:rsidR="005C41DB">
        <w:t>15</w:t>
      </w:r>
      <w:r>
        <w:fldChar w:fldCharType="end"/>
      </w:r>
    </w:p>
    <w:p w14:paraId="5E146092" w14:textId="663889CD"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t>3</w:t>
      </w:r>
      <w:r>
        <w:rPr>
          <w:rFonts w:asciiTheme="minorHAnsi" w:eastAsiaTheme="minorEastAsia" w:hAnsiTheme="minorHAnsi" w:cstheme="minorBidi"/>
          <w:color w:val="auto"/>
          <w:sz w:val="24"/>
          <w:szCs w:val="24"/>
          <w:lang w:val="en-US" w:eastAsia="ja-JP"/>
        </w:rPr>
        <w:tab/>
      </w:r>
      <w:r>
        <w:t>Percentage of graduates in further study six months after training working in the same occupation as their training, by level of qualification and broad and selected narrow field of education, 2012</w:t>
      </w:r>
      <w:r>
        <w:tab/>
      </w:r>
      <w:r>
        <w:fldChar w:fldCharType="begin"/>
      </w:r>
      <w:r>
        <w:instrText xml:space="preserve"> PAGEREF _Toc257836866 \h </w:instrText>
      </w:r>
      <w:r>
        <w:fldChar w:fldCharType="separate"/>
      </w:r>
      <w:r w:rsidR="005C41DB">
        <w:t>16</w:t>
      </w:r>
      <w:r>
        <w:fldChar w:fldCharType="end"/>
      </w:r>
    </w:p>
    <w:p w14:paraId="4EC9AA76" w14:textId="220B6420"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t>4</w:t>
      </w:r>
      <w:r>
        <w:rPr>
          <w:rFonts w:asciiTheme="minorHAnsi" w:eastAsiaTheme="minorEastAsia" w:hAnsiTheme="minorHAnsi" w:cstheme="minorBidi"/>
          <w:color w:val="auto"/>
          <w:sz w:val="24"/>
          <w:szCs w:val="24"/>
          <w:lang w:val="en-US" w:eastAsia="ja-JP"/>
        </w:rPr>
        <w:tab/>
      </w:r>
      <w:r>
        <w:t>Percentage of students from the two lowest socio-economic quintiles by level of qualification and broad and selected narrow field of education, 2012*</w:t>
      </w:r>
      <w:r>
        <w:tab/>
      </w:r>
      <w:r>
        <w:fldChar w:fldCharType="begin"/>
      </w:r>
      <w:r>
        <w:instrText xml:space="preserve"> PAGEREF _Toc257836867 \h </w:instrText>
      </w:r>
      <w:r>
        <w:fldChar w:fldCharType="separate"/>
      </w:r>
      <w:r w:rsidR="005C41DB">
        <w:t>17</w:t>
      </w:r>
      <w:r>
        <w:fldChar w:fldCharType="end"/>
      </w:r>
    </w:p>
    <w:p w14:paraId="299D6083" w14:textId="2A0CF39F"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rsidRPr="008F024F">
        <w:t>5</w:t>
      </w:r>
      <w:r>
        <w:rPr>
          <w:rFonts w:asciiTheme="minorHAnsi" w:eastAsiaTheme="minorEastAsia" w:hAnsiTheme="minorHAnsi" w:cstheme="minorBidi"/>
          <w:color w:val="auto"/>
          <w:sz w:val="24"/>
          <w:szCs w:val="24"/>
          <w:lang w:val="en-US" w:eastAsia="ja-JP"/>
        </w:rPr>
        <w:tab/>
      </w:r>
      <w:r w:rsidRPr="008F024F">
        <w:t>Percentage of those in selected industries with each broad qualification level, 2011 Census</w:t>
      </w:r>
      <w:r>
        <w:tab/>
      </w:r>
      <w:r>
        <w:fldChar w:fldCharType="begin"/>
      </w:r>
      <w:r>
        <w:instrText xml:space="preserve"> PAGEREF _Toc257836868 \h </w:instrText>
      </w:r>
      <w:r>
        <w:fldChar w:fldCharType="separate"/>
      </w:r>
      <w:r w:rsidR="005C41DB">
        <w:t>26</w:t>
      </w:r>
      <w:r>
        <w:fldChar w:fldCharType="end"/>
      </w:r>
    </w:p>
    <w:p w14:paraId="158C4DCB" w14:textId="4DEAE5FD"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rsidRPr="008F024F">
        <w:t>6</w:t>
      </w:r>
      <w:r>
        <w:rPr>
          <w:rFonts w:asciiTheme="minorHAnsi" w:eastAsiaTheme="minorEastAsia" w:hAnsiTheme="minorHAnsi" w:cstheme="minorBidi"/>
          <w:color w:val="auto"/>
          <w:sz w:val="24"/>
          <w:szCs w:val="24"/>
          <w:lang w:val="en-US" w:eastAsia="ja-JP"/>
        </w:rPr>
        <w:tab/>
      </w:r>
      <w:r w:rsidRPr="008F024F">
        <w:t xml:space="preserve">Percentage of graduates in employment six months after training, by level of qualification in the broad field </w:t>
      </w:r>
      <w:r>
        <w:t>of education of agriculture, environmental and related studies and the narrow field of education of agriculture, 2012</w:t>
      </w:r>
      <w:r>
        <w:tab/>
      </w:r>
      <w:r>
        <w:fldChar w:fldCharType="begin"/>
      </w:r>
      <w:r>
        <w:instrText xml:space="preserve"> PAGEREF _Toc257836869 \h </w:instrText>
      </w:r>
      <w:r>
        <w:fldChar w:fldCharType="separate"/>
      </w:r>
      <w:r w:rsidR="005C41DB">
        <w:t>28</w:t>
      </w:r>
      <w:r>
        <w:fldChar w:fldCharType="end"/>
      </w:r>
    </w:p>
    <w:p w14:paraId="4291342C" w14:textId="478602D6"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t>7</w:t>
      </w:r>
      <w:r>
        <w:rPr>
          <w:rFonts w:asciiTheme="minorHAnsi" w:eastAsiaTheme="minorEastAsia" w:hAnsiTheme="minorHAnsi" w:cstheme="minorBidi"/>
          <w:color w:val="auto"/>
          <w:sz w:val="24"/>
          <w:szCs w:val="24"/>
          <w:lang w:val="en-US" w:eastAsia="ja-JP"/>
        </w:rPr>
        <w:tab/>
      </w:r>
      <w:r>
        <w:t>Percentage of those employed six months after training working in the same occupation as their training, by level of qualification in the broad field of education of agriculture, environmental and related studies and the narrow field of education of agriculture, 2012</w:t>
      </w:r>
      <w:r>
        <w:tab/>
      </w:r>
      <w:r>
        <w:fldChar w:fldCharType="begin"/>
      </w:r>
      <w:r>
        <w:instrText xml:space="preserve"> PAGEREF _Toc257836870 \h </w:instrText>
      </w:r>
      <w:r>
        <w:fldChar w:fldCharType="separate"/>
      </w:r>
      <w:r w:rsidR="005C41DB">
        <w:t>29</w:t>
      </w:r>
      <w:r>
        <w:fldChar w:fldCharType="end"/>
      </w:r>
    </w:p>
    <w:p w14:paraId="578B4424" w14:textId="7B27A31B"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t>8</w:t>
      </w:r>
      <w:r>
        <w:rPr>
          <w:rFonts w:asciiTheme="minorHAnsi" w:eastAsiaTheme="minorEastAsia" w:hAnsiTheme="minorHAnsi" w:cstheme="minorBidi"/>
          <w:color w:val="auto"/>
          <w:sz w:val="24"/>
          <w:szCs w:val="24"/>
          <w:lang w:val="en-US" w:eastAsia="ja-JP"/>
        </w:rPr>
        <w:tab/>
      </w:r>
      <w:r>
        <w:t>Percentage of those in further study six months after training in the broad field of education of agriculture, environmental and related studies and the narrow field of education of agriculture, 2012</w:t>
      </w:r>
      <w:r>
        <w:tab/>
      </w:r>
      <w:r>
        <w:fldChar w:fldCharType="begin"/>
      </w:r>
      <w:r>
        <w:instrText xml:space="preserve"> PAGEREF _Toc257836871 \h </w:instrText>
      </w:r>
      <w:r>
        <w:fldChar w:fldCharType="separate"/>
      </w:r>
      <w:r w:rsidR="005C41DB">
        <w:t>32</w:t>
      </w:r>
      <w:r>
        <w:fldChar w:fldCharType="end"/>
      </w:r>
    </w:p>
    <w:p w14:paraId="14C1EFD9" w14:textId="094BE98C" w:rsidR="00C0017E" w:rsidRDefault="00C0017E">
      <w:pPr>
        <w:pStyle w:val="TableofFigures"/>
        <w:tabs>
          <w:tab w:val="left" w:pos="960"/>
        </w:tabs>
        <w:rPr>
          <w:rFonts w:asciiTheme="minorHAnsi" w:eastAsiaTheme="minorEastAsia" w:hAnsiTheme="minorHAnsi" w:cstheme="minorBidi"/>
          <w:color w:val="auto"/>
          <w:sz w:val="24"/>
          <w:szCs w:val="24"/>
          <w:lang w:val="en-US" w:eastAsia="ja-JP"/>
        </w:rPr>
      </w:pPr>
      <w:r>
        <w:t>9</w:t>
      </w:r>
      <w:r>
        <w:rPr>
          <w:rFonts w:asciiTheme="minorHAnsi" w:eastAsiaTheme="minorEastAsia" w:hAnsiTheme="minorHAnsi" w:cstheme="minorBidi"/>
          <w:color w:val="auto"/>
          <w:sz w:val="24"/>
          <w:szCs w:val="24"/>
          <w:lang w:val="en-US" w:eastAsia="ja-JP"/>
        </w:rPr>
        <w:tab/>
      </w:r>
      <w:r>
        <w:t>Percentage of students from the two lowest socio-economic quintiles by level of qualification and broad and selected narrow field of education, 2012*</w:t>
      </w:r>
      <w:r>
        <w:tab/>
      </w:r>
      <w:r w:rsidR="00E77C52">
        <w:tab/>
      </w:r>
      <w:r>
        <w:fldChar w:fldCharType="begin"/>
      </w:r>
      <w:r>
        <w:instrText xml:space="preserve"> PAGEREF _Toc257836872 \h </w:instrText>
      </w:r>
      <w:r>
        <w:fldChar w:fldCharType="separate"/>
      </w:r>
      <w:r w:rsidR="005C41DB">
        <w:t>34</w:t>
      </w:r>
      <w:r>
        <w:fldChar w:fldCharType="end"/>
      </w:r>
    </w:p>
    <w:p w14:paraId="6F1B1858" w14:textId="404B68B1"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t>10</w:t>
      </w:r>
      <w:r>
        <w:rPr>
          <w:rFonts w:asciiTheme="minorHAnsi" w:eastAsiaTheme="minorEastAsia" w:hAnsiTheme="minorHAnsi" w:cstheme="minorBidi"/>
          <w:color w:val="auto"/>
          <w:sz w:val="24"/>
          <w:szCs w:val="24"/>
          <w:lang w:val="en-US" w:eastAsia="ja-JP"/>
        </w:rPr>
        <w:tab/>
      </w:r>
      <w:r>
        <w:t>Clusters of broad occupational groups among those with some work as engineering professionals, technicians or tradespeople, 2001–2009</w:t>
      </w:r>
      <w:r>
        <w:tab/>
      </w:r>
      <w:r>
        <w:fldChar w:fldCharType="begin"/>
      </w:r>
      <w:r>
        <w:instrText xml:space="preserve"> PAGEREF _Toc257836873 \h </w:instrText>
      </w:r>
      <w:r>
        <w:fldChar w:fldCharType="separate"/>
      </w:r>
      <w:r w:rsidR="005C41DB">
        <w:t>43</w:t>
      </w:r>
      <w:r>
        <w:fldChar w:fldCharType="end"/>
      </w:r>
    </w:p>
    <w:p w14:paraId="7D81D0DD" w14:textId="27FC170F"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t>11</w:t>
      </w:r>
      <w:r>
        <w:rPr>
          <w:rFonts w:asciiTheme="minorHAnsi" w:eastAsiaTheme="minorEastAsia" w:hAnsiTheme="minorHAnsi" w:cstheme="minorBidi"/>
          <w:color w:val="auto"/>
          <w:sz w:val="24"/>
          <w:szCs w:val="24"/>
          <w:lang w:val="en-US" w:eastAsia="ja-JP"/>
        </w:rPr>
        <w:tab/>
      </w:r>
      <w:r>
        <w:t>Percentage of graduates in employment six months after training, by level of qualification in the broad field of education of engineering and related technologies and selected narrow fields of education, 2012</w:t>
      </w:r>
      <w:r>
        <w:tab/>
      </w:r>
      <w:r>
        <w:fldChar w:fldCharType="begin"/>
      </w:r>
      <w:r>
        <w:instrText xml:space="preserve"> PAGEREF _Toc257836874 \h </w:instrText>
      </w:r>
      <w:r>
        <w:fldChar w:fldCharType="separate"/>
      </w:r>
      <w:r w:rsidR="005C41DB">
        <w:t>46</w:t>
      </w:r>
      <w:r>
        <w:fldChar w:fldCharType="end"/>
      </w:r>
    </w:p>
    <w:p w14:paraId="7836B9E0" w14:textId="732AB612"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t>12</w:t>
      </w:r>
      <w:r>
        <w:rPr>
          <w:rFonts w:asciiTheme="minorHAnsi" w:eastAsiaTheme="minorEastAsia" w:hAnsiTheme="minorHAnsi" w:cstheme="minorBidi"/>
          <w:color w:val="auto"/>
          <w:sz w:val="24"/>
          <w:szCs w:val="24"/>
          <w:lang w:val="en-US" w:eastAsia="ja-JP"/>
        </w:rPr>
        <w:tab/>
      </w:r>
      <w:r>
        <w:t xml:space="preserve"> Bachelor degree graduates in full time employment as % of available for full-time employment, by aggregated field of education and employment status</w:t>
      </w:r>
      <w:r>
        <w:tab/>
      </w:r>
      <w:r w:rsidR="00E77C52">
        <w:tab/>
      </w:r>
      <w:r>
        <w:fldChar w:fldCharType="begin"/>
      </w:r>
      <w:r>
        <w:instrText xml:space="preserve"> PAGEREF _Toc257836875 \h </w:instrText>
      </w:r>
      <w:r>
        <w:fldChar w:fldCharType="separate"/>
      </w:r>
      <w:r w:rsidR="005C41DB">
        <w:t>46</w:t>
      </w:r>
      <w:r>
        <w:fldChar w:fldCharType="end"/>
      </w:r>
    </w:p>
    <w:p w14:paraId="6685AF7F" w14:textId="54985611"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t>13</w:t>
      </w:r>
      <w:r>
        <w:rPr>
          <w:rFonts w:asciiTheme="minorHAnsi" w:eastAsiaTheme="minorEastAsia" w:hAnsiTheme="minorHAnsi" w:cstheme="minorBidi"/>
          <w:color w:val="auto"/>
          <w:sz w:val="24"/>
          <w:szCs w:val="24"/>
          <w:lang w:val="en-US" w:eastAsia="ja-JP"/>
        </w:rPr>
        <w:tab/>
      </w:r>
      <w:r>
        <w:t>Percentage of those employed six months after training working in the same occupation as their training, by level of qualification in the broad field of education of engineering and related technologies and selected narrow fields of education, 2012</w:t>
      </w:r>
      <w:r>
        <w:tab/>
      </w:r>
      <w:r>
        <w:fldChar w:fldCharType="begin"/>
      </w:r>
      <w:r>
        <w:instrText xml:space="preserve"> PAGEREF _Toc257836876 \h </w:instrText>
      </w:r>
      <w:r>
        <w:fldChar w:fldCharType="separate"/>
      </w:r>
      <w:r w:rsidR="005C41DB">
        <w:t>47</w:t>
      </w:r>
      <w:r>
        <w:fldChar w:fldCharType="end"/>
      </w:r>
    </w:p>
    <w:p w14:paraId="31AA9559" w14:textId="604BF06A"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lastRenderedPageBreak/>
        <w:t>14</w:t>
      </w:r>
      <w:r>
        <w:rPr>
          <w:rFonts w:asciiTheme="minorHAnsi" w:eastAsiaTheme="minorEastAsia" w:hAnsiTheme="minorHAnsi" w:cstheme="minorBidi"/>
          <w:color w:val="auto"/>
          <w:sz w:val="24"/>
          <w:szCs w:val="24"/>
          <w:lang w:val="en-US" w:eastAsia="ja-JP"/>
        </w:rPr>
        <w:tab/>
      </w:r>
      <w:r>
        <w:t>Percentage of students from the two lowest socio-economic quintiles by level of qualification and broad and selected narrow field of education, 2012*</w:t>
      </w:r>
      <w:r>
        <w:tab/>
      </w:r>
      <w:r w:rsidR="00E77C52">
        <w:tab/>
      </w:r>
      <w:r>
        <w:fldChar w:fldCharType="begin"/>
      </w:r>
      <w:r>
        <w:instrText xml:space="preserve"> PAGEREF _Toc257836877 \h </w:instrText>
      </w:r>
      <w:r>
        <w:fldChar w:fldCharType="separate"/>
      </w:r>
      <w:r w:rsidR="005C41DB">
        <w:t>53</w:t>
      </w:r>
      <w:r>
        <w:fldChar w:fldCharType="end"/>
      </w:r>
    </w:p>
    <w:p w14:paraId="7830349F" w14:textId="5C52FBC8"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t>15</w:t>
      </w:r>
      <w:r>
        <w:rPr>
          <w:rFonts w:asciiTheme="minorHAnsi" w:eastAsiaTheme="minorEastAsia" w:hAnsiTheme="minorHAnsi" w:cstheme="minorBidi"/>
          <w:color w:val="auto"/>
          <w:sz w:val="24"/>
          <w:szCs w:val="24"/>
          <w:lang w:val="en-US" w:eastAsia="ja-JP"/>
        </w:rPr>
        <w:tab/>
      </w:r>
      <w:r>
        <w:t>Percentage of VET graduates in employment six months after training, by level of qualification and broad and selected narrow field of education, 2012</w:t>
      </w:r>
      <w:r>
        <w:tab/>
      </w:r>
      <w:r w:rsidR="00E77C52">
        <w:tab/>
      </w:r>
      <w:r>
        <w:fldChar w:fldCharType="begin"/>
      </w:r>
      <w:r>
        <w:instrText xml:space="preserve"> PAGEREF _Toc257836878 \h </w:instrText>
      </w:r>
      <w:r>
        <w:fldChar w:fldCharType="separate"/>
      </w:r>
      <w:r w:rsidR="005C41DB">
        <w:t>60</w:t>
      </w:r>
      <w:r>
        <w:fldChar w:fldCharType="end"/>
      </w:r>
    </w:p>
    <w:p w14:paraId="6C5FA7ED" w14:textId="769214D3"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rsidRPr="008F024F">
        <w:rPr>
          <w:lang w:val="en-US"/>
        </w:rPr>
        <w:t>16</w:t>
      </w:r>
      <w:r>
        <w:rPr>
          <w:rFonts w:asciiTheme="minorHAnsi" w:eastAsiaTheme="minorEastAsia" w:hAnsiTheme="minorHAnsi" w:cstheme="minorBidi"/>
          <w:color w:val="auto"/>
          <w:sz w:val="24"/>
          <w:szCs w:val="24"/>
          <w:lang w:val="en-US" w:eastAsia="ja-JP"/>
        </w:rPr>
        <w:tab/>
      </w:r>
      <w:r w:rsidRPr="008F024F">
        <w:rPr>
          <w:lang w:val="en-US"/>
        </w:rPr>
        <w:t>Bachelor degree graduates in full time employment as % of available for full-time employment, by aggregated field of education and employment status, 2012</w:t>
      </w:r>
      <w:r>
        <w:tab/>
      </w:r>
      <w:r>
        <w:fldChar w:fldCharType="begin"/>
      </w:r>
      <w:r>
        <w:instrText xml:space="preserve"> PAGEREF _Toc257836879 \h </w:instrText>
      </w:r>
      <w:r>
        <w:fldChar w:fldCharType="separate"/>
      </w:r>
      <w:r w:rsidR="005C41DB">
        <w:t>60</w:t>
      </w:r>
      <w:r>
        <w:fldChar w:fldCharType="end"/>
      </w:r>
    </w:p>
    <w:p w14:paraId="2CBA2C28" w14:textId="5D35D571"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t>17</w:t>
      </w:r>
      <w:r>
        <w:rPr>
          <w:rFonts w:asciiTheme="minorHAnsi" w:eastAsiaTheme="minorEastAsia" w:hAnsiTheme="minorHAnsi" w:cstheme="minorBidi"/>
          <w:color w:val="auto"/>
          <w:sz w:val="24"/>
          <w:szCs w:val="24"/>
          <w:lang w:val="en-US" w:eastAsia="ja-JP"/>
        </w:rPr>
        <w:tab/>
      </w:r>
      <w:r>
        <w:t>Percentage of those employed six months after training working in the same occupation as their training, by level of qualification and broad and selected narrow field of education, 2012</w:t>
      </w:r>
      <w:r>
        <w:tab/>
      </w:r>
      <w:r>
        <w:fldChar w:fldCharType="begin"/>
      </w:r>
      <w:r>
        <w:instrText xml:space="preserve"> PAGEREF _Toc257836880 \h </w:instrText>
      </w:r>
      <w:r>
        <w:fldChar w:fldCharType="separate"/>
      </w:r>
      <w:r w:rsidR="005C41DB">
        <w:t>61</w:t>
      </w:r>
      <w:r>
        <w:fldChar w:fldCharType="end"/>
      </w:r>
    </w:p>
    <w:p w14:paraId="7D3CB426" w14:textId="3AC84F65" w:rsidR="00C0017E" w:rsidRDefault="00C0017E">
      <w:pPr>
        <w:pStyle w:val="TableofFigures"/>
        <w:tabs>
          <w:tab w:val="left" w:pos="1200"/>
        </w:tabs>
        <w:rPr>
          <w:rFonts w:asciiTheme="minorHAnsi" w:eastAsiaTheme="minorEastAsia" w:hAnsiTheme="minorHAnsi" w:cstheme="minorBidi"/>
          <w:color w:val="auto"/>
          <w:sz w:val="24"/>
          <w:szCs w:val="24"/>
          <w:lang w:val="en-US" w:eastAsia="ja-JP"/>
        </w:rPr>
      </w:pPr>
      <w:r>
        <w:t>18</w:t>
      </w:r>
      <w:r>
        <w:rPr>
          <w:rFonts w:asciiTheme="minorHAnsi" w:eastAsiaTheme="minorEastAsia" w:hAnsiTheme="minorHAnsi" w:cstheme="minorBidi"/>
          <w:color w:val="auto"/>
          <w:sz w:val="24"/>
          <w:szCs w:val="24"/>
          <w:lang w:val="en-US" w:eastAsia="ja-JP"/>
        </w:rPr>
        <w:tab/>
      </w:r>
      <w:r>
        <w:t>Percentage of students from the two lowest socio-economic quintiles by level of qualification and broad and selected narrow field of education, 2012*</w:t>
      </w:r>
      <w:r>
        <w:tab/>
      </w:r>
      <w:r w:rsidR="00E77C52">
        <w:tab/>
      </w:r>
      <w:r>
        <w:fldChar w:fldCharType="begin"/>
      </w:r>
      <w:r>
        <w:instrText xml:space="preserve"> PAGEREF _Toc257836881 \h </w:instrText>
      </w:r>
      <w:r>
        <w:fldChar w:fldCharType="separate"/>
      </w:r>
      <w:r w:rsidR="005C41DB">
        <w:t>64</w:t>
      </w:r>
      <w:r>
        <w:fldChar w:fldCharType="end"/>
      </w:r>
    </w:p>
    <w:p w14:paraId="538315B9" w14:textId="77777777" w:rsidR="00257CB8" w:rsidRDefault="00B17A90" w:rsidP="004E7227">
      <w:pPr>
        <w:pStyle w:val="Heading2"/>
        <w:rPr>
          <w:noProof/>
        </w:rPr>
      </w:pPr>
      <w:r>
        <w:fldChar w:fldCharType="end"/>
      </w:r>
      <w:bookmarkStart w:id="13" w:name="_Toc296497517"/>
      <w:bookmarkStart w:id="14" w:name="_Toc298162802"/>
      <w:bookmarkStart w:id="15" w:name="_Toc257836736"/>
      <w:r w:rsidR="004E7227">
        <w:t>Figures</w:t>
      </w:r>
      <w:bookmarkEnd w:id="13"/>
      <w:bookmarkEnd w:id="14"/>
      <w:bookmarkEnd w:id="15"/>
      <w:r>
        <w:rPr>
          <w:rFonts w:ascii="Garamond" w:hAnsi="Garamond"/>
          <w:sz w:val="22"/>
        </w:rPr>
        <w:fldChar w:fldCharType="begin"/>
      </w:r>
      <w:r w:rsidR="004E7227">
        <w:instrText xml:space="preserve"> TOC \t "Figuretitle" \c </w:instrText>
      </w:r>
      <w:r>
        <w:rPr>
          <w:rFonts w:ascii="Garamond" w:hAnsi="Garamond"/>
          <w:sz w:val="22"/>
        </w:rPr>
        <w:fldChar w:fldCharType="separate"/>
      </w:r>
    </w:p>
    <w:p w14:paraId="66E5371E" w14:textId="319AAD95" w:rsidR="00257CB8" w:rsidRDefault="00257CB8">
      <w:pPr>
        <w:pStyle w:val="TableofFigures"/>
        <w:tabs>
          <w:tab w:val="left" w:pos="960"/>
        </w:tabs>
        <w:rPr>
          <w:rFonts w:asciiTheme="minorHAnsi" w:eastAsiaTheme="minorEastAsia" w:hAnsiTheme="minorHAnsi" w:cstheme="minorBidi"/>
          <w:color w:val="auto"/>
          <w:sz w:val="24"/>
          <w:szCs w:val="24"/>
          <w:lang w:val="en-US" w:eastAsia="ja-JP"/>
        </w:rPr>
      </w:pPr>
      <w:r>
        <w:t>1</w:t>
      </w:r>
      <w:r>
        <w:rPr>
          <w:rFonts w:asciiTheme="minorHAnsi" w:eastAsiaTheme="minorEastAsia" w:hAnsiTheme="minorHAnsi" w:cstheme="minorBidi"/>
          <w:color w:val="auto"/>
          <w:sz w:val="24"/>
          <w:szCs w:val="24"/>
          <w:lang w:val="en-US" w:eastAsia="ja-JP"/>
        </w:rPr>
        <w:tab/>
      </w:r>
      <w:r>
        <w:t>Full-time equivalent load in AQF 5–7 programs in mid-level nursing programs, 2002–2012</w:t>
      </w:r>
      <w:r>
        <w:tab/>
      </w:r>
      <w:r>
        <w:fldChar w:fldCharType="begin"/>
      </w:r>
      <w:r>
        <w:instrText xml:space="preserve"> PAGEREF _Toc257836789 \h </w:instrText>
      </w:r>
      <w:r>
        <w:fldChar w:fldCharType="separate"/>
      </w:r>
      <w:r w:rsidR="005C41DB">
        <w:t>13</w:t>
      </w:r>
      <w:r>
        <w:fldChar w:fldCharType="end"/>
      </w:r>
    </w:p>
    <w:p w14:paraId="02805CBC" w14:textId="16020972" w:rsidR="00257CB8" w:rsidRDefault="00257CB8">
      <w:pPr>
        <w:pStyle w:val="TableofFigures"/>
        <w:tabs>
          <w:tab w:val="left" w:pos="960"/>
        </w:tabs>
        <w:rPr>
          <w:rFonts w:asciiTheme="minorHAnsi" w:eastAsiaTheme="minorEastAsia" w:hAnsiTheme="minorHAnsi" w:cstheme="minorBidi"/>
          <w:color w:val="auto"/>
          <w:sz w:val="24"/>
          <w:szCs w:val="24"/>
          <w:lang w:val="en-US" w:eastAsia="ja-JP"/>
        </w:rPr>
      </w:pPr>
      <w:r>
        <w:t>2</w:t>
      </w:r>
      <w:r>
        <w:rPr>
          <w:rFonts w:asciiTheme="minorHAnsi" w:eastAsiaTheme="minorEastAsia" w:hAnsiTheme="minorHAnsi" w:cstheme="minorBidi"/>
          <w:color w:val="auto"/>
          <w:sz w:val="24"/>
          <w:szCs w:val="24"/>
          <w:lang w:val="en-US" w:eastAsia="ja-JP"/>
        </w:rPr>
        <w:tab/>
      </w:r>
      <w:r>
        <w:t>Full-time equivalent load in AQF 5–7 programs in mid-level human welfare studies and services programs, 2002–2012</w:t>
      </w:r>
      <w:r>
        <w:tab/>
      </w:r>
      <w:r>
        <w:fldChar w:fldCharType="begin"/>
      </w:r>
      <w:r>
        <w:instrText xml:space="preserve"> PAGEREF _Toc257836790 \h </w:instrText>
      </w:r>
      <w:r>
        <w:fldChar w:fldCharType="separate"/>
      </w:r>
      <w:r w:rsidR="005C41DB">
        <w:t>14</w:t>
      </w:r>
      <w:r>
        <w:fldChar w:fldCharType="end"/>
      </w:r>
    </w:p>
    <w:p w14:paraId="11723BD1" w14:textId="6731057F" w:rsidR="00257CB8" w:rsidRDefault="00257CB8">
      <w:pPr>
        <w:pStyle w:val="TableofFigures"/>
        <w:tabs>
          <w:tab w:val="left" w:pos="960"/>
        </w:tabs>
        <w:rPr>
          <w:rFonts w:asciiTheme="minorHAnsi" w:eastAsiaTheme="minorEastAsia" w:hAnsiTheme="minorHAnsi" w:cstheme="minorBidi"/>
          <w:color w:val="auto"/>
          <w:sz w:val="24"/>
          <w:szCs w:val="24"/>
          <w:lang w:val="en-US" w:eastAsia="ja-JP"/>
        </w:rPr>
      </w:pPr>
      <w:r>
        <w:t>3</w:t>
      </w:r>
      <w:r>
        <w:rPr>
          <w:rFonts w:asciiTheme="minorHAnsi" w:eastAsiaTheme="minorEastAsia" w:hAnsiTheme="minorHAnsi" w:cstheme="minorBidi"/>
          <w:color w:val="auto"/>
          <w:sz w:val="24"/>
          <w:szCs w:val="24"/>
          <w:lang w:val="en-US" w:eastAsia="ja-JP"/>
        </w:rPr>
        <w:tab/>
      </w:r>
      <w:r>
        <w:t>Full-time equivalent load in AQF 5–7 programs in agriculture, 2002–2012</w:t>
      </w:r>
      <w:r>
        <w:tab/>
      </w:r>
      <w:r>
        <w:fldChar w:fldCharType="begin"/>
      </w:r>
      <w:r>
        <w:instrText xml:space="preserve"> PAGEREF _Toc257836791 \h </w:instrText>
      </w:r>
      <w:r>
        <w:fldChar w:fldCharType="separate"/>
      </w:r>
      <w:r w:rsidR="005C41DB">
        <w:t>27</w:t>
      </w:r>
      <w:r>
        <w:fldChar w:fldCharType="end"/>
      </w:r>
    </w:p>
    <w:p w14:paraId="666D7826" w14:textId="5EACC3FC" w:rsidR="00257CB8" w:rsidRDefault="00257CB8">
      <w:pPr>
        <w:pStyle w:val="TableofFigures"/>
        <w:tabs>
          <w:tab w:val="left" w:pos="960"/>
        </w:tabs>
        <w:rPr>
          <w:rFonts w:asciiTheme="minorHAnsi" w:eastAsiaTheme="minorEastAsia" w:hAnsiTheme="minorHAnsi" w:cstheme="minorBidi"/>
          <w:color w:val="auto"/>
          <w:sz w:val="24"/>
          <w:szCs w:val="24"/>
          <w:lang w:val="en-US" w:eastAsia="ja-JP"/>
        </w:rPr>
      </w:pPr>
      <w:r>
        <w:t>4</w:t>
      </w:r>
      <w:r>
        <w:rPr>
          <w:rFonts w:asciiTheme="minorHAnsi" w:eastAsiaTheme="minorEastAsia" w:hAnsiTheme="minorHAnsi" w:cstheme="minorBidi"/>
          <w:color w:val="auto"/>
          <w:sz w:val="24"/>
          <w:szCs w:val="24"/>
          <w:lang w:val="en-US" w:eastAsia="ja-JP"/>
        </w:rPr>
        <w:tab/>
      </w:r>
      <w:r>
        <w:t>Full-time equivalent load in AQF 5–7 programs in engineering, 2002–2012</w:t>
      </w:r>
      <w:r>
        <w:tab/>
      </w:r>
      <w:r>
        <w:fldChar w:fldCharType="begin"/>
      </w:r>
      <w:r>
        <w:instrText xml:space="preserve"> PAGEREF _Toc257836792 \h </w:instrText>
      </w:r>
      <w:r>
        <w:fldChar w:fldCharType="separate"/>
      </w:r>
      <w:r w:rsidR="005C41DB">
        <w:t>45</w:t>
      </w:r>
      <w:r>
        <w:fldChar w:fldCharType="end"/>
      </w:r>
    </w:p>
    <w:p w14:paraId="10A735A1" w14:textId="24E77523" w:rsidR="00257CB8" w:rsidRDefault="00257CB8">
      <w:pPr>
        <w:pStyle w:val="TableofFigures"/>
        <w:tabs>
          <w:tab w:val="left" w:pos="960"/>
        </w:tabs>
        <w:rPr>
          <w:rFonts w:asciiTheme="minorHAnsi" w:eastAsiaTheme="minorEastAsia" w:hAnsiTheme="minorHAnsi" w:cstheme="minorBidi"/>
          <w:color w:val="auto"/>
          <w:sz w:val="24"/>
          <w:szCs w:val="24"/>
          <w:lang w:val="en-US" w:eastAsia="ja-JP"/>
        </w:rPr>
      </w:pPr>
      <w:r>
        <w:t>5</w:t>
      </w:r>
      <w:r>
        <w:rPr>
          <w:rFonts w:asciiTheme="minorHAnsi" w:eastAsiaTheme="minorEastAsia" w:hAnsiTheme="minorHAnsi" w:cstheme="minorBidi"/>
          <w:color w:val="auto"/>
          <w:sz w:val="24"/>
          <w:szCs w:val="24"/>
          <w:lang w:val="en-US" w:eastAsia="ja-JP"/>
        </w:rPr>
        <w:tab/>
      </w:r>
      <w:r>
        <w:t>Full-time equivalent load in AQF 5–7 programs in mid-level banking, finances and related fields programs, 2002–2012</w:t>
      </w:r>
      <w:r>
        <w:tab/>
      </w:r>
      <w:r>
        <w:fldChar w:fldCharType="begin"/>
      </w:r>
      <w:r>
        <w:instrText xml:space="preserve"> PAGEREF _Toc257836793 \h </w:instrText>
      </w:r>
      <w:r>
        <w:fldChar w:fldCharType="separate"/>
      </w:r>
      <w:r w:rsidR="005C41DB">
        <w:t>63</w:t>
      </w:r>
      <w:r>
        <w:fldChar w:fldCharType="end"/>
      </w:r>
    </w:p>
    <w:p w14:paraId="3C655D1D" w14:textId="77777777" w:rsidR="004E7227" w:rsidRDefault="00B17A90" w:rsidP="004E7227">
      <w:pPr>
        <w:pStyle w:val="TableofFigures"/>
      </w:pPr>
      <w:r>
        <w:fldChar w:fldCharType="end"/>
      </w:r>
    </w:p>
    <w:p w14:paraId="17B1F442" w14:textId="77777777" w:rsidR="00A93867" w:rsidRPr="00A93867" w:rsidRDefault="00A93867">
      <w:pPr>
        <w:spacing w:before="0" w:line="240" w:lineRule="auto"/>
        <w:rPr>
          <w:rFonts w:ascii="Tahoma" w:hAnsi="Tahoma" w:cs="Tahoma"/>
          <w:b/>
          <w:color w:val="000000"/>
          <w:kern w:val="28"/>
          <w:sz w:val="56"/>
          <w:szCs w:val="56"/>
        </w:rPr>
      </w:pPr>
      <w:bookmarkStart w:id="16" w:name="_Toc298162803"/>
      <w:r w:rsidRPr="00A93867">
        <w:rPr>
          <w:b/>
        </w:rPr>
        <w:br w:type="page"/>
      </w:r>
    </w:p>
    <w:bookmarkEnd w:id="16"/>
    <w:p w14:paraId="20F44FD6" w14:textId="77777777" w:rsidR="004E3A30" w:rsidRDefault="004E3A30" w:rsidP="00890098">
      <w:pPr>
        <w:pStyle w:val="StyleTahoma28ptBlackBefore0ptKernat14ptLinespac"/>
      </w:pPr>
      <w:r w:rsidRPr="004E3A30">
        <w:lastRenderedPageBreak/>
        <w:t>Introduction to the case studies</w:t>
      </w:r>
    </w:p>
    <w:p w14:paraId="57A77FA2" w14:textId="4B22D572" w:rsidR="004E3A30" w:rsidRDefault="00E54F06" w:rsidP="004E3A30">
      <w:pPr>
        <w:pStyle w:val="Text"/>
      </w:pPr>
      <w:r>
        <w:t>In 2010</w:t>
      </w:r>
      <w:r w:rsidR="004E3A30">
        <w:t xml:space="preserve"> the National Centre </w:t>
      </w:r>
      <w:r w:rsidR="00361EC9">
        <w:t>for</w:t>
      </w:r>
      <w:r w:rsidR="004E3A30">
        <w:t xml:space="preserve"> Vocational Education Research</w:t>
      </w:r>
      <w:r w:rsidR="00361EC9">
        <w:t xml:space="preserve"> (NCVER)</w:t>
      </w:r>
      <w:r w:rsidR="004E3A30">
        <w:t xml:space="preserve"> funded a </w:t>
      </w:r>
      <w:r w:rsidR="008A250E">
        <w:t>three-year</w:t>
      </w:r>
      <w:r w:rsidR="004E3A30">
        <w:t xml:space="preserve"> research pro</w:t>
      </w:r>
      <w:r w:rsidR="00361EC9">
        <w:t>gram</w:t>
      </w:r>
      <w:r w:rsidR="004E3A30">
        <w:t xml:space="preserve"> to explore how to improve flows within and between education and work. The research program, entitled </w:t>
      </w:r>
      <w:r w:rsidR="004E3A30" w:rsidRPr="004E3A30">
        <w:rPr>
          <w:i/>
        </w:rPr>
        <w:t xml:space="preserve">Vocations: the link between </w:t>
      </w:r>
      <w:r w:rsidR="006169C2" w:rsidRPr="004E3A30">
        <w:rPr>
          <w:i/>
        </w:rPr>
        <w:t>post-compulsory</w:t>
      </w:r>
      <w:r w:rsidR="004E3A30" w:rsidRPr="004E3A30">
        <w:rPr>
          <w:i/>
        </w:rPr>
        <w:t xml:space="preserve"> education and the labour market</w:t>
      </w:r>
      <w:r w:rsidR="00A77917">
        <w:rPr>
          <w:i/>
        </w:rPr>
        <w:t>,</w:t>
      </w:r>
      <w:r w:rsidR="004E3A30">
        <w:t xml:space="preserve"> has three strands</w:t>
      </w:r>
      <w:r w:rsidR="0019235E">
        <w:t>:</w:t>
      </w:r>
    </w:p>
    <w:p w14:paraId="4FD86136" w14:textId="2DF6CE69" w:rsidR="0019235E" w:rsidRDefault="0019235E" w:rsidP="0019235E">
      <w:pPr>
        <w:pStyle w:val="Dotpoint1"/>
      </w:pPr>
      <w:r>
        <w:t>Strand 1 is exploring the nature of vocational education in senior school certificates and how it can be enhanced to support pathways to post-school vocational education (including apprenticeships) and higher education</w:t>
      </w:r>
      <w:r w:rsidR="002C542C">
        <w:t>. Strand 1</w:t>
      </w:r>
      <w:r>
        <w:t xml:space="preserve"> is being undertaken by the Education Policy Leadership Unit in the Melbourne Graduate School of Education,</w:t>
      </w:r>
      <w:r w:rsidR="00E54F06">
        <w:t xml:space="preserve"> at the University of Melbourne.</w:t>
      </w:r>
    </w:p>
    <w:p w14:paraId="3B163C05" w14:textId="31DB30DC" w:rsidR="0019235E" w:rsidRDefault="0019235E" w:rsidP="0019235E">
      <w:pPr>
        <w:pStyle w:val="Dotpoint1"/>
      </w:pPr>
      <w:r>
        <w:t>Strand 2</w:t>
      </w:r>
      <w:r w:rsidR="002C542C">
        <w:t xml:space="preserve"> is exploring</w:t>
      </w:r>
      <w:r>
        <w:t xml:space="preserve"> the role of educational institutions in fostering vocations</w:t>
      </w:r>
      <w:r w:rsidR="002C542C">
        <w:t>. It is researching</w:t>
      </w:r>
      <w:r>
        <w:t xml:space="preserve"> how to improve occupational outcomes and educational pathways within </w:t>
      </w:r>
      <w:r w:rsidR="001E6375">
        <w:t>tertiary education</w:t>
      </w:r>
      <w:r>
        <w:t xml:space="preserve">, and between </w:t>
      </w:r>
      <w:r w:rsidR="00A77917">
        <w:t>vocational</w:t>
      </w:r>
      <w:r>
        <w:t xml:space="preserve"> and higher education. Strand two is being undertaken by the LH Martin Institute and the Centre for the Study of Higher Education, both in the Melbourne Graduate School of Education at the University of Melbourne</w:t>
      </w:r>
      <w:r w:rsidR="00A77917">
        <w:t>,</w:t>
      </w:r>
      <w:r w:rsidR="00E54F06">
        <w:t xml:space="preserve"> and by RMIT.</w:t>
      </w:r>
    </w:p>
    <w:p w14:paraId="5F0958C4" w14:textId="082A125B" w:rsidR="0019235E" w:rsidRDefault="0019235E" w:rsidP="0019235E">
      <w:pPr>
        <w:pStyle w:val="Dotpoint1"/>
      </w:pPr>
      <w:r>
        <w:t>Strand 3</w:t>
      </w:r>
      <w:r w:rsidR="002C542C">
        <w:t xml:space="preserve"> is exploring </w:t>
      </w:r>
      <w:r>
        <w:t>the nature of vocations today</w:t>
      </w:r>
      <w:r w:rsidR="002C542C">
        <w:t xml:space="preserve">. It is researching </w:t>
      </w:r>
      <w:r>
        <w:t xml:space="preserve">how to improve the development and use of skills within core sectors of the labour market, how to improve vocational pathways and the changes that are needed to the institutional arrangements that mediate vocational pathways. </w:t>
      </w:r>
      <w:r w:rsidR="008A250E">
        <w:t xml:space="preserve">The Workplace Research Centre at the University of Sydney is undertaking Strand </w:t>
      </w:r>
      <w:r w:rsidR="00361EC9">
        <w:t>3</w:t>
      </w:r>
      <w:r>
        <w:t>.</w:t>
      </w:r>
    </w:p>
    <w:p w14:paraId="049F45F3" w14:textId="7984BA36" w:rsidR="00721F1E" w:rsidRDefault="00572455" w:rsidP="00721F1E">
      <w:pPr>
        <w:pStyle w:val="Text"/>
      </w:pPr>
      <w:r>
        <w:t>In order to link the strands together, they have analysed the same four industry areas:</w:t>
      </w:r>
      <w:r w:rsidR="002C542C">
        <w:t xml:space="preserve"> </w:t>
      </w:r>
      <w:r w:rsidR="00E54F06">
        <w:t xml:space="preserve">agriculture, electrical trades/engineering, </w:t>
      </w:r>
      <w:proofErr w:type="gramStart"/>
      <w:r w:rsidR="00E54F06">
        <w:t>the</w:t>
      </w:r>
      <w:proofErr w:type="gramEnd"/>
      <w:r w:rsidR="00E54F06">
        <w:t xml:space="preserve"> finance industry, and </w:t>
      </w:r>
      <w:r w:rsidR="002C542C">
        <w:t>health</w:t>
      </w:r>
      <w:r w:rsidR="006B368F">
        <w:t xml:space="preserve"> and community services</w:t>
      </w:r>
      <w:r w:rsidR="002C542C">
        <w:t>.</w:t>
      </w:r>
      <w:r w:rsidR="00721F1E">
        <w:t xml:space="preserve"> The third stage of Strand 2’s </w:t>
      </w:r>
      <w:r w:rsidR="00E54F06">
        <w:t>part</w:t>
      </w:r>
      <w:r w:rsidR="00721F1E">
        <w:t xml:space="preserve"> of the project consisted of, firstly, producing discussion papers for </w:t>
      </w:r>
      <w:r w:rsidR="00E54F06">
        <w:t>each of our four case studie</w:t>
      </w:r>
      <w:r w:rsidR="003539E3">
        <w:t>s</w:t>
      </w:r>
      <w:r w:rsidR="00721F1E">
        <w:t xml:space="preserve"> and a </w:t>
      </w:r>
      <w:r w:rsidR="00A45E60">
        <w:t>broader</w:t>
      </w:r>
      <w:r w:rsidR="00721F1E">
        <w:t xml:space="preserve"> discussion paper</w:t>
      </w:r>
      <w:r w:rsidR="00A45E60">
        <w:t xml:space="preserve"> for senior </w:t>
      </w:r>
      <w:r w:rsidR="00A77917">
        <w:t>members of vocational education and training (</w:t>
      </w:r>
      <w:r w:rsidR="00A45E60">
        <w:t>VET</w:t>
      </w:r>
      <w:r w:rsidR="00A77917">
        <w:t>)</w:t>
      </w:r>
      <w:r w:rsidR="00A45E60">
        <w:t xml:space="preserve"> </w:t>
      </w:r>
      <w:r w:rsidR="00A77917">
        <w:t>interest group</w:t>
      </w:r>
      <w:r w:rsidR="00A45E60">
        <w:t>s</w:t>
      </w:r>
      <w:r w:rsidR="00721F1E">
        <w:t xml:space="preserve"> that synthesised our findings from the first two stages and p</w:t>
      </w:r>
      <w:r w:rsidR="00A77917">
        <w:t>resente</w:t>
      </w:r>
      <w:r w:rsidR="00721F1E">
        <w:t>d prop</w:t>
      </w:r>
      <w:r w:rsidR="003539E3">
        <w:t xml:space="preserve">osals for a way forward for </w:t>
      </w:r>
      <w:r>
        <w:t>mid-level</w:t>
      </w:r>
      <w:r w:rsidR="00721F1E">
        <w:t xml:space="preserve"> education in </w:t>
      </w:r>
      <w:r w:rsidR="00A77917">
        <w:t>each field</w:t>
      </w:r>
      <w:r w:rsidR="009E283F">
        <w:t>. Second</w:t>
      </w:r>
      <w:r w:rsidR="00721F1E">
        <w:t xml:space="preserve">, we distributed these discussion papers to a range of participants in each field and discussed </w:t>
      </w:r>
      <w:r w:rsidR="009E283F">
        <w:t>our proposals with them. Third</w:t>
      </w:r>
      <w:r w:rsidR="00721F1E">
        <w:t>, we synthesised our findings from these discussions with previous findings from the first t</w:t>
      </w:r>
      <w:r w:rsidR="003539E3">
        <w:t xml:space="preserve">wo years of the project. These comprised </w:t>
      </w:r>
      <w:r w:rsidR="00721F1E">
        <w:t>a range of document analyses, participant interviews and quantitative survey and educational institutional data</w:t>
      </w:r>
      <w:r w:rsidR="003539E3">
        <w:t>. The quantitative data were updated and augmented</w:t>
      </w:r>
      <w:r w:rsidR="00721F1E">
        <w:t xml:space="preserve"> where appropriate. </w:t>
      </w:r>
    </w:p>
    <w:p w14:paraId="3B7BFDA7" w14:textId="77777777" w:rsidR="003539E3" w:rsidRDefault="002C542C" w:rsidP="003539E3">
      <w:pPr>
        <w:pStyle w:val="Dotpoint1"/>
        <w:numPr>
          <w:ilvl w:val="0"/>
          <w:numId w:val="0"/>
        </w:numPr>
      </w:pPr>
      <w:r>
        <w:t xml:space="preserve">This </w:t>
      </w:r>
      <w:r w:rsidR="00C82176">
        <w:t xml:space="preserve">support document reports on </w:t>
      </w:r>
      <w:r>
        <w:t xml:space="preserve">the outcomes of Strand 2’s research in each of </w:t>
      </w:r>
      <w:r w:rsidR="004E3A30">
        <w:t>the case</w:t>
      </w:r>
      <w:r w:rsidR="00A77917">
        <w:t xml:space="preserve"> </w:t>
      </w:r>
      <w:r w:rsidR="004E3A30">
        <w:t>studies in 2013</w:t>
      </w:r>
      <w:r>
        <w:t xml:space="preserve">. </w:t>
      </w:r>
      <w:r w:rsidR="00C82176">
        <w:t>The main report for Strand 2 draw</w:t>
      </w:r>
      <w:r w:rsidR="009E283F">
        <w:t xml:space="preserve">s from these case studies, and the main report </w:t>
      </w:r>
      <w:r w:rsidR="00C82176">
        <w:t xml:space="preserve">also includes the outcomes of </w:t>
      </w:r>
      <w:r w:rsidR="00051FC2">
        <w:t xml:space="preserve">interviews with senior VET </w:t>
      </w:r>
      <w:r w:rsidR="00A77917">
        <w:t xml:space="preserve">officials </w:t>
      </w:r>
      <w:r w:rsidR="00051FC2">
        <w:t xml:space="preserve">in state governments and government agencies. </w:t>
      </w:r>
      <w:r w:rsidR="009E283F">
        <w:t xml:space="preserve">Each of the </w:t>
      </w:r>
      <w:r w:rsidR="00ED2592">
        <w:t>discussion paper</w:t>
      </w:r>
      <w:r w:rsidR="009E283F">
        <w:t>s in this stage of the project</w:t>
      </w:r>
      <w:r w:rsidR="003539E3">
        <w:t xml:space="preserve"> u</w:t>
      </w:r>
      <w:r w:rsidR="00ED2592">
        <w:t xml:space="preserve">sed vocational streams and the capabilities approach as its conceptual framework. Vocational streams consist of families of linked occupations where there are commonalities in the core underpinning concepts and practices within an industry – for example, care and care work. A vocational stream groups related clusters of knowledge and skills that allow individuals to progress and/or specialise within a field of practice, or to move laterally into related occupations. </w:t>
      </w:r>
    </w:p>
    <w:p w14:paraId="7AF99501" w14:textId="1EBEC71D" w:rsidR="00ED2592" w:rsidRPr="003539E3" w:rsidRDefault="00ED2592" w:rsidP="003539E3">
      <w:pPr>
        <w:pStyle w:val="Dotpoint1"/>
        <w:numPr>
          <w:ilvl w:val="0"/>
          <w:numId w:val="0"/>
        </w:numPr>
      </w:pPr>
      <w:r>
        <w:t xml:space="preserve">The capabilities approach </w:t>
      </w:r>
      <w:r w:rsidR="008F3401">
        <w:t>link</w:t>
      </w:r>
      <w:r w:rsidR="00A77917">
        <w:t>s</w:t>
      </w:r>
      <w:r w:rsidR="008F3401">
        <w:t xml:space="preserve"> individuals, education and work by identifying the individual, social, economic and cultural resources that individuals need to develop as autonomous, innovative and creative workers within broad vocational streams. Capabilities are contextualised by the knowledge, skills and attributes that individuals need to work within broad vocational streams so that the </w:t>
      </w:r>
      <w:r w:rsidR="008F3401">
        <w:lastRenderedPageBreak/>
        <w:t>capabilities needed in engineering differ from those needed in health and community services, although there may be some overlap.</w:t>
      </w:r>
      <w:r>
        <w:t xml:space="preserve"> Philosophically, it is premised on the capabilities approach developed by the economist and Nobel Laureate </w:t>
      </w:r>
      <w:proofErr w:type="spellStart"/>
      <w:r>
        <w:t>Amartya</w:t>
      </w:r>
      <w:proofErr w:type="spellEnd"/>
      <w:r>
        <w:t xml:space="preserve"> Sen </w:t>
      </w:r>
      <w:r>
        <w:fldChar w:fldCharType="begin"/>
      </w:r>
      <w:r w:rsidR="00546366">
        <w:instrText xml:space="preserve"> ADDIN EN.CITE &lt;EndNote&gt;&lt;Cite ExcludeAuth="1"&gt;&lt;Year&gt;1999&lt;/Year&gt;&lt;RecNum&gt;2682&lt;/RecNum&gt;&lt;DisplayText&gt;(1999, 2009)&lt;/DisplayText&gt;&lt;record&gt;&lt;rec-number&gt;2682&lt;/rec-number&gt;&lt;foreign-keys&gt;&lt;key app="EN" db-id="vadepsw2f2aeebevffz5fzpddt9tvewsatpr" timestamp="0"&gt;2682&lt;/key&gt;&lt;/foreign-keys&gt;&lt;ref-type name="Book"&gt;6&lt;/ref-type&gt;&lt;contributors&gt;&lt;authors&gt;&lt;author&gt;Sen, Amartya&lt;/author&gt;&lt;/authors&gt;&lt;/contributors&gt;&lt;titles&gt;&lt;title&gt;Development as Freedom&lt;/title&gt;&lt;/titles&gt;&lt;dates&gt;&lt;year&gt;1999&lt;/year&gt;&lt;/dates&gt;&lt;pub-location&gt;New York&lt;/pub-location&gt;&lt;publisher&gt;Anchor Books&lt;/publisher&gt;&lt;label&gt;I have the book&lt;/label&gt;&lt;urls&gt;&lt;/urls&gt;&lt;/record&gt;&lt;/Cite&gt;&lt;Cite ExcludeAuth="1"&gt;&lt;Year&gt;2009&lt;/Year&gt;&lt;RecNum&gt;2683&lt;/RecNum&gt;&lt;record&gt;&lt;rec-number&gt;2683&lt;/rec-number&gt;&lt;foreign-keys&gt;&lt;key app="EN" db-id="vadepsw2f2aeebevffz5fzpddt9tvewsatpr" timestamp="0"&gt;2683&lt;/key&gt;&lt;/foreign-keys&gt;&lt;ref-type name="Book"&gt;6&lt;/ref-type&gt;&lt;contributors&gt;&lt;authors&gt;&lt;author&gt;Sen, Amartya&lt;/author&gt;&lt;/authors&gt;&lt;/contributors&gt;&lt;titles&gt;&lt;title&gt;The Idea of Justice&lt;/title&gt;&lt;/titles&gt;&lt;dates&gt;&lt;year&gt;2009&lt;/year&gt;&lt;/dates&gt;&lt;pub-location&gt;Cambridge, Massachusetts&lt;/pub-location&gt;&lt;publisher&gt;The Belknap Press&lt;/publisher&gt;&lt;label&gt;I have the book&lt;/label&gt;&lt;urls&gt;&lt;/urls&gt;&lt;/record&gt;&lt;/Cite&gt;&lt;/EndNote&gt;</w:instrText>
      </w:r>
      <w:r>
        <w:fldChar w:fldCharType="separate"/>
      </w:r>
      <w:r>
        <w:rPr>
          <w:noProof/>
        </w:rPr>
        <w:t>(</w:t>
      </w:r>
      <w:hyperlink w:anchor="_ENREF_23" w:tooltip="Sen, 1999 #2682" w:history="1">
        <w:r w:rsidR="00B03184">
          <w:rPr>
            <w:noProof/>
          </w:rPr>
          <w:t>1999</w:t>
        </w:r>
      </w:hyperlink>
      <w:r>
        <w:rPr>
          <w:noProof/>
        </w:rPr>
        <w:t xml:space="preserve">, </w:t>
      </w:r>
      <w:hyperlink w:anchor="_ENREF_24" w:tooltip="Sen, 2009 #2683" w:history="1">
        <w:r w:rsidR="00B03184">
          <w:rPr>
            <w:noProof/>
          </w:rPr>
          <w:t>2009</w:t>
        </w:r>
      </w:hyperlink>
      <w:r>
        <w:rPr>
          <w:noProof/>
        </w:rPr>
        <w:t>)</w:t>
      </w:r>
      <w:r>
        <w:fldChar w:fldCharType="end"/>
      </w:r>
      <w:r>
        <w:t xml:space="preserve"> and the philosopher Martha Nussbaum </w:t>
      </w:r>
      <w:r>
        <w:fldChar w:fldCharType="begin"/>
      </w:r>
      <w:r w:rsidR="00546366">
        <w:instrText xml:space="preserve"> ADDIN EN.CITE &lt;EndNote&gt;&lt;Cite ExcludeAuth="1"&gt;&lt;Year&gt;2000&lt;/Year&gt;&lt;RecNum&gt;2609&lt;/RecNum&gt;&lt;DisplayText&gt;(2000, 2011)&lt;/DisplayText&gt;&lt;record&gt;&lt;rec-number&gt;2609&lt;/rec-number&gt;&lt;foreign-keys&gt;&lt;key app="EN" db-id="vadepsw2f2aeebevffz5fzpddt9tvewsatpr" timestamp="0"&gt;2609&lt;/key&gt;&lt;/foreign-keys&gt;&lt;ref-type name="Book"&gt;6&lt;/ref-type&gt;&lt;contributors&gt;&lt;authors&gt;&lt;author&gt;Nussbaum, Martha C&lt;/author&gt;&lt;/authors&gt;&lt;/contributors&gt;&lt;titles&gt;&lt;title&gt;Women and human development: the capabilities approach&lt;/title&gt;&lt;/titles&gt;&lt;dates&gt;&lt;year&gt;2000&lt;/year&gt;&lt;/dates&gt;&lt;pub-location&gt;Cambridge&lt;/pub-location&gt;&lt;publisher&gt;Cambridge University Press (kindle book)&lt;/publisher&gt;&lt;label&gt;Have bought it as a Kindle book&lt;/label&gt;&lt;urls&gt;&lt;/urls&gt;&lt;/record&gt;&lt;/Cite&gt;&lt;Cite ExcludeAuth="1"&gt;&lt;Year&gt;2011&lt;/Year&gt;&lt;RecNum&gt;2658&lt;/RecNum&gt;&lt;record&gt;&lt;rec-number&gt;2658&lt;/rec-number&gt;&lt;foreign-keys&gt;&lt;key app="EN" db-id="vadepsw2f2aeebevffz5fzpddt9tvewsatpr" timestamp="0"&gt;2658&lt;/key&gt;&lt;/foreign-keys&gt;&lt;ref-type name="Journal Article"&gt;17&lt;/ref-type&gt;&lt;contributors&gt;&lt;authors&gt;&lt;author&gt;Nussbaum, Martha C&lt;/author&gt;&lt;/authors&gt;&lt;/contributors&gt;&lt;titles&gt;&lt;title&gt;Capabilities, Entitlements, Rights: Supplementation and Critique&lt;/title&gt;&lt;secondary-title&gt;Journal of Human Development and Capabilities&lt;/secondary-title&gt;&lt;/titles&gt;&lt;periodical&gt;&lt;full-title&gt;Journal of Human Development and Capabilities&lt;/full-title&gt;&lt;/periodical&gt;&lt;pages&gt;23-37&lt;/pages&gt;&lt;volume&gt;12&lt;/volume&gt;&lt;number&gt;1&lt;/number&gt;&lt;dates&gt;&lt;year&gt;2011&lt;/year&gt;&lt;/dates&gt;&lt;label&gt;Capabilities&lt;/label&gt;&lt;urls&gt;&lt;/urls&gt;&lt;/record&gt;&lt;/Cite&gt;&lt;/EndNote&gt;</w:instrText>
      </w:r>
      <w:r>
        <w:fldChar w:fldCharType="separate"/>
      </w:r>
      <w:r>
        <w:rPr>
          <w:noProof/>
        </w:rPr>
        <w:t>(</w:t>
      </w:r>
      <w:hyperlink w:anchor="_ENREF_20" w:tooltip="Nussbaum, 2000 #2609" w:history="1">
        <w:r w:rsidR="00B03184">
          <w:rPr>
            <w:noProof/>
          </w:rPr>
          <w:t>2000</w:t>
        </w:r>
      </w:hyperlink>
      <w:r>
        <w:rPr>
          <w:noProof/>
        </w:rPr>
        <w:t xml:space="preserve">, </w:t>
      </w:r>
      <w:hyperlink w:anchor="_ENREF_21" w:tooltip="Nussbaum, 2011 #2658" w:history="1">
        <w:r w:rsidR="00B03184">
          <w:rPr>
            <w:noProof/>
          </w:rPr>
          <w:t>2011</w:t>
        </w:r>
      </w:hyperlink>
      <w:r>
        <w:rPr>
          <w:noProof/>
        </w:rPr>
        <w:t>)</w:t>
      </w:r>
      <w:r>
        <w:fldChar w:fldCharType="end"/>
      </w:r>
      <w:r>
        <w:t>.</w:t>
      </w:r>
    </w:p>
    <w:p w14:paraId="5B317DB4" w14:textId="4023AAE6" w:rsidR="008F3401" w:rsidRPr="00A1059F" w:rsidRDefault="003539E3" w:rsidP="00A1059F">
      <w:pPr>
        <w:pStyle w:val="Dotpoint1"/>
        <w:numPr>
          <w:ilvl w:val="0"/>
          <w:numId w:val="0"/>
        </w:numPr>
      </w:pPr>
      <w:r w:rsidRPr="003539E3">
        <w:t>Each</w:t>
      </w:r>
      <w:r>
        <w:t xml:space="preserve"> discussion paper i</w:t>
      </w:r>
      <w:r w:rsidR="008F3401" w:rsidRPr="003539E3">
        <w:t>dentified the ‘hollowing out’ of the middle of the skill distribution within the labour market as a key factor that inhibited both the development of occupational pathways that link lower and higher skilled occupations, and educational pathways that are designed to support those occupational pathways.</w:t>
      </w:r>
      <w:r w:rsidR="00A1059F">
        <w:t xml:space="preserve"> The discussion papers followed the research’s focus</w:t>
      </w:r>
      <w:r w:rsidR="008F3401">
        <w:t xml:space="preserve"> on </w:t>
      </w:r>
      <w:r w:rsidR="00572455">
        <w:t>mid-level</w:t>
      </w:r>
      <w:r w:rsidR="008F3401">
        <w:t xml:space="preserve"> qualifications, which were defined as those that prepare graduates for para-professional occupations: diplomas at Australian Qualifications Framework (</w:t>
      </w:r>
      <w:r w:rsidR="00A77917">
        <w:t>AQF</w:t>
      </w:r>
      <w:r w:rsidR="008F3401">
        <w:t xml:space="preserve">) level 5 and advanced diplomas and associate degrees at </w:t>
      </w:r>
      <w:r w:rsidR="00A77917">
        <w:t xml:space="preserve">AQF </w:t>
      </w:r>
      <w:r w:rsidR="008F3401">
        <w:t>level 6. The discussion papers noted that mid-level qualifications have three roles, to:</w:t>
      </w:r>
    </w:p>
    <w:p w14:paraId="14B03AF5" w14:textId="77777777" w:rsidR="006B368F" w:rsidRPr="006B368F" w:rsidRDefault="006B368F" w:rsidP="00182230">
      <w:pPr>
        <w:pStyle w:val="NumberedListContinuing"/>
        <w:ind w:left="284" w:hanging="284"/>
      </w:pPr>
      <w:r w:rsidRPr="006B368F">
        <w:t>Prepare graduates for entry to the labour market</w:t>
      </w:r>
      <w:r>
        <w:t>;</w:t>
      </w:r>
    </w:p>
    <w:p w14:paraId="47D2974E" w14:textId="77777777" w:rsidR="006B368F" w:rsidRDefault="006B368F" w:rsidP="00182230">
      <w:pPr>
        <w:pStyle w:val="NumberedListContinuing"/>
        <w:ind w:left="284" w:hanging="284"/>
      </w:pPr>
      <w:r>
        <w:t>Support transitions to higher level qualifications; and,</w:t>
      </w:r>
    </w:p>
    <w:p w14:paraId="75035E0E" w14:textId="77777777" w:rsidR="008F3401" w:rsidRDefault="008F3401" w:rsidP="00182230">
      <w:pPr>
        <w:pStyle w:val="NumberedListContinuing"/>
        <w:ind w:left="284" w:hanging="284"/>
      </w:pPr>
      <w:r>
        <w:t xml:space="preserve">Widen participation in higher level qualifications by expanding access for students </w:t>
      </w:r>
      <w:r w:rsidR="006B368F">
        <w:t>from disadvantaged backgrounds.</w:t>
      </w:r>
    </w:p>
    <w:p w14:paraId="1D3C2D4F" w14:textId="064DECF5" w:rsidR="008F3401" w:rsidRPr="00A1059F" w:rsidRDefault="008F3401" w:rsidP="00A1059F">
      <w:pPr>
        <w:pStyle w:val="Dotpoint1"/>
        <w:numPr>
          <w:ilvl w:val="0"/>
          <w:numId w:val="0"/>
        </w:numPr>
      </w:pPr>
      <w:r w:rsidRPr="00A1059F">
        <w:t>The disc</w:t>
      </w:r>
      <w:r w:rsidR="00A1059F" w:rsidRPr="00A1059F">
        <w:t xml:space="preserve">ussion papers note that all </w:t>
      </w:r>
      <w:r w:rsidR="00572455">
        <w:t>mid-level</w:t>
      </w:r>
      <w:r w:rsidRPr="00A1059F">
        <w:t xml:space="preserve"> qualifications should fulfil each function, but the balance between them would differ according to students’ interest, the labour market served by the qualification, and decisions by educators.</w:t>
      </w:r>
    </w:p>
    <w:p w14:paraId="0D117A17" w14:textId="26FC917B" w:rsidR="009E18C7" w:rsidRPr="00A1059F" w:rsidRDefault="00A1059F" w:rsidP="00A1059F">
      <w:pPr>
        <w:pStyle w:val="Dotpoint1"/>
        <w:numPr>
          <w:ilvl w:val="0"/>
          <w:numId w:val="0"/>
        </w:numPr>
      </w:pPr>
      <w:r>
        <w:t>The discussion papers a</w:t>
      </w:r>
      <w:r w:rsidR="009E18C7" w:rsidRPr="009D7FB9">
        <w:t>nalysed</w:t>
      </w:r>
      <w:r w:rsidR="009E18C7" w:rsidRPr="00A1059F">
        <w:t xml:space="preserve"> the key challenges of each industry, employment outcomes for </w:t>
      </w:r>
      <w:r w:rsidR="00C9052F" w:rsidRPr="00A1059F">
        <w:t>VET</w:t>
      </w:r>
      <w:r w:rsidR="009E18C7" w:rsidRPr="00A1059F">
        <w:t xml:space="preserve"> and higher education graduates within that industry, the link between qualifications and occupations within the industry and the nature of occupational pathways within each industry. </w:t>
      </w:r>
      <w:r>
        <w:t>The</w:t>
      </w:r>
      <w:r w:rsidR="00C0017E">
        <w:t>y</w:t>
      </w:r>
      <w:r>
        <w:t xml:space="preserve"> p</w:t>
      </w:r>
      <w:r w:rsidR="009E18C7" w:rsidRPr="009D7FB9">
        <w:t>resented</w:t>
      </w:r>
      <w:r w:rsidR="009E18C7">
        <w:rPr>
          <w:color w:val="auto"/>
        </w:rPr>
        <w:t xml:space="preserve"> proposals for the potential for vocational streams within each industry.</w:t>
      </w:r>
    </w:p>
    <w:p w14:paraId="72858145" w14:textId="36E92875" w:rsidR="005C1B6C" w:rsidRPr="00A1059F" w:rsidRDefault="00A1059F" w:rsidP="00A1059F">
      <w:pPr>
        <w:pStyle w:val="Dotpoint1"/>
        <w:numPr>
          <w:ilvl w:val="0"/>
          <w:numId w:val="0"/>
        </w:numPr>
      </w:pPr>
      <w:r>
        <w:t>The team a</w:t>
      </w:r>
      <w:r w:rsidR="006B368F" w:rsidRPr="009D7FB9">
        <w:t>sked</w:t>
      </w:r>
      <w:r w:rsidR="006B368F" w:rsidRPr="00A1059F">
        <w:t xml:space="preserve"> similar questions of interviewees. However,</w:t>
      </w:r>
      <w:r w:rsidR="005C1B6C" w:rsidRPr="00A1059F">
        <w:t xml:space="preserve"> the</w:t>
      </w:r>
      <w:r w:rsidR="00A45E60" w:rsidRPr="00A1059F">
        <w:t xml:space="preserve"> broader</w:t>
      </w:r>
      <w:r w:rsidR="005C1B6C" w:rsidRPr="00A1059F">
        <w:t xml:space="preserve"> discussion paper for senior </w:t>
      </w:r>
      <w:r w:rsidR="00C9052F" w:rsidRPr="00A1059F">
        <w:t>VET</w:t>
      </w:r>
      <w:r w:rsidR="005C1B6C" w:rsidRPr="00A1059F">
        <w:t xml:space="preserve"> </w:t>
      </w:r>
      <w:r w:rsidR="00A77917" w:rsidRPr="00A1059F">
        <w:t xml:space="preserve">officials </w:t>
      </w:r>
      <w:r w:rsidR="005C1B6C" w:rsidRPr="00A1059F">
        <w:t>asked slightly different questions</w:t>
      </w:r>
      <w:r w:rsidR="006B368F" w:rsidRPr="00A1059F">
        <w:t>. E</w:t>
      </w:r>
      <w:r w:rsidR="005C1B6C" w:rsidRPr="00A1059F">
        <w:t>ach industry case study discussion paper used the following questi</w:t>
      </w:r>
      <w:r>
        <w:t xml:space="preserve">ons as a framework for the semi </w:t>
      </w:r>
      <w:r w:rsidR="005C1B6C" w:rsidRPr="00A1059F">
        <w:t>structured interviews:</w:t>
      </w:r>
    </w:p>
    <w:p w14:paraId="06BD27C2" w14:textId="5DE8E8FF" w:rsidR="00937DA6" w:rsidRDefault="00937DA6" w:rsidP="002C6037">
      <w:pPr>
        <w:pStyle w:val="NumberedListContinuing"/>
        <w:numPr>
          <w:ilvl w:val="0"/>
          <w:numId w:val="7"/>
        </w:numPr>
        <w:ind w:left="284" w:hanging="284"/>
      </w:pPr>
      <w:r>
        <w:t>Given the nature of skill formation within your industry, what</w:t>
      </w:r>
      <w:r w:rsidR="00762D79">
        <w:t xml:space="preserve"> should the main purpose of </w:t>
      </w:r>
      <w:r w:rsidR="00572455">
        <w:t>mid-level</w:t>
      </w:r>
      <w:r>
        <w:t xml:space="preserve"> qualifications be?</w:t>
      </w:r>
    </w:p>
    <w:p w14:paraId="21AB0256" w14:textId="77777777" w:rsidR="00937DA6" w:rsidRDefault="00937DA6" w:rsidP="00182230">
      <w:pPr>
        <w:pStyle w:val="NumberedListContinuing"/>
        <w:ind w:left="284" w:hanging="284"/>
      </w:pPr>
      <w:r>
        <w:t>What should be the ‘logic’ of qualifications in your industry? All qualifications need to achieve three purposes: as a labour market entry qualification, to progress to higher level studies, and to widen access to higher level studies for students from disadvantaged backgrounds. What should be the balance in your industry and why? What is the best way to achieve this balance?</w:t>
      </w:r>
    </w:p>
    <w:p w14:paraId="3885744F" w14:textId="77777777" w:rsidR="00937DA6" w:rsidRDefault="00937DA6" w:rsidP="00182230">
      <w:pPr>
        <w:pStyle w:val="NumberedListContinuing"/>
        <w:ind w:left="284" w:hanging="284"/>
      </w:pPr>
      <w:r>
        <w:t xml:space="preserve">Is there potential for basing qualifications on vocational streams in your industry? Are there occupations that </w:t>
      </w:r>
      <w:r w:rsidR="009E18C7">
        <w:t>a</w:t>
      </w:r>
      <w:r>
        <w:t>re linked by commonalities in knowledge, skills and attributes? If there are, could you please elaborate on which occupations you are thinking of and how they are linked?</w:t>
      </w:r>
    </w:p>
    <w:p w14:paraId="72CBD715" w14:textId="77777777" w:rsidR="00937DA6" w:rsidRDefault="00937DA6" w:rsidP="00182230">
      <w:pPr>
        <w:pStyle w:val="NumberedListContinuing"/>
        <w:ind w:left="284" w:hanging="284"/>
      </w:pPr>
      <w:r>
        <w:t>Is there potential for qualifications to be based on capabilities in your sector? In particular, can the capabilities approach help devise relevant, quality qualifications for mid-level jobs?</w:t>
      </w:r>
    </w:p>
    <w:p w14:paraId="11073F69" w14:textId="77777777" w:rsidR="00937DA6" w:rsidRDefault="00937DA6" w:rsidP="00182230">
      <w:pPr>
        <w:pStyle w:val="NumberedListContinuing"/>
        <w:ind w:left="284" w:hanging="284"/>
      </w:pPr>
      <w:r>
        <w:t>How could qualifications be developed and implemented? What would they look like? Who needs to be involved?</w:t>
      </w:r>
    </w:p>
    <w:p w14:paraId="5E185F82" w14:textId="77777777" w:rsidR="00937DA6" w:rsidRDefault="00937DA6" w:rsidP="00182230">
      <w:pPr>
        <w:pStyle w:val="NumberedListContinuing"/>
        <w:ind w:left="284" w:hanging="284"/>
      </w:pPr>
      <w:r>
        <w:t>What would need to change to implement this approach? Who would need to be involved? What strategies would you recommend?</w:t>
      </w:r>
    </w:p>
    <w:p w14:paraId="6814D930" w14:textId="3F01F964" w:rsidR="001F5BD9" w:rsidRPr="008F52C8" w:rsidRDefault="001F5BD9" w:rsidP="001F5BD9">
      <w:pPr>
        <w:pStyle w:val="NumberedListContinuing"/>
        <w:numPr>
          <w:ilvl w:val="0"/>
          <w:numId w:val="0"/>
        </w:numPr>
      </w:pPr>
      <w:r>
        <w:t xml:space="preserve">The outcomes of each case study are reported in the chapters that follow. This includes an explanation of the </w:t>
      </w:r>
      <w:r w:rsidR="00762D79">
        <w:t>methods used in each case study</w:t>
      </w:r>
      <w:r>
        <w:t xml:space="preserve"> and an indication of the </w:t>
      </w:r>
      <w:r w:rsidR="00C9052F">
        <w:t xml:space="preserve">number and </w:t>
      </w:r>
      <w:r>
        <w:t xml:space="preserve">type of </w:t>
      </w:r>
      <w:r>
        <w:lastRenderedPageBreak/>
        <w:t xml:space="preserve">interviewees who were interviewed. Strand 2 did not identify interviewees in reporting on the case studies because this was an undertaking given to them at the </w:t>
      </w:r>
      <w:r w:rsidR="00762D79">
        <w:t>start</w:t>
      </w:r>
      <w:r>
        <w:t xml:space="preserve"> of the interviews, and because the issues we canvassed with them were quite controversial. A commitment for anonymity allowed interviewees to speak freely about their views on these issues. In contrast, Strand 3 was able to identify interviewees in their report because of their different focus and the different kinds of questions they explored with interviewees.</w:t>
      </w:r>
    </w:p>
    <w:p w14:paraId="02DCF3E9" w14:textId="38CB6380" w:rsidR="008F3401" w:rsidRDefault="006A2B21" w:rsidP="009E18C7">
      <w:pPr>
        <w:pStyle w:val="Dotpoint1"/>
        <w:numPr>
          <w:ilvl w:val="0"/>
          <w:numId w:val="0"/>
        </w:numPr>
        <w:rPr>
          <w:color w:val="auto"/>
        </w:rPr>
      </w:pPr>
      <w:r>
        <w:rPr>
          <w:color w:val="auto"/>
        </w:rPr>
        <w:t>Each case study reports on the enrolment, employment and further study outcomes at two levels. It includes an analysis of the broad field of education that incorporates our case study industries, and the specific narrow field of education</w:t>
      </w:r>
      <w:r w:rsidR="00BE6EE0">
        <w:rPr>
          <w:color w:val="auto"/>
        </w:rPr>
        <w:t xml:space="preserve"> that is associated with our ca</w:t>
      </w:r>
      <w:r>
        <w:rPr>
          <w:color w:val="auto"/>
        </w:rPr>
        <w:t>se study industry. The broad and narrow fie</w:t>
      </w:r>
      <w:r w:rsidR="00762D79">
        <w:rPr>
          <w:color w:val="auto"/>
        </w:rPr>
        <w:t>lds of education for each case study are as follows.</w:t>
      </w:r>
    </w:p>
    <w:p w14:paraId="7185F394" w14:textId="77777777" w:rsidR="006A2B21" w:rsidRDefault="006A2B21" w:rsidP="00762D79">
      <w:pPr>
        <w:pStyle w:val="Dotpoint1"/>
        <w:numPr>
          <w:ilvl w:val="0"/>
          <w:numId w:val="0"/>
        </w:numPr>
        <w:ind w:left="360" w:hanging="360"/>
        <w:rPr>
          <w:color w:val="auto"/>
        </w:rPr>
      </w:pPr>
      <w:r>
        <w:rPr>
          <w:color w:val="auto"/>
        </w:rPr>
        <w:t>In the health and community services industries</w:t>
      </w:r>
      <w:r w:rsidR="00BE6EE0">
        <w:rPr>
          <w:color w:val="auto"/>
        </w:rPr>
        <w:t>:</w:t>
      </w:r>
    </w:p>
    <w:p w14:paraId="3ADE6EFA" w14:textId="09106DCD" w:rsidR="006A2B21" w:rsidRDefault="006A2B21" w:rsidP="00330B88">
      <w:pPr>
        <w:pStyle w:val="Dotpoint2"/>
        <w:ind w:left="568" w:hanging="284"/>
        <w:rPr>
          <w:color w:val="auto"/>
        </w:rPr>
      </w:pPr>
      <w:r>
        <w:rPr>
          <w:color w:val="auto"/>
        </w:rPr>
        <w:t xml:space="preserve">Health is </w:t>
      </w:r>
      <w:r w:rsidRPr="00330B88">
        <w:t>the</w:t>
      </w:r>
      <w:r>
        <w:rPr>
          <w:color w:val="auto"/>
        </w:rPr>
        <w:t xml:space="preserve"> broad field of education and nursing is the narrow field of education</w:t>
      </w:r>
      <w:r w:rsidR="00762D79">
        <w:rPr>
          <w:color w:val="auto"/>
        </w:rPr>
        <w:t>;</w:t>
      </w:r>
    </w:p>
    <w:p w14:paraId="0254411E" w14:textId="565101A7" w:rsidR="006A2B21" w:rsidRDefault="006A2B21" w:rsidP="00330B88">
      <w:pPr>
        <w:pStyle w:val="Dotpoint2"/>
        <w:ind w:left="568" w:hanging="284"/>
        <w:rPr>
          <w:color w:val="auto"/>
        </w:rPr>
      </w:pPr>
      <w:r>
        <w:rPr>
          <w:color w:val="auto"/>
        </w:rPr>
        <w:t xml:space="preserve">Society and culture is the broad field of education and human welfare and services is the narrow field of education which is associated with many community services </w:t>
      </w:r>
      <w:r w:rsidR="00330B88">
        <w:rPr>
          <w:color w:val="auto"/>
        </w:rPr>
        <w:t>jobs</w:t>
      </w:r>
      <w:r w:rsidR="00762D79">
        <w:rPr>
          <w:color w:val="auto"/>
        </w:rPr>
        <w:t>.</w:t>
      </w:r>
    </w:p>
    <w:p w14:paraId="7552DCA2" w14:textId="77777777" w:rsidR="006A2B21" w:rsidRDefault="006A2B21" w:rsidP="00762D79">
      <w:pPr>
        <w:pStyle w:val="Dotpoint1"/>
        <w:numPr>
          <w:ilvl w:val="0"/>
          <w:numId w:val="0"/>
        </w:numPr>
        <w:ind w:left="360" w:hanging="360"/>
        <w:rPr>
          <w:color w:val="auto"/>
        </w:rPr>
      </w:pPr>
      <w:r>
        <w:rPr>
          <w:color w:val="auto"/>
        </w:rPr>
        <w:t>In agriculture</w:t>
      </w:r>
      <w:r w:rsidR="00BE6EE0">
        <w:rPr>
          <w:color w:val="auto"/>
        </w:rPr>
        <w:t>:</w:t>
      </w:r>
    </w:p>
    <w:p w14:paraId="06E730AA" w14:textId="7CB935A3" w:rsidR="006A2B21" w:rsidRPr="006A2B21" w:rsidRDefault="006A2B21" w:rsidP="00330B88">
      <w:pPr>
        <w:pStyle w:val="Dotpoint2"/>
        <w:ind w:left="568" w:hanging="284"/>
        <w:rPr>
          <w:color w:val="auto"/>
        </w:rPr>
      </w:pPr>
      <w:r w:rsidRPr="00330B88">
        <w:t>Agriculture</w:t>
      </w:r>
      <w:r w:rsidRPr="006A2B21">
        <w:t>, environmental and related studies</w:t>
      </w:r>
      <w:r>
        <w:t xml:space="preserve"> is the broad field of education, while agriculture is the narrow field of education</w:t>
      </w:r>
      <w:r w:rsidR="00762D79">
        <w:t>.</w:t>
      </w:r>
    </w:p>
    <w:p w14:paraId="6E428CE6" w14:textId="77777777" w:rsidR="006A2B21" w:rsidRDefault="006A2B21" w:rsidP="00762D79">
      <w:pPr>
        <w:pStyle w:val="Dotpoint1"/>
        <w:numPr>
          <w:ilvl w:val="0"/>
          <w:numId w:val="0"/>
        </w:numPr>
        <w:ind w:left="360" w:hanging="360"/>
        <w:rPr>
          <w:color w:val="auto"/>
        </w:rPr>
      </w:pPr>
      <w:r>
        <w:rPr>
          <w:color w:val="auto"/>
        </w:rPr>
        <w:t>In engineering:</w:t>
      </w:r>
    </w:p>
    <w:p w14:paraId="0A2434AA" w14:textId="684BA37A" w:rsidR="006A2B21" w:rsidRPr="006A2B21" w:rsidRDefault="00BE6EE0" w:rsidP="00330B88">
      <w:pPr>
        <w:pStyle w:val="Dotpoint2"/>
        <w:ind w:left="568" w:hanging="284"/>
        <w:rPr>
          <w:color w:val="auto"/>
        </w:rPr>
      </w:pPr>
      <w:r w:rsidRPr="00330B88">
        <w:t>Engineering</w:t>
      </w:r>
      <w:r>
        <w:rPr>
          <w:color w:val="auto"/>
        </w:rPr>
        <w:t xml:space="preserve"> and related technologies is the broad field of education, while the two narrow fields of education are process and resources engineering</w:t>
      </w:r>
      <w:r w:rsidR="000F1874">
        <w:rPr>
          <w:color w:val="auto"/>
        </w:rPr>
        <w:t>,</w:t>
      </w:r>
      <w:r>
        <w:rPr>
          <w:color w:val="auto"/>
        </w:rPr>
        <w:t xml:space="preserve"> and electrical and electr</w:t>
      </w:r>
      <w:r w:rsidR="001F5BD9">
        <w:rPr>
          <w:color w:val="auto"/>
        </w:rPr>
        <w:t>onic engineering and technology</w:t>
      </w:r>
      <w:r w:rsidR="00762D79">
        <w:rPr>
          <w:color w:val="auto"/>
        </w:rPr>
        <w:t>.</w:t>
      </w:r>
    </w:p>
    <w:p w14:paraId="2A0520D2" w14:textId="77777777" w:rsidR="00BE6EE0" w:rsidRDefault="00BE6EE0" w:rsidP="00762D79">
      <w:pPr>
        <w:pStyle w:val="Dotpoint1"/>
        <w:numPr>
          <w:ilvl w:val="0"/>
          <w:numId w:val="0"/>
        </w:numPr>
        <w:ind w:left="360" w:hanging="360"/>
        <w:rPr>
          <w:color w:val="auto"/>
        </w:rPr>
      </w:pPr>
      <w:r>
        <w:rPr>
          <w:color w:val="auto"/>
        </w:rPr>
        <w:t>In the financial services industry:</w:t>
      </w:r>
    </w:p>
    <w:p w14:paraId="21C8E192" w14:textId="77777777" w:rsidR="00BE6EE0" w:rsidRDefault="00BE6EE0" w:rsidP="00330B88">
      <w:pPr>
        <w:pStyle w:val="Dotpoint2"/>
        <w:ind w:left="568" w:hanging="284"/>
        <w:rPr>
          <w:color w:val="auto"/>
        </w:rPr>
      </w:pPr>
      <w:r w:rsidRPr="00330B88">
        <w:t>Management</w:t>
      </w:r>
      <w:r>
        <w:rPr>
          <w:color w:val="auto"/>
        </w:rPr>
        <w:t xml:space="preserve"> and commerce is the broad field of education, while banking and finance is the narrow field of education.</w:t>
      </w:r>
    </w:p>
    <w:p w14:paraId="50329BF2" w14:textId="55CDFE4E" w:rsidR="00330B88" w:rsidRDefault="00330B88" w:rsidP="00330B88">
      <w:pPr>
        <w:pStyle w:val="Text"/>
      </w:pPr>
      <w:r>
        <w:t xml:space="preserve">Analysis of these data allowed us to answer the following questions in </w:t>
      </w:r>
      <w:r w:rsidR="00F75AE5">
        <w:t xml:space="preserve">the </w:t>
      </w:r>
      <w:r>
        <w:t>case study</w:t>
      </w:r>
      <w:r w:rsidR="000F1874">
        <w:t>:</w:t>
      </w:r>
      <w:r w:rsidR="00862AD4">
        <w:t xml:space="preserve"> </w:t>
      </w:r>
      <w:r>
        <w:t xml:space="preserve"> </w:t>
      </w:r>
      <w:r w:rsidR="000F1874">
        <w:t>T</w:t>
      </w:r>
      <w:r>
        <w:t xml:space="preserve">o what </w:t>
      </w:r>
      <w:proofErr w:type="gramStart"/>
      <w:r>
        <w:t>extent do</w:t>
      </w:r>
      <w:proofErr w:type="gramEnd"/>
      <w:r>
        <w:t xml:space="preserve"> mid-level qualifications within the field of study provide students with a qualification</w:t>
      </w:r>
      <w:r w:rsidR="000F1874">
        <w:t xml:space="preserve"> -</w:t>
      </w:r>
    </w:p>
    <w:p w14:paraId="4095816F" w14:textId="77777777" w:rsidR="00330B88" w:rsidRDefault="00330B88" w:rsidP="002C6037">
      <w:pPr>
        <w:pStyle w:val="NumberedListContinuing"/>
        <w:numPr>
          <w:ilvl w:val="0"/>
          <w:numId w:val="4"/>
        </w:numPr>
        <w:ind w:left="284" w:hanging="284"/>
      </w:pPr>
      <w:r>
        <w:t>They can use in the labour market? A subsidiary question is: to what extent do qualifications in the field of study allow students to enter occupations associated with their qualification?</w:t>
      </w:r>
    </w:p>
    <w:p w14:paraId="42935617" w14:textId="77777777" w:rsidR="00330B88" w:rsidRDefault="00330B88" w:rsidP="002C6037">
      <w:pPr>
        <w:pStyle w:val="NumberedListContinuing"/>
        <w:numPr>
          <w:ilvl w:val="0"/>
          <w:numId w:val="4"/>
        </w:numPr>
        <w:ind w:left="284" w:hanging="284"/>
      </w:pPr>
      <w:r>
        <w:t>That will allow them to undertake further studies?</w:t>
      </w:r>
    </w:p>
    <w:p w14:paraId="295A973C" w14:textId="52DCE7FA" w:rsidR="00330B88" w:rsidRDefault="00330B88" w:rsidP="002C6037">
      <w:pPr>
        <w:pStyle w:val="NumberedListContinuing"/>
        <w:numPr>
          <w:ilvl w:val="0"/>
          <w:numId w:val="4"/>
        </w:numPr>
        <w:ind w:left="284" w:hanging="284"/>
      </w:pPr>
      <w:r>
        <w:t xml:space="preserve">That supports </w:t>
      </w:r>
      <w:r w:rsidR="00A45E60">
        <w:t xml:space="preserve">equity and </w:t>
      </w:r>
      <w:r>
        <w:t>social mobili</w:t>
      </w:r>
      <w:r w:rsidR="00762D79">
        <w:t xml:space="preserve">ty by widening access to higher </w:t>
      </w:r>
      <w:r>
        <w:t>level studies for students from disadvantaged backgrounds?</w:t>
      </w:r>
    </w:p>
    <w:p w14:paraId="13689B56" w14:textId="79698DDA" w:rsidR="00A45E60" w:rsidRDefault="003946DD" w:rsidP="008E6A21">
      <w:pPr>
        <w:pStyle w:val="NumberedListContinuing"/>
        <w:numPr>
          <w:ilvl w:val="0"/>
          <w:numId w:val="0"/>
        </w:numPr>
      </w:pPr>
      <w:r>
        <w:t>In addressing the last question, the case studies use t</w:t>
      </w:r>
      <w:r w:rsidR="00A45E60">
        <w:t xml:space="preserve">he Australian Bureau of Statistics Index of Education and Occupations in the Socio-Economic Indexes for Areas to measure the percentage of students from low socio-economic backgrounds. This particular index is used because it is the same </w:t>
      </w:r>
      <w:r w:rsidR="00706D4A">
        <w:t>as the index</w:t>
      </w:r>
      <w:r w:rsidR="00A45E60">
        <w:t xml:space="preserve"> used in higher education to determine the socio-economic background of higher education students.</w:t>
      </w:r>
      <w:r>
        <w:t xml:space="preserve"> The case studies explore the extent to which students from the lowest 40 per cent, or the two most disadvantaged socio-economic quintiles, are represented in qualifications in the broad and narrow fields of education. </w:t>
      </w:r>
    </w:p>
    <w:p w14:paraId="2F1BF11C" w14:textId="77777777" w:rsidR="004E3A30" w:rsidRDefault="004E3A30" w:rsidP="00182230">
      <w:pPr>
        <w:pStyle w:val="Dotpoint1"/>
        <w:numPr>
          <w:ilvl w:val="0"/>
          <w:numId w:val="0"/>
        </w:numPr>
        <w:rPr>
          <w:rFonts w:ascii="Tahoma" w:hAnsi="Tahoma" w:cs="Tahoma"/>
          <w:kern w:val="28"/>
          <w:sz w:val="56"/>
          <w:szCs w:val="56"/>
        </w:rPr>
      </w:pPr>
      <w:r>
        <w:br w:type="page"/>
      </w:r>
    </w:p>
    <w:p w14:paraId="5DFD81DB" w14:textId="77777777" w:rsidR="009E231A" w:rsidRPr="005C2FCF" w:rsidRDefault="009932F1" w:rsidP="008C0A74">
      <w:pPr>
        <w:pStyle w:val="Heading1"/>
      </w:pPr>
      <w:bookmarkStart w:id="17" w:name="_Toc257836737"/>
      <w:r>
        <w:lastRenderedPageBreak/>
        <w:t>H</w:t>
      </w:r>
      <w:r w:rsidR="00052C93">
        <w:t>ealth and community services</w:t>
      </w:r>
      <w:bookmarkEnd w:id="17"/>
    </w:p>
    <w:p w14:paraId="616BA1B9" w14:textId="66A96708" w:rsidR="0010599E" w:rsidRDefault="00504ABE" w:rsidP="0048643A">
      <w:pPr>
        <w:pStyle w:val="Text"/>
      </w:pPr>
      <w:r>
        <w:t xml:space="preserve">This case study explores the nature of vocational streams and the potential for the capabilities approach in </w:t>
      </w:r>
      <w:r w:rsidR="00581227">
        <w:t xml:space="preserve">the </w:t>
      </w:r>
      <w:r>
        <w:t>health and community services</w:t>
      </w:r>
      <w:r w:rsidR="00581227">
        <w:t xml:space="preserve"> industries</w:t>
      </w:r>
      <w:r>
        <w:t xml:space="preserve">. It focuses on nursing in health, while it </w:t>
      </w:r>
      <w:r w:rsidR="00581227">
        <w:t>focuse</w:t>
      </w:r>
      <w:r>
        <w:t>s</w:t>
      </w:r>
      <w:r w:rsidR="00581227">
        <w:t xml:space="preserve"> on</w:t>
      </w:r>
      <w:r>
        <w:t xml:space="preserve"> </w:t>
      </w:r>
      <w:r w:rsidR="00581227">
        <w:t xml:space="preserve">a </w:t>
      </w:r>
      <w:r>
        <w:t xml:space="preserve">range of occupations in community services </w:t>
      </w:r>
      <w:r w:rsidR="00581227">
        <w:t>including</w:t>
      </w:r>
      <w:r>
        <w:t xml:space="preserve"> aged care, disability support, </w:t>
      </w:r>
      <w:r w:rsidR="000B7A55">
        <w:t>and related care occupations</w:t>
      </w:r>
      <w:r>
        <w:t xml:space="preserve">. </w:t>
      </w:r>
      <w:r w:rsidR="0010599E">
        <w:t>Strand 3 analys</w:t>
      </w:r>
      <w:r w:rsidR="000F1874">
        <w:t>ed</w:t>
      </w:r>
      <w:r w:rsidR="0010599E">
        <w:t xml:space="preserve"> all types of occupations within health and community services and the broad relationship between occupations that require higher education and vocational education qualifications as the labour market entry requirements. </w:t>
      </w:r>
      <w:r w:rsidR="00205D84">
        <w:t>Strand 2’s</w:t>
      </w:r>
      <w:r w:rsidR="006B368F">
        <w:t xml:space="preserve"> analysis </w:t>
      </w:r>
      <w:r w:rsidR="008C4970">
        <w:t xml:space="preserve">therefore </w:t>
      </w:r>
      <w:r w:rsidR="006B368F">
        <w:t>complements Strand 3’s analysis.</w:t>
      </w:r>
    </w:p>
    <w:p w14:paraId="79281703" w14:textId="162B7079" w:rsidR="00504ABE" w:rsidRDefault="00504ABE" w:rsidP="0048643A">
      <w:pPr>
        <w:pStyle w:val="Text"/>
      </w:pPr>
      <w:r>
        <w:t xml:space="preserve">The first section </w:t>
      </w:r>
      <w:r w:rsidR="00F24CE1">
        <w:t>analyses the challenges facing the health and community services industries, and this include</w:t>
      </w:r>
      <w:r w:rsidR="008C4970">
        <w:t xml:space="preserve">s a discussion of </w:t>
      </w:r>
      <w:r w:rsidR="00F24CE1">
        <w:t>the structure of the labour market and its long-term trajectory. This is followed by a discussion of employment rates for</w:t>
      </w:r>
      <w:r w:rsidR="00ED7344">
        <w:t xml:space="preserve"> vocational education and training</w:t>
      </w:r>
      <w:r w:rsidR="00703F25">
        <w:t xml:space="preserve"> graduates in</w:t>
      </w:r>
      <w:r w:rsidR="00F24CE1">
        <w:t xml:space="preserve"> different occupations within these industries, the extent to which </w:t>
      </w:r>
      <w:r w:rsidR="00ED7344">
        <w:t xml:space="preserve">they </w:t>
      </w:r>
      <w:r w:rsidR="00F24CE1">
        <w:t xml:space="preserve">work in the occupations directly associated with their qualifications, and the extent to which </w:t>
      </w:r>
      <w:r w:rsidR="00ED7344">
        <w:t xml:space="preserve">VET </w:t>
      </w:r>
      <w:r w:rsidR="00F24CE1">
        <w:t>graduates proceed to further study.</w:t>
      </w:r>
      <w:r w:rsidR="009727E9">
        <w:t xml:space="preserve"> The next section explores whether there is support for vocational streams and the capabilities approach within the health</w:t>
      </w:r>
      <w:r w:rsidR="00581227">
        <w:t xml:space="preserve"> and community services industries</w:t>
      </w:r>
      <w:r w:rsidR="009727E9">
        <w:t xml:space="preserve">. The particular dilemma it addresses </w:t>
      </w:r>
      <w:r w:rsidR="00715C6A">
        <w:t xml:space="preserve">is </w:t>
      </w:r>
      <w:r w:rsidR="00D45A84">
        <w:t xml:space="preserve">whether </w:t>
      </w:r>
      <w:r w:rsidR="009727E9">
        <w:t>there is support for a general ‘care’ vocational stream that includes nursing and occupations such as aged care, disability support, mental health support and related occupations or whether nursing should be considered as a vocatio</w:t>
      </w:r>
      <w:r w:rsidR="008C4970">
        <w:t>nal stream separate</w:t>
      </w:r>
      <w:r w:rsidR="009727E9">
        <w:t xml:space="preserve"> from other general ‘care’ occupations. </w:t>
      </w:r>
    </w:p>
    <w:p w14:paraId="1207C202" w14:textId="1371BCB9" w:rsidR="00581227" w:rsidRPr="00581227" w:rsidRDefault="00581227" w:rsidP="0048643A">
      <w:pPr>
        <w:pStyle w:val="Text"/>
      </w:pPr>
      <w:r>
        <w:t xml:space="preserve">The methods used in this case study include desk-top research of policy and industry </w:t>
      </w:r>
      <w:r w:rsidR="00DD634A">
        <w:t>doc</w:t>
      </w:r>
      <w:r w:rsidR="008C4970">
        <w:t>uments and relevant research,</w:t>
      </w:r>
      <w:r>
        <w:t xml:space="preserve"> statistical analysis of </w:t>
      </w:r>
      <w:r w:rsidR="00D45A84">
        <w:t>NCVER’s students and courses reports and student outcomes surveys</w:t>
      </w:r>
      <w:r w:rsidR="000708BA">
        <w:t>, and the higher education student statistics collection.</w:t>
      </w:r>
      <w:r>
        <w:t xml:space="preserve"> </w:t>
      </w:r>
      <w:r w:rsidR="00DD634A">
        <w:t xml:space="preserve">It included 10 </w:t>
      </w:r>
      <w:r>
        <w:t>interviews with employers</w:t>
      </w:r>
      <w:r w:rsidR="00DD634A">
        <w:t xml:space="preserve"> of graduates in health and community services</w:t>
      </w:r>
      <w:r>
        <w:t>, professional bodies, and educators in higher education and VET in these industries.</w:t>
      </w:r>
      <w:r w:rsidR="00DD634A">
        <w:t xml:space="preserve"> The interviews were held either in person or by phone. Interviewees included</w:t>
      </w:r>
      <w:r>
        <w:t>:</w:t>
      </w:r>
    </w:p>
    <w:p w14:paraId="4EAA7A34" w14:textId="77777777" w:rsidR="00581227" w:rsidRPr="00937731" w:rsidRDefault="00581227" w:rsidP="00937731">
      <w:pPr>
        <w:pStyle w:val="Dotpoint1"/>
        <w:ind w:left="284" w:hanging="284"/>
        <w:rPr>
          <w:color w:val="auto"/>
        </w:rPr>
      </w:pPr>
      <w:r w:rsidRPr="00937731">
        <w:rPr>
          <w:color w:val="auto"/>
        </w:rPr>
        <w:t>A representative from a large union who is also on the board of a relevant industry advisory body</w:t>
      </w:r>
      <w:r w:rsidR="00715C6A">
        <w:rPr>
          <w:color w:val="auto"/>
        </w:rPr>
        <w:t>;</w:t>
      </w:r>
    </w:p>
    <w:p w14:paraId="7D1EEE8F" w14:textId="77777777" w:rsidR="00581227" w:rsidRPr="00937731" w:rsidRDefault="00581227" w:rsidP="00937731">
      <w:pPr>
        <w:pStyle w:val="Dotpoint1"/>
        <w:ind w:left="284" w:hanging="284"/>
        <w:rPr>
          <w:color w:val="auto"/>
        </w:rPr>
      </w:pPr>
      <w:r w:rsidRPr="00937731">
        <w:rPr>
          <w:color w:val="auto"/>
        </w:rPr>
        <w:t>A representative of a relevant professional body with responsibility for accredit</w:t>
      </w:r>
      <w:r w:rsidR="00715C6A">
        <w:rPr>
          <w:color w:val="auto"/>
        </w:rPr>
        <w:t>ing</w:t>
      </w:r>
      <w:r w:rsidRPr="00937731">
        <w:rPr>
          <w:color w:val="auto"/>
        </w:rPr>
        <w:t xml:space="preserve"> </w:t>
      </w:r>
      <w:r w:rsidR="00C84554" w:rsidRPr="00937731">
        <w:rPr>
          <w:color w:val="auto"/>
        </w:rPr>
        <w:t xml:space="preserve">professional </w:t>
      </w:r>
      <w:r w:rsidRPr="00937731">
        <w:rPr>
          <w:color w:val="auto"/>
        </w:rPr>
        <w:t xml:space="preserve">courses in higher education and continuing professional development for </w:t>
      </w:r>
      <w:r w:rsidR="00140621" w:rsidRPr="00937731">
        <w:rPr>
          <w:color w:val="auto"/>
        </w:rPr>
        <w:t xml:space="preserve">its </w:t>
      </w:r>
      <w:r w:rsidRPr="00937731">
        <w:rPr>
          <w:color w:val="auto"/>
        </w:rPr>
        <w:t>members</w:t>
      </w:r>
      <w:r w:rsidR="00715C6A">
        <w:rPr>
          <w:color w:val="auto"/>
        </w:rPr>
        <w:t>;</w:t>
      </w:r>
    </w:p>
    <w:p w14:paraId="26B2E3B4" w14:textId="77777777" w:rsidR="00581227" w:rsidRPr="00937731" w:rsidRDefault="00581227" w:rsidP="00937731">
      <w:pPr>
        <w:pStyle w:val="Dotpoint1"/>
        <w:ind w:left="284" w:hanging="284"/>
        <w:rPr>
          <w:color w:val="auto"/>
        </w:rPr>
      </w:pPr>
      <w:r w:rsidRPr="00937731">
        <w:rPr>
          <w:color w:val="auto"/>
        </w:rPr>
        <w:t>A manager of a large youth support service in regional Australia</w:t>
      </w:r>
      <w:r w:rsidR="00715C6A">
        <w:rPr>
          <w:color w:val="auto"/>
        </w:rPr>
        <w:t>;</w:t>
      </w:r>
    </w:p>
    <w:p w14:paraId="37D63EB1" w14:textId="77777777" w:rsidR="00581227" w:rsidRPr="00937731" w:rsidRDefault="00581227" w:rsidP="00937731">
      <w:pPr>
        <w:pStyle w:val="Dotpoint1"/>
        <w:ind w:left="284" w:hanging="284"/>
        <w:rPr>
          <w:color w:val="auto"/>
        </w:rPr>
      </w:pPr>
      <w:r w:rsidRPr="00937731">
        <w:rPr>
          <w:color w:val="auto"/>
        </w:rPr>
        <w:t>The director of VET in a large aged care provider that specialises in dementia and aged care, palliative care, rehabilitation and older persons' mental health</w:t>
      </w:r>
      <w:r w:rsidR="00715C6A">
        <w:rPr>
          <w:color w:val="auto"/>
        </w:rPr>
        <w:t>;</w:t>
      </w:r>
    </w:p>
    <w:p w14:paraId="312FDF06" w14:textId="77777777" w:rsidR="00581227" w:rsidRPr="00937731" w:rsidRDefault="00581227" w:rsidP="00937731">
      <w:pPr>
        <w:pStyle w:val="Dotpoint1"/>
        <w:ind w:left="284" w:hanging="284"/>
        <w:rPr>
          <w:color w:val="auto"/>
        </w:rPr>
      </w:pPr>
      <w:r w:rsidRPr="00937731">
        <w:rPr>
          <w:color w:val="auto"/>
        </w:rPr>
        <w:t>Two senior TAFE teachers, one of whom teaches in community services while the other teaches in nursing</w:t>
      </w:r>
      <w:r w:rsidR="00715C6A">
        <w:rPr>
          <w:color w:val="auto"/>
        </w:rPr>
        <w:t>;</w:t>
      </w:r>
    </w:p>
    <w:p w14:paraId="148BB10A" w14:textId="77777777" w:rsidR="00581227" w:rsidRPr="00937731" w:rsidRDefault="00581227" w:rsidP="00937731">
      <w:pPr>
        <w:pStyle w:val="Dotpoint1"/>
        <w:ind w:left="284" w:hanging="284"/>
        <w:rPr>
          <w:color w:val="auto"/>
        </w:rPr>
      </w:pPr>
      <w:r w:rsidRPr="00937731">
        <w:rPr>
          <w:color w:val="auto"/>
        </w:rPr>
        <w:t xml:space="preserve">Two senior academics in nursing in Australian universities, one of whom is a head of school of nursing and midwifery, while the </w:t>
      </w:r>
      <w:r w:rsidR="008F52C8" w:rsidRPr="00937731">
        <w:rPr>
          <w:color w:val="auto"/>
        </w:rPr>
        <w:t>other is a senior academic in</w:t>
      </w:r>
      <w:r w:rsidRPr="00937731">
        <w:rPr>
          <w:color w:val="auto"/>
        </w:rPr>
        <w:t xml:space="preserve"> nursing </w:t>
      </w:r>
      <w:r w:rsidR="00DB2DB5" w:rsidRPr="00937731">
        <w:rPr>
          <w:color w:val="auto"/>
        </w:rPr>
        <w:t xml:space="preserve">who has </w:t>
      </w:r>
      <w:r w:rsidR="00715C6A">
        <w:rPr>
          <w:color w:val="auto"/>
        </w:rPr>
        <w:t>ha</w:t>
      </w:r>
      <w:r w:rsidR="00DB2DB5" w:rsidRPr="00937731">
        <w:rPr>
          <w:color w:val="auto"/>
        </w:rPr>
        <w:t xml:space="preserve">d a leadership role in the Australian Nursing and Midwifery Accreditation Council </w:t>
      </w:r>
      <w:r w:rsidRPr="00937731">
        <w:rPr>
          <w:color w:val="auto"/>
        </w:rPr>
        <w:t>and is now a dean of a faculty that includes nursing</w:t>
      </w:r>
      <w:r w:rsidR="00715C6A">
        <w:rPr>
          <w:color w:val="auto"/>
        </w:rPr>
        <w:t>;</w:t>
      </w:r>
    </w:p>
    <w:p w14:paraId="4E138787" w14:textId="77777777" w:rsidR="00581227" w:rsidRPr="00937731" w:rsidRDefault="00581227" w:rsidP="00937731">
      <w:pPr>
        <w:pStyle w:val="Dotpoint1"/>
        <w:ind w:left="284" w:hanging="284"/>
        <w:rPr>
          <w:color w:val="auto"/>
        </w:rPr>
      </w:pPr>
      <w:r w:rsidRPr="00937731">
        <w:rPr>
          <w:color w:val="auto"/>
        </w:rPr>
        <w:t>A pro-vice chancellor at a regional university with responsibility for health and community services</w:t>
      </w:r>
      <w:r w:rsidR="00715C6A">
        <w:rPr>
          <w:color w:val="auto"/>
        </w:rPr>
        <w:t>; and</w:t>
      </w:r>
    </w:p>
    <w:p w14:paraId="5E43170A" w14:textId="77777777" w:rsidR="00581227" w:rsidRPr="00937731" w:rsidRDefault="00581227" w:rsidP="00937731">
      <w:pPr>
        <w:pStyle w:val="Dotpoint1"/>
        <w:ind w:left="284" w:hanging="284"/>
        <w:rPr>
          <w:color w:val="auto"/>
        </w:rPr>
      </w:pPr>
      <w:r w:rsidRPr="00937731">
        <w:rPr>
          <w:color w:val="auto"/>
        </w:rPr>
        <w:t>An academic teaching in the social sciences in a regional university</w:t>
      </w:r>
      <w:r w:rsidR="00715C6A">
        <w:rPr>
          <w:color w:val="auto"/>
        </w:rPr>
        <w:t>.</w:t>
      </w:r>
      <w:r w:rsidRPr="00937731">
        <w:rPr>
          <w:color w:val="auto"/>
        </w:rPr>
        <w:t xml:space="preserve"> </w:t>
      </w:r>
    </w:p>
    <w:p w14:paraId="4ED7C209" w14:textId="77777777" w:rsidR="00581227" w:rsidRDefault="001510FD" w:rsidP="00581227">
      <w:pPr>
        <w:pStyle w:val="Text"/>
      </w:pPr>
      <w:r>
        <w:lastRenderedPageBreak/>
        <w:t>The interviews conducted in Strand 2 in the health and community services industries complement those conducted by Strand 3, which included:</w:t>
      </w:r>
    </w:p>
    <w:p w14:paraId="463BA039" w14:textId="77777777" w:rsidR="00C51A16" w:rsidRPr="000B7EAA" w:rsidRDefault="00C51A16" w:rsidP="000B7EAA">
      <w:pPr>
        <w:pStyle w:val="Dotpoint1"/>
        <w:ind w:left="284" w:hanging="284"/>
        <w:rPr>
          <w:color w:val="auto"/>
        </w:rPr>
      </w:pPr>
      <w:r w:rsidRPr="000B7EAA">
        <w:rPr>
          <w:color w:val="auto"/>
        </w:rPr>
        <w:t>The Community Services and Health Industry Skills Council (CSHISC)</w:t>
      </w:r>
      <w:r w:rsidR="00715C6A">
        <w:rPr>
          <w:color w:val="auto"/>
        </w:rPr>
        <w:t>;</w:t>
      </w:r>
    </w:p>
    <w:p w14:paraId="787E7316" w14:textId="77777777" w:rsidR="00C51A16" w:rsidRPr="000B7EAA" w:rsidRDefault="00C51A16" w:rsidP="000B7EAA">
      <w:pPr>
        <w:pStyle w:val="Dotpoint1"/>
        <w:ind w:left="284" w:hanging="284"/>
        <w:rPr>
          <w:color w:val="auto"/>
        </w:rPr>
      </w:pPr>
      <w:r w:rsidRPr="000B7EAA">
        <w:rPr>
          <w:color w:val="auto"/>
        </w:rPr>
        <w:t>Health Workforce Australia (HWA)</w:t>
      </w:r>
      <w:r w:rsidR="00715C6A">
        <w:rPr>
          <w:color w:val="auto"/>
        </w:rPr>
        <w:t>;</w:t>
      </w:r>
    </w:p>
    <w:p w14:paraId="2611FEAB" w14:textId="77777777" w:rsidR="00C51A16" w:rsidRPr="000B7EAA" w:rsidRDefault="00C51A16" w:rsidP="000B7EAA">
      <w:pPr>
        <w:pStyle w:val="Dotpoint1"/>
        <w:ind w:left="284" w:hanging="284"/>
        <w:rPr>
          <w:color w:val="auto"/>
        </w:rPr>
      </w:pPr>
      <w:r w:rsidRPr="000B7EAA">
        <w:rPr>
          <w:color w:val="auto"/>
        </w:rPr>
        <w:t>The Victorian Department of Health</w:t>
      </w:r>
      <w:r w:rsidR="00715C6A">
        <w:rPr>
          <w:color w:val="auto"/>
        </w:rPr>
        <w:t>;</w:t>
      </w:r>
    </w:p>
    <w:p w14:paraId="1B639A59" w14:textId="77777777" w:rsidR="00C51A16" w:rsidRPr="000B7EAA" w:rsidRDefault="00C51A16" w:rsidP="000B7EAA">
      <w:pPr>
        <w:pStyle w:val="Dotpoint1"/>
        <w:ind w:left="284" w:hanging="284"/>
        <w:rPr>
          <w:color w:val="auto"/>
        </w:rPr>
      </w:pPr>
      <w:r w:rsidRPr="000B7EAA">
        <w:rPr>
          <w:color w:val="auto"/>
        </w:rPr>
        <w:t>The NSW branch of the Australian Medical Association (AMA)</w:t>
      </w:r>
      <w:r w:rsidR="00715C6A">
        <w:rPr>
          <w:color w:val="auto"/>
        </w:rPr>
        <w:t>; and</w:t>
      </w:r>
    </w:p>
    <w:p w14:paraId="572512F6" w14:textId="77777777" w:rsidR="001510FD" w:rsidRPr="000B7EAA" w:rsidRDefault="00C51A16" w:rsidP="000B7EAA">
      <w:pPr>
        <w:pStyle w:val="Dotpoint1"/>
        <w:ind w:left="284" w:hanging="284"/>
        <w:rPr>
          <w:color w:val="auto"/>
        </w:rPr>
      </w:pPr>
      <w:r w:rsidRPr="000B7EAA">
        <w:rPr>
          <w:color w:val="auto"/>
        </w:rPr>
        <w:t>The Victorian branch of the Australian Nursing Federation (ANF)</w:t>
      </w:r>
      <w:r w:rsidR="00715C6A">
        <w:rPr>
          <w:color w:val="auto"/>
        </w:rPr>
        <w:t>.</w:t>
      </w:r>
    </w:p>
    <w:p w14:paraId="44553DE9" w14:textId="77777777" w:rsidR="00504ABE" w:rsidRDefault="008F52C8" w:rsidP="008F52C8">
      <w:pPr>
        <w:pStyle w:val="Heading2"/>
      </w:pPr>
      <w:bookmarkStart w:id="18" w:name="_Toc257836738"/>
      <w:r w:rsidRPr="008F52C8">
        <w:t>Challenges facing health &amp; community services</w:t>
      </w:r>
      <w:bookmarkEnd w:id="18"/>
    </w:p>
    <w:p w14:paraId="1534E59E" w14:textId="2D25B150" w:rsidR="0044161A" w:rsidRDefault="009F03AF" w:rsidP="009F03AF">
      <w:pPr>
        <w:pStyle w:val="Text"/>
      </w:pPr>
      <w:r>
        <w:t xml:space="preserve">The health and community services industries are </w:t>
      </w:r>
      <w:r w:rsidRPr="009F03AF">
        <w:t xml:space="preserve">confronting major upheavals with </w:t>
      </w:r>
      <w:r w:rsidR="0044161A">
        <w:t xml:space="preserve">increasing demand </w:t>
      </w:r>
      <w:r w:rsidR="009F5BBF">
        <w:t>for care as the population ages. This ageing is</w:t>
      </w:r>
      <w:r w:rsidR="00DB2DB5">
        <w:t xml:space="preserve"> </w:t>
      </w:r>
      <w:r w:rsidR="009F5BBF">
        <w:t>accompanied by</w:t>
      </w:r>
      <w:r w:rsidR="0044161A" w:rsidRPr="0044161A">
        <w:t xml:space="preserve"> increases in the number of people with multiple and complex needs as the incidence of </w:t>
      </w:r>
      <w:r w:rsidR="009F5BBF">
        <w:t xml:space="preserve">physical and mental </w:t>
      </w:r>
      <w:r w:rsidR="0044161A" w:rsidRPr="0044161A">
        <w:t>disabil</w:t>
      </w:r>
      <w:r w:rsidR="009F5BBF">
        <w:t>ities</w:t>
      </w:r>
      <w:r w:rsidR="0044161A" w:rsidRPr="0044161A">
        <w:t xml:space="preserve"> increase</w:t>
      </w:r>
      <w:r w:rsidR="00395402">
        <w:t>s</w:t>
      </w:r>
      <w:r w:rsidR="0044161A" w:rsidRPr="0044161A">
        <w:t xml:space="preserve"> with aging</w:t>
      </w:r>
      <w:r w:rsidR="0044161A">
        <w:t xml:space="preserve"> </w:t>
      </w:r>
      <w:r w:rsidR="0044161A">
        <w:fldChar w:fldCharType="begin"/>
      </w:r>
      <w:r w:rsidR="00546366">
        <w:instrText xml:space="preserve"> ADDIN EN.CITE &lt;EndNote&gt;&lt;Cite ExcludeAuth="1"&gt;&lt;Year&gt;2013&lt;/Year&gt;&lt;RecNum&gt;3307&lt;/RecNum&gt;&lt;Prefix&gt;CSHISC &lt;/Prefix&gt;&lt;Suffix&gt;: 6&lt;/Suffix&gt;&lt;DisplayText&gt;(CSHISC 2013: 6)&lt;/DisplayText&gt;&lt;record&gt;&lt;rec-number&gt;3307&lt;/rec-number&gt;&lt;foreign-keys&gt;&lt;key app="EN" db-id="vadepsw2f2aeebevffz5fzpddt9tvewsatpr" timestamp="1384154114"&gt;3307&lt;/key&gt;&lt;/foreign-keys&gt;&lt;ref-type name="Report"&gt;27&lt;/ref-type&gt;&lt;contributors&gt;&lt;authors&gt;&lt;author&gt;Community Services and Health Industry Skills Council,&lt;/author&gt;&lt;/authors&gt;&lt;/contributors&gt;&lt;titles&gt;&lt;title&gt;The care industry: A time for action environmental Scan 2013&lt;/title&gt;&lt;/titles&gt;&lt;dates&gt;&lt;year&gt;2013&lt;/year&gt;&lt;/dates&gt;&lt;pub-location&gt;Sydney&lt;/pub-location&gt;&lt;label&gt;Skills Councils&lt;/label&gt;&lt;urls&gt;&lt;related-urls&gt;&lt;url&gt;&amp;lt;http://www.cshisc.com.au/media/171360/Environmental_Scan_2013__2.7mb.pdf&amp;gt; viewed 11 November 2013&lt;/url&gt;&lt;/related-urls&gt;&lt;/urls&gt;&lt;/record&gt;&lt;/Cite&gt;&lt;/EndNote&gt;</w:instrText>
      </w:r>
      <w:r w:rsidR="0044161A">
        <w:fldChar w:fldCharType="separate"/>
      </w:r>
      <w:r w:rsidR="0044161A">
        <w:rPr>
          <w:noProof/>
        </w:rPr>
        <w:t>(</w:t>
      </w:r>
      <w:hyperlink w:anchor="_ENREF_6" w:tooltip="Community Services and Health Industry Skills Council, 2013 #3307" w:history="1">
        <w:r w:rsidR="00B03184">
          <w:rPr>
            <w:noProof/>
          </w:rPr>
          <w:t>CSHISC 2013</w:t>
        </w:r>
        <w:r w:rsidR="00395402">
          <w:rPr>
            <w:noProof/>
          </w:rPr>
          <w:t>,p.</w:t>
        </w:r>
        <w:r w:rsidR="00B03184">
          <w:rPr>
            <w:noProof/>
          </w:rPr>
          <w:t>6</w:t>
        </w:r>
      </w:hyperlink>
      <w:r w:rsidR="0044161A">
        <w:rPr>
          <w:noProof/>
        </w:rPr>
        <w:t>)</w:t>
      </w:r>
      <w:r w:rsidR="0044161A">
        <w:fldChar w:fldCharType="end"/>
      </w:r>
      <w:r w:rsidR="0044161A">
        <w:t xml:space="preserve">. </w:t>
      </w:r>
      <w:r w:rsidR="009F5BBF">
        <w:t xml:space="preserve">Several </w:t>
      </w:r>
      <w:r w:rsidR="0044161A">
        <w:t xml:space="preserve">Government reforms </w:t>
      </w:r>
      <w:r w:rsidR="009F5BBF">
        <w:t xml:space="preserve">are contributing to the changing care models within the health and community services industries, </w:t>
      </w:r>
      <w:r w:rsidR="0044161A">
        <w:t xml:space="preserve">such as the introduction of the National Disability Insurance Scheme from 2014, the </w:t>
      </w:r>
      <w:r w:rsidR="0044161A" w:rsidRPr="0044161A">
        <w:t xml:space="preserve">Living Longer Living Better </w:t>
      </w:r>
      <w:r w:rsidR="0044161A">
        <w:t>Aged Care Reform Package introduced in 2013, the Closing the Gap National Indigenous Reform Agreement implemented in 2009 and revised in 2011</w:t>
      </w:r>
      <w:r w:rsidR="00DB2DB5">
        <w:t>,</w:t>
      </w:r>
      <w:r w:rsidR="0044161A">
        <w:t xml:space="preserve"> and the National Health Reform Agreement implemented in 2011. </w:t>
      </w:r>
      <w:r w:rsidR="004B2CA4">
        <w:t>The reforms have in common ‘person-centred’ models of care, which requires integrated and holistic approaches to care of individuals to support their multiple needs.</w:t>
      </w:r>
    </w:p>
    <w:p w14:paraId="2959AD4D" w14:textId="0E5DBE94" w:rsidR="009F03AF" w:rsidRDefault="004B2CA4" w:rsidP="00FA2E37">
      <w:pPr>
        <w:pStyle w:val="Text"/>
      </w:pPr>
      <w:r>
        <w:t xml:space="preserve">Other challenges confronting the industry include </w:t>
      </w:r>
      <w:r w:rsidR="009F03AF" w:rsidRPr="009F03AF">
        <w:t>the Fai</w:t>
      </w:r>
      <w:r>
        <w:t>r Work Australia equal pay case</w:t>
      </w:r>
      <w:r w:rsidR="009F03AF" w:rsidRPr="009F03AF">
        <w:t xml:space="preserve">, which gives </w:t>
      </w:r>
      <w:proofErr w:type="gramStart"/>
      <w:r w:rsidR="009F03AF" w:rsidRPr="009F03AF">
        <w:t>pay</w:t>
      </w:r>
      <w:proofErr w:type="gramEnd"/>
      <w:r w:rsidR="009F03AF" w:rsidRPr="009F03AF">
        <w:t xml:space="preserve"> rises of between 19</w:t>
      </w:r>
      <w:r w:rsidR="003D41A0">
        <w:t>%</w:t>
      </w:r>
      <w:r w:rsidR="009F03AF" w:rsidRPr="009F03AF">
        <w:t xml:space="preserve"> – 41</w:t>
      </w:r>
      <w:r w:rsidR="003D41A0">
        <w:t>%</w:t>
      </w:r>
      <w:r w:rsidR="009F03AF" w:rsidRPr="009F03AF">
        <w:t xml:space="preserve"> over eight years to over 150,000 workers. The </w:t>
      </w:r>
      <w:r w:rsidR="008A250E">
        <w:t xml:space="preserve">equal pay case </w:t>
      </w:r>
      <w:r w:rsidR="009F03AF" w:rsidRPr="009F03AF">
        <w:t xml:space="preserve">reflects </w:t>
      </w:r>
      <w:r w:rsidR="008A250E">
        <w:t xml:space="preserve">the </w:t>
      </w:r>
      <w:r w:rsidR="00EF5D0A">
        <w:t xml:space="preserve">historical and </w:t>
      </w:r>
      <w:r w:rsidR="00140621">
        <w:t>current</w:t>
      </w:r>
      <w:r w:rsidR="00395402">
        <w:t>ly</w:t>
      </w:r>
      <w:r w:rsidR="00140621">
        <w:t xml:space="preserve"> </w:t>
      </w:r>
      <w:r w:rsidR="009F03AF" w:rsidRPr="009F03AF">
        <w:t>inadequate recognition and recompense for paid care work which has characterised the industry and which will continue to limit occupational pathways and opportunities for workforce development</w:t>
      </w:r>
      <w:r>
        <w:t xml:space="preserve"> </w:t>
      </w:r>
      <w:r>
        <w:fldChar w:fldCharType="begin"/>
      </w:r>
      <w:r w:rsidR="00380266">
        <w:instrText xml:space="preserve"> ADDIN EN.CITE &lt;EndNote&gt;&lt;Cite&gt;&lt;Author&gt;Leahy&lt;/Author&gt;&lt;Year&gt;2013&lt;/Year&gt;&lt;RecNum&gt;3177&lt;/RecNum&gt;&lt;DisplayText&gt;(Leahy, 2013)&lt;/DisplayText&gt;&lt;record&gt;&lt;rec-number&gt;3177&lt;/rec-number&gt;&lt;foreign-keys&gt;&lt;key app="EN" db-id="vadepsw2f2aeebevffz5fzpddt9tvewsatpr" timestamp="1361418151"&gt;3177&lt;/key&gt;&lt;/foreign-keys&gt;&lt;ref-type name="Report"&gt;27&lt;/ref-type&gt;&lt;contributors&gt;&lt;authors&gt;&lt;author&gt;Leahy, Mary&lt;/author&gt;&lt;/authors&gt;&lt;/contributors&gt;&lt;titles&gt;&lt;title&gt;Aged care and disability services sector paper: For the ‘From Competencies to Capabilities Project’&lt;/title&gt;&lt;/titles&gt;&lt;dates&gt;&lt;year&gt;2013&lt;/year&gt;&lt;pub-dates&gt;&lt;date&gt;February&lt;/date&gt;&lt;/pub-dates&gt;&lt;/dates&gt;&lt;pub-location&gt;Melbourne&lt;/pub-location&gt;&lt;publisher&gt;LH Martin Institute for Tertiary Education Leadership and Management, University of Melbourne&lt;/publisher&gt;&lt;urls&gt;&lt;/urls&gt;&lt;/record&gt;&lt;/Cite&gt;&lt;/EndNote&gt;</w:instrText>
      </w:r>
      <w:r>
        <w:fldChar w:fldCharType="separate"/>
      </w:r>
      <w:r w:rsidR="00380266">
        <w:rPr>
          <w:noProof/>
        </w:rPr>
        <w:t>(</w:t>
      </w:r>
      <w:hyperlink w:anchor="_ENREF_12" w:tooltip="Leahy, 2013 #3177" w:history="1">
        <w:r w:rsidR="00B03184">
          <w:rPr>
            <w:noProof/>
          </w:rPr>
          <w:t>Leahy 2013</w:t>
        </w:r>
      </w:hyperlink>
      <w:r w:rsidR="00380266">
        <w:rPr>
          <w:noProof/>
        </w:rPr>
        <w:t>)</w:t>
      </w:r>
      <w:r>
        <w:fldChar w:fldCharType="end"/>
      </w:r>
      <w:r w:rsidR="009F03AF" w:rsidRPr="009F03AF">
        <w:t>. Employment in the industry is increasing faster than average for all industries and ther</w:t>
      </w:r>
      <w:r w:rsidR="005937B4">
        <w:t>e is difficulty in recruiting skilled workers</w:t>
      </w:r>
      <w:r w:rsidR="009F03AF" w:rsidRPr="009F03AF">
        <w:t xml:space="preserve"> in regional and rural areas </w:t>
      </w:r>
      <w:r>
        <w:fldChar w:fldCharType="begin"/>
      </w:r>
      <w:r w:rsidR="00546366">
        <w:instrText xml:space="preserve"> ADDIN EN.CITE &lt;EndNote&gt;&lt;Cite ExcludeAuth="1"&gt;&lt;Year&gt;2013&lt;/Year&gt;&lt;RecNum&gt;3307&lt;/RecNum&gt;&lt;Prefix&gt;CSHISC &lt;/Prefix&gt;&lt;DisplayText&gt;(CSHISC 2013)&lt;/DisplayText&gt;&lt;record&gt;&lt;rec-number&gt;3307&lt;/rec-number&gt;&lt;foreign-keys&gt;&lt;key app="EN" db-id="vadepsw2f2aeebevffz5fzpddt9tvewsatpr" timestamp="1384154114"&gt;3307&lt;/key&gt;&lt;/foreign-keys&gt;&lt;ref-type name="Report"&gt;27&lt;/ref-type&gt;&lt;contributors&gt;&lt;authors&gt;&lt;author&gt;Community Services and Health Industry Skills Council,&lt;/author&gt;&lt;/authors&gt;&lt;/contributors&gt;&lt;titles&gt;&lt;title&gt;The care industry: A time for action environmental Scan 2013&lt;/title&gt;&lt;/titles&gt;&lt;dates&gt;&lt;year&gt;2013&lt;/year&gt;&lt;/dates&gt;&lt;pub-location&gt;Sydney&lt;/pub-location&gt;&lt;label&gt;Skills Councils&lt;/label&gt;&lt;urls&gt;&lt;related-urls&gt;&lt;url&gt;&amp;lt;http://www.cshisc.com.au/media/171360/Environmental_Scan_2013__2.7mb.pdf&amp;gt; viewed 11 November 2013&lt;/url&gt;&lt;/related-urls&gt;&lt;/urls&gt;&lt;/record&gt;&lt;/Cite&gt;&lt;/EndNote&gt;</w:instrText>
      </w:r>
      <w:r>
        <w:fldChar w:fldCharType="separate"/>
      </w:r>
      <w:r>
        <w:rPr>
          <w:noProof/>
        </w:rPr>
        <w:t>(</w:t>
      </w:r>
      <w:hyperlink w:anchor="_ENREF_6" w:tooltip="Community Services and Health Industry Skills Council, 2013 #3307" w:history="1">
        <w:r w:rsidR="00B03184">
          <w:rPr>
            <w:noProof/>
          </w:rPr>
          <w:t>CSHISC 2013</w:t>
        </w:r>
      </w:hyperlink>
      <w:r>
        <w:rPr>
          <w:noProof/>
        </w:rPr>
        <w:t>)</w:t>
      </w:r>
      <w:r>
        <w:fldChar w:fldCharType="end"/>
      </w:r>
      <w:r w:rsidR="009F03AF" w:rsidRPr="009F03AF">
        <w:t>.</w:t>
      </w:r>
      <w:r>
        <w:t xml:space="preserve"> While demand has been increasing within the health and community services industry at all levels, according to the Community Services and Health Industry Skills Council </w:t>
      </w:r>
      <w:r>
        <w:fldChar w:fldCharType="begin"/>
      </w:r>
      <w:r w:rsidR="00546366">
        <w:instrText xml:space="preserve"> ADDIN EN.CITE &lt;EndNote&gt;&lt;Cite ExcludeAuth="1"&gt;&lt;Year&gt;2013&lt;/Year&gt;&lt;RecNum&gt;3307&lt;/RecNum&gt;&lt;Suffix&gt;: 11&lt;/Suffix&gt;&lt;DisplayText&gt;(2013: 11)&lt;/DisplayText&gt;&lt;record&gt;&lt;rec-number&gt;3307&lt;/rec-number&gt;&lt;foreign-keys&gt;&lt;key app="EN" db-id="vadepsw2f2aeebevffz5fzpddt9tvewsatpr" timestamp="1384154114"&gt;3307&lt;/key&gt;&lt;/foreign-keys&gt;&lt;ref-type name="Report"&gt;27&lt;/ref-type&gt;&lt;contributors&gt;&lt;authors&gt;&lt;author&gt;Community Services and Health Industry Skills Council,&lt;/author&gt;&lt;/authors&gt;&lt;/contributors&gt;&lt;titles&gt;&lt;title&gt;The care industry: A time for action environmental Scan 2013&lt;/title&gt;&lt;/titles&gt;&lt;dates&gt;&lt;year&gt;2013&lt;/year&gt;&lt;/dates&gt;&lt;pub-location&gt;Sydney&lt;/pub-location&gt;&lt;label&gt;Skills Councils&lt;/label&gt;&lt;urls&gt;&lt;related-urls&gt;&lt;url&gt;&amp;lt;http://www.cshisc.com.au/media/171360/Environmental_Scan_2013__2.7mb.pdf&amp;gt; viewed 11 November 2013&lt;/url&gt;&lt;/related-urls&gt;&lt;/urls&gt;&lt;/record&gt;&lt;/Cite&gt;&lt;/EndNote&gt;</w:instrText>
      </w:r>
      <w:r>
        <w:fldChar w:fldCharType="separate"/>
      </w:r>
      <w:r>
        <w:rPr>
          <w:noProof/>
        </w:rPr>
        <w:t>(</w:t>
      </w:r>
      <w:hyperlink w:anchor="_ENREF_6" w:tooltip="Community Services and Health Industry Skills Council, 2013 #3307" w:history="1">
        <w:r w:rsidR="00B03184">
          <w:rPr>
            <w:noProof/>
          </w:rPr>
          <w:t>2013</w:t>
        </w:r>
        <w:r w:rsidR="00395402">
          <w:rPr>
            <w:noProof/>
          </w:rPr>
          <w:t>,p.</w:t>
        </w:r>
        <w:r w:rsidR="00B03184">
          <w:rPr>
            <w:noProof/>
          </w:rPr>
          <w:t>11</w:t>
        </w:r>
      </w:hyperlink>
      <w:r>
        <w:rPr>
          <w:noProof/>
        </w:rPr>
        <w:t>)</w:t>
      </w:r>
      <w:r>
        <w:fldChar w:fldCharType="end"/>
      </w:r>
      <w:r>
        <w:t>, the ‘growth has been strongest in those [occupations] with VET qualifications’.</w:t>
      </w:r>
      <w:r w:rsidR="009F03AF" w:rsidRPr="009F03AF">
        <w:t xml:space="preserve"> Access to the support of informal or unpaid carers will continue to decline as the population ages and women’s participation rates in the labour market increase </w:t>
      </w:r>
      <w:r w:rsidR="009F03AF">
        <w:fldChar w:fldCharType="begin"/>
      </w:r>
      <w:r w:rsidR="00380266">
        <w:instrText xml:space="preserve"> ADDIN EN.CITE &lt;EndNote&gt;&lt;Cite&gt;&lt;Author&gt;Leahy&lt;/Author&gt;&lt;Year&gt;2013&lt;/Year&gt;&lt;RecNum&gt;3177&lt;/RecNum&gt;&lt;Suffix&gt;: 3&lt;/Suffix&gt;&lt;DisplayText&gt;(Leahy, 2013: 3)&lt;/DisplayText&gt;&lt;record&gt;&lt;rec-number&gt;3177&lt;/rec-number&gt;&lt;foreign-keys&gt;&lt;key app="EN" db-id="vadepsw2f2aeebevffz5fzpddt9tvewsatpr" timestamp="1361418151"&gt;3177&lt;/key&gt;&lt;/foreign-keys&gt;&lt;ref-type name="Report"&gt;27&lt;/ref-type&gt;&lt;contributors&gt;&lt;authors&gt;&lt;author&gt;Leahy, Mary&lt;/author&gt;&lt;/authors&gt;&lt;/contributors&gt;&lt;titles&gt;&lt;title&gt;Aged care and disability services sector paper: For the ‘From Competencies to Capabilities Project’&lt;/title&gt;&lt;/titles&gt;&lt;dates&gt;&lt;year&gt;2013&lt;/year&gt;&lt;pub-dates&gt;&lt;date&gt;February&lt;/date&gt;&lt;/pub-dates&gt;&lt;/dates&gt;&lt;pub-location&gt;Melbourne&lt;/pub-location&gt;&lt;publisher&gt;LH Martin Institute for Tertiary Education Leadership and Management, University of Melbourne&lt;/publisher&gt;&lt;urls&gt;&lt;/urls&gt;&lt;/record&gt;&lt;/Cite&gt;&lt;/EndNote&gt;</w:instrText>
      </w:r>
      <w:r w:rsidR="009F03AF">
        <w:fldChar w:fldCharType="separate"/>
      </w:r>
      <w:r w:rsidR="00380266">
        <w:rPr>
          <w:noProof/>
        </w:rPr>
        <w:t>(</w:t>
      </w:r>
      <w:hyperlink w:anchor="_ENREF_12" w:tooltip="Leahy, 2013 #3177" w:history="1">
        <w:r w:rsidR="00B03184">
          <w:rPr>
            <w:noProof/>
          </w:rPr>
          <w:t>Leahy 2013</w:t>
        </w:r>
        <w:r w:rsidR="00395402">
          <w:rPr>
            <w:noProof/>
          </w:rPr>
          <w:t>,p.</w:t>
        </w:r>
        <w:r w:rsidR="00B03184">
          <w:rPr>
            <w:noProof/>
          </w:rPr>
          <w:t>3</w:t>
        </w:r>
      </w:hyperlink>
      <w:r w:rsidR="00380266">
        <w:rPr>
          <w:noProof/>
        </w:rPr>
        <w:t>)</w:t>
      </w:r>
      <w:r w:rsidR="009F03AF">
        <w:fldChar w:fldCharType="end"/>
      </w:r>
      <w:r w:rsidR="009F03AF" w:rsidRPr="009F03AF">
        <w:t>.</w:t>
      </w:r>
      <w:r w:rsidR="00602C74">
        <w:t xml:space="preserve"> T</w:t>
      </w:r>
      <w:r>
        <w:t xml:space="preserve">he Community Services and Health Industry Skills Council </w:t>
      </w:r>
      <w:r>
        <w:fldChar w:fldCharType="begin"/>
      </w:r>
      <w:r w:rsidR="00546366">
        <w:instrText xml:space="preserve"> ADDIN EN.CITE &lt;EndNote&gt;&lt;Cite ExcludeAuth="1"&gt;&lt;Year&gt;2013&lt;/Year&gt;&lt;RecNum&gt;3307&lt;/RecNum&gt;&lt;Suffix&gt;: 11-12&lt;/Suffix&gt;&lt;DisplayText&gt;(2013: 11-12)&lt;/DisplayText&gt;&lt;record&gt;&lt;rec-number&gt;3307&lt;/rec-number&gt;&lt;foreign-keys&gt;&lt;key app="EN" db-id="vadepsw2f2aeebevffz5fzpddt9tvewsatpr" timestamp="1384154114"&gt;3307&lt;/key&gt;&lt;/foreign-keys&gt;&lt;ref-type name="Report"&gt;27&lt;/ref-type&gt;&lt;contributors&gt;&lt;authors&gt;&lt;author&gt;Community Services and Health Industry Skills Council,&lt;/author&gt;&lt;/authors&gt;&lt;/contributors&gt;&lt;titles&gt;&lt;title&gt;The care industry: A time for action environmental Scan 2013&lt;/title&gt;&lt;/titles&gt;&lt;dates&gt;&lt;year&gt;2013&lt;/year&gt;&lt;/dates&gt;&lt;pub-location&gt;Sydney&lt;/pub-location&gt;&lt;label&gt;Skills Councils&lt;/label&gt;&lt;urls&gt;&lt;related-urls&gt;&lt;url&gt;&amp;lt;http://www.cshisc.com.au/media/171360/Environmental_Scan_2013__2.7mb.pdf&amp;gt; viewed 11 November 2013&lt;/url&gt;&lt;/related-urls&gt;&lt;/urls&gt;&lt;/record&gt;&lt;/Cite&gt;&lt;/EndNote&gt;</w:instrText>
      </w:r>
      <w:r>
        <w:fldChar w:fldCharType="separate"/>
      </w:r>
      <w:r>
        <w:rPr>
          <w:noProof/>
        </w:rPr>
        <w:t>(</w:t>
      </w:r>
      <w:hyperlink w:anchor="_ENREF_6" w:tooltip="Community Services and Health Industry Skills Council, 2013 #3307" w:history="1">
        <w:r w:rsidR="00B03184">
          <w:rPr>
            <w:noProof/>
          </w:rPr>
          <w:t>2013</w:t>
        </w:r>
        <w:r w:rsidR="00395402">
          <w:rPr>
            <w:noProof/>
          </w:rPr>
          <w:t>,p.</w:t>
        </w:r>
        <w:r w:rsidR="00B03184">
          <w:rPr>
            <w:noProof/>
          </w:rPr>
          <w:t>11-12</w:t>
        </w:r>
      </w:hyperlink>
      <w:r>
        <w:rPr>
          <w:noProof/>
        </w:rPr>
        <w:t>)</w:t>
      </w:r>
      <w:r>
        <w:fldChar w:fldCharType="end"/>
      </w:r>
      <w:r>
        <w:t xml:space="preserve"> reports that while demand for services increases, government funding </w:t>
      </w:r>
      <w:r w:rsidR="00602C74">
        <w:t xml:space="preserve">overall </w:t>
      </w:r>
      <w:r>
        <w:t>is decreasing</w:t>
      </w:r>
      <w:r w:rsidR="00602C74">
        <w:t xml:space="preserve"> as the Commonwealth and state governments attempt to contain public expenditure.</w:t>
      </w:r>
    </w:p>
    <w:p w14:paraId="705A20B6" w14:textId="77777777" w:rsidR="00FA2E37" w:rsidRDefault="004B7EA8" w:rsidP="00CB431E">
      <w:pPr>
        <w:pStyle w:val="Heading3"/>
      </w:pPr>
      <w:r>
        <w:t>The</w:t>
      </w:r>
      <w:r w:rsidR="00FA2E37">
        <w:t xml:space="preserve"> structure of the labour market</w:t>
      </w:r>
    </w:p>
    <w:p w14:paraId="0342A3F5" w14:textId="37936934" w:rsidR="002C55E2" w:rsidRDefault="008524FB" w:rsidP="001F40D2">
      <w:pPr>
        <w:pStyle w:val="Text"/>
      </w:pPr>
      <w:r>
        <w:t xml:space="preserve">There are significant barriers in the structure of occupations within the health and community services industries that will need to be addressed if more cohesive occupational pathways </w:t>
      </w:r>
      <w:r w:rsidR="001F40D2">
        <w:t xml:space="preserve">are to be constructed </w:t>
      </w:r>
      <w:r w:rsidR="005937B4">
        <w:t>to</w:t>
      </w:r>
      <w:r>
        <w:t xml:space="preserve"> facilitate greater horizontal and vertical occupational p</w:t>
      </w:r>
      <w:r w:rsidR="00A61E9C">
        <w:t>rogression</w:t>
      </w:r>
      <w:r>
        <w:t xml:space="preserve">. Arguably this will be needed if person-centred models of care are to be developed </w:t>
      </w:r>
      <w:r>
        <w:fldChar w:fldCharType="begin"/>
      </w:r>
      <w:r w:rsidR="00546366">
        <w:instrText xml:space="preserve"> ADDIN EN.CITE &lt;EndNote&gt;&lt;Cite ExcludeAuth="1"&gt;&lt;Year&gt;2013&lt;/Year&gt;&lt;RecNum&gt;3307&lt;/RecNum&gt;&lt;Prefix&gt;CSHISC &lt;/Prefix&gt;&lt;DisplayText&gt;(CSHISC 2013)&lt;/DisplayText&gt;&lt;record&gt;&lt;rec-number&gt;3307&lt;/rec-number&gt;&lt;foreign-keys&gt;&lt;key app="EN" db-id="vadepsw2f2aeebevffz5fzpddt9tvewsatpr" timestamp="1384154114"&gt;3307&lt;/key&gt;&lt;/foreign-keys&gt;&lt;ref-type name="Report"&gt;27&lt;/ref-type&gt;&lt;contributors&gt;&lt;authors&gt;&lt;author&gt;Community Services and Health Industry Skills Council,&lt;/author&gt;&lt;/authors&gt;&lt;/contributors&gt;&lt;titles&gt;&lt;title&gt;The care industry: A time for action environmental Scan 2013&lt;/title&gt;&lt;/titles&gt;&lt;dates&gt;&lt;year&gt;2013&lt;/year&gt;&lt;/dates&gt;&lt;pub-location&gt;Sydney&lt;/pub-location&gt;&lt;label&gt;Skills Councils&lt;/label&gt;&lt;urls&gt;&lt;related-urls&gt;&lt;url&gt;&amp;lt;http://www.cshisc.com.au/media/171360/Environmental_Scan_2013__2.7mb.pdf&amp;gt; viewed 11 November 2013&lt;/url&gt;&lt;/related-urls&gt;&lt;/urls&gt;&lt;/record&gt;&lt;/Cite&gt;&lt;/EndNote&gt;</w:instrText>
      </w:r>
      <w:r>
        <w:fldChar w:fldCharType="separate"/>
      </w:r>
      <w:r>
        <w:rPr>
          <w:noProof/>
        </w:rPr>
        <w:t>(</w:t>
      </w:r>
      <w:hyperlink w:anchor="_ENREF_6" w:tooltip="Community Services and Health Industry Skills Council, 2013 #3307" w:history="1">
        <w:r w:rsidR="00B03184">
          <w:rPr>
            <w:noProof/>
          </w:rPr>
          <w:t>CSHISC 2013</w:t>
        </w:r>
      </w:hyperlink>
      <w:r>
        <w:rPr>
          <w:noProof/>
        </w:rPr>
        <w:t>)</w:t>
      </w:r>
      <w:r>
        <w:fldChar w:fldCharType="end"/>
      </w:r>
      <w:r>
        <w:t xml:space="preserve">. </w:t>
      </w:r>
      <w:r w:rsidR="001F40D2">
        <w:t xml:space="preserve">However, a key problem for the health and community services industry is the siloed nature of each industry. </w:t>
      </w:r>
      <w:r w:rsidR="00CC3FED">
        <w:t xml:space="preserve">Moreover, silos exist </w:t>
      </w:r>
      <w:r w:rsidR="00CC3FED" w:rsidRPr="00CC3FED">
        <w:t>within</w:t>
      </w:r>
      <w:r w:rsidR="00CC3FED">
        <w:rPr>
          <w:i/>
        </w:rPr>
        <w:t xml:space="preserve"> </w:t>
      </w:r>
      <w:r w:rsidR="00CC3FED">
        <w:t xml:space="preserve">the health industry and within the community services industry. </w:t>
      </w:r>
      <w:r w:rsidR="0041532B">
        <w:t>In community services</w:t>
      </w:r>
      <w:r w:rsidR="00CC3FED">
        <w:t xml:space="preserve"> </w:t>
      </w:r>
      <w:r w:rsidR="001F40D2">
        <w:t xml:space="preserve">these silos are </w:t>
      </w:r>
      <w:r w:rsidR="0041532B">
        <w:t xml:space="preserve">partly </w:t>
      </w:r>
      <w:r w:rsidR="001F40D2">
        <w:t xml:space="preserve">a construct of Australia’s federal system of </w:t>
      </w:r>
      <w:r w:rsidR="00070581">
        <w:t>government</w:t>
      </w:r>
      <w:r w:rsidR="001F40D2">
        <w:t xml:space="preserve">, with aged care being primarily a Commonwealth responsibility, while disability support services are </w:t>
      </w:r>
      <w:r w:rsidR="001F40D2">
        <w:lastRenderedPageBreak/>
        <w:t xml:space="preserve">primarily funded by the states and territories. </w:t>
      </w:r>
      <w:r w:rsidR="00070581" w:rsidRPr="00070581">
        <w:t>Differences in funding bodies, reporting and accountability frameworks, regulatory and quality assur</w:t>
      </w:r>
      <w:r w:rsidR="0041532B">
        <w:t>ance frameworks can promote</w:t>
      </w:r>
      <w:r w:rsidR="00070581" w:rsidRPr="00070581">
        <w:t xml:space="preserve"> diff</w:t>
      </w:r>
      <w:r w:rsidR="0041532B">
        <w:t>erent philosophies and cultures</w:t>
      </w:r>
      <w:r w:rsidR="00070581" w:rsidRPr="00070581">
        <w:t xml:space="preserve"> as well as different models of provision and funding.</w:t>
      </w:r>
    </w:p>
    <w:p w14:paraId="119EBF44" w14:textId="2D37BE58" w:rsidR="005B357D" w:rsidRDefault="005B357D" w:rsidP="005B357D">
      <w:pPr>
        <w:pStyle w:val="Text"/>
      </w:pPr>
      <w:r w:rsidRPr="005B357D">
        <w:t xml:space="preserve">Yu </w:t>
      </w:r>
      <w:r w:rsidRPr="00C84554">
        <w:rPr>
          <w:i/>
        </w:rPr>
        <w:t xml:space="preserve">et al. </w:t>
      </w:r>
      <w:r>
        <w:fldChar w:fldCharType="begin"/>
      </w:r>
      <w:r w:rsidR="00546366">
        <w:instrText xml:space="preserve"> ADDIN EN.CITE &lt;EndNote&gt;&lt;Cite ExcludeAuth="1"&gt;&lt;Year&gt;2013&lt;/Year&gt;&lt;RecNum&gt;3169&lt;/RecNum&gt;&lt;DisplayText&gt;(2013)&lt;/DisplayText&gt;&lt;record&gt;&lt;rec-number&gt;3169&lt;/rec-number&gt;&lt;foreign-keys&gt;&lt;key app="EN" db-id="vadepsw2f2aeebevffz5fzpddt9tvewsatpr" timestamp="1359516039"&gt;3169&lt;/key&gt;&lt;/foreign-keys&gt;&lt;ref-type name="Report"&gt;27&lt;/ref-type&gt;&lt;contributors&gt;&lt;authors&gt;&lt;author&gt;Yu, Serena&lt;/author&gt;&lt;author&gt;Bretherton, Tanya&lt;/author&gt;&lt;author&gt;Buchanan, John&lt;/author&gt;&lt;/authors&gt;&lt;/contributors&gt;&lt;titles&gt;&lt;title&gt;Defining vocational streams: insights from the engineering, finance, agriculture and care sectors&lt;/title&gt;&lt;/titles&gt;&lt;dates&gt;&lt;year&gt;2013&lt;/year&gt;&lt;pub-dates&gt;&lt;date&gt;26 November&lt;/date&gt;&lt;/pub-dates&gt;&lt;/dates&gt;&lt;pub-location&gt;Adelaide&lt;/pub-location&gt;&lt;publisher&gt;National Centre for Vocational Education Research&lt;/publisher&gt;&lt;label&gt;NCVER, NCVER 2010 Funding round, our reports as on the web&lt;/label&gt;&lt;urls&gt;&lt;related-urls&gt;&lt;url&gt;&amp;lt;http://www.ncver.edu.au/publications/2667.html&amp;gt; viewed 26 November 2013&lt;/url&gt;&lt;/related-urls&gt;&lt;/urls&gt;&lt;/record&gt;&lt;/Cite&gt;&lt;/EndNote&gt;</w:instrText>
      </w:r>
      <w:r>
        <w:fldChar w:fldCharType="separate"/>
      </w:r>
      <w:r>
        <w:rPr>
          <w:noProof/>
        </w:rPr>
        <w:t>(</w:t>
      </w:r>
      <w:hyperlink w:anchor="_ENREF_28" w:tooltip="Yu, 2013 #3169" w:history="1">
        <w:r w:rsidR="00B03184">
          <w:rPr>
            <w:noProof/>
          </w:rPr>
          <w:t>2013</w:t>
        </w:r>
      </w:hyperlink>
      <w:r>
        <w:rPr>
          <w:noProof/>
        </w:rPr>
        <w:t>)</w:t>
      </w:r>
      <w:r>
        <w:fldChar w:fldCharType="end"/>
      </w:r>
      <w:r w:rsidRPr="005B357D">
        <w:t xml:space="preserve"> found health and community services to be characterised by very strong commonalities in practices within the vocational field of practice, but </w:t>
      </w:r>
      <w:r w:rsidR="007A34B1">
        <w:t xml:space="preserve">had </w:t>
      </w:r>
      <w:r w:rsidRPr="005B357D">
        <w:t xml:space="preserve">very disparate, fragmented and often hostile relations among social partners within sectors in the industry. </w:t>
      </w:r>
      <w:r>
        <w:t>A particular problem for community services is low cost funding</w:t>
      </w:r>
      <w:r w:rsidR="008A250E">
        <w:t>, which</w:t>
      </w:r>
      <w:r>
        <w:t xml:space="preserve"> makes the construction of occupational pathways and car</w:t>
      </w:r>
      <w:r w:rsidR="004B7EA8">
        <w:t>eer progression very difficult</w:t>
      </w:r>
      <w:r>
        <w:t xml:space="preserve">. Yu </w:t>
      </w:r>
      <w:r w:rsidRPr="00C84554">
        <w:rPr>
          <w:i/>
        </w:rPr>
        <w:t>et al.</w:t>
      </w:r>
      <w:r>
        <w:t xml:space="preserve"> (2013</w:t>
      </w:r>
      <w:proofErr w:type="gramStart"/>
      <w:r w:rsidR="002714E7">
        <w:t>,p.</w:t>
      </w:r>
      <w:r>
        <w:t>12</w:t>
      </w:r>
      <w:proofErr w:type="gramEnd"/>
      <w:r>
        <w:t>) explain that:</w:t>
      </w:r>
    </w:p>
    <w:p w14:paraId="121C4F80" w14:textId="77777777" w:rsidR="005B357D" w:rsidRPr="004278E4" w:rsidRDefault="005B357D" w:rsidP="004278E4">
      <w:pPr>
        <w:pStyle w:val="Quote"/>
        <w:rPr>
          <w:kern w:val="28"/>
        </w:rPr>
      </w:pPr>
      <w:proofErr w:type="gramStart"/>
      <w:r w:rsidRPr="004278E4">
        <w:rPr>
          <w:kern w:val="28"/>
        </w:rPr>
        <w:t>significant</w:t>
      </w:r>
      <w:proofErr w:type="gramEnd"/>
      <w:r w:rsidRPr="004278E4">
        <w:rPr>
          <w:kern w:val="28"/>
        </w:rPr>
        <w:t xml:space="preserve"> barriers to skill formation and career development exist in community services. Foremost of these barriers include the prevalence of low-cost funding models, high levels of </w:t>
      </w:r>
      <w:proofErr w:type="spellStart"/>
      <w:r w:rsidRPr="004278E4">
        <w:rPr>
          <w:kern w:val="28"/>
        </w:rPr>
        <w:t>casualised</w:t>
      </w:r>
      <w:proofErr w:type="spellEnd"/>
      <w:r w:rsidRPr="004278E4">
        <w:rPr>
          <w:kern w:val="28"/>
        </w:rPr>
        <w:t>, part-time or agency-based employment, and poor job perception in care work. Ultimately, these barriers have manifested themselves in severe staff recruitment and retention issues, high workloads, limited access to training and development, and in the not-for-profit sector, low pay. These conditions limit the notion of occupational pathways at both ends of the skills spectrum.</w:t>
      </w:r>
    </w:p>
    <w:p w14:paraId="63229307" w14:textId="4E8DF043" w:rsidR="00CC5E6E" w:rsidRDefault="00CC5E6E" w:rsidP="001F40D2">
      <w:pPr>
        <w:pStyle w:val="Text"/>
      </w:pPr>
      <w:r>
        <w:t>In contrast, w</w:t>
      </w:r>
      <w:r w:rsidR="004B7EA8">
        <w:t xml:space="preserve">hile there may be limitations in occupational pathways </w:t>
      </w:r>
      <w:r w:rsidR="004B7EA8" w:rsidRPr="00CC238E">
        <w:rPr>
          <w:i/>
        </w:rPr>
        <w:t>between</w:t>
      </w:r>
      <w:r w:rsidR="004B7EA8">
        <w:t xml:space="preserve"> different occupations within the health industry, occupational pathways exist </w:t>
      </w:r>
      <w:r w:rsidR="004B7EA8">
        <w:rPr>
          <w:i/>
        </w:rPr>
        <w:t>within</w:t>
      </w:r>
      <w:r w:rsidR="004B7EA8">
        <w:t xml:space="preserve"> broad occupational fields (such as nursing, medical practitioner, dentistry etc.), and this in part reflect</w:t>
      </w:r>
      <w:r w:rsidR="002714E7">
        <w:t>s</w:t>
      </w:r>
      <w:r w:rsidR="004B7EA8">
        <w:t xml:space="preserve"> the regulated nature of these occupations where the occupational bodies specify what qualifications individuals must hold, and where these bodies accredit qualifications offered by educational institutions. The health industry is consequently structured by </w:t>
      </w:r>
      <w:r w:rsidR="004B7EA8">
        <w:rPr>
          <w:i/>
        </w:rPr>
        <w:t>occupational labour markets</w:t>
      </w:r>
      <w:r w:rsidR="004B7EA8">
        <w:t xml:space="preserve"> </w:t>
      </w:r>
      <w:r w:rsidR="00EF5D0A">
        <w:t xml:space="preserve">defined by occupational pathways with entry and exit points, </w:t>
      </w:r>
      <w:r w:rsidR="004B7EA8">
        <w:t>where qualifications are used to</w:t>
      </w:r>
      <w:r w:rsidR="00C8228B">
        <w:t xml:space="preserve"> broadly</w:t>
      </w:r>
      <w:r w:rsidR="004B7EA8">
        <w:t xml:space="preserve"> specify the knowledge, skills and attributes required of practitioners. </w:t>
      </w:r>
    </w:p>
    <w:p w14:paraId="406F4FDB" w14:textId="77777777" w:rsidR="004B7EA8" w:rsidRDefault="00CC5E6E" w:rsidP="001F40D2">
      <w:pPr>
        <w:pStyle w:val="Text"/>
      </w:pPr>
      <w:r>
        <w:t xml:space="preserve">The situation is different in community services industries. While regulation is increasing within the aged care and disability support </w:t>
      </w:r>
      <w:r w:rsidR="004903FE">
        <w:t>industries</w:t>
      </w:r>
      <w:r>
        <w:t>, the qualifications needed by staff are minimal and generally low level</w:t>
      </w:r>
      <w:r w:rsidR="00192CAB">
        <w:t xml:space="preserve">, and generally lower than those needed in health </w:t>
      </w:r>
      <w:r w:rsidR="004903FE">
        <w:fldChar w:fldCharType="begin"/>
      </w:r>
      <w:r w:rsidR="00380266">
        <w:instrText xml:space="preserve"> ADDIN EN.CITE &lt;EndNote&gt;&lt;Cite&gt;&lt;Author&gt;Yu&lt;/Author&gt;&lt;Year&gt;2013&lt;/Year&gt;&lt;RecNum&gt;3169&lt;/RecNum&gt;&lt;Suffix&gt;:12&lt;/Suffix&gt;&lt;DisplayText&gt;(Yu et al., 2013:12)&lt;/DisplayText&gt;&lt;record&gt;&lt;rec-number&gt;3169&lt;/rec-number&gt;&lt;foreign-keys&gt;&lt;key app="EN" db-id="vadepsw2f2aeebevffz5fzpddt9tvewsatpr" timestamp="1359516039"&gt;3169&lt;/key&gt;&lt;/foreign-keys&gt;&lt;ref-type name="Report"&gt;27&lt;/ref-type&gt;&lt;contributors&gt;&lt;authors&gt;&lt;author&gt;Yu, Serena&lt;/author&gt;&lt;author&gt;Bretherton, Tanya&lt;/author&gt;&lt;author&gt;Buchanan, John&lt;/author&gt;&lt;/authors&gt;&lt;/contributors&gt;&lt;titles&gt;&lt;title&gt;Defining vocational streams: insights from the engineering, finance, agriculture and care sectors&lt;/title&gt;&lt;/titles&gt;&lt;dates&gt;&lt;year&gt;2013&lt;/year&gt;&lt;pub-dates&gt;&lt;date&gt;26 November&lt;/date&gt;&lt;/pub-dates&gt;&lt;/dates&gt;&lt;pub-location&gt;Adelaide&lt;/pub-location&gt;&lt;publisher&gt;National Centre for Vocational Education Research&lt;/publisher&gt;&lt;label&gt;NCVER, NCVER 2010 Funding round, our reports as on the web&lt;/label&gt;&lt;urls&gt;&lt;related-urls&gt;&lt;url&gt;&amp;lt;http://www.ncver.edu.au/publications/2667.html&amp;gt; viewed 26 November 2013&lt;/url&gt;&lt;/related-urls&gt;&lt;/urls&gt;&lt;/record&gt;&lt;/Cite&gt;&lt;/EndNote&gt;</w:instrText>
      </w:r>
      <w:r w:rsidR="004903FE">
        <w:fldChar w:fldCharType="separate"/>
      </w:r>
      <w:r w:rsidR="00380266">
        <w:rPr>
          <w:noProof/>
        </w:rPr>
        <w:t>(</w:t>
      </w:r>
      <w:hyperlink w:anchor="_ENREF_28" w:tooltip="Yu, 2013 #3169" w:history="1">
        <w:r w:rsidR="00B03184">
          <w:rPr>
            <w:noProof/>
          </w:rPr>
          <w:t>Yu et al. 2013</w:t>
        </w:r>
        <w:r w:rsidR="002714E7">
          <w:rPr>
            <w:noProof/>
          </w:rPr>
          <w:t>,p.</w:t>
        </w:r>
        <w:r w:rsidR="00B03184">
          <w:rPr>
            <w:noProof/>
          </w:rPr>
          <w:t>12</w:t>
        </w:r>
      </w:hyperlink>
      <w:r w:rsidR="00380266">
        <w:rPr>
          <w:noProof/>
        </w:rPr>
        <w:t>)</w:t>
      </w:r>
      <w:r w:rsidR="004903FE">
        <w:fldChar w:fldCharType="end"/>
      </w:r>
      <w:r>
        <w:t xml:space="preserve">. </w:t>
      </w:r>
      <w:r w:rsidR="00192CAB">
        <w:t xml:space="preserve">Unlike the structured occupational labour markets in the health industry, </w:t>
      </w:r>
      <w:r w:rsidRPr="00CC5E6E">
        <w:t>Yu et al. (2013</w:t>
      </w:r>
      <w:proofErr w:type="gramStart"/>
      <w:r w:rsidR="002714E7">
        <w:t>,p.</w:t>
      </w:r>
      <w:r w:rsidRPr="00CC5E6E">
        <w:t>12</w:t>
      </w:r>
      <w:proofErr w:type="gramEnd"/>
      <w:r w:rsidRPr="00CC5E6E">
        <w:t>) explain</w:t>
      </w:r>
      <w:r w:rsidR="00192CAB">
        <w:t xml:space="preserve"> that there is</w:t>
      </w:r>
      <w:r w:rsidRPr="00CC5E6E">
        <w:t xml:space="preserve"> ‘limited mobility between low and medium to high-skill work’</w:t>
      </w:r>
      <w:r w:rsidR="00192CAB">
        <w:t xml:space="preserve"> in t</w:t>
      </w:r>
      <w:r w:rsidR="00C8228B">
        <w:t>he community services industry.</w:t>
      </w:r>
    </w:p>
    <w:p w14:paraId="09575602" w14:textId="61AFA56E" w:rsidR="00024691" w:rsidRDefault="00024691" w:rsidP="001F40D2">
      <w:pPr>
        <w:pStyle w:val="Text"/>
      </w:pPr>
      <w:r>
        <w:t xml:space="preserve">Interviewees in this case study generally recognised that problems arise from funding models in health and community services, the structure of the industry and workforce, and levels of pay. The employer representatives argued that it was hard to keep staff, even the most committed, when workloads where high and pay very low. </w:t>
      </w:r>
      <w:r w:rsidR="007A34B1">
        <w:t>Many interviewees stated</w:t>
      </w:r>
      <w:r>
        <w:t xml:space="preserve"> that workers in aged care and disability support could make more money in unskilled jobs in supermarkets. Education can’t ‘solve’ these </w:t>
      </w:r>
      <w:proofErr w:type="gramStart"/>
      <w:r>
        <w:t>problems,</w:t>
      </w:r>
      <w:proofErr w:type="gramEnd"/>
      <w:r>
        <w:t xml:space="preserve"> rather they must be addressed </w:t>
      </w:r>
      <w:r w:rsidR="002714E7">
        <w:t xml:space="preserve">by </w:t>
      </w:r>
      <w:r>
        <w:t xml:space="preserve">government policy and </w:t>
      </w:r>
      <w:r w:rsidR="00CC238E">
        <w:t xml:space="preserve">by </w:t>
      </w:r>
      <w:r>
        <w:t>industry leaders. One senior higher education academic explained that:</w:t>
      </w:r>
    </w:p>
    <w:p w14:paraId="768B4F35" w14:textId="77777777" w:rsidR="00024691" w:rsidRDefault="001C5FEF" w:rsidP="001C5FEF">
      <w:pPr>
        <w:pStyle w:val="Quote"/>
      </w:pPr>
      <w:r>
        <w:t xml:space="preserve">…it sounds simple, but the thing you need to do is change reality. You’re not going to </w:t>
      </w:r>
      <w:r w:rsidR="00CC238E">
        <w:t xml:space="preserve">get </w:t>
      </w:r>
      <w:r>
        <w:t>young people to change their minds [and want to work in the industry] by being brainwashed through propaganda that aged care is exciting and worthwhile; it’s when they go and work there they go and see it.</w:t>
      </w:r>
    </w:p>
    <w:p w14:paraId="596AA534" w14:textId="77777777" w:rsidR="00FA2E37" w:rsidRDefault="00FA2E37" w:rsidP="00812B3B">
      <w:pPr>
        <w:pStyle w:val="Heading3"/>
      </w:pPr>
      <w:r>
        <w:t>Long-term picture</w:t>
      </w:r>
    </w:p>
    <w:p w14:paraId="6B50ACF5" w14:textId="77777777" w:rsidR="004903FE" w:rsidRDefault="004903FE" w:rsidP="00FA2E37">
      <w:pPr>
        <w:pStyle w:val="Text"/>
      </w:pPr>
      <w:r>
        <w:t xml:space="preserve">The Community Services and Health Industry Skills Council </w:t>
      </w:r>
      <w:r w:rsidR="000B118D">
        <w:fldChar w:fldCharType="begin"/>
      </w:r>
      <w:r w:rsidR="00546366">
        <w:instrText xml:space="preserve"> ADDIN EN.CITE &lt;EndNote&gt;&lt;Cite ExcludeAuth="1"&gt;&lt;Year&gt;2013&lt;/Year&gt;&lt;RecNum&gt;3307&lt;/RecNum&gt;&lt;Suffix&gt;: 6&lt;/Suffix&gt;&lt;DisplayText&gt;(2013: 6)&lt;/DisplayText&gt;&lt;record&gt;&lt;rec-number&gt;3307&lt;/rec-number&gt;&lt;foreign-keys&gt;&lt;key app="EN" db-id="vadepsw2f2aeebevffz5fzpddt9tvewsatpr" timestamp="1384154114"&gt;3307&lt;/key&gt;&lt;/foreign-keys&gt;&lt;ref-type name="Report"&gt;27&lt;/ref-type&gt;&lt;contributors&gt;&lt;authors&gt;&lt;author&gt;Community Services and Health Industry Skills Council,&lt;/author&gt;&lt;/authors&gt;&lt;/contributors&gt;&lt;titles&gt;&lt;title&gt;The care industry: A time for action environmental Scan 2013&lt;/title&gt;&lt;/titles&gt;&lt;dates&gt;&lt;year&gt;2013&lt;/year&gt;&lt;/dates&gt;&lt;pub-location&gt;Sydney&lt;/pub-location&gt;&lt;label&gt;Skills Councils&lt;/label&gt;&lt;urls&gt;&lt;related-urls&gt;&lt;url&gt;&amp;lt;http://www.cshisc.com.au/media/171360/Environmental_Scan_2013__2.7mb.pdf&amp;gt; viewed 11 November 2013&lt;/url&gt;&lt;/related-urls&gt;&lt;/urls&gt;&lt;/record&gt;&lt;/Cite&gt;&lt;/EndNote&gt;</w:instrText>
      </w:r>
      <w:r w:rsidR="000B118D">
        <w:fldChar w:fldCharType="separate"/>
      </w:r>
      <w:r w:rsidR="000B118D">
        <w:rPr>
          <w:noProof/>
        </w:rPr>
        <w:t>(</w:t>
      </w:r>
      <w:hyperlink w:anchor="_ENREF_6" w:tooltip="Community Services and Health Industry Skills Council, 2013 #3307" w:history="1">
        <w:r w:rsidR="00B03184">
          <w:rPr>
            <w:noProof/>
          </w:rPr>
          <w:t>2013</w:t>
        </w:r>
        <w:r w:rsidR="002714E7">
          <w:rPr>
            <w:noProof/>
          </w:rPr>
          <w:t>,p.</w:t>
        </w:r>
        <w:r w:rsidR="00B03184">
          <w:rPr>
            <w:noProof/>
          </w:rPr>
          <w:t>6</w:t>
        </w:r>
      </w:hyperlink>
      <w:r w:rsidR="000B118D">
        <w:rPr>
          <w:noProof/>
        </w:rPr>
        <w:t>)</w:t>
      </w:r>
      <w:r w:rsidR="000B118D">
        <w:fldChar w:fldCharType="end"/>
      </w:r>
      <w:r w:rsidR="000B118D" w:rsidRPr="000B118D">
        <w:t xml:space="preserve"> </w:t>
      </w:r>
      <w:r w:rsidR="000B118D">
        <w:t>argues that the key priorities in the health and community services industries are to:</w:t>
      </w:r>
    </w:p>
    <w:p w14:paraId="11081085" w14:textId="77777777" w:rsidR="000B118D" w:rsidRPr="000B7EAA" w:rsidRDefault="000B118D" w:rsidP="000B7EAA">
      <w:pPr>
        <w:pStyle w:val="Dotpoint1"/>
        <w:ind w:left="284" w:hanging="284"/>
        <w:rPr>
          <w:color w:val="auto"/>
        </w:rPr>
      </w:pPr>
      <w:r w:rsidRPr="000B7EAA">
        <w:rPr>
          <w:color w:val="auto"/>
        </w:rPr>
        <w:lastRenderedPageBreak/>
        <w:t>Help workers and managers develop ‘new skills to adapt to the client-led model of care, particularly within autonomous care environments’</w:t>
      </w:r>
      <w:r w:rsidR="002714E7">
        <w:rPr>
          <w:color w:val="auto"/>
        </w:rPr>
        <w:t>;</w:t>
      </w:r>
    </w:p>
    <w:p w14:paraId="7D6E65CD" w14:textId="77777777" w:rsidR="000B118D" w:rsidRPr="000B7EAA" w:rsidRDefault="000B118D" w:rsidP="000B7EAA">
      <w:pPr>
        <w:pStyle w:val="Dotpoint1"/>
        <w:ind w:left="284" w:hanging="284"/>
        <w:rPr>
          <w:color w:val="auto"/>
        </w:rPr>
      </w:pPr>
      <w:r w:rsidRPr="000B7EAA">
        <w:rPr>
          <w:color w:val="auto"/>
        </w:rPr>
        <w:t>Create more sustainable workforce development models that make more efficient use of occupations that require VET and higher education qualifications and provide more fluid educational pathways for workers to move between these roles</w:t>
      </w:r>
      <w:r w:rsidR="002714E7">
        <w:rPr>
          <w:color w:val="auto"/>
        </w:rPr>
        <w:t>;</w:t>
      </w:r>
    </w:p>
    <w:p w14:paraId="0F445F1D" w14:textId="77777777" w:rsidR="000B118D" w:rsidRPr="000B7EAA" w:rsidRDefault="000B118D" w:rsidP="000B7EAA">
      <w:pPr>
        <w:pStyle w:val="Dotpoint1"/>
        <w:ind w:left="284" w:hanging="284"/>
        <w:rPr>
          <w:color w:val="auto"/>
        </w:rPr>
      </w:pPr>
      <w:r w:rsidRPr="000B7EAA">
        <w:rPr>
          <w:color w:val="auto"/>
        </w:rPr>
        <w:t>‘Create a common pathway of competencies’ in aligned sectors such as mental health, disability support services and aged care to support individuals with complex needs</w:t>
      </w:r>
      <w:r w:rsidR="000941C1" w:rsidRPr="000B7EAA">
        <w:rPr>
          <w:color w:val="auto"/>
        </w:rPr>
        <w:t>. They argue that the development of common pathways has ‘the potential to increase the retention of skilled workers, [which] may assist career planning and development with the industry, provided cultural issues and hierarchies are considered’</w:t>
      </w:r>
      <w:r w:rsidR="002714E7">
        <w:rPr>
          <w:color w:val="auto"/>
        </w:rPr>
        <w:t>; and</w:t>
      </w:r>
    </w:p>
    <w:p w14:paraId="4D0195E7" w14:textId="77777777" w:rsidR="000B118D" w:rsidRPr="000B7EAA" w:rsidRDefault="000B118D" w:rsidP="000B7EAA">
      <w:pPr>
        <w:pStyle w:val="Dotpoint1"/>
        <w:ind w:left="284" w:hanging="284"/>
        <w:rPr>
          <w:color w:val="auto"/>
        </w:rPr>
      </w:pPr>
      <w:r w:rsidRPr="000B7EAA">
        <w:rPr>
          <w:color w:val="auto"/>
        </w:rPr>
        <w:t>Improve and support management and leadership within these industries to help drive ‘future workforce development and job redesign’</w:t>
      </w:r>
      <w:r w:rsidR="002714E7">
        <w:rPr>
          <w:color w:val="auto"/>
        </w:rPr>
        <w:t>.</w:t>
      </w:r>
    </w:p>
    <w:p w14:paraId="50E0ABDD" w14:textId="77777777" w:rsidR="000B118D" w:rsidRDefault="000B118D" w:rsidP="004903FE">
      <w:pPr>
        <w:pStyle w:val="Text"/>
      </w:pPr>
      <w:r>
        <w:t xml:space="preserve">They note that within the </w:t>
      </w:r>
      <w:r w:rsidR="004903FE">
        <w:t>health industry Health Workforce Australia is leading a project to restructure the workforce to align occupations and their scope of practice with emerging needs within the industry, but</w:t>
      </w:r>
      <w:r>
        <w:t xml:space="preserve"> this work ‘</w:t>
      </w:r>
      <w:r w:rsidR="004903FE">
        <w:t>has largely been focussed on the professi</w:t>
      </w:r>
      <w:r>
        <w:t>onal degree qualified workforce’</w:t>
      </w:r>
      <w:r w:rsidR="004903FE">
        <w:t xml:space="preserve"> </w:t>
      </w:r>
      <w:r>
        <w:fldChar w:fldCharType="begin"/>
      </w:r>
      <w:r w:rsidR="00546366">
        <w:instrText xml:space="preserve"> ADDIN EN.CITE &lt;EndNote&gt;&lt;Cite ExcludeAuth="1"&gt;&lt;Year&gt;2013&lt;/Year&gt;&lt;RecNum&gt;3307&lt;/RecNum&gt;&lt;Prefix&gt;CSHISC &lt;/Prefix&gt;&lt;Suffix&gt;: 14&lt;/Suffix&gt;&lt;DisplayText&gt;(CSHISC 2013: 14)&lt;/DisplayText&gt;&lt;record&gt;&lt;rec-number&gt;3307&lt;/rec-number&gt;&lt;foreign-keys&gt;&lt;key app="EN" db-id="vadepsw2f2aeebevffz5fzpddt9tvewsatpr" timestamp="1384154114"&gt;3307&lt;/key&gt;&lt;/foreign-keys&gt;&lt;ref-type name="Report"&gt;27&lt;/ref-type&gt;&lt;contributors&gt;&lt;authors&gt;&lt;author&gt;Community Services and Health Industry Skills Council,&lt;/author&gt;&lt;/authors&gt;&lt;/contributors&gt;&lt;titles&gt;&lt;title&gt;The care industry: A time for action environmental Scan 2013&lt;/title&gt;&lt;/titles&gt;&lt;dates&gt;&lt;year&gt;2013&lt;/year&gt;&lt;/dates&gt;&lt;pub-location&gt;Sydney&lt;/pub-location&gt;&lt;label&gt;Skills Councils&lt;/label&gt;&lt;urls&gt;&lt;related-urls&gt;&lt;url&gt;&amp;lt;http://www.cshisc.com.au/media/171360/Environmental_Scan_2013__2.7mb.pdf&amp;gt; viewed 11 November 2013&lt;/url&gt;&lt;/related-urls&gt;&lt;/urls&gt;&lt;/record&gt;&lt;/Cite&gt;&lt;/EndNote&gt;</w:instrText>
      </w:r>
      <w:r>
        <w:fldChar w:fldCharType="separate"/>
      </w:r>
      <w:r>
        <w:rPr>
          <w:noProof/>
        </w:rPr>
        <w:t>(</w:t>
      </w:r>
      <w:hyperlink w:anchor="_ENREF_6" w:tooltip="Community Services and Health Industry Skills Council, 2013 #3307" w:history="1">
        <w:r w:rsidR="00B03184">
          <w:rPr>
            <w:noProof/>
          </w:rPr>
          <w:t>CSHISC 2013</w:t>
        </w:r>
        <w:r w:rsidR="002714E7">
          <w:rPr>
            <w:noProof/>
          </w:rPr>
          <w:t>,p.</w:t>
        </w:r>
        <w:r w:rsidR="00B03184">
          <w:rPr>
            <w:noProof/>
          </w:rPr>
          <w:t>14</w:t>
        </w:r>
      </w:hyperlink>
      <w:r>
        <w:rPr>
          <w:noProof/>
        </w:rPr>
        <w:t>)</w:t>
      </w:r>
      <w:r>
        <w:fldChar w:fldCharType="end"/>
      </w:r>
      <w:r>
        <w:t>.</w:t>
      </w:r>
      <w:r w:rsidRPr="000B118D">
        <w:t xml:space="preserve"> </w:t>
      </w:r>
      <w:r w:rsidR="000941C1">
        <w:t>Arguably, the scope of work such as this needs to be extended to focus on the VET qualified workforce within health, and on the community services industries more broadly as part of the implementation strategies within the various reforms government</w:t>
      </w:r>
      <w:r w:rsidR="00440910">
        <w:t>s</w:t>
      </w:r>
      <w:r w:rsidR="000941C1">
        <w:t xml:space="preserve"> </w:t>
      </w:r>
      <w:r w:rsidR="00440910">
        <w:t xml:space="preserve">are </w:t>
      </w:r>
      <w:r w:rsidR="000941C1">
        <w:t>seeking to implement in these industries.</w:t>
      </w:r>
    </w:p>
    <w:p w14:paraId="562E1B2B" w14:textId="77777777" w:rsidR="000B118D" w:rsidRDefault="00812B3B" w:rsidP="00812B3B">
      <w:pPr>
        <w:pStyle w:val="Heading2"/>
      </w:pPr>
      <w:bookmarkStart w:id="19" w:name="_Toc257836739"/>
      <w:r>
        <w:t>Enrolments, and employment and further study outcomes</w:t>
      </w:r>
      <w:bookmarkEnd w:id="19"/>
    </w:p>
    <w:p w14:paraId="41D53150" w14:textId="77777777" w:rsidR="00A6736F" w:rsidRDefault="00812B3B" w:rsidP="003243D0">
      <w:pPr>
        <w:pStyle w:val="Text"/>
      </w:pPr>
      <w:r>
        <w:t xml:space="preserve">This section examines enrolments and employment and further study outcomes for graduates in VET and higher education. </w:t>
      </w:r>
      <w:r w:rsidR="003243D0">
        <w:t xml:space="preserve">It also examines the extent to which graduates obtain employment in the fields associated with their qualifications. </w:t>
      </w:r>
      <w:r w:rsidR="00182230">
        <w:t xml:space="preserve"> </w:t>
      </w:r>
      <w:r w:rsidR="00A6736F">
        <w:t>This allows us to address the three questions about the relation between qualifications, the labour market, further studies and equity identified in the introduction.</w:t>
      </w:r>
    </w:p>
    <w:p w14:paraId="2AD1AB19" w14:textId="77777777" w:rsidR="003243D0" w:rsidRDefault="00F94C38" w:rsidP="00F94C38">
      <w:pPr>
        <w:pStyle w:val="Heading3"/>
      </w:pPr>
      <w:r>
        <w:t>Enrolments</w:t>
      </w:r>
    </w:p>
    <w:p w14:paraId="489D9A2D" w14:textId="0486B749" w:rsidR="00363693" w:rsidRDefault="00755E5C" w:rsidP="00363693">
      <w:pPr>
        <w:pStyle w:val="Text"/>
      </w:pPr>
      <w:proofErr w:type="spellStart"/>
      <w:r>
        <w:t>Moodie</w:t>
      </w:r>
      <w:proofErr w:type="spellEnd"/>
      <w:r>
        <w:t xml:space="preserve"> and </w:t>
      </w:r>
      <w:proofErr w:type="spellStart"/>
      <w:r>
        <w:t>Fredman</w:t>
      </w:r>
      <w:proofErr w:type="spellEnd"/>
      <w:r>
        <w:t xml:space="preserve"> </w:t>
      </w:r>
      <w:r>
        <w:fldChar w:fldCharType="begin"/>
      </w:r>
      <w:r w:rsidR="00546366">
        <w:instrText xml:space="preserve"> ADDIN EN.CITE &lt;EndNote&gt;&lt;Cite ExcludeAuth="1"&gt;&lt;Year&gt;2013&lt;/Year&gt;&lt;RecNum&gt;3249&lt;/RecNum&gt;&lt;DisplayText&gt;(2013)&lt;/DisplayText&gt;&lt;record&gt;&lt;rec-number&gt;3249&lt;/rec-number&gt;&lt;foreign-keys&gt;&lt;key app="EN" db-id="vadepsw2f2aeebevffz5fzpddt9tvewsatpr" timestamp="1372316230"&gt;3249&lt;/key&gt;&lt;/foreign-keys&gt;&lt;ref-type name="Report"&gt;27&lt;/ref-type&gt;&lt;contributors&gt;&lt;authors&gt;&lt;author&gt;Moodie, Gavin&lt;/author&gt;&lt;author&gt;Fredman, Nick&lt;/author&gt;&lt;/authors&gt;&lt;/contributors&gt;&lt;titles&gt;&lt;title&gt;Student load and employment outcomes attached to mid-level qualifications&lt;/title&gt;&lt;/titles&gt;&lt;dates&gt;&lt;year&gt;2013&lt;/year&gt;&lt;/dates&gt;&lt;pub-location&gt;Adelaide&lt;/pub-location&gt;&lt;publisher&gt;National Centre for Vocational Education Research&lt;/publisher&gt;&lt;label&gt;Vocations project (in downloaded docs NCVER folder)&lt;/label&gt;&lt;urls&gt;&lt;related-urls&gt;&lt;url&gt;&amp;lt;http://www.ncver.edu.au/publications/2609.html&amp;gt; viewed 27 June 2013&lt;/url&gt;&lt;/related-urls&gt;&lt;/urls&gt;&lt;/record&gt;&lt;/Cite&gt;&lt;/EndNote&gt;</w:instrText>
      </w:r>
      <w:r>
        <w:fldChar w:fldCharType="separate"/>
      </w:r>
      <w:r>
        <w:rPr>
          <w:noProof/>
        </w:rPr>
        <w:t>(</w:t>
      </w:r>
      <w:hyperlink w:anchor="_ENREF_16" w:tooltip="Moodie, 2013 #3249" w:history="1">
        <w:r w:rsidR="00B03184">
          <w:rPr>
            <w:noProof/>
          </w:rPr>
          <w:t>2013</w:t>
        </w:r>
      </w:hyperlink>
      <w:r>
        <w:rPr>
          <w:noProof/>
        </w:rPr>
        <w:t>)</w:t>
      </w:r>
      <w:r>
        <w:fldChar w:fldCharType="end"/>
      </w:r>
      <w:r>
        <w:t xml:space="preserve"> explain that enrolments in diplomas and advanced diplomas vary between fields of education, and this in turn is a consequence of the relation between qualifications in individual fields of education and the occupations with which they are associated. Figure 1 shows the change in</w:t>
      </w:r>
      <w:r w:rsidR="006A2B21">
        <w:t xml:space="preserve"> the number of</w:t>
      </w:r>
      <w:r w:rsidR="006A4D88">
        <w:t xml:space="preserve"> equivalent full </w:t>
      </w:r>
      <w:r>
        <w:t xml:space="preserve">time students in diplomas, advanced diplomas and degrees in nursing from 2002 to 2012. While there have been steep increases in enrolments in degrees and diplomas in nursing, enrolments in advanced diplomas are relatively flat with minimal </w:t>
      </w:r>
      <w:r w:rsidR="0005187F">
        <w:t>numbers</w:t>
      </w:r>
      <w:r>
        <w:t>. This reflects the structure of occupations in those industries, with occupations tied to qualifications so that regi</w:t>
      </w:r>
      <w:r w:rsidR="006A4D88">
        <w:t>stered nurses require degrees to enter</w:t>
      </w:r>
      <w:r>
        <w:t xml:space="preserve"> the </w:t>
      </w:r>
      <w:r w:rsidR="006A4D88">
        <w:t>labour market</w:t>
      </w:r>
      <w:r>
        <w:t xml:space="preserve">, whereas enrolled nurses require diplomas. The </w:t>
      </w:r>
      <w:r w:rsidR="00BB78DB">
        <w:t xml:space="preserve">marked </w:t>
      </w:r>
      <w:r>
        <w:t xml:space="preserve">increase in enrolments </w:t>
      </w:r>
      <w:r w:rsidR="006A4D88">
        <w:t>in nursing diplomas from a very low level in 2002</w:t>
      </w:r>
      <w:r>
        <w:t xml:space="preserve"> r</w:t>
      </w:r>
      <w:r w:rsidR="00BB78DB">
        <w:t xml:space="preserve">eflects the change in the entry </w:t>
      </w:r>
      <w:r>
        <w:t>level qualification from a certificate IV to a diploma</w:t>
      </w:r>
      <w:r w:rsidR="006A2B21">
        <w:t xml:space="preserve"> in all states in Australia</w:t>
      </w:r>
      <w:r>
        <w:t xml:space="preserve">. </w:t>
      </w:r>
    </w:p>
    <w:p w14:paraId="61307DBF" w14:textId="77777777" w:rsidR="00C714E6" w:rsidRDefault="00C714E6" w:rsidP="00363693">
      <w:pPr>
        <w:pStyle w:val="Text"/>
      </w:pPr>
    </w:p>
    <w:p w14:paraId="1C54FA94" w14:textId="77777777" w:rsidR="00C714E6" w:rsidRDefault="00C714E6" w:rsidP="00363693">
      <w:pPr>
        <w:pStyle w:val="Text"/>
      </w:pPr>
    </w:p>
    <w:p w14:paraId="031DD2B7" w14:textId="77777777" w:rsidR="00C714E6" w:rsidRDefault="00C714E6" w:rsidP="00363693">
      <w:pPr>
        <w:pStyle w:val="Text"/>
      </w:pPr>
    </w:p>
    <w:p w14:paraId="2A296CE1" w14:textId="77777777" w:rsidR="00C714E6" w:rsidRDefault="00C714E6" w:rsidP="00363693">
      <w:pPr>
        <w:pStyle w:val="Text"/>
      </w:pPr>
    </w:p>
    <w:p w14:paraId="1242C8A3" w14:textId="77777777" w:rsidR="00F42FFD" w:rsidRDefault="00F42FFD" w:rsidP="00890098">
      <w:pPr>
        <w:pStyle w:val="StyleFiguretitleLeft0cmFirstline0cm"/>
        <w:rPr>
          <w:noProof/>
        </w:rPr>
      </w:pPr>
      <w:bookmarkStart w:id="20" w:name="_Toc257836789"/>
      <w:r>
        <w:rPr>
          <w:noProof/>
        </w:rPr>
        <w:lastRenderedPageBreak/>
        <w:t>Figure 1</w:t>
      </w:r>
      <w:r>
        <w:rPr>
          <w:noProof/>
        </w:rPr>
        <w:tab/>
      </w:r>
      <w:r w:rsidR="009932F1">
        <w:rPr>
          <w:noProof/>
        </w:rPr>
        <w:t xml:space="preserve">Full-time equivalent load in AQF 5–7 programs in </w:t>
      </w:r>
      <w:r>
        <w:rPr>
          <w:noProof/>
        </w:rPr>
        <w:t>mid-level nursing programs, 2002–2012</w:t>
      </w:r>
      <w:bookmarkEnd w:id="20"/>
    </w:p>
    <w:p w14:paraId="2717D7FA" w14:textId="77777777" w:rsidR="00D77CB2" w:rsidRPr="00505473" w:rsidRDefault="00D77CB2" w:rsidP="00D77CB2">
      <w:pPr>
        <w:pStyle w:val="Text"/>
      </w:pPr>
    </w:p>
    <w:p w14:paraId="58C56597" w14:textId="77777777" w:rsidR="00D77CB2" w:rsidRPr="00100705" w:rsidRDefault="00D77CB2" w:rsidP="00D77CB2">
      <w:pPr>
        <w:pStyle w:val="Text"/>
        <w:spacing w:line="240" w:lineRule="auto"/>
        <w:ind w:right="0"/>
      </w:pPr>
      <w:r>
        <w:rPr>
          <w:noProof/>
          <w:lang w:eastAsia="en-AU"/>
        </w:rPr>
        <w:drawing>
          <wp:inline distT="0" distB="0" distL="0" distR="0" wp14:anchorId="225BC53C" wp14:editId="35AA5B99">
            <wp:extent cx="5580380" cy="3344549"/>
            <wp:effectExtent l="0" t="0" r="7620" b="825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0380" cy="3344549"/>
                    </a:xfrm>
                    <a:prstGeom prst="rect">
                      <a:avLst/>
                    </a:prstGeom>
                    <a:noFill/>
                    <a:ln>
                      <a:noFill/>
                    </a:ln>
                  </pic:spPr>
                </pic:pic>
              </a:graphicData>
            </a:graphic>
          </wp:inline>
        </w:drawing>
      </w:r>
    </w:p>
    <w:p w14:paraId="27D72E8B" w14:textId="77777777" w:rsidR="00D77CB2" w:rsidRDefault="00D77CB2" w:rsidP="00D77CB2">
      <w:pPr>
        <w:pStyle w:val="Source"/>
      </w:pPr>
      <w:r>
        <w:t>Source:</w:t>
      </w:r>
      <w:r>
        <w:tab/>
      </w:r>
      <w:r w:rsidRPr="00772E52">
        <w:t>VOCSTATS (</w:t>
      </w:r>
      <w:hyperlink r:id="rId18" w:history="1">
        <w:r w:rsidRPr="00E22016">
          <w:t>www.ncver.edu.au/resources/vocstats/intro.html</w:t>
        </w:r>
      </w:hyperlink>
      <w:r w:rsidRPr="00772E52">
        <w:t>)</w:t>
      </w:r>
      <w:r>
        <w:t xml:space="preserve"> extracted on 1/10/2013, and DIISRTE (2013</w:t>
      </w:r>
      <w:r w:rsidRPr="00893D5C">
        <w:t xml:space="preserve">) </w:t>
      </w:r>
      <w:r>
        <w:t>Table 4.4: A</w:t>
      </w:r>
      <w:r w:rsidRPr="00980B2E">
        <w:t xml:space="preserve">ctual student Load (EFTSL) for all </w:t>
      </w:r>
      <w:r>
        <w:t xml:space="preserve">domestic </w:t>
      </w:r>
      <w:r w:rsidRPr="00980B2E">
        <w:t>students by State, higher education provider and broad</w:t>
      </w:r>
      <w:r>
        <w:t xml:space="preserve"> level of course, full year 2012 and corresponding tables from previous years.</w:t>
      </w:r>
    </w:p>
    <w:p w14:paraId="0521586D" w14:textId="638CD98B" w:rsidR="00EB7058" w:rsidRDefault="00EB7058" w:rsidP="000B7EAA">
      <w:pPr>
        <w:pStyle w:val="Text"/>
      </w:pPr>
      <w:r>
        <w:t>There has been a very big increase in</w:t>
      </w:r>
      <w:r w:rsidR="00032088">
        <w:t xml:space="preserve"> equivalent </w:t>
      </w:r>
      <w:r w:rsidR="00BB78DB">
        <w:t xml:space="preserve">full </w:t>
      </w:r>
      <w:r w:rsidR="00D22A2C">
        <w:t xml:space="preserve">time </w:t>
      </w:r>
      <w:r w:rsidR="00032088">
        <w:t>enrolments in</w:t>
      </w:r>
      <w:r>
        <w:t xml:space="preserve"> diplomas </w:t>
      </w:r>
      <w:r w:rsidR="00032088">
        <w:t>in the human welfare studies and services narrow field of education particularly since 2009, in contrast to the more modest increase in bachelor degrees over the same period</w:t>
      </w:r>
      <w:r w:rsidR="00D22A2C">
        <w:t xml:space="preserve">. </w:t>
      </w:r>
      <w:r w:rsidR="00B472B1">
        <w:t xml:space="preserve">Enrolments </w:t>
      </w:r>
      <w:r w:rsidR="00A9308F">
        <w:t xml:space="preserve">in advanced diplomas </w:t>
      </w:r>
      <w:r w:rsidR="00B472B1">
        <w:t xml:space="preserve">are </w:t>
      </w:r>
      <w:r w:rsidR="00A9308F">
        <w:t>minimal</w:t>
      </w:r>
      <w:r w:rsidR="00F50B38">
        <w:t xml:space="preserve"> as shown in Figure 2</w:t>
      </w:r>
      <w:r w:rsidR="00A9308F">
        <w:t xml:space="preserve">. </w:t>
      </w:r>
      <w:r w:rsidR="00D22A2C">
        <w:t>While there have be</w:t>
      </w:r>
      <w:r w:rsidR="00BB78DB">
        <w:t xml:space="preserve">en increases in equivalent full </w:t>
      </w:r>
      <w:r w:rsidR="00D22A2C">
        <w:t>time</w:t>
      </w:r>
      <w:r w:rsidR="00A9308F">
        <w:t xml:space="preserve"> enrolments in </w:t>
      </w:r>
      <w:r w:rsidR="00D22A2C">
        <w:t xml:space="preserve">a range of diplomas </w:t>
      </w:r>
      <w:r w:rsidR="00A9308F">
        <w:t xml:space="preserve">within </w:t>
      </w:r>
      <w:r w:rsidR="0005187F">
        <w:t>human welfare studies and services</w:t>
      </w:r>
      <w:r w:rsidR="00A9308F">
        <w:t>, there have been steep increases in diplomas in children’s services, reflecting the increasing role of regulation within this industry which specifies qualifications for those working at particular occupations and levels</w:t>
      </w:r>
      <w:r w:rsidR="00F50B38">
        <w:t xml:space="preserve"> within </w:t>
      </w:r>
      <w:r w:rsidR="00BB78DB">
        <w:t>children’s services</w:t>
      </w:r>
      <w:r w:rsidR="00A9308F">
        <w:t xml:space="preserve">. There have also been large </w:t>
      </w:r>
      <w:r w:rsidR="00DE5554">
        <w:t xml:space="preserve">percentage </w:t>
      </w:r>
      <w:r w:rsidR="00A9308F">
        <w:t xml:space="preserve">increases in diplomas in disability support work, but from a much smaller base. </w:t>
      </w:r>
    </w:p>
    <w:p w14:paraId="6B49FD79" w14:textId="77777777" w:rsidR="00D77CB2" w:rsidRDefault="00D77CB2" w:rsidP="000B7EAA">
      <w:pPr>
        <w:pStyle w:val="Text"/>
      </w:pPr>
    </w:p>
    <w:p w14:paraId="108E0DC9" w14:textId="77777777" w:rsidR="00D77CB2" w:rsidRDefault="00D77CB2" w:rsidP="000B7EAA">
      <w:pPr>
        <w:pStyle w:val="Text"/>
      </w:pPr>
    </w:p>
    <w:p w14:paraId="34B39131" w14:textId="77777777" w:rsidR="00D77CB2" w:rsidRDefault="00D77CB2" w:rsidP="000B7EAA">
      <w:pPr>
        <w:pStyle w:val="Text"/>
      </w:pPr>
    </w:p>
    <w:p w14:paraId="67D5CEFA" w14:textId="77777777" w:rsidR="00D77CB2" w:rsidRDefault="00D77CB2" w:rsidP="000B7EAA">
      <w:pPr>
        <w:pStyle w:val="Text"/>
      </w:pPr>
    </w:p>
    <w:p w14:paraId="10724648" w14:textId="77777777" w:rsidR="00D77CB2" w:rsidRDefault="00D77CB2" w:rsidP="000B7EAA">
      <w:pPr>
        <w:pStyle w:val="Text"/>
      </w:pPr>
    </w:p>
    <w:p w14:paraId="0AFEFC7F" w14:textId="77777777" w:rsidR="00D77CB2" w:rsidRDefault="00D77CB2" w:rsidP="000B7EAA">
      <w:pPr>
        <w:pStyle w:val="Text"/>
      </w:pPr>
    </w:p>
    <w:p w14:paraId="73293A6C" w14:textId="77777777" w:rsidR="00D77CB2" w:rsidRDefault="00D77CB2" w:rsidP="000B7EAA">
      <w:pPr>
        <w:pStyle w:val="Text"/>
      </w:pPr>
    </w:p>
    <w:p w14:paraId="0FB33A79" w14:textId="77777777" w:rsidR="00D77CB2" w:rsidRDefault="00D77CB2" w:rsidP="000B7EAA">
      <w:pPr>
        <w:pStyle w:val="Text"/>
      </w:pPr>
    </w:p>
    <w:p w14:paraId="69D6E389" w14:textId="77777777" w:rsidR="00D77CB2" w:rsidRDefault="00D77CB2" w:rsidP="000B7EAA">
      <w:pPr>
        <w:pStyle w:val="Text"/>
      </w:pPr>
    </w:p>
    <w:p w14:paraId="73E3E5B8" w14:textId="77777777" w:rsidR="00F42FFD" w:rsidRDefault="00F42FFD" w:rsidP="00E42C2C">
      <w:pPr>
        <w:pStyle w:val="Figuretitle"/>
      </w:pPr>
      <w:bookmarkStart w:id="21" w:name="_Toc257836790"/>
      <w:r>
        <w:rPr>
          <w:noProof/>
        </w:rPr>
        <w:lastRenderedPageBreak/>
        <w:t>Figure 2</w:t>
      </w:r>
      <w:r>
        <w:rPr>
          <w:noProof/>
        </w:rPr>
        <w:tab/>
      </w:r>
      <w:r w:rsidR="009932F1">
        <w:rPr>
          <w:noProof/>
        </w:rPr>
        <w:t xml:space="preserve">Full-time equivalent load in AQF 5–7 programs in </w:t>
      </w:r>
      <w:r>
        <w:rPr>
          <w:noProof/>
        </w:rPr>
        <w:t>mid-level human welfare studies and</w:t>
      </w:r>
      <w:r>
        <w:t xml:space="preserve"> services programs, 2002–2012</w:t>
      </w:r>
      <w:bookmarkEnd w:id="21"/>
    </w:p>
    <w:p w14:paraId="08F0B3B7" w14:textId="77777777" w:rsidR="00D77CB2" w:rsidRDefault="00D77CB2" w:rsidP="00D77CB2">
      <w:pPr>
        <w:pStyle w:val="Text"/>
        <w:spacing w:line="240" w:lineRule="auto"/>
        <w:ind w:right="0"/>
        <w:rPr>
          <w:noProof/>
          <w:lang w:val="en-US"/>
        </w:rPr>
      </w:pPr>
      <w:r>
        <w:rPr>
          <w:noProof/>
          <w:lang w:eastAsia="en-AU"/>
        </w:rPr>
        <w:drawing>
          <wp:inline distT="0" distB="0" distL="0" distR="0" wp14:anchorId="6388DD63" wp14:editId="14A212E2">
            <wp:extent cx="5580380" cy="3344549"/>
            <wp:effectExtent l="0" t="0" r="7620" b="825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0380" cy="3344549"/>
                    </a:xfrm>
                    <a:prstGeom prst="rect">
                      <a:avLst/>
                    </a:prstGeom>
                    <a:noFill/>
                    <a:ln>
                      <a:noFill/>
                    </a:ln>
                  </pic:spPr>
                </pic:pic>
              </a:graphicData>
            </a:graphic>
          </wp:inline>
        </w:drawing>
      </w:r>
    </w:p>
    <w:p w14:paraId="152B2E4D" w14:textId="77777777" w:rsidR="00D77CB2" w:rsidRDefault="00D77CB2" w:rsidP="00D77CB2">
      <w:pPr>
        <w:pStyle w:val="Source"/>
        <w:rPr>
          <w:noProof/>
          <w:lang w:val="en-US"/>
        </w:rPr>
      </w:pPr>
      <w:r>
        <w:rPr>
          <w:noProof/>
          <w:lang w:val="en-US"/>
        </w:rPr>
        <w:t xml:space="preserve">Note: </w:t>
      </w:r>
      <w:r>
        <w:rPr>
          <w:noProof/>
          <w:lang w:val="en-US"/>
        </w:rPr>
        <w:tab/>
        <w:t xml:space="preserve">There was also a very small load in associate degrees, increasing from 2 in 2002 to 94 in 2009, with figures for higher education assicate degrees not readily available after 2009. </w:t>
      </w:r>
    </w:p>
    <w:p w14:paraId="349C0A01" w14:textId="32FC5650" w:rsidR="00D77CB2" w:rsidRDefault="00D77CB2" w:rsidP="00D77CB2">
      <w:pPr>
        <w:pStyle w:val="Source"/>
      </w:pPr>
      <w:r>
        <w:rPr>
          <w:noProof/>
          <w:lang w:val="en-US"/>
        </w:rPr>
        <w:t>S</w:t>
      </w:r>
      <w:proofErr w:type="spellStart"/>
      <w:r>
        <w:t>ource</w:t>
      </w:r>
      <w:proofErr w:type="spellEnd"/>
      <w:r>
        <w:t>:</w:t>
      </w:r>
      <w:r>
        <w:tab/>
      </w:r>
      <w:r w:rsidRPr="00772E52">
        <w:t>VOCSTATS (</w:t>
      </w:r>
      <w:hyperlink r:id="rId20" w:history="1">
        <w:r w:rsidRPr="00E22016">
          <w:t>www.ncver.edu.au/resources/vocstats/intro.html</w:t>
        </w:r>
      </w:hyperlink>
      <w:r w:rsidRPr="00772E52">
        <w:t>)</w:t>
      </w:r>
      <w:r>
        <w:t xml:space="preserve"> extracted on 1/10/2013, and DIISRTE (2013</w:t>
      </w:r>
      <w:r w:rsidRPr="00893D5C">
        <w:t xml:space="preserve">) </w:t>
      </w:r>
      <w:r>
        <w:t>Table 4.4: A</w:t>
      </w:r>
      <w:r w:rsidRPr="00980B2E">
        <w:t xml:space="preserve">ctual student Load (EFTSL) for all </w:t>
      </w:r>
      <w:r>
        <w:t xml:space="preserve">domestic </w:t>
      </w:r>
      <w:r w:rsidRPr="00980B2E">
        <w:t>students by State, higher education provider and broad</w:t>
      </w:r>
      <w:r>
        <w:t xml:space="preserve"> level of course, full year 2012 and corresponding tables from previous years.</w:t>
      </w:r>
    </w:p>
    <w:p w14:paraId="61388D85" w14:textId="77777777" w:rsidR="008F7215" w:rsidRDefault="008F7215" w:rsidP="00F94C38">
      <w:pPr>
        <w:pStyle w:val="Heading3"/>
      </w:pPr>
      <w:r>
        <w:t>Employment</w:t>
      </w:r>
      <w:r w:rsidR="009C0B58">
        <w:t xml:space="preserve"> and further study</w:t>
      </w:r>
      <w:r>
        <w:t xml:space="preserve"> outcomes</w:t>
      </w:r>
    </w:p>
    <w:p w14:paraId="519A1A41" w14:textId="77777777" w:rsidR="00F94C38" w:rsidRDefault="00F94C38" w:rsidP="00837D17">
      <w:pPr>
        <w:pStyle w:val="Text"/>
      </w:pPr>
      <w:r>
        <w:t xml:space="preserve">This section compares employment </w:t>
      </w:r>
      <w:r w:rsidR="009C0B58">
        <w:t xml:space="preserve">and further study </w:t>
      </w:r>
      <w:r>
        <w:t xml:space="preserve">outcomes in health and community services and the extent to which graduates obtain employment in occupations directly associated with their qualification. </w:t>
      </w:r>
      <w:proofErr w:type="gramStart"/>
      <w:r w:rsidR="00B80F46">
        <w:t>Table 1</w:t>
      </w:r>
      <w:r w:rsidR="00F50B38">
        <w:rPr>
          <w:b/>
        </w:rPr>
        <w:t xml:space="preserve"> </w:t>
      </w:r>
      <w:r w:rsidR="00B80F46">
        <w:t>shows that graduates</w:t>
      </w:r>
      <w:proofErr w:type="gramEnd"/>
      <w:r w:rsidR="00B80F46">
        <w:t xml:space="preserve"> in fields of education incorporating occupations in health and community services have employment rates that are </w:t>
      </w:r>
      <w:r w:rsidR="00DE5554">
        <w:t xml:space="preserve">similar </w:t>
      </w:r>
      <w:r w:rsidR="00B80F46">
        <w:t xml:space="preserve">to, or exceed, all VET graduates. </w:t>
      </w:r>
      <w:r w:rsidR="003E0197">
        <w:t xml:space="preserve"> </w:t>
      </w:r>
      <w:r w:rsidR="00937731">
        <w:t xml:space="preserve">Nursing has the highest employment outcomes when graduates of all levels are taken together. </w:t>
      </w:r>
      <w:r w:rsidR="003E0197">
        <w:t xml:space="preserve">Overall, there </w:t>
      </w:r>
      <w:proofErr w:type="gramStart"/>
      <w:r w:rsidR="003E0197">
        <w:t>is</w:t>
      </w:r>
      <w:proofErr w:type="gramEnd"/>
      <w:r w:rsidR="003E0197">
        <w:t xml:space="preserve"> a higher proportion of graduates in </w:t>
      </w:r>
      <w:r w:rsidR="00B472B1">
        <w:t xml:space="preserve">human welfare and services and </w:t>
      </w:r>
      <w:r w:rsidR="003E0197">
        <w:t xml:space="preserve">nursing who are employed six months following graduation compared to all VET graduates, but </w:t>
      </w:r>
      <w:r w:rsidR="00937731">
        <w:t>their employment outcomes</w:t>
      </w:r>
      <w:r w:rsidR="003E0197">
        <w:t xml:space="preserve"> </w:t>
      </w:r>
      <w:r w:rsidR="00937731">
        <w:t xml:space="preserve">are broadly </w:t>
      </w:r>
      <w:r w:rsidR="00DE5554">
        <w:t>similar to</w:t>
      </w:r>
      <w:r w:rsidR="00937731">
        <w:t xml:space="preserve"> other </w:t>
      </w:r>
      <w:r w:rsidR="003E0197">
        <w:t xml:space="preserve">graduates of diplomas and above. </w:t>
      </w:r>
    </w:p>
    <w:p w14:paraId="1FEE21E2" w14:textId="77777777" w:rsidR="00B80F46" w:rsidRPr="00837EEF" w:rsidRDefault="00B80F46" w:rsidP="00B80F46">
      <w:pPr>
        <w:pStyle w:val="tabletitle"/>
      </w:pPr>
      <w:bookmarkStart w:id="22" w:name="_Toc257836864"/>
      <w:r>
        <w:t>Table 1</w:t>
      </w:r>
      <w:r w:rsidRPr="00837EEF">
        <w:tab/>
        <w:t>Percentage of graduates in employment six months after training, by level of qualification and broad and selected narrow field of education, 2</w:t>
      </w:r>
      <w:r>
        <w:t>012</w:t>
      </w:r>
      <w:bookmarkEnd w:id="22"/>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B80F46" w:rsidRPr="00354810" w14:paraId="36593878" w14:textId="77777777" w:rsidTr="00B80F46">
        <w:trPr>
          <w:trHeight w:val="255"/>
          <w:tblHeader/>
        </w:trPr>
        <w:tc>
          <w:tcPr>
            <w:tcW w:w="2876" w:type="dxa"/>
            <w:tcBorders>
              <w:top w:val="single" w:sz="4" w:space="0" w:color="auto"/>
              <w:bottom w:val="nil"/>
            </w:tcBorders>
            <w:shd w:val="clear" w:color="auto" w:fill="auto"/>
            <w:vAlign w:val="center"/>
          </w:tcPr>
          <w:p w14:paraId="0D968EA8" w14:textId="77777777" w:rsidR="00B80F46" w:rsidRPr="00354810" w:rsidRDefault="00B80F46" w:rsidP="00B80F46">
            <w:pPr>
              <w:pStyle w:val="Tablehead1"/>
            </w:pPr>
            <w:r w:rsidRPr="00354810">
              <w:t>Field of education</w:t>
            </w:r>
          </w:p>
        </w:tc>
        <w:tc>
          <w:tcPr>
            <w:tcW w:w="860" w:type="dxa"/>
            <w:tcBorders>
              <w:top w:val="single" w:sz="4" w:space="0" w:color="auto"/>
              <w:bottom w:val="nil"/>
            </w:tcBorders>
            <w:vAlign w:val="center"/>
          </w:tcPr>
          <w:p w14:paraId="63EB754E" w14:textId="77777777" w:rsidR="00B80F46" w:rsidRPr="00354810" w:rsidRDefault="00B80F46" w:rsidP="00B80F46">
            <w:pPr>
              <w:pStyle w:val="Tablehead1"/>
              <w:jc w:val="right"/>
              <w:rPr>
                <w:bCs/>
              </w:rPr>
            </w:pPr>
            <w:r w:rsidRPr="00354810">
              <w:rPr>
                <w:bCs/>
              </w:rPr>
              <w:t>Cert I</w:t>
            </w:r>
          </w:p>
        </w:tc>
        <w:tc>
          <w:tcPr>
            <w:tcW w:w="861" w:type="dxa"/>
            <w:tcBorders>
              <w:top w:val="single" w:sz="4" w:space="0" w:color="auto"/>
              <w:bottom w:val="nil"/>
            </w:tcBorders>
            <w:vAlign w:val="center"/>
          </w:tcPr>
          <w:p w14:paraId="5B002CF7" w14:textId="77777777" w:rsidR="00B80F46" w:rsidRPr="00354810" w:rsidRDefault="00B80F46" w:rsidP="00B80F46">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30C9F4B2" w14:textId="77777777" w:rsidR="00B80F46" w:rsidRPr="00354810" w:rsidRDefault="00B80F46" w:rsidP="00B80F46">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4EBD18E5" w14:textId="77777777" w:rsidR="00B80F46" w:rsidRPr="00354810" w:rsidRDefault="00B80F46" w:rsidP="00B80F46">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4770E6ED" w14:textId="77777777" w:rsidR="00B80F46" w:rsidRPr="00354810" w:rsidRDefault="00B80F46" w:rsidP="00B80F46">
            <w:pPr>
              <w:pStyle w:val="Tablehead1"/>
              <w:jc w:val="right"/>
              <w:rPr>
                <w:bCs/>
              </w:rPr>
            </w:pPr>
            <w:r>
              <w:rPr>
                <w:bCs/>
              </w:rPr>
              <w:t>Dips and above</w:t>
            </w:r>
          </w:p>
        </w:tc>
        <w:tc>
          <w:tcPr>
            <w:tcW w:w="861" w:type="dxa"/>
            <w:tcBorders>
              <w:top w:val="single" w:sz="4" w:space="0" w:color="auto"/>
              <w:bottom w:val="nil"/>
            </w:tcBorders>
            <w:vAlign w:val="center"/>
          </w:tcPr>
          <w:p w14:paraId="5157F4DA" w14:textId="77777777" w:rsidR="00B80F46" w:rsidRPr="00354810" w:rsidRDefault="00B80F46" w:rsidP="00B80F46">
            <w:pPr>
              <w:pStyle w:val="Tablehead1"/>
              <w:jc w:val="right"/>
              <w:rPr>
                <w:bCs/>
              </w:rPr>
            </w:pPr>
            <w:r w:rsidRPr="00354810">
              <w:rPr>
                <w:bCs/>
              </w:rPr>
              <w:t>All levels</w:t>
            </w:r>
          </w:p>
        </w:tc>
      </w:tr>
      <w:tr w:rsidR="00B80F46" w:rsidRPr="00354810" w14:paraId="4FEB65B7" w14:textId="77777777" w:rsidTr="00B80F46">
        <w:trPr>
          <w:trHeight w:val="255"/>
        </w:trPr>
        <w:tc>
          <w:tcPr>
            <w:tcW w:w="2876" w:type="dxa"/>
            <w:tcBorders>
              <w:top w:val="nil"/>
              <w:bottom w:val="nil"/>
            </w:tcBorders>
            <w:shd w:val="clear" w:color="auto" w:fill="auto"/>
            <w:vAlign w:val="center"/>
          </w:tcPr>
          <w:p w14:paraId="17D8354E" w14:textId="77777777" w:rsidR="00B80F46" w:rsidRPr="00354810" w:rsidRDefault="00B80F46" w:rsidP="00B80F46">
            <w:pPr>
              <w:pStyle w:val="Tabletext"/>
              <w:rPr>
                <w:b/>
                <w:bCs/>
              </w:rPr>
            </w:pPr>
            <w:r w:rsidRPr="001C689E">
              <w:rPr>
                <w:b/>
                <w:bCs/>
              </w:rPr>
              <w:t>Society and culture</w:t>
            </w:r>
          </w:p>
        </w:tc>
        <w:tc>
          <w:tcPr>
            <w:tcW w:w="860" w:type="dxa"/>
            <w:tcBorders>
              <w:top w:val="nil"/>
              <w:bottom w:val="nil"/>
            </w:tcBorders>
            <w:vAlign w:val="center"/>
          </w:tcPr>
          <w:p w14:paraId="5C819F6A" w14:textId="77777777" w:rsidR="00B80F46" w:rsidRPr="00354810" w:rsidRDefault="00B80F46" w:rsidP="00B80F46">
            <w:pPr>
              <w:pStyle w:val="Tabletext"/>
              <w:jc w:val="right"/>
            </w:pPr>
            <w:r>
              <w:t>59.0</w:t>
            </w:r>
          </w:p>
        </w:tc>
        <w:tc>
          <w:tcPr>
            <w:tcW w:w="861" w:type="dxa"/>
            <w:tcBorders>
              <w:top w:val="nil"/>
              <w:bottom w:val="nil"/>
            </w:tcBorders>
            <w:vAlign w:val="center"/>
          </w:tcPr>
          <w:p w14:paraId="73CD9A8B" w14:textId="77777777" w:rsidR="00B80F46" w:rsidRPr="00354810" w:rsidRDefault="00B80F46" w:rsidP="00B80F46">
            <w:pPr>
              <w:pStyle w:val="Tabletext"/>
              <w:tabs>
                <w:tab w:val="decimal" w:pos="0"/>
                <w:tab w:val="decimal" w:pos="645"/>
              </w:tabs>
              <w:jc w:val="right"/>
            </w:pPr>
            <w:r>
              <w:t>67.3</w:t>
            </w:r>
          </w:p>
        </w:tc>
        <w:tc>
          <w:tcPr>
            <w:tcW w:w="861" w:type="dxa"/>
            <w:tcBorders>
              <w:top w:val="nil"/>
              <w:bottom w:val="nil"/>
            </w:tcBorders>
            <w:shd w:val="clear" w:color="auto" w:fill="auto"/>
            <w:vAlign w:val="center"/>
          </w:tcPr>
          <w:p w14:paraId="31AEBC0F" w14:textId="77777777" w:rsidR="00B80F46" w:rsidRPr="00354810" w:rsidRDefault="00B80F46" w:rsidP="00B80F46">
            <w:pPr>
              <w:pStyle w:val="Tabletext"/>
              <w:jc w:val="right"/>
            </w:pPr>
            <w:r>
              <w:t>72.5</w:t>
            </w:r>
          </w:p>
        </w:tc>
        <w:tc>
          <w:tcPr>
            <w:tcW w:w="860" w:type="dxa"/>
            <w:tcBorders>
              <w:top w:val="nil"/>
              <w:bottom w:val="nil"/>
            </w:tcBorders>
            <w:shd w:val="clear" w:color="auto" w:fill="auto"/>
            <w:vAlign w:val="center"/>
          </w:tcPr>
          <w:p w14:paraId="17716524" w14:textId="77777777" w:rsidR="00B80F46" w:rsidRPr="00354810" w:rsidRDefault="00B80F46" w:rsidP="00B80F46">
            <w:pPr>
              <w:pStyle w:val="Tabletext"/>
              <w:jc w:val="right"/>
            </w:pPr>
            <w:r>
              <w:t>79.3</w:t>
            </w:r>
          </w:p>
        </w:tc>
        <w:tc>
          <w:tcPr>
            <w:tcW w:w="861" w:type="dxa"/>
            <w:tcBorders>
              <w:top w:val="nil"/>
              <w:bottom w:val="nil"/>
            </w:tcBorders>
            <w:shd w:val="pct12" w:color="auto" w:fill="auto"/>
            <w:vAlign w:val="center"/>
          </w:tcPr>
          <w:p w14:paraId="7441D9CF" w14:textId="77777777" w:rsidR="00B80F46" w:rsidRPr="00354810" w:rsidRDefault="00B80F46" w:rsidP="00B80F46">
            <w:pPr>
              <w:pStyle w:val="Tabletext"/>
              <w:jc w:val="right"/>
            </w:pPr>
            <w:r>
              <w:t>85.2</w:t>
            </w:r>
          </w:p>
        </w:tc>
        <w:tc>
          <w:tcPr>
            <w:tcW w:w="861" w:type="dxa"/>
            <w:tcBorders>
              <w:top w:val="nil"/>
              <w:bottom w:val="nil"/>
            </w:tcBorders>
            <w:vAlign w:val="center"/>
          </w:tcPr>
          <w:p w14:paraId="1D4DE232" w14:textId="77777777" w:rsidR="00B80F46" w:rsidRPr="00354810" w:rsidRDefault="00B80F46" w:rsidP="00B80F46">
            <w:pPr>
              <w:pStyle w:val="Tabletext"/>
              <w:jc w:val="right"/>
              <w:rPr>
                <w:b/>
              </w:rPr>
            </w:pPr>
            <w:r>
              <w:rPr>
                <w:b/>
              </w:rPr>
              <w:t>76.3</w:t>
            </w:r>
          </w:p>
        </w:tc>
      </w:tr>
      <w:tr w:rsidR="00B80F46" w:rsidRPr="00354810" w14:paraId="7F241835" w14:textId="77777777" w:rsidTr="00B80F46">
        <w:trPr>
          <w:trHeight w:val="255"/>
        </w:trPr>
        <w:tc>
          <w:tcPr>
            <w:tcW w:w="2876" w:type="dxa"/>
            <w:tcBorders>
              <w:top w:val="nil"/>
              <w:bottom w:val="nil"/>
            </w:tcBorders>
            <w:shd w:val="clear" w:color="auto" w:fill="auto"/>
            <w:vAlign w:val="center"/>
          </w:tcPr>
          <w:p w14:paraId="14A9F73F" w14:textId="77777777" w:rsidR="00B80F46" w:rsidRPr="00354810" w:rsidRDefault="00B80F46" w:rsidP="00B80F46">
            <w:pPr>
              <w:pStyle w:val="Tabletext"/>
              <w:ind w:left="567"/>
            </w:pPr>
            <w:r>
              <w:t>Human welfare &amp; services</w:t>
            </w:r>
          </w:p>
        </w:tc>
        <w:tc>
          <w:tcPr>
            <w:tcW w:w="860" w:type="dxa"/>
            <w:tcBorders>
              <w:top w:val="nil"/>
              <w:bottom w:val="nil"/>
            </w:tcBorders>
            <w:vAlign w:val="center"/>
          </w:tcPr>
          <w:p w14:paraId="577EF697" w14:textId="77777777" w:rsidR="00B80F46" w:rsidRPr="00354810" w:rsidRDefault="00B80F46" w:rsidP="00B80F46">
            <w:pPr>
              <w:pStyle w:val="Tabletext"/>
              <w:jc w:val="right"/>
            </w:pPr>
            <w:proofErr w:type="spellStart"/>
            <w:r>
              <w:t>na</w:t>
            </w:r>
            <w:proofErr w:type="spellEnd"/>
          </w:p>
        </w:tc>
        <w:tc>
          <w:tcPr>
            <w:tcW w:w="861" w:type="dxa"/>
            <w:tcBorders>
              <w:top w:val="nil"/>
              <w:bottom w:val="nil"/>
            </w:tcBorders>
            <w:vAlign w:val="center"/>
          </w:tcPr>
          <w:p w14:paraId="3CC6DC5E" w14:textId="77777777" w:rsidR="00B80F46" w:rsidRPr="00354810" w:rsidRDefault="00B80F46" w:rsidP="00B80F46">
            <w:pPr>
              <w:pStyle w:val="Tabletext"/>
              <w:tabs>
                <w:tab w:val="decimal" w:pos="0"/>
                <w:tab w:val="decimal" w:pos="645"/>
              </w:tabs>
              <w:jc w:val="right"/>
            </w:pPr>
            <w:r>
              <w:rPr>
                <w:rFonts w:eastAsia="Cambria"/>
              </w:rPr>
              <w:t>57.8</w:t>
            </w:r>
          </w:p>
        </w:tc>
        <w:tc>
          <w:tcPr>
            <w:tcW w:w="861" w:type="dxa"/>
            <w:tcBorders>
              <w:top w:val="nil"/>
              <w:bottom w:val="nil"/>
            </w:tcBorders>
            <w:shd w:val="clear" w:color="auto" w:fill="auto"/>
            <w:vAlign w:val="center"/>
          </w:tcPr>
          <w:p w14:paraId="3400D000" w14:textId="77777777" w:rsidR="00B80F46" w:rsidRPr="00354810" w:rsidRDefault="00B80F46" w:rsidP="00B80F46">
            <w:pPr>
              <w:pStyle w:val="Tabletext"/>
              <w:jc w:val="right"/>
            </w:pPr>
            <w:r>
              <w:rPr>
                <w:rFonts w:eastAsia="Cambria"/>
              </w:rPr>
              <w:t>77.3</w:t>
            </w:r>
          </w:p>
        </w:tc>
        <w:tc>
          <w:tcPr>
            <w:tcW w:w="860" w:type="dxa"/>
            <w:tcBorders>
              <w:top w:val="nil"/>
              <w:bottom w:val="nil"/>
            </w:tcBorders>
            <w:shd w:val="clear" w:color="auto" w:fill="auto"/>
            <w:vAlign w:val="center"/>
          </w:tcPr>
          <w:p w14:paraId="1E385F47" w14:textId="77777777" w:rsidR="00B80F46" w:rsidRPr="00354810" w:rsidRDefault="00B80F46" w:rsidP="00B80F46">
            <w:pPr>
              <w:pStyle w:val="Tabletext"/>
              <w:jc w:val="right"/>
            </w:pPr>
            <w:r>
              <w:t>81.3</w:t>
            </w:r>
          </w:p>
        </w:tc>
        <w:tc>
          <w:tcPr>
            <w:tcW w:w="861" w:type="dxa"/>
            <w:tcBorders>
              <w:top w:val="nil"/>
              <w:bottom w:val="nil"/>
            </w:tcBorders>
            <w:shd w:val="pct12" w:color="auto" w:fill="auto"/>
            <w:vAlign w:val="center"/>
          </w:tcPr>
          <w:p w14:paraId="73ABE102" w14:textId="77777777" w:rsidR="00B80F46" w:rsidRPr="00354810" w:rsidRDefault="00B80F46" w:rsidP="00B80F46">
            <w:pPr>
              <w:pStyle w:val="Tabletext"/>
              <w:jc w:val="right"/>
            </w:pPr>
            <w:r>
              <w:t>87.5</w:t>
            </w:r>
          </w:p>
        </w:tc>
        <w:tc>
          <w:tcPr>
            <w:tcW w:w="861" w:type="dxa"/>
            <w:tcBorders>
              <w:top w:val="nil"/>
              <w:bottom w:val="nil"/>
            </w:tcBorders>
            <w:vAlign w:val="center"/>
          </w:tcPr>
          <w:p w14:paraId="23E40F1A" w14:textId="77777777" w:rsidR="00B80F46" w:rsidRPr="00354810" w:rsidRDefault="00B80F46" w:rsidP="00B80F46">
            <w:pPr>
              <w:pStyle w:val="Tabletext"/>
              <w:jc w:val="right"/>
              <w:rPr>
                <w:b/>
              </w:rPr>
            </w:pPr>
            <w:r>
              <w:rPr>
                <w:b/>
              </w:rPr>
              <w:t>80.0</w:t>
            </w:r>
          </w:p>
        </w:tc>
      </w:tr>
      <w:tr w:rsidR="00B80F46" w:rsidRPr="00354810" w14:paraId="2911D9AF" w14:textId="77777777" w:rsidTr="00B80F46">
        <w:trPr>
          <w:trHeight w:val="255"/>
        </w:trPr>
        <w:tc>
          <w:tcPr>
            <w:tcW w:w="2876" w:type="dxa"/>
            <w:tcBorders>
              <w:top w:val="nil"/>
              <w:bottom w:val="nil"/>
            </w:tcBorders>
            <w:shd w:val="clear" w:color="auto" w:fill="auto"/>
            <w:vAlign w:val="center"/>
          </w:tcPr>
          <w:p w14:paraId="26C19933" w14:textId="77777777" w:rsidR="00B80F46" w:rsidRDefault="00B80F46" w:rsidP="00B80F46">
            <w:pPr>
              <w:pStyle w:val="Tabletext"/>
            </w:pPr>
            <w:r w:rsidRPr="00354810">
              <w:rPr>
                <w:b/>
              </w:rPr>
              <w:t>Health</w:t>
            </w:r>
          </w:p>
        </w:tc>
        <w:tc>
          <w:tcPr>
            <w:tcW w:w="860" w:type="dxa"/>
            <w:tcBorders>
              <w:top w:val="nil"/>
              <w:bottom w:val="nil"/>
            </w:tcBorders>
            <w:vAlign w:val="center"/>
          </w:tcPr>
          <w:p w14:paraId="6C1EFB63" w14:textId="77777777" w:rsidR="00B80F46" w:rsidRPr="00354810" w:rsidRDefault="00B80F46" w:rsidP="00B80F46">
            <w:pPr>
              <w:pStyle w:val="Tabletext"/>
              <w:jc w:val="right"/>
            </w:pPr>
            <w:r>
              <w:t>34.7</w:t>
            </w:r>
          </w:p>
        </w:tc>
        <w:tc>
          <w:tcPr>
            <w:tcW w:w="861" w:type="dxa"/>
            <w:tcBorders>
              <w:top w:val="nil"/>
              <w:bottom w:val="nil"/>
            </w:tcBorders>
            <w:vAlign w:val="center"/>
          </w:tcPr>
          <w:p w14:paraId="7B9EF834" w14:textId="77777777" w:rsidR="00B80F46" w:rsidRPr="00354810" w:rsidRDefault="00B80F46" w:rsidP="00B80F46">
            <w:pPr>
              <w:pStyle w:val="Tabletext"/>
              <w:tabs>
                <w:tab w:val="decimal" w:pos="0"/>
                <w:tab w:val="decimal" w:pos="645"/>
              </w:tabs>
              <w:jc w:val="right"/>
            </w:pPr>
            <w:r>
              <w:t>73.7</w:t>
            </w:r>
          </w:p>
        </w:tc>
        <w:tc>
          <w:tcPr>
            <w:tcW w:w="861" w:type="dxa"/>
            <w:tcBorders>
              <w:top w:val="nil"/>
              <w:bottom w:val="nil"/>
            </w:tcBorders>
            <w:shd w:val="clear" w:color="auto" w:fill="auto"/>
            <w:vAlign w:val="center"/>
          </w:tcPr>
          <w:p w14:paraId="1CA4CAD2" w14:textId="77777777" w:rsidR="00B80F46" w:rsidRPr="00354810" w:rsidRDefault="00B80F46" w:rsidP="00B80F46">
            <w:pPr>
              <w:pStyle w:val="Tabletext"/>
              <w:jc w:val="right"/>
            </w:pPr>
            <w:r>
              <w:t>78.2</w:t>
            </w:r>
          </w:p>
        </w:tc>
        <w:tc>
          <w:tcPr>
            <w:tcW w:w="860" w:type="dxa"/>
            <w:tcBorders>
              <w:top w:val="nil"/>
              <w:bottom w:val="nil"/>
            </w:tcBorders>
            <w:shd w:val="clear" w:color="auto" w:fill="auto"/>
            <w:vAlign w:val="center"/>
          </w:tcPr>
          <w:p w14:paraId="79058B5D" w14:textId="77777777" w:rsidR="00B80F46" w:rsidRPr="00354810" w:rsidRDefault="00B80F46" w:rsidP="00B80F46">
            <w:pPr>
              <w:pStyle w:val="Tabletext"/>
              <w:jc w:val="right"/>
            </w:pPr>
            <w:r>
              <w:t>87.2</w:t>
            </w:r>
          </w:p>
        </w:tc>
        <w:tc>
          <w:tcPr>
            <w:tcW w:w="861" w:type="dxa"/>
            <w:tcBorders>
              <w:top w:val="nil"/>
              <w:bottom w:val="nil"/>
            </w:tcBorders>
            <w:shd w:val="pct12" w:color="auto" w:fill="auto"/>
            <w:vAlign w:val="center"/>
          </w:tcPr>
          <w:p w14:paraId="64C06E03" w14:textId="77777777" w:rsidR="00B80F46" w:rsidRPr="00354810" w:rsidRDefault="00B80F46" w:rsidP="00B80F46">
            <w:pPr>
              <w:pStyle w:val="Tabletext"/>
              <w:jc w:val="right"/>
            </w:pPr>
            <w:r>
              <w:t>86.8</w:t>
            </w:r>
          </w:p>
        </w:tc>
        <w:tc>
          <w:tcPr>
            <w:tcW w:w="861" w:type="dxa"/>
            <w:tcBorders>
              <w:top w:val="nil"/>
              <w:bottom w:val="nil"/>
            </w:tcBorders>
            <w:vAlign w:val="center"/>
          </w:tcPr>
          <w:p w14:paraId="4549536A" w14:textId="77777777" w:rsidR="00B80F46" w:rsidRPr="00354810" w:rsidRDefault="00B80F46" w:rsidP="00B80F46">
            <w:pPr>
              <w:pStyle w:val="Tabletext"/>
              <w:jc w:val="right"/>
              <w:rPr>
                <w:b/>
              </w:rPr>
            </w:pPr>
            <w:r>
              <w:rPr>
                <w:b/>
              </w:rPr>
              <w:t>83.2</w:t>
            </w:r>
          </w:p>
        </w:tc>
      </w:tr>
      <w:tr w:rsidR="00B80F46" w:rsidRPr="00354810" w14:paraId="22B007EA" w14:textId="77777777" w:rsidTr="00B80F46">
        <w:trPr>
          <w:trHeight w:val="255"/>
        </w:trPr>
        <w:tc>
          <w:tcPr>
            <w:tcW w:w="2876" w:type="dxa"/>
            <w:tcBorders>
              <w:top w:val="nil"/>
              <w:bottom w:val="nil"/>
            </w:tcBorders>
            <w:shd w:val="clear" w:color="auto" w:fill="auto"/>
            <w:vAlign w:val="center"/>
          </w:tcPr>
          <w:p w14:paraId="2CD8CFB0" w14:textId="77777777" w:rsidR="00B80F46" w:rsidRDefault="00B80F46" w:rsidP="00B80F46">
            <w:pPr>
              <w:pStyle w:val="Tabletext"/>
              <w:ind w:left="567"/>
            </w:pPr>
            <w:r w:rsidRPr="00354810">
              <w:t>Nursing</w:t>
            </w:r>
          </w:p>
        </w:tc>
        <w:tc>
          <w:tcPr>
            <w:tcW w:w="860" w:type="dxa"/>
            <w:tcBorders>
              <w:top w:val="nil"/>
              <w:bottom w:val="nil"/>
            </w:tcBorders>
            <w:vAlign w:val="center"/>
          </w:tcPr>
          <w:p w14:paraId="14A466DC" w14:textId="77777777" w:rsidR="00B80F46" w:rsidRPr="00354810" w:rsidRDefault="00B80F46" w:rsidP="00B80F46">
            <w:pPr>
              <w:pStyle w:val="Tabletext"/>
              <w:jc w:val="right"/>
            </w:pPr>
            <w:proofErr w:type="spellStart"/>
            <w:r>
              <w:t>na</w:t>
            </w:r>
            <w:proofErr w:type="spellEnd"/>
          </w:p>
        </w:tc>
        <w:tc>
          <w:tcPr>
            <w:tcW w:w="861" w:type="dxa"/>
            <w:tcBorders>
              <w:top w:val="nil"/>
              <w:bottom w:val="nil"/>
            </w:tcBorders>
            <w:vAlign w:val="center"/>
          </w:tcPr>
          <w:p w14:paraId="020ACA30" w14:textId="77777777" w:rsidR="00B80F46" w:rsidRPr="00354810" w:rsidRDefault="00B80F46" w:rsidP="00B80F46">
            <w:pPr>
              <w:pStyle w:val="Tabletext"/>
              <w:tabs>
                <w:tab w:val="decimal" w:pos="0"/>
                <w:tab w:val="decimal" w:pos="645"/>
              </w:tabs>
              <w:jc w:val="right"/>
            </w:pPr>
            <w:r>
              <w:t>np</w:t>
            </w:r>
          </w:p>
        </w:tc>
        <w:tc>
          <w:tcPr>
            <w:tcW w:w="861" w:type="dxa"/>
            <w:tcBorders>
              <w:top w:val="nil"/>
              <w:bottom w:val="nil"/>
            </w:tcBorders>
            <w:shd w:val="clear" w:color="auto" w:fill="auto"/>
            <w:vAlign w:val="center"/>
          </w:tcPr>
          <w:p w14:paraId="72FB32C1" w14:textId="77777777" w:rsidR="00B80F46" w:rsidRPr="00354810" w:rsidRDefault="00B80F46" w:rsidP="00B80F46">
            <w:pPr>
              <w:pStyle w:val="Tabletext"/>
              <w:jc w:val="right"/>
            </w:pPr>
            <w:r>
              <w:t>81.2</w:t>
            </w:r>
          </w:p>
        </w:tc>
        <w:tc>
          <w:tcPr>
            <w:tcW w:w="860" w:type="dxa"/>
            <w:tcBorders>
              <w:top w:val="nil"/>
              <w:bottom w:val="nil"/>
            </w:tcBorders>
            <w:shd w:val="clear" w:color="auto" w:fill="auto"/>
            <w:vAlign w:val="center"/>
          </w:tcPr>
          <w:p w14:paraId="29D71379" w14:textId="77777777" w:rsidR="00B80F46" w:rsidRPr="00354810" w:rsidRDefault="00B80F46" w:rsidP="00B80F46">
            <w:pPr>
              <w:pStyle w:val="Tabletext"/>
              <w:jc w:val="right"/>
            </w:pPr>
            <w:r>
              <w:t>92.1</w:t>
            </w:r>
          </w:p>
        </w:tc>
        <w:tc>
          <w:tcPr>
            <w:tcW w:w="861" w:type="dxa"/>
            <w:tcBorders>
              <w:top w:val="nil"/>
              <w:bottom w:val="nil"/>
            </w:tcBorders>
            <w:shd w:val="pct12" w:color="auto" w:fill="auto"/>
            <w:vAlign w:val="center"/>
          </w:tcPr>
          <w:p w14:paraId="3B12CF04" w14:textId="77777777" w:rsidR="00B80F46" w:rsidRPr="00354810" w:rsidRDefault="00B80F46" w:rsidP="00B80F46">
            <w:pPr>
              <w:pStyle w:val="Tabletext"/>
              <w:jc w:val="right"/>
            </w:pPr>
            <w:r>
              <w:t>85.8</w:t>
            </w:r>
          </w:p>
        </w:tc>
        <w:tc>
          <w:tcPr>
            <w:tcW w:w="861" w:type="dxa"/>
            <w:tcBorders>
              <w:top w:val="nil"/>
              <w:bottom w:val="nil"/>
            </w:tcBorders>
            <w:vAlign w:val="center"/>
          </w:tcPr>
          <w:p w14:paraId="5B9C9FEC" w14:textId="77777777" w:rsidR="00B80F46" w:rsidRPr="00354810" w:rsidRDefault="00B80F46" w:rsidP="00B80F46">
            <w:pPr>
              <w:pStyle w:val="Tabletext"/>
              <w:jc w:val="right"/>
              <w:rPr>
                <w:b/>
              </w:rPr>
            </w:pPr>
            <w:r>
              <w:rPr>
                <w:b/>
              </w:rPr>
              <w:t>86.5</w:t>
            </w:r>
          </w:p>
        </w:tc>
      </w:tr>
      <w:tr w:rsidR="00B80F46" w:rsidRPr="00354810" w14:paraId="2217D9A1" w14:textId="77777777" w:rsidTr="00B80F46">
        <w:trPr>
          <w:trHeight w:val="255"/>
        </w:trPr>
        <w:tc>
          <w:tcPr>
            <w:tcW w:w="2876" w:type="dxa"/>
            <w:tcBorders>
              <w:top w:val="single" w:sz="4" w:space="0" w:color="auto"/>
              <w:bottom w:val="single" w:sz="4" w:space="0" w:color="auto"/>
            </w:tcBorders>
            <w:shd w:val="clear" w:color="auto" w:fill="auto"/>
            <w:vAlign w:val="center"/>
          </w:tcPr>
          <w:p w14:paraId="562C540E" w14:textId="77777777" w:rsidR="00B80F46" w:rsidRPr="00354810" w:rsidRDefault="00B80F46" w:rsidP="00B80F46">
            <w:pPr>
              <w:pStyle w:val="Tabletext"/>
              <w:rPr>
                <w:b/>
              </w:rPr>
            </w:pPr>
            <w:r w:rsidRPr="00354810">
              <w:rPr>
                <w:b/>
              </w:rPr>
              <w:t>All fields</w:t>
            </w:r>
          </w:p>
        </w:tc>
        <w:tc>
          <w:tcPr>
            <w:tcW w:w="860" w:type="dxa"/>
            <w:tcBorders>
              <w:top w:val="single" w:sz="4" w:space="0" w:color="auto"/>
              <w:bottom w:val="single" w:sz="4" w:space="0" w:color="auto"/>
            </w:tcBorders>
            <w:vAlign w:val="center"/>
          </w:tcPr>
          <w:p w14:paraId="7DA171D4" w14:textId="77777777" w:rsidR="00B80F46" w:rsidRPr="00354810" w:rsidRDefault="00B80F46" w:rsidP="00B80F46">
            <w:pPr>
              <w:pStyle w:val="Tabletext"/>
              <w:jc w:val="right"/>
              <w:rPr>
                <w:b/>
              </w:rPr>
            </w:pPr>
            <w:r>
              <w:rPr>
                <w:b/>
              </w:rPr>
              <w:t>50.5</w:t>
            </w:r>
          </w:p>
        </w:tc>
        <w:tc>
          <w:tcPr>
            <w:tcW w:w="861" w:type="dxa"/>
            <w:tcBorders>
              <w:top w:val="single" w:sz="4" w:space="0" w:color="auto"/>
              <w:bottom w:val="single" w:sz="4" w:space="0" w:color="auto"/>
            </w:tcBorders>
            <w:vAlign w:val="center"/>
          </w:tcPr>
          <w:p w14:paraId="3598BC91" w14:textId="77777777" w:rsidR="00B80F46" w:rsidRPr="00354810" w:rsidRDefault="00B80F46" w:rsidP="00B80F46">
            <w:pPr>
              <w:pStyle w:val="Tabletext"/>
              <w:tabs>
                <w:tab w:val="decimal" w:pos="0"/>
                <w:tab w:val="decimal" w:pos="645"/>
              </w:tabs>
              <w:jc w:val="right"/>
              <w:rPr>
                <w:b/>
              </w:rPr>
            </w:pPr>
            <w:r>
              <w:rPr>
                <w:b/>
              </w:rPr>
              <w:t>61.8</w:t>
            </w:r>
          </w:p>
        </w:tc>
        <w:tc>
          <w:tcPr>
            <w:tcW w:w="861" w:type="dxa"/>
            <w:tcBorders>
              <w:top w:val="single" w:sz="4" w:space="0" w:color="auto"/>
              <w:bottom w:val="single" w:sz="4" w:space="0" w:color="auto"/>
            </w:tcBorders>
            <w:shd w:val="clear" w:color="auto" w:fill="auto"/>
            <w:vAlign w:val="center"/>
          </w:tcPr>
          <w:p w14:paraId="3F86C58A" w14:textId="77777777" w:rsidR="00B80F46" w:rsidRPr="00354810" w:rsidRDefault="00B80F46" w:rsidP="00B80F46">
            <w:pPr>
              <w:pStyle w:val="Tabletext"/>
              <w:jc w:val="right"/>
              <w:rPr>
                <w:b/>
              </w:rPr>
            </w:pPr>
            <w:r>
              <w:rPr>
                <w:b/>
              </w:rPr>
              <w:t>79.2</w:t>
            </w:r>
          </w:p>
        </w:tc>
        <w:tc>
          <w:tcPr>
            <w:tcW w:w="860" w:type="dxa"/>
            <w:tcBorders>
              <w:top w:val="single" w:sz="4" w:space="0" w:color="auto"/>
              <w:bottom w:val="single" w:sz="4" w:space="0" w:color="auto"/>
            </w:tcBorders>
            <w:shd w:val="clear" w:color="auto" w:fill="auto"/>
            <w:vAlign w:val="center"/>
          </w:tcPr>
          <w:p w14:paraId="3055282F" w14:textId="77777777" w:rsidR="00B80F46" w:rsidRPr="00354810" w:rsidRDefault="00B80F46" w:rsidP="00B80F46">
            <w:pPr>
              <w:pStyle w:val="Tabletext"/>
              <w:jc w:val="right"/>
              <w:rPr>
                <w:b/>
              </w:rPr>
            </w:pPr>
            <w:r>
              <w:rPr>
                <w:b/>
              </w:rPr>
              <w:t>84.0</w:t>
            </w:r>
          </w:p>
        </w:tc>
        <w:tc>
          <w:tcPr>
            <w:tcW w:w="861" w:type="dxa"/>
            <w:tcBorders>
              <w:top w:val="single" w:sz="4" w:space="0" w:color="auto"/>
              <w:bottom w:val="single" w:sz="4" w:space="0" w:color="auto"/>
            </w:tcBorders>
            <w:shd w:val="pct12" w:color="auto" w:fill="auto"/>
            <w:vAlign w:val="center"/>
          </w:tcPr>
          <w:p w14:paraId="4DF35FE0" w14:textId="77777777" w:rsidR="00B80F46" w:rsidRPr="00354810" w:rsidRDefault="00B80F46" w:rsidP="00B80F46">
            <w:pPr>
              <w:pStyle w:val="Tabletext"/>
              <w:jc w:val="right"/>
              <w:rPr>
                <w:b/>
              </w:rPr>
            </w:pPr>
            <w:r>
              <w:rPr>
                <w:b/>
              </w:rPr>
              <w:t>83.2</w:t>
            </w:r>
          </w:p>
        </w:tc>
        <w:tc>
          <w:tcPr>
            <w:tcW w:w="861" w:type="dxa"/>
            <w:tcBorders>
              <w:top w:val="single" w:sz="4" w:space="0" w:color="auto"/>
              <w:bottom w:val="single" w:sz="4" w:space="0" w:color="auto"/>
            </w:tcBorders>
            <w:vAlign w:val="center"/>
          </w:tcPr>
          <w:p w14:paraId="0CB1F530" w14:textId="77777777" w:rsidR="00B80F46" w:rsidRPr="00354810" w:rsidRDefault="00B80F46" w:rsidP="00B80F46">
            <w:pPr>
              <w:pStyle w:val="Tabletext"/>
              <w:jc w:val="right"/>
              <w:rPr>
                <w:b/>
              </w:rPr>
            </w:pPr>
            <w:r>
              <w:rPr>
                <w:b/>
              </w:rPr>
              <w:t>77.8</w:t>
            </w:r>
          </w:p>
        </w:tc>
      </w:tr>
    </w:tbl>
    <w:p w14:paraId="0804A8E5" w14:textId="77777777" w:rsidR="00B80F46" w:rsidRDefault="00B80F46" w:rsidP="00B80F46">
      <w:pPr>
        <w:pStyle w:val="Source"/>
      </w:pPr>
      <w:r>
        <w:t>Source:</w:t>
      </w:r>
      <w:r>
        <w:tab/>
        <w:t>NCVER (2013).</w:t>
      </w:r>
    </w:p>
    <w:p w14:paraId="35CFFD88" w14:textId="77777777" w:rsidR="00B80F46" w:rsidRDefault="00B80F46" w:rsidP="00B80F46">
      <w:pPr>
        <w:pStyle w:val="Source"/>
      </w:pPr>
      <w:r>
        <w:t>Notes:</w:t>
      </w:r>
      <w:r>
        <w:tab/>
      </w:r>
      <w:proofErr w:type="spellStart"/>
      <w:proofErr w:type="gramStart"/>
      <w:r>
        <w:t>na</w:t>
      </w:r>
      <w:proofErr w:type="spellEnd"/>
      <w:proofErr w:type="gramEnd"/>
      <w:r>
        <w:t xml:space="preserve"> </w:t>
      </w:r>
      <w:r w:rsidRPr="00147C93">
        <w:t>Not applicable</w:t>
      </w:r>
    </w:p>
    <w:p w14:paraId="073E27EC" w14:textId="77777777" w:rsidR="00B80F46" w:rsidRDefault="00B80F46" w:rsidP="00B80F46">
      <w:pPr>
        <w:pStyle w:val="Source"/>
        <w:ind w:firstLine="0"/>
      </w:pPr>
      <w:proofErr w:type="gramStart"/>
      <w:r>
        <w:t>np</w:t>
      </w:r>
      <w:proofErr w:type="gramEnd"/>
      <w:r>
        <w:t xml:space="preserve"> Not published. NCVER does not report on estimates based on five or fewer respondents because the estimates are unreliable.</w:t>
      </w:r>
    </w:p>
    <w:p w14:paraId="768E3038" w14:textId="15880385" w:rsidR="00F50B38" w:rsidRDefault="003E0197" w:rsidP="003E0197">
      <w:pPr>
        <w:pStyle w:val="Text"/>
      </w:pPr>
      <w:r>
        <w:lastRenderedPageBreak/>
        <w:t xml:space="preserve">While the overall employment rate for graduates in health and </w:t>
      </w:r>
      <w:r w:rsidR="00E93C14">
        <w:t xml:space="preserve">human welfare and services </w:t>
      </w:r>
      <w:r>
        <w:t xml:space="preserve">are </w:t>
      </w:r>
      <w:r w:rsidR="00F322F3">
        <w:t xml:space="preserve">similar </w:t>
      </w:r>
      <w:r>
        <w:t xml:space="preserve">to each other and to all VET graduates, Table 2 shows that nursing graduates are more likely to be employed in nursing, compared to other graduates who are less likely to be employed in the occupation associated with their qualification. This is particularly the case for graduates of diplomas and above in </w:t>
      </w:r>
      <w:r w:rsidR="00937731">
        <w:t xml:space="preserve">the </w:t>
      </w:r>
      <w:r>
        <w:t xml:space="preserve">nursing </w:t>
      </w:r>
      <w:r w:rsidR="00937731">
        <w:t xml:space="preserve">narrow field of education </w:t>
      </w:r>
      <w:r w:rsidR="009C0B58">
        <w:t xml:space="preserve">where just over 72% of diploma and above graduates enter nursing, compared to </w:t>
      </w:r>
      <w:r>
        <w:t xml:space="preserve">the </w:t>
      </w:r>
      <w:r w:rsidR="00331667">
        <w:t>h</w:t>
      </w:r>
      <w:r>
        <w:t>uman welfare and services narrow field of education</w:t>
      </w:r>
      <w:r w:rsidR="009C0B58">
        <w:t xml:space="preserve"> where </w:t>
      </w:r>
      <w:r w:rsidR="008207A6">
        <w:t xml:space="preserve">just </w:t>
      </w:r>
      <w:proofErr w:type="gramStart"/>
      <w:r w:rsidR="008207A6">
        <w:t>under</w:t>
      </w:r>
      <w:proofErr w:type="gramEnd"/>
      <w:r w:rsidR="004D186E">
        <w:t xml:space="preserve"> </w:t>
      </w:r>
      <w:r w:rsidR="009C0B58">
        <w:t>18</w:t>
      </w:r>
      <w:r w:rsidR="003D41A0">
        <w:t>%</w:t>
      </w:r>
      <w:r w:rsidR="009C0B58">
        <w:t xml:space="preserve"> of diploma and above graduates are employed in </w:t>
      </w:r>
      <w:r w:rsidR="00BC0F67">
        <w:t xml:space="preserve">occupations </w:t>
      </w:r>
      <w:r w:rsidR="009C0B58">
        <w:t>associated with their qualification</w:t>
      </w:r>
      <w:r>
        <w:t xml:space="preserve">. </w:t>
      </w:r>
      <w:r w:rsidR="009C0B58">
        <w:t>This is even lower than the 25</w:t>
      </w:r>
      <w:r w:rsidR="003D41A0">
        <w:t>%</w:t>
      </w:r>
      <w:r w:rsidR="009C0B58">
        <w:t xml:space="preserve"> of diploma and above </w:t>
      </w:r>
      <w:r w:rsidR="003316BA">
        <w:t xml:space="preserve">VET </w:t>
      </w:r>
      <w:r w:rsidR="009C0B58">
        <w:t>graduates overall who work in occupations associated with their qualifications. T</w:t>
      </w:r>
      <w:r>
        <w:t xml:space="preserve">he tight link between employment destination and qualification in nursing at diploma and above level reflects the </w:t>
      </w:r>
      <w:r w:rsidR="009C0B58">
        <w:t xml:space="preserve">requirement that enrolled nurses must have a diploma </w:t>
      </w:r>
      <w:r w:rsidR="00BC0F67">
        <w:t>to become an enrolled nurse</w:t>
      </w:r>
      <w:r w:rsidR="00F50B38">
        <w:t>.</w:t>
      </w:r>
    </w:p>
    <w:p w14:paraId="47DCC9FB" w14:textId="79A54124" w:rsidR="004D186E" w:rsidRDefault="004D186E" w:rsidP="003E0197">
      <w:pPr>
        <w:pStyle w:val="Text"/>
      </w:pPr>
      <w:r>
        <w:t>In the human welfare and services narrow field of education</w:t>
      </w:r>
      <w:r w:rsidR="009135F3">
        <w:t xml:space="preserve"> in contrast</w:t>
      </w:r>
      <w:r>
        <w:t>, a very high proportion of certificate III graduates work in occupations associated with their qualification</w:t>
      </w:r>
      <w:r w:rsidR="009135F3">
        <w:t xml:space="preserve"> which reflects </w:t>
      </w:r>
      <w:r>
        <w:t>the use of certificates III as entry level qualifications in occupations in childcare, aged care and disability support work</w:t>
      </w:r>
      <w:r w:rsidR="009135F3">
        <w:t>. This is so</w:t>
      </w:r>
      <w:r>
        <w:t xml:space="preserve">, even though their use as </w:t>
      </w:r>
      <w:r w:rsidR="008207A6">
        <w:t xml:space="preserve">entry </w:t>
      </w:r>
      <w:r w:rsidR="009135F3">
        <w:t>level</w:t>
      </w:r>
      <w:r>
        <w:t xml:space="preserve"> qualifications isn’t as tightly mandated </w:t>
      </w:r>
      <w:r w:rsidR="00937731">
        <w:t xml:space="preserve">as diplomas are </w:t>
      </w:r>
      <w:r>
        <w:t>in nursing. However, certificates III are increasing</w:t>
      </w:r>
      <w:r w:rsidR="009135F3">
        <w:t xml:space="preserve">ly required in these industries, and in childcare, </w:t>
      </w:r>
      <w:r w:rsidR="00937731">
        <w:t xml:space="preserve">a certificate III </w:t>
      </w:r>
      <w:r w:rsidR="009135F3">
        <w:t>will be</w:t>
      </w:r>
      <w:r w:rsidR="008207A6">
        <w:t xml:space="preserve">come the mandated minimum entry </w:t>
      </w:r>
      <w:r w:rsidR="009135F3">
        <w:t>level qualification from 2014. While individual workers in aged care don’t yet face the same mandatory requirements to be suitably qualified, the accreditation standards for aged care providers requires them to employ staff ‘who are appropriately skilled and qualified’</w:t>
      </w:r>
      <w:r w:rsidR="009135F3">
        <w:rPr>
          <w:rStyle w:val="FootnoteReference"/>
        </w:rPr>
        <w:footnoteReference w:id="1"/>
      </w:r>
      <w:r w:rsidR="009135F3">
        <w:t xml:space="preserve"> and this puts pressure on aged care providers to employ staff with a minimum of a certificate III. </w:t>
      </w:r>
    </w:p>
    <w:p w14:paraId="7C3D82EA" w14:textId="77777777" w:rsidR="00B80F46" w:rsidRPr="00837EEF" w:rsidRDefault="00B80F46" w:rsidP="00B80F46">
      <w:pPr>
        <w:pStyle w:val="tabletitle"/>
      </w:pPr>
      <w:bookmarkStart w:id="23" w:name="_Toc257836865"/>
      <w:r>
        <w:t>Table 2</w:t>
      </w:r>
      <w:r w:rsidRPr="00837EEF">
        <w:tab/>
      </w:r>
      <w:r w:rsidRPr="00771F89">
        <w:t>Percentage of those employed six months after training working in the same occupation as their training, by level of qualification and broad and selected</w:t>
      </w:r>
      <w:r>
        <w:t xml:space="preserve"> narrow field of education, 2012</w:t>
      </w:r>
      <w:bookmarkEnd w:id="23"/>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B80F46" w:rsidRPr="00354810" w14:paraId="04493A1D" w14:textId="77777777" w:rsidTr="00B80F46">
        <w:trPr>
          <w:trHeight w:val="255"/>
          <w:tblHeader/>
        </w:trPr>
        <w:tc>
          <w:tcPr>
            <w:tcW w:w="2876" w:type="dxa"/>
            <w:tcBorders>
              <w:top w:val="single" w:sz="4" w:space="0" w:color="auto"/>
              <w:bottom w:val="nil"/>
            </w:tcBorders>
            <w:shd w:val="clear" w:color="auto" w:fill="auto"/>
            <w:vAlign w:val="center"/>
          </w:tcPr>
          <w:p w14:paraId="5ED437F4" w14:textId="77777777" w:rsidR="00B80F46" w:rsidRPr="00354810" w:rsidRDefault="00B80F46" w:rsidP="00B80F46">
            <w:pPr>
              <w:pStyle w:val="Tablehead1"/>
            </w:pPr>
            <w:r w:rsidRPr="00354810">
              <w:t>Field of education</w:t>
            </w:r>
          </w:p>
        </w:tc>
        <w:tc>
          <w:tcPr>
            <w:tcW w:w="860" w:type="dxa"/>
            <w:tcBorders>
              <w:top w:val="single" w:sz="4" w:space="0" w:color="auto"/>
              <w:bottom w:val="nil"/>
            </w:tcBorders>
            <w:vAlign w:val="center"/>
          </w:tcPr>
          <w:p w14:paraId="0E7369AE" w14:textId="77777777" w:rsidR="00B80F46" w:rsidRPr="00354810" w:rsidRDefault="00B80F46" w:rsidP="00B80F46">
            <w:pPr>
              <w:pStyle w:val="Tablehead1"/>
              <w:jc w:val="right"/>
              <w:rPr>
                <w:bCs/>
              </w:rPr>
            </w:pPr>
            <w:r w:rsidRPr="00354810">
              <w:rPr>
                <w:bCs/>
              </w:rPr>
              <w:t>Cert I</w:t>
            </w:r>
          </w:p>
        </w:tc>
        <w:tc>
          <w:tcPr>
            <w:tcW w:w="861" w:type="dxa"/>
            <w:tcBorders>
              <w:top w:val="single" w:sz="4" w:space="0" w:color="auto"/>
              <w:bottom w:val="nil"/>
            </w:tcBorders>
            <w:vAlign w:val="center"/>
          </w:tcPr>
          <w:p w14:paraId="7CA9EA1C" w14:textId="77777777" w:rsidR="00B80F46" w:rsidRPr="00354810" w:rsidRDefault="00B80F46" w:rsidP="00B80F46">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1D873354" w14:textId="77777777" w:rsidR="00B80F46" w:rsidRPr="00354810" w:rsidRDefault="00B80F46" w:rsidP="00B80F46">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66C8DA6E" w14:textId="77777777" w:rsidR="00B80F46" w:rsidRPr="00354810" w:rsidRDefault="00B80F46" w:rsidP="00B80F46">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4270A1A7" w14:textId="77777777" w:rsidR="00B80F46" w:rsidRPr="00354810" w:rsidRDefault="00B80F46" w:rsidP="00B80F46">
            <w:pPr>
              <w:pStyle w:val="Tablehead1"/>
              <w:jc w:val="right"/>
              <w:rPr>
                <w:bCs/>
              </w:rPr>
            </w:pPr>
            <w:r>
              <w:rPr>
                <w:bCs/>
              </w:rPr>
              <w:t>Dips and above</w:t>
            </w:r>
          </w:p>
        </w:tc>
        <w:tc>
          <w:tcPr>
            <w:tcW w:w="861" w:type="dxa"/>
            <w:tcBorders>
              <w:top w:val="single" w:sz="4" w:space="0" w:color="auto"/>
              <w:bottom w:val="nil"/>
            </w:tcBorders>
            <w:vAlign w:val="center"/>
          </w:tcPr>
          <w:p w14:paraId="75F64886" w14:textId="77777777" w:rsidR="00B80F46" w:rsidRPr="00354810" w:rsidRDefault="00B80F46" w:rsidP="00B80F46">
            <w:pPr>
              <w:pStyle w:val="Tablehead1"/>
              <w:jc w:val="right"/>
              <w:rPr>
                <w:bCs/>
              </w:rPr>
            </w:pPr>
            <w:r w:rsidRPr="00354810">
              <w:rPr>
                <w:bCs/>
              </w:rPr>
              <w:t>All levels</w:t>
            </w:r>
          </w:p>
        </w:tc>
      </w:tr>
      <w:tr w:rsidR="00B80F46" w:rsidRPr="00354810" w14:paraId="04C2A1A1" w14:textId="77777777" w:rsidTr="00B80F46">
        <w:trPr>
          <w:trHeight w:val="255"/>
        </w:trPr>
        <w:tc>
          <w:tcPr>
            <w:tcW w:w="2876" w:type="dxa"/>
            <w:tcBorders>
              <w:top w:val="nil"/>
              <w:bottom w:val="nil"/>
            </w:tcBorders>
            <w:shd w:val="clear" w:color="auto" w:fill="auto"/>
            <w:vAlign w:val="center"/>
          </w:tcPr>
          <w:p w14:paraId="084720B6" w14:textId="77777777" w:rsidR="00B80F46" w:rsidRPr="00354810" w:rsidRDefault="00B80F46" w:rsidP="00B80F46">
            <w:pPr>
              <w:pStyle w:val="Tabletext"/>
              <w:rPr>
                <w:b/>
                <w:bCs/>
              </w:rPr>
            </w:pPr>
            <w:r w:rsidRPr="001C689E">
              <w:rPr>
                <w:b/>
                <w:bCs/>
              </w:rPr>
              <w:t>Society and culture</w:t>
            </w:r>
          </w:p>
        </w:tc>
        <w:tc>
          <w:tcPr>
            <w:tcW w:w="860" w:type="dxa"/>
            <w:tcBorders>
              <w:top w:val="nil"/>
              <w:bottom w:val="nil"/>
            </w:tcBorders>
            <w:vAlign w:val="center"/>
          </w:tcPr>
          <w:p w14:paraId="2BBEA61C" w14:textId="77777777" w:rsidR="00B80F46" w:rsidRPr="00354810" w:rsidRDefault="00B80F46" w:rsidP="00B80F46">
            <w:pPr>
              <w:pStyle w:val="Tabletext"/>
              <w:jc w:val="right"/>
            </w:pPr>
            <w:proofErr w:type="spellStart"/>
            <w:r>
              <w:rPr>
                <w:rFonts w:eastAsia="Cambria"/>
              </w:rPr>
              <w:t>na</w:t>
            </w:r>
            <w:proofErr w:type="spellEnd"/>
          </w:p>
        </w:tc>
        <w:tc>
          <w:tcPr>
            <w:tcW w:w="861" w:type="dxa"/>
            <w:tcBorders>
              <w:top w:val="nil"/>
              <w:bottom w:val="nil"/>
            </w:tcBorders>
            <w:vAlign w:val="center"/>
          </w:tcPr>
          <w:p w14:paraId="4BF7384B" w14:textId="77777777" w:rsidR="00B80F46" w:rsidRPr="00354810" w:rsidRDefault="00B80F46" w:rsidP="00B80F46">
            <w:pPr>
              <w:pStyle w:val="Tabletext"/>
              <w:tabs>
                <w:tab w:val="decimal" w:pos="0"/>
                <w:tab w:val="decimal" w:pos="645"/>
              </w:tabs>
              <w:jc w:val="right"/>
            </w:pPr>
            <w:r>
              <w:rPr>
                <w:rFonts w:eastAsia="Cambria"/>
              </w:rPr>
              <w:t>22.3*</w:t>
            </w:r>
          </w:p>
        </w:tc>
        <w:tc>
          <w:tcPr>
            <w:tcW w:w="861" w:type="dxa"/>
            <w:tcBorders>
              <w:top w:val="nil"/>
              <w:bottom w:val="nil"/>
            </w:tcBorders>
            <w:shd w:val="clear" w:color="auto" w:fill="auto"/>
            <w:vAlign w:val="center"/>
          </w:tcPr>
          <w:p w14:paraId="663770F5" w14:textId="77777777" w:rsidR="00B80F46" w:rsidRPr="00354810" w:rsidRDefault="00B80F46" w:rsidP="00B80F46">
            <w:pPr>
              <w:pStyle w:val="Tabletext"/>
              <w:jc w:val="right"/>
            </w:pPr>
            <w:r>
              <w:rPr>
                <w:rFonts w:eastAsia="Cambria"/>
              </w:rPr>
              <w:t>67.6</w:t>
            </w:r>
          </w:p>
        </w:tc>
        <w:tc>
          <w:tcPr>
            <w:tcW w:w="860" w:type="dxa"/>
            <w:tcBorders>
              <w:top w:val="nil"/>
              <w:bottom w:val="nil"/>
            </w:tcBorders>
            <w:shd w:val="clear" w:color="auto" w:fill="auto"/>
            <w:vAlign w:val="center"/>
          </w:tcPr>
          <w:p w14:paraId="77F54D6E" w14:textId="77777777" w:rsidR="00B80F46" w:rsidRPr="00354810" w:rsidRDefault="00B80F46" w:rsidP="00B80F46">
            <w:pPr>
              <w:pStyle w:val="Tabletext"/>
              <w:jc w:val="right"/>
            </w:pPr>
            <w:r>
              <w:t>32.8</w:t>
            </w:r>
          </w:p>
        </w:tc>
        <w:tc>
          <w:tcPr>
            <w:tcW w:w="861" w:type="dxa"/>
            <w:tcBorders>
              <w:top w:val="nil"/>
              <w:bottom w:val="nil"/>
            </w:tcBorders>
            <w:shd w:val="pct12" w:color="auto" w:fill="auto"/>
            <w:vAlign w:val="center"/>
          </w:tcPr>
          <w:p w14:paraId="18A85A6B" w14:textId="77777777" w:rsidR="00B80F46" w:rsidRPr="00354810" w:rsidRDefault="00B80F46" w:rsidP="00B80F46">
            <w:pPr>
              <w:pStyle w:val="Tabletext"/>
              <w:jc w:val="right"/>
            </w:pPr>
            <w:r>
              <w:t>21.0</w:t>
            </w:r>
          </w:p>
        </w:tc>
        <w:tc>
          <w:tcPr>
            <w:tcW w:w="861" w:type="dxa"/>
            <w:tcBorders>
              <w:top w:val="nil"/>
              <w:bottom w:val="nil"/>
            </w:tcBorders>
            <w:vAlign w:val="center"/>
          </w:tcPr>
          <w:p w14:paraId="0DA16C41" w14:textId="77777777" w:rsidR="00B80F46" w:rsidRPr="00354810" w:rsidRDefault="00B80F46" w:rsidP="00B80F46">
            <w:pPr>
              <w:pStyle w:val="Tabletext"/>
              <w:jc w:val="right"/>
              <w:rPr>
                <w:b/>
              </w:rPr>
            </w:pPr>
            <w:r>
              <w:rPr>
                <w:b/>
              </w:rPr>
              <w:t>45.9</w:t>
            </w:r>
          </w:p>
        </w:tc>
      </w:tr>
      <w:tr w:rsidR="00B80F46" w:rsidRPr="00354810" w14:paraId="1BA26823" w14:textId="77777777" w:rsidTr="00B80F46">
        <w:trPr>
          <w:trHeight w:val="255"/>
        </w:trPr>
        <w:tc>
          <w:tcPr>
            <w:tcW w:w="2876" w:type="dxa"/>
            <w:tcBorders>
              <w:top w:val="nil"/>
              <w:bottom w:val="nil"/>
            </w:tcBorders>
            <w:shd w:val="clear" w:color="auto" w:fill="auto"/>
            <w:vAlign w:val="center"/>
          </w:tcPr>
          <w:p w14:paraId="39BF50D1" w14:textId="77777777" w:rsidR="00B80F46" w:rsidRPr="00354810" w:rsidRDefault="00B80F46" w:rsidP="00B80F46">
            <w:pPr>
              <w:pStyle w:val="Tabletext"/>
              <w:ind w:left="567"/>
            </w:pPr>
            <w:r>
              <w:t>Human welfare &amp; services</w:t>
            </w:r>
          </w:p>
        </w:tc>
        <w:tc>
          <w:tcPr>
            <w:tcW w:w="860" w:type="dxa"/>
            <w:tcBorders>
              <w:top w:val="nil"/>
              <w:bottom w:val="nil"/>
            </w:tcBorders>
            <w:vAlign w:val="center"/>
          </w:tcPr>
          <w:p w14:paraId="7B8C25A8" w14:textId="77777777" w:rsidR="00B80F46" w:rsidRPr="00354810" w:rsidRDefault="00B80F46" w:rsidP="00B80F46">
            <w:pPr>
              <w:pStyle w:val="Tabletext"/>
              <w:jc w:val="right"/>
            </w:pPr>
            <w:proofErr w:type="spellStart"/>
            <w:r>
              <w:rPr>
                <w:rFonts w:eastAsia="Cambria"/>
              </w:rPr>
              <w:t>na</w:t>
            </w:r>
            <w:proofErr w:type="spellEnd"/>
          </w:p>
        </w:tc>
        <w:tc>
          <w:tcPr>
            <w:tcW w:w="861" w:type="dxa"/>
            <w:tcBorders>
              <w:top w:val="nil"/>
              <w:bottom w:val="nil"/>
            </w:tcBorders>
            <w:vAlign w:val="center"/>
          </w:tcPr>
          <w:p w14:paraId="4A8DA607" w14:textId="77777777" w:rsidR="00B80F46" w:rsidRPr="00354810" w:rsidRDefault="00B80F46" w:rsidP="00B80F46">
            <w:pPr>
              <w:pStyle w:val="Tabletext"/>
              <w:tabs>
                <w:tab w:val="decimal" w:pos="0"/>
                <w:tab w:val="decimal" w:pos="645"/>
              </w:tabs>
              <w:jc w:val="right"/>
            </w:pPr>
            <w:r>
              <w:rPr>
                <w:rFonts w:eastAsia="Cambria"/>
              </w:rPr>
              <w:t>31.7*</w:t>
            </w:r>
          </w:p>
        </w:tc>
        <w:tc>
          <w:tcPr>
            <w:tcW w:w="861" w:type="dxa"/>
            <w:tcBorders>
              <w:top w:val="nil"/>
              <w:bottom w:val="nil"/>
            </w:tcBorders>
            <w:shd w:val="clear" w:color="auto" w:fill="auto"/>
            <w:vAlign w:val="center"/>
          </w:tcPr>
          <w:p w14:paraId="37272818" w14:textId="77777777" w:rsidR="00B80F46" w:rsidRPr="00354810" w:rsidRDefault="00B80F46" w:rsidP="00B80F46">
            <w:pPr>
              <w:pStyle w:val="Tabletext"/>
              <w:jc w:val="right"/>
            </w:pPr>
            <w:r>
              <w:rPr>
                <w:rFonts w:eastAsia="Cambria"/>
              </w:rPr>
              <w:t>72.7</w:t>
            </w:r>
          </w:p>
        </w:tc>
        <w:tc>
          <w:tcPr>
            <w:tcW w:w="860" w:type="dxa"/>
            <w:tcBorders>
              <w:top w:val="nil"/>
              <w:bottom w:val="nil"/>
            </w:tcBorders>
            <w:shd w:val="clear" w:color="auto" w:fill="auto"/>
            <w:vAlign w:val="center"/>
          </w:tcPr>
          <w:p w14:paraId="7439FA7B" w14:textId="77777777" w:rsidR="00B80F46" w:rsidRPr="00354810" w:rsidRDefault="00B80F46" w:rsidP="00B80F46">
            <w:pPr>
              <w:pStyle w:val="Tabletext"/>
              <w:jc w:val="right"/>
            </w:pPr>
            <w:r>
              <w:t>33.2</w:t>
            </w:r>
          </w:p>
        </w:tc>
        <w:tc>
          <w:tcPr>
            <w:tcW w:w="861" w:type="dxa"/>
            <w:tcBorders>
              <w:top w:val="nil"/>
              <w:bottom w:val="nil"/>
            </w:tcBorders>
            <w:shd w:val="pct12" w:color="auto" w:fill="auto"/>
            <w:vAlign w:val="center"/>
          </w:tcPr>
          <w:p w14:paraId="6F4B31BF" w14:textId="77777777" w:rsidR="00B80F46" w:rsidRPr="00354810" w:rsidRDefault="00B80F46" w:rsidP="00B80F46">
            <w:pPr>
              <w:pStyle w:val="Tabletext"/>
              <w:jc w:val="right"/>
            </w:pPr>
            <w:r>
              <w:t>17.7</w:t>
            </w:r>
          </w:p>
        </w:tc>
        <w:tc>
          <w:tcPr>
            <w:tcW w:w="861" w:type="dxa"/>
            <w:tcBorders>
              <w:top w:val="nil"/>
              <w:bottom w:val="nil"/>
            </w:tcBorders>
            <w:vAlign w:val="center"/>
          </w:tcPr>
          <w:p w14:paraId="32C07056" w14:textId="77777777" w:rsidR="00B80F46" w:rsidRPr="00354810" w:rsidRDefault="00B80F46" w:rsidP="00B80F46">
            <w:pPr>
              <w:pStyle w:val="Tabletext"/>
              <w:jc w:val="right"/>
              <w:rPr>
                <w:b/>
              </w:rPr>
            </w:pPr>
            <w:r>
              <w:rPr>
                <w:b/>
              </w:rPr>
              <w:t>49.0</w:t>
            </w:r>
          </w:p>
        </w:tc>
      </w:tr>
      <w:tr w:rsidR="00B80F46" w:rsidRPr="00354810" w14:paraId="0A94D7FA" w14:textId="77777777" w:rsidTr="00B80F46">
        <w:trPr>
          <w:trHeight w:val="255"/>
        </w:trPr>
        <w:tc>
          <w:tcPr>
            <w:tcW w:w="2876" w:type="dxa"/>
            <w:tcBorders>
              <w:top w:val="nil"/>
              <w:bottom w:val="nil"/>
            </w:tcBorders>
            <w:shd w:val="clear" w:color="auto" w:fill="auto"/>
            <w:vAlign w:val="center"/>
          </w:tcPr>
          <w:p w14:paraId="4081D8D6" w14:textId="77777777" w:rsidR="00B80F46" w:rsidRDefault="00B80F46" w:rsidP="00B80F46">
            <w:pPr>
              <w:pStyle w:val="Tabletext"/>
            </w:pPr>
            <w:r w:rsidRPr="00354810">
              <w:rPr>
                <w:b/>
              </w:rPr>
              <w:t>Health</w:t>
            </w:r>
          </w:p>
        </w:tc>
        <w:tc>
          <w:tcPr>
            <w:tcW w:w="860" w:type="dxa"/>
            <w:tcBorders>
              <w:top w:val="nil"/>
              <w:bottom w:val="nil"/>
            </w:tcBorders>
            <w:vAlign w:val="center"/>
          </w:tcPr>
          <w:p w14:paraId="50686694" w14:textId="77777777" w:rsidR="00B80F46" w:rsidRPr="00354810" w:rsidRDefault="00B80F46" w:rsidP="00B80F46">
            <w:pPr>
              <w:pStyle w:val="Tabletext"/>
              <w:jc w:val="right"/>
            </w:pPr>
            <w:r>
              <w:t>0.0</w:t>
            </w:r>
          </w:p>
        </w:tc>
        <w:tc>
          <w:tcPr>
            <w:tcW w:w="861" w:type="dxa"/>
            <w:tcBorders>
              <w:top w:val="nil"/>
              <w:bottom w:val="nil"/>
            </w:tcBorders>
            <w:vAlign w:val="center"/>
          </w:tcPr>
          <w:p w14:paraId="503417A1" w14:textId="77777777" w:rsidR="00B80F46" w:rsidRPr="00354810" w:rsidRDefault="00B80F46" w:rsidP="00B80F46">
            <w:pPr>
              <w:pStyle w:val="Tabletext"/>
              <w:tabs>
                <w:tab w:val="decimal" w:pos="0"/>
                <w:tab w:val="decimal" w:pos="645"/>
              </w:tabs>
              <w:jc w:val="right"/>
            </w:pPr>
            <w:r>
              <w:t>19.0*</w:t>
            </w:r>
          </w:p>
        </w:tc>
        <w:tc>
          <w:tcPr>
            <w:tcW w:w="861" w:type="dxa"/>
            <w:tcBorders>
              <w:top w:val="nil"/>
              <w:bottom w:val="nil"/>
            </w:tcBorders>
            <w:shd w:val="clear" w:color="auto" w:fill="auto"/>
            <w:vAlign w:val="center"/>
          </w:tcPr>
          <w:p w14:paraId="797B497C" w14:textId="77777777" w:rsidR="00B80F46" w:rsidRPr="00354810" w:rsidRDefault="00B80F46" w:rsidP="00B80F46">
            <w:pPr>
              <w:pStyle w:val="Tabletext"/>
              <w:jc w:val="right"/>
            </w:pPr>
            <w:r>
              <w:t>57.2</w:t>
            </w:r>
          </w:p>
        </w:tc>
        <w:tc>
          <w:tcPr>
            <w:tcW w:w="860" w:type="dxa"/>
            <w:tcBorders>
              <w:top w:val="nil"/>
              <w:bottom w:val="nil"/>
            </w:tcBorders>
            <w:shd w:val="clear" w:color="auto" w:fill="auto"/>
            <w:vAlign w:val="center"/>
          </w:tcPr>
          <w:p w14:paraId="09BF1DA0" w14:textId="77777777" w:rsidR="00B80F46" w:rsidRPr="00354810" w:rsidRDefault="00B80F46" w:rsidP="00B80F46">
            <w:pPr>
              <w:pStyle w:val="Tabletext"/>
              <w:jc w:val="right"/>
            </w:pPr>
            <w:r>
              <w:t>32.4</w:t>
            </w:r>
          </w:p>
        </w:tc>
        <w:tc>
          <w:tcPr>
            <w:tcW w:w="861" w:type="dxa"/>
            <w:tcBorders>
              <w:top w:val="nil"/>
              <w:bottom w:val="nil"/>
            </w:tcBorders>
            <w:shd w:val="pct12" w:color="auto" w:fill="auto"/>
            <w:vAlign w:val="center"/>
          </w:tcPr>
          <w:p w14:paraId="03E0351B" w14:textId="77777777" w:rsidR="00B80F46" w:rsidRPr="00354810" w:rsidRDefault="00B80F46" w:rsidP="00B80F46">
            <w:pPr>
              <w:pStyle w:val="Tabletext"/>
              <w:jc w:val="right"/>
            </w:pPr>
            <w:r>
              <w:t>64.0</w:t>
            </w:r>
          </w:p>
        </w:tc>
        <w:tc>
          <w:tcPr>
            <w:tcW w:w="861" w:type="dxa"/>
            <w:tcBorders>
              <w:top w:val="nil"/>
              <w:bottom w:val="nil"/>
            </w:tcBorders>
            <w:vAlign w:val="center"/>
          </w:tcPr>
          <w:p w14:paraId="4B620634" w14:textId="77777777" w:rsidR="00B80F46" w:rsidRPr="00354810" w:rsidRDefault="00B80F46" w:rsidP="00B80F46">
            <w:pPr>
              <w:pStyle w:val="Tabletext"/>
              <w:jc w:val="right"/>
              <w:rPr>
                <w:b/>
              </w:rPr>
            </w:pPr>
            <w:r>
              <w:rPr>
                <w:b/>
              </w:rPr>
              <w:t>50.1</w:t>
            </w:r>
          </w:p>
        </w:tc>
      </w:tr>
      <w:tr w:rsidR="00B80F46" w:rsidRPr="00354810" w14:paraId="38DDC9C0" w14:textId="77777777" w:rsidTr="00B80F46">
        <w:trPr>
          <w:trHeight w:val="255"/>
        </w:trPr>
        <w:tc>
          <w:tcPr>
            <w:tcW w:w="2876" w:type="dxa"/>
            <w:tcBorders>
              <w:top w:val="nil"/>
              <w:bottom w:val="nil"/>
            </w:tcBorders>
            <w:shd w:val="clear" w:color="auto" w:fill="auto"/>
            <w:vAlign w:val="center"/>
          </w:tcPr>
          <w:p w14:paraId="0B2E588E" w14:textId="77777777" w:rsidR="00B80F46" w:rsidRDefault="00B80F46" w:rsidP="00B80F46">
            <w:pPr>
              <w:pStyle w:val="Tabletext"/>
              <w:ind w:left="567"/>
            </w:pPr>
            <w:r w:rsidRPr="00354810">
              <w:t>Nursing</w:t>
            </w:r>
          </w:p>
        </w:tc>
        <w:tc>
          <w:tcPr>
            <w:tcW w:w="860" w:type="dxa"/>
            <w:tcBorders>
              <w:top w:val="nil"/>
              <w:bottom w:val="nil"/>
            </w:tcBorders>
            <w:vAlign w:val="center"/>
          </w:tcPr>
          <w:p w14:paraId="0C08050C" w14:textId="77777777" w:rsidR="00B80F46" w:rsidRPr="00354810" w:rsidRDefault="00B80F46" w:rsidP="00B80F46">
            <w:pPr>
              <w:pStyle w:val="Tabletext"/>
              <w:jc w:val="right"/>
            </w:pPr>
            <w:proofErr w:type="spellStart"/>
            <w:r>
              <w:t>na</w:t>
            </w:r>
            <w:proofErr w:type="spellEnd"/>
          </w:p>
        </w:tc>
        <w:tc>
          <w:tcPr>
            <w:tcW w:w="861" w:type="dxa"/>
            <w:tcBorders>
              <w:top w:val="nil"/>
              <w:bottom w:val="nil"/>
            </w:tcBorders>
            <w:vAlign w:val="center"/>
          </w:tcPr>
          <w:p w14:paraId="2AB65F73" w14:textId="77777777" w:rsidR="00B80F46" w:rsidRPr="00354810" w:rsidRDefault="00B80F46" w:rsidP="00B80F46">
            <w:pPr>
              <w:pStyle w:val="Tabletext"/>
              <w:tabs>
                <w:tab w:val="decimal" w:pos="0"/>
                <w:tab w:val="decimal" w:pos="645"/>
              </w:tabs>
              <w:jc w:val="right"/>
            </w:pPr>
            <w:proofErr w:type="spellStart"/>
            <w:r>
              <w:t>na</w:t>
            </w:r>
            <w:proofErr w:type="spellEnd"/>
          </w:p>
        </w:tc>
        <w:tc>
          <w:tcPr>
            <w:tcW w:w="861" w:type="dxa"/>
            <w:tcBorders>
              <w:top w:val="nil"/>
              <w:bottom w:val="nil"/>
            </w:tcBorders>
            <w:shd w:val="clear" w:color="auto" w:fill="auto"/>
            <w:vAlign w:val="center"/>
          </w:tcPr>
          <w:p w14:paraId="31787A32" w14:textId="77777777" w:rsidR="00B80F46" w:rsidRPr="00354810" w:rsidRDefault="00B80F46" w:rsidP="00B80F46">
            <w:pPr>
              <w:pStyle w:val="Tabletext"/>
              <w:jc w:val="right"/>
            </w:pPr>
            <w:r>
              <w:t>np</w:t>
            </w:r>
          </w:p>
        </w:tc>
        <w:tc>
          <w:tcPr>
            <w:tcW w:w="860" w:type="dxa"/>
            <w:tcBorders>
              <w:top w:val="nil"/>
              <w:bottom w:val="nil"/>
            </w:tcBorders>
            <w:shd w:val="clear" w:color="auto" w:fill="auto"/>
            <w:vAlign w:val="center"/>
          </w:tcPr>
          <w:p w14:paraId="75F4AB93" w14:textId="77777777" w:rsidR="00B80F46" w:rsidRPr="00354810" w:rsidRDefault="00B80F46" w:rsidP="00B80F46">
            <w:pPr>
              <w:pStyle w:val="Tabletext"/>
              <w:jc w:val="right"/>
            </w:pPr>
            <w:r>
              <w:t>56.8</w:t>
            </w:r>
          </w:p>
        </w:tc>
        <w:tc>
          <w:tcPr>
            <w:tcW w:w="861" w:type="dxa"/>
            <w:tcBorders>
              <w:top w:val="nil"/>
              <w:bottom w:val="nil"/>
            </w:tcBorders>
            <w:shd w:val="pct12" w:color="auto" w:fill="auto"/>
            <w:vAlign w:val="center"/>
          </w:tcPr>
          <w:p w14:paraId="46671752" w14:textId="77777777" w:rsidR="00B80F46" w:rsidRPr="00354810" w:rsidRDefault="00B80F46" w:rsidP="00B80F46">
            <w:pPr>
              <w:pStyle w:val="Tabletext"/>
              <w:jc w:val="right"/>
            </w:pPr>
            <w:r>
              <w:t>72.4</w:t>
            </w:r>
          </w:p>
        </w:tc>
        <w:tc>
          <w:tcPr>
            <w:tcW w:w="861" w:type="dxa"/>
            <w:tcBorders>
              <w:top w:val="nil"/>
              <w:bottom w:val="nil"/>
            </w:tcBorders>
            <w:vAlign w:val="center"/>
          </w:tcPr>
          <w:p w14:paraId="7BF6746F" w14:textId="77777777" w:rsidR="00B80F46" w:rsidRPr="00354810" w:rsidRDefault="00B80F46" w:rsidP="00B80F46">
            <w:pPr>
              <w:pStyle w:val="Tabletext"/>
              <w:jc w:val="right"/>
              <w:rPr>
                <w:b/>
              </w:rPr>
            </w:pPr>
            <w:r>
              <w:rPr>
                <w:b/>
              </w:rPr>
              <w:t>68.3</w:t>
            </w:r>
          </w:p>
        </w:tc>
      </w:tr>
      <w:tr w:rsidR="00B80F46" w:rsidRPr="00354810" w14:paraId="635051D9" w14:textId="77777777" w:rsidTr="00B80F46">
        <w:trPr>
          <w:trHeight w:val="255"/>
        </w:trPr>
        <w:tc>
          <w:tcPr>
            <w:tcW w:w="2876" w:type="dxa"/>
            <w:tcBorders>
              <w:top w:val="single" w:sz="4" w:space="0" w:color="auto"/>
              <w:bottom w:val="single" w:sz="4" w:space="0" w:color="auto"/>
            </w:tcBorders>
            <w:shd w:val="clear" w:color="auto" w:fill="auto"/>
            <w:vAlign w:val="center"/>
          </w:tcPr>
          <w:p w14:paraId="2F91954E" w14:textId="77777777" w:rsidR="00B80F46" w:rsidRPr="00354810" w:rsidRDefault="00B80F46" w:rsidP="00B80F46">
            <w:pPr>
              <w:pStyle w:val="Tabletext"/>
              <w:rPr>
                <w:b/>
              </w:rPr>
            </w:pPr>
            <w:r w:rsidRPr="00354810">
              <w:rPr>
                <w:b/>
              </w:rPr>
              <w:t>All fields</w:t>
            </w:r>
          </w:p>
        </w:tc>
        <w:tc>
          <w:tcPr>
            <w:tcW w:w="860" w:type="dxa"/>
            <w:tcBorders>
              <w:top w:val="single" w:sz="4" w:space="0" w:color="auto"/>
              <w:bottom w:val="single" w:sz="4" w:space="0" w:color="auto"/>
            </w:tcBorders>
            <w:vAlign w:val="center"/>
          </w:tcPr>
          <w:p w14:paraId="7F19A0E8" w14:textId="77777777" w:rsidR="00B80F46" w:rsidRPr="00354810" w:rsidRDefault="00B80F46" w:rsidP="00B80F46">
            <w:pPr>
              <w:pStyle w:val="Tabletext"/>
              <w:jc w:val="right"/>
              <w:rPr>
                <w:b/>
              </w:rPr>
            </w:pPr>
            <w:r>
              <w:rPr>
                <w:b/>
              </w:rPr>
              <w:t>24.0*</w:t>
            </w:r>
          </w:p>
        </w:tc>
        <w:tc>
          <w:tcPr>
            <w:tcW w:w="861" w:type="dxa"/>
            <w:tcBorders>
              <w:top w:val="single" w:sz="4" w:space="0" w:color="auto"/>
              <w:bottom w:val="single" w:sz="4" w:space="0" w:color="auto"/>
            </w:tcBorders>
            <w:vAlign w:val="center"/>
          </w:tcPr>
          <w:p w14:paraId="153EE0BD" w14:textId="77777777" w:rsidR="00B80F46" w:rsidRPr="00354810" w:rsidRDefault="00B80F46" w:rsidP="00B80F46">
            <w:pPr>
              <w:pStyle w:val="Tabletext"/>
              <w:tabs>
                <w:tab w:val="decimal" w:pos="0"/>
                <w:tab w:val="decimal" w:pos="645"/>
              </w:tabs>
              <w:jc w:val="right"/>
              <w:rPr>
                <w:b/>
              </w:rPr>
            </w:pPr>
            <w:r>
              <w:rPr>
                <w:b/>
              </w:rPr>
              <w:t>22.3</w:t>
            </w:r>
          </w:p>
        </w:tc>
        <w:tc>
          <w:tcPr>
            <w:tcW w:w="861" w:type="dxa"/>
            <w:tcBorders>
              <w:top w:val="single" w:sz="4" w:space="0" w:color="auto"/>
              <w:bottom w:val="single" w:sz="4" w:space="0" w:color="auto"/>
            </w:tcBorders>
            <w:shd w:val="clear" w:color="auto" w:fill="auto"/>
            <w:vAlign w:val="center"/>
          </w:tcPr>
          <w:p w14:paraId="28408143" w14:textId="77777777" w:rsidR="00B80F46" w:rsidRPr="00354810" w:rsidRDefault="00B80F46" w:rsidP="00B80F46">
            <w:pPr>
              <w:pStyle w:val="Tabletext"/>
              <w:jc w:val="right"/>
              <w:rPr>
                <w:b/>
              </w:rPr>
            </w:pPr>
            <w:r>
              <w:rPr>
                <w:b/>
              </w:rPr>
              <w:t>60.0</w:t>
            </w:r>
          </w:p>
        </w:tc>
        <w:tc>
          <w:tcPr>
            <w:tcW w:w="860" w:type="dxa"/>
            <w:tcBorders>
              <w:top w:val="single" w:sz="4" w:space="0" w:color="auto"/>
              <w:bottom w:val="single" w:sz="4" w:space="0" w:color="auto"/>
            </w:tcBorders>
            <w:shd w:val="clear" w:color="auto" w:fill="auto"/>
            <w:vAlign w:val="center"/>
          </w:tcPr>
          <w:p w14:paraId="4DABAF92" w14:textId="77777777" w:rsidR="00B80F46" w:rsidRPr="00354810" w:rsidRDefault="00B80F46" w:rsidP="00B80F46">
            <w:pPr>
              <w:pStyle w:val="Tabletext"/>
              <w:jc w:val="right"/>
              <w:rPr>
                <w:b/>
              </w:rPr>
            </w:pPr>
            <w:r>
              <w:rPr>
                <w:b/>
              </w:rPr>
              <w:t>26.2</w:t>
            </w:r>
          </w:p>
        </w:tc>
        <w:tc>
          <w:tcPr>
            <w:tcW w:w="861" w:type="dxa"/>
            <w:tcBorders>
              <w:top w:val="single" w:sz="4" w:space="0" w:color="auto"/>
              <w:bottom w:val="single" w:sz="4" w:space="0" w:color="auto"/>
            </w:tcBorders>
            <w:shd w:val="pct12" w:color="auto" w:fill="auto"/>
            <w:vAlign w:val="center"/>
          </w:tcPr>
          <w:p w14:paraId="4E7B51C6" w14:textId="77777777" w:rsidR="00B80F46" w:rsidRPr="00354810" w:rsidRDefault="00B80F46" w:rsidP="00B80F46">
            <w:pPr>
              <w:pStyle w:val="Tabletext"/>
              <w:jc w:val="right"/>
              <w:rPr>
                <w:b/>
              </w:rPr>
            </w:pPr>
            <w:r>
              <w:rPr>
                <w:b/>
              </w:rPr>
              <w:t>25.1</w:t>
            </w:r>
          </w:p>
        </w:tc>
        <w:tc>
          <w:tcPr>
            <w:tcW w:w="861" w:type="dxa"/>
            <w:tcBorders>
              <w:top w:val="single" w:sz="4" w:space="0" w:color="auto"/>
              <w:bottom w:val="single" w:sz="4" w:space="0" w:color="auto"/>
            </w:tcBorders>
            <w:vAlign w:val="center"/>
          </w:tcPr>
          <w:p w14:paraId="6BFCFBAF" w14:textId="77777777" w:rsidR="00B80F46" w:rsidRPr="00354810" w:rsidRDefault="00B80F46" w:rsidP="00B80F46">
            <w:pPr>
              <w:pStyle w:val="Tabletext"/>
              <w:jc w:val="right"/>
              <w:rPr>
                <w:b/>
              </w:rPr>
            </w:pPr>
            <w:r>
              <w:rPr>
                <w:b/>
              </w:rPr>
              <w:t>41.1</w:t>
            </w:r>
          </w:p>
        </w:tc>
      </w:tr>
    </w:tbl>
    <w:p w14:paraId="1B60D39E" w14:textId="77777777" w:rsidR="00B80F46" w:rsidRDefault="00B80F46" w:rsidP="00B80F46">
      <w:pPr>
        <w:pStyle w:val="Source"/>
      </w:pPr>
      <w:r>
        <w:t>Source:</w:t>
      </w:r>
      <w:r>
        <w:tab/>
        <w:t>NCVER (2013).</w:t>
      </w:r>
    </w:p>
    <w:p w14:paraId="6CA30972" w14:textId="77777777" w:rsidR="00B80F46" w:rsidRDefault="00B80F46" w:rsidP="00B80F46">
      <w:pPr>
        <w:pStyle w:val="Source"/>
      </w:pPr>
      <w:r>
        <w:t>Notes:</w:t>
      </w:r>
      <w:r>
        <w:tab/>
      </w:r>
      <w:proofErr w:type="spellStart"/>
      <w:proofErr w:type="gramStart"/>
      <w:r>
        <w:t>na</w:t>
      </w:r>
      <w:proofErr w:type="spellEnd"/>
      <w:proofErr w:type="gramEnd"/>
      <w:r>
        <w:t xml:space="preserve"> </w:t>
      </w:r>
      <w:r w:rsidRPr="00147C93">
        <w:t>Not applicable</w:t>
      </w:r>
    </w:p>
    <w:p w14:paraId="45AE4B55" w14:textId="77777777" w:rsidR="00B80F46" w:rsidRDefault="00B80F46" w:rsidP="00B80F46">
      <w:pPr>
        <w:pStyle w:val="Source"/>
        <w:ind w:firstLine="0"/>
      </w:pPr>
      <w:proofErr w:type="gramStart"/>
      <w:r>
        <w:t>np</w:t>
      </w:r>
      <w:proofErr w:type="gramEnd"/>
      <w:r>
        <w:t xml:space="preserve"> Not published. NCVER does not report on estimates based on five or fewer respondents because the estimates are unreliable.</w:t>
      </w:r>
    </w:p>
    <w:p w14:paraId="4A8CCB87" w14:textId="2D8FE0C5" w:rsidR="00EE5E49" w:rsidRDefault="003316BA" w:rsidP="009C0B58">
      <w:pPr>
        <w:pStyle w:val="Text"/>
      </w:pPr>
      <w:r>
        <w:t xml:space="preserve">There are also differences in </w:t>
      </w:r>
      <w:r w:rsidR="00BC0F67">
        <w:t xml:space="preserve">further study </w:t>
      </w:r>
      <w:r>
        <w:t>outcomes between diploma and above VET graduates</w:t>
      </w:r>
      <w:r w:rsidR="00BC0F67">
        <w:t xml:space="preserve"> who are working in the same occupation as their qualification</w:t>
      </w:r>
      <w:r w:rsidR="00937731">
        <w:t xml:space="preserve"> in the n</w:t>
      </w:r>
      <w:r>
        <w:t xml:space="preserve">ursing narrow field of education and </w:t>
      </w:r>
      <w:r w:rsidR="00BC0F67">
        <w:t xml:space="preserve">in </w:t>
      </w:r>
      <w:r w:rsidR="00937731">
        <w:t>the h</w:t>
      </w:r>
      <w:r>
        <w:t>uman welfare and services narrow field of educatio</w:t>
      </w:r>
      <w:r w:rsidR="008207A6">
        <w:t xml:space="preserve">n, but these are not as stark. </w:t>
      </w:r>
      <w:r>
        <w:t>The percentage of</w:t>
      </w:r>
      <w:r w:rsidR="00BC0F67">
        <w:t xml:space="preserve"> </w:t>
      </w:r>
      <w:r>
        <w:t>VET gradua</w:t>
      </w:r>
      <w:r w:rsidR="00937731">
        <w:t>tes with diplomas and above in h</w:t>
      </w:r>
      <w:r>
        <w:t xml:space="preserve">uman welfare and services who go on to further study is </w:t>
      </w:r>
      <w:r w:rsidR="00247A0F">
        <w:t xml:space="preserve">similar </w:t>
      </w:r>
      <w:r>
        <w:t xml:space="preserve">to those for VET graduates of diplomas and above overall, while </w:t>
      </w:r>
      <w:r w:rsidR="00937731">
        <w:t>the further study outcomes for n</w:t>
      </w:r>
      <w:r>
        <w:t xml:space="preserve">ursing diploma and above </w:t>
      </w:r>
      <w:r w:rsidR="00B1572B">
        <w:t xml:space="preserve">students are about five percentage points lower. However, certificate IV graduates in nursing have a very high rate of further study, again reflecting </w:t>
      </w:r>
      <w:r w:rsidR="004D186E">
        <w:t xml:space="preserve">the </w:t>
      </w:r>
      <w:r w:rsidR="00BC0F67">
        <w:t>diploma as the new entry level qualification required to work as an enrolled nurse.</w:t>
      </w:r>
    </w:p>
    <w:p w14:paraId="1668D71B" w14:textId="77777777" w:rsidR="00F50B38" w:rsidRDefault="00F50B38" w:rsidP="009C0B58">
      <w:pPr>
        <w:pStyle w:val="Text"/>
      </w:pPr>
    </w:p>
    <w:p w14:paraId="58028C9E" w14:textId="1AAC5113" w:rsidR="00B80F46" w:rsidRPr="00837EEF" w:rsidRDefault="00B80F46" w:rsidP="00B80F46">
      <w:pPr>
        <w:pStyle w:val="tabletitle"/>
      </w:pPr>
      <w:bookmarkStart w:id="24" w:name="_Toc257836866"/>
      <w:r>
        <w:lastRenderedPageBreak/>
        <w:t>Table 3</w:t>
      </w:r>
      <w:r w:rsidRPr="00837EEF">
        <w:tab/>
      </w:r>
      <w:r>
        <w:t>Percentage of</w:t>
      </w:r>
      <w:r w:rsidR="00B23981">
        <w:t xml:space="preserve"> graduates</w:t>
      </w:r>
      <w:r>
        <w:t xml:space="preserve"> in further study </w:t>
      </w:r>
      <w:r w:rsidRPr="00771F89">
        <w:t>six months after training by level of qualification and broad and selected</w:t>
      </w:r>
      <w:r>
        <w:t xml:space="preserve"> narrow field of education, 2012</w:t>
      </w:r>
      <w:bookmarkEnd w:id="24"/>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B80F46" w:rsidRPr="00354810" w14:paraId="115E319D" w14:textId="77777777" w:rsidTr="00B80F46">
        <w:trPr>
          <w:trHeight w:val="255"/>
          <w:tblHeader/>
        </w:trPr>
        <w:tc>
          <w:tcPr>
            <w:tcW w:w="2876" w:type="dxa"/>
            <w:tcBorders>
              <w:top w:val="single" w:sz="4" w:space="0" w:color="auto"/>
              <w:bottom w:val="nil"/>
            </w:tcBorders>
            <w:shd w:val="clear" w:color="auto" w:fill="auto"/>
            <w:vAlign w:val="center"/>
          </w:tcPr>
          <w:p w14:paraId="74D967BB" w14:textId="77777777" w:rsidR="00B80F46" w:rsidRPr="00354810" w:rsidRDefault="00B80F46" w:rsidP="00B80F46">
            <w:pPr>
              <w:pStyle w:val="Tablehead1"/>
            </w:pPr>
            <w:r w:rsidRPr="00354810">
              <w:t>Field of education</w:t>
            </w:r>
          </w:p>
        </w:tc>
        <w:tc>
          <w:tcPr>
            <w:tcW w:w="860" w:type="dxa"/>
            <w:tcBorders>
              <w:top w:val="single" w:sz="4" w:space="0" w:color="auto"/>
              <w:bottom w:val="nil"/>
            </w:tcBorders>
            <w:vAlign w:val="center"/>
          </w:tcPr>
          <w:p w14:paraId="536D6512" w14:textId="77777777" w:rsidR="00B80F46" w:rsidRPr="00354810" w:rsidRDefault="00B80F46" w:rsidP="00B80F46">
            <w:pPr>
              <w:pStyle w:val="Tablehead1"/>
              <w:jc w:val="right"/>
              <w:rPr>
                <w:bCs/>
              </w:rPr>
            </w:pPr>
            <w:r w:rsidRPr="00354810">
              <w:rPr>
                <w:bCs/>
              </w:rPr>
              <w:t>Cert I</w:t>
            </w:r>
          </w:p>
        </w:tc>
        <w:tc>
          <w:tcPr>
            <w:tcW w:w="861" w:type="dxa"/>
            <w:tcBorders>
              <w:top w:val="single" w:sz="4" w:space="0" w:color="auto"/>
              <w:bottom w:val="nil"/>
            </w:tcBorders>
            <w:vAlign w:val="center"/>
          </w:tcPr>
          <w:p w14:paraId="26CB525C" w14:textId="77777777" w:rsidR="00B80F46" w:rsidRPr="00354810" w:rsidRDefault="00B80F46" w:rsidP="00B80F46">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61235FB2" w14:textId="77777777" w:rsidR="00B80F46" w:rsidRPr="00354810" w:rsidRDefault="00B80F46" w:rsidP="00B80F46">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251B2C6C" w14:textId="77777777" w:rsidR="00B80F46" w:rsidRPr="00354810" w:rsidRDefault="00B80F46" w:rsidP="00B80F46">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1E83EF46" w14:textId="77777777" w:rsidR="00B80F46" w:rsidRPr="00354810" w:rsidRDefault="00B80F46" w:rsidP="00B80F46">
            <w:pPr>
              <w:pStyle w:val="Tablehead1"/>
              <w:jc w:val="right"/>
              <w:rPr>
                <w:bCs/>
              </w:rPr>
            </w:pPr>
            <w:r>
              <w:rPr>
                <w:bCs/>
              </w:rPr>
              <w:t>Dips and above</w:t>
            </w:r>
          </w:p>
        </w:tc>
        <w:tc>
          <w:tcPr>
            <w:tcW w:w="861" w:type="dxa"/>
            <w:tcBorders>
              <w:top w:val="single" w:sz="4" w:space="0" w:color="auto"/>
              <w:bottom w:val="nil"/>
            </w:tcBorders>
            <w:vAlign w:val="center"/>
          </w:tcPr>
          <w:p w14:paraId="467F0135" w14:textId="77777777" w:rsidR="00B80F46" w:rsidRPr="00354810" w:rsidRDefault="00B80F46" w:rsidP="00B80F46">
            <w:pPr>
              <w:pStyle w:val="Tablehead1"/>
              <w:jc w:val="right"/>
              <w:rPr>
                <w:bCs/>
              </w:rPr>
            </w:pPr>
            <w:r w:rsidRPr="00354810">
              <w:rPr>
                <w:bCs/>
              </w:rPr>
              <w:t>All levels</w:t>
            </w:r>
          </w:p>
        </w:tc>
      </w:tr>
      <w:tr w:rsidR="00B80F46" w:rsidRPr="00354810" w14:paraId="3A843BD8" w14:textId="77777777" w:rsidTr="00B80F46">
        <w:trPr>
          <w:trHeight w:val="255"/>
        </w:trPr>
        <w:tc>
          <w:tcPr>
            <w:tcW w:w="2876" w:type="dxa"/>
            <w:tcBorders>
              <w:top w:val="nil"/>
              <w:bottom w:val="nil"/>
            </w:tcBorders>
            <w:shd w:val="clear" w:color="auto" w:fill="auto"/>
            <w:vAlign w:val="center"/>
          </w:tcPr>
          <w:p w14:paraId="65A201F7" w14:textId="77777777" w:rsidR="00B80F46" w:rsidRPr="00354810" w:rsidRDefault="00B80F46" w:rsidP="00B80F46">
            <w:pPr>
              <w:pStyle w:val="Tabletext"/>
              <w:rPr>
                <w:b/>
                <w:bCs/>
              </w:rPr>
            </w:pPr>
            <w:r w:rsidRPr="001C689E">
              <w:rPr>
                <w:b/>
                <w:bCs/>
              </w:rPr>
              <w:t>Society and culture</w:t>
            </w:r>
          </w:p>
        </w:tc>
        <w:tc>
          <w:tcPr>
            <w:tcW w:w="860" w:type="dxa"/>
            <w:tcBorders>
              <w:top w:val="nil"/>
              <w:bottom w:val="nil"/>
            </w:tcBorders>
            <w:vAlign w:val="center"/>
          </w:tcPr>
          <w:p w14:paraId="133247D6" w14:textId="77777777" w:rsidR="00B80F46" w:rsidRPr="00354810" w:rsidRDefault="00B80F46" w:rsidP="00B80F46">
            <w:pPr>
              <w:pStyle w:val="Tabletext"/>
              <w:jc w:val="right"/>
            </w:pPr>
            <w:r>
              <w:rPr>
                <w:rFonts w:eastAsia="Cambria"/>
              </w:rPr>
              <w:t>45.8</w:t>
            </w:r>
          </w:p>
        </w:tc>
        <w:tc>
          <w:tcPr>
            <w:tcW w:w="861" w:type="dxa"/>
            <w:tcBorders>
              <w:top w:val="nil"/>
              <w:bottom w:val="nil"/>
            </w:tcBorders>
            <w:vAlign w:val="center"/>
          </w:tcPr>
          <w:p w14:paraId="0AFA8DD3" w14:textId="77777777" w:rsidR="00B80F46" w:rsidRPr="00354810" w:rsidRDefault="00B80F46" w:rsidP="00B80F46">
            <w:pPr>
              <w:pStyle w:val="Tabletext"/>
              <w:tabs>
                <w:tab w:val="decimal" w:pos="0"/>
                <w:tab w:val="decimal" w:pos="645"/>
              </w:tabs>
              <w:jc w:val="right"/>
            </w:pPr>
            <w:r>
              <w:rPr>
                <w:rFonts w:eastAsia="Cambria"/>
              </w:rPr>
              <w:t>38.3</w:t>
            </w:r>
          </w:p>
        </w:tc>
        <w:tc>
          <w:tcPr>
            <w:tcW w:w="861" w:type="dxa"/>
            <w:tcBorders>
              <w:top w:val="nil"/>
              <w:bottom w:val="nil"/>
            </w:tcBorders>
            <w:shd w:val="clear" w:color="auto" w:fill="auto"/>
            <w:vAlign w:val="center"/>
          </w:tcPr>
          <w:p w14:paraId="491F8A27" w14:textId="77777777" w:rsidR="00B80F46" w:rsidRPr="00354810" w:rsidRDefault="00B80F46" w:rsidP="00B80F46">
            <w:pPr>
              <w:pStyle w:val="Tabletext"/>
              <w:jc w:val="right"/>
            </w:pPr>
            <w:r>
              <w:rPr>
                <w:rFonts w:eastAsia="Cambria"/>
              </w:rPr>
              <w:t>37.8</w:t>
            </w:r>
          </w:p>
        </w:tc>
        <w:tc>
          <w:tcPr>
            <w:tcW w:w="860" w:type="dxa"/>
            <w:tcBorders>
              <w:top w:val="nil"/>
              <w:bottom w:val="nil"/>
            </w:tcBorders>
            <w:shd w:val="clear" w:color="auto" w:fill="auto"/>
            <w:vAlign w:val="center"/>
          </w:tcPr>
          <w:p w14:paraId="5A03E457" w14:textId="77777777" w:rsidR="00B80F46" w:rsidRPr="00354810" w:rsidRDefault="00B80F46" w:rsidP="00B80F46">
            <w:pPr>
              <w:pStyle w:val="Tabletext"/>
              <w:jc w:val="right"/>
            </w:pPr>
            <w:r>
              <w:t>39.6</w:t>
            </w:r>
          </w:p>
        </w:tc>
        <w:tc>
          <w:tcPr>
            <w:tcW w:w="861" w:type="dxa"/>
            <w:tcBorders>
              <w:top w:val="nil"/>
              <w:bottom w:val="nil"/>
            </w:tcBorders>
            <w:shd w:val="pct12" w:color="auto" w:fill="auto"/>
            <w:vAlign w:val="center"/>
          </w:tcPr>
          <w:p w14:paraId="625BC634" w14:textId="77777777" w:rsidR="00B80F46" w:rsidRPr="00354810" w:rsidRDefault="00B80F46" w:rsidP="00B80F46">
            <w:pPr>
              <w:pStyle w:val="Tabletext"/>
              <w:jc w:val="right"/>
            </w:pPr>
            <w:r>
              <w:t>35.7</w:t>
            </w:r>
          </w:p>
        </w:tc>
        <w:tc>
          <w:tcPr>
            <w:tcW w:w="861" w:type="dxa"/>
            <w:tcBorders>
              <w:top w:val="nil"/>
              <w:bottom w:val="nil"/>
            </w:tcBorders>
            <w:vAlign w:val="center"/>
          </w:tcPr>
          <w:p w14:paraId="75CFA89B" w14:textId="77777777" w:rsidR="00B80F46" w:rsidRPr="00354810" w:rsidRDefault="00B80F46" w:rsidP="00B80F46">
            <w:pPr>
              <w:pStyle w:val="Tabletext"/>
              <w:jc w:val="right"/>
              <w:rPr>
                <w:b/>
              </w:rPr>
            </w:pPr>
            <w:r>
              <w:rPr>
                <w:b/>
              </w:rPr>
              <w:t>37.9</w:t>
            </w:r>
          </w:p>
        </w:tc>
      </w:tr>
      <w:tr w:rsidR="00B80F46" w:rsidRPr="00354810" w14:paraId="051ABCDF" w14:textId="77777777" w:rsidTr="00B80F46">
        <w:trPr>
          <w:trHeight w:val="255"/>
        </w:trPr>
        <w:tc>
          <w:tcPr>
            <w:tcW w:w="2876" w:type="dxa"/>
            <w:tcBorders>
              <w:top w:val="nil"/>
              <w:bottom w:val="nil"/>
            </w:tcBorders>
            <w:shd w:val="clear" w:color="auto" w:fill="auto"/>
            <w:vAlign w:val="center"/>
          </w:tcPr>
          <w:p w14:paraId="7DF898EB" w14:textId="77777777" w:rsidR="00B80F46" w:rsidRPr="00354810" w:rsidRDefault="00B80F46" w:rsidP="00B80F46">
            <w:pPr>
              <w:pStyle w:val="Tabletext"/>
              <w:ind w:left="567"/>
            </w:pPr>
            <w:r>
              <w:t>Human welfare &amp; services</w:t>
            </w:r>
          </w:p>
        </w:tc>
        <w:tc>
          <w:tcPr>
            <w:tcW w:w="860" w:type="dxa"/>
            <w:tcBorders>
              <w:top w:val="nil"/>
              <w:bottom w:val="nil"/>
            </w:tcBorders>
            <w:vAlign w:val="center"/>
          </w:tcPr>
          <w:p w14:paraId="450F6C34" w14:textId="77777777" w:rsidR="00B80F46" w:rsidRPr="00354810" w:rsidRDefault="00B80F46" w:rsidP="00B80F46">
            <w:pPr>
              <w:pStyle w:val="Tabletext"/>
              <w:jc w:val="right"/>
            </w:pPr>
            <w:proofErr w:type="spellStart"/>
            <w:r>
              <w:t>na</w:t>
            </w:r>
            <w:proofErr w:type="spellEnd"/>
          </w:p>
        </w:tc>
        <w:tc>
          <w:tcPr>
            <w:tcW w:w="861" w:type="dxa"/>
            <w:tcBorders>
              <w:top w:val="nil"/>
              <w:bottom w:val="nil"/>
            </w:tcBorders>
            <w:vAlign w:val="center"/>
          </w:tcPr>
          <w:p w14:paraId="7BB6D20A" w14:textId="77777777" w:rsidR="00B80F46" w:rsidRPr="00354810" w:rsidRDefault="00B80F46" w:rsidP="00B80F46">
            <w:pPr>
              <w:pStyle w:val="Tabletext"/>
              <w:tabs>
                <w:tab w:val="decimal" w:pos="0"/>
                <w:tab w:val="decimal" w:pos="645"/>
              </w:tabs>
              <w:jc w:val="right"/>
            </w:pPr>
            <w:r>
              <w:rPr>
                <w:rFonts w:eastAsia="Cambria"/>
              </w:rPr>
              <w:t>71.5</w:t>
            </w:r>
          </w:p>
        </w:tc>
        <w:tc>
          <w:tcPr>
            <w:tcW w:w="861" w:type="dxa"/>
            <w:tcBorders>
              <w:top w:val="nil"/>
              <w:bottom w:val="nil"/>
            </w:tcBorders>
            <w:shd w:val="clear" w:color="auto" w:fill="auto"/>
            <w:vAlign w:val="center"/>
          </w:tcPr>
          <w:p w14:paraId="2FA4D0F4" w14:textId="77777777" w:rsidR="00B80F46" w:rsidRPr="00354810" w:rsidRDefault="00B80F46" w:rsidP="00B80F46">
            <w:pPr>
              <w:pStyle w:val="Tabletext"/>
              <w:jc w:val="right"/>
            </w:pPr>
            <w:r>
              <w:rPr>
                <w:rFonts w:eastAsia="Cambria"/>
              </w:rPr>
              <w:t>37.4</w:t>
            </w:r>
          </w:p>
        </w:tc>
        <w:tc>
          <w:tcPr>
            <w:tcW w:w="860" w:type="dxa"/>
            <w:tcBorders>
              <w:top w:val="nil"/>
              <w:bottom w:val="nil"/>
            </w:tcBorders>
            <w:shd w:val="clear" w:color="auto" w:fill="auto"/>
            <w:vAlign w:val="center"/>
          </w:tcPr>
          <w:p w14:paraId="60F0FC47" w14:textId="77777777" w:rsidR="00B80F46" w:rsidRPr="00354810" w:rsidRDefault="00B80F46" w:rsidP="00B80F46">
            <w:pPr>
              <w:pStyle w:val="Tabletext"/>
              <w:jc w:val="right"/>
            </w:pPr>
            <w:r>
              <w:t>37.8</w:t>
            </w:r>
          </w:p>
        </w:tc>
        <w:tc>
          <w:tcPr>
            <w:tcW w:w="861" w:type="dxa"/>
            <w:tcBorders>
              <w:top w:val="nil"/>
              <w:bottom w:val="nil"/>
            </w:tcBorders>
            <w:shd w:val="pct12" w:color="auto" w:fill="auto"/>
            <w:vAlign w:val="center"/>
          </w:tcPr>
          <w:p w14:paraId="180B0F41" w14:textId="77777777" w:rsidR="00B80F46" w:rsidRPr="00354810" w:rsidRDefault="00B80F46" w:rsidP="00B80F46">
            <w:pPr>
              <w:pStyle w:val="Tabletext"/>
              <w:jc w:val="right"/>
            </w:pPr>
            <w:r>
              <w:t>35.6</w:t>
            </w:r>
          </w:p>
        </w:tc>
        <w:tc>
          <w:tcPr>
            <w:tcW w:w="861" w:type="dxa"/>
            <w:tcBorders>
              <w:top w:val="nil"/>
              <w:bottom w:val="nil"/>
            </w:tcBorders>
            <w:vAlign w:val="center"/>
          </w:tcPr>
          <w:p w14:paraId="7B54F3D2" w14:textId="77777777" w:rsidR="00B80F46" w:rsidRPr="00354810" w:rsidRDefault="00B80F46" w:rsidP="00B80F46">
            <w:pPr>
              <w:pStyle w:val="Tabletext"/>
              <w:jc w:val="right"/>
              <w:rPr>
                <w:b/>
              </w:rPr>
            </w:pPr>
            <w:r>
              <w:rPr>
                <w:b/>
              </w:rPr>
              <w:t>37.9</w:t>
            </w:r>
          </w:p>
        </w:tc>
      </w:tr>
      <w:tr w:rsidR="00B80F46" w:rsidRPr="00354810" w14:paraId="46569DA1" w14:textId="77777777" w:rsidTr="00B80F46">
        <w:trPr>
          <w:trHeight w:val="255"/>
        </w:trPr>
        <w:tc>
          <w:tcPr>
            <w:tcW w:w="2876" w:type="dxa"/>
            <w:tcBorders>
              <w:top w:val="nil"/>
              <w:bottom w:val="nil"/>
            </w:tcBorders>
            <w:shd w:val="clear" w:color="auto" w:fill="auto"/>
            <w:vAlign w:val="center"/>
          </w:tcPr>
          <w:p w14:paraId="6DCC7AF8" w14:textId="77777777" w:rsidR="00B80F46" w:rsidRDefault="00B80F46" w:rsidP="00B80F46">
            <w:pPr>
              <w:pStyle w:val="Tabletext"/>
            </w:pPr>
            <w:r w:rsidRPr="00354810">
              <w:rPr>
                <w:b/>
              </w:rPr>
              <w:t>Health</w:t>
            </w:r>
          </w:p>
        </w:tc>
        <w:tc>
          <w:tcPr>
            <w:tcW w:w="860" w:type="dxa"/>
            <w:tcBorders>
              <w:top w:val="nil"/>
              <w:bottom w:val="nil"/>
            </w:tcBorders>
            <w:vAlign w:val="center"/>
          </w:tcPr>
          <w:p w14:paraId="589672A1" w14:textId="77777777" w:rsidR="00B80F46" w:rsidRPr="00354810" w:rsidRDefault="00B80F46" w:rsidP="00B80F46">
            <w:pPr>
              <w:pStyle w:val="Tabletext"/>
              <w:jc w:val="right"/>
            </w:pPr>
            <w:r>
              <w:t>np</w:t>
            </w:r>
          </w:p>
        </w:tc>
        <w:tc>
          <w:tcPr>
            <w:tcW w:w="861" w:type="dxa"/>
            <w:tcBorders>
              <w:top w:val="nil"/>
              <w:bottom w:val="nil"/>
            </w:tcBorders>
            <w:vAlign w:val="center"/>
          </w:tcPr>
          <w:p w14:paraId="1EB8721E" w14:textId="77777777" w:rsidR="00B80F46" w:rsidRPr="00354810" w:rsidRDefault="00B80F46" w:rsidP="00B80F46">
            <w:pPr>
              <w:pStyle w:val="Tabletext"/>
              <w:tabs>
                <w:tab w:val="decimal" w:pos="0"/>
                <w:tab w:val="decimal" w:pos="645"/>
              </w:tabs>
              <w:jc w:val="right"/>
            </w:pPr>
            <w:r>
              <w:t>53.6</w:t>
            </w:r>
          </w:p>
        </w:tc>
        <w:tc>
          <w:tcPr>
            <w:tcW w:w="861" w:type="dxa"/>
            <w:tcBorders>
              <w:top w:val="nil"/>
              <w:bottom w:val="nil"/>
            </w:tcBorders>
            <w:shd w:val="clear" w:color="auto" w:fill="auto"/>
            <w:vAlign w:val="center"/>
          </w:tcPr>
          <w:p w14:paraId="24FEA465" w14:textId="77777777" w:rsidR="00B80F46" w:rsidRPr="00354810" w:rsidRDefault="00B80F46" w:rsidP="00B80F46">
            <w:pPr>
              <w:pStyle w:val="Tabletext"/>
              <w:jc w:val="right"/>
            </w:pPr>
            <w:r>
              <w:t>39.2</w:t>
            </w:r>
          </w:p>
        </w:tc>
        <w:tc>
          <w:tcPr>
            <w:tcW w:w="860" w:type="dxa"/>
            <w:tcBorders>
              <w:top w:val="nil"/>
              <w:bottom w:val="nil"/>
            </w:tcBorders>
            <w:shd w:val="clear" w:color="auto" w:fill="auto"/>
            <w:vAlign w:val="center"/>
          </w:tcPr>
          <w:p w14:paraId="57F572B5" w14:textId="77777777" w:rsidR="00B80F46" w:rsidRPr="00354810" w:rsidRDefault="00B80F46" w:rsidP="00B80F46">
            <w:pPr>
              <w:pStyle w:val="Tabletext"/>
              <w:jc w:val="right"/>
            </w:pPr>
            <w:r>
              <w:t>38.8</w:t>
            </w:r>
          </w:p>
        </w:tc>
        <w:tc>
          <w:tcPr>
            <w:tcW w:w="861" w:type="dxa"/>
            <w:tcBorders>
              <w:top w:val="nil"/>
              <w:bottom w:val="nil"/>
            </w:tcBorders>
            <w:shd w:val="pct12" w:color="auto" w:fill="auto"/>
            <w:vAlign w:val="center"/>
          </w:tcPr>
          <w:p w14:paraId="7E3E768C" w14:textId="77777777" w:rsidR="00B80F46" w:rsidRPr="00354810" w:rsidRDefault="00B80F46" w:rsidP="00B80F46">
            <w:pPr>
              <w:pStyle w:val="Tabletext"/>
              <w:jc w:val="right"/>
            </w:pPr>
            <w:r>
              <w:t>30.8</w:t>
            </w:r>
          </w:p>
        </w:tc>
        <w:tc>
          <w:tcPr>
            <w:tcW w:w="861" w:type="dxa"/>
            <w:tcBorders>
              <w:top w:val="nil"/>
              <w:bottom w:val="nil"/>
            </w:tcBorders>
            <w:vAlign w:val="center"/>
          </w:tcPr>
          <w:p w14:paraId="3D56CF2C" w14:textId="77777777" w:rsidR="00B80F46" w:rsidRPr="00354810" w:rsidRDefault="00B80F46" w:rsidP="00B80F46">
            <w:pPr>
              <w:pStyle w:val="Tabletext"/>
              <w:jc w:val="right"/>
              <w:rPr>
                <w:b/>
              </w:rPr>
            </w:pPr>
            <w:r>
              <w:rPr>
                <w:b/>
              </w:rPr>
              <w:t>37.4</w:t>
            </w:r>
          </w:p>
        </w:tc>
      </w:tr>
      <w:tr w:rsidR="00B80F46" w:rsidRPr="00354810" w14:paraId="7D1F4887" w14:textId="77777777" w:rsidTr="00B80F46">
        <w:trPr>
          <w:trHeight w:val="255"/>
        </w:trPr>
        <w:tc>
          <w:tcPr>
            <w:tcW w:w="2876" w:type="dxa"/>
            <w:tcBorders>
              <w:top w:val="nil"/>
              <w:bottom w:val="nil"/>
            </w:tcBorders>
            <w:shd w:val="clear" w:color="auto" w:fill="auto"/>
            <w:vAlign w:val="center"/>
          </w:tcPr>
          <w:p w14:paraId="03EA10BE" w14:textId="77777777" w:rsidR="00B80F46" w:rsidRDefault="00B80F46" w:rsidP="00B80F46">
            <w:pPr>
              <w:pStyle w:val="Tabletext"/>
              <w:ind w:left="567"/>
            </w:pPr>
            <w:r w:rsidRPr="00354810">
              <w:t>Nursing</w:t>
            </w:r>
          </w:p>
        </w:tc>
        <w:tc>
          <w:tcPr>
            <w:tcW w:w="860" w:type="dxa"/>
            <w:tcBorders>
              <w:top w:val="nil"/>
              <w:bottom w:val="nil"/>
            </w:tcBorders>
            <w:vAlign w:val="center"/>
          </w:tcPr>
          <w:p w14:paraId="4591080A" w14:textId="77777777" w:rsidR="00B80F46" w:rsidRPr="00354810" w:rsidRDefault="00B80F46" w:rsidP="00B80F46">
            <w:pPr>
              <w:pStyle w:val="Tabletext"/>
              <w:jc w:val="right"/>
            </w:pPr>
            <w:proofErr w:type="spellStart"/>
            <w:r>
              <w:t>na</w:t>
            </w:r>
            <w:proofErr w:type="spellEnd"/>
          </w:p>
        </w:tc>
        <w:tc>
          <w:tcPr>
            <w:tcW w:w="861" w:type="dxa"/>
            <w:tcBorders>
              <w:top w:val="nil"/>
              <w:bottom w:val="nil"/>
            </w:tcBorders>
            <w:vAlign w:val="center"/>
          </w:tcPr>
          <w:p w14:paraId="67EE3841" w14:textId="77777777" w:rsidR="00B80F46" w:rsidRPr="00354810" w:rsidRDefault="00B80F46" w:rsidP="00B80F46">
            <w:pPr>
              <w:pStyle w:val="Tabletext"/>
              <w:tabs>
                <w:tab w:val="decimal" w:pos="0"/>
                <w:tab w:val="decimal" w:pos="645"/>
              </w:tabs>
              <w:jc w:val="right"/>
            </w:pPr>
            <w:r>
              <w:t>np</w:t>
            </w:r>
          </w:p>
        </w:tc>
        <w:tc>
          <w:tcPr>
            <w:tcW w:w="861" w:type="dxa"/>
            <w:tcBorders>
              <w:top w:val="nil"/>
              <w:bottom w:val="nil"/>
            </w:tcBorders>
            <w:shd w:val="clear" w:color="auto" w:fill="auto"/>
            <w:vAlign w:val="center"/>
          </w:tcPr>
          <w:p w14:paraId="38F10089" w14:textId="77777777" w:rsidR="00B80F46" w:rsidRPr="00354810" w:rsidRDefault="00B80F46" w:rsidP="00B80F46">
            <w:pPr>
              <w:pStyle w:val="Tabletext"/>
              <w:jc w:val="right"/>
            </w:pPr>
            <w:r>
              <w:t>np</w:t>
            </w:r>
          </w:p>
        </w:tc>
        <w:tc>
          <w:tcPr>
            <w:tcW w:w="860" w:type="dxa"/>
            <w:tcBorders>
              <w:top w:val="nil"/>
              <w:bottom w:val="nil"/>
            </w:tcBorders>
            <w:shd w:val="clear" w:color="auto" w:fill="auto"/>
            <w:vAlign w:val="center"/>
          </w:tcPr>
          <w:p w14:paraId="10AE6954" w14:textId="77777777" w:rsidR="00B80F46" w:rsidRPr="00354810" w:rsidRDefault="00B80F46" w:rsidP="00B80F46">
            <w:pPr>
              <w:pStyle w:val="Tabletext"/>
              <w:jc w:val="right"/>
            </w:pPr>
            <w:r>
              <w:t>41.9</w:t>
            </w:r>
          </w:p>
        </w:tc>
        <w:tc>
          <w:tcPr>
            <w:tcW w:w="861" w:type="dxa"/>
            <w:tcBorders>
              <w:top w:val="nil"/>
              <w:bottom w:val="nil"/>
            </w:tcBorders>
            <w:shd w:val="pct12" w:color="auto" w:fill="auto"/>
            <w:vAlign w:val="center"/>
          </w:tcPr>
          <w:p w14:paraId="0E0B8207" w14:textId="77777777" w:rsidR="00B80F46" w:rsidRPr="00354810" w:rsidRDefault="00B80F46" w:rsidP="00B80F46">
            <w:pPr>
              <w:pStyle w:val="Tabletext"/>
              <w:jc w:val="right"/>
            </w:pPr>
            <w:r>
              <w:t>31.2</w:t>
            </w:r>
          </w:p>
        </w:tc>
        <w:tc>
          <w:tcPr>
            <w:tcW w:w="861" w:type="dxa"/>
            <w:tcBorders>
              <w:top w:val="nil"/>
              <w:bottom w:val="nil"/>
            </w:tcBorders>
            <w:vAlign w:val="center"/>
          </w:tcPr>
          <w:p w14:paraId="6A87F718" w14:textId="77777777" w:rsidR="00B80F46" w:rsidRPr="00354810" w:rsidRDefault="00B80F46" w:rsidP="00B80F46">
            <w:pPr>
              <w:pStyle w:val="Tabletext"/>
              <w:jc w:val="right"/>
              <w:rPr>
                <w:b/>
              </w:rPr>
            </w:pPr>
            <w:r>
              <w:rPr>
                <w:b/>
              </w:rPr>
              <w:t>32.4</w:t>
            </w:r>
          </w:p>
        </w:tc>
      </w:tr>
      <w:tr w:rsidR="00B80F46" w:rsidRPr="00354810" w14:paraId="5ADC699F" w14:textId="77777777" w:rsidTr="00B80F46">
        <w:trPr>
          <w:trHeight w:val="255"/>
        </w:trPr>
        <w:tc>
          <w:tcPr>
            <w:tcW w:w="2876" w:type="dxa"/>
            <w:tcBorders>
              <w:top w:val="single" w:sz="4" w:space="0" w:color="auto"/>
              <w:bottom w:val="single" w:sz="4" w:space="0" w:color="auto"/>
            </w:tcBorders>
            <w:shd w:val="clear" w:color="auto" w:fill="auto"/>
            <w:vAlign w:val="center"/>
          </w:tcPr>
          <w:p w14:paraId="342E6A11" w14:textId="77777777" w:rsidR="00B80F46" w:rsidRPr="00354810" w:rsidRDefault="00B80F46" w:rsidP="00B80F46">
            <w:pPr>
              <w:pStyle w:val="Tabletext"/>
              <w:rPr>
                <w:b/>
              </w:rPr>
            </w:pPr>
            <w:r w:rsidRPr="00354810">
              <w:rPr>
                <w:b/>
              </w:rPr>
              <w:t>All fields</w:t>
            </w:r>
          </w:p>
        </w:tc>
        <w:tc>
          <w:tcPr>
            <w:tcW w:w="860" w:type="dxa"/>
            <w:tcBorders>
              <w:top w:val="single" w:sz="4" w:space="0" w:color="auto"/>
              <w:bottom w:val="single" w:sz="4" w:space="0" w:color="auto"/>
            </w:tcBorders>
            <w:vAlign w:val="center"/>
          </w:tcPr>
          <w:p w14:paraId="73A7CDF0" w14:textId="77777777" w:rsidR="00B80F46" w:rsidRPr="00354810" w:rsidRDefault="00B80F46" w:rsidP="00B80F46">
            <w:pPr>
              <w:pStyle w:val="Tabletext"/>
              <w:jc w:val="right"/>
              <w:rPr>
                <w:b/>
              </w:rPr>
            </w:pPr>
            <w:r>
              <w:rPr>
                <w:b/>
              </w:rPr>
              <w:t>51.3</w:t>
            </w:r>
          </w:p>
        </w:tc>
        <w:tc>
          <w:tcPr>
            <w:tcW w:w="861" w:type="dxa"/>
            <w:tcBorders>
              <w:top w:val="single" w:sz="4" w:space="0" w:color="auto"/>
              <w:bottom w:val="single" w:sz="4" w:space="0" w:color="auto"/>
            </w:tcBorders>
            <w:vAlign w:val="center"/>
          </w:tcPr>
          <w:p w14:paraId="07946022" w14:textId="77777777" w:rsidR="00B80F46" w:rsidRPr="00354810" w:rsidRDefault="00B80F46" w:rsidP="00B80F46">
            <w:pPr>
              <w:pStyle w:val="Tabletext"/>
              <w:tabs>
                <w:tab w:val="decimal" w:pos="0"/>
                <w:tab w:val="decimal" w:pos="645"/>
              </w:tabs>
              <w:jc w:val="right"/>
              <w:rPr>
                <w:b/>
              </w:rPr>
            </w:pPr>
            <w:r>
              <w:rPr>
                <w:b/>
              </w:rPr>
              <w:t>42.4</w:t>
            </w:r>
          </w:p>
        </w:tc>
        <w:tc>
          <w:tcPr>
            <w:tcW w:w="861" w:type="dxa"/>
            <w:tcBorders>
              <w:top w:val="single" w:sz="4" w:space="0" w:color="auto"/>
              <w:bottom w:val="single" w:sz="4" w:space="0" w:color="auto"/>
            </w:tcBorders>
            <w:shd w:val="clear" w:color="auto" w:fill="auto"/>
            <w:vAlign w:val="center"/>
          </w:tcPr>
          <w:p w14:paraId="6238BA36" w14:textId="77777777" w:rsidR="00B80F46" w:rsidRPr="00354810" w:rsidRDefault="00B80F46" w:rsidP="00B80F46">
            <w:pPr>
              <w:pStyle w:val="Tabletext"/>
              <w:jc w:val="right"/>
              <w:rPr>
                <w:b/>
              </w:rPr>
            </w:pPr>
            <w:r>
              <w:rPr>
                <w:b/>
              </w:rPr>
              <w:t>33.4</w:t>
            </w:r>
          </w:p>
        </w:tc>
        <w:tc>
          <w:tcPr>
            <w:tcW w:w="860" w:type="dxa"/>
            <w:tcBorders>
              <w:top w:val="single" w:sz="4" w:space="0" w:color="auto"/>
              <w:bottom w:val="single" w:sz="4" w:space="0" w:color="auto"/>
            </w:tcBorders>
            <w:shd w:val="clear" w:color="auto" w:fill="auto"/>
            <w:vAlign w:val="center"/>
          </w:tcPr>
          <w:p w14:paraId="354C9CDC" w14:textId="77777777" w:rsidR="00B80F46" w:rsidRPr="00354810" w:rsidRDefault="00B80F46" w:rsidP="00B80F46">
            <w:pPr>
              <w:pStyle w:val="Tabletext"/>
              <w:jc w:val="right"/>
              <w:rPr>
                <w:b/>
              </w:rPr>
            </w:pPr>
            <w:r>
              <w:rPr>
                <w:b/>
              </w:rPr>
              <w:t>36.1</w:t>
            </w:r>
          </w:p>
        </w:tc>
        <w:tc>
          <w:tcPr>
            <w:tcW w:w="861" w:type="dxa"/>
            <w:tcBorders>
              <w:top w:val="single" w:sz="4" w:space="0" w:color="auto"/>
              <w:bottom w:val="single" w:sz="4" w:space="0" w:color="auto"/>
            </w:tcBorders>
            <w:shd w:val="pct12" w:color="auto" w:fill="auto"/>
            <w:vAlign w:val="center"/>
          </w:tcPr>
          <w:p w14:paraId="572A6555" w14:textId="77777777" w:rsidR="00B80F46" w:rsidRPr="00354810" w:rsidRDefault="00B80F46" w:rsidP="00B80F46">
            <w:pPr>
              <w:pStyle w:val="Tabletext"/>
              <w:jc w:val="right"/>
              <w:rPr>
                <w:b/>
              </w:rPr>
            </w:pPr>
            <w:r>
              <w:rPr>
                <w:b/>
              </w:rPr>
              <w:t>35.2</w:t>
            </w:r>
          </w:p>
        </w:tc>
        <w:tc>
          <w:tcPr>
            <w:tcW w:w="861" w:type="dxa"/>
            <w:tcBorders>
              <w:top w:val="single" w:sz="4" w:space="0" w:color="auto"/>
              <w:bottom w:val="single" w:sz="4" w:space="0" w:color="auto"/>
            </w:tcBorders>
            <w:vAlign w:val="center"/>
          </w:tcPr>
          <w:p w14:paraId="107E5DAD" w14:textId="77777777" w:rsidR="00B80F46" w:rsidRPr="00354810" w:rsidRDefault="00B80F46" w:rsidP="00B80F46">
            <w:pPr>
              <w:pStyle w:val="Tabletext"/>
              <w:jc w:val="right"/>
              <w:rPr>
                <w:b/>
              </w:rPr>
            </w:pPr>
            <w:r>
              <w:rPr>
                <w:b/>
              </w:rPr>
              <w:t>36.1</w:t>
            </w:r>
          </w:p>
        </w:tc>
      </w:tr>
    </w:tbl>
    <w:p w14:paraId="54CCE64E" w14:textId="77777777" w:rsidR="00B80F46" w:rsidRDefault="00B80F46" w:rsidP="00B80F46">
      <w:pPr>
        <w:pStyle w:val="Source"/>
      </w:pPr>
      <w:r>
        <w:t>Source:</w:t>
      </w:r>
      <w:r>
        <w:tab/>
        <w:t>NCVER (2013).</w:t>
      </w:r>
    </w:p>
    <w:p w14:paraId="53AC2D9B" w14:textId="77777777" w:rsidR="00B80F46" w:rsidRDefault="00B80F46" w:rsidP="00B80F46">
      <w:pPr>
        <w:pStyle w:val="Source"/>
      </w:pPr>
      <w:r>
        <w:t>Notes:</w:t>
      </w:r>
      <w:r>
        <w:tab/>
      </w:r>
      <w:proofErr w:type="spellStart"/>
      <w:proofErr w:type="gramStart"/>
      <w:r>
        <w:t>na</w:t>
      </w:r>
      <w:proofErr w:type="spellEnd"/>
      <w:proofErr w:type="gramEnd"/>
      <w:r>
        <w:t xml:space="preserve"> </w:t>
      </w:r>
      <w:r w:rsidRPr="00147C93">
        <w:t>Not applicable</w:t>
      </w:r>
    </w:p>
    <w:p w14:paraId="0F5E6309" w14:textId="77777777" w:rsidR="00B80F46" w:rsidRDefault="00B80F46" w:rsidP="00B80F46">
      <w:pPr>
        <w:pStyle w:val="Source"/>
        <w:ind w:firstLine="0"/>
      </w:pPr>
      <w:proofErr w:type="gramStart"/>
      <w:r>
        <w:t>np</w:t>
      </w:r>
      <w:proofErr w:type="gramEnd"/>
      <w:r>
        <w:t xml:space="preserve"> Not published. NCVER does not report on estimates based on five or fewer respondents because the estimates are unreliable.</w:t>
      </w:r>
    </w:p>
    <w:p w14:paraId="330A0DF0" w14:textId="77777777" w:rsidR="00B53A2D" w:rsidRDefault="00B53A2D" w:rsidP="00DD779E">
      <w:pPr>
        <w:pStyle w:val="Heading2"/>
      </w:pPr>
      <w:bookmarkStart w:id="25" w:name="_Toc257836740"/>
      <w:r>
        <w:t>Equity and social mobility</w:t>
      </w:r>
      <w:bookmarkEnd w:id="25"/>
    </w:p>
    <w:p w14:paraId="23C57679" w14:textId="2B7322AF" w:rsidR="009329EA" w:rsidRDefault="00A85869" w:rsidP="00A85869">
      <w:pPr>
        <w:pStyle w:val="Text"/>
      </w:pPr>
      <w:r>
        <w:t>This section co</w:t>
      </w:r>
      <w:r w:rsidR="008207A6">
        <w:t xml:space="preserve">nsiders the extent to which </w:t>
      </w:r>
      <w:r w:rsidR="00572455">
        <w:t>mid-level</w:t>
      </w:r>
      <w:r>
        <w:t xml:space="preserve"> qualifications in health </w:t>
      </w:r>
      <w:r w:rsidR="00B840E0">
        <w:t xml:space="preserve">and nursing, and in society and culture </w:t>
      </w:r>
      <w:r>
        <w:t xml:space="preserve">and </w:t>
      </w:r>
      <w:r w:rsidR="00B840E0">
        <w:t xml:space="preserve">human </w:t>
      </w:r>
      <w:r>
        <w:t xml:space="preserve">welfare </w:t>
      </w:r>
      <w:r w:rsidR="00B840E0">
        <w:t xml:space="preserve">and </w:t>
      </w:r>
      <w:r>
        <w:t>services</w:t>
      </w:r>
      <w:r w:rsidR="00E35BDD">
        <w:t>,</w:t>
      </w:r>
      <w:r>
        <w:t xml:space="preserve"> support social mobility and equ</w:t>
      </w:r>
      <w:r w:rsidR="008207A6">
        <w:t xml:space="preserve">ity for students from low socio </w:t>
      </w:r>
      <w:r>
        <w:t xml:space="preserve">economic backgrounds to gain access to higher-level VET qualifications. </w:t>
      </w:r>
      <w:r w:rsidR="008207A6">
        <w:t xml:space="preserve">While students from low socio economic backgrounds are over </w:t>
      </w:r>
      <w:r w:rsidR="00546366">
        <w:t xml:space="preserve">represented in VET overall, they </w:t>
      </w:r>
      <w:r w:rsidR="008207A6">
        <w:t xml:space="preserve">are particularly over </w:t>
      </w:r>
      <w:r w:rsidR="00546366">
        <w:t>represented in lower lev</w:t>
      </w:r>
      <w:r w:rsidR="008207A6">
        <w:t xml:space="preserve">el VET qualifications and </w:t>
      </w:r>
      <w:r w:rsidR="00EF62D8">
        <w:t>underrepresented</w:t>
      </w:r>
      <w:r w:rsidR="00546366">
        <w:t xml:space="preserve"> </w:t>
      </w:r>
      <w:r w:rsidR="00EF62D8">
        <w:t xml:space="preserve">in </w:t>
      </w:r>
      <w:r w:rsidR="00546366">
        <w:t xml:space="preserve">higher level VET qualifications </w:t>
      </w:r>
      <w:r w:rsidR="00546366">
        <w:fldChar w:fldCharType="begin"/>
      </w:r>
      <w:r w:rsidR="00380266">
        <w:instrText xml:space="preserve"> ADDIN EN.CITE &lt;EndNote&gt;&lt;Cite&gt;&lt;Author&gt;Wheelahan&lt;/Author&gt;&lt;Year&gt;2009&lt;/Year&gt;&lt;RecNum&gt;2267&lt;/RecNum&gt;&lt;DisplayText&gt;(Wheelahan, 2009)&lt;/DisplayText&gt;&lt;record&gt;&lt;rec-number&gt;2267&lt;/rec-number&gt;&lt;foreign-keys&gt;&lt;key app="EN" db-id="vadepsw2f2aeebevffz5fzpddt9tvewsatpr" timestamp="1260070437"&gt;2267&lt;/key&gt;&lt;/foreign-keys&gt;&lt;ref-type name="Conference Paper"&gt;47&lt;/ref-type&gt;&lt;contributors&gt;&lt;authors&gt;&lt;author&gt;Wheelahan, Leesa&lt;/author&gt;&lt;/authors&gt;&lt;/contributors&gt;&lt;titles&gt;&lt;title&gt;Rethinking equity policy in tertiary education: why VET and higher education have to work together &lt;/title&gt;&lt;secondary-title&gt;Social Inclusion in Education conference&lt;/secondary-title&gt;&lt;/titles&gt;&lt;dates&gt;&lt;year&gt;2009&lt;/year&gt;&lt;pub-dates&gt;&lt;date&gt;22-23 October&lt;/date&gt;&lt;/pub-dates&gt;&lt;/dates&gt;&lt;pub-location&gt;Sydney&lt;/pub-location&gt;&lt;publisher&gt;Informa and the National Centre for Student Equity in Higher Education&lt;/publisher&gt;&lt;label&gt;Papers, Presentations, Social Inclusion conference Sydney&lt;/label&gt;&lt;urls&gt;&lt;/urls&gt;&lt;/record&gt;&lt;/Cite&gt;&lt;/EndNote&gt;</w:instrText>
      </w:r>
      <w:r w:rsidR="00546366">
        <w:fldChar w:fldCharType="separate"/>
      </w:r>
      <w:r w:rsidR="00380266">
        <w:rPr>
          <w:noProof/>
        </w:rPr>
        <w:t>(</w:t>
      </w:r>
      <w:hyperlink w:anchor="_ENREF_25" w:tooltip="Wheelahan, 2009 #2267" w:history="1">
        <w:r w:rsidR="00B03184">
          <w:rPr>
            <w:noProof/>
          </w:rPr>
          <w:t>Wheelahan 2009</w:t>
        </w:r>
      </w:hyperlink>
      <w:r w:rsidR="00380266">
        <w:rPr>
          <w:noProof/>
        </w:rPr>
        <w:t>)</w:t>
      </w:r>
      <w:r w:rsidR="00546366">
        <w:fldChar w:fldCharType="end"/>
      </w:r>
      <w:r w:rsidR="00546366">
        <w:t>.</w:t>
      </w:r>
      <w:r w:rsidR="00717247">
        <w:t xml:space="preserve"> </w:t>
      </w:r>
      <w:r w:rsidR="00F85159">
        <w:t>However, this varies by field of education</w:t>
      </w:r>
      <w:r w:rsidR="002E300D">
        <w:t xml:space="preserve"> </w:t>
      </w:r>
      <w:r w:rsidR="00B24D35">
        <w:t>(</w:t>
      </w:r>
      <w:proofErr w:type="spellStart"/>
      <w:r w:rsidR="00B24D35">
        <w:t>Moodie</w:t>
      </w:r>
      <w:proofErr w:type="spellEnd"/>
      <w:r w:rsidR="00B24D35">
        <w:t xml:space="preserve"> 2012b)</w:t>
      </w:r>
      <w:r w:rsidR="002E300D">
        <w:t>.</w:t>
      </w:r>
      <w:r w:rsidR="00F85159">
        <w:t xml:space="preserve"> The occupations supported by health and nursing</w:t>
      </w:r>
      <w:r w:rsidR="009329EA">
        <w:t>,</w:t>
      </w:r>
      <w:r w:rsidR="00F85159">
        <w:t xml:space="preserve"> and society and culture and human welfare</w:t>
      </w:r>
      <w:r w:rsidR="009329EA">
        <w:t xml:space="preserve"> and services, </w:t>
      </w:r>
      <w:r w:rsidR="00F85159">
        <w:t xml:space="preserve">are </w:t>
      </w:r>
      <w:r w:rsidR="00E35BDD">
        <w:t xml:space="preserve">highly </w:t>
      </w:r>
      <w:r w:rsidR="009329EA">
        <w:t>feminised</w:t>
      </w:r>
      <w:r w:rsidR="00F85159">
        <w:t xml:space="preserve"> with lower paid and lower status occupations </w:t>
      </w:r>
      <w:r w:rsidR="009329EA">
        <w:t xml:space="preserve">that comprise </w:t>
      </w:r>
      <w:r w:rsidR="002E300D">
        <w:t xml:space="preserve">disproportionate numbers of </w:t>
      </w:r>
      <w:r w:rsidR="00CC0CB6">
        <w:t xml:space="preserve">people from low socio </w:t>
      </w:r>
      <w:r w:rsidR="00F85159">
        <w:t xml:space="preserve">economic backgrounds </w:t>
      </w:r>
      <w:r w:rsidR="002E300D">
        <w:fldChar w:fldCharType="begin"/>
      </w:r>
      <w:r w:rsidR="00380266">
        <w:instrText xml:space="preserve"> ADDIN EN.CITE &lt;EndNote&gt;&lt;Cite&gt;&lt;Author&gt;Leahy&lt;/Author&gt;&lt;Year&gt;2013&lt;/Year&gt;&lt;RecNum&gt;3177&lt;/RecNum&gt;&lt;DisplayText&gt;(Leahy, 2013)&lt;/DisplayText&gt;&lt;record&gt;&lt;rec-number&gt;3177&lt;/rec-number&gt;&lt;foreign-keys&gt;&lt;key app="EN" db-id="vadepsw2f2aeebevffz5fzpddt9tvewsatpr" timestamp="1361418151"&gt;3177&lt;/key&gt;&lt;/foreign-keys&gt;&lt;ref-type name="Report"&gt;27&lt;/ref-type&gt;&lt;contributors&gt;&lt;authors&gt;&lt;author&gt;Leahy, Mary&lt;/author&gt;&lt;/authors&gt;&lt;/contributors&gt;&lt;titles&gt;&lt;title&gt;Aged care and disability services sector paper: For the ‘From Competencies to Capabilities Project’&lt;/title&gt;&lt;/titles&gt;&lt;dates&gt;&lt;year&gt;2013&lt;/year&gt;&lt;pub-dates&gt;&lt;date&gt;February&lt;/date&gt;&lt;/pub-dates&gt;&lt;/dates&gt;&lt;pub-location&gt;Melbourne&lt;/pub-location&gt;&lt;publisher&gt;LH Martin Institute for Tertiary Education Leadership and Management, University of Melbourne&lt;/publisher&gt;&lt;urls&gt;&lt;/urls&gt;&lt;/record&gt;&lt;/Cite&gt;&lt;/EndNote&gt;</w:instrText>
      </w:r>
      <w:r w:rsidR="002E300D">
        <w:fldChar w:fldCharType="separate"/>
      </w:r>
      <w:r w:rsidR="00380266">
        <w:rPr>
          <w:noProof/>
        </w:rPr>
        <w:t>(</w:t>
      </w:r>
      <w:hyperlink w:anchor="_ENREF_12" w:tooltip="Leahy, 2013 #3177" w:history="1">
        <w:r w:rsidR="00B03184">
          <w:rPr>
            <w:noProof/>
          </w:rPr>
          <w:t>Leahy 2013</w:t>
        </w:r>
      </w:hyperlink>
      <w:r w:rsidR="00380266">
        <w:rPr>
          <w:noProof/>
        </w:rPr>
        <w:t>)</w:t>
      </w:r>
      <w:r w:rsidR="002E300D">
        <w:fldChar w:fldCharType="end"/>
      </w:r>
      <w:r w:rsidR="002E300D">
        <w:t xml:space="preserve">. </w:t>
      </w:r>
      <w:r w:rsidR="00717247">
        <w:t>Table 4 shows the percentage of s</w:t>
      </w:r>
      <w:r w:rsidR="008207A6">
        <w:t xml:space="preserve">tudents in the two lowest socio </w:t>
      </w:r>
      <w:r w:rsidR="00717247">
        <w:t>economic quintiles, or stud</w:t>
      </w:r>
      <w:r w:rsidR="008207A6">
        <w:t xml:space="preserve">ents in the bottom 40% of socio </w:t>
      </w:r>
      <w:r w:rsidR="00717247">
        <w:t>economic backgrounds</w:t>
      </w:r>
      <w:r w:rsidR="00E35BDD">
        <w:t xml:space="preserve"> in these fields of education and for VET students overall</w:t>
      </w:r>
      <w:r w:rsidR="00717247">
        <w:t>. If students from the t</w:t>
      </w:r>
      <w:r w:rsidR="008207A6">
        <w:t xml:space="preserve">wo lowest socio </w:t>
      </w:r>
      <w:r w:rsidR="00717247">
        <w:t xml:space="preserve">economic quintiles </w:t>
      </w:r>
      <w:r w:rsidR="00200B3A">
        <w:t>(the bottom 40</w:t>
      </w:r>
      <w:r w:rsidR="003D41A0">
        <w:t>%</w:t>
      </w:r>
      <w:r w:rsidR="00200B3A">
        <w:t xml:space="preserve">) </w:t>
      </w:r>
      <w:r w:rsidR="00717247">
        <w:t>were represented in VET qualifications in proportion to their numbers in the population, then the</w:t>
      </w:r>
      <w:r w:rsidR="0005187F">
        <w:t>y</w:t>
      </w:r>
      <w:r w:rsidR="00717247">
        <w:t xml:space="preserve"> should be 40</w:t>
      </w:r>
      <w:r w:rsidR="003D41A0">
        <w:t>%</w:t>
      </w:r>
      <w:r w:rsidR="00717247">
        <w:t xml:space="preserve"> of student</w:t>
      </w:r>
      <w:r w:rsidR="002E300D">
        <w:t>s</w:t>
      </w:r>
      <w:r w:rsidR="00717247">
        <w:t xml:space="preserve"> in these qualifications.</w:t>
      </w:r>
      <w:r w:rsidR="00200B3A">
        <w:t xml:space="preserve"> </w:t>
      </w:r>
    </w:p>
    <w:p w14:paraId="695EC1F7" w14:textId="20DE2457" w:rsidR="00546366" w:rsidRDefault="008207A6" w:rsidP="00A85869">
      <w:pPr>
        <w:pStyle w:val="Text"/>
      </w:pPr>
      <w:r>
        <w:t xml:space="preserve">Table 4 shows that </w:t>
      </w:r>
      <w:r w:rsidR="00572455">
        <w:t>mid-level</w:t>
      </w:r>
      <w:r w:rsidR="00200B3A">
        <w:t xml:space="preserve"> qualifications in the broad fields of society and culture and health, and in the narrow fields of human welfare and services and nursing, support social mobility because </w:t>
      </w:r>
      <w:r w:rsidR="009329EA">
        <w:t>they have relatively high proport</w:t>
      </w:r>
      <w:r w:rsidR="000D7206">
        <w:t xml:space="preserve">ions of students from low socio economic backgrounds in </w:t>
      </w:r>
      <w:r w:rsidR="00572455">
        <w:t>mid-level</w:t>
      </w:r>
      <w:r w:rsidR="009329EA">
        <w:t xml:space="preserve"> qualifications. While only 34% of all VET students at diploma and abov</w:t>
      </w:r>
      <w:r w:rsidR="000D7206">
        <w:t xml:space="preserve">e are from the bottom two socio </w:t>
      </w:r>
      <w:r w:rsidR="009329EA">
        <w:t>economic quintiles, about 40</w:t>
      </w:r>
      <w:r w:rsidR="003D41A0">
        <w:t>%</w:t>
      </w:r>
      <w:r w:rsidR="009329EA">
        <w:t xml:space="preserve"> of students</w:t>
      </w:r>
      <w:r w:rsidR="007A44C5">
        <w:t xml:space="preserve"> in</w:t>
      </w:r>
      <w:r w:rsidR="009329EA">
        <w:t xml:space="preserve"> health in diplomas and above are from the same background. The broad field of society and culture has 42</w:t>
      </w:r>
      <w:r w:rsidR="003D41A0">
        <w:t>%</w:t>
      </w:r>
      <w:r w:rsidR="009329EA">
        <w:t xml:space="preserve"> of students</w:t>
      </w:r>
      <w:r w:rsidR="000D7206">
        <w:t xml:space="preserve"> from the bottom two socio </w:t>
      </w:r>
      <w:r w:rsidR="009329EA">
        <w:t>economic quintiles, while the percentages for the narrow fields of education of nursing and human welfare and services are even higher.</w:t>
      </w:r>
      <w:r w:rsidR="000D7206">
        <w:t xml:space="preserve"> Students from the bottom socio </w:t>
      </w:r>
      <w:r w:rsidR="009329EA">
        <w:t>e</w:t>
      </w:r>
      <w:r w:rsidR="000D7206">
        <w:t xml:space="preserve">conomic quintiles are well over </w:t>
      </w:r>
      <w:r w:rsidR="009329EA">
        <w:t>represented in lower level VET qualifications in these fields, with the exception of certificates</w:t>
      </w:r>
      <w:r w:rsidR="00635A5F">
        <w:t xml:space="preserve"> I</w:t>
      </w:r>
      <w:r w:rsidR="009329EA">
        <w:t xml:space="preserve"> in the broad fields of society and culture and health but this is because the numbers of students in certificates I in these qualifications in these fields is so low, while there are no students at this level in the narrow fields of human welfare and services and nursing. </w:t>
      </w:r>
    </w:p>
    <w:p w14:paraId="734421E7" w14:textId="77777777" w:rsidR="003946DD" w:rsidRDefault="003946DD" w:rsidP="00A85869">
      <w:pPr>
        <w:pStyle w:val="Text"/>
      </w:pPr>
    </w:p>
    <w:p w14:paraId="17D5A0D1" w14:textId="77777777" w:rsidR="003946DD" w:rsidRDefault="003946DD" w:rsidP="00A85869">
      <w:pPr>
        <w:pStyle w:val="Text"/>
      </w:pPr>
    </w:p>
    <w:p w14:paraId="79873C2D" w14:textId="77777777" w:rsidR="003946DD" w:rsidRDefault="003946DD" w:rsidP="00A85869">
      <w:pPr>
        <w:pStyle w:val="Text"/>
      </w:pPr>
    </w:p>
    <w:p w14:paraId="506328BE" w14:textId="77777777" w:rsidR="00890098" w:rsidRDefault="00890098">
      <w:pPr>
        <w:spacing w:before="0" w:line="240" w:lineRule="auto"/>
        <w:rPr>
          <w:rFonts w:ascii="Arial" w:hAnsi="Arial"/>
          <w:b/>
          <w:sz w:val="17"/>
        </w:rPr>
      </w:pPr>
      <w:bookmarkStart w:id="26" w:name="_Toc257836867"/>
      <w:r>
        <w:br w:type="page"/>
      </w:r>
    </w:p>
    <w:p w14:paraId="541C8AC6" w14:textId="6D5E294C" w:rsidR="00896141" w:rsidRPr="00837EEF" w:rsidRDefault="00896141" w:rsidP="00896141">
      <w:pPr>
        <w:pStyle w:val="tabletitle"/>
      </w:pPr>
      <w:r>
        <w:lastRenderedPageBreak/>
        <w:t>Table 4</w:t>
      </w:r>
      <w:r w:rsidRPr="00837EEF">
        <w:tab/>
      </w:r>
      <w:r>
        <w:t>Percentage of students from the two lowest socio-economic quintiles</w:t>
      </w:r>
      <w:r w:rsidRPr="00771F89">
        <w:t xml:space="preserve"> by level of qualification and broad and selected</w:t>
      </w:r>
      <w:r>
        <w:t xml:space="preserve"> narrow field of education, 2012*</w:t>
      </w:r>
      <w:bookmarkEnd w:id="26"/>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896141" w:rsidRPr="00354810" w14:paraId="061FEA6B" w14:textId="77777777" w:rsidTr="006A738C">
        <w:trPr>
          <w:trHeight w:val="255"/>
          <w:tblHeader/>
        </w:trPr>
        <w:tc>
          <w:tcPr>
            <w:tcW w:w="2876" w:type="dxa"/>
            <w:tcBorders>
              <w:top w:val="single" w:sz="4" w:space="0" w:color="auto"/>
              <w:bottom w:val="nil"/>
            </w:tcBorders>
            <w:shd w:val="clear" w:color="auto" w:fill="auto"/>
            <w:vAlign w:val="center"/>
          </w:tcPr>
          <w:p w14:paraId="6604B4A8" w14:textId="77777777" w:rsidR="00896141" w:rsidRPr="00354810" w:rsidRDefault="00896141" w:rsidP="006A738C">
            <w:pPr>
              <w:pStyle w:val="Tablehead1"/>
            </w:pPr>
            <w:r w:rsidRPr="00354810">
              <w:t>Field of education</w:t>
            </w:r>
          </w:p>
        </w:tc>
        <w:tc>
          <w:tcPr>
            <w:tcW w:w="860" w:type="dxa"/>
            <w:tcBorders>
              <w:top w:val="single" w:sz="4" w:space="0" w:color="auto"/>
              <w:bottom w:val="nil"/>
            </w:tcBorders>
            <w:vAlign w:val="center"/>
          </w:tcPr>
          <w:p w14:paraId="5D936BFE" w14:textId="77777777" w:rsidR="00896141" w:rsidRPr="00354810" w:rsidRDefault="00896141" w:rsidP="006A738C">
            <w:pPr>
              <w:pStyle w:val="Tablehead1"/>
              <w:jc w:val="right"/>
              <w:rPr>
                <w:bCs/>
              </w:rPr>
            </w:pPr>
            <w:r w:rsidRPr="00354810">
              <w:rPr>
                <w:bCs/>
              </w:rPr>
              <w:t>Cert I</w:t>
            </w:r>
          </w:p>
        </w:tc>
        <w:tc>
          <w:tcPr>
            <w:tcW w:w="861" w:type="dxa"/>
            <w:tcBorders>
              <w:top w:val="single" w:sz="4" w:space="0" w:color="auto"/>
              <w:bottom w:val="nil"/>
            </w:tcBorders>
            <w:vAlign w:val="center"/>
          </w:tcPr>
          <w:p w14:paraId="7BA2DCBE" w14:textId="77777777" w:rsidR="00896141" w:rsidRPr="00354810" w:rsidRDefault="00896141" w:rsidP="006A738C">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31FB4D53" w14:textId="77777777" w:rsidR="00896141" w:rsidRPr="00354810" w:rsidRDefault="00896141" w:rsidP="006A738C">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10D23D00" w14:textId="77777777" w:rsidR="00896141" w:rsidRPr="00354810" w:rsidRDefault="00896141" w:rsidP="006A738C">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6C7AE64A" w14:textId="77777777" w:rsidR="00896141" w:rsidRPr="00354810" w:rsidRDefault="00896141" w:rsidP="006A738C">
            <w:pPr>
              <w:pStyle w:val="Tablehead1"/>
              <w:jc w:val="right"/>
              <w:rPr>
                <w:bCs/>
              </w:rPr>
            </w:pPr>
            <w:r>
              <w:rPr>
                <w:bCs/>
              </w:rPr>
              <w:t>Dips and above</w:t>
            </w:r>
          </w:p>
        </w:tc>
        <w:tc>
          <w:tcPr>
            <w:tcW w:w="861" w:type="dxa"/>
            <w:tcBorders>
              <w:top w:val="single" w:sz="4" w:space="0" w:color="auto"/>
              <w:bottom w:val="nil"/>
            </w:tcBorders>
            <w:vAlign w:val="center"/>
          </w:tcPr>
          <w:p w14:paraId="41E1950D" w14:textId="77777777" w:rsidR="00896141" w:rsidRPr="00354810" w:rsidRDefault="00896141" w:rsidP="006A738C">
            <w:pPr>
              <w:pStyle w:val="Tablehead1"/>
              <w:jc w:val="right"/>
              <w:rPr>
                <w:bCs/>
              </w:rPr>
            </w:pPr>
            <w:r w:rsidRPr="00354810">
              <w:rPr>
                <w:bCs/>
              </w:rPr>
              <w:t>All levels</w:t>
            </w:r>
          </w:p>
        </w:tc>
      </w:tr>
      <w:tr w:rsidR="00896141" w:rsidRPr="00354810" w14:paraId="4062F87A" w14:textId="77777777" w:rsidTr="006A738C">
        <w:trPr>
          <w:trHeight w:val="255"/>
        </w:trPr>
        <w:tc>
          <w:tcPr>
            <w:tcW w:w="2876" w:type="dxa"/>
            <w:tcBorders>
              <w:top w:val="nil"/>
              <w:bottom w:val="nil"/>
            </w:tcBorders>
            <w:shd w:val="clear" w:color="auto" w:fill="auto"/>
            <w:vAlign w:val="center"/>
          </w:tcPr>
          <w:p w14:paraId="1170C46B" w14:textId="77777777" w:rsidR="00896141" w:rsidRPr="00354810" w:rsidRDefault="00896141" w:rsidP="006A738C">
            <w:pPr>
              <w:pStyle w:val="Tabletext"/>
              <w:rPr>
                <w:b/>
                <w:bCs/>
              </w:rPr>
            </w:pPr>
            <w:r w:rsidRPr="001C689E">
              <w:rPr>
                <w:b/>
                <w:bCs/>
              </w:rPr>
              <w:t>Society and culture</w:t>
            </w:r>
          </w:p>
        </w:tc>
        <w:tc>
          <w:tcPr>
            <w:tcW w:w="860" w:type="dxa"/>
            <w:tcBorders>
              <w:top w:val="nil"/>
              <w:bottom w:val="nil"/>
            </w:tcBorders>
            <w:vAlign w:val="center"/>
          </w:tcPr>
          <w:p w14:paraId="2E2C0388" w14:textId="77777777" w:rsidR="00896141" w:rsidRPr="00354810" w:rsidRDefault="00896141" w:rsidP="006A738C">
            <w:pPr>
              <w:pStyle w:val="Tabletext"/>
              <w:jc w:val="right"/>
            </w:pPr>
            <w:r w:rsidRPr="00A85869">
              <w:t>23.9</w:t>
            </w:r>
          </w:p>
        </w:tc>
        <w:tc>
          <w:tcPr>
            <w:tcW w:w="861" w:type="dxa"/>
            <w:tcBorders>
              <w:top w:val="nil"/>
              <w:bottom w:val="nil"/>
            </w:tcBorders>
            <w:vAlign w:val="center"/>
          </w:tcPr>
          <w:p w14:paraId="699036E5" w14:textId="77777777" w:rsidR="00896141" w:rsidRPr="00354810" w:rsidRDefault="00896141" w:rsidP="006A738C">
            <w:pPr>
              <w:pStyle w:val="Tabletext"/>
              <w:tabs>
                <w:tab w:val="decimal" w:pos="0"/>
                <w:tab w:val="decimal" w:pos="645"/>
              </w:tabs>
              <w:jc w:val="right"/>
            </w:pPr>
            <w:r w:rsidRPr="00A85869">
              <w:t>46.7</w:t>
            </w:r>
          </w:p>
        </w:tc>
        <w:tc>
          <w:tcPr>
            <w:tcW w:w="861" w:type="dxa"/>
            <w:tcBorders>
              <w:top w:val="nil"/>
              <w:bottom w:val="nil"/>
            </w:tcBorders>
            <w:shd w:val="clear" w:color="auto" w:fill="auto"/>
            <w:vAlign w:val="center"/>
          </w:tcPr>
          <w:p w14:paraId="5C96DBC3" w14:textId="77777777" w:rsidR="00896141" w:rsidRPr="00354810" w:rsidRDefault="00896141" w:rsidP="006A738C">
            <w:pPr>
              <w:pStyle w:val="Tabletext"/>
              <w:jc w:val="right"/>
            </w:pPr>
            <w:r w:rsidRPr="00A85869">
              <w:t>48.4</w:t>
            </w:r>
          </w:p>
        </w:tc>
        <w:tc>
          <w:tcPr>
            <w:tcW w:w="860" w:type="dxa"/>
            <w:tcBorders>
              <w:top w:val="nil"/>
              <w:bottom w:val="nil"/>
            </w:tcBorders>
            <w:shd w:val="clear" w:color="auto" w:fill="auto"/>
            <w:vAlign w:val="center"/>
          </w:tcPr>
          <w:p w14:paraId="2279A940" w14:textId="77777777" w:rsidR="00896141" w:rsidRPr="00354810" w:rsidRDefault="00896141" w:rsidP="006A738C">
            <w:pPr>
              <w:pStyle w:val="Tabletext"/>
              <w:jc w:val="right"/>
            </w:pPr>
            <w:r w:rsidRPr="00A85869">
              <w:t>44.0</w:t>
            </w:r>
          </w:p>
        </w:tc>
        <w:tc>
          <w:tcPr>
            <w:tcW w:w="861" w:type="dxa"/>
            <w:tcBorders>
              <w:top w:val="nil"/>
              <w:bottom w:val="nil"/>
            </w:tcBorders>
            <w:shd w:val="pct12" w:color="auto" w:fill="auto"/>
            <w:vAlign w:val="center"/>
          </w:tcPr>
          <w:p w14:paraId="305EB4D2" w14:textId="77777777" w:rsidR="00896141" w:rsidRPr="00354810" w:rsidRDefault="00896141" w:rsidP="006A738C">
            <w:pPr>
              <w:pStyle w:val="Tabletext"/>
              <w:jc w:val="right"/>
            </w:pPr>
            <w:r w:rsidRPr="00A85869">
              <w:t>42.0</w:t>
            </w:r>
          </w:p>
        </w:tc>
        <w:tc>
          <w:tcPr>
            <w:tcW w:w="861" w:type="dxa"/>
            <w:tcBorders>
              <w:top w:val="nil"/>
              <w:bottom w:val="nil"/>
            </w:tcBorders>
            <w:vAlign w:val="center"/>
          </w:tcPr>
          <w:p w14:paraId="3C4BBB73" w14:textId="77777777" w:rsidR="00896141" w:rsidRPr="00A85869" w:rsidRDefault="00896141" w:rsidP="006A738C">
            <w:pPr>
              <w:pStyle w:val="Tabletext"/>
              <w:jc w:val="right"/>
            </w:pPr>
            <w:r w:rsidRPr="00A85869">
              <w:t>45.5</w:t>
            </w:r>
          </w:p>
        </w:tc>
      </w:tr>
      <w:tr w:rsidR="00896141" w:rsidRPr="00354810" w14:paraId="4A5A908B" w14:textId="77777777" w:rsidTr="006A738C">
        <w:trPr>
          <w:trHeight w:val="255"/>
        </w:trPr>
        <w:tc>
          <w:tcPr>
            <w:tcW w:w="2876" w:type="dxa"/>
            <w:tcBorders>
              <w:top w:val="nil"/>
              <w:bottom w:val="nil"/>
            </w:tcBorders>
            <w:shd w:val="clear" w:color="auto" w:fill="auto"/>
            <w:vAlign w:val="center"/>
          </w:tcPr>
          <w:p w14:paraId="2FE34806" w14:textId="77777777" w:rsidR="00896141" w:rsidRPr="00354810" w:rsidRDefault="00896141" w:rsidP="006A738C">
            <w:pPr>
              <w:pStyle w:val="Tabletext"/>
              <w:ind w:left="567"/>
            </w:pPr>
            <w:r>
              <w:t>Human welfare &amp; services</w:t>
            </w:r>
          </w:p>
        </w:tc>
        <w:tc>
          <w:tcPr>
            <w:tcW w:w="860" w:type="dxa"/>
            <w:tcBorders>
              <w:top w:val="nil"/>
              <w:bottom w:val="nil"/>
            </w:tcBorders>
            <w:vAlign w:val="center"/>
          </w:tcPr>
          <w:p w14:paraId="3D4ED0A4" w14:textId="77777777" w:rsidR="00896141" w:rsidRPr="00354810" w:rsidRDefault="00896141" w:rsidP="006A738C">
            <w:pPr>
              <w:pStyle w:val="Tabletext"/>
              <w:jc w:val="right"/>
            </w:pPr>
            <w:proofErr w:type="spellStart"/>
            <w:r>
              <w:t>na</w:t>
            </w:r>
            <w:proofErr w:type="spellEnd"/>
          </w:p>
        </w:tc>
        <w:tc>
          <w:tcPr>
            <w:tcW w:w="861" w:type="dxa"/>
            <w:tcBorders>
              <w:top w:val="nil"/>
              <w:bottom w:val="nil"/>
            </w:tcBorders>
            <w:vAlign w:val="center"/>
          </w:tcPr>
          <w:p w14:paraId="13A701D7" w14:textId="77777777" w:rsidR="00896141" w:rsidRPr="00354810" w:rsidRDefault="00896141" w:rsidP="006A738C">
            <w:pPr>
              <w:pStyle w:val="Tabletext"/>
              <w:tabs>
                <w:tab w:val="decimal" w:pos="0"/>
                <w:tab w:val="decimal" w:pos="645"/>
              </w:tabs>
              <w:jc w:val="right"/>
            </w:pPr>
            <w:r w:rsidRPr="00A85869">
              <w:t>55.9</w:t>
            </w:r>
          </w:p>
        </w:tc>
        <w:tc>
          <w:tcPr>
            <w:tcW w:w="861" w:type="dxa"/>
            <w:tcBorders>
              <w:top w:val="nil"/>
              <w:bottom w:val="nil"/>
            </w:tcBorders>
            <w:shd w:val="clear" w:color="auto" w:fill="auto"/>
            <w:vAlign w:val="center"/>
          </w:tcPr>
          <w:p w14:paraId="08FE5BEB" w14:textId="77777777" w:rsidR="00896141" w:rsidRPr="00354810" w:rsidRDefault="00896141" w:rsidP="006A738C">
            <w:pPr>
              <w:pStyle w:val="Tabletext"/>
              <w:jc w:val="right"/>
            </w:pPr>
            <w:r w:rsidRPr="00A85869">
              <w:t>50.4</w:t>
            </w:r>
          </w:p>
        </w:tc>
        <w:tc>
          <w:tcPr>
            <w:tcW w:w="860" w:type="dxa"/>
            <w:tcBorders>
              <w:top w:val="nil"/>
              <w:bottom w:val="nil"/>
            </w:tcBorders>
            <w:shd w:val="clear" w:color="auto" w:fill="auto"/>
            <w:vAlign w:val="center"/>
          </w:tcPr>
          <w:p w14:paraId="2118EC70" w14:textId="77777777" w:rsidR="00896141" w:rsidRPr="00354810" w:rsidRDefault="00896141" w:rsidP="006A738C">
            <w:pPr>
              <w:pStyle w:val="Tabletext"/>
              <w:jc w:val="right"/>
            </w:pPr>
            <w:r w:rsidRPr="00A85869">
              <w:t>48.5</w:t>
            </w:r>
          </w:p>
        </w:tc>
        <w:tc>
          <w:tcPr>
            <w:tcW w:w="861" w:type="dxa"/>
            <w:tcBorders>
              <w:top w:val="nil"/>
              <w:bottom w:val="nil"/>
            </w:tcBorders>
            <w:shd w:val="pct12" w:color="auto" w:fill="auto"/>
            <w:vAlign w:val="center"/>
          </w:tcPr>
          <w:p w14:paraId="543342A7" w14:textId="77777777" w:rsidR="00896141" w:rsidRPr="00354810" w:rsidRDefault="00896141" w:rsidP="006A738C">
            <w:pPr>
              <w:pStyle w:val="Tabletext"/>
              <w:jc w:val="right"/>
            </w:pPr>
            <w:r w:rsidRPr="00A85869">
              <w:t>44.3</w:t>
            </w:r>
          </w:p>
        </w:tc>
        <w:tc>
          <w:tcPr>
            <w:tcW w:w="861" w:type="dxa"/>
            <w:tcBorders>
              <w:top w:val="nil"/>
              <w:bottom w:val="nil"/>
            </w:tcBorders>
            <w:vAlign w:val="center"/>
          </w:tcPr>
          <w:p w14:paraId="4D90E2D3" w14:textId="77777777" w:rsidR="00896141" w:rsidRPr="00A85869" w:rsidRDefault="00896141" w:rsidP="006A738C">
            <w:pPr>
              <w:pStyle w:val="Tabletext"/>
              <w:jc w:val="right"/>
            </w:pPr>
            <w:r w:rsidRPr="00A85869">
              <w:t>48.6</w:t>
            </w:r>
          </w:p>
        </w:tc>
      </w:tr>
      <w:tr w:rsidR="00896141" w:rsidRPr="00354810" w14:paraId="52FCBECB" w14:textId="77777777" w:rsidTr="006A738C">
        <w:trPr>
          <w:trHeight w:val="255"/>
        </w:trPr>
        <w:tc>
          <w:tcPr>
            <w:tcW w:w="2876" w:type="dxa"/>
            <w:tcBorders>
              <w:top w:val="nil"/>
              <w:bottom w:val="nil"/>
            </w:tcBorders>
            <w:shd w:val="clear" w:color="auto" w:fill="auto"/>
            <w:vAlign w:val="center"/>
          </w:tcPr>
          <w:p w14:paraId="0F6800D0" w14:textId="77777777" w:rsidR="00896141" w:rsidRDefault="00896141" w:rsidP="006A738C">
            <w:pPr>
              <w:pStyle w:val="Tabletext"/>
            </w:pPr>
            <w:r w:rsidRPr="00354810">
              <w:rPr>
                <w:b/>
              </w:rPr>
              <w:t>Health</w:t>
            </w:r>
          </w:p>
        </w:tc>
        <w:tc>
          <w:tcPr>
            <w:tcW w:w="860" w:type="dxa"/>
            <w:tcBorders>
              <w:top w:val="nil"/>
              <w:bottom w:val="nil"/>
            </w:tcBorders>
            <w:vAlign w:val="center"/>
          </w:tcPr>
          <w:p w14:paraId="23F3D6A6" w14:textId="77777777" w:rsidR="00896141" w:rsidRPr="00354810" w:rsidRDefault="00896141" w:rsidP="006A738C">
            <w:pPr>
              <w:pStyle w:val="Tabletext"/>
              <w:jc w:val="right"/>
            </w:pPr>
            <w:r w:rsidRPr="00A85869">
              <w:t>29.0</w:t>
            </w:r>
          </w:p>
        </w:tc>
        <w:tc>
          <w:tcPr>
            <w:tcW w:w="861" w:type="dxa"/>
            <w:tcBorders>
              <w:top w:val="nil"/>
              <w:bottom w:val="nil"/>
            </w:tcBorders>
            <w:vAlign w:val="center"/>
          </w:tcPr>
          <w:p w14:paraId="5C7E62CA" w14:textId="77777777" w:rsidR="00896141" w:rsidRPr="00354810" w:rsidRDefault="00896141" w:rsidP="006A738C">
            <w:pPr>
              <w:pStyle w:val="Tabletext"/>
              <w:tabs>
                <w:tab w:val="decimal" w:pos="0"/>
                <w:tab w:val="decimal" w:pos="645"/>
              </w:tabs>
              <w:jc w:val="right"/>
            </w:pPr>
            <w:r w:rsidRPr="00A85869">
              <w:t>46.6</w:t>
            </w:r>
          </w:p>
        </w:tc>
        <w:tc>
          <w:tcPr>
            <w:tcW w:w="861" w:type="dxa"/>
            <w:tcBorders>
              <w:top w:val="nil"/>
              <w:bottom w:val="nil"/>
            </w:tcBorders>
            <w:shd w:val="clear" w:color="auto" w:fill="auto"/>
            <w:vAlign w:val="center"/>
          </w:tcPr>
          <w:p w14:paraId="77A0B9F8" w14:textId="77777777" w:rsidR="00896141" w:rsidRPr="00354810" w:rsidRDefault="00896141" w:rsidP="006A738C">
            <w:pPr>
              <w:pStyle w:val="Tabletext"/>
              <w:jc w:val="right"/>
            </w:pPr>
            <w:r w:rsidRPr="00A85869">
              <w:t>41.6</w:t>
            </w:r>
          </w:p>
        </w:tc>
        <w:tc>
          <w:tcPr>
            <w:tcW w:w="860" w:type="dxa"/>
            <w:tcBorders>
              <w:top w:val="nil"/>
              <w:bottom w:val="nil"/>
            </w:tcBorders>
            <w:shd w:val="clear" w:color="auto" w:fill="auto"/>
            <w:vAlign w:val="center"/>
          </w:tcPr>
          <w:p w14:paraId="6C0B5015" w14:textId="77777777" w:rsidR="00896141" w:rsidRPr="00354810" w:rsidRDefault="00896141" w:rsidP="006A738C">
            <w:pPr>
              <w:pStyle w:val="Tabletext"/>
              <w:jc w:val="right"/>
            </w:pPr>
            <w:r w:rsidRPr="00A85869">
              <w:t>41.1</w:t>
            </w:r>
          </w:p>
        </w:tc>
        <w:tc>
          <w:tcPr>
            <w:tcW w:w="861" w:type="dxa"/>
            <w:tcBorders>
              <w:top w:val="nil"/>
              <w:bottom w:val="nil"/>
            </w:tcBorders>
            <w:shd w:val="pct12" w:color="auto" w:fill="auto"/>
            <w:vAlign w:val="center"/>
          </w:tcPr>
          <w:p w14:paraId="090C328A" w14:textId="77777777" w:rsidR="00896141" w:rsidRPr="00354810" w:rsidRDefault="00896141" w:rsidP="006A738C">
            <w:pPr>
              <w:pStyle w:val="Tabletext"/>
              <w:jc w:val="right"/>
            </w:pPr>
            <w:r w:rsidRPr="00A54DAF">
              <w:t>39.6</w:t>
            </w:r>
          </w:p>
        </w:tc>
        <w:tc>
          <w:tcPr>
            <w:tcW w:w="861" w:type="dxa"/>
            <w:tcBorders>
              <w:top w:val="nil"/>
              <w:bottom w:val="nil"/>
            </w:tcBorders>
            <w:vAlign w:val="center"/>
          </w:tcPr>
          <w:p w14:paraId="33FB83D1" w14:textId="77777777" w:rsidR="00896141" w:rsidRPr="00A85869" w:rsidRDefault="00896141" w:rsidP="006A738C">
            <w:pPr>
              <w:pStyle w:val="Tabletext"/>
              <w:jc w:val="right"/>
            </w:pPr>
            <w:r w:rsidRPr="00A85869">
              <w:t>41.1</w:t>
            </w:r>
          </w:p>
        </w:tc>
      </w:tr>
      <w:tr w:rsidR="00896141" w:rsidRPr="00354810" w14:paraId="50DD6E8D" w14:textId="77777777" w:rsidTr="006A738C">
        <w:trPr>
          <w:trHeight w:val="255"/>
        </w:trPr>
        <w:tc>
          <w:tcPr>
            <w:tcW w:w="2876" w:type="dxa"/>
            <w:tcBorders>
              <w:top w:val="nil"/>
              <w:bottom w:val="nil"/>
            </w:tcBorders>
            <w:shd w:val="clear" w:color="auto" w:fill="auto"/>
            <w:vAlign w:val="center"/>
          </w:tcPr>
          <w:p w14:paraId="453051BB" w14:textId="77777777" w:rsidR="00896141" w:rsidRDefault="00896141" w:rsidP="006A738C">
            <w:pPr>
              <w:pStyle w:val="Tabletext"/>
              <w:ind w:left="567"/>
            </w:pPr>
            <w:r w:rsidRPr="00354810">
              <w:t>Nursing</w:t>
            </w:r>
          </w:p>
        </w:tc>
        <w:tc>
          <w:tcPr>
            <w:tcW w:w="860" w:type="dxa"/>
            <w:tcBorders>
              <w:top w:val="nil"/>
              <w:bottom w:val="nil"/>
            </w:tcBorders>
            <w:vAlign w:val="center"/>
          </w:tcPr>
          <w:p w14:paraId="69BC408F" w14:textId="77777777" w:rsidR="00896141" w:rsidRPr="00354810" w:rsidRDefault="00896141" w:rsidP="006A738C">
            <w:pPr>
              <w:pStyle w:val="Tabletext"/>
              <w:jc w:val="right"/>
            </w:pPr>
            <w:proofErr w:type="spellStart"/>
            <w:r>
              <w:t>na</w:t>
            </w:r>
            <w:proofErr w:type="spellEnd"/>
          </w:p>
        </w:tc>
        <w:tc>
          <w:tcPr>
            <w:tcW w:w="861" w:type="dxa"/>
            <w:tcBorders>
              <w:top w:val="nil"/>
              <w:bottom w:val="nil"/>
            </w:tcBorders>
            <w:vAlign w:val="center"/>
          </w:tcPr>
          <w:p w14:paraId="76058EAE" w14:textId="77777777" w:rsidR="00896141" w:rsidRPr="00354810" w:rsidRDefault="00896141" w:rsidP="006A738C">
            <w:pPr>
              <w:pStyle w:val="Tabletext"/>
              <w:tabs>
                <w:tab w:val="decimal" w:pos="0"/>
                <w:tab w:val="decimal" w:pos="645"/>
              </w:tabs>
              <w:jc w:val="right"/>
            </w:pPr>
            <w:proofErr w:type="spellStart"/>
            <w:r>
              <w:t>na</w:t>
            </w:r>
            <w:proofErr w:type="spellEnd"/>
          </w:p>
        </w:tc>
        <w:tc>
          <w:tcPr>
            <w:tcW w:w="861" w:type="dxa"/>
            <w:tcBorders>
              <w:top w:val="nil"/>
              <w:bottom w:val="nil"/>
            </w:tcBorders>
            <w:shd w:val="clear" w:color="auto" w:fill="auto"/>
            <w:vAlign w:val="center"/>
          </w:tcPr>
          <w:p w14:paraId="4E3F9628" w14:textId="77777777" w:rsidR="00896141" w:rsidRPr="00354810" w:rsidRDefault="00896141" w:rsidP="006A738C">
            <w:pPr>
              <w:pStyle w:val="Tabletext"/>
              <w:jc w:val="right"/>
            </w:pPr>
            <w:r w:rsidRPr="00A85869">
              <w:t>39.5</w:t>
            </w:r>
          </w:p>
        </w:tc>
        <w:tc>
          <w:tcPr>
            <w:tcW w:w="860" w:type="dxa"/>
            <w:tcBorders>
              <w:top w:val="nil"/>
              <w:bottom w:val="nil"/>
            </w:tcBorders>
            <w:shd w:val="clear" w:color="auto" w:fill="auto"/>
            <w:vAlign w:val="center"/>
          </w:tcPr>
          <w:p w14:paraId="78705A90" w14:textId="77777777" w:rsidR="00896141" w:rsidRPr="00354810" w:rsidRDefault="00896141" w:rsidP="006A738C">
            <w:pPr>
              <w:pStyle w:val="Tabletext"/>
              <w:jc w:val="right"/>
            </w:pPr>
            <w:r w:rsidRPr="00A85869">
              <w:t>42.0</w:t>
            </w:r>
          </w:p>
        </w:tc>
        <w:tc>
          <w:tcPr>
            <w:tcW w:w="861" w:type="dxa"/>
            <w:tcBorders>
              <w:top w:val="nil"/>
              <w:bottom w:val="nil"/>
            </w:tcBorders>
            <w:shd w:val="pct12" w:color="auto" w:fill="auto"/>
            <w:vAlign w:val="center"/>
          </w:tcPr>
          <w:p w14:paraId="094F44F2" w14:textId="77777777" w:rsidR="00896141" w:rsidRPr="00354810" w:rsidRDefault="00896141" w:rsidP="006A738C">
            <w:pPr>
              <w:pStyle w:val="Tabletext"/>
              <w:jc w:val="right"/>
            </w:pPr>
            <w:r w:rsidRPr="00A85869">
              <w:t>43.0</w:t>
            </w:r>
          </w:p>
        </w:tc>
        <w:tc>
          <w:tcPr>
            <w:tcW w:w="861" w:type="dxa"/>
            <w:tcBorders>
              <w:top w:val="nil"/>
              <w:bottom w:val="nil"/>
            </w:tcBorders>
            <w:vAlign w:val="center"/>
          </w:tcPr>
          <w:p w14:paraId="4114AA7E" w14:textId="77777777" w:rsidR="00896141" w:rsidRPr="00A85869" w:rsidRDefault="00896141" w:rsidP="006A738C">
            <w:pPr>
              <w:pStyle w:val="Tabletext"/>
              <w:jc w:val="right"/>
            </w:pPr>
            <w:r w:rsidRPr="00A85869">
              <w:t>42.7</w:t>
            </w:r>
          </w:p>
        </w:tc>
      </w:tr>
      <w:tr w:rsidR="00896141" w:rsidRPr="00354810" w14:paraId="38F7CECD" w14:textId="77777777" w:rsidTr="006A738C">
        <w:trPr>
          <w:trHeight w:val="255"/>
        </w:trPr>
        <w:tc>
          <w:tcPr>
            <w:tcW w:w="2876" w:type="dxa"/>
            <w:tcBorders>
              <w:top w:val="single" w:sz="4" w:space="0" w:color="auto"/>
              <w:bottom w:val="single" w:sz="4" w:space="0" w:color="auto"/>
            </w:tcBorders>
            <w:shd w:val="clear" w:color="auto" w:fill="auto"/>
            <w:vAlign w:val="center"/>
          </w:tcPr>
          <w:p w14:paraId="59E6FBB3" w14:textId="77777777" w:rsidR="00896141" w:rsidRPr="00354810" w:rsidRDefault="00896141" w:rsidP="006A738C">
            <w:pPr>
              <w:pStyle w:val="Tabletext"/>
              <w:rPr>
                <w:b/>
              </w:rPr>
            </w:pPr>
            <w:r w:rsidRPr="00354810">
              <w:rPr>
                <w:b/>
              </w:rPr>
              <w:t>All fields</w:t>
            </w:r>
          </w:p>
        </w:tc>
        <w:tc>
          <w:tcPr>
            <w:tcW w:w="860" w:type="dxa"/>
            <w:tcBorders>
              <w:top w:val="single" w:sz="4" w:space="0" w:color="auto"/>
              <w:bottom w:val="single" w:sz="4" w:space="0" w:color="auto"/>
            </w:tcBorders>
            <w:vAlign w:val="center"/>
          </w:tcPr>
          <w:p w14:paraId="0D52F220" w14:textId="77777777" w:rsidR="00896141" w:rsidRPr="00A85869" w:rsidRDefault="00896141" w:rsidP="006A738C">
            <w:pPr>
              <w:pStyle w:val="Tabletext"/>
              <w:jc w:val="right"/>
              <w:rPr>
                <w:b/>
              </w:rPr>
            </w:pPr>
            <w:r w:rsidRPr="00A85869">
              <w:rPr>
                <w:b/>
              </w:rPr>
              <w:t>47.5</w:t>
            </w:r>
          </w:p>
        </w:tc>
        <w:tc>
          <w:tcPr>
            <w:tcW w:w="861" w:type="dxa"/>
            <w:tcBorders>
              <w:top w:val="single" w:sz="4" w:space="0" w:color="auto"/>
              <w:bottom w:val="single" w:sz="4" w:space="0" w:color="auto"/>
            </w:tcBorders>
            <w:vAlign w:val="center"/>
          </w:tcPr>
          <w:p w14:paraId="421F5EE9" w14:textId="77777777" w:rsidR="00896141" w:rsidRPr="00A85869" w:rsidRDefault="00896141" w:rsidP="006A738C">
            <w:pPr>
              <w:pStyle w:val="Tabletext"/>
              <w:tabs>
                <w:tab w:val="decimal" w:pos="0"/>
                <w:tab w:val="decimal" w:pos="645"/>
              </w:tabs>
              <w:jc w:val="right"/>
              <w:rPr>
                <w:b/>
              </w:rPr>
            </w:pPr>
            <w:r w:rsidRPr="00A85869">
              <w:rPr>
                <w:b/>
              </w:rPr>
              <w:t>50.9</w:t>
            </w:r>
          </w:p>
        </w:tc>
        <w:tc>
          <w:tcPr>
            <w:tcW w:w="861" w:type="dxa"/>
            <w:tcBorders>
              <w:top w:val="single" w:sz="4" w:space="0" w:color="auto"/>
              <w:bottom w:val="single" w:sz="4" w:space="0" w:color="auto"/>
            </w:tcBorders>
            <w:shd w:val="clear" w:color="auto" w:fill="auto"/>
            <w:vAlign w:val="center"/>
          </w:tcPr>
          <w:p w14:paraId="4888EDB5" w14:textId="77777777" w:rsidR="00896141" w:rsidRPr="00A85869" w:rsidRDefault="00896141" w:rsidP="006A738C">
            <w:pPr>
              <w:pStyle w:val="Tabletext"/>
              <w:jc w:val="right"/>
              <w:rPr>
                <w:b/>
              </w:rPr>
            </w:pPr>
            <w:r w:rsidRPr="00A85869">
              <w:rPr>
                <w:b/>
              </w:rPr>
              <w:t>45.3</w:t>
            </w:r>
          </w:p>
        </w:tc>
        <w:tc>
          <w:tcPr>
            <w:tcW w:w="860" w:type="dxa"/>
            <w:tcBorders>
              <w:top w:val="single" w:sz="4" w:space="0" w:color="auto"/>
              <w:bottom w:val="single" w:sz="4" w:space="0" w:color="auto"/>
            </w:tcBorders>
            <w:shd w:val="clear" w:color="auto" w:fill="auto"/>
            <w:vAlign w:val="center"/>
          </w:tcPr>
          <w:p w14:paraId="48140328" w14:textId="77777777" w:rsidR="00896141" w:rsidRPr="00A85869" w:rsidRDefault="00896141" w:rsidP="006A738C">
            <w:pPr>
              <w:pStyle w:val="Tabletext"/>
              <w:jc w:val="right"/>
              <w:rPr>
                <w:b/>
              </w:rPr>
            </w:pPr>
            <w:r w:rsidRPr="00A85869">
              <w:rPr>
                <w:b/>
              </w:rPr>
              <w:t>37.9</w:t>
            </w:r>
          </w:p>
        </w:tc>
        <w:tc>
          <w:tcPr>
            <w:tcW w:w="861" w:type="dxa"/>
            <w:tcBorders>
              <w:top w:val="single" w:sz="4" w:space="0" w:color="auto"/>
              <w:bottom w:val="single" w:sz="4" w:space="0" w:color="auto"/>
            </w:tcBorders>
            <w:shd w:val="pct12" w:color="auto" w:fill="auto"/>
            <w:vAlign w:val="center"/>
          </w:tcPr>
          <w:p w14:paraId="42C9FD88" w14:textId="77777777" w:rsidR="00896141" w:rsidRPr="00A85869" w:rsidRDefault="00896141" w:rsidP="006A738C">
            <w:pPr>
              <w:pStyle w:val="Tabletext"/>
              <w:jc w:val="right"/>
              <w:rPr>
                <w:b/>
              </w:rPr>
            </w:pPr>
            <w:r w:rsidRPr="00A85869">
              <w:rPr>
                <w:b/>
              </w:rPr>
              <w:t>33.8</w:t>
            </w:r>
          </w:p>
        </w:tc>
        <w:tc>
          <w:tcPr>
            <w:tcW w:w="861" w:type="dxa"/>
            <w:tcBorders>
              <w:top w:val="single" w:sz="4" w:space="0" w:color="auto"/>
              <w:bottom w:val="single" w:sz="4" w:space="0" w:color="auto"/>
            </w:tcBorders>
            <w:vAlign w:val="center"/>
          </w:tcPr>
          <w:p w14:paraId="5A1028BD" w14:textId="77777777" w:rsidR="00896141" w:rsidRPr="00A85869" w:rsidRDefault="00896141" w:rsidP="006A738C">
            <w:pPr>
              <w:pStyle w:val="Tabletext"/>
              <w:jc w:val="right"/>
              <w:rPr>
                <w:b/>
              </w:rPr>
            </w:pPr>
            <w:r w:rsidRPr="00A85869">
              <w:rPr>
                <w:b/>
              </w:rPr>
              <w:t>43.1</w:t>
            </w:r>
          </w:p>
        </w:tc>
      </w:tr>
    </w:tbl>
    <w:p w14:paraId="15C556C8" w14:textId="77777777" w:rsidR="00DC68A4" w:rsidRDefault="00DC68A4" w:rsidP="00DC68A4">
      <w:pPr>
        <w:pStyle w:val="Source"/>
      </w:pPr>
      <w:r w:rsidRPr="000B7EAA">
        <w:t>S</w:t>
      </w:r>
      <w:r>
        <w:t>ource</w:t>
      </w:r>
      <w:r>
        <w:tab/>
      </w:r>
      <w:r w:rsidRPr="00772E52">
        <w:t>VOCSTATS (</w:t>
      </w:r>
      <w:hyperlink r:id="rId21" w:history="1">
        <w:r w:rsidRPr="00E22016">
          <w:t>www.ncver.edu.au/resources/vocstats/intro.html</w:t>
        </w:r>
      </w:hyperlink>
      <w:r w:rsidRPr="00772E52">
        <w:t>)</w:t>
      </w:r>
      <w:r>
        <w:t xml:space="preserve"> extracted on 26/12/2013</w:t>
      </w:r>
    </w:p>
    <w:p w14:paraId="4E9EF4FF" w14:textId="77777777" w:rsidR="00DC68A4" w:rsidRDefault="00DC68A4" w:rsidP="00DC68A4">
      <w:pPr>
        <w:pStyle w:val="Source"/>
      </w:pPr>
      <w:r>
        <w:t>Notes:</w:t>
      </w:r>
      <w:r>
        <w:tab/>
      </w:r>
      <w:proofErr w:type="spellStart"/>
      <w:proofErr w:type="gramStart"/>
      <w:r>
        <w:t>na</w:t>
      </w:r>
      <w:proofErr w:type="spellEnd"/>
      <w:proofErr w:type="gramEnd"/>
      <w:r>
        <w:t xml:space="preserve"> </w:t>
      </w:r>
      <w:r w:rsidRPr="00147C93">
        <w:t>Not applicable</w:t>
      </w:r>
    </w:p>
    <w:p w14:paraId="4329B945" w14:textId="77777777" w:rsidR="00DC68A4" w:rsidRDefault="00DC68A4" w:rsidP="00DC68A4">
      <w:pPr>
        <w:pStyle w:val="Source"/>
        <w:ind w:firstLine="0"/>
      </w:pPr>
      <w:r>
        <w:t xml:space="preserve">*as measured by the Index of Education and Occupations in SEIFA (Socio-Economic Indexes for Areas), Australian Bureau of Statistics. It uses postcodes as the basic unit of measurement. </w:t>
      </w:r>
    </w:p>
    <w:p w14:paraId="32B575B7" w14:textId="77777777" w:rsidR="00DC68A4" w:rsidRDefault="00DC68A4" w:rsidP="00DC68A4">
      <w:pPr>
        <w:pStyle w:val="Source"/>
        <w:ind w:firstLine="0"/>
      </w:pPr>
      <w:r>
        <w:t>The number of students is counted and not enrolments or equivalent fulltime student load as the table focuses on attributes of students and not qualifications</w:t>
      </w:r>
    </w:p>
    <w:p w14:paraId="7671CBAA" w14:textId="3C4D9EF8" w:rsidR="000B7EAA" w:rsidRDefault="00E35BDD" w:rsidP="00837D17">
      <w:pPr>
        <w:pStyle w:val="Text"/>
      </w:pPr>
      <w:proofErr w:type="spellStart"/>
      <w:r>
        <w:t>Moodie</w:t>
      </w:r>
      <w:proofErr w:type="spellEnd"/>
      <w:r>
        <w:t xml:space="preserve"> shows similar</w:t>
      </w:r>
      <w:r w:rsidR="000D7206">
        <w:t xml:space="preserve"> results in examining the socio </w:t>
      </w:r>
      <w:r>
        <w:t>economic profile of students by field of education within higher education. The narrow field of nursing has both the highest percentage of students who are admitted to higher education on the basis of a prior VET qualification</w:t>
      </w:r>
      <w:r w:rsidR="00EE058E">
        <w:t xml:space="preserve"> and the high</w:t>
      </w:r>
      <w:r w:rsidR="000D7206">
        <w:t xml:space="preserve">est percentage from a low socio </w:t>
      </w:r>
      <w:r w:rsidR="00EE058E">
        <w:t>economic background</w:t>
      </w:r>
      <w:r>
        <w:t>. Some 22</w:t>
      </w:r>
      <w:r w:rsidR="003D41A0">
        <w:t>%</w:t>
      </w:r>
      <w:r>
        <w:t xml:space="preserve"> of commencing students in nursing are admitted on the basis of a prior VET qualification compared to 9</w:t>
      </w:r>
      <w:r w:rsidR="003D41A0">
        <w:t>%</w:t>
      </w:r>
      <w:r>
        <w:t xml:space="preserve"> of</w:t>
      </w:r>
      <w:r w:rsidR="000D7206">
        <w:t xml:space="preserve"> all commencing domestic under</w:t>
      </w:r>
      <w:r>
        <w:t>graduate students, and 24</w:t>
      </w:r>
      <w:r w:rsidR="003D41A0">
        <w:t>%</w:t>
      </w:r>
      <w:r w:rsidR="000D7206">
        <w:t xml:space="preserve"> of commencing domestic under</w:t>
      </w:r>
      <w:r>
        <w:t>graduat</w:t>
      </w:r>
      <w:r w:rsidR="000D7206">
        <w:t xml:space="preserve">e students are from a low socio </w:t>
      </w:r>
      <w:r>
        <w:t>economic background (defined in this instance as the lowest 25</w:t>
      </w:r>
      <w:r w:rsidR="003D41A0">
        <w:t>%</w:t>
      </w:r>
      <w:r w:rsidR="000D7206">
        <w:t xml:space="preserve"> of students from socio </w:t>
      </w:r>
      <w:r>
        <w:t>economic backgrounds) compared to 17</w:t>
      </w:r>
      <w:r w:rsidR="003D41A0">
        <w:t>%</w:t>
      </w:r>
      <w:r>
        <w:t xml:space="preserve"> of all commencing dome</w:t>
      </w:r>
      <w:r w:rsidR="00EF62D8">
        <w:t>stic under</w:t>
      </w:r>
      <w:r>
        <w:t xml:space="preserve">graduate students </w:t>
      </w:r>
      <w:r w:rsidR="0005187F">
        <w:fldChar w:fldCharType="begin"/>
      </w:r>
      <w:r w:rsidR="00B24D35">
        <w:instrText xml:space="preserve"> ADDIN EN.CITE &lt;EndNote&gt;&lt;Cite&gt;&lt;Author&gt;Moodie&lt;/Author&gt;&lt;Year&gt;2012&lt;/Year&gt;&lt;RecNum&gt;2971&lt;/RecNum&gt;&lt;Suffix&gt;: Table 4&lt;/Suffix&gt;&lt;DisplayText&gt;(Moodie, 2012b: Table 4)&lt;/DisplayText&gt;&lt;record&gt;&lt;rec-number&gt;2971&lt;/rec-number&gt;&lt;foreign-keys&gt;&lt;key app="EN" db-id="vadepsw2f2aeebevffz5fzpddt9tvewsatpr" timestamp="1332289295"&gt;2971&lt;/key&gt;&lt;/foreign-keys&gt;&lt;ref-type name="Journal Article"&gt;17&lt;/ref-type&gt;&lt;contributors&gt;&lt;authors&gt;&lt;author&gt;Moodie, Gavin&lt;/author&gt;&lt;/authors&gt;&lt;/contributors&gt;&lt;titles&gt;&lt;title&gt;Variations in the rate at which students cross the boundaries between Australian vocational and higher education&lt;/title&gt;&lt;secondary-title&gt;The Australian Educational Researcher&lt;/secondary-title&gt;&lt;/titles&gt;&lt;periodical&gt;&lt;full-title&gt;The Australian Educational Researcher&lt;/full-title&gt;&lt;/periodical&gt;&lt;pages&gt;DOI 10.1007/s13384-012-0054-z&lt;/pages&gt;&lt;volume&gt;37&lt;/volume&gt;&lt;number&gt;1&lt;/number&gt;&lt;keywords&gt;&lt;keyword&gt;Student transfer, Pathways,  Vocational education, Higher education, Nursing&lt;/keyword&gt;&lt;/keywords&gt;&lt;dates&gt;&lt;year&gt;2012&lt;/year&gt;&lt;/dates&gt;&lt;label&gt;Cross-sectoral stuff&lt;/label&gt;&lt;urls&gt;&lt;/urls&gt;&lt;/record&gt;&lt;/Cite&gt;&lt;/EndNote&gt;</w:instrText>
      </w:r>
      <w:r w:rsidR="0005187F">
        <w:fldChar w:fldCharType="separate"/>
      </w:r>
      <w:r w:rsidR="00B24D35">
        <w:rPr>
          <w:noProof/>
        </w:rPr>
        <w:t>(</w:t>
      </w:r>
      <w:hyperlink w:anchor="_ENREF_15" w:tooltip="Moodie, 2012 #2971" w:history="1">
        <w:r w:rsidR="00B03184">
          <w:rPr>
            <w:noProof/>
          </w:rPr>
          <w:t>Moodie 2012b</w:t>
        </w:r>
        <w:r w:rsidR="00247A0F">
          <w:rPr>
            <w:noProof/>
          </w:rPr>
          <w:t>,</w:t>
        </w:r>
        <w:r w:rsidR="00B03184">
          <w:rPr>
            <w:noProof/>
          </w:rPr>
          <w:t xml:space="preserve"> Table 4</w:t>
        </w:r>
      </w:hyperlink>
      <w:r w:rsidR="00B24D35">
        <w:rPr>
          <w:noProof/>
        </w:rPr>
        <w:t>)</w:t>
      </w:r>
      <w:r w:rsidR="0005187F">
        <w:fldChar w:fldCharType="end"/>
      </w:r>
      <w:r>
        <w:t xml:space="preserve">. </w:t>
      </w:r>
      <w:r w:rsidR="00EE218E">
        <w:t>Unfortunately, the same data are not available for the narrow field of human welfare and services, but in the broad field of society and culture, seven per cent of students were admitted on the basis of a prior VET qualification, while 17</w:t>
      </w:r>
      <w:r w:rsidR="003D41A0">
        <w:t>%</w:t>
      </w:r>
      <w:r w:rsidR="000D7206">
        <w:t xml:space="preserve"> come from a low socio </w:t>
      </w:r>
      <w:r w:rsidR="00EE218E">
        <w:t xml:space="preserve">economic background. </w:t>
      </w:r>
      <w:r w:rsidR="00F50B38">
        <w:t>In higher education, t</w:t>
      </w:r>
      <w:r w:rsidR="00EE218E">
        <w:t>his field of education includes high profile and high status occupations such as law and economics among others, and the outcomes are likely to be quite different between the narrow fields of education within the broad</w:t>
      </w:r>
      <w:r w:rsidR="00914E89">
        <w:t xml:space="preserve"> field of society and culture.</w:t>
      </w:r>
    </w:p>
    <w:p w14:paraId="069F1EF7" w14:textId="77777777" w:rsidR="00A54DAF" w:rsidRDefault="00502B92" w:rsidP="00502B92">
      <w:pPr>
        <w:pStyle w:val="Heading3"/>
      </w:pPr>
      <w:r>
        <w:t>Overall…</w:t>
      </w:r>
    </w:p>
    <w:p w14:paraId="217393EB" w14:textId="711C9CCC" w:rsidR="00502B92" w:rsidRDefault="000D7206" w:rsidP="00502B92">
      <w:pPr>
        <w:pStyle w:val="Text"/>
      </w:pPr>
      <w:r>
        <w:t xml:space="preserve">Overall, the data in </w:t>
      </w:r>
      <w:r w:rsidR="00572455">
        <w:t>mid-level</w:t>
      </w:r>
      <w:r w:rsidR="00502B92">
        <w:t xml:space="preserve"> qualifications in nursing and in human welfare and services show that:</w:t>
      </w:r>
    </w:p>
    <w:p w14:paraId="69FE5BF6" w14:textId="42D6E4D9" w:rsidR="00502B92" w:rsidRDefault="00502B92" w:rsidP="002C6037">
      <w:pPr>
        <w:pStyle w:val="Text"/>
        <w:numPr>
          <w:ilvl w:val="0"/>
          <w:numId w:val="6"/>
        </w:numPr>
        <w:ind w:left="360"/>
      </w:pPr>
      <w:r>
        <w:t>They provide students with qualifications they can use in the labour market, but they do so in different ways. Nursing is an occupational labour market with entry and progression tied to specific</w:t>
      </w:r>
      <w:r w:rsidR="009D2318">
        <w:t>, mandated</w:t>
      </w:r>
      <w:r>
        <w:t xml:space="preserve"> qualifications. There is an occupational ladder and students can use educational qualifications to help climb the occupational ladder</w:t>
      </w:r>
      <w:r w:rsidR="007132BD">
        <w:t xml:space="preserve">. In contrast, while graduates from lower level qualifications in human welfare and services often work in the occupation associated with their qualification, this is not the case for graduates of diplomas and above. Even though graduates of diplomas and above are just as likely to be in employment six months following graduation as are graduates from nursing, they are not employed in occupations associated with their qualification. Consequently, qualifications are used as </w:t>
      </w:r>
      <w:r w:rsidR="009D2318">
        <w:t>a screening device that broadly indicates</w:t>
      </w:r>
      <w:r w:rsidR="007132BD">
        <w:t xml:space="preserve"> knowledge, skills and </w:t>
      </w:r>
      <w:r w:rsidR="009D2318">
        <w:t>capabilities required for work more broadly</w:t>
      </w:r>
      <w:r w:rsidR="000D7206">
        <w:t xml:space="preserve">, in contrast to </w:t>
      </w:r>
      <w:r w:rsidR="00572455">
        <w:t>mid-level</w:t>
      </w:r>
      <w:r w:rsidR="007132BD">
        <w:t xml:space="preserve"> qualifications in nursing in which diplomas are tied to and specify the outcomes required for nursing.</w:t>
      </w:r>
    </w:p>
    <w:p w14:paraId="5E1AD20B" w14:textId="70B763C7" w:rsidR="009D2318" w:rsidRDefault="00572455" w:rsidP="002C6037">
      <w:pPr>
        <w:pStyle w:val="Text"/>
        <w:numPr>
          <w:ilvl w:val="0"/>
          <w:numId w:val="6"/>
        </w:numPr>
        <w:ind w:left="360"/>
      </w:pPr>
      <w:r>
        <w:t>Mid-level</w:t>
      </w:r>
      <w:r w:rsidR="009D2318">
        <w:t xml:space="preserve"> qualifications in nursing and human welfare and services provide a ladder to higher level studies, broadly speaking at the same level as for other VET graduates of diplomas and above. While the percentage of nursing graduates of diplomas who continue to study is about five </w:t>
      </w:r>
      <w:r w:rsidR="009D2318">
        <w:lastRenderedPageBreak/>
        <w:t xml:space="preserve">percentage points lower than that for all VET diploma graduates, as </w:t>
      </w:r>
      <w:proofErr w:type="spellStart"/>
      <w:r w:rsidR="009D2318">
        <w:t>Moodie</w:t>
      </w:r>
      <w:proofErr w:type="spellEnd"/>
      <w:r w:rsidR="009D2318">
        <w:t xml:space="preserve"> </w:t>
      </w:r>
      <w:r w:rsidR="00EE058E">
        <w:fldChar w:fldCharType="begin"/>
      </w:r>
      <w:r w:rsidR="00B24D35">
        <w:instrText xml:space="preserve"> ADDIN EN.CITE &lt;EndNote&gt;&lt;Cite ExcludeAuth="1"&gt;&lt;Author&gt;Moodie&lt;/Author&gt;&lt;Year&gt;2012&lt;/Year&gt;&lt;RecNum&gt;2971&lt;/RecNum&gt;&lt;DisplayText&gt;(2012b)&lt;/DisplayText&gt;&lt;record&gt;&lt;rec-number&gt;2971&lt;/rec-number&gt;&lt;foreign-keys&gt;&lt;key app="EN" db-id="vadepsw2f2aeebevffz5fzpddt9tvewsatpr" timestamp="1332289295"&gt;2971&lt;/key&gt;&lt;/foreign-keys&gt;&lt;ref-type name="Journal Article"&gt;17&lt;/ref-type&gt;&lt;contributors&gt;&lt;authors&gt;&lt;author&gt;Moodie, Gavin&lt;/author&gt;&lt;/authors&gt;&lt;/contributors&gt;&lt;titles&gt;&lt;title&gt;Variations in the rate at which students cross the boundaries between Australian vocational and higher education&lt;/title&gt;&lt;secondary-title&gt;The Australian Educational Researcher&lt;/secondary-title&gt;&lt;/titles&gt;&lt;periodical&gt;&lt;full-title&gt;The Australian Educational Researcher&lt;/full-title&gt;&lt;/periodical&gt;&lt;pages&gt;DOI 10.1007/s13384-012-0054-z&lt;/pages&gt;&lt;volume&gt;37&lt;/volume&gt;&lt;number&gt;1&lt;/number&gt;&lt;keywords&gt;&lt;keyword&gt;Student transfer, Pathways,  Vocational education, Higher education, Nursing&lt;/keyword&gt;&lt;/keywords&gt;&lt;dates&gt;&lt;year&gt;2012&lt;/year&gt;&lt;/dates&gt;&lt;label&gt;Cross-sectoral stuff&lt;/label&gt;&lt;urls&gt;&lt;/urls&gt;&lt;/record&gt;&lt;/Cite&gt;&lt;/EndNote&gt;</w:instrText>
      </w:r>
      <w:r w:rsidR="00EE058E">
        <w:fldChar w:fldCharType="separate"/>
      </w:r>
      <w:r w:rsidR="00B24D35">
        <w:rPr>
          <w:noProof/>
        </w:rPr>
        <w:t>(</w:t>
      </w:r>
      <w:hyperlink w:anchor="_ENREF_15" w:tooltip="Moodie, 2012 #2971" w:history="1">
        <w:r w:rsidR="00B03184">
          <w:rPr>
            <w:noProof/>
          </w:rPr>
          <w:t>2012b</w:t>
        </w:r>
      </w:hyperlink>
      <w:r w:rsidR="00B24D35">
        <w:rPr>
          <w:noProof/>
        </w:rPr>
        <w:t>)</w:t>
      </w:r>
      <w:r w:rsidR="00EE058E">
        <w:fldChar w:fldCharType="end"/>
      </w:r>
      <w:r w:rsidR="00380266">
        <w:t xml:space="preserve"> </w:t>
      </w:r>
      <w:r w:rsidR="009D2318">
        <w:t xml:space="preserve">shows, they nonetheless </w:t>
      </w:r>
      <w:r w:rsidR="00DA19B6">
        <w:t xml:space="preserve">are </w:t>
      </w:r>
      <w:r w:rsidR="009D2318">
        <w:t>a very high</w:t>
      </w:r>
      <w:r w:rsidR="000D7206">
        <w:t xml:space="preserve"> proportion of commencing under</w:t>
      </w:r>
      <w:r w:rsidR="009D2318">
        <w:t xml:space="preserve">graduate domestic students in higher education. </w:t>
      </w:r>
    </w:p>
    <w:p w14:paraId="45F8DC7E" w14:textId="15752451" w:rsidR="009D2318" w:rsidRPr="00502B92" w:rsidRDefault="00572455" w:rsidP="002C6037">
      <w:pPr>
        <w:pStyle w:val="Text"/>
        <w:numPr>
          <w:ilvl w:val="0"/>
          <w:numId w:val="6"/>
        </w:numPr>
        <w:ind w:left="360"/>
      </w:pPr>
      <w:r>
        <w:t>Mid-level</w:t>
      </w:r>
      <w:r w:rsidR="009D2318">
        <w:t xml:space="preserve"> qualifications in both nursing and human welfare and services </w:t>
      </w:r>
      <w:r w:rsidR="00DA19B6">
        <w:t xml:space="preserve">are </w:t>
      </w:r>
      <w:r w:rsidR="009D2318">
        <w:t xml:space="preserve">a mechanism for social mobility and equity </w:t>
      </w:r>
      <w:r w:rsidR="00380266">
        <w:t xml:space="preserve">for two reasons: first, </w:t>
      </w:r>
      <w:r w:rsidR="009D2318">
        <w:t>they provide students with access to higher level VET qualifications, which in turn lead to good labour market outcomes compared to graduates of lower level VET qualification</w:t>
      </w:r>
      <w:r w:rsidR="00380266">
        <w:t>s</w:t>
      </w:r>
      <w:r w:rsidR="009D2318">
        <w:t xml:space="preserve"> </w:t>
      </w:r>
      <w:r w:rsidR="00380266">
        <w:fldChar w:fldCharType="begin"/>
      </w:r>
      <w:r w:rsidR="00380266">
        <w:instrText xml:space="preserve"> ADDIN EN.CITE &lt;EndNote&gt;&lt;Cite&gt;&lt;Author&gt;Karmel&lt;/Author&gt;&lt;Year&gt;2012&lt;/Year&gt;&lt;RecNum&gt;3100&lt;/RecNum&gt;&lt;DisplayText&gt;(Karmel and Fieger, 2012)&lt;/DisplayText&gt;&lt;record&gt;&lt;rec-number&gt;3100&lt;/rec-number&gt;&lt;foreign-keys&gt;&lt;key app="EN" db-id="vadepsw2f2aeebevffz5fzpddt9tvewsatpr" timestamp="1351111251"&gt;3100&lt;/key&gt;&lt;/foreign-keys&gt;&lt;ref-type name="Report"&gt;27&lt;/ref-type&gt;&lt;contributors&gt;&lt;authors&gt;&lt;author&gt;Karmel, Tom&lt;/author&gt;&lt;author&gt;Fieger, Peter&lt;/author&gt;&lt;/authors&gt;&lt;/contributors&gt;&lt;titles&gt;&lt;title&gt;The value of completing a VET qualification&lt;/title&gt;&lt;/titles&gt;&lt;dates&gt;&lt;year&gt;2012&lt;/year&gt;&lt;pub-dates&gt;&lt;date&gt;10 October&lt;/date&gt;&lt;/pub-dates&gt;&lt;/dates&gt;&lt;publisher&gt;National Centre for Vocational Education Research&lt;/publisher&gt;&lt;label&gt;VET - general&lt;/label&gt;&lt;urls&gt;&lt;related-urls&gt;&lt;url&gt;&amp;lt;http://www.ncver.edu.au/publications/2526.html&amp;gt; viewed 225 October 2012&lt;/url&gt;&lt;/related-urls&gt;&lt;/urls&gt;&lt;/record&gt;&lt;/Cite&gt;&lt;/EndNote&gt;</w:instrText>
      </w:r>
      <w:r w:rsidR="00380266">
        <w:fldChar w:fldCharType="separate"/>
      </w:r>
      <w:r w:rsidR="00380266">
        <w:rPr>
          <w:noProof/>
        </w:rPr>
        <w:t>(</w:t>
      </w:r>
      <w:hyperlink w:anchor="_ENREF_11" w:tooltip="Karmel, 2012 #3100" w:history="1">
        <w:r w:rsidR="00B03184">
          <w:rPr>
            <w:noProof/>
          </w:rPr>
          <w:t>Karmel and Fieger 2012</w:t>
        </w:r>
      </w:hyperlink>
      <w:r w:rsidR="00380266">
        <w:rPr>
          <w:noProof/>
        </w:rPr>
        <w:t>)</w:t>
      </w:r>
      <w:r w:rsidR="00380266">
        <w:fldChar w:fldCharType="end"/>
      </w:r>
      <w:r w:rsidR="00380266">
        <w:t>.</w:t>
      </w:r>
      <w:r w:rsidR="009D2318">
        <w:t xml:space="preserve"> </w:t>
      </w:r>
      <w:r w:rsidR="00380266">
        <w:t xml:space="preserve">Second, as </w:t>
      </w:r>
      <w:r w:rsidR="009D2318">
        <w:t xml:space="preserve">diplomas are the key ‘transition’ qualification for VET students to higher education, they </w:t>
      </w:r>
      <w:r w:rsidR="000D7206">
        <w:t xml:space="preserve">provide students from low socio </w:t>
      </w:r>
      <w:r w:rsidR="009D2318">
        <w:t xml:space="preserve">economic backgrounds with access to higher education qualifications </w:t>
      </w:r>
      <w:r w:rsidR="00380266">
        <w:fldChar w:fldCharType="begin"/>
      </w:r>
      <w:r w:rsidR="00380266">
        <w:instrText xml:space="preserve"> ADDIN EN.CITE &lt;EndNote&gt;&lt;Cite&gt;&lt;Author&gt;Wheelahan&lt;/Author&gt;&lt;Year&gt;2009&lt;/Year&gt;&lt;RecNum&gt;2267&lt;/RecNum&gt;&lt;DisplayText&gt;(Wheelahan, 2009)&lt;/DisplayText&gt;&lt;record&gt;&lt;rec-number&gt;2267&lt;/rec-number&gt;&lt;foreign-keys&gt;&lt;key app="EN" db-id="vadepsw2f2aeebevffz5fzpddt9tvewsatpr" timestamp="1260070437"&gt;2267&lt;/key&gt;&lt;/foreign-keys&gt;&lt;ref-type name="Conference Paper"&gt;47&lt;/ref-type&gt;&lt;contributors&gt;&lt;authors&gt;&lt;author&gt;Wheelahan, Leesa&lt;/author&gt;&lt;/authors&gt;&lt;/contributors&gt;&lt;titles&gt;&lt;title&gt;Rethinking equity policy in tertiary education: why VET and higher education have to work together &lt;/title&gt;&lt;secondary-title&gt;Social Inclusion in Education conference&lt;/secondary-title&gt;&lt;/titles&gt;&lt;dates&gt;&lt;year&gt;2009&lt;/year&gt;&lt;pub-dates&gt;&lt;date&gt;22-23 October&lt;/date&gt;&lt;/pub-dates&gt;&lt;/dates&gt;&lt;pub-location&gt;Sydney&lt;/pub-location&gt;&lt;publisher&gt;Informa and the National Centre for Student Equity in Higher Education&lt;/publisher&gt;&lt;label&gt;Papers, Presentations, Social Inclusion conference Sydney&lt;/label&gt;&lt;urls&gt;&lt;/urls&gt;&lt;/record&gt;&lt;/Cite&gt;&lt;/EndNote&gt;</w:instrText>
      </w:r>
      <w:r w:rsidR="00380266">
        <w:fldChar w:fldCharType="separate"/>
      </w:r>
      <w:r w:rsidR="00380266">
        <w:rPr>
          <w:noProof/>
        </w:rPr>
        <w:t>(</w:t>
      </w:r>
      <w:hyperlink w:anchor="_ENREF_25" w:tooltip="Wheelahan, 2009 #2267" w:history="1">
        <w:r w:rsidR="00B03184">
          <w:rPr>
            <w:noProof/>
          </w:rPr>
          <w:t>Wheelahan 2009</w:t>
        </w:r>
      </w:hyperlink>
      <w:r w:rsidR="00380266">
        <w:rPr>
          <w:noProof/>
        </w:rPr>
        <w:t>)</w:t>
      </w:r>
      <w:r w:rsidR="00380266">
        <w:fldChar w:fldCharType="end"/>
      </w:r>
      <w:r w:rsidR="00380266">
        <w:t>.</w:t>
      </w:r>
    </w:p>
    <w:p w14:paraId="772FA835" w14:textId="77777777" w:rsidR="000B7EAA" w:rsidRDefault="00380266" w:rsidP="00DD779E">
      <w:pPr>
        <w:pStyle w:val="Heading2"/>
      </w:pPr>
      <w:bookmarkStart w:id="27" w:name="_Toc257836741"/>
      <w:r>
        <w:t>The potential for the capabilities approach and vocational streams</w:t>
      </w:r>
      <w:bookmarkEnd w:id="27"/>
    </w:p>
    <w:p w14:paraId="7A5502AB" w14:textId="77777777" w:rsidR="000B7EAA" w:rsidRDefault="00677806" w:rsidP="00837D17">
      <w:pPr>
        <w:pStyle w:val="Text"/>
      </w:pPr>
      <w:r>
        <w:t xml:space="preserve">This final section </w:t>
      </w:r>
      <w:r w:rsidR="00DA19B6">
        <w:t xml:space="preserve">of the case study </w:t>
      </w:r>
      <w:r>
        <w:t>considers interviewees</w:t>
      </w:r>
      <w:r w:rsidR="00DA19B6">
        <w:t>’</w:t>
      </w:r>
      <w:r>
        <w:t xml:space="preserve"> views on the potential for the capabilities approach and vocational streams in health</w:t>
      </w:r>
      <w:r w:rsidR="000328A9">
        <w:t xml:space="preserve"> and nursing, and in human welfare and services.</w:t>
      </w:r>
      <w:r w:rsidR="00A615FA">
        <w:t xml:space="preserve"> </w:t>
      </w:r>
      <w:r w:rsidR="00EE058E">
        <w:t xml:space="preserve">Overall, there was broad support among those interviewed for the health and community services case study for capabilities as the conceptual basis of qualifications and </w:t>
      </w:r>
      <w:r w:rsidR="00F50B38">
        <w:t xml:space="preserve">for </w:t>
      </w:r>
      <w:r w:rsidR="00EE058E">
        <w:t>vocational streams. The main debate was about how to constitute vocational streams, in particular, over whether nursing and community services should be considered as one vocational stream or two separate vocational streams.</w:t>
      </w:r>
    </w:p>
    <w:p w14:paraId="2A545F6C" w14:textId="018A12EF" w:rsidR="009D2353" w:rsidRDefault="009D2353" w:rsidP="00837D17">
      <w:pPr>
        <w:pStyle w:val="Text"/>
      </w:pPr>
      <w:r>
        <w:t>The notion of capabilities and how the capabilities approach d</w:t>
      </w:r>
      <w:r w:rsidR="000D7206">
        <w:t xml:space="preserve">iffers from competency </w:t>
      </w:r>
      <w:r>
        <w:t>based training models of curriculum was explored with all interviewees. They varied in the extent to which they were familiar with either or both approaches and had considered the issues. While some interviewees were able to make clear distinctions between the two approaches, others were either unclear about what each would involve because they weren’t necessarily engaged in providing education or developing curriculum</w:t>
      </w:r>
      <w:r w:rsidR="00D26645">
        <w:t>. Alternatively, a few interviewees didn’t distinguish between capabilities and competencies, considering them to be different versions of the same thing. However, overall all interviewees were in favour of a broad approach to curriculum that was holistic, and ensured students had access to the theoretical basis of practice as well as opportunities to develop the skills needed to work in the field. They saw knowledge and skills as intrinsically related, and in part this is related to the philosophy underpinning occupations in health and community services, which emphasises human rights and empowerment.</w:t>
      </w:r>
    </w:p>
    <w:p w14:paraId="01DD6B1C" w14:textId="77777777" w:rsidR="004278E4" w:rsidRDefault="00EC570F" w:rsidP="00837D17">
      <w:pPr>
        <w:pStyle w:val="Text"/>
      </w:pPr>
      <w:r>
        <w:t>The two representatives of community services providers interviewed for this project favoured a broad approach to curriculum</w:t>
      </w:r>
      <w:r w:rsidR="00531E89">
        <w:t xml:space="preserve"> because this reflected the changing nature of occupations on the one hand, and reflected the ‘humanist’ orientation of the occupations in this field on the other. </w:t>
      </w:r>
      <w:r w:rsidR="00D26645">
        <w:t xml:space="preserve">In both cases, they were able to conceptually differentiate between capabilities and competencies because both were involved with education and either were still teaching or had </w:t>
      </w:r>
      <w:r w:rsidR="00A7200C">
        <w:t>been teachers in VET</w:t>
      </w:r>
      <w:r w:rsidR="00D26645">
        <w:t xml:space="preserve">. </w:t>
      </w:r>
      <w:r w:rsidR="00531E89">
        <w:t xml:space="preserve">The manager of the regional youth support service argued that instead of workers with specific skills in specific areas, the positions they had increasingly required case managers who could work </w:t>
      </w:r>
      <w:r w:rsidR="00FF23D7">
        <w:t xml:space="preserve">in </w:t>
      </w:r>
      <w:r w:rsidR="00531E89">
        <w:t>a range of areas and help support those with whom they were working more holistically</w:t>
      </w:r>
      <w:r w:rsidR="00DA19B6">
        <w:t>,</w:t>
      </w:r>
      <w:r w:rsidR="001C7D7B">
        <w:t xml:space="preserve"> and </w:t>
      </w:r>
      <w:r w:rsidR="00DA19B6">
        <w:t xml:space="preserve">that </w:t>
      </w:r>
      <w:r w:rsidR="001C7D7B">
        <w:t>a broad approach to curriculum was needed to support this</w:t>
      </w:r>
      <w:r w:rsidR="00531E89">
        <w:t xml:space="preserve">. This meant that they were increasingly seeking those with higher education qualifications, rather than certificates IV or diplomas, even though she valued the applied nature of these qualifications. This was in contrast to many degree graduates who didn’t have practical experience of the workplace because their social science oriented degrees didn’t include work placements. </w:t>
      </w:r>
      <w:r w:rsidR="004278E4">
        <w:t>But nonetheless, they increasingly needed higher education graduates because:</w:t>
      </w:r>
    </w:p>
    <w:p w14:paraId="2662BF7B" w14:textId="77777777" w:rsidR="000B7EAA" w:rsidRDefault="00EC570F" w:rsidP="004278E4">
      <w:pPr>
        <w:pStyle w:val="Quote"/>
      </w:pPr>
      <w:r>
        <w:lastRenderedPageBreak/>
        <w:t xml:space="preserve"> </w:t>
      </w:r>
      <w:r w:rsidR="004278E4">
        <w:t>…just the level of expectation, professionalism, ability to present and provide reports, we’re getting subpoenaed up to court more often, there’s a whole range of professional skills… and I think there’s a gap with what people were doing in their certificate IV and diplomas and we’re actually needing to produce more skills at a university level.</w:t>
      </w:r>
    </w:p>
    <w:p w14:paraId="35588EE7" w14:textId="77777777" w:rsidR="00937731" w:rsidRPr="008978AB" w:rsidRDefault="00A9443A" w:rsidP="00837D17">
      <w:pPr>
        <w:pStyle w:val="Text"/>
      </w:pPr>
      <w:r>
        <w:t>The degree could be improved with much more work experience with students placed with real agencies in the community and doing ‘proper field placements’. Pathways from diplomas to degrees were particularly important for this employer because graduates would benefit from the opportunity to make sense of both the practical and theoretical aspects of their programs.</w:t>
      </w:r>
      <w:r w:rsidR="008978AB">
        <w:t xml:space="preserve"> It was the </w:t>
      </w:r>
      <w:r w:rsidR="008978AB">
        <w:rPr>
          <w:i/>
        </w:rPr>
        <w:t>combination</w:t>
      </w:r>
      <w:r w:rsidR="00AA16A2">
        <w:t xml:space="preserve"> of the two that was important, and ideally qualifications in both sectors would embody this combination.</w:t>
      </w:r>
    </w:p>
    <w:p w14:paraId="216F0DC2" w14:textId="77777777" w:rsidR="00A9443A" w:rsidRDefault="00024BFC" w:rsidP="00837D17">
      <w:pPr>
        <w:pStyle w:val="Text"/>
      </w:pPr>
      <w:r>
        <w:t xml:space="preserve">The representative of the aged care provider also supported a broader and more holistic approach to curriculum offered through a capabilities orientation. </w:t>
      </w:r>
      <w:r w:rsidR="00D42087">
        <w:t>The employer is an enterprise registered training organisation and t</w:t>
      </w:r>
      <w:r>
        <w:t xml:space="preserve">he main qualifications </w:t>
      </w:r>
      <w:r w:rsidR="009F4930">
        <w:t xml:space="preserve">they offer </w:t>
      </w:r>
      <w:r>
        <w:t xml:space="preserve">to their own staff </w:t>
      </w:r>
      <w:r w:rsidR="00D42087">
        <w:t>were</w:t>
      </w:r>
      <w:r>
        <w:t xml:space="preserve"> certificates III and IV</w:t>
      </w:r>
      <w:r w:rsidR="009A5154">
        <w:t xml:space="preserve"> in aged care and home and community care, as well as the Certificate IV in Training and Education.</w:t>
      </w:r>
      <w:r w:rsidR="00D42087">
        <w:t xml:space="preserve"> The agency supported staff to undertake career pathways in nursing, both </w:t>
      </w:r>
      <w:r w:rsidR="00520328">
        <w:t xml:space="preserve">as </w:t>
      </w:r>
      <w:r w:rsidR="00D42087">
        <w:t xml:space="preserve">enrolled nurses in VET and registered nurses in higher education. </w:t>
      </w:r>
      <w:r w:rsidR="00AA16A2">
        <w:t>The representative was working to make their VET qualifications more holistic and move away from what she felt was a ‘checklist curriculum mentality where we forgot about the person [the student]</w:t>
      </w:r>
      <w:r w:rsidR="00DA19B6">
        <w:t>’</w:t>
      </w:r>
      <w:r w:rsidR="00AA16A2">
        <w:t>. She felt that they had to reflect their agenc</w:t>
      </w:r>
      <w:r w:rsidR="00DA19B6">
        <w:t>y’s</w:t>
      </w:r>
      <w:r w:rsidR="00AA16A2">
        <w:t xml:space="preserve"> ho</w:t>
      </w:r>
      <w:r w:rsidR="00520328">
        <w:t xml:space="preserve">listic approach to aged care in </w:t>
      </w:r>
      <w:r w:rsidR="00AA16A2">
        <w:t xml:space="preserve">the way they treated and educated their staff. Language, literacy and numeracy was a big issue for this employer because many of their students </w:t>
      </w:r>
      <w:r w:rsidR="00520328">
        <w:t xml:space="preserve">(who were also staff members) </w:t>
      </w:r>
      <w:r w:rsidR="00AA16A2">
        <w:t>were from non-English speaking backgrounds, and a more holistic approach to curriculum would encompass a greater emphasis on this as well as ensuring students had access to underpinning principles they needed to work holistically with aged people and to progress in their careers.</w:t>
      </w:r>
    </w:p>
    <w:p w14:paraId="3C6F9D26" w14:textId="77777777" w:rsidR="000B7EAA" w:rsidRDefault="009F4930" w:rsidP="00837D17">
      <w:pPr>
        <w:pStyle w:val="Text"/>
      </w:pPr>
      <w:r>
        <w:t xml:space="preserve">The higher education interviewees generally supported the capabilities approach and felt that it reflected the needs of the field for which students were being prepared as well as students themselves. </w:t>
      </w:r>
      <w:r w:rsidR="008A5CEC">
        <w:t>In contrast, the two TAFE teachers, both of whom are senior teachers in health and community services respectively, didn’t really differentiate between competencies and capabilities. They viewed the issues more as how competencies should (or should not) be grouped to provide students with a more generalist grounding within vocational</w:t>
      </w:r>
      <w:r w:rsidR="00520328">
        <w:t xml:space="preserve"> streams. </w:t>
      </w:r>
    </w:p>
    <w:p w14:paraId="20EC9432" w14:textId="77777777" w:rsidR="00937731" w:rsidRDefault="00FF3167" w:rsidP="00DD779E">
      <w:pPr>
        <w:pStyle w:val="Heading2"/>
      </w:pPr>
      <w:bookmarkStart w:id="28" w:name="_Toc257836742"/>
      <w:r>
        <w:t>Dilemmas – vocational streams</w:t>
      </w:r>
      <w:bookmarkEnd w:id="28"/>
    </w:p>
    <w:p w14:paraId="2EFE1064" w14:textId="5771A474" w:rsidR="006A07D6" w:rsidRDefault="00FF3167" w:rsidP="00A32601">
      <w:pPr>
        <w:pStyle w:val="Text"/>
      </w:pPr>
      <w:r>
        <w:t xml:space="preserve">The main focus and debate within the interviews was about vocational streams. </w:t>
      </w:r>
      <w:r w:rsidR="00A32601">
        <w:t xml:space="preserve">Almost all interviewees supported the notion of vocational streams because they </w:t>
      </w:r>
      <w:r w:rsidR="006139D0">
        <w:t xml:space="preserve">could identify commonalities in knowledge, skills and practices between occupations, particularly those involved in care work. </w:t>
      </w:r>
      <w:r w:rsidR="006A07D6">
        <w:t xml:space="preserve">However, the main issue for interviewees was where the boundaries between vocational streams should be drawn. </w:t>
      </w:r>
      <w:r w:rsidR="00C96E60">
        <w:t xml:space="preserve">In the interviews we drew on a previous </w:t>
      </w:r>
      <w:r w:rsidR="006C601C">
        <w:t xml:space="preserve">project </w:t>
      </w:r>
      <w:r w:rsidR="00265A57">
        <w:t xml:space="preserve">we had undertaken for the New South Wales Board of Vocational Education and Training </w:t>
      </w:r>
      <w:r w:rsidR="00C96E60">
        <w:t>which exp</w:t>
      </w:r>
      <w:r w:rsidR="00043F47">
        <w:t xml:space="preserve">lored the potential for new </w:t>
      </w:r>
      <w:r w:rsidR="00572455">
        <w:t>mid-level</w:t>
      </w:r>
      <w:r w:rsidR="00C96E60">
        <w:t xml:space="preserve"> qualifications in community services and it canvassed whether new qualifications at this level could be for new generalist</w:t>
      </w:r>
      <w:r w:rsidR="006139D0">
        <w:t xml:space="preserve"> ‘care-work’</w:t>
      </w:r>
      <w:r w:rsidR="00C96E60">
        <w:t xml:space="preserve"> roles</w:t>
      </w:r>
      <w:r w:rsidR="00E07DC4">
        <w:t xml:space="preserve"> </w:t>
      </w:r>
      <w:r w:rsidR="00E07DC4">
        <w:fldChar w:fldCharType="begin"/>
      </w:r>
      <w:r w:rsidR="00E07DC4">
        <w:instrText xml:space="preserve"> ADDIN EN.CITE &lt;EndNote&gt;&lt;Cite&gt;&lt;Author&gt;Wheelahan&lt;/Author&gt;&lt;Year&gt;2013&lt;/Year&gt;&lt;RecNum&gt;3314&lt;/RecNum&gt;&lt;DisplayText&gt;(Wheelahan and Buchanan, 2013)&lt;/DisplayText&gt;&lt;record&gt;&lt;rec-number&gt;3314&lt;/rec-number&gt;&lt;foreign-keys&gt;&lt;key app="EN" db-id="vadepsw2f2aeebevffz5fzpddt9tvewsatpr" timestamp="1388620182"&gt;3314&lt;/key&gt;&lt;/foreign-keys&gt;&lt;ref-type name="Report"&gt;27&lt;/ref-type&gt;&lt;contributors&gt;&lt;authors&gt;&lt;author&gt;Wheelahan, Leesa&lt;/author&gt;&lt;author&gt;Buchanan, John&lt;/author&gt;&lt;/authors&gt;&lt;/contributors&gt;&lt;titles&gt;&lt;title&gt;‘From Competencies to Capabilities Project’ Stakeholder engagement and research into vocational streams&lt;/title&gt;&lt;/titles&gt;&lt;dates&gt;&lt;year&gt;2013&lt;/year&gt;&lt;/dates&gt;&lt;pub-location&gt;LH Martin Institute, University of Melbourne and Workplace Research Centre, University of Sydney&lt;/pub-location&gt;&lt;urls&gt;&lt;/urls&gt;&lt;/record&gt;&lt;/Cite&gt;&lt;/EndNote&gt;</w:instrText>
      </w:r>
      <w:r w:rsidR="00E07DC4">
        <w:fldChar w:fldCharType="separate"/>
      </w:r>
      <w:r w:rsidR="00E07DC4">
        <w:rPr>
          <w:noProof/>
        </w:rPr>
        <w:t>(</w:t>
      </w:r>
      <w:hyperlink w:anchor="_ENREF_26" w:tooltip="Wheelahan, 2013 #3314" w:history="1">
        <w:r w:rsidR="00B03184">
          <w:rPr>
            <w:noProof/>
          </w:rPr>
          <w:t>Wheelahan and Buchanan 2013</w:t>
        </w:r>
      </w:hyperlink>
      <w:r w:rsidR="00E07DC4">
        <w:rPr>
          <w:noProof/>
        </w:rPr>
        <w:t>)</w:t>
      </w:r>
      <w:r w:rsidR="00E07DC4">
        <w:fldChar w:fldCharType="end"/>
      </w:r>
      <w:r w:rsidR="00E07DC4">
        <w:t xml:space="preserve">. </w:t>
      </w:r>
      <w:r w:rsidR="00EF1FF0">
        <w:t xml:space="preserve">Participants </w:t>
      </w:r>
      <w:r w:rsidR="00E07DC4">
        <w:t xml:space="preserve">included leading employers in aged care and disability support in New South Wales, unions and </w:t>
      </w:r>
      <w:r w:rsidR="006C601C">
        <w:t xml:space="preserve">industry advisory bodies. The general consensus was that a gap existed in the occupational structure at about diploma level, and required an ‘advanced care practitioner’ who would have the knowledge and skills needed to </w:t>
      </w:r>
      <w:r w:rsidR="00CF7AEE">
        <w:t xml:space="preserve">provide direct services and </w:t>
      </w:r>
      <w:r w:rsidR="006C601C">
        <w:t xml:space="preserve">work with people with multiple and complex needs, such as those who were aged, </w:t>
      </w:r>
      <w:r w:rsidR="002A6E64">
        <w:t xml:space="preserve">frail, </w:t>
      </w:r>
      <w:r w:rsidR="006C601C">
        <w:t>with Alzheimer’s and a physical disability.</w:t>
      </w:r>
      <w:r w:rsidR="00C96E60">
        <w:t xml:space="preserve"> </w:t>
      </w:r>
      <w:r w:rsidR="00EF1FF0">
        <w:t xml:space="preserve">Participants </w:t>
      </w:r>
      <w:r w:rsidR="00CF7AEE">
        <w:t>felt that such a role was</w:t>
      </w:r>
      <w:r w:rsidR="00043F47">
        <w:t xml:space="preserve"> needed in the longer </w:t>
      </w:r>
      <w:r w:rsidR="00CF7AEE">
        <w:t xml:space="preserve">term to help aging Australians stay in their homes for longer and was </w:t>
      </w:r>
      <w:r w:rsidR="00CF7AEE">
        <w:lastRenderedPageBreak/>
        <w:t xml:space="preserve">the only way to ensure the future sustainability of health, aged care and disability support services. </w:t>
      </w:r>
      <w:r w:rsidR="0089757D">
        <w:t xml:space="preserve">The new kind of worker </w:t>
      </w:r>
      <w:r w:rsidR="00043F47">
        <w:t>who</w:t>
      </w:r>
      <w:r w:rsidR="0089757D">
        <w:t xml:space="preserve"> was needed would have the knowledge and skills at the same level as an enrolled nurse, but the qualification would be differentiated by the industries it served and the approach it took.</w:t>
      </w:r>
    </w:p>
    <w:p w14:paraId="63C79814" w14:textId="77777777" w:rsidR="00520328" w:rsidRDefault="006C601C" w:rsidP="00837D17">
      <w:pPr>
        <w:pStyle w:val="Text"/>
      </w:pPr>
      <w:r>
        <w:t xml:space="preserve">All participants </w:t>
      </w:r>
      <w:r w:rsidR="00DE082E">
        <w:t xml:space="preserve">in that project </w:t>
      </w:r>
      <w:r>
        <w:t xml:space="preserve">agreed that there was great potential in the notion of vocational streams as long as it excluded health </w:t>
      </w:r>
      <w:r w:rsidR="002A6E64">
        <w:t xml:space="preserve">(nursing) </w:t>
      </w:r>
      <w:r>
        <w:t>and children’s services because the ‘client’ groups were too different, requiring different kinds of knowledge and skills.</w:t>
      </w:r>
      <w:r w:rsidR="00DE082E">
        <w:t xml:space="preserve"> </w:t>
      </w:r>
      <w:r w:rsidR="00520328">
        <w:t>It was argued</w:t>
      </w:r>
      <w:r w:rsidR="00341DAF">
        <w:t xml:space="preserve"> that children’s services workers </w:t>
      </w:r>
      <w:r w:rsidR="00DE082E">
        <w:t xml:space="preserve">ran the risk of </w:t>
      </w:r>
      <w:r w:rsidR="004200F3">
        <w:t>infantilising</w:t>
      </w:r>
      <w:r w:rsidR="00DE082E">
        <w:t xml:space="preserve"> the elderly and those with disabilities with whom they </w:t>
      </w:r>
      <w:r w:rsidR="00520328">
        <w:t xml:space="preserve">worked </w:t>
      </w:r>
      <w:r w:rsidR="00DE082E">
        <w:t>(a view also expressed by the interviewee from the aged care provider in this project), and the career trajectory for workers in this field was into early childhood education</w:t>
      </w:r>
      <w:r w:rsidR="00520328">
        <w:t xml:space="preserve"> and not care work.</w:t>
      </w:r>
    </w:p>
    <w:p w14:paraId="7B22299A" w14:textId="644E7517" w:rsidR="00341DAF" w:rsidRPr="00FF3167" w:rsidRDefault="00341DAF" w:rsidP="00837D17">
      <w:pPr>
        <w:pStyle w:val="Text"/>
      </w:pPr>
      <w:r>
        <w:t>Participants were adamant that aged care</w:t>
      </w:r>
      <w:r w:rsidR="00520328">
        <w:t xml:space="preserve"> and disability support (and possibly mental health work and associated occupations)</w:t>
      </w:r>
      <w:r>
        <w:t xml:space="preserve"> needed to be a separate vocational stream </w:t>
      </w:r>
      <w:r w:rsidR="002A6E64">
        <w:t xml:space="preserve">from </w:t>
      </w:r>
      <w:r>
        <w:t xml:space="preserve">nursing. This was because nursing was regarded as having an overly </w:t>
      </w:r>
      <w:proofErr w:type="spellStart"/>
      <w:r>
        <w:t>medicalised</w:t>
      </w:r>
      <w:proofErr w:type="spellEnd"/>
      <w:r>
        <w:t xml:space="preserve"> approach in contrast to aged care and disability support</w:t>
      </w:r>
      <w:r w:rsidR="002A6E64">
        <w:t>,</w:t>
      </w:r>
      <w:r>
        <w:t xml:space="preserve"> which was about empowering people and providing them with support rather than ‘fixing’ them. It was felt that having a single vocational stream that included nursing would result in nursing colonising the disability support and aged care industries and imposing a medical model of care. The second reason was </w:t>
      </w:r>
      <w:r w:rsidR="00EF149B">
        <w:t>that</w:t>
      </w:r>
      <w:r>
        <w:t xml:space="preserve"> currently the only occupational pathway for those in aged care and disability support, apart from those wishing to go into management, was into nursing. However, graduates of nursing diplomas (enrolled nurses) tended to be poached by the health industry rather than remain in aged care and disability support because pay and conditions were better and there were more structured occupational career paths.</w:t>
      </w:r>
    </w:p>
    <w:p w14:paraId="68A30030" w14:textId="77777777" w:rsidR="00FF3167" w:rsidRDefault="00265A57" w:rsidP="00837D17">
      <w:pPr>
        <w:pStyle w:val="Text"/>
      </w:pPr>
      <w:r>
        <w:t xml:space="preserve">Overall, interviewees in this project did not support this view. </w:t>
      </w:r>
      <w:r w:rsidR="004200F3">
        <w:t>The interviewees from the regional youth service and aged care provider both felt that there was scope for enrolled nurses to work in more generalist care and case management roles, while acknowledging that there were dangers with the medical model. However, they both felt that this could be addressed through a broader approach in the diploma of nursing.</w:t>
      </w:r>
      <w:r w:rsidR="00706C08">
        <w:t xml:space="preserve"> This view was supported by the senior higher education academics in nursing. They felt that rather than blame nursing for poaching staff who undertake a diploma of </w:t>
      </w:r>
      <w:proofErr w:type="gramStart"/>
      <w:r w:rsidR="00706C08">
        <w:t>nursing, that</w:t>
      </w:r>
      <w:proofErr w:type="gramEnd"/>
      <w:r w:rsidR="00706C08">
        <w:t xml:space="preserve"> the aged care and disability support industries needed to address problems in funding and staffing models. According to one senior academic, ‘nursing isn’t seeking to colonise, I think nursing’s trying to draw a line in the sand to protect patients</w:t>
      </w:r>
      <w:r w:rsidR="009B515C">
        <w:t>’</w:t>
      </w:r>
      <w:r w:rsidR="00706C08">
        <w:t xml:space="preserve">. The problems with these industries are, it was argued, that they </w:t>
      </w:r>
      <w:r w:rsidR="002A6E64">
        <w:t>are</w:t>
      </w:r>
      <w:r w:rsidR="00706C08">
        <w:t xml:space="preserve"> not sufficiently regulated and qualifications of staff </w:t>
      </w:r>
      <w:r w:rsidR="002A6E64">
        <w:t xml:space="preserve">are </w:t>
      </w:r>
      <w:r w:rsidR="00706C08">
        <w:t xml:space="preserve">not sufficiently regulated and too low. </w:t>
      </w:r>
      <w:r w:rsidR="00AA57E3">
        <w:t>I</w:t>
      </w:r>
      <w:r w:rsidR="00DE7DBA">
        <w:t>nstead, the tendency was for</w:t>
      </w:r>
      <w:r w:rsidR="00AA57E3">
        <w:t xml:space="preserve"> greater fragmentation </w:t>
      </w:r>
      <w:r w:rsidR="009B515C">
        <w:t xml:space="preserve">of </w:t>
      </w:r>
      <w:r w:rsidR="00AA57E3">
        <w:t>the qualifications and skills required, rather than more holistic approaches:</w:t>
      </w:r>
    </w:p>
    <w:p w14:paraId="504B2C65" w14:textId="5861FA56" w:rsidR="00AA57E3" w:rsidRDefault="00AA57E3" w:rsidP="00AA57E3">
      <w:pPr>
        <w:pStyle w:val="Quote"/>
      </w:pPr>
      <w:r>
        <w:t>Locally we have an aged care facility designed purely for people with dementia. And there are people who are employed and care for people with dementia and aged care called dementia specialists who have done a component of a Certificate IV and their supervision is to a registered n</w:t>
      </w:r>
      <w:r w:rsidR="00002E4A">
        <w:t>urse on the phone and there are</w:t>
      </w:r>
      <w:r>
        <w:t xml:space="preserve"> a hundred residents.</w:t>
      </w:r>
      <w:r w:rsidR="00520328">
        <w:t xml:space="preserve"> (Senior higher education nursing educator)</w:t>
      </w:r>
    </w:p>
    <w:p w14:paraId="6EF2FB4D" w14:textId="77777777" w:rsidR="00265A57" w:rsidRDefault="00AA57E3" w:rsidP="00837D17">
      <w:pPr>
        <w:pStyle w:val="Text"/>
      </w:pPr>
      <w:r>
        <w:t>The other senior nursing academic argued that broadening the scope of practice of enrolled nurses so they were involved in more community and home-based care would broaden their career options and help retain them in the broader industry. Both senior educators felt that there was an overly medical approach in the diploma of nursing and that a greater emphasis on social models of care was possible</w:t>
      </w:r>
      <w:r w:rsidR="00520328">
        <w:t xml:space="preserve"> and probably desirable</w:t>
      </w:r>
      <w:r>
        <w:t>.</w:t>
      </w:r>
    </w:p>
    <w:p w14:paraId="7A9FA64A" w14:textId="5CEACCDB" w:rsidR="00265A57" w:rsidRDefault="00A32601" w:rsidP="00837D17">
      <w:pPr>
        <w:pStyle w:val="Text"/>
      </w:pPr>
      <w:r>
        <w:t xml:space="preserve">The two senior TAFE teachers, one in nursing and the other in community services, took a somewhat different view. The TAFE leading nursing teacher felt nursing needed to be further differentiated </w:t>
      </w:r>
      <w:r>
        <w:lastRenderedPageBreak/>
        <w:t xml:space="preserve">because of the differing knowledge and skills required between nursing and those working in aged and disability care. It seems that the key issue here was about the </w:t>
      </w:r>
      <w:r>
        <w:rPr>
          <w:i/>
        </w:rPr>
        <w:t>level</w:t>
      </w:r>
      <w:r>
        <w:t xml:space="preserve"> of study rather than the potential for vocational streams. Nursing is a</w:t>
      </w:r>
      <w:r w:rsidR="00EE58A6">
        <w:t xml:space="preserve"> diploma, whereas most practice </w:t>
      </w:r>
      <w:r>
        <w:t xml:space="preserve">based qualifications in aged care and disability support are at certificate III and IV. As a consequence, this interviewee couldn’t see much relevance in the concept because the knowledge and skills required of </w:t>
      </w:r>
      <w:r w:rsidR="009B515C">
        <w:t>enrolled nurse</w:t>
      </w:r>
      <w:r>
        <w:t xml:space="preserve"> graduates was a lot higher than that of graduates from certificates III and IV in aged services and disability care.</w:t>
      </w:r>
      <w:r>
        <w:rPr>
          <w:rStyle w:val="FootnoteReference"/>
        </w:rPr>
        <w:footnoteReference w:id="2"/>
      </w:r>
    </w:p>
    <w:p w14:paraId="59BB65AF" w14:textId="77777777" w:rsidR="002433B3" w:rsidRDefault="00A32601" w:rsidP="00837D17">
      <w:pPr>
        <w:pStyle w:val="Text"/>
      </w:pPr>
      <w:r>
        <w:t xml:space="preserve">The community services TAFE teacher argued </w:t>
      </w:r>
      <w:r w:rsidR="009B515C">
        <w:t xml:space="preserve">that </w:t>
      </w:r>
      <w:r>
        <w:t>we needed to have three broad vocational streams rather than two: nursing; ag</w:t>
      </w:r>
      <w:r w:rsidR="00052FB4">
        <w:t xml:space="preserve">ed care and home community care; </w:t>
      </w:r>
      <w:r>
        <w:t>and</w:t>
      </w:r>
      <w:r w:rsidR="00052FB4">
        <w:t>,</w:t>
      </w:r>
      <w:r>
        <w:t xml:space="preserve"> community work which would incorporate disability support. This is because disability support and </w:t>
      </w:r>
      <w:r w:rsidR="00052FB4">
        <w:t>aged care had different paradigms, and disability support was more closely aligned to community work and was more focused on empowerment, whereas aged care was more focused on direct care work.</w:t>
      </w:r>
    </w:p>
    <w:p w14:paraId="0538CDB5" w14:textId="77777777" w:rsidR="00052FB4" w:rsidRDefault="00052FB4" w:rsidP="00837D17">
      <w:pPr>
        <w:pStyle w:val="Text"/>
      </w:pPr>
      <w:r>
        <w:t xml:space="preserve">The representative of the professional body argued that social work was a broad field that led to many different occupations and in this way, reflected many of the tensions that exist between different occupations such as social work, community work, </w:t>
      </w:r>
      <w:proofErr w:type="gramStart"/>
      <w:r>
        <w:t>welfare</w:t>
      </w:r>
      <w:proofErr w:type="gramEnd"/>
      <w:r w:rsidR="00537F09">
        <w:t xml:space="preserve"> work</w:t>
      </w:r>
      <w:r>
        <w:t xml:space="preserve">, mental health work and so on. This tension was addressed by the leading academics </w:t>
      </w:r>
      <w:r w:rsidR="002433B3">
        <w:t xml:space="preserve">(nursing and social sciences more broadly) </w:t>
      </w:r>
      <w:r>
        <w:t xml:space="preserve">interviewed for this project who explained that a major obstacle </w:t>
      </w:r>
      <w:r w:rsidR="009B515C">
        <w:t xml:space="preserve">to </w:t>
      </w:r>
      <w:r>
        <w:t>getting broader qualifications that led to a range of different occupational outcomes was the professional demarcation between different areas within the academy, which in turn reflect</w:t>
      </w:r>
      <w:r w:rsidR="009B515C">
        <w:t>ed</w:t>
      </w:r>
      <w:r>
        <w:t xml:space="preserve"> occupational segmentation. Generally speaking, the professions and the academy maintain close connections, and occupational segmentation is often reflected in tensions within the academy. For example, one senior academic explained that:</w:t>
      </w:r>
    </w:p>
    <w:p w14:paraId="6F385824" w14:textId="09554382" w:rsidR="00937731" w:rsidRDefault="00052FB4" w:rsidP="00052FB4">
      <w:pPr>
        <w:pStyle w:val="Quote"/>
      </w:pPr>
      <w:r>
        <w:t xml:space="preserve">I </w:t>
      </w:r>
      <w:r w:rsidR="00E45296">
        <w:t xml:space="preserve">think professional rivalries and </w:t>
      </w:r>
      <w:r w:rsidR="00E45296" w:rsidRPr="00052FB4">
        <w:t>demarcation will be an issue particularly with social work. Social work isn’t as dignified as you think in</w:t>
      </w:r>
      <w:r w:rsidR="00E45296">
        <w:t xml:space="preserve"> that regard… I </w:t>
      </w:r>
      <w:r w:rsidR="002433B3">
        <w:t>would expect a backlash from</w:t>
      </w:r>
      <w:r w:rsidR="00E45296">
        <w:t xml:space="preserve"> them, because they have</w:t>
      </w:r>
      <w:r w:rsidR="00537F09">
        <w:t xml:space="preserve"> trouble with welfare officers as </w:t>
      </w:r>
      <w:r w:rsidR="00E45296">
        <w:t>well, and getting social work type appointments with</w:t>
      </w:r>
      <w:r w:rsidR="00FE5133">
        <w:t xml:space="preserve"> </w:t>
      </w:r>
      <w:r w:rsidR="00002E4A">
        <w:t>a welfare training background.</w:t>
      </w:r>
    </w:p>
    <w:p w14:paraId="5F9A508B" w14:textId="77777777" w:rsidR="00052FB4" w:rsidRDefault="00DD779E" w:rsidP="00DD779E">
      <w:pPr>
        <w:pStyle w:val="Heading2"/>
      </w:pPr>
      <w:bookmarkStart w:id="29" w:name="_Toc257836743"/>
      <w:r>
        <w:t>Conclusion</w:t>
      </w:r>
      <w:bookmarkEnd w:id="29"/>
    </w:p>
    <w:p w14:paraId="3E10BAE4" w14:textId="5F1AA0E0" w:rsidR="005F2FD5" w:rsidRDefault="00D1122F" w:rsidP="00D1122F">
      <w:pPr>
        <w:pStyle w:val="Text"/>
      </w:pPr>
      <w:r>
        <w:t>While objectively there are commonalities in the knowledge, skills and attributes required of workers, particularly in ‘mid-level’ occupations</w:t>
      </w:r>
      <w:r w:rsidR="005169F7">
        <w:t xml:space="preserve"> in health and community services</w:t>
      </w:r>
      <w:r>
        <w:t xml:space="preserve">, the potential for implementing vocational streams depends on the extent to which occupational segmentation can be overcome. In the second </w:t>
      </w:r>
      <w:r w:rsidR="005169F7">
        <w:t xml:space="preserve">stage </w:t>
      </w:r>
      <w:r>
        <w:t>of the project, Strand 2 came to the conclusion that while educational institutions could support the development o</w:t>
      </w:r>
      <w:r w:rsidR="00EE58A6">
        <w:t xml:space="preserve">f new occupations requiring </w:t>
      </w:r>
      <w:r w:rsidR="00572455">
        <w:t>mid-level</w:t>
      </w:r>
      <w:r>
        <w:t xml:space="preserve"> qualifications, that the driving force for </w:t>
      </w:r>
      <w:r w:rsidR="00C6632B">
        <w:t xml:space="preserve">changed or </w:t>
      </w:r>
      <w:r>
        <w:t>new occupational roles needed to come from within the industry and social partners</w:t>
      </w:r>
      <w:r w:rsidR="00FD646C">
        <w:t>:</w:t>
      </w:r>
      <w:r>
        <w:t xml:space="preserve"> employers, unions and government. Educational institutions could support but not drive this change</w:t>
      </w:r>
      <w:r w:rsidR="00EC31B8">
        <w:t xml:space="preserve"> </w:t>
      </w:r>
      <w:r w:rsidR="00EC31B8">
        <w:fldChar w:fldCharType="begin"/>
      </w:r>
      <w:r w:rsidR="00EC31B8">
        <w:instrText xml:space="preserve"> ADDIN EN.CITE &lt;EndNote&gt;&lt;Cite&gt;&lt;Author&gt;Moodie&lt;/Author&gt;&lt;Year&gt;2013&lt;/Year&gt;&lt;RecNum&gt;3168&lt;/RecNum&gt;&lt;DisplayText&gt;(Moodie et al., 2013)&lt;/DisplayText&gt;&lt;record&gt;&lt;rec-number&gt;3168&lt;/rec-number&gt;&lt;foreign-keys&gt;&lt;key app="EN" db-id="vadepsw2f2aeebevffz5fzpddt9tvewsatpr" timestamp="1359515584"&gt;3168&lt;/key&gt;&lt;/foreign-keys&gt;&lt;ref-type name="Report"&gt;27&lt;/ref-type&gt;&lt;contributors&gt;&lt;authors&gt;&lt;author&gt;Moodie, Gavin&lt;/author&gt;&lt;author&gt;Fredman, Nick&lt;/author&gt;&lt;author&gt;Bexley, Emmaline&lt;/author&gt;&lt;author&gt;Wheelahan, Leesa&lt;/author&gt;&lt;/authors&gt;&lt;/contributors&gt;&lt;titles&gt;&lt;title&gt;Vocational education’s variable links to vocations&lt;/title&gt;&lt;/titles&gt;&lt;dates&gt;&lt;year&gt;2013&lt;/year&gt;&lt;pub-dates&gt;&lt;date&gt;19 December 2013&lt;/date&gt;&lt;/pub-dates&gt;&lt;/dates&gt;&lt;pub-location&gt;Adelaide&lt;/pub-location&gt;&lt;publisher&gt;National Centre for Vocational Education Research&lt;/publisher&gt;&lt;label&gt;NCVER Vcations project&lt;/label&gt;&lt;urls&gt;&lt;related-urls&gt;&lt;url&gt;&amp;lt;http://www.ncver.edu.au/publications/2689.html&amp;gt; viewed 21 December&lt;/url&gt;&lt;/related-urls&gt;&lt;/urls&gt;&lt;/record&gt;&lt;/Cite&gt;&lt;/EndNote&gt;</w:instrText>
      </w:r>
      <w:r w:rsidR="00EC31B8">
        <w:fldChar w:fldCharType="separate"/>
      </w:r>
      <w:r w:rsidR="00EC31B8">
        <w:rPr>
          <w:noProof/>
        </w:rPr>
        <w:t>(</w:t>
      </w:r>
      <w:hyperlink w:anchor="_ENREF_17" w:tooltip="Moodie, 2013 #3168" w:history="1">
        <w:r w:rsidR="00B03184">
          <w:rPr>
            <w:noProof/>
          </w:rPr>
          <w:t>Moodie et al. 2013</w:t>
        </w:r>
      </w:hyperlink>
      <w:r w:rsidR="00EC31B8">
        <w:rPr>
          <w:noProof/>
        </w:rPr>
        <w:t>)</w:t>
      </w:r>
      <w:r w:rsidR="00EC31B8">
        <w:fldChar w:fldCharType="end"/>
      </w:r>
      <w:r>
        <w:t xml:space="preserve">. </w:t>
      </w:r>
      <w:r w:rsidR="005169F7">
        <w:t xml:space="preserve"> The potential for the emergence of vocational streams therefore depends on the extent to which key social partners are prepared to invest in the process</w:t>
      </w:r>
      <w:r w:rsidR="004837B4">
        <w:t xml:space="preserve">. </w:t>
      </w:r>
    </w:p>
    <w:p w14:paraId="22DE80DD" w14:textId="77777777" w:rsidR="00D1122F" w:rsidRPr="00D1122F" w:rsidRDefault="004837B4" w:rsidP="00D1122F">
      <w:pPr>
        <w:pStyle w:val="Text"/>
      </w:pPr>
      <w:r>
        <w:t xml:space="preserve">In their final </w:t>
      </w:r>
      <w:r w:rsidR="005F2FD5">
        <w:t>stage</w:t>
      </w:r>
      <w:r>
        <w:t xml:space="preserve"> of the project, Strand 3 found that while health and community services was characterised by occupational segmentation, there was potential for vocational streams to emerge, and </w:t>
      </w:r>
      <w:r w:rsidR="00724290">
        <w:t xml:space="preserve">indeed, </w:t>
      </w:r>
      <w:r>
        <w:t xml:space="preserve">vocational streams had begun to emerge in localised arrangements. </w:t>
      </w:r>
      <w:r w:rsidR="00724290">
        <w:t>They argue that:</w:t>
      </w:r>
    </w:p>
    <w:p w14:paraId="4D02756D" w14:textId="77777777" w:rsidR="00052FB4" w:rsidRDefault="004837B4" w:rsidP="004837B4">
      <w:pPr>
        <w:pStyle w:val="Quote"/>
      </w:pPr>
      <w:r w:rsidRPr="00EC31B8">
        <w:lastRenderedPageBreak/>
        <w:t xml:space="preserve">The key prerequisite for moving beyond current fragmented arrangements and towards more effective </w:t>
      </w:r>
      <w:r w:rsidRPr="004837B4">
        <w:t>delivery of services and skills development, is establishing forums that facilitate dialogue and build</w:t>
      </w:r>
      <w:r w:rsidRPr="00EC31B8">
        <w:t xml:space="preserve"> trust.  </w:t>
      </w:r>
      <w:r>
        <w:t>(Yu et al. forthcoming</w:t>
      </w:r>
      <w:r w:rsidR="00FD646C">
        <w:t>,</w:t>
      </w:r>
      <w:r>
        <w:t xml:space="preserve"> p.19)</w:t>
      </w:r>
    </w:p>
    <w:p w14:paraId="725FB9F3" w14:textId="79E983F9" w:rsidR="00AE371D" w:rsidRDefault="00724290" w:rsidP="00837D17">
      <w:pPr>
        <w:pStyle w:val="Text"/>
      </w:pPr>
      <w:r>
        <w:t xml:space="preserve">The innovations </w:t>
      </w:r>
      <w:r w:rsidR="002B1D3B">
        <w:t xml:space="preserve">in health and community services </w:t>
      </w:r>
      <w:r>
        <w:t>explored by Strand 3 were the result of</w:t>
      </w:r>
      <w:r w:rsidR="00BB2C7D">
        <w:t>:</w:t>
      </w:r>
      <w:r>
        <w:t xml:space="preserve"> inclusive and consultative processes</w:t>
      </w:r>
      <w:r w:rsidR="00BB2C7D">
        <w:t>;</w:t>
      </w:r>
      <w:r>
        <w:t xml:space="preserve"> formal but flex</w:t>
      </w:r>
      <w:r w:rsidR="00EE58A6">
        <w:t xml:space="preserve">ible models for shared decision </w:t>
      </w:r>
      <w:r>
        <w:t>making and conflict resolution</w:t>
      </w:r>
      <w:r w:rsidR="00BB2C7D">
        <w:t>;</w:t>
      </w:r>
      <w:r>
        <w:t xml:space="preserve"> strong emphasis on clear protocols and structures of support in change management processes</w:t>
      </w:r>
      <w:r w:rsidR="00BB2C7D">
        <w:t>;</w:t>
      </w:r>
      <w:r>
        <w:t xml:space="preserve"> and</w:t>
      </w:r>
      <w:r w:rsidR="00BB2C7D">
        <w:t>,</w:t>
      </w:r>
      <w:r w:rsidR="00EE58A6">
        <w:t xml:space="preserve"> evidence </w:t>
      </w:r>
      <w:r>
        <w:t>based evaluation of changes to models of care</w:t>
      </w:r>
      <w:r w:rsidR="00AE371D">
        <w:t xml:space="preserve"> (Yu et al. forthcoming)</w:t>
      </w:r>
      <w:r>
        <w:t>.</w:t>
      </w:r>
    </w:p>
    <w:p w14:paraId="5D6D99EF" w14:textId="4D9304A1" w:rsidR="00C6632B" w:rsidRDefault="00C6632B" w:rsidP="00837D17">
      <w:pPr>
        <w:pStyle w:val="Text"/>
      </w:pPr>
      <w:r>
        <w:t xml:space="preserve">However, they argue that the emergence of vocational streams are not a given, and that trajectories towards greater fragmentation are also possible. </w:t>
      </w:r>
      <w:r w:rsidR="004F2890">
        <w:t xml:space="preserve">Similarly, </w:t>
      </w:r>
      <w:r>
        <w:t xml:space="preserve">Strand 2’s conclusion is that </w:t>
      </w:r>
      <w:r w:rsidR="002B1D3B">
        <w:t xml:space="preserve">there are conflicting drivers within health and community services: on the one there are objective commonalities in knowledge, skills and practices </w:t>
      </w:r>
      <w:r w:rsidR="004F2890">
        <w:t>within</w:t>
      </w:r>
      <w:r w:rsidR="002B1D3B">
        <w:t xml:space="preserve"> health and community services and widespread recognition of the need to develop more </w:t>
      </w:r>
      <w:r w:rsidR="00EE58A6">
        <w:t xml:space="preserve">person </w:t>
      </w:r>
      <w:r w:rsidR="004F2890">
        <w:t>centred models of care that engage the person holistically; and, on the other, the driver towards lower cost funding with resulting pressures towards skills fragmentation resulting in occupational fragmentation (as in the above example of dementia care workers who complete a component of a certificate IV).</w:t>
      </w:r>
    </w:p>
    <w:p w14:paraId="50B74D00" w14:textId="3A21CBD7" w:rsidR="00C13AE7" w:rsidRDefault="004F2890" w:rsidP="00837D17">
      <w:pPr>
        <w:pStyle w:val="Text"/>
      </w:pPr>
      <w:r>
        <w:t xml:space="preserve">If </w:t>
      </w:r>
      <w:r>
        <w:rPr>
          <w:i/>
        </w:rPr>
        <w:t>coherent</w:t>
      </w:r>
      <w:r>
        <w:t xml:space="preserve"> vocational streams are to emerge they need to be </w:t>
      </w:r>
      <w:r w:rsidR="0068580A">
        <w:t>based on</w:t>
      </w:r>
      <w:r>
        <w:t xml:space="preserve"> occupations and the type of worker needed for those occupations. This is the connection to the capabilities approach. Broadly speaking, the model envisaged in the capabilities approach as we have used it is of a career so that individuals have the knowledge, skills and attributes they need to work in a range of related occupations within a broad field of practice</w:t>
      </w:r>
      <w:r w:rsidR="008072BD">
        <w:t>, and to exercise judgement, autonomy and creativity in work</w:t>
      </w:r>
      <w:r>
        <w:t>. The</w:t>
      </w:r>
      <w:r w:rsidR="00C13AE7">
        <w:t>re are</w:t>
      </w:r>
      <w:r>
        <w:t xml:space="preserve"> curricular implications </w:t>
      </w:r>
      <w:r w:rsidR="00C13AE7">
        <w:t>in</w:t>
      </w:r>
      <w:r>
        <w:t xml:space="preserve"> moving from training for tasks and roles for specific jobs </w:t>
      </w:r>
      <w:r w:rsidR="002D4B77">
        <w:t>to</w:t>
      </w:r>
      <w:r w:rsidR="00C13AE7">
        <w:t xml:space="preserve"> preparing individuals for a career within a broad field of practice; </w:t>
      </w:r>
      <w:r>
        <w:t>instead of a focus on tasks and roles</w:t>
      </w:r>
      <w:r w:rsidR="00C13AE7">
        <w:t xml:space="preserve"> for specific jobs</w:t>
      </w:r>
      <w:r w:rsidR="002D4B77">
        <w:t>, the focus needs to be on developing</w:t>
      </w:r>
      <w:r>
        <w:t xml:space="preserve"> the person in the context of the field of practice for which they are being prepared, and the knowledge, skills and attributes they need </w:t>
      </w:r>
      <w:r w:rsidR="00F92F06">
        <w:t>for occupational and educational</w:t>
      </w:r>
      <w:r w:rsidR="00C13AE7">
        <w:t xml:space="preserve"> progression.</w:t>
      </w:r>
    </w:p>
    <w:p w14:paraId="2311D769" w14:textId="2AD93F74" w:rsidR="004F2890" w:rsidRDefault="00F92F06" w:rsidP="00837D17">
      <w:pPr>
        <w:pStyle w:val="Text"/>
      </w:pPr>
      <w:r>
        <w:t xml:space="preserve">So while there was agreement about the need for vocational streams, and there was broad support for the capabilities approach, the latter was less well understood. </w:t>
      </w:r>
      <w:r w:rsidR="008072BD">
        <w:t xml:space="preserve">However, the notion of capabilities has implications for the nature of vocational streams. </w:t>
      </w:r>
      <w:r>
        <w:t xml:space="preserve">Coherent vocational streams are premised on workers who are able to make judgements and exercise autonomy, while implicit but fragmented vocational streams can rest on greater fragmentation of occupational roles. If the latter is the </w:t>
      </w:r>
      <w:r w:rsidR="00C13AE7">
        <w:t xml:space="preserve">model </w:t>
      </w:r>
      <w:r w:rsidR="00002E4A">
        <w:t>then qualifications that focus</w:t>
      </w:r>
      <w:r>
        <w:t xml:space="preserve"> on the specific competencies needed for specific work place tasks and roles </w:t>
      </w:r>
      <w:r w:rsidR="008072BD">
        <w:t>will dominate. Not only is this a cheaper model of education, but it also facilitates fragmentation of occupational roles throu</w:t>
      </w:r>
      <w:r w:rsidR="00C13AE7">
        <w:t>gh their further specification.</w:t>
      </w:r>
    </w:p>
    <w:p w14:paraId="7E81ABE3" w14:textId="13DBE11A" w:rsidR="008072BD" w:rsidRDefault="008072BD" w:rsidP="00837D17">
      <w:pPr>
        <w:pStyle w:val="Text"/>
      </w:pPr>
      <w:r>
        <w:t xml:space="preserve">However, while occupational fragmentation may be achievable in institutions where workers are collocated and tasks and roles can be achieved through tight specifications of roles, such an </w:t>
      </w:r>
      <w:r w:rsidR="002D4B77">
        <w:t xml:space="preserve">approach is less suited to </w:t>
      </w:r>
      <w:proofErr w:type="gramStart"/>
      <w:r w:rsidR="002D4B77">
        <w:t>home</w:t>
      </w:r>
      <w:proofErr w:type="gramEnd"/>
      <w:r w:rsidR="002D4B77">
        <w:t xml:space="preserve"> </w:t>
      </w:r>
      <w:r>
        <w:t>based and community based care.</w:t>
      </w:r>
      <w:r w:rsidR="0029088B">
        <w:t xml:space="preserve"> In this instance, generalist and highly skilled </w:t>
      </w:r>
      <w:r w:rsidR="004D1D8A">
        <w:t xml:space="preserve">autonomous </w:t>
      </w:r>
      <w:r w:rsidR="0029088B">
        <w:t xml:space="preserve">workers are needed who can respond to </w:t>
      </w:r>
      <w:r w:rsidR="00577067">
        <w:t xml:space="preserve">the </w:t>
      </w:r>
      <w:r w:rsidR="0029088B">
        <w:t>diverse and complicated needs of those with whom they are working, and exercise judgement and discretion.</w:t>
      </w:r>
    </w:p>
    <w:p w14:paraId="4FAC0E03" w14:textId="5D357984" w:rsidR="00F92F06" w:rsidRPr="0029088B" w:rsidRDefault="0029088B" w:rsidP="00837D17">
      <w:pPr>
        <w:pStyle w:val="Text"/>
      </w:pPr>
      <w:r>
        <w:t>Finally, to return to the vexed question of how to define the vocational stream in health and community services – is there one or two (or three)? While objectively there are commo</w:t>
      </w:r>
      <w:r w:rsidR="002D4B77">
        <w:t xml:space="preserve">nalities between workers in </w:t>
      </w:r>
      <w:r w:rsidR="00572455">
        <w:t>mid-level</w:t>
      </w:r>
      <w:r w:rsidR="002D4B77">
        <w:t xml:space="preserve"> occupations requiring </w:t>
      </w:r>
      <w:r w:rsidR="00572455">
        <w:t>mid-level</w:t>
      </w:r>
      <w:r>
        <w:t xml:space="preserve"> qualifications, the structure of the labour market and industry is different in each, and this presents a real obstacle</w:t>
      </w:r>
      <w:r w:rsidR="00FD646C">
        <w:t xml:space="preserve"> </w:t>
      </w:r>
      <w:r w:rsidR="002D4B77">
        <w:t xml:space="preserve">to </w:t>
      </w:r>
      <w:r>
        <w:t>develop</w:t>
      </w:r>
      <w:r w:rsidR="00FD646C">
        <w:t>ing</w:t>
      </w:r>
      <w:r>
        <w:t xml:space="preserve"> one vocational stream. Nursing is a regulated occupational labour market, whereas </w:t>
      </w:r>
      <w:proofErr w:type="gramStart"/>
      <w:r>
        <w:t>community services is</w:t>
      </w:r>
      <w:proofErr w:type="gramEnd"/>
      <w:r>
        <w:t xml:space="preserve"> more unregulated and occupations and qualifications are more fluid, although there is pressure for </w:t>
      </w:r>
      <w:r>
        <w:lastRenderedPageBreak/>
        <w:t>greater regulation in various occupations to support standards and public safety.  Yu et al. (2013, p.19) found in this field ‘</w:t>
      </w:r>
      <w:r w:rsidRPr="00EC31B8">
        <w:t xml:space="preserve">that links between occupations can be forged </w:t>
      </w:r>
      <w:r>
        <w:t>in incremental, i</w:t>
      </w:r>
      <w:r w:rsidR="002D4B77">
        <w:t>nnovative ways’. O</w:t>
      </w:r>
      <w:r>
        <w:t xml:space="preserve">vercoming occupational segmentation </w:t>
      </w:r>
      <w:r>
        <w:rPr>
          <w:i/>
        </w:rPr>
        <w:t>within</w:t>
      </w:r>
      <w:r>
        <w:t xml:space="preserve"> community services between different care professions may well </w:t>
      </w:r>
      <w:r w:rsidR="00FD646C">
        <w:t xml:space="preserve">be </w:t>
      </w:r>
      <w:r>
        <w:t>the basis for building a vocational</w:t>
      </w:r>
      <w:r w:rsidR="00412735">
        <w:t xml:space="preserve"> stream, one that is able to engage in more meaningful dialogue with the health industry over time.</w:t>
      </w:r>
    </w:p>
    <w:p w14:paraId="16A26E52" w14:textId="101ED671" w:rsidR="00903D4D" w:rsidRPr="00903D4D" w:rsidRDefault="00903D4D" w:rsidP="00837D17">
      <w:pPr>
        <w:pStyle w:val="Text"/>
      </w:pPr>
      <w:r>
        <w:t>Given the differences between the two vocational streams (nursing within health</w:t>
      </w:r>
      <w:r w:rsidR="002D4B77">
        <w:t>,</w:t>
      </w:r>
      <w:r>
        <w:t xml:space="preserve"> and community services), qualifications need to reflect the different challenges workers face in engaging in educational and occu</w:t>
      </w:r>
      <w:r w:rsidR="002D4B77">
        <w:t xml:space="preserve">pational progression. While </w:t>
      </w:r>
      <w:r w:rsidR="00572455">
        <w:t>mid-level</w:t>
      </w:r>
      <w:r>
        <w:t xml:space="preserve"> qualifications in both vocational streams need to fulfil all three roles of qualifications (as a labour market qualification, to support higher level studies, and to support equity) the </w:t>
      </w:r>
      <w:r>
        <w:rPr>
          <w:i/>
        </w:rPr>
        <w:t>curricular</w:t>
      </w:r>
      <w:r w:rsidR="00AD4184">
        <w:t xml:space="preserve"> implications are that </w:t>
      </w:r>
      <w:r w:rsidR="00572455">
        <w:t>mid-level</w:t>
      </w:r>
      <w:r>
        <w:t xml:space="preserve"> qualifications in community services need to prepare students for a broader range of occupational outcomes than those in nursing, given the very weak link between diplomas and above in community services an</w:t>
      </w:r>
      <w:r w:rsidR="00AD4184">
        <w:t xml:space="preserve">d jobs. Conceiving of these </w:t>
      </w:r>
      <w:r w:rsidR="00572455">
        <w:t>mid-level</w:t>
      </w:r>
      <w:r>
        <w:t xml:space="preserve"> qualifications as preparation for the community services industry and care work more broadly may improve the connection between diplomas and occupations while at the same time giving graduates more options, including within the community services industry more broadly.</w:t>
      </w:r>
    </w:p>
    <w:p w14:paraId="706F0279" w14:textId="77777777" w:rsidR="002C6037" w:rsidRDefault="002C6037">
      <w:pPr>
        <w:spacing w:before="0" w:line="240" w:lineRule="auto"/>
      </w:pPr>
      <w:r>
        <w:br w:type="page"/>
      </w:r>
    </w:p>
    <w:p w14:paraId="6DBECF1F" w14:textId="77777777" w:rsidR="002C6037" w:rsidRDefault="002C6037" w:rsidP="002C6037">
      <w:pPr>
        <w:pStyle w:val="Heading1"/>
      </w:pPr>
      <w:bookmarkStart w:id="30" w:name="_Toc248492883"/>
      <w:bookmarkStart w:id="31" w:name="_Toc257836744"/>
      <w:r>
        <w:lastRenderedPageBreak/>
        <w:t>Agriculture</w:t>
      </w:r>
      <w:bookmarkEnd w:id="30"/>
      <w:bookmarkEnd w:id="31"/>
      <w:r>
        <w:t xml:space="preserve"> </w:t>
      </w:r>
    </w:p>
    <w:p w14:paraId="4C1CB925" w14:textId="71BA65FD" w:rsidR="002C6037" w:rsidRDefault="002C6037" w:rsidP="002C6037">
      <w:pPr>
        <w:pStyle w:val="Text"/>
      </w:pPr>
      <w:r w:rsidRPr="00CB7169">
        <w:t xml:space="preserve">This </w:t>
      </w:r>
      <w:r>
        <w:t>chapter</w:t>
      </w:r>
      <w:r w:rsidRPr="00CB7169">
        <w:t xml:space="preserve"> considers the knowledge, skills and attributes those working in agriculture will need as the industry changes, how we can support career progression, and the type of qualifications that will be needed as a result. It proposes a new approach to</w:t>
      </w:r>
      <w:r w:rsidR="00100EBE">
        <w:t xml:space="preserve"> </w:t>
      </w:r>
      <w:r w:rsidR="00572455">
        <w:t>mid-level</w:t>
      </w:r>
      <w:r w:rsidRPr="00CB7169">
        <w:t xml:space="preserve"> qualifications in ag</w:t>
      </w:r>
      <w:r w:rsidR="00100EBE">
        <w:t>riculture</w:t>
      </w:r>
      <w:r>
        <w:t xml:space="preserve"> that was</w:t>
      </w:r>
      <w:r w:rsidRPr="00CB7169">
        <w:t xml:space="preserve"> </w:t>
      </w:r>
      <w:r>
        <w:t xml:space="preserve">developed out of the findings and insights from the first two years of the vocations project and that was </w:t>
      </w:r>
      <w:r w:rsidRPr="00CB7169">
        <w:t xml:space="preserve">tested in consultations with the qualifications’ social partners: educators, employers, unions and government and professional and occupational bodies. It </w:t>
      </w:r>
      <w:r>
        <w:t>discusses</w:t>
      </w:r>
      <w:r w:rsidRPr="00CB7169">
        <w:t xml:space="preserve"> the extent to which there is support for basing qualifications on capabilities and on vocational streams. </w:t>
      </w:r>
      <w:r>
        <w:t>As discussed in the introduction to this document and throughout the project, c</w:t>
      </w:r>
      <w:r w:rsidR="00577F25">
        <w:t xml:space="preserve">apabilities refer to the broad </w:t>
      </w:r>
      <w:r w:rsidRPr="00CB7169">
        <w:t xml:space="preserve">ranging knowledge, skills and attributes needed for a career, </w:t>
      </w:r>
      <w:r>
        <w:t xml:space="preserve">and the social arrangements that can support these, </w:t>
      </w:r>
      <w:r w:rsidRPr="00CB7169">
        <w:t>whereas vocational streams refer to families of linked occupations</w:t>
      </w:r>
      <w:r w:rsidR="00721F1E">
        <w:t xml:space="preserve"> which share common knowledge, skills, practices and attributes</w:t>
      </w:r>
      <w:r w:rsidRPr="00CB7169">
        <w:t>.</w:t>
      </w:r>
      <w:r>
        <w:t xml:space="preserve"> </w:t>
      </w:r>
    </w:p>
    <w:p w14:paraId="04F7950A" w14:textId="7DD18C98" w:rsidR="002C6037" w:rsidRDefault="002C6037" w:rsidP="002C6037">
      <w:pPr>
        <w:pStyle w:val="Text"/>
      </w:pPr>
      <w:r>
        <w:t xml:space="preserve">This chapter firstly outlines the methods used, which are discussed more fully in the introduction to </w:t>
      </w:r>
      <w:r w:rsidR="00837B30">
        <w:t>the case studies</w:t>
      </w:r>
      <w:r>
        <w:t>, and the participants consulted for this final stage of the agricultural case study of strand two of the project. The chapter then discusses the key themes emerging from our analysis of the data used throughout the project. The chapter then concludes by assessing our proposals for quali</w:t>
      </w:r>
      <w:r w:rsidR="00577F25">
        <w:t>fications in agriculture</w:t>
      </w:r>
      <w:r>
        <w:t xml:space="preserve">.  </w:t>
      </w:r>
    </w:p>
    <w:p w14:paraId="291D56E2" w14:textId="77777777" w:rsidR="002C6037" w:rsidRDefault="002C6037" w:rsidP="002C6037">
      <w:pPr>
        <w:pStyle w:val="Heading2"/>
      </w:pPr>
      <w:bookmarkStart w:id="32" w:name="_Toc248492884"/>
      <w:bookmarkStart w:id="33" w:name="_Toc257836745"/>
      <w:r>
        <w:t>Method, proposals and participants</w:t>
      </w:r>
      <w:bookmarkEnd w:id="32"/>
      <w:bookmarkEnd w:id="33"/>
      <w:r>
        <w:t xml:space="preserve"> </w:t>
      </w:r>
    </w:p>
    <w:p w14:paraId="659AE30F" w14:textId="756FE12A" w:rsidR="002C6037" w:rsidRDefault="002C6037" w:rsidP="002C6037">
      <w:pPr>
        <w:pStyle w:val="Text"/>
      </w:pPr>
      <w:r>
        <w:t>As outlined in the introduction, the discussion papers outlined our general proposals</w:t>
      </w:r>
      <w:r w:rsidR="00577F25">
        <w:t>: (1)</w:t>
      </w:r>
      <w:r>
        <w:t xml:space="preserve"> to base qualificatio</w:t>
      </w:r>
      <w:r w:rsidR="00577F25">
        <w:t>ns on the capabilities approach, (2) to link qualifications into</w:t>
      </w:r>
      <w:r>
        <w:t xml:space="preserve"> vocational streams</w:t>
      </w:r>
      <w:r w:rsidR="00577F25">
        <w:t>,</w:t>
      </w:r>
      <w:r>
        <w:t xml:space="preserve"> and </w:t>
      </w:r>
      <w:r w:rsidR="00577F25">
        <w:t xml:space="preserve">(3) to vary as appropriate for each qualification the emphasis on each of the </w:t>
      </w:r>
      <w:r w:rsidR="009E283F">
        <w:t xml:space="preserve">three purposes of </w:t>
      </w:r>
      <w:r w:rsidR="00577F25">
        <w:t xml:space="preserve">qualifications: </w:t>
      </w:r>
      <w:r w:rsidR="009E283F">
        <w:t>labour market</w:t>
      </w:r>
      <w:r>
        <w:t xml:space="preserve"> entry or progression, transitions to higher level qualifications and widening access</w:t>
      </w:r>
      <w:r w:rsidR="00C81F97">
        <w:t xml:space="preserve"> to higher level qualifications</w:t>
      </w:r>
      <w:r>
        <w:t xml:space="preserve">. </w:t>
      </w:r>
    </w:p>
    <w:p w14:paraId="020590D1" w14:textId="2C207712" w:rsidR="002C6037" w:rsidRDefault="002C6037" w:rsidP="002C6037">
      <w:pPr>
        <w:pStyle w:val="Text"/>
      </w:pPr>
      <w:r>
        <w:t>The discussion papers for each industry case study also made proposals specific to that area. In agriculture, we proposed to participants, first, that qualifications in agriculture be developed regionally. This r</w:t>
      </w:r>
      <w:r w:rsidR="00E02A97">
        <w:t>esponds to the marked differences in agriculture between</w:t>
      </w:r>
      <w:r>
        <w:t xml:space="preserve"> region</w:t>
      </w:r>
      <w:r w:rsidR="00E02A97">
        <w:t>s</w:t>
      </w:r>
      <w:r>
        <w:t>. But it also responds to the social and political facts that people in regional communities organise regionally far more than people in big metropolitan centres who organise more by their economic and social sector. Thus, the team found that the dominant theme in the agricultural industries was regional capabilities which emerged strongly where commonalities in local skills and knowledge extend across agricultural, local government and mining operations</w:t>
      </w:r>
      <w:r w:rsidR="009E283F">
        <w:t xml:space="preserve"> as</w:t>
      </w:r>
      <w:r>
        <w:t xml:space="preserve"> in Emerald, Queensland, </w:t>
      </w:r>
      <w:r>
        <w:fldChar w:fldCharType="begin"/>
      </w:r>
      <w:r>
        <w:instrText xml:space="preserve"> ADDIN EN.CITE &lt;EndNote&gt;&lt;Cite&gt;&lt;Author&gt;Yu&lt;/Author&gt;&lt;Year&gt;2012&lt;/Year&gt;&lt;RecNum&gt;189&lt;/RecNum&gt;&lt;Suffix&gt;`, p. 4&lt;/Suffix&gt;&lt;DisplayText&gt;(Yu et al., 2012a, p. 4)&lt;/DisplayText&gt;&lt;record&gt;&lt;rec-number&gt;189&lt;/rec-number&gt;&lt;foreign-keys&gt;&lt;key app="EN" db-id="0xrr5a5zkrxdw5esxr55w5a79ptftt5a20fr"&gt;189&lt;/key&gt;&lt;/foreign-keys&gt;&lt;ref-type name="Report"&gt;27&lt;/ref-type&gt;&lt;contributors&gt;&lt;authors&gt;&lt;author&gt;Yu, Serena&lt;/author&gt;&lt;author&gt;Bretherton, Tanya&lt;/author&gt;&lt;author&gt;Schultz, Hanna&lt;/author&gt;&lt;/authors&gt;&lt;/contributors&gt;&lt;titles&gt;&lt;title&gt;Vocational trajectories within the Australian labour market&lt;/title&gt;&lt;/titles&gt;&lt;keywords&gt;&lt;keyword&gt;Vocations&lt;/keyword&gt;&lt;keyword&gt;Pathways&lt;/keyword&gt;&lt;keyword&gt;work and learning&lt;/keyword&gt;&lt;keyword&gt;Occupational selection&lt;/keyword&gt;&lt;/keywords&gt;&lt;dates&gt;&lt;year&gt;2012&lt;/year&gt;&lt;/dates&gt;&lt;pub-location&gt;Adelaide&lt;/pub-location&gt;&lt;publisher&gt;National Centre for Vocational Education Research&lt;/publisher&gt;&lt;urls&gt;&lt;related-urls&gt;&lt;url&gt;http://www.ncver.edu.au/publications/2557.html&lt;/url&gt;&lt;/related-urls&gt;&lt;/urls&gt;&lt;access-date&gt;8 November 2012&lt;/access-date&gt;&lt;/record&gt;&lt;/Cite&gt;&lt;/EndNote&gt;</w:instrText>
      </w:r>
      <w:r>
        <w:fldChar w:fldCharType="separate"/>
      </w:r>
      <w:r>
        <w:rPr>
          <w:noProof/>
        </w:rPr>
        <w:t>(</w:t>
      </w:r>
      <w:hyperlink w:anchor="_ENREF_29" w:tooltip="Yu, 2012 #189" w:history="1">
        <w:r w:rsidR="00B03184">
          <w:rPr>
            <w:noProof/>
          </w:rPr>
          <w:t>Yu et al. 2012a, p. 4</w:t>
        </w:r>
      </w:hyperlink>
      <w:r>
        <w:rPr>
          <w:noProof/>
        </w:rPr>
        <w:t>)</w:t>
      </w:r>
      <w:r>
        <w:fldChar w:fldCharType="end"/>
      </w:r>
      <w:r>
        <w:t>.</w:t>
      </w:r>
    </w:p>
    <w:p w14:paraId="2A9157A7" w14:textId="3AE880B4" w:rsidR="002C6037" w:rsidRDefault="002C6037" w:rsidP="002C6037">
      <w:pPr>
        <w:pStyle w:val="Text"/>
      </w:pPr>
      <w:r>
        <w:t>The team proposed, secondly, that qualifications be developed to promote graduates’ horizontal flexibility, that is, their capacity to work in different industries as the demand for skills changes seasonally. This is being done wit</w:t>
      </w:r>
      <w:r w:rsidR="00943998">
        <w:t xml:space="preserve">hin one qualification for entry </w:t>
      </w:r>
      <w:r>
        <w:t xml:space="preserve">level qualifications, such as the certificate III in rural operations which prepares graduates for entry to and progression in both the agriculture and mining industries </w:t>
      </w:r>
      <w:r>
        <w:fldChar w:fldCharType="begin"/>
      </w:r>
      <w:r>
        <w:instrText xml:space="preserve"> ADDIN EN.CITE &lt;EndNote&gt;&lt;Cite&gt;&lt;Author&gt;Yu&lt;/Author&gt;&lt;Year&gt;2012&lt;/Year&gt;&lt;RecNum&gt;189&lt;/RecNum&gt;&lt;Suffix&gt;`, p. 30&lt;/Suffix&gt;&lt;DisplayText&gt;(Yu et al., 2012a, p. 30)&lt;/DisplayText&gt;&lt;record&gt;&lt;rec-number&gt;189&lt;/rec-number&gt;&lt;foreign-keys&gt;&lt;key app="EN" db-id="0xrr5a5zkrxdw5esxr55w5a79ptftt5a20fr"&gt;189&lt;/key&gt;&lt;/foreign-keys&gt;&lt;ref-type name="Report"&gt;27&lt;/ref-type&gt;&lt;contributors&gt;&lt;authors&gt;&lt;author&gt;Yu, Serena&lt;/author&gt;&lt;author&gt;Bretherton, Tanya&lt;/author&gt;&lt;author&gt;Schultz, Hanna&lt;/author&gt;&lt;/authors&gt;&lt;/contributors&gt;&lt;titles&gt;&lt;title&gt;Vocational trajectories within the Australian labour market&lt;/title&gt;&lt;/titles&gt;&lt;keywords&gt;&lt;keyword&gt;Vocations&lt;/keyword&gt;&lt;keyword&gt;Pathways&lt;/keyword&gt;&lt;keyword&gt;work and learning&lt;/keyword&gt;&lt;keyword&gt;Occupational selection&lt;/keyword&gt;&lt;/keywords&gt;&lt;dates&gt;&lt;year&gt;2012&lt;/year&gt;&lt;/dates&gt;&lt;pub-location&gt;Adelaide&lt;/pub-location&gt;&lt;publisher&gt;National Centre for Vocational Education Research&lt;/publisher&gt;&lt;urls&gt;&lt;related-urls&gt;&lt;url&gt;http://www.ncver.edu.au/publications/2557.html&lt;/url&gt;&lt;/related-urls&gt;&lt;/urls&gt;&lt;access-date&gt;8 November 2012&lt;/access-date&gt;&lt;/record&gt;&lt;/Cite&gt;&lt;/EndNote&gt;</w:instrText>
      </w:r>
      <w:r>
        <w:fldChar w:fldCharType="separate"/>
      </w:r>
      <w:r>
        <w:rPr>
          <w:noProof/>
        </w:rPr>
        <w:t>(</w:t>
      </w:r>
      <w:hyperlink w:anchor="_ENREF_29" w:tooltip="Yu, 2012 #189" w:history="1">
        <w:r w:rsidR="00B03184">
          <w:rPr>
            <w:noProof/>
          </w:rPr>
          <w:t>Yu et al. 2012a, p. 30</w:t>
        </w:r>
      </w:hyperlink>
      <w:r>
        <w:rPr>
          <w:noProof/>
        </w:rPr>
        <w:t>)</w:t>
      </w:r>
      <w:r>
        <w:fldChar w:fldCharType="end"/>
      </w:r>
      <w:r>
        <w:t xml:space="preserve">. Horizontal flexibility at higher levels is </w:t>
      </w:r>
      <w:r w:rsidR="00943998">
        <w:t>often</w:t>
      </w:r>
      <w:r>
        <w:t xml:space="preserve"> achieved with joint qualifications, such as the University of New England’s bachelor of agriculture/bachelor of business. </w:t>
      </w:r>
    </w:p>
    <w:p w14:paraId="24DC5E37" w14:textId="4AC6E0DB" w:rsidR="002C6037" w:rsidRDefault="002C6037" w:rsidP="002C6037">
      <w:pPr>
        <w:pStyle w:val="Text"/>
      </w:pPr>
      <w:r>
        <w:t>Thirdly, the team proposed that vertical flexibility and hopefully occupational progression be fostered by offering qualificat</w:t>
      </w:r>
      <w:r w:rsidR="00943998">
        <w:t xml:space="preserve">ions which either include higher </w:t>
      </w:r>
      <w:r>
        <w:t>level studies or prepare grad</w:t>
      </w:r>
      <w:r w:rsidR="00943998">
        <w:t xml:space="preserve">uates for progression to higher </w:t>
      </w:r>
      <w:r>
        <w:t>level studies. An examp</w:t>
      </w:r>
      <w:r w:rsidR="00943998">
        <w:t xml:space="preserve">le might be a </w:t>
      </w:r>
      <w:r w:rsidR="00572455">
        <w:t>mid-level</w:t>
      </w:r>
      <w:r>
        <w:t xml:space="preserve"> qualification in agriculture which </w:t>
      </w:r>
      <w:r>
        <w:lastRenderedPageBreak/>
        <w:t>combined studies in office management and accounting which provides a pathway to professional recognition as an accountant. Another possibility might be joint vocational and higher education programs such as a diploma of agriculture/associate degree in business management.</w:t>
      </w:r>
    </w:p>
    <w:p w14:paraId="35172578" w14:textId="77777777" w:rsidR="002C6037" w:rsidRDefault="002C6037" w:rsidP="002C6037">
      <w:pPr>
        <w:pStyle w:val="Text"/>
      </w:pPr>
      <w:r>
        <w:t xml:space="preserve">The seven participants chosen as representing a range of </w:t>
      </w:r>
      <w:r w:rsidR="00791602">
        <w:t xml:space="preserve">interests </w:t>
      </w:r>
      <w:r>
        <w:t xml:space="preserve">and contrasting views in agricultural education and work consisted of: </w:t>
      </w:r>
    </w:p>
    <w:p w14:paraId="54053CFE" w14:textId="77777777" w:rsidR="002C6037" w:rsidRDefault="002C6037" w:rsidP="002C6037">
      <w:pPr>
        <w:pStyle w:val="Dotpoint1"/>
        <w:ind w:left="284" w:hanging="284"/>
      </w:pPr>
      <w:r>
        <w:t>Three educators:</w:t>
      </w:r>
    </w:p>
    <w:p w14:paraId="6801B24A" w14:textId="039D6C7B" w:rsidR="002C6037" w:rsidRDefault="002C6037" w:rsidP="002C6037">
      <w:pPr>
        <w:pStyle w:val="Dotpoint2"/>
        <w:ind w:left="568" w:hanging="284"/>
      </w:pPr>
      <w:r>
        <w:t>A former higher education dean of agriculture;</w:t>
      </w:r>
    </w:p>
    <w:p w14:paraId="2421AECE" w14:textId="77777777" w:rsidR="002C6037" w:rsidRDefault="002C6037" w:rsidP="002C6037">
      <w:pPr>
        <w:pStyle w:val="Dotpoint2"/>
        <w:ind w:left="568" w:hanging="284"/>
      </w:pPr>
      <w:r>
        <w:t>A higher education agriculture bachelor program course coordinator;</w:t>
      </w:r>
    </w:p>
    <w:p w14:paraId="3B3BDA38" w14:textId="77777777" w:rsidR="002C6037" w:rsidRDefault="002C6037" w:rsidP="002C6037">
      <w:pPr>
        <w:pStyle w:val="Dotpoint2"/>
        <w:ind w:left="568" w:hanging="284"/>
      </w:pPr>
      <w:r>
        <w:t>A TAFE agriculture head teacher;</w:t>
      </w:r>
    </w:p>
    <w:p w14:paraId="022F77D4" w14:textId="77777777" w:rsidR="002C6037" w:rsidRDefault="002C6037" w:rsidP="002C6037">
      <w:pPr>
        <w:pStyle w:val="Dotpoint1"/>
        <w:ind w:left="284" w:hanging="284"/>
      </w:pPr>
      <w:r>
        <w:t xml:space="preserve">Four representatives of </w:t>
      </w:r>
      <w:r w:rsidR="005A459A">
        <w:t xml:space="preserve">groups </w:t>
      </w:r>
      <w:r>
        <w:t>involved in agricultural work with a particular focus on education and training:</w:t>
      </w:r>
    </w:p>
    <w:p w14:paraId="7214BF8D" w14:textId="77777777" w:rsidR="002C6037" w:rsidRDefault="002C6037" w:rsidP="002C6037">
      <w:pPr>
        <w:pStyle w:val="Dotpoint2"/>
        <w:ind w:left="568" w:hanging="284"/>
      </w:pPr>
      <w:r>
        <w:t>One union organiser who is also involved in the relevant industry skills council;</w:t>
      </w:r>
    </w:p>
    <w:p w14:paraId="210585A1" w14:textId="77777777" w:rsidR="002C6037" w:rsidRDefault="002C6037" w:rsidP="002C6037">
      <w:pPr>
        <w:pStyle w:val="Dotpoint2"/>
        <w:ind w:left="568" w:hanging="284"/>
      </w:pPr>
      <w:r>
        <w:t>A consultant for agricultural employers;</w:t>
      </w:r>
    </w:p>
    <w:p w14:paraId="6BE43033" w14:textId="77777777" w:rsidR="002C6037" w:rsidRDefault="002C6037" w:rsidP="002C6037">
      <w:pPr>
        <w:pStyle w:val="Dotpoint2"/>
        <w:ind w:left="568" w:hanging="284"/>
      </w:pPr>
      <w:r>
        <w:t>A consultant for the relevant industry skills council;</w:t>
      </w:r>
    </w:p>
    <w:p w14:paraId="2C1A1601" w14:textId="77777777" w:rsidR="002C6037" w:rsidRDefault="002C6037" w:rsidP="002C6037">
      <w:pPr>
        <w:pStyle w:val="Dotpoint2"/>
        <w:ind w:left="568" w:hanging="284"/>
      </w:pPr>
      <w:r>
        <w:t xml:space="preserve">An education and training consultant. </w:t>
      </w:r>
    </w:p>
    <w:p w14:paraId="7FCAF967" w14:textId="77777777" w:rsidR="002C6037" w:rsidRDefault="002C6037" w:rsidP="002C6037">
      <w:pPr>
        <w:pStyle w:val="Text"/>
      </w:pPr>
      <w:r>
        <w:t>The next sections of the chapter discuss the key themes that emerged from our participant interviews and our synthesis of this data with our findings from the first</w:t>
      </w:r>
      <w:r w:rsidR="009E283F">
        <w:t xml:space="preserve"> two years of the project.</w:t>
      </w:r>
    </w:p>
    <w:p w14:paraId="28CEEAD7" w14:textId="0899014F" w:rsidR="002C6037" w:rsidRDefault="002C6037" w:rsidP="002C6037">
      <w:pPr>
        <w:pStyle w:val="Heading2"/>
      </w:pPr>
      <w:bookmarkStart w:id="34" w:name="_Toc248492885"/>
      <w:bookmarkStart w:id="35" w:name="_Toc257836746"/>
      <w:r>
        <w:t xml:space="preserve">The changing nature of agriculture and the </w:t>
      </w:r>
      <w:r w:rsidR="00943998">
        <w:t>need</w:t>
      </w:r>
      <w:r>
        <w:t xml:space="preserve"> for change</w:t>
      </w:r>
      <w:bookmarkEnd w:id="34"/>
      <w:bookmarkEnd w:id="35"/>
    </w:p>
    <w:p w14:paraId="25140EDA" w14:textId="6BD77702" w:rsidR="002C6037" w:rsidRDefault="002C6037" w:rsidP="002C6037">
      <w:pPr>
        <w:pStyle w:val="Text"/>
      </w:pPr>
      <w:r>
        <w:t>A number of recent reports have examined the agricultural indu</w:t>
      </w:r>
      <w:r w:rsidR="00943998">
        <w:t xml:space="preserve">stry, </w:t>
      </w:r>
      <w:r w:rsidR="009E283F">
        <w:t>the nature of its work</w:t>
      </w:r>
      <w:r w:rsidR="00943998">
        <w:t xml:space="preserve">force, and its education, </w:t>
      </w:r>
      <w:r>
        <w:t xml:space="preserve">training and skills development needs. The importance of agriculture at a time of global population growth and climate change is widely recognised, not just for the national economy but also as increasingly central to international relations, with a vital role in both trade and aid. The development of agriculture in the most efficient and sustainable way however faces a number of challenges. Agriculture consists of a looser and more externally structured labour market than most other industries, with the prevalence of small firms, barriers to advancement and insecure work, making overall planning difficult. Similar to other areas of work however (discussed in the next chapter </w:t>
      </w:r>
      <w:r w:rsidR="009E283F">
        <w:t>on</w:t>
      </w:r>
      <w:r>
        <w:t xml:space="preserve"> engineering), there has been a decline in former modes of training. In agriculture there has been a marked decline in state government provision of advice and informal training known as ‘extension services’. Also </w:t>
      </w:r>
      <w:r w:rsidR="005A459A">
        <w:t>similarly</w:t>
      </w:r>
      <w:r>
        <w:t xml:space="preserve"> </w:t>
      </w:r>
      <w:r w:rsidR="005A459A">
        <w:t>with</w:t>
      </w:r>
      <w:r>
        <w:t xml:space="preserve"> other industries</w:t>
      </w:r>
      <w:r w:rsidR="005A459A">
        <w:t>,</w:t>
      </w:r>
      <w:r>
        <w:t xml:space="preserve"> </w:t>
      </w:r>
      <w:r w:rsidR="008E489D">
        <w:t xml:space="preserve">a </w:t>
      </w:r>
      <w:r>
        <w:t xml:space="preserve">decline of these former modes of training and education has happened concurrently with technological change and industry restructuring which necessitates new and often more complex forms of skill and knowledge. Broad development of knowledge and skills however appears to be quite a challenge in an industry that faces an ageing of </w:t>
      </w:r>
      <w:r w:rsidR="008E489D">
        <w:t xml:space="preserve">its </w:t>
      </w:r>
      <w:r>
        <w:t xml:space="preserve">workforce </w:t>
      </w:r>
      <w:r w:rsidR="00943998">
        <w:t xml:space="preserve">and declining enrolments in </w:t>
      </w:r>
      <w:r w:rsidR="00572455">
        <w:t>mid-level</w:t>
      </w:r>
      <w:r>
        <w:t xml:space="preserve"> qualifications in recent years </w:t>
      </w:r>
      <w:r>
        <w:fldChar w:fldCharType="begin">
          <w:fldData xml:space="preserve">PEVuZE5vdGU+PENpdGU+PEF1dGhvcj5BQ0lMIEFsbGVuIENvbnN1bHRpbmcgR3JvdXA8L0F1dGhv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</w:fldData>
        </w:fldChar>
      </w:r>
      <w:r>
        <w:instrText xml:space="preserve"> ADDIN EN.CITE </w:instrText>
      </w:r>
      <w:r>
        <w:fldChar w:fldCharType="begin">
          <w:fldData xml:space="preserve">PEVuZE5vdGU+PENpdGU+PEF1dGhvcj5BQ0lMIEFsbGVuIENvbnN1bHRpbmcgR3JvdXA8L0F1dGhv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</w:fldData>
        </w:fldChar>
      </w:r>
      <w:r>
        <w:instrText xml:space="preserve"> ADDIN EN.CITE.DATA </w:instrText>
      </w:r>
      <w:r>
        <w:fldChar w:fldCharType="end"/>
      </w:r>
      <w:r>
        <w:fldChar w:fldCharType="separate"/>
      </w:r>
      <w:r>
        <w:rPr>
          <w:noProof/>
        </w:rPr>
        <w:t>(</w:t>
      </w:r>
      <w:hyperlink w:anchor="_ENREF_1" w:tooltip="ACIL Allen Consulting Group, 2012 #319" w:history="1">
        <w:r w:rsidR="00B03184">
          <w:rPr>
            <w:noProof/>
          </w:rPr>
          <w:t>ACIL Allen Consulting Group 2012</w:t>
        </w:r>
      </w:hyperlink>
      <w:r>
        <w:rPr>
          <w:noProof/>
        </w:rPr>
        <w:t xml:space="preserve">; </w:t>
      </w:r>
      <w:hyperlink w:anchor="_ENREF_4" w:tooltip="Australian Workforce Productivity Agency [AWPA], 2013 #318" w:history="1">
        <w:r w:rsidR="00B03184">
          <w:rPr>
            <w:noProof/>
          </w:rPr>
          <w:t>AWPA</w:t>
        </w:r>
        <w:r w:rsidR="008E489D">
          <w:rPr>
            <w:noProof/>
          </w:rPr>
          <w:t xml:space="preserve"> </w:t>
        </w:r>
        <w:r w:rsidR="00B03184">
          <w:rPr>
            <w:noProof/>
          </w:rPr>
          <w:t>2013a</w:t>
        </w:r>
      </w:hyperlink>
      <w:r>
        <w:rPr>
          <w:noProof/>
        </w:rPr>
        <w:t xml:space="preserve">; </w:t>
      </w:r>
      <w:hyperlink w:anchor="_ENREF_22" w:tooltip="Pratley, 2012 #320" w:history="1">
        <w:r w:rsidR="00B03184">
          <w:rPr>
            <w:noProof/>
          </w:rPr>
          <w:t>Pratley 2012</w:t>
        </w:r>
      </w:hyperlink>
      <w:r>
        <w:rPr>
          <w:noProof/>
        </w:rPr>
        <w:t>)</w:t>
      </w:r>
      <w:r>
        <w:fldChar w:fldCharType="end"/>
      </w:r>
      <w:r>
        <w:t xml:space="preserve">. </w:t>
      </w:r>
    </w:p>
    <w:p w14:paraId="0D8A8562" w14:textId="191D305B" w:rsidR="002C6037" w:rsidRDefault="002C6037" w:rsidP="002C6037">
      <w:pPr>
        <w:pStyle w:val="Text"/>
      </w:pPr>
      <w:r>
        <w:t>In the first sta</w:t>
      </w:r>
      <w:r w:rsidR="00943998">
        <w:t>ge of the v</w:t>
      </w:r>
      <w:r w:rsidR="009E283F">
        <w:t>ocation project, S</w:t>
      </w:r>
      <w:r>
        <w:t xml:space="preserve">trand 3 </w:t>
      </w:r>
      <w:r w:rsidRPr="002D7D35">
        <w:t xml:space="preserve">analysed data from the survey of Household, Income and Labour Dynamics in Australia to examine occupational trajectories in different industries over the period 2001–2009 covered by the longitudinal survey. It found that those involved in agriculture at some time over 2001–2009 </w:t>
      </w:r>
      <w:r w:rsidR="008E489D">
        <w:t>had</w:t>
      </w:r>
      <w:r w:rsidRPr="002D7D35">
        <w:t xml:space="preserve"> the same broad occupational role for all or most of this period, rather than </w:t>
      </w:r>
      <w:r w:rsidR="008E489D">
        <w:t>move</w:t>
      </w:r>
      <w:r w:rsidRPr="002D7D35">
        <w:t xml:space="preserve"> between roles. This included 36% of respondents who were farm managers, 9% who were professionals, 9.1% who were trade workers, </w:t>
      </w:r>
      <w:proofErr w:type="gramStart"/>
      <w:r w:rsidRPr="002D7D35">
        <w:t>26.3</w:t>
      </w:r>
      <w:proofErr w:type="gramEnd"/>
      <w:r w:rsidRPr="002D7D35">
        <w:t xml:space="preserve">% who were in high-turnover manual </w:t>
      </w:r>
      <w:r w:rsidRPr="002D7D35">
        <w:lastRenderedPageBreak/>
        <w:t>roles,</w:t>
      </w:r>
      <w:r w:rsidR="00943998">
        <w:t xml:space="preserve"> 11.4% who were in in other low or semi </w:t>
      </w:r>
      <w:r w:rsidRPr="002D7D35">
        <w:t xml:space="preserve">skill roles and 8.1% who were not in the labour force, for all or nearly all of this period (Yu, </w:t>
      </w:r>
      <w:proofErr w:type="spellStart"/>
      <w:r w:rsidRPr="002D7D35">
        <w:t>Bretherton</w:t>
      </w:r>
      <w:proofErr w:type="spellEnd"/>
      <w:r w:rsidRPr="002D7D35">
        <w:t xml:space="preserve">, </w:t>
      </w:r>
      <w:proofErr w:type="spellStart"/>
      <w:r w:rsidRPr="002D7D35">
        <w:t>Schutz</w:t>
      </w:r>
      <w:proofErr w:type="spellEnd"/>
      <w:r w:rsidRPr="002D7D35">
        <w:t xml:space="preserve"> &amp; Buchanan 2012, p.31). Medium to high skill occupations are quite segmented, with little progression from other occupations. The team found that because agricultural work is strongly seasonal many workers had marginal attachment to the workforce and were likely to spend long spells outside the labour force. It found significant movements between low skilled agricultural work and clerical, community service and sales roles </w:t>
      </w:r>
      <w:r>
        <w:fldChar w:fldCharType="begin"/>
      </w:r>
      <w:r>
        <w:instrText xml:space="preserve"> ADDIN EN.CITE &lt;EndNote&gt;&lt;Cite&gt;&lt;Author&gt;Yu&lt;/Author&gt;&lt;Year&gt;2012&lt;/Year&gt;&lt;RecNum&gt;324&lt;/RecNum&gt;&lt;Suffix&gt;`, p. 34&lt;/Suffix&gt;&lt;DisplayText&gt;(Yu et al., 2012b, p. 34)&lt;/DisplayText&gt;&lt;record&gt;&lt;rec-number&gt;324&lt;/rec-number&gt;&lt;foreign-keys&gt;&lt;key app="EN" db-id="0xrr5a5zkrxdw5esxr55w5a79ptftt5a20fr"&gt;324&lt;/key&gt;&lt;/foreign-keys&gt;&lt;ref-type name="Report"&gt;27&lt;/ref-type&gt;&lt;contributors&gt;&lt;authors&gt;&lt;author&gt;Yu, Serena&lt;/author&gt;&lt;author&gt;Bretherton, Tanya&lt;/author&gt;&lt;author&gt;Schultz, Joanna&lt;/author&gt;&lt;author&gt;Buchanan, John&lt;/author&gt;&lt;/authors&gt;&lt;/contributors&gt;&lt;titles&gt;&lt;title&gt;Understanding the nature of vocations today: exploring labour market pathways&lt;/title&gt;&lt;/titles&gt;&lt;dates&gt;&lt;year&gt;2012&lt;/year&gt;&lt;/dates&gt;&lt;pub-location&gt;Adelaide&lt;/pub-location&gt;&lt;publisher&gt;National Centre for Vocational Education Research&lt;/publisher&gt;&lt;urls&gt;&lt;related-urls&gt;&lt;url&gt;http://www.ncver.edu.au/publications/2538.html&lt;/url&gt;&lt;/related-urls&gt;&lt;/urls&gt;&lt;access-date&gt;1 November 2012&lt;/access-date&gt;&lt;/record&gt;&lt;/Cite&gt;&lt;/EndNote&gt;</w:instrText>
      </w:r>
      <w:r>
        <w:fldChar w:fldCharType="separate"/>
      </w:r>
      <w:r>
        <w:rPr>
          <w:noProof/>
        </w:rPr>
        <w:t>(</w:t>
      </w:r>
      <w:hyperlink w:anchor="_ENREF_30" w:tooltip="Yu, 2012 #324" w:history="1">
        <w:r w:rsidR="00B03184">
          <w:rPr>
            <w:noProof/>
          </w:rPr>
          <w:t>Yu et al. 2012b, p. 34</w:t>
        </w:r>
      </w:hyperlink>
      <w:r>
        <w:rPr>
          <w:noProof/>
        </w:rPr>
        <w:t>)</w:t>
      </w:r>
      <w:r>
        <w:fldChar w:fldCharType="end"/>
      </w:r>
      <w:r w:rsidRPr="002D7D35">
        <w:t>. The team reported that agriculture employers report longstanding</w:t>
      </w:r>
      <w:r w:rsidR="00943998">
        <w:t xml:space="preserve"> difficulty recruiting workers</w:t>
      </w:r>
      <w:r w:rsidRPr="002D7D35">
        <w:t xml:space="preserve"> </w:t>
      </w:r>
      <w:r>
        <w:fldChar w:fldCharType="begin"/>
      </w:r>
      <w:r>
        <w:instrText xml:space="preserve"> ADDIN EN.CITE &lt;EndNote&gt;&lt;Cite&gt;&lt;Author&gt;Yu&lt;/Author&gt;&lt;Year&gt;2012&lt;/Year&gt;&lt;RecNum&gt;189&lt;/RecNum&gt;&lt;Suffix&gt;`, p. 20&lt;/Suffix&gt;&lt;DisplayText&gt;(Yu et al., 2012a, p. 20)&lt;/DisplayText&gt;&lt;record&gt;&lt;rec-number&gt;189&lt;/rec-number&gt;&lt;foreign-keys&gt;&lt;key app="EN" db-id="0xrr5a5zkrxdw5esxr55w5a79ptftt5a20fr"&gt;189&lt;/key&gt;&lt;/foreign-keys&gt;&lt;ref-type name="Report"&gt;27&lt;/ref-type&gt;&lt;contributors&gt;&lt;authors&gt;&lt;author&gt;Yu, Serena&lt;/author&gt;&lt;author&gt;Bretherton, Tanya&lt;/author&gt;&lt;author&gt;Schultz, Hanna&lt;/author&gt;&lt;/authors&gt;&lt;/contributors&gt;&lt;titles&gt;&lt;title&gt;Vocational trajectories within the Australian labour market&lt;/title&gt;&lt;/titles&gt;&lt;keywords&gt;&lt;keyword&gt;Vocations&lt;/keyword&gt;&lt;keyword&gt;Pathways&lt;/keyword&gt;&lt;keyword&gt;work and learning&lt;/keyword&gt;&lt;keyword&gt;Occupational selection&lt;/keyword&gt;&lt;/keywords&gt;&lt;dates&gt;&lt;year&gt;2012&lt;/year&gt;&lt;/dates&gt;&lt;pub-location&gt;Adelaide&lt;/pub-location&gt;&lt;publisher&gt;National Centre for Vocational Education Research&lt;/publisher&gt;&lt;urls&gt;&lt;related-urls&gt;&lt;url&gt;http://www.ncver.edu.au/publications/2557.html&lt;/url&gt;&lt;/related-urls&gt;&lt;/urls&gt;&lt;access-date&gt;8 November 2012&lt;/access-date&gt;&lt;/record&gt;&lt;/Cite&gt;&lt;/EndNote&gt;</w:instrText>
      </w:r>
      <w:r>
        <w:fldChar w:fldCharType="separate"/>
      </w:r>
      <w:r>
        <w:rPr>
          <w:noProof/>
        </w:rPr>
        <w:t>(</w:t>
      </w:r>
      <w:hyperlink w:anchor="_ENREF_29" w:tooltip="Yu, 2012 #189" w:history="1">
        <w:r w:rsidR="00B03184">
          <w:rPr>
            <w:noProof/>
          </w:rPr>
          <w:t>Yu et al. 2012a, p. 20</w:t>
        </w:r>
      </w:hyperlink>
      <w:r>
        <w:rPr>
          <w:noProof/>
        </w:rPr>
        <w:t>)</w:t>
      </w:r>
      <w:r>
        <w:fldChar w:fldCharType="end"/>
      </w:r>
      <w:r>
        <w:t>.</w:t>
      </w:r>
    </w:p>
    <w:p w14:paraId="162BBF52" w14:textId="72269816" w:rsidR="002C6037" w:rsidRDefault="002C6037" w:rsidP="002C6037">
      <w:pPr>
        <w:pStyle w:val="Text"/>
      </w:pPr>
      <w:r>
        <w:t xml:space="preserve">In </w:t>
      </w:r>
      <w:r w:rsidR="009F733E">
        <w:t xml:space="preserve">considering </w:t>
      </w:r>
      <w:r w:rsidR="00510F51">
        <w:t>the relation between qualifications and</w:t>
      </w:r>
      <w:r>
        <w:t xml:space="preserve"> work, agriculture has</w:t>
      </w:r>
      <w:r w:rsidR="00510F51">
        <w:t xml:space="preserve"> some significant differences from</w:t>
      </w:r>
      <w:r>
        <w:t xml:space="preserve"> the other </w:t>
      </w:r>
      <w:r w:rsidR="009F733E">
        <w:t xml:space="preserve">case study </w:t>
      </w:r>
      <w:r>
        <w:t>industry and occupation groups in this project. Our TAFE teacher participant in this third stage of the project made a point that we have perhaps not highlighted in the project previously: that it is ‘</w:t>
      </w:r>
      <w:r w:rsidRPr="00A902A6">
        <w:t>probably a unique industry particularly if you look at the four areas this study is looking at. This is the only one that you don't need a qualification to be employed</w:t>
      </w:r>
      <w:r>
        <w:t xml:space="preserve">’. He and other participants clearly saw this as a negative, related to the insecure nature of work, and the need to develop new knowledge and skills. How the qualification profile differs in agriculture from other case study areas considered in this project, and from the work force as a whole can be seen in Table </w:t>
      </w:r>
      <w:r w:rsidR="008E489D">
        <w:t>5</w:t>
      </w:r>
      <w:r>
        <w:t>, which shows the proportions holding different levels of qualification as their highest qualification. The proportion in the ‘no</w:t>
      </w:r>
      <w:r w:rsidR="00510F51">
        <w:t>t applicable’ category, which is mostly</w:t>
      </w:r>
      <w:r>
        <w:t xml:space="preserve"> those with no qualification, is at 62.2% for agriculture</w:t>
      </w:r>
      <w:r w:rsidR="008E489D">
        <w:t>, which is</w:t>
      </w:r>
      <w:r>
        <w:t xml:space="preserve"> considerably higher than that for other industries relevant to this project, and higher than the proportion of 38.7% of the work force as a whole. Proportions in agriculture with higher education qualifications are similarly low. </w:t>
      </w:r>
    </w:p>
    <w:p w14:paraId="2757618A" w14:textId="77777777" w:rsidR="002C6037" w:rsidRPr="00245181" w:rsidRDefault="002C6037" w:rsidP="002C6037">
      <w:pPr>
        <w:pStyle w:val="tabletitle"/>
        <w:rPr>
          <w:color w:val="000000"/>
        </w:rPr>
      </w:pPr>
      <w:bookmarkStart w:id="36" w:name="_Toc248818126"/>
      <w:bookmarkStart w:id="37" w:name="_Toc257836868"/>
      <w:r w:rsidRPr="00245181">
        <w:rPr>
          <w:color w:val="000000"/>
        </w:rPr>
        <w:t xml:space="preserve">Table </w:t>
      </w:r>
      <w:r w:rsidR="00EF732C">
        <w:rPr>
          <w:color w:val="000000"/>
        </w:rPr>
        <w:t>5</w:t>
      </w:r>
      <w:r w:rsidRPr="00245181">
        <w:rPr>
          <w:color w:val="000000"/>
        </w:rPr>
        <w:tab/>
        <w:t xml:space="preserve">Percentage of </w:t>
      </w:r>
      <w:r>
        <w:rPr>
          <w:color w:val="000000"/>
        </w:rPr>
        <w:t>those in selected industries with each broad qualification level, 2011 Census</w:t>
      </w:r>
      <w:bookmarkEnd w:id="36"/>
      <w:bookmarkEnd w:id="37"/>
    </w:p>
    <w:tbl>
      <w:tblPr>
        <w:tblW w:w="8794" w:type="dxa"/>
        <w:tblInd w:w="10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706"/>
        <w:gridCol w:w="1134"/>
        <w:gridCol w:w="1134"/>
        <w:gridCol w:w="1418"/>
        <w:gridCol w:w="1276"/>
        <w:gridCol w:w="1417"/>
        <w:gridCol w:w="709"/>
      </w:tblGrid>
      <w:tr w:rsidR="002C6037" w:rsidRPr="00354810" w14:paraId="370CB17F" w14:textId="77777777" w:rsidTr="00721F1E">
        <w:trPr>
          <w:trHeight w:val="255"/>
          <w:tblHeader/>
        </w:trPr>
        <w:tc>
          <w:tcPr>
            <w:tcW w:w="1706" w:type="dxa"/>
            <w:tcBorders>
              <w:top w:val="single" w:sz="4" w:space="0" w:color="auto"/>
              <w:bottom w:val="nil"/>
            </w:tcBorders>
            <w:shd w:val="clear" w:color="auto" w:fill="auto"/>
            <w:vAlign w:val="center"/>
          </w:tcPr>
          <w:p w14:paraId="5E45C02D" w14:textId="77777777" w:rsidR="002C6037" w:rsidRPr="00354810" w:rsidRDefault="002C6037" w:rsidP="00721F1E">
            <w:pPr>
              <w:pStyle w:val="Tablehead1"/>
            </w:pPr>
          </w:p>
        </w:tc>
        <w:tc>
          <w:tcPr>
            <w:tcW w:w="1134" w:type="dxa"/>
            <w:tcBorders>
              <w:top w:val="single" w:sz="4" w:space="0" w:color="auto"/>
              <w:bottom w:val="nil"/>
            </w:tcBorders>
            <w:shd w:val="clear" w:color="auto" w:fill="auto"/>
          </w:tcPr>
          <w:p w14:paraId="34EA5E68" w14:textId="77777777" w:rsidR="002C6037" w:rsidRPr="00354810" w:rsidRDefault="002C6037" w:rsidP="00721F1E">
            <w:pPr>
              <w:pStyle w:val="Tablehead1"/>
              <w:jc w:val="right"/>
              <w:rPr>
                <w:bCs/>
              </w:rPr>
            </w:pPr>
            <w:r w:rsidRPr="001C3A1F">
              <w:rPr>
                <w:bCs/>
              </w:rPr>
              <w:t>Not applicable</w:t>
            </w:r>
          </w:p>
        </w:tc>
        <w:tc>
          <w:tcPr>
            <w:tcW w:w="1134" w:type="dxa"/>
            <w:tcBorders>
              <w:top w:val="single" w:sz="4" w:space="0" w:color="auto"/>
              <w:bottom w:val="nil"/>
            </w:tcBorders>
            <w:shd w:val="clear" w:color="auto" w:fill="auto"/>
          </w:tcPr>
          <w:p w14:paraId="1E349061" w14:textId="77777777" w:rsidR="002C6037" w:rsidRPr="00354810" w:rsidRDefault="002C6037" w:rsidP="00721F1E">
            <w:pPr>
              <w:pStyle w:val="Tablehead1"/>
              <w:tabs>
                <w:tab w:val="decimal" w:pos="0"/>
                <w:tab w:val="decimal" w:pos="645"/>
              </w:tabs>
              <w:jc w:val="right"/>
              <w:rPr>
                <w:bCs/>
              </w:rPr>
            </w:pPr>
            <w:r>
              <w:rPr>
                <w:bCs/>
              </w:rPr>
              <w:t>Certificate l</w:t>
            </w:r>
            <w:r w:rsidRPr="001C3A1F">
              <w:rPr>
                <w:bCs/>
              </w:rPr>
              <w:t>evel</w:t>
            </w:r>
          </w:p>
        </w:tc>
        <w:tc>
          <w:tcPr>
            <w:tcW w:w="1418" w:type="dxa"/>
            <w:tcBorders>
              <w:top w:val="single" w:sz="4" w:space="0" w:color="auto"/>
              <w:bottom w:val="nil"/>
            </w:tcBorders>
            <w:shd w:val="clear" w:color="auto" w:fill="auto"/>
          </w:tcPr>
          <w:p w14:paraId="61938F7C" w14:textId="77777777" w:rsidR="002C6037" w:rsidRPr="00354810" w:rsidRDefault="002C6037" w:rsidP="00721F1E">
            <w:pPr>
              <w:pStyle w:val="Tablehead1"/>
              <w:jc w:val="right"/>
              <w:rPr>
                <w:bCs/>
              </w:rPr>
            </w:pPr>
            <w:r>
              <w:rPr>
                <w:bCs/>
              </w:rPr>
              <w:t>Advanced Diploma and Diploma l</w:t>
            </w:r>
            <w:r w:rsidRPr="001C3A1F">
              <w:rPr>
                <w:bCs/>
              </w:rPr>
              <w:t>evel</w:t>
            </w:r>
          </w:p>
        </w:tc>
        <w:tc>
          <w:tcPr>
            <w:tcW w:w="1276" w:type="dxa"/>
            <w:tcBorders>
              <w:top w:val="single" w:sz="4" w:space="0" w:color="auto"/>
              <w:bottom w:val="nil"/>
            </w:tcBorders>
            <w:shd w:val="clear" w:color="auto" w:fill="auto"/>
          </w:tcPr>
          <w:p w14:paraId="74F4755D" w14:textId="77777777" w:rsidR="002C6037" w:rsidRPr="00354810" w:rsidRDefault="002C6037" w:rsidP="00721F1E">
            <w:pPr>
              <w:pStyle w:val="Tablehead1"/>
              <w:jc w:val="right"/>
              <w:rPr>
                <w:bCs/>
              </w:rPr>
            </w:pPr>
            <w:r>
              <w:rPr>
                <w:bCs/>
              </w:rPr>
              <w:t>Bachelor Degree l</w:t>
            </w:r>
            <w:r w:rsidRPr="001C3A1F">
              <w:rPr>
                <w:bCs/>
              </w:rPr>
              <w:t>evel</w:t>
            </w:r>
          </w:p>
        </w:tc>
        <w:tc>
          <w:tcPr>
            <w:tcW w:w="1417" w:type="dxa"/>
            <w:tcBorders>
              <w:top w:val="single" w:sz="4" w:space="0" w:color="auto"/>
              <w:bottom w:val="nil"/>
            </w:tcBorders>
            <w:shd w:val="clear" w:color="auto" w:fill="auto"/>
          </w:tcPr>
          <w:p w14:paraId="61477183" w14:textId="77777777" w:rsidR="002C6037" w:rsidRPr="00354810" w:rsidRDefault="002C6037" w:rsidP="00721F1E">
            <w:pPr>
              <w:pStyle w:val="Tablehead1"/>
              <w:jc w:val="right"/>
              <w:rPr>
                <w:bCs/>
              </w:rPr>
            </w:pPr>
            <w:r>
              <w:rPr>
                <w:bCs/>
              </w:rPr>
              <w:t>Postgraduate level</w:t>
            </w:r>
          </w:p>
        </w:tc>
        <w:tc>
          <w:tcPr>
            <w:tcW w:w="709" w:type="dxa"/>
            <w:tcBorders>
              <w:top w:val="single" w:sz="4" w:space="0" w:color="auto"/>
              <w:bottom w:val="nil"/>
            </w:tcBorders>
            <w:shd w:val="clear" w:color="auto" w:fill="auto"/>
          </w:tcPr>
          <w:p w14:paraId="0CDA8AD4" w14:textId="77777777" w:rsidR="002C6037" w:rsidRPr="00354810" w:rsidRDefault="002C6037" w:rsidP="00721F1E">
            <w:pPr>
              <w:pStyle w:val="Tablehead1"/>
              <w:jc w:val="right"/>
              <w:rPr>
                <w:bCs/>
              </w:rPr>
            </w:pPr>
            <w:r>
              <w:rPr>
                <w:bCs/>
              </w:rPr>
              <w:t>Total</w:t>
            </w:r>
          </w:p>
        </w:tc>
      </w:tr>
      <w:tr w:rsidR="002C6037" w:rsidRPr="00354810" w14:paraId="5366DBE5" w14:textId="77777777" w:rsidTr="00721F1E">
        <w:trPr>
          <w:trHeight w:val="510"/>
        </w:trPr>
        <w:tc>
          <w:tcPr>
            <w:tcW w:w="1706" w:type="dxa"/>
            <w:tcBorders>
              <w:top w:val="nil"/>
              <w:bottom w:val="nil"/>
            </w:tcBorders>
            <w:shd w:val="clear" w:color="auto" w:fill="auto"/>
            <w:vAlign w:val="center"/>
          </w:tcPr>
          <w:p w14:paraId="7D021DBD" w14:textId="77777777" w:rsidR="002C6037" w:rsidRPr="00354810" w:rsidRDefault="002C6037" w:rsidP="00721F1E">
            <w:pPr>
              <w:pStyle w:val="Tablehead1"/>
            </w:pPr>
            <w:r w:rsidRPr="006C6410">
              <w:t>Agriculture</w:t>
            </w:r>
          </w:p>
        </w:tc>
        <w:tc>
          <w:tcPr>
            <w:tcW w:w="1134" w:type="dxa"/>
            <w:tcBorders>
              <w:top w:val="nil"/>
              <w:bottom w:val="nil"/>
            </w:tcBorders>
            <w:shd w:val="clear" w:color="auto" w:fill="auto"/>
            <w:vAlign w:val="center"/>
          </w:tcPr>
          <w:p w14:paraId="553BDC3C" w14:textId="77777777" w:rsidR="002C6037" w:rsidRPr="00354810" w:rsidRDefault="002C6037" w:rsidP="00721F1E">
            <w:pPr>
              <w:pStyle w:val="Tabletext"/>
              <w:jc w:val="right"/>
            </w:pPr>
            <w:r>
              <w:t>62.2</w:t>
            </w:r>
          </w:p>
        </w:tc>
        <w:tc>
          <w:tcPr>
            <w:tcW w:w="1134" w:type="dxa"/>
            <w:tcBorders>
              <w:top w:val="nil"/>
              <w:bottom w:val="nil"/>
            </w:tcBorders>
            <w:shd w:val="clear" w:color="auto" w:fill="auto"/>
            <w:vAlign w:val="center"/>
          </w:tcPr>
          <w:p w14:paraId="747CDE4F" w14:textId="77777777" w:rsidR="002C6037" w:rsidRPr="00354810" w:rsidRDefault="002C6037" w:rsidP="00721F1E">
            <w:pPr>
              <w:pStyle w:val="Tabletext"/>
              <w:tabs>
                <w:tab w:val="decimal" w:pos="0"/>
                <w:tab w:val="decimal" w:pos="645"/>
              </w:tabs>
              <w:jc w:val="right"/>
            </w:pPr>
            <w:r>
              <w:t>20.1</w:t>
            </w:r>
          </w:p>
        </w:tc>
        <w:tc>
          <w:tcPr>
            <w:tcW w:w="1418" w:type="dxa"/>
            <w:tcBorders>
              <w:top w:val="nil"/>
              <w:bottom w:val="nil"/>
            </w:tcBorders>
            <w:shd w:val="clear" w:color="auto" w:fill="auto"/>
            <w:vAlign w:val="center"/>
          </w:tcPr>
          <w:p w14:paraId="756967D8" w14:textId="77777777" w:rsidR="002C6037" w:rsidRPr="00354810" w:rsidRDefault="002C6037" w:rsidP="00721F1E">
            <w:pPr>
              <w:pStyle w:val="Tabletext"/>
              <w:jc w:val="right"/>
            </w:pPr>
            <w:r>
              <w:t>8.0</w:t>
            </w:r>
          </w:p>
        </w:tc>
        <w:tc>
          <w:tcPr>
            <w:tcW w:w="1276" w:type="dxa"/>
            <w:tcBorders>
              <w:top w:val="nil"/>
              <w:bottom w:val="nil"/>
            </w:tcBorders>
            <w:shd w:val="clear" w:color="auto" w:fill="auto"/>
            <w:vAlign w:val="center"/>
          </w:tcPr>
          <w:p w14:paraId="67C1C014" w14:textId="77777777" w:rsidR="002C6037" w:rsidRPr="00354810" w:rsidRDefault="002C6037" w:rsidP="00721F1E">
            <w:pPr>
              <w:pStyle w:val="Tabletext"/>
              <w:jc w:val="right"/>
            </w:pPr>
            <w:r>
              <w:t>7.8</w:t>
            </w:r>
          </w:p>
        </w:tc>
        <w:tc>
          <w:tcPr>
            <w:tcW w:w="1417" w:type="dxa"/>
            <w:tcBorders>
              <w:top w:val="nil"/>
              <w:bottom w:val="nil"/>
            </w:tcBorders>
            <w:shd w:val="clear" w:color="auto" w:fill="auto"/>
            <w:vAlign w:val="center"/>
          </w:tcPr>
          <w:p w14:paraId="0EF2ADCA" w14:textId="77777777" w:rsidR="002C6037" w:rsidRPr="00354810" w:rsidRDefault="002C6037" w:rsidP="00721F1E">
            <w:pPr>
              <w:pStyle w:val="Tabletext"/>
              <w:jc w:val="right"/>
            </w:pPr>
            <w:r>
              <w:t>1.8</w:t>
            </w:r>
          </w:p>
        </w:tc>
        <w:tc>
          <w:tcPr>
            <w:tcW w:w="709" w:type="dxa"/>
            <w:tcBorders>
              <w:top w:val="nil"/>
              <w:bottom w:val="nil"/>
            </w:tcBorders>
            <w:shd w:val="clear" w:color="auto" w:fill="auto"/>
            <w:vAlign w:val="center"/>
          </w:tcPr>
          <w:p w14:paraId="0F01CECA" w14:textId="77777777" w:rsidR="002C6037" w:rsidRPr="00354810" w:rsidRDefault="002C6037" w:rsidP="00721F1E">
            <w:pPr>
              <w:pStyle w:val="Tabletext"/>
              <w:jc w:val="right"/>
              <w:rPr>
                <w:b/>
              </w:rPr>
            </w:pPr>
            <w:r>
              <w:rPr>
                <w:b/>
              </w:rPr>
              <w:t>100.0</w:t>
            </w:r>
          </w:p>
        </w:tc>
      </w:tr>
      <w:tr w:rsidR="002C6037" w:rsidRPr="00354810" w14:paraId="3DDCAD9B" w14:textId="77777777" w:rsidTr="00721F1E">
        <w:trPr>
          <w:trHeight w:val="510"/>
        </w:trPr>
        <w:tc>
          <w:tcPr>
            <w:tcW w:w="1706" w:type="dxa"/>
            <w:tcBorders>
              <w:top w:val="nil"/>
              <w:bottom w:val="nil"/>
            </w:tcBorders>
            <w:shd w:val="clear" w:color="auto" w:fill="auto"/>
            <w:vAlign w:val="center"/>
          </w:tcPr>
          <w:p w14:paraId="2C0EC918" w14:textId="77777777" w:rsidR="002C6037" w:rsidRPr="00354810" w:rsidRDefault="002C6037" w:rsidP="00721F1E">
            <w:pPr>
              <w:pStyle w:val="Tablehead1"/>
            </w:pPr>
            <w:r w:rsidRPr="006C6410">
              <w:t>Mining</w:t>
            </w:r>
          </w:p>
        </w:tc>
        <w:tc>
          <w:tcPr>
            <w:tcW w:w="1134" w:type="dxa"/>
            <w:tcBorders>
              <w:top w:val="nil"/>
              <w:bottom w:val="nil"/>
            </w:tcBorders>
            <w:shd w:val="clear" w:color="auto" w:fill="auto"/>
            <w:vAlign w:val="center"/>
          </w:tcPr>
          <w:p w14:paraId="4E455C95" w14:textId="77777777" w:rsidR="002C6037" w:rsidRPr="00354810" w:rsidRDefault="002C6037" w:rsidP="00721F1E">
            <w:pPr>
              <w:pStyle w:val="Tabletext"/>
              <w:jc w:val="right"/>
            </w:pPr>
            <w:r>
              <w:t>34.4</w:t>
            </w:r>
          </w:p>
        </w:tc>
        <w:tc>
          <w:tcPr>
            <w:tcW w:w="1134" w:type="dxa"/>
            <w:tcBorders>
              <w:top w:val="nil"/>
              <w:bottom w:val="nil"/>
            </w:tcBorders>
            <w:shd w:val="clear" w:color="auto" w:fill="auto"/>
            <w:vAlign w:val="center"/>
          </w:tcPr>
          <w:p w14:paraId="55FDA92D" w14:textId="77777777" w:rsidR="002C6037" w:rsidRPr="00354810" w:rsidRDefault="002C6037" w:rsidP="00721F1E">
            <w:pPr>
              <w:pStyle w:val="Tabletext"/>
              <w:tabs>
                <w:tab w:val="decimal" w:pos="0"/>
                <w:tab w:val="decimal" w:pos="645"/>
              </w:tabs>
              <w:jc w:val="right"/>
            </w:pPr>
            <w:r>
              <w:t>37.0</w:t>
            </w:r>
          </w:p>
        </w:tc>
        <w:tc>
          <w:tcPr>
            <w:tcW w:w="1418" w:type="dxa"/>
            <w:tcBorders>
              <w:top w:val="nil"/>
              <w:bottom w:val="nil"/>
            </w:tcBorders>
            <w:shd w:val="clear" w:color="auto" w:fill="auto"/>
            <w:vAlign w:val="center"/>
          </w:tcPr>
          <w:p w14:paraId="7F501682" w14:textId="77777777" w:rsidR="002C6037" w:rsidRPr="00354810" w:rsidRDefault="002C6037" w:rsidP="00721F1E">
            <w:pPr>
              <w:pStyle w:val="Tabletext"/>
              <w:jc w:val="right"/>
            </w:pPr>
            <w:r>
              <w:t>7.1</w:t>
            </w:r>
          </w:p>
        </w:tc>
        <w:tc>
          <w:tcPr>
            <w:tcW w:w="1276" w:type="dxa"/>
            <w:tcBorders>
              <w:top w:val="nil"/>
              <w:bottom w:val="nil"/>
            </w:tcBorders>
            <w:shd w:val="clear" w:color="auto" w:fill="auto"/>
            <w:vAlign w:val="center"/>
          </w:tcPr>
          <w:p w14:paraId="3E7C8066" w14:textId="77777777" w:rsidR="002C6037" w:rsidRPr="00354810" w:rsidRDefault="002C6037" w:rsidP="00721F1E">
            <w:pPr>
              <w:pStyle w:val="Tabletext"/>
              <w:jc w:val="right"/>
            </w:pPr>
            <w:r>
              <w:t>15.6</w:t>
            </w:r>
          </w:p>
        </w:tc>
        <w:tc>
          <w:tcPr>
            <w:tcW w:w="1417" w:type="dxa"/>
            <w:tcBorders>
              <w:top w:val="nil"/>
              <w:bottom w:val="nil"/>
            </w:tcBorders>
            <w:shd w:val="clear" w:color="auto" w:fill="auto"/>
            <w:vAlign w:val="center"/>
          </w:tcPr>
          <w:p w14:paraId="4956969B" w14:textId="77777777" w:rsidR="002C6037" w:rsidRPr="00354810" w:rsidRDefault="002C6037" w:rsidP="00721F1E">
            <w:pPr>
              <w:pStyle w:val="Tabletext"/>
              <w:jc w:val="right"/>
            </w:pPr>
            <w:r>
              <w:t>5.9</w:t>
            </w:r>
          </w:p>
        </w:tc>
        <w:tc>
          <w:tcPr>
            <w:tcW w:w="709" w:type="dxa"/>
            <w:tcBorders>
              <w:top w:val="nil"/>
              <w:bottom w:val="nil"/>
            </w:tcBorders>
            <w:shd w:val="clear" w:color="auto" w:fill="auto"/>
            <w:vAlign w:val="center"/>
          </w:tcPr>
          <w:p w14:paraId="19DC9213" w14:textId="77777777" w:rsidR="002C6037" w:rsidRPr="00354810" w:rsidRDefault="002C6037" w:rsidP="00721F1E">
            <w:pPr>
              <w:pStyle w:val="Tabletext"/>
              <w:jc w:val="right"/>
              <w:rPr>
                <w:b/>
              </w:rPr>
            </w:pPr>
            <w:r>
              <w:rPr>
                <w:b/>
              </w:rPr>
              <w:t>100.0</w:t>
            </w:r>
          </w:p>
        </w:tc>
      </w:tr>
      <w:tr w:rsidR="002C6037" w:rsidRPr="00354810" w14:paraId="7BDE74C0" w14:textId="77777777" w:rsidTr="00721F1E">
        <w:trPr>
          <w:trHeight w:val="510"/>
        </w:trPr>
        <w:tc>
          <w:tcPr>
            <w:tcW w:w="1706" w:type="dxa"/>
            <w:tcBorders>
              <w:top w:val="nil"/>
              <w:bottom w:val="nil"/>
            </w:tcBorders>
            <w:shd w:val="clear" w:color="auto" w:fill="auto"/>
            <w:vAlign w:val="center"/>
          </w:tcPr>
          <w:p w14:paraId="55FCF0D1" w14:textId="77777777" w:rsidR="002C6037" w:rsidRPr="00354810" w:rsidRDefault="002C6037" w:rsidP="00721F1E">
            <w:pPr>
              <w:pStyle w:val="Tablehead1"/>
            </w:pPr>
            <w:r w:rsidRPr="006C6410">
              <w:t>Manufacturing</w:t>
            </w:r>
          </w:p>
        </w:tc>
        <w:tc>
          <w:tcPr>
            <w:tcW w:w="1134" w:type="dxa"/>
            <w:tcBorders>
              <w:top w:val="nil"/>
              <w:bottom w:val="nil"/>
            </w:tcBorders>
            <w:shd w:val="clear" w:color="auto" w:fill="auto"/>
            <w:vAlign w:val="center"/>
          </w:tcPr>
          <w:p w14:paraId="63AF7623" w14:textId="77777777" w:rsidR="002C6037" w:rsidRPr="00354810" w:rsidRDefault="002C6037" w:rsidP="00721F1E">
            <w:pPr>
              <w:pStyle w:val="Tabletext"/>
              <w:jc w:val="right"/>
            </w:pPr>
            <w:r>
              <w:t>45.4</w:t>
            </w:r>
          </w:p>
        </w:tc>
        <w:tc>
          <w:tcPr>
            <w:tcW w:w="1134" w:type="dxa"/>
            <w:tcBorders>
              <w:top w:val="nil"/>
              <w:bottom w:val="nil"/>
            </w:tcBorders>
            <w:shd w:val="clear" w:color="auto" w:fill="auto"/>
            <w:vAlign w:val="center"/>
          </w:tcPr>
          <w:p w14:paraId="5D54125A" w14:textId="77777777" w:rsidR="002C6037" w:rsidRPr="00354810" w:rsidRDefault="002C6037" w:rsidP="00721F1E">
            <w:pPr>
              <w:pStyle w:val="Tabletext"/>
              <w:tabs>
                <w:tab w:val="decimal" w:pos="0"/>
                <w:tab w:val="decimal" w:pos="645"/>
              </w:tabs>
              <w:jc w:val="right"/>
            </w:pPr>
            <w:r>
              <w:t>32.5</w:t>
            </w:r>
          </w:p>
        </w:tc>
        <w:tc>
          <w:tcPr>
            <w:tcW w:w="1418" w:type="dxa"/>
            <w:tcBorders>
              <w:top w:val="nil"/>
              <w:bottom w:val="nil"/>
            </w:tcBorders>
            <w:shd w:val="clear" w:color="auto" w:fill="auto"/>
            <w:vAlign w:val="center"/>
          </w:tcPr>
          <w:p w14:paraId="7D50E746" w14:textId="77777777" w:rsidR="002C6037" w:rsidRPr="00354810" w:rsidRDefault="002C6037" w:rsidP="00721F1E">
            <w:pPr>
              <w:pStyle w:val="Tabletext"/>
              <w:jc w:val="right"/>
            </w:pPr>
            <w:r>
              <w:t>7.8</w:t>
            </w:r>
          </w:p>
        </w:tc>
        <w:tc>
          <w:tcPr>
            <w:tcW w:w="1276" w:type="dxa"/>
            <w:tcBorders>
              <w:top w:val="nil"/>
              <w:bottom w:val="nil"/>
            </w:tcBorders>
            <w:shd w:val="clear" w:color="auto" w:fill="auto"/>
            <w:vAlign w:val="center"/>
          </w:tcPr>
          <w:p w14:paraId="23C56DCE" w14:textId="77777777" w:rsidR="002C6037" w:rsidRPr="00354810" w:rsidRDefault="002C6037" w:rsidP="00721F1E">
            <w:pPr>
              <w:pStyle w:val="Tabletext"/>
              <w:jc w:val="right"/>
            </w:pPr>
            <w:r>
              <w:t>10.8</w:t>
            </w:r>
          </w:p>
        </w:tc>
        <w:tc>
          <w:tcPr>
            <w:tcW w:w="1417" w:type="dxa"/>
            <w:tcBorders>
              <w:top w:val="nil"/>
              <w:bottom w:val="nil"/>
            </w:tcBorders>
            <w:shd w:val="clear" w:color="auto" w:fill="auto"/>
            <w:vAlign w:val="center"/>
          </w:tcPr>
          <w:p w14:paraId="68123799" w14:textId="77777777" w:rsidR="002C6037" w:rsidRPr="00354810" w:rsidRDefault="002C6037" w:rsidP="00721F1E">
            <w:pPr>
              <w:pStyle w:val="Tabletext"/>
              <w:jc w:val="right"/>
            </w:pPr>
            <w:r>
              <w:t>3.5</w:t>
            </w:r>
          </w:p>
        </w:tc>
        <w:tc>
          <w:tcPr>
            <w:tcW w:w="709" w:type="dxa"/>
            <w:tcBorders>
              <w:top w:val="nil"/>
              <w:bottom w:val="nil"/>
            </w:tcBorders>
            <w:shd w:val="clear" w:color="auto" w:fill="auto"/>
            <w:vAlign w:val="center"/>
          </w:tcPr>
          <w:p w14:paraId="1DEBD887" w14:textId="77777777" w:rsidR="002C6037" w:rsidRPr="00354810" w:rsidRDefault="002C6037" w:rsidP="00721F1E">
            <w:pPr>
              <w:pStyle w:val="Tabletext"/>
              <w:jc w:val="right"/>
              <w:rPr>
                <w:b/>
              </w:rPr>
            </w:pPr>
            <w:r>
              <w:rPr>
                <w:b/>
              </w:rPr>
              <w:t>100.0</w:t>
            </w:r>
          </w:p>
        </w:tc>
      </w:tr>
      <w:tr w:rsidR="002C6037" w:rsidRPr="00354810" w14:paraId="4F9903A8" w14:textId="77777777" w:rsidTr="00721F1E">
        <w:trPr>
          <w:trHeight w:val="510"/>
        </w:trPr>
        <w:tc>
          <w:tcPr>
            <w:tcW w:w="1706" w:type="dxa"/>
            <w:tcBorders>
              <w:top w:val="nil"/>
              <w:bottom w:val="nil"/>
            </w:tcBorders>
            <w:shd w:val="clear" w:color="auto" w:fill="auto"/>
            <w:vAlign w:val="center"/>
          </w:tcPr>
          <w:p w14:paraId="2031F56B" w14:textId="77777777" w:rsidR="002C6037" w:rsidRPr="00354810" w:rsidRDefault="002C6037" w:rsidP="00721F1E">
            <w:pPr>
              <w:pStyle w:val="Tablehead1"/>
            </w:pPr>
            <w:r w:rsidRPr="006C6410">
              <w:t>Electricity, Gas, Water and Waste Services</w:t>
            </w:r>
          </w:p>
        </w:tc>
        <w:tc>
          <w:tcPr>
            <w:tcW w:w="1134" w:type="dxa"/>
            <w:tcBorders>
              <w:top w:val="nil"/>
              <w:bottom w:val="nil"/>
            </w:tcBorders>
            <w:shd w:val="clear" w:color="auto" w:fill="auto"/>
            <w:vAlign w:val="center"/>
          </w:tcPr>
          <w:p w14:paraId="37A0D387" w14:textId="77777777" w:rsidR="002C6037" w:rsidRPr="00354810" w:rsidRDefault="002C6037" w:rsidP="00721F1E">
            <w:pPr>
              <w:pStyle w:val="Tabletext"/>
              <w:jc w:val="right"/>
            </w:pPr>
            <w:r>
              <w:t>31.0</w:t>
            </w:r>
          </w:p>
        </w:tc>
        <w:tc>
          <w:tcPr>
            <w:tcW w:w="1134" w:type="dxa"/>
            <w:tcBorders>
              <w:top w:val="nil"/>
              <w:bottom w:val="nil"/>
            </w:tcBorders>
            <w:shd w:val="clear" w:color="auto" w:fill="auto"/>
            <w:vAlign w:val="center"/>
          </w:tcPr>
          <w:p w14:paraId="2FDFAABA" w14:textId="77777777" w:rsidR="002C6037" w:rsidRPr="00354810" w:rsidRDefault="002C6037" w:rsidP="00721F1E">
            <w:pPr>
              <w:pStyle w:val="Tabletext"/>
              <w:tabs>
                <w:tab w:val="decimal" w:pos="0"/>
                <w:tab w:val="decimal" w:pos="645"/>
              </w:tabs>
              <w:jc w:val="right"/>
            </w:pPr>
            <w:r>
              <w:t>33.6</w:t>
            </w:r>
          </w:p>
        </w:tc>
        <w:tc>
          <w:tcPr>
            <w:tcW w:w="1418" w:type="dxa"/>
            <w:tcBorders>
              <w:top w:val="nil"/>
              <w:bottom w:val="nil"/>
            </w:tcBorders>
            <w:shd w:val="clear" w:color="auto" w:fill="auto"/>
            <w:vAlign w:val="center"/>
          </w:tcPr>
          <w:p w14:paraId="32A55C64" w14:textId="77777777" w:rsidR="002C6037" w:rsidRPr="00354810" w:rsidRDefault="002C6037" w:rsidP="00721F1E">
            <w:pPr>
              <w:pStyle w:val="Tabletext"/>
              <w:jc w:val="right"/>
            </w:pPr>
            <w:r>
              <w:t>10.9</w:t>
            </w:r>
          </w:p>
        </w:tc>
        <w:tc>
          <w:tcPr>
            <w:tcW w:w="1276" w:type="dxa"/>
            <w:tcBorders>
              <w:top w:val="nil"/>
              <w:bottom w:val="nil"/>
            </w:tcBorders>
            <w:shd w:val="clear" w:color="auto" w:fill="auto"/>
            <w:vAlign w:val="center"/>
          </w:tcPr>
          <w:p w14:paraId="0CD6325C" w14:textId="77777777" w:rsidR="002C6037" w:rsidRPr="00354810" w:rsidRDefault="002C6037" w:rsidP="00721F1E">
            <w:pPr>
              <w:pStyle w:val="Tabletext"/>
              <w:jc w:val="right"/>
            </w:pPr>
            <w:r>
              <w:t>16.7</w:t>
            </w:r>
          </w:p>
        </w:tc>
        <w:tc>
          <w:tcPr>
            <w:tcW w:w="1417" w:type="dxa"/>
            <w:tcBorders>
              <w:top w:val="nil"/>
              <w:bottom w:val="nil"/>
            </w:tcBorders>
            <w:shd w:val="clear" w:color="auto" w:fill="auto"/>
            <w:vAlign w:val="center"/>
          </w:tcPr>
          <w:p w14:paraId="1056B895" w14:textId="77777777" w:rsidR="002C6037" w:rsidRPr="00354810" w:rsidRDefault="002C6037" w:rsidP="00721F1E">
            <w:pPr>
              <w:pStyle w:val="Tabletext"/>
              <w:jc w:val="right"/>
            </w:pPr>
            <w:r>
              <w:t>7.8</w:t>
            </w:r>
          </w:p>
        </w:tc>
        <w:tc>
          <w:tcPr>
            <w:tcW w:w="709" w:type="dxa"/>
            <w:tcBorders>
              <w:top w:val="nil"/>
              <w:bottom w:val="nil"/>
            </w:tcBorders>
            <w:shd w:val="clear" w:color="auto" w:fill="auto"/>
            <w:vAlign w:val="center"/>
          </w:tcPr>
          <w:p w14:paraId="69F3F8B4" w14:textId="77777777" w:rsidR="002C6037" w:rsidRPr="00354810" w:rsidRDefault="002C6037" w:rsidP="00721F1E">
            <w:pPr>
              <w:pStyle w:val="Tabletext"/>
              <w:jc w:val="right"/>
              <w:rPr>
                <w:b/>
              </w:rPr>
            </w:pPr>
            <w:r>
              <w:rPr>
                <w:b/>
              </w:rPr>
              <w:t>100.0</w:t>
            </w:r>
          </w:p>
        </w:tc>
      </w:tr>
      <w:tr w:rsidR="002C6037" w:rsidRPr="00354810" w14:paraId="76801E9E" w14:textId="77777777" w:rsidTr="00721F1E">
        <w:trPr>
          <w:trHeight w:val="510"/>
        </w:trPr>
        <w:tc>
          <w:tcPr>
            <w:tcW w:w="1706" w:type="dxa"/>
            <w:tcBorders>
              <w:top w:val="nil"/>
              <w:bottom w:val="nil"/>
            </w:tcBorders>
            <w:shd w:val="clear" w:color="auto" w:fill="auto"/>
            <w:vAlign w:val="center"/>
          </w:tcPr>
          <w:p w14:paraId="3C2E1DF2" w14:textId="77777777" w:rsidR="002C6037" w:rsidRPr="00354810" w:rsidRDefault="002C6037" w:rsidP="00721F1E">
            <w:pPr>
              <w:pStyle w:val="Tablehead1"/>
            </w:pPr>
            <w:r w:rsidRPr="006C6410">
              <w:t>Construction</w:t>
            </w:r>
          </w:p>
        </w:tc>
        <w:tc>
          <w:tcPr>
            <w:tcW w:w="1134" w:type="dxa"/>
            <w:tcBorders>
              <w:top w:val="nil"/>
              <w:bottom w:val="nil"/>
            </w:tcBorders>
            <w:shd w:val="clear" w:color="auto" w:fill="auto"/>
            <w:vAlign w:val="center"/>
          </w:tcPr>
          <w:p w14:paraId="503FA58E" w14:textId="77777777" w:rsidR="002C6037" w:rsidRPr="00354810" w:rsidRDefault="002C6037" w:rsidP="00721F1E">
            <w:pPr>
              <w:pStyle w:val="Tabletext"/>
              <w:jc w:val="right"/>
            </w:pPr>
            <w:r>
              <w:t>36.9</w:t>
            </w:r>
          </w:p>
        </w:tc>
        <w:tc>
          <w:tcPr>
            <w:tcW w:w="1134" w:type="dxa"/>
            <w:tcBorders>
              <w:top w:val="nil"/>
              <w:bottom w:val="nil"/>
            </w:tcBorders>
            <w:shd w:val="clear" w:color="auto" w:fill="auto"/>
            <w:vAlign w:val="center"/>
          </w:tcPr>
          <w:p w14:paraId="34BF0DDB" w14:textId="77777777" w:rsidR="002C6037" w:rsidRPr="00354810" w:rsidRDefault="002C6037" w:rsidP="00721F1E">
            <w:pPr>
              <w:pStyle w:val="Tabletext"/>
              <w:tabs>
                <w:tab w:val="decimal" w:pos="0"/>
                <w:tab w:val="decimal" w:pos="645"/>
              </w:tabs>
              <w:jc w:val="right"/>
            </w:pPr>
            <w:r>
              <w:t>49.0</w:t>
            </w:r>
          </w:p>
        </w:tc>
        <w:tc>
          <w:tcPr>
            <w:tcW w:w="1418" w:type="dxa"/>
            <w:tcBorders>
              <w:top w:val="nil"/>
              <w:bottom w:val="nil"/>
            </w:tcBorders>
            <w:shd w:val="clear" w:color="auto" w:fill="auto"/>
            <w:vAlign w:val="center"/>
          </w:tcPr>
          <w:p w14:paraId="20835929" w14:textId="77777777" w:rsidR="002C6037" w:rsidRPr="00354810" w:rsidRDefault="002C6037" w:rsidP="00721F1E">
            <w:pPr>
              <w:pStyle w:val="Tabletext"/>
              <w:jc w:val="right"/>
            </w:pPr>
            <w:r>
              <w:t>6.0</w:t>
            </w:r>
          </w:p>
        </w:tc>
        <w:tc>
          <w:tcPr>
            <w:tcW w:w="1276" w:type="dxa"/>
            <w:tcBorders>
              <w:top w:val="nil"/>
              <w:bottom w:val="nil"/>
            </w:tcBorders>
            <w:shd w:val="clear" w:color="auto" w:fill="auto"/>
            <w:vAlign w:val="center"/>
          </w:tcPr>
          <w:p w14:paraId="6A004220" w14:textId="77777777" w:rsidR="002C6037" w:rsidRPr="00354810" w:rsidRDefault="002C6037" w:rsidP="00721F1E">
            <w:pPr>
              <w:pStyle w:val="Tabletext"/>
              <w:jc w:val="right"/>
            </w:pPr>
            <w:r>
              <w:t>6.5</w:t>
            </w:r>
          </w:p>
        </w:tc>
        <w:tc>
          <w:tcPr>
            <w:tcW w:w="1417" w:type="dxa"/>
            <w:tcBorders>
              <w:top w:val="nil"/>
              <w:bottom w:val="nil"/>
            </w:tcBorders>
            <w:shd w:val="clear" w:color="auto" w:fill="auto"/>
            <w:vAlign w:val="center"/>
          </w:tcPr>
          <w:p w14:paraId="26F5A35D" w14:textId="77777777" w:rsidR="002C6037" w:rsidRPr="00354810" w:rsidRDefault="002C6037" w:rsidP="00721F1E">
            <w:pPr>
              <w:pStyle w:val="Tabletext"/>
              <w:jc w:val="right"/>
            </w:pPr>
            <w:r>
              <w:t>1.5</w:t>
            </w:r>
          </w:p>
        </w:tc>
        <w:tc>
          <w:tcPr>
            <w:tcW w:w="709" w:type="dxa"/>
            <w:tcBorders>
              <w:top w:val="nil"/>
              <w:bottom w:val="nil"/>
            </w:tcBorders>
            <w:shd w:val="clear" w:color="auto" w:fill="auto"/>
            <w:vAlign w:val="center"/>
          </w:tcPr>
          <w:p w14:paraId="3888E32E" w14:textId="77777777" w:rsidR="002C6037" w:rsidRPr="00354810" w:rsidRDefault="002C6037" w:rsidP="00721F1E">
            <w:pPr>
              <w:pStyle w:val="Tabletext"/>
              <w:jc w:val="right"/>
              <w:rPr>
                <w:b/>
              </w:rPr>
            </w:pPr>
            <w:r>
              <w:rPr>
                <w:b/>
              </w:rPr>
              <w:t>100.0</w:t>
            </w:r>
          </w:p>
        </w:tc>
      </w:tr>
      <w:tr w:rsidR="002C6037" w:rsidRPr="00354810" w14:paraId="41176AB4" w14:textId="77777777" w:rsidTr="00721F1E">
        <w:trPr>
          <w:trHeight w:val="510"/>
        </w:trPr>
        <w:tc>
          <w:tcPr>
            <w:tcW w:w="1706" w:type="dxa"/>
            <w:tcBorders>
              <w:top w:val="nil"/>
              <w:bottom w:val="nil"/>
            </w:tcBorders>
            <w:shd w:val="clear" w:color="auto" w:fill="auto"/>
            <w:vAlign w:val="center"/>
          </w:tcPr>
          <w:p w14:paraId="2C239B78" w14:textId="77777777" w:rsidR="002C6037" w:rsidRPr="00354810" w:rsidRDefault="002C6037" w:rsidP="00721F1E">
            <w:pPr>
              <w:pStyle w:val="Tablehead1"/>
            </w:pPr>
            <w:r w:rsidRPr="006C6410">
              <w:t>Health Care and Social Assistance</w:t>
            </w:r>
          </w:p>
        </w:tc>
        <w:tc>
          <w:tcPr>
            <w:tcW w:w="1134" w:type="dxa"/>
            <w:tcBorders>
              <w:top w:val="nil"/>
              <w:bottom w:val="nil"/>
            </w:tcBorders>
            <w:shd w:val="clear" w:color="auto" w:fill="auto"/>
            <w:vAlign w:val="center"/>
          </w:tcPr>
          <w:p w14:paraId="6D101F09" w14:textId="77777777" w:rsidR="002C6037" w:rsidRPr="00354810" w:rsidRDefault="002C6037" w:rsidP="00721F1E">
            <w:pPr>
              <w:pStyle w:val="Tabletext"/>
              <w:jc w:val="right"/>
            </w:pPr>
            <w:r>
              <w:t>23.4</w:t>
            </w:r>
          </w:p>
        </w:tc>
        <w:tc>
          <w:tcPr>
            <w:tcW w:w="1134" w:type="dxa"/>
            <w:tcBorders>
              <w:top w:val="nil"/>
              <w:bottom w:val="nil"/>
            </w:tcBorders>
            <w:shd w:val="clear" w:color="auto" w:fill="auto"/>
            <w:vAlign w:val="center"/>
          </w:tcPr>
          <w:p w14:paraId="1E83914F" w14:textId="77777777" w:rsidR="002C6037" w:rsidRPr="00354810" w:rsidRDefault="002C6037" w:rsidP="00721F1E">
            <w:pPr>
              <w:pStyle w:val="Tabletext"/>
              <w:tabs>
                <w:tab w:val="decimal" w:pos="0"/>
                <w:tab w:val="decimal" w:pos="645"/>
              </w:tabs>
              <w:jc w:val="right"/>
            </w:pPr>
            <w:r>
              <w:t>19.8</w:t>
            </w:r>
          </w:p>
        </w:tc>
        <w:tc>
          <w:tcPr>
            <w:tcW w:w="1418" w:type="dxa"/>
            <w:tcBorders>
              <w:top w:val="nil"/>
              <w:bottom w:val="nil"/>
            </w:tcBorders>
            <w:shd w:val="clear" w:color="auto" w:fill="auto"/>
            <w:vAlign w:val="center"/>
          </w:tcPr>
          <w:p w14:paraId="386A530D" w14:textId="77777777" w:rsidR="002C6037" w:rsidRPr="00354810" w:rsidRDefault="002C6037" w:rsidP="00721F1E">
            <w:pPr>
              <w:pStyle w:val="Tabletext"/>
              <w:jc w:val="right"/>
            </w:pPr>
            <w:r>
              <w:t>15.1</w:t>
            </w:r>
          </w:p>
        </w:tc>
        <w:tc>
          <w:tcPr>
            <w:tcW w:w="1276" w:type="dxa"/>
            <w:tcBorders>
              <w:top w:val="nil"/>
              <w:bottom w:val="nil"/>
            </w:tcBorders>
            <w:shd w:val="clear" w:color="auto" w:fill="auto"/>
            <w:vAlign w:val="center"/>
          </w:tcPr>
          <w:p w14:paraId="6200DAE9" w14:textId="77777777" w:rsidR="002C6037" w:rsidRPr="00354810" w:rsidRDefault="002C6037" w:rsidP="00721F1E">
            <w:pPr>
              <w:pStyle w:val="Tabletext"/>
              <w:jc w:val="right"/>
            </w:pPr>
            <w:r>
              <w:t>30.3</w:t>
            </w:r>
          </w:p>
        </w:tc>
        <w:tc>
          <w:tcPr>
            <w:tcW w:w="1417" w:type="dxa"/>
            <w:tcBorders>
              <w:top w:val="nil"/>
              <w:bottom w:val="nil"/>
            </w:tcBorders>
            <w:shd w:val="clear" w:color="auto" w:fill="auto"/>
            <w:vAlign w:val="center"/>
          </w:tcPr>
          <w:p w14:paraId="55DAF788" w14:textId="77777777" w:rsidR="002C6037" w:rsidRPr="00354810" w:rsidRDefault="002C6037" w:rsidP="00721F1E">
            <w:pPr>
              <w:pStyle w:val="Tabletext"/>
              <w:jc w:val="right"/>
            </w:pPr>
            <w:r>
              <w:t>11.4</w:t>
            </w:r>
          </w:p>
        </w:tc>
        <w:tc>
          <w:tcPr>
            <w:tcW w:w="709" w:type="dxa"/>
            <w:tcBorders>
              <w:top w:val="nil"/>
              <w:bottom w:val="nil"/>
            </w:tcBorders>
            <w:shd w:val="clear" w:color="auto" w:fill="auto"/>
            <w:vAlign w:val="center"/>
          </w:tcPr>
          <w:p w14:paraId="4C5702E8" w14:textId="77777777" w:rsidR="002C6037" w:rsidRPr="00354810" w:rsidRDefault="002C6037" w:rsidP="00721F1E">
            <w:pPr>
              <w:pStyle w:val="Tabletext"/>
              <w:jc w:val="right"/>
              <w:rPr>
                <w:b/>
              </w:rPr>
            </w:pPr>
            <w:r>
              <w:rPr>
                <w:b/>
              </w:rPr>
              <w:t>100.0</w:t>
            </w:r>
          </w:p>
        </w:tc>
      </w:tr>
      <w:tr w:rsidR="002C6037" w:rsidRPr="00354810" w14:paraId="0DD8F5C9" w14:textId="77777777" w:rsidTr="00721F1E">
        <w:trPr>
          <w:trHeight w:val="255"/>
        </w:trPr>
        <w:tc>
          <w:tcPr>
            <w:tcW w:w="1706" w:type="dxa"/>
            <w:tcBorders>
              <w:top w:val="nil"/>
              <w:bottom w:val="nil"/>
            </w:tcBorders>
            <w:shd w:val="clear" w:color="auto" w:fill="auto"/>
            <w:vAlign w:val="center"/>
          </w:tcPr>
          <w:p w14:paraId="3A654EDD" w14:textId="77777777" w:rsidR="002C6037" w:rsidRPr="00354810" w:rsidRDefault="002C6037" w:rsidP="00721F1E">
            <w:pPr>
              <w:pStyle w:val="Tablehead1"/>
            </w:pPr>
            <w:r w:rsidRPr="006C6410">
              <w:t>Financial and Insurance Services</w:t>
            </w:r>
          </w:p>
        </w:tc>
        <w:tc>
          <w:tcPr>
            <w:tcW w:w="1134" w:type="dxa"/>
            <w:tcBorders>
              <w:top w:val="nil"/>
              <w:bottom w:val="nil"/>
            </w:tcBorders>
            <w:shd w:val="clear" w:color="auto" w:fill="auto"/>
            <w:vAlign w:val="center"/>
          </w:tcPr>
          <w:p w14:paraId="5B8F3519" w14:textId="77777777" w:rsidR="002C6037" w:rsidRPr="00354810" w:rsidRDefault="002C6037" w:rsidP="00721F1E">
            <w:pPr>
              <w:pStyle w:val="Tabletext"/>
              <w:jc w:val="right"/>
            </w:pPr>
            <w:r>
              <w:t>31.9</w:t>
            </w:r>
          </w:p>
        </w:tc>
        <w:tc>
          <w:tcPr>
            <w:tcW w:w="1134" w:type="dxa"/>
            <w:tcBorders>
              <w:top w:val="nil"/>
              <w:bottom w:val="nil"/>
            </w:tcBorders>
            <w:shd w:val="clear" w:color="auto" w:fill="auto"/>
            <w:vAlign w:val="center"/>
          </w:tcPr>
          <w:p w14:paraId="1FF4DE7E" w14:textId="77777777" w:rsidR="002C6037" w:rsidRPr="00354810" w:rsidRDefault="002C6037" w:rsidP="00721F1E">
            <w:pPr>
              <w:pStyle w:val="Tabletext"/>
              <w:tabs>
                <w:tab w:val="decimal" w:pos="0"/>
                <w:tab w:val="decimal" w:pos="645"/>
              </w:tabs>
              <w:jc w:val="right"/>
            </w:pPr>
            <w:r>
              <w:t>12.3</w:t>
            </w:r>
          </w:p>
        </w:tc>
        <w:tc>
          <w:tcPr>
            <w:tcW w:w="1418" w:type="dxa"/>
            <w:tcBorders>
              <w:top w:val="nil"/>
              <w:bottom w:val="nil"/>
            </w:tcBorders>
            <w:shd w:val="clear" w:color="auto" w:fill="auto"/>
            <w:vAlign w:val="center"/>
          </w:tcPr>
          <w:p w14:paraId="10085C85" w14:textId="77777777" w:rsidR="002C6037" w:rsidRPr="00354810" w:rsidRDefault="002C6037" w:rsidP="00721F1E">
            <w:pPr>
              <w:pStyle w:val="Tabletext"/>
              <w:jc w:val="right"/>
            </w:pPr>
            <w:r>
              <w:t>14.5</w:t>
            </w:r>
          </w:p>
        </w:tc>
        <w:tc>
          <w:tcPr>
            <w:tcW w:w="1276" w:type="dxa"/>
            <w:tcBorders>
              <w:top w:val="nil"/>
              <w:bottom w:val="nil"/>
            </w:tcBorders>
            <w:shd w:val="clear" w:color="auto" w:fill="auto"/>
            <w:vAlign w:val="center"/>
          </w:tcPr>
          <w:p w14:paraId="2BD21E81" w14:textId="77777777" w:rsidR="002C6037" w:rsidRPr="00354810" w:rsidRDefault="002C6037" w:rsidP="00721F1E">
            <w:pPr>
              <w:pStyle w:val="Tabletext"/>
              <w:jc w:val="right"/>
            </w:pPr>
            <w:r>
              <w:t>29.5</w:t>
            </w:r>
          </w:p>
        </w:tc>
        <w:tc>
          <w:tcPr>
            <w:tcW w:w="1417" w:type="dxa"/>
            <w:tcBorders>
              <w:top w:val="nil"/>
              <w:bottom w:val="nil"/>
            </w:tcBorders>
            <w:shd w:val="clear" w:color="auto" w:fill="auto"/>
            <w:vAlign w:val="center"/>
          </w:tcPr>
          <w:p w14:paraId="36E8F994" w14:textId="77777777" w:rsidR="002C6037" w:rsidRPr="00354810" w:rsidRDefault="002C6037" w:rsidP="00721F1E">
            <w:pPr>
              <w:pStyle w:val="Tabletext"/>
              <w:jc w:val="right"/>
            </w:pPr>
            <w:r>
              <w:t>11.7</w:t>
            </w:r>
          </w:p>
        </w:tc>
        <w:tc>
          <w:tcPr>
            <w:tcW w:w="709" w:type="dxa"/>
            <w:tcBorders>
              <w:top w:val="nil"/>
              <w:bottom w:val="nil"/>
            </w:tcBorders>
            <w:shd w:val="clear" w:color="auto" w:fill="auto"/>
            <w:vAlign w:val="center"/>
          </w:tcPr>
          <w:p w14:paraId="22BB7DE1" w14:textId="77777777" w:rsidR="002C6037" w:rsidRPr="00354810" w:rsidRDefault="002C6037" w:rsidP="00721F1E">
            <w:pPr>
              <w:pStyle w:val="Tabletext"/>
              <w:jc w:val="right"/>
              <w:rPr>
                <w:b/>
              </w:rPr>
            </w:pPr>
            <w:r>
              <w:rPr>
                <w:b/>
              </w:rPr>
              <w:t>100.0</w:t>
            </w:r>
          </w:p>
        </w:tc>
      </w:tr>
      <w:tr w:rsidR="002C6037" w:rsidRPr="00354810" w14:paraId="2927C871" w14:textId="77777777" w:rsidTr="00721F1E">
        <w:trPr>
          <w:trHeight w:val="255"/>
        </w:trPr>
        <w:tc>
          <w:tcPr>
            <w:tcW w:w="1706" w:type="dxa"/>
            <w:tcBorders>
              <w:top w:val="single" w:sz="4" w:space="0" w:color="auto"/>
              <w:bottom w:val="single" w:sz="4" w:space="0" w:color="auto"/>
            </w:tcBorders>
            <w:shd w:val="clear" w:color="auto" w:fill="auto"/>
            <w:vAlign w:val="center"/>
          </w:tcPr>
          <w:p w14:paraId="5759D9B7" w14:textId="77777777" w:rsidR="002C6037" w:rsidRPr="00354810" w:rsidRDefault="002C6037" w:rsidP="00721F1E">
            <w:pPr>
              <w:pStyle w:val="Tablehead1"/>
            </w:pPr>
            <w:r>
              <w:t>Workforce</w:t>
            </w:r>
          </w:p>
        </w:tc>
        <w:tc>
          <w:tcPr>
            <w:tcW w:w="1134" w:type="dxa"/>
            <w:tcBorders>
              <w:top w:val="single" w:sz="4" w:space="0" w:color="auto"/>
              <w:bottom w:val="single" w:sz="4" w:space="0" w:color="auto"/>
            </w:tcBorders>
            <w:shd w:val="clear" w:color="auto" w:fill="auto"/>
            <w:vAlign w:val="center"/>
          </w:tcPr>
          <w:p w14:paraId="2D021613" w14:textId="77777777" w:rsidR="002C6037" w:rsidRPr="00354810" w:rsidRDefault="002C6037" w:rsidP="00721F1E">
            <w:pPr>
              <w:pStyle w:val="Tabletext"/>
              <w:jc w:val="right"/>
              <w:rPr>
                <w:b/>
              </w:rPr>
            </w:pPr>
            <w:r>
              <w:rPr>
                <w:b/>
              </w:rPr>
              <w:t>38.7</w:t>
            </w:r>
          </w:p>
        </w:tc>
        <w:tc>
          <w:tcPr>
            <w:tcW w:w="1134" w:type="dxa"/>
            <w:tcBorders>
              <w:top w:val="single" w:sz="4" w:space="0" w:color="auto"/>
              <w:bottom w:val="single" w:sz="4" w:space="0" w:color="auto"/>
            </w:tcBorders>
            <w:shd w:val="clear" w:color="auto" w:fill="auto"/>
            <w:vAlign w:val="center"/>
          </w:tcPr>
          <w:p w14:paraId="4415B384" w14:textId="77777777" w:rsidR="002C6037" w:rsidRPr="00354810" w:rsidRDefault="002C6037" w:rsidP="00721F1E">
            <w:pPr>
              <w:pStyle w:val="Tabletext"/>
              <w:tabs>
                <w:tab w:val="decimal" w:pos="0"/>
                <w:tab w:val="decimal" w:pos="645"/>
              </w:tabs>
              <w:jc w:val="right"/>
              <w:rPr>
                <w:b/>
              </w:rPr>
            </w:pPr>
            <w:r>
              <w:rPr>
                <w:b/>
              </w:rPr>
              <w:t>23.6</w:t>
            </w:r>
          </w:p>
        </w:tc>
        <w:tc>
          <w:tcPr>
            <w:tcW w:w="1418" w:type="dxa"/>
            <w:tcBorders>
              <w:top w:val="single" w:sz="4" w:space="0" w:color="auto"/>
              <w:bottom w:val="single" w:sz="4" w:space="0" w:color="auto"/>
            </w:tcBorders>
            <w:shd w:val="clear" w:color="auto" w:fill="auto"/>
            <w:vAlign w:val="center"/>
          </w:tcPr>
          <w:p w14:paraId="0F9495EA" w14:textId="77777777" w:rsidR="002C6037" w:rsidRPr="00354810" w:rsidRDefault="002C6037" w:rsidP="00721F1E">
            <w:pPr>
              <w:pStyle w:val="Tabletext"/>
              <w:jc w:val="right"/>
              <w:rPr>
                <w:b/>
              </w:rPr>
            </w:pPr>
            <w:r>
              <w:rPr>
                <w:b/>
              </w:rPr>
              <w:t>10.5</w:t>
            </w:r>
          </w:p>
        </w:tc>
        <w:tc>
          <w:tcPr>
            <w:tcW w:w="1276" w:type="dxa"/>
            <w:tcBorders>
              <w:top w:val="single" w:sz="4" w:space="0" w:color="auto"/>
              <w:bottom w:val="single" w:sz="4" w:space="0" w:color="auto"/>
            </w:tcBorders>
            <w:shd w:val="clear" w:color="auto" w:fill="auto"/>
            <w:vAlign w:val="center"/>
          </w:tcPr>
          <w:p w14:paraId="5247E602" w14:textId="77777777" w:rsidR="002C6037" w:rsidRPr="00354810" w:rsidRDefault="002C6037" w:rsidP="00721F1E">
            <w:pPr>
              <w:pStyle w:val="Tabletext"/>
              <w:jc w:val="right"/>
              <w:rPr>
                <w:b/>
              </w:rPr>
            </w:pPr>
            <w:r>
              <w:rPr>
                <w:b/>
              </w:rPr>
              <w:t>19.3</w:t>
            </w:r>
          </w:p>
        </w:tc>
        <w:tc>
          <w:tcPr>
            <w:tcW w:w="1417" w:type="dxa"/>
            <w:tcBorders>
              <w:top w:val="single" w:sz="4" w:space="0" w:color="auto"/>
              <w:bottom w:val="single" w:sz="4" w:space="0" w:color="auto"/>
            </w:tcBorders>
            <w:shd w:val="clear" w:color="auto" w:fill="auto"/>
            <w:vAlign w:val="center"/>
          </w:tcPr>
          <w:p w14:paraId="2B4FB6D1" w14:textId="77777777" w:rsidR="002C6037" w:rsidRPr="00354810" w:rsidRDefault="002C6037" w:rsidP="00721F1E">
            <w:pPr>
              <w:pStyle w:val="Tabletext"/>
              <w:jc w:val="right"/>
              <w:rPr>
                <w:b/>
              </w:rPr>
            </w:pPr>
            <w:r>
              <w:rPr>
                <w:b/>
              </w:rPr>
              <w:t>7.9</w:t>
            </w:r>
          </w:p>
        </w:tc>
        <w:tc>
          <w:tcPr>
            <w:tcW w:w="709" w:type="dxa"/>
            <w:tcBorders>
              <w:top w:val="single" w:sz="4" w:space="0" w:color="auto"/>
              <w:bottom w:val="single" w:sz="4" w:space="0" w:color="auto"/>
            </w:tcBorders>
            <w:shd w:val="clear" w:color="auto" w:fill="auto"/>
            <w:vAlign w:val="center"/>
          </w:tcPr>
          <w:p w14:paraId="2C252C78" w14:textId="77777777" w:rsidR="002C6037" w:rsidRPr="00354810" w:rsidRDefault="002C6037" w:rsidP="00721F1E">
            <w:pPr>
              <w:pStyle w:val="Tabletext"/>
              <w:jc w:val="right"/>
              <w:rPr>
                <w:b/>
              </w:rPr>
            </w:pPr>
            <w:r>
              <w:rPr>
                <w:b/>
              </w:rPr>
              <w:t>100.0</w:t>
            </w:r>
          </w:p>
        </w:tc>
      </w:tr>
    </w:tbl>
    <w:p w14:paraId="76417083" w14:textId="77777777" w:rsidR="002C6037" w:rsidRDefault="002C6037" w:rsidP="002C6037">
      <w:pPr>
        <w:pStyle w:val="Source"/>
      </w:pPr>
      <w:r>
        <w:t>Note:</w:t>
      </w:r>
      <w:r>
        <w:tab/>
        <w:t>‘Not applicable’ is defined as ‘Persons who have a qualification that is out of scope of this classification, Persons with no qualification and Persons still studying for a first qualification’</w:t>
      </w:r>
      <w:r w:rsidR="003B1B94">
        <w:t>.</w:t>
      </w:r>
      <w:r>
        <w:tab/>
      </w:r>
    </w:p>
    <w:p w14:paraId="47864D25" w14:textId="49576042" w:rsidR="002C6037" w:rsidRDefault="002C6037" w:rsidP="002C6037">
      <w:pPr>
        <w:pStyle w:val="Source"/>
      </w:pPr>
      <w:r>
        <w:t>Source:</w:t>
      </w:r>
      <w:r>
        <w:tab/>
      </w:r>
      <w:r>
        <w:fldChar w:fldCharType="begin"/>
      </w:r>
      <w:r>
        <w:instrText xml:space="preserve"> ADDIN EN.CITE &lt;EndNote&gt;&lt;Cite ExcludeAuth="1"&gt;&lt;Author&gt;Statisitics&lt;/Author&gt;&lt;Year&gt;2011&lt;/Year&gt;&lt;RecNum&gt;317&lt;/RecNum&gt;&lt;Prefix&gt;ABS&lt;/Prefix&gt;&lt;DisplayText&gt;(ABS2011)&lt;/DisplayText&gt;&lt;record&gt;&lt;rec-number&gt;317&lt;/rec-number&gt;&lt;foreign-keys&gt;&lt;key app="EN" db-id="0xrr5a5zkrxdw5esxr55w5a79ptftt5a20fr"&gt;317&lt;/key&gt;&lt;/foreign-keys&gt;&lt;ref-type name="Web Page"&gt;12&lt;/ref-type&gt;&lt;contributors&gt;&lt;authors&gt;&lt;author&gt;Australian Bureau of Statisitics,&lt;/author&gt;&lt;/authors&gt;&lt;/contributors&gt;&lt;titles&gt;&lt;title&gt;Industry of Employment (1 digit level) by Non-School Qualification: Level of Education (1 digit level) &lt;/title&gt;&lt;/titles&gt;&lt;volume&gt;2013&lt;/volume&gt;&lt;number&gt;1 November &lt;/number&gt;&lt;dates&gt;&lt;year&gt;2011&lt;/year&gt;&lt;/dates&gt;&lt;pub-location&gt;Table generated from ABS Census TableBuilder&lt;/pub-location&gt;&lt;urls&gt;&lt;related-urls&gt;&lt;url&gt;http://www.abs.gov.au/websitedbs/censushome.nsf/home/tablebuilder&lt;/url&gt;&lt;/related-urls&gt;&lt;/urls&gt;&lt;/record&gt;&lt;/Cite&gt;&lt;/EndNote&gt;</w:instrText>
      </w:r>
      <w:r>
        <w:fldChar w:fldCharType="separate"/>
      </w:r>
      <w:r>
        <w:rPr>
          <w:noProof/>
        </w:rPr>
        <w:t>(</w:t>
      </w:r>
      <w:hyperlink w:anchor="_ENREF_2" w:tooltip="Australian Bureau of Statisitics, 2011 #317" w:history="1">
        <w:r w:rsidR="00B03184">
          <w:rPr>
            <w:noProof/>
          </w:rPr>
          <w:t>ABS</w:t>
        </w:r>
        <w:r w:rsidR="00E16CA7">
          <w:rPr>
            <w:noProof/>
          </w:rPr>
          <w:t xml:space="preserve"> </w:t>
        </w:r>
        <w:r w:rsidR="00B03184">
          <w:rPr>
            <w:noProof/>
          </w:rPr>
          <w:t>2011</w:t>
        </w:r>
      </w:hyperlink>
      <w:r>
        <w:rPr>
          <w:noProof/>
        </w:rPr>
        <w:t>)</w:t>
      </w:r>
      <w:r>
        <w:fldChar w:fldCharType="end"/>
      </w:r>
    </w:p>
    <w:p w14:paraId="064A7284" w14:textId="093C5502" w:rsidR="002C6037" w:rsidRDefault="002C6037" w:rsidP="002C6037">
      <w:pPr>
        <w:pStyle w:val="Text"/>
      </w:pPr>
      <w:r>
        <w:t xml:space="preserve">Current trends </w:t>
      </w:r>
      <w:r w:rsidR="009F733E">
        <w:t xml:space="preserve">in </w:t>
      </w:r>
      <w:r>
        <w:t>enrolments in</w:t>
      </w:r>
      <w:r w:rsidR="00510F51">
        <w:t xml:space="preserve"> qualifications relevant to </w:t>
      </w:r>
      <w:r w:rsidR="00572455">
        <w:t>mid-level</w:t>
      </w:r>
      <w:r>
        <w:t xml:space="preserve"> work in agriculture</w:t>
      </w:r>
      <w:r w:rsidR="009F733E">
        <w:t xml:space="preserve"> are illustrated in Figure </w:t>
      </w:r>
      <w:r w:rsidR="00C714E6">
        <w:t>3</w:t>
      </w:r>
      <w:r>
        <w:t>.</w:t>
      </w:r>
      <w:r w:rsidR="009F733E">
        <w:t xml:space="preserve"> It </w:t>
      </w:r>
      <w:r>
        <w:t xml:space="preserve">summarises this data for the narrow field of education of agriculture. We can see that while enrolment load in AQF levels 5–7 programs in agriculture generally increased from 2005 to 2010, since then enrolments in diplomas, advanced diplomas and bachelor degrees appear to have fallen or </w:t>
      </w:r>
      <w:r>
        <w:lastRenderedPageBreak/>
        <w:t xml:space="preserve">plateaued, while it is </w:t>
      </w:r>
      <w:r w:rsidR="009F733E">
        <w:t xml:space="preserve">not clear whether the 2006–2012 </w:t>
      </w:r>
      <w:r>
        <w:t xml:space="preserve">increase in associate degree enrolments has continued, as data for these programs in the higher education sector are no longer readily available. </w:t>
      </w:r>
      <w:r w:rsidR="009F733E">
        <w:t xml:space="preserve">These data suggest </w:t>
      </w:r>
      <w:r>
        <w:t>that</w:t>
      </w:r>
      <w:r w:rsidR="00510F51">
        <w:t xml:space="preserve"> as an increasing need for mid and higher </w:t>
      </w:r>
      <w:r>
        <w:t>level skills in agriculture have been identified as discussed above, conscious efforts to encourage continued enrolments in programs at these levels will need to be made.</w:t>
      </w:r>
    </w:p>
    <w:p w14:paraId="7117DEE8" w14:textId="77777777" w:rsidR="002C6037" w:rsidRDefault="002C6037" w:rsidP="008B5B01">
      <w:pPr>
        <w:pStyle w:val="Figuretitle"/>
        <w:ind w:hanging="131"/>
      </w:pPr>
      <w:bookmarkStart w:id="38" w:name="_Toc248818138"/>
      <w:bookmarkStart w:id="39" w:name="_Toc257836791"/>
      <w:r>
        <w:t xml:space="preserve">Figure </w:t>
      </w:r>
      <w:r w:rsidR="00B476FD">
        <w:t>3</w:t>
      </w:r>
      <w:r>
        <w:tab/>
        <w:t>Full-time equivalent load in AQF 5–7 programs in agriculture, 2002–2012</w:t>
      </w:r>
      <w:bookmarkEnd w:id="38"/>
      <w:bookmarkEnd w:id="39"/>
    </w:p>
    <w:p w14:paraId="3BCF69E2" w14:textId="77777777" w:rsidR="002C6037" w:rsidRDefault="002C6037" w:rsidP="002C6037">
      <w:pPr>
        <w:pStyle w:val="Text"/>
        <w:spacing w:line="240" w:lineRule="auto"/>
        <w:ind w:right="0"/>
      </w:pPr>
      <w:r>
        <w:rPr>
          <w:noProof/>
          <w:lang w:eastAsia="en-AU"/>
        </w:rPr>
        <w:drawing>
          <wp:inline distT="0" distB="0" distL="0" distR="0" wp14:anchorId="28BB1B81" wp14:editId="2D1AEE91">
            <wp:extent cx="5580380" cy="3344545"/>
            <wp:effectExtent l="0" t="0" r="7620" b="825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0380" cy="3344545"/>
                    </a:xfrm>
                    <a:prstGeom prst="rect">
                      <a:avLst/>
                    </a:prstGeom>
                    <a:noFill/>
                    <a:ln>
                      <a:noFill/>
                    </a:ln>
                  </pic:spPr>
                </pic:pic>
              </a:graphicData>
            </a:graphic>
          </wp:inline>
        </w:drawing>
      </w:r>
    </w:p>
    <w:p w14:paraId="1F1DE9D5" w14:textId="77777777" w:rsidR="002C6037" w:rsidRDefault="002C6037" w:rsidP="002C6037">
      <w:pPr>
        <w:pStyle w:val="Source"/>
      </w:pPr>
      <w:r>
        <w:t>Note:</w:t>
      </w:r>
      <w:r>
        <w:tab/>
        <w:t xml:space="preserve">Data on higher education associate degree load only available until 2009. </w:t>
      </w:r>
    </w:p>
    <w:p w14:paraId="59A044FA" w14:textId="77777777" w:rsidR="002C6037" w:rsidRDefault="002C6037" w:rsidP="002C6037">
      <w:pPr>
        <w:pStyle w:val="Source"/>
      </w:pPr>
      <w:r>
        <w:t>Source:</w:t>
      </w:r>
      <w:r>
        <w:tab/>
      </w:r>
      <w:r w:rsidRPr="00772E52">
        <w:t>VOCSTATS (</w:t>
      </w:r>
      <w:hyperlink r:id="rId23" w:history="1">
        <w:r w:rsidRPr="00E22016">
          <w:t>www.ncver.edu.au/resources/vocstats/intro.html</w:t>
        </w:r>
      </w:hyperlink>
      <w:r w:rsidRPr="00772E52">
        <w:t>)</w:t>
      </w:r>
      <w:r>
        <w:t xml:space="preserve"> extracted on 1/10/2013; and DIISRTE (2013</w:t>
      </w:r>
      <w:r w:rsidRPr="00893D5C">
        <w:t xml:space="preserve">) </w:t>
      </w:r>
      <w:r w:rsidRPr="00980B2E">
        <w:t>Table 4.1: actual student Load (EFTSL) for all students by State, higher education provider and broad level of course, full year 2011</w:t>
      </w:r>
      <w:r>
        <w:t xml:space="preserve"> and corresponding tables from previous years</w:t>
      </w:r>
      <w:r w:rsidR="00B476FD">
        <w:t>.</w:t>
      </w:r>
    </w:p>
    <w:p w14:paraId="7483184A" w14:textId="0250E0CC" w:rsidR="002C6037" w:rsidRDefault="002C6037" w:rsidP="002C6037">
      <w:pPr>
        <w:pStyle w:val="Text"/>
      </w:pPr>
      <w:r>
        <w:t>The project’s third stage employer consultant participant forcefully put the view that developing agriculture as a technically advanced and ecologically sustainable industry was not merely economically rational, but a moral imperative in the healthy nourishment of a growing world: ‘</w:t>
      </w:r>
      <w:r w:rsidRPr="005D0EF7">
        <w:t>it's an obligation we have</w:t>
      </w:r>
      <w:r>
        <w:t xml:space="preserve">… </w:t>
      </w:r>
      <w:r w:rsidRPr="005D0EF7">
        <w:t xml:space="preserve">Food is different, it's not just a product or commodity, </w:t>
      </w:r>
      <w:proofErr w:type="gramStart"/>
      <w:r w:rsidRPr="005D0EF7">
        <w:t>there</w:t>
      </w:r>
      <w:proofErr w:type="gramEnd"/>
      <w:r w:rsidRPr="005D0EF7">
        <w:t xml:space="preserve"> is a morality that surrounds food</w:t>
      </w:r>
      <w:r>
        <w:t xml:space="preserve">’. As an example he stressed that </w:t>
      </w:r>
      <w:r w:rsidR="00B476FD">
        <w:t xml:space="preserve">it was important to </w:t>
      </w:r>
      <w:r>
        <w:t xml:space="preserve">develop </w:t>
      </w:r>
      <w:r w:rsidR="00510F51">
        <w:t>breeds of cattle that are grass feed and not grain feed</w:t>
      </w:r>
      <w:r>
        <w:t xml:space="preserve"> in northern Australian </w:t>
      </w:r>
      <w:r w:rsidR="00B476FD">
        <w:t>because with</w:t>
      </w:r>
      <w:r w:rsidR="00510F51">
        <w:t xml:space="preserve"> grain </w:t>
      </w:r>
      <w:r>
        <w:t>fed cattle:</w:t>
      </w:r>
    </w:p>
    <w:p w14:paraId="6447B72E" w14:textId="77777777" w:rsidR="002C6037" w:rsidRDefault="002C6037" w:rsidP="002C6037">
      <w:pPr>
        <w:pStyle w:val="Quote"/>
      </w:pPr>
      <w:r>
        <w:t>Y</w:t>
      </w:r>
      <w:r w:rsidRPr="009A4834">
        <w:t>ou produce an awful lot of not good fats and secondly you deprive an awful lot of people of grain that they need to eat as well. You're making it harder for the bottom end of humanity to get a feed while you're developing food for the top end of humanity</w:t>
      </w:r>
      <w:r>
        <w:t>,</w:t>
      </w:r>
      <w:r w:rsidRPr="009A4834">
        <w:t xml:space="preserve"> which is no good for them.</w:t>
      </w:r>
    </w:p>
    <w:p w14:paraId="2E4B59EC" w14:textId="77777777" w:rsidR="002C6037" w:rsidRDefault="002C6037" w:rsidP="002C6037">
      <w:pPr>
        <w:pStyle w:val="Text"/>
      </w:pPr>
      <w:r>
        <w:t xml:space="preserve">The current low level of qualifications existing alongside the need for new knowledge and skills supports our contention of the need for a new approach </w:t>
      </w:r>
      <w:r w:rsidR="00B476FD">
        <w:t xml:space="preserve">to </w:t>
      </w:r>
      <w:r>
        <w:t xml:space="preserve">linking qualifications and work in agriculture.  </w:t>
      </w:r>
    </w:p>
    <w:p w14:paraId="1BC57007" w14:textId="77777777" w:rsidR="002C6037" w:rsidRDefault="002C6037" w:rsidP="002C6037">
      <w:pPr>
        <w:pStyle w:val="Heading2"/>
      </w:pPr>
      <w:bookmarkStart w:id="40" w:name="_Toc248492886"/>
      <w:bookmarkStart w:id="41" w:name="_Toc257836747"/>
      <w:r>
        <w:t>Purposes of qualifications</w:t>
      </w:r>
      <w:bookmarkEnd w:id="40"/>
      <w:bookmarkEnd w:id="41"/>
    </w:p>
    <w:p w14:paraId="0067865A" w14:textId="17978BAB" w:rsidR="002C6037" w:rsidRDefault="002C6037" w:rsidP="002C6037">
      <w:pPr>
        <w:pStyle w:val="Text"/>
      </w:pPr>
      <w:r>
        <w:t xml:space="preserve">This section </w:t>
      </w:r>
      <w:r w:rsidR="009F733E">
        <w:t xml:space="preserve">explores </w:t>
      </w:r>
      <w:r>
        <w:t>how previous findings in the project and the views of the participants in the third stage of the project can inform the appropri</w:t>
      </w:r>
      <w:r w:rsidR="00510F51">
        <w:t xml:space="preserve">ate balance of purposes for </w:t>
      </w:r>
      <w:r w:rsidR="00572455">
        <w:t>mid-level</w:t>
      </w:r>
      <w:r>
        <w:t xml:space="preserve"> qualifications in agriculture</w:t>
      </w:r>
      <w:r w:rsidR="00B476FD">
        <w:t xml:space="preserve"> between</w:t>
      </w:r>
      <w:r>
        <w:t xml:space="preserve"> labour market entry and progression, educational progression and widening </w:t>
      </w:r>
      <w:r>
        <w:lastRenderedPageBreak/>
        <w:t xml:space="preserve">access to qualifications. In the first stage of the project we interviewed 72 educators (teachers and managers), students and graduates across engineering, agriculture, financial services and nursing, in higher education and VET. Our interviewees involved in agriculture emphasised a range of purposes for study in the field. They projected a strong vocational identity, a sense of participation in the field linked to relationships with land, family enterprises and backgrounds, concern with developing the industry generally in more sustainable ways, concern with how education and work can address some of the social issues of rural life such as </w:t>
      </w:r>
      <w:r w:rsidR="00A84511">
        <w:t xml:space="preserve">relative </w:t>
      </w:r>
      <w:r>
        <w:t>lack of opportunities for women. They also emphasised some of the weak links between education an</w:t>
      </w:r>
      <w:r w:rsidR="00510F51">
        <w:t xml:space="preserve">d work, particularly in the </w:t>
      </w:r>
      <w:r w:rsidR="00572455">
        <w:t>mid-level</w:t>
      </w:r>
      <w:r>
        <w:t xml:space="preserve"> qualifications: while certificate level study had some clear links, with skilled farm labouring, and higher education with professional and research work, the labour market did not seem to be creating opportunities for skil</w:t>
      </w:r>
      <w:r w:rsidR="00510F51">
        <w:t xml:space="preserve">led and technical work that </w:t>
      </w:r>
      <w:r w:rsidR="00572455">
        <w:t>mid-level</w:t>
      </w:r>
      <w:r w:rsidR="00510F51">
        <w:t xml:space="preserve"> qualifications should be well </w:t>
      </w:r>
      <w:r>
        <w:t>suited for. The VET students and graduates in the case study appreciated the programs individually tailored to their current employment or business, but this seemed very labour intensive</w:t>
      </w:r>
      <w:r w:rsidR="00A84511">
        <w:t xml:space="preserve"> for </w:t>
      </w:r>
      <w:r>
        <w:t xml:space="preserve">teaching staff if larger numbers of graduates are actually needed </w:t>
      </w:r>
      <w:r>
        <w:fldChar w:fldCharType="begin"/>
      </w:r>
      <w:r>
        <w:instrText xml:space="preserve"> ADDIN EN.CITE &lt;EndNote&gt;&lt;Cite&gt;&lt;Author&gt;Fredman&lt;/Author&gt;&lt;Year&gt;Forthcoming&lt;/Year&gt;&lt;RecNum&gt;296&lt;/RecNum&gt;&lt;DisplayText&gt;(Fredman, Forthcoming; Wheelahan et al., 2012)&lt;/DisplayText&gt;&lt;record&gt;&lt;rec-number&gt;296&lt;/rec-number&gt;&lt;foreign-keys&gt;&lt;key app="EN" db-id="0xrr5a5zkrxdw5esxr55w5a79ptftt5a20fr"&gt;296&lt;/key&gt;&lt;/foreign-keys&gt;&lt;ref-type name="Conference Paper"&gt;47&lt;/ref-type&gt;&lt;contributors&gt;&lt;authors&gt;&lt;author&gt;Fredman, Nick&lt;/author&gt;&lt;/authors&gt;&lt;/contributors&gt;&lt;titles&gt;&lt;title&gt;Pathways, student motivations and human capital theory&lt;/title&gt;&lt;secondary-title&gt;21st National Vocational Education and Training Research Conference&lt;/secondary-title&gt;&lt;/titles&gt;&lt;dates&gt;&lt;year&gt;Forthcoming&lt;/year&gt;&lt;pub-dates&gt;&lt;date&gt;11-13 July&lt;/date&gt;&lt;/pub-dates&gt;&lt;/dates&gt;&lt;pub-location&gt;Adelaide&lt;/pub-location&gt;&lt;urls&gt;&lt;/urls&gt;&lt;/record&gt;&lt;/Cite&gt;&lt;Cite&gt;&lt;Author&gt;Wheelahan&lt;/Author&gt;&lt;Year&gt;2012&lt;/Year&gt;&lt;RecNum&gt;278&lt;/RecNum&gt;&lt;record&gt;&lt;rec-number&gt;278&lt;/rec-number&gt;&lt;foreign-keys&gt;&lt;key app="EN" db-id="0xrr5a5zkrxdw5esxr55w5a79ptftt5a20fr"&gt;278&lt;/key&gt;&lt;/foreign-keys&gt;&lt;ref-type name="Report"&gt;27&lt;/ref-type&gt;&lt;contributors&gt;&lt;authors&gt;&lt;author&gt;Wheelahan, Leesa&lt;/author&gt;&lt;author&gt;Leahy, Mary&lt;/author&gt;&lt;author&gt;Fredman, Nick&lt;/author&gt;&lt;author&gt;Moodie, Gavin&lt;/author&gt;&lt;author&gt;Arkoudis, Sophie&lt;/author&gt;&lt;author&gt;Bexley, Emmaline&lt;/author&gt;&lt;/authors&gt;&lt;/contributors&gt;&lt;titles&gt;&lt;title&gt;Missing links: the fragmented relation between tertiary education and jobs&lt;/title&gt;&lt;/titles&gt;&lt;dates&gt;&lt;year&gt;2012&lt;/year&gt;&lt;/dates&gt;&lt;pub-location&gt;Adelaide&lt;/pub-location&gt;&lt;publisher&gt;National Centre for Vocational Education Research&lt;/publisher&gt;&lt;urls&gt;&lt;related-urls&gt;&lt;url&gt;http://www.ncver.edu.au/publications/2554.html&lt;/url&gt;&lt;/related-urls&gt;&lt;/urls&gt;&lt;/record&gt;&lt;/Cite&gt;&lt;/EndNote&gt;</w:instrText>
      </w:r>
      <w:r>
        <w:fldChar w:fldCharType="separate"/>
      </w:r>
      <w:r>
        <w:rPr>
          <w:noProof/>
        </w:rPr>
        <w:t>(</w:t>
      </w:r>
      <w:hyperlink w:anchor="_ENREF_9" w:tooltip="Fredman, Forthcoming #296" w:history="1">
        <w:r w:rsidR="00B03184">
          <w:rPr>
            <w:noProof/>
          </w:rPr>
          <w:t xml:space="preserve">Fredman, </w:t>
        </w:r>
        <w:r w:rsidR="00A84511">
          <w:rPr>
            <w:noProof/>
          </w:rPr>
          <w:t>f</w:t>
        </w:r>
        <w:r w:rsidR="00B03184">
          <w:rPr>
            <w:noProof/>
          </w:rPr>
          <w:t>orthcoming</w:t>
        </w:r>
      </w:hyperlink>
      <w:r>
        <w:rPr>
          <w:noProof/>
        </w:rPr>
        <w:t xml:space="preserve">; </w:t>
      </w:r>
      <w:hyperlink w:anchor="_ENREF_27" w:tooltip="Wheelahan, 2012 #278" w:history="1">
        <w:r w:rsidR="00B03184">
          <w:rPr>
            <w:noProof/>
          </w:rPr>
          <w:t>Wheelahan et al. 2012</w:t>
        </w:r>
      </w:hyperlink>
      <w:r>
        <w:rPr>
          <w:noProof/>
        </w:rPr>
        <w:t>)</w:t>
      </w:r>
      <w:r>
        <w:fldChar w:fldCharType="end"/>
      </w:r>
      <w:r>
        <w:t>.</w:t>
      </w:r>
    </w:p>
    <w:p w14:paraId="1E99DAF4" w14:textId="77777777" w:rsidR="002C6037" w:rsidRDefault="002C6037" w:rsidP="002C6037">
      <w:pPr>
        <w:pStyle w:val="Heading3"/>
      </w:pPr>
      <w:r>
        <w:t>Labour market entry and progression</w:t>
      </w:r>
    </w:p>
    <w:p w14:paraId="0F717539" w14:textId="12C23B81" w:rsidR="002C6037" w:rsidRDefault="002C6037" w:rsidP="002C6037">
      <w:pPr>
        <w:pStyle w:val="Text"/>
      </w:pPr>
      <w:r>
        <w:t>In previous work in the project we identified relatively strong work outcomes from study in agriculture, but there is some evidence that this may be weakening. In the report of the second year of the project the team (</w:t>
      </w:r>
      <w:proofErr w:type="spellStart"/>
      <w:r>
        <w:t>Moodie</w:t>
      </w:r>
      <w:proofErr w:type="spellEnd"/>
      <w:r>
        <w:t xml:space="preserve">, </w:t>
      </w:r>
      <w:proofErr w:type="spellStart"/>
      <w:r>
        <w:t>Fredman</w:t>
      </w:r>
      <w:proofErr w:type="spellEnd"/>
      <w:r>
        <w:t xml:space="preserve">, Bexley &amp; </w:t>
      </w:r>
      <w:proofErr w:type="spellStart"/>
      <w:r>
        <w:t>Wheelahan</w:t>
      </w:r>
      <w:proofErr w:type="spellEnd"/>
      <w:r>
        <w:t xml:space="preserve">, </w:t>
      </w:r>
      <w:r w:rsidR="00BB7429">
        <w:t>2013</w:t>
      </w:r>
      <w:r w:rsidR="00E16CA7">
        <w:t>)</w:t>
      </w:r>
      <w:r>
        <w:t xml:space="preserve"> noted from NCVER’s 2011 Student Outcomes Survey that agriculture graduates of vocational diplomas or higher in 2011 had very strong employment outcomes, at 94.2%</w:t>
      </w:r>
      <w:r w:rsidR="00204C22">
        <w:t>, which was</w:t>
      </w:r>
      <w:r>
        <w:t xml:space="preserve"> over nine percentage points above the employment rate for all graduates of vocational diplomas and above. In 2012 employment of diploma and higher graduates fell to </w:t>
      </w:r>
      <w:r w:rsidRPr="008D2086">
        <w:t>78.7</w:t>
      </w:r>
      <w:r>
        <w:t>%, with the differen</w:t>
      </w:r>
      <w:r w:rsidR="00EF732C">
        <w:t>ce</w:t>
      </w:r>
      <w:r>
        <w:t xml:space="preserve"> between this and the rate for all fields falling to </w:t>
      </w:r>
      <w:r w:rsidRPr="008D2086">
        <w:t>five</w:t>
      </w:r>
      <w:r>
        <w:t xml:space="preserve"> points (Table </w:t>
      </w:r>
      <w:r w:rsidR="00EF732C">
        <w:t>6</w:t>
      </w:r>
      <w:r>
        <w:t>).</w:t>
      </w:r>
    </w:p>
    <w:p w14:paraId="0EAABE83" w14:textId="77777777" w:rsidR="002C6037" w:rsidRPr="00245181" w:rsidRDefault="002C6037" w:rsidP="002C6037">
      <w:pPr>
        <w:pStyle w:val="tabletitle"/>
        <w:rPr>
          <w:color w:val="000000"/>
        </w:rPr>
      </w:pPr>
      <w:bookmarkStart w:id="42" w:name="_Toc248818127"/>
      <w:bookmarkStart w:id="43" w:name="_Toc257836869"/>
      <w:r w:rsidRPr="00245181">
        <w:rPr>
          <w:color w:val="000000"/>
        </w:rPr>
        <w:t xml:space="preserve">Table </w:t>
      </w:r>
      <w:r w:rsidR="00EF732C">
        <w:rPr>
          <w:color w:val="000000"/>
        </w:rPr>
        <w:t>6</w:t>
      </w:r>
      <w:r w:rsidRPr="00245181">
        <w:rPr>
          <w:color w:val="000000"/>
        </w:rPr>
        <w:tab/>
        <w:t xml:space="preserve">Percentage of graduates in employment six months after training, by level of qualification </w:t>
      </w:r>
      <w:r>
        <w:rPr>
          <w:color w:val="000000"/>
        </w:rPr>
        <w:t xml:space="preserve">in the </w:t>
      </w:r>
      <w:r w:rsidRPr="00245181">
        <w:rPr>
          <w:color w:val="000000"/>
        </w:rPr>
        <w:t xml:space="preserve">broad field </w:t>
      </w:r>
      <w:r>
        <w:t>of education of agriculture, environmental and related studies and the narrow field of education of agriculture, 2012</w:t>
      </w:r>
      <w:bookmarkEnd w:id="42"/>
      <w:bookmarkEnd w:id="43"/>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2C6037" w:rsidRPr="00354810" w14:paraId="7415FEB1" w14:textId="77777777" w:rsidTr="00721F1E">
        <w:trPr>
          <w:trHeight w:val="255"/>
          <w:tblHeader/>
        </w:trPr>
        <w:tc>
          <w:tcPr>
            <w:tcW w:w="2876" w:type="dxa"/>
            <w:tcBorders>
              <w:top w:val="single" w:sz="4" w:space="0" w:color="auto"/>
              <w:bottom w:val="nil"/>
            </w:tcBorders>
            <w:shd w:val="clear" w:color="auto" w:fill="auto"/>
            <w:vAlign w:val="center"/>
          </w:tcPr>
          <w:p w14:paraId="475B60E9" w14:textId="77777777" w:rsidR="002C6037" w:rsidRPr="00354810" w:rsidRDefault="002C6037" w:rsidP="00721F1E">
            <w:pPr>
              <w:pStyle w:val="Tablehead1"/>
            </w:pPr>
            <w:r w:rsidRPr="00354810">
              <w:t>Field of education</w:t>
            </w:r>
          </w:p>
        </w:tc>
        <w:tc>
          <w:tcPr>
            <w:tcW w:w="860" w:type="dxa"/>
            <w:tcBorders>
              <w:top w:val="single" w:sz="4" w:space="0" w:color="auto"/>
              <w:bottom w:val="nil"/>
            </w:tcBorders>
            <w:vAlign w:val="center"/>
          </w:tcPr>
          <w:p w14:paraId="17A1A2C3" w14:textId="77777777" w:rsidR="002C6037" w:rsidRPr="00354810" w:rsidRDefault="002C6037" w:rsidP="00721F1E">
            <w:pPr>
              <w:pStyle w:val="Tablehead1"/>
              <w:jc w:val="right"/>
              <w:rPr>
                <w:bCs/>
              </w:rPr>
            </w:pPr>
            <w:r w:rsidRPr="00354810">
              <w:rPr>
                <w:bCs/>
              </w:rPr>
              <w:t>Cert I</w:t>
            </w:r>
          </w:p>
        </w:tc>
        <w:tc>
          <w:tcPr>
            <w:tcW w:w="861" w:type="dxa"/>
            <w:tcBorders>
              <w:top w:val="single" w:sz="4" w:space="0" w:color="auto"/>
              <w:bottom w:val="nil"/>
            </w:tcBorders>
            <w:vAlign w:val="center"/>
          </w:tcPr>
          <w:p w14:paraId="2EEDDDB2" w14:textId="77777777" w:rsidR="002C6037" w:rsidRPr="00354810" w:rsidRDefault="002C6037" w:rsidP="00721F1E">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765EBABF" w14:textId="77777777" w:rsidR="002C6037" w:rsidRPr="00354810" w:rsidRDefault="002C6037" w:rsidP="00721F1E">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2B2F1D5C" w14:textId="77777777" w:rsidR="002C6037" w:rsidRPr="00354810" w:rsidRDefault="002C6037" w:rsidP="00721F1E">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49862285" w14:textId="77777777" w:rsidR="002C6037" w:rsidRPr="00354810" w:rsidRDefault="002C6037" w:rsidP="00721F1E">
            <w:pPr>
              <w:pStyle w:val="Tablehead1"/>
              <w:jc w:val="right"/>
              <w:rPr>
                <w:bCs/>
              </w:rPr>
            </w:pPr>
            <w:r>
              <w:rPr>
                <w:bCs/>
              </w:rPr>
              <w:t>Dips and above</w:t>
            </w:r>
          </w:p>
        </w:tc>
        <w:tc>
          <w:tcPr>
            <w:tcW w:w="861" w:type="dxa"/>
            <w:tcBorders>
              <w:top w:val="single" w:sz="4" w:space="0" w:color="auto"/>
              <w:bottom w:val="nil"/>
            </w:tcBorders>
            <w:vAlign w:val="center"/>
          </w:tcPr>
          <w:p w14:paraId="39E728D3" w14:textId="77777777" w:rsidR="002C6037" w:rsidRPr="00354810" w:rsidRDefault="002C6037" w:rsidP="00721F1E">
            <w:pPr>
              <w:pStyle w:val="Tablehead1"/>
              <w:jc w:val="right"/>
              <w:rPr>
                <w:bCs/>
              </w:rPr>
            </w:pPr>
            <w:r w:rsidRPr="00354810">
              <w:rPr>
                <w:bCs/>
              </w:rPr>
              <w:t>All levels</w:t>
            </w:r>
          </w:p>
        </w:tc>
      </w:tr>
      <w:tr w:rsidR="002C6037" w:rsidRPr="00354810" w14:paraId="1B8D58D4" w14:textId="77777777" w:rsidTr="00721F1E">
        <w:trPr>
          <w:trHeight w:val="510"/>
        </w:trPr>
        <w:tc>
          <w:tcPr>
            <w:tcW w:w="2876" w:type="dxa"/>
            <w:tcBorders>
              <w:top w:val="nil"/>
              <w:bottom w:val="nil"/>
            </w:tcBorders>
            <w:shd w:val="clear" w:color="auto" w:fill="auto"/>
            <w:vAlign w:val="center"/>
          </w:tcPr>
          <w:p w14:paraId="0AD8B68D" w14:textId="77777777" w:rsidR="002C6037" w:rsidRPr="00354810" w:rsidRDefault="002C6037" w:rsidP="00721F1E">
            <w:pPr>
              <w:pStyle w:val="Tabletext"/>
              <w:rPr>
                <w:b/>
              </w:rPr>
            </w:pPr>
            <w:r w:rsidRPr="00354810">
              <w:rPr>
                <w:b/>
              </w:rPr>
              <w:t>Agriculture, environmental and related studies</w:t>
            </w:r>
          </w:p>
        </w:tc>
        <w:tc>
          <w:tcPr>
            <w:tcW w:w="860" w:type="dxa"/>
            <w:tcBorders>
              <w:top w:val="nil"/>
              <w:bottom w:val="nil"/>
            </w:tcBorders>
            <w:vAlign w:val="center"/>
          </w:tcPr>
          <w:p w14:paraId="36E00894" w14:textId="77777777" w:rsidR="002C6037" w:rsidRPr="00354810" w:rsidRDefault="002C6037" w:rsidP="00721F1E">
            <w:pPr>
              <w:pStyle w:val="Tabletext"/>
              <w:jc w:val="right"/>
            </w:pPr>
            <w:r>
              <w:t>44.4*</w:t>
            </w:r>
          </w:p>
        </w:tc>
        <w:tc>
          <w:tcPr>
            <w:tcW w:w="861" w:type="dxa"/>
            <w:tcBorders>
              <w:top w:val="nil"/>
              <w:bottom w:val="nil"/>
            </w:tcBorders>
            <w:vAlign w:val="center"/>
          </w:tcPr>
          <w:p w14:paraId="4BB5E8F0" w14:textId="77777777" w:rsidR="002C6037" w:rsidRPr="00354810" w:rsidRDefault="002C6037" w:rsidP="00721F1E">
            <w:pPr>
              <w:pStyle w:val="Tabletext"/>
              <w:tabs>
                <w:tab w:val="decimal" w:pos="0"/>
                <w:tab w:val="decimal" w:pos="645"/>
              </w:tabs>
              <w:jc w:val="right"/>
            </w:pPr>
            <w:r>
              <w:t>67.7</w:t>
            </w:r>
          </w:p>
        </w:tc>
        <w:tc>
          <w:tcPr>
            <w:tcW w:w="861" w:type="dxa"/>
            <w:tcBorders>
              <w:top w:val="nil"/>
              <w:bottom w:val="nil"/>
            </w:tcBorders>
            <w:shd w:val="clear" w:color="auto" w:fill="auto"/>
            <w:vAlign w:val="center"/>
          </w:tcPr>
          <w:p w14:paraId="1CB60A7E" w14:textId="77777777" w:rsidR="002C6037" w:rsidRPr="00354810" w:rsidRDefault="002C6037" w:rsidP="00721F1E">
            <w:pPr>
              <w:pStyle w:val="Tabletext"/>
              <w:jc w:val="right"/>
            </w:pPr>
            <w:r>
              <w:t>89.1</w:t>
            </w:r>
          </w:p>
        </w:tc>
        <w:tc>
          <w:tcPr>
            <w:tcW w:w="860" w:type="dxa"/>
            <w:tcBorders>
              <w:top w:val="nil"/>
              <w:bottom w:val="nil"/>
            </w:tcBorders>
            <w:shd w:val="clear" w:color="auto" w:fill="auto"/>
            <w:vAlign w:val="center"/>
          </w:tcPr>
          <w:p w14:paraId="0EBD4C4F" w14:textId="77777777" w:rsidR="002C6037" w:rsidRPr="00354810" w:rsidRDefault="002C6037" w:rsidP="00721F1E">
            <w:pPr>
              <w:pStyle w:val="Tabletext"/>
              <w:jc w:val="right"/>
            </w:pPr>
            <w:r>
              <w:t>89.9</w:t>
            </w:r>
          </w:p>
        </w:tc>
        <w:tc>
          <w:tcPr>
            <w:tcW w:w="861" w:type="dxa"/>
            <w:tcBorders>
              <w:top w:val="nil"/>
              <w:bottom w:val="nil"/>
            </w:tcBorders>
            <w:shd w:val="pct12" w:color="auto" w:fill="auto"/>
            <w:vAlign w:val="center"/>
          </w:tcPr>
          <w:p w14:paraId="0F251F96" w14:textId="77777777" w:rsidR="002C6037" w:rsidRPr="00354810" w:rsidRDefault="002C6037" w:rsidP="00721F1E">
            <w:pPr>
              <w:pStyle w:val="Tabletext"/>
              <w:jc w:val="right"/>
            </w:pPr>
            <w:r>
              <w:t>85.4</w:t>
            </w:r>
          </w:p>
        </w:tc>
        <w:tc>
          <w:tcPr>
            <w:tcW w:w="861" w:type="dxa"/>
            <w:tcBorders>
              <w:top w:val="nil"/>
              <w:bottom w:val="nil"/>
            </w:tcBorders>
            <w:vAlign w:val="center"/>
          </w:tcPr>
          <w:p w14:paraId="1E396967" w14:textId="77777777" w:rsidR="002C6037" w:rsidRPr="00354810" w:rsidRDefault="002C6037" w:rsidP="00721F1E">
            <w:pPr>
              <w:pStyle w:val="Tabletext"/>
              <w:jc w:val="right"/>
              <w:rPr>
                <w:b/>
              </w:rPr>
            </w:pPr>
            <w:r>
              <w:rPr>
                <w:b/>
              </w:rPr>
              <w:t>81.0</w:t>
            </w:r>
          </w:p>
        </w:tc>
      </w:tr>
      <w:tr w:rsidR="002C6037" w:rsidRPr="00354810" w14:paraId="322E11C1" w14:textId="77777777" w:rsidTr="00721F1E">
        <w:trPr>
          <w:trHeight w:val="255"/>
        </w:trPr>
        <w:tc>
          <w:tcPr>
            <w:tcW w:w="2876" w:type="dxa"/>
            <w:tcBorders>
              <w:top w:val="nil"/>
              <w:bottom w:val="nil"/>
            </w:tcBorders>
            <w:shd w:val="clear" w:color="auto" w:fill="auto"/>
            <w:vAlign w:val="center"/>
          </w:tcPr>
          <w:p w14:paraId="189590A3" w14:textId="77777777" w:rsidR="002C6037" w:rsidRPr="00354810" w:rsidRDefault="002C6037" w:rsidP="00721F1E">
            <w:pPr>
              <w:pStyle w:val="Tabletext"/>
              <w:ind w:left="567"/>
            </w:pPr>
            <w:r w:rsidRPr="00354810">
              <w:t>Agriculture</w:t>
            </w:r>
          </w:p>
        </w:tc>
        <w:tc>
          <w:tcPr>
            <w:tcW w:w="860" w:type="dxa"/>
            <w:tcBorders>
              <w:top w:val="nil"/>
              <w:bottom w:val="nil"/>
            </w:tcBorders>
            <w:vAlign w:val="center"/>
          </w:tcPr>
          <w:p w14:paraId="3CDA8BF7" w14:textId="77777777" w:rsidR="002C6037" w:rsidRPr="00354810" w:rsidRDefault="002C6037" w:rsidP="00721F1E">
            <w:pPr>
              <w:pStyle w:val="Tabletext"/>
              <w:jc w:val="right"/>
            </w:pPr>
            <w:r>
              <w:t>67.2</w:t>
            </w:r>
          </w:p>
        </w:tc>
        <w:tc>
          <w:tcPr>
            <w:tcW w:w="861" w:type="dxa"/>
            <w:tcBorders>
              <w:top w:val="nil"/>
              <w:bottom w:val="nil"/>
            </w:tcBorders>
            <w:vAlign w:val="center"/>
          </w:tcPr>
          <w:p w14:paraId="273858E6" w14:textId="77777777" w:rsidR="002C6037" w:rsidRPr="00354810" w:rsidRDefault="002C6037" w:rsidP="00721F1E">
            <w:pPr>
              <w:pStyle w:val="Tabletext"/>
              <w:tabs>
                <w:tab w:val="decimal" w:pos="0"/>
                <w:tab w:val="decimal" w:pos="645"/>
              </w:tabs>
              <w:jc w:val="right"/>
            </w:pPr>
            <w:r>
              <w:t>76.6</w:t>
            </w:r>
          </w:p>
        </w:tc>
        <w:tc>
          <w:tcPr>
            <w:tcW w:w="861" w:type="dxa"/>
            <w:tcBorders>
              <w:top w:val="nil"/>
              <w:bottom w:val="nil"/>
            </w:tcBorders>
            <w:shd w:val="clear" w:color="auto" w:fill="auto"/>
            <w:vAlign w:val="center"/>
          </w:tcPr>
          <w:p w14:paraId="37B7450C" w14:textId="77777777" w:rsidR="002C6037" w:rsidRPr="00354810" w:rsidRDefault="002C6037" w:rsidP="00721F1E">
            <w:pPr>
              <w:pStyle w:val="Tabletext"/>
              <w:jc w:val="right"/>
            </w:pPr>
            <w:r>
              <w:t>87.7</w:t>
            </w:r>
          </w:p>
        </w:tc>
        <w:tc>
          <w:tcPr>
            <w:tcW w:w="860" w:type="dxa"/>
            <w:tcBorders>
              <w:top w:val="nil"/>
              <w:bottom w:val="nil"/>
            </w:tcBorders>
            <w:shd w:val="clear" w:color="auto" w:fill="auto"/>
            <w:vAlign w:val="center"/>
          </w:tcPr>
          <w:p w14:paraId="0CE0C0DE" w14:textId="77777777" w:rsidR="002C6037" w:rsidRPr="00354810" w:rsidRDefault="002C6037" w:rsidP="00721F1E">
            <w:pPr>
              <w:pStyle w:val="Tabletext"/>
              <w:jc w:val="right"/>
            </w:pPr>
            <w:r>
              <w:t>91.6</w:t>
            </w:r>
          </w:p>
        </w:tc>
        <w:tc>
          <w:tcPr>
            <w:tcW w:w="861" w:type="dxa"/>
            <w:tcBorders>
              <w:top w:val="nil"/>
              <w:bottom w:val="nil"/>
            </w:tcBorders>
            <w:shd w:val="pct12" w:color="auto" w:fill="auto"/>
            <w:vAlign w:val="center"/>
          </w:tcPr>
          <w:p w14:paraId="2553C085" w14:textId="77777777" w:rsidR="002C6037" w:rsidRPr="00354810" w:rsidRDefault="002C6037" w:rsidP="00721F1E">
            <w:pPr>
              <w:pStyle w:val="Tabletext"/>
              <w:jc w:val="right"/>
            </w:pPr>
            <w:r>
              <w:t>78.7</w:t>
            </w:r>
          </w:p>
        </w:tc>
        <w:tc>
          <w:tcPr>
            <w:tcW w:w="861" w:type="dxa"/>
            <w:tcBorders>
              <w:top w:val="nil"/>
              <w:bottom w:val="nil"/>
            </w:tcBorders>
            <w:vAlign w:val="center"/>
          </w:tcPr>
          <w:p w14:paraId="190D66D1" w14:textId="77777777" w:rsidR="002C6037" w:rsidRPr="00354810" w:rsidRDefault="002C6037" w:rsidP="00721F1E">
            <w:pPr>
              <w:pStyle w:val="Tabletext"/>
              <w:jc w:val="right"/>
              <w:rPr>
                <w:b/>
              </w:rPr>
            </w:pPr>
            <w:r>
              <w:rPr>
                <w:b/>
              </w:rPr>
              <w:t>83.7</w:t>
            </w:r>
          </w:p>
        </w:tc>
      </w:tr>
      <w:tr w:rsidR="002C6037" w:rsidRPr="00354810" w14:paraId="7D3720A5" w14:textId="77777777" w:rsidTr="00721F1E">
        <w:trPr>
          <w:trHeight w:val="255"/>
        </w:trPr>
        <w:tc>
          <w:tcPr>
            <w:tcW w:w="2876" w:type="dxa"/>
            <w:tcBorders>
              <w:top w:val="single" w:sz="4" w:space="0" w:color="auto"/>
              <w:bottom w:val="single" w:sz="4" w:space="0" w:color="auto"/>
            </w:tcBorders>
            <w:shd w:val="clear" w:color="auto" w:fill="auto"/>
            <w:vAlign w:val="center"/>
          </w:tcPr>
          <w:p w14:paraId="2C6BEAF0" w14:textId="77777777" w:rsidR="002C6037" w:rsidRPr="00354810" w:rsidRDefault="002C6037" w:rsidP="00721F1E">
            <w:pPr>
              <w:pStyle w:val="Tabletext"/>
              <w:rPr>
                <w:b/>
              </w:rPr>
            </w:pPr>
            <w:r w:rsidRPr="00354810">
              <w:rPr>
                <w:b/>
              </w:rPr>
              <w:t>All fields</w:t>
            </w:r>
          </w:p>
        </w:tc>
        <w:tc>
          <w:tcPr>
            <w:tcW w:w="860" w:type="dxa"/>
            <w:tcBorders>
              <w:top w:val="single" w:sz="4" w:space="0" w:color="auto"/>
              <w:bottom w:val="single" w:sz="4" w:space="0" w:color="auto"/>
            </w:tcBorders>
            <w:vAlign w:val="center"/>
          </w:tcPr>
          <w:p w14:paraId="4320BA27" w14:textId="77777777" w:rsidR="002C6037" w:rsidRPr="00354810" w:rsidRDefault="002C6037" w:rsidP="00721F1E">
            <w:pPr>
              <w:pStyle w:val="Tabletext"/>
              <w:jc w:val="right"/>
              <w:rPr>
                <w:b/>
              </w:rPr>
            </w:pPr>
            <w:r>
              <w:rPr>
                <w:b/>
              </w:rPr>
              <w:t>50.5</w:t>
            </w:r>
          </w:p>
        </w:tc>
        <w:tc>
          <w:tcPr>
            <w:tcW w:w="861" w:type="dxa"/>
            <w:tcBorders>
              <w:top w:val="single" w:sz="4" w:space="0" w:color="auto"/>
              <w:bottom w:val="single" w:sz="4" w:space="0" w:color="auto"/>
            </w:tcBorders>
            <w:vAlign w:val="center"/>
          </w:tcPr>
          <w:p w14:paraId="59923026" w14:textId="77777777" w:rsidR="002C6037" w:rsidRPr="00354810" w:rsidRDefault="002C6037" w:rsidP="00721F1E">
            <w:pPr>
              <w:pStyle w:val="Tabletext"/>
              <w:tabs>
                <w:tab w:val="decimal" w:pos="0"/>
                <w:tab w:val="decimal" w:pos="645"/>
              </w:tabs>
              <w:jc w:val="right"/>
              <w:rPr>
                <w:b/>
              </w:rPr>
            </w:pPr>
            <w:r>
              <w:rPr>
                <w:b/>
              </w:rPr>
              <w:t>61.8</w:t>
            </w:r>
          </w:p>
        </w:tc>
        <w:tc>
          <w:tcPr>
            <w:tcW w:w="861" w:type="dxa"/>
            <w:tcBorders>
              <w:top w:val="single" w:sz="4" w:space="0" w:color="auto"/>
              <w:bottom w:val="single" w:sz="4" w:space="0" w:color="auto"/>
            </w:tcBorders>
            <w:shd w:val="clear" w:color="auto" w:fill="auto"/>
            <w:vAlign w:val="center"/>
          </w:tcPr>
          <w:p w14:paraId="584E14AB" w14:textId="77777777" w:rsidR="002C6037" w:rsidRPr="00354810" w:rsidRDefault="002C6037" w:rsidP="00721F1E">
            <w:pPr>
              <w:pStyle w:val="Tabletext"/>
              <w:jc w:val="right"/>
              <w:rPr>
                <w:b/>
              </w:rPr>
            </w:pPr>
            <w:r>
              <w:rPr>
                <w:b/>
              </w:rPr>
              <w:t>79.2</w:t>
            </w:r>
          </w:p>
        </w:tc>
        <w:tc>
          <w:tcPr>
            <w:tcW w:w="860" w:type="dxa"/>
            <w:tcBorders>
              <w:top w:val="single" w:sz="4" w:space="0" w:color="auto"/>
              <w:bottom w:val="single" w:sz="4" w:space="0" w:color="auto"/>
            </w:tcBorders>
            <w:shd w:val="clear" w:color="auto" w:fill="auto"/>
            <w:vAlign w:val="center"/>
          </w:tcPr>
          <w:p w14:paraId="467BCF6B" w14:textId="77777777" w:rsidR="002C6037" w:rsidRPr="00354810" w:rsidRDefault="002C6037" w:rsidP="00721F1E">
            <w:pPr>
              <w:pStyle w:val="Tabletext"/>
              <w:jc w:val="right"/>
              <w:rPr>
                <w:b/>
              </w:rPr>
            </w:pPr>
            <w:r>
              <w:rPr>
                <w:b/>
              </w:rPr>
              <w:t>84.0</w:t>
            </w:r>
          </w:p>
        </w:tc>
        <w:tc>
          <w:tcPr>
            <w:tcW w:w="861" w:type="dxa"/>
            <w:tcBorders>
              <w:top w:val="single" w:sz="4" w:space="0" w:color="auto"/>
              <w:bottom w:val="single" w:sz="4" w:space="0" w:color="auto"/>
            </w:tcBorders>
            <w:shd w:val="pct12" w:color="auto" w:fill="auto"/>
            <w:vAlign w:val="center"/>
          </w:tcPr>
          <w:p w14:paraId="16D119E9" w14:textId="77777777" w:rsidR="002C6037" w:rsidRPr="00354810" w:rsidRDefault="002C6037" w:rsidP="00721F1E">
            <w:pPr>
              <w:pStyle w:val="Tabletext"/>
              <w:jc w:val="right"/>
              <w:rPr>
                <w:b/>
              </w:rPr>
            </w:pPr>
            <w:r>
              <w:rPr>
                <w:b/>
              </w:rPr>
              <w:t>83.2</w:t>
            </w:r>
          </w:p>
        </w:tc>
        <w:tc>
          <w:tcPr>
            <w:tcW w:w="861" w:type="dxa"/>
            <w:tcBorders>
              <w:top w:val="single" w:sz="4" w:space="0" w:color="auto"/>
              <w:bottom w:val="single" w:sz="4" w:space="0" w:color="auto"/>
            </w:tcBorders>
            <w:vAlign w:val="center"/>
          </w:tcPr>
          <w:p w14:paraId="6EDBB18B" w14:textId="77777777" w:rsidR="002C6037" w:rsidRPr="00354810" w:rsidRDefault="002C6037" w:rsidP="00721F1E">
            <w:pPr>
              <w:pStyle w:val="Tabletext"/>
              <w:jc w:val="right"/>
              <w:rPr>
                <w:b/>
              </w:rPr>
            </w:pPr>
            <w:r>
              <w:rPr>
                <w:b/>
              </w:rPr>
              <w:t>77.8</w:t>
            </w:r>
          </w:p>
        </w:tc>
      </w:tr>
    </w:tbl>
    <w:p w14:paraId="46EC6396" w14:textId="77777777" w:rsidR="002C6037" w:rsidRDefault="002C6037" w:rsidP="002C6037">
      <w:pPr>
        <w:pStyle w:val="Source"/>
      </w:pPr>
      <w:r>
        <w:t>Source:</w:t>
      </w:r>
      <w:r>
        <w:tab/>
        <w:t xml:space="preserve">NCVER </w:t>
      </w:r>
      <w:r>
        <w:fldChar w:fldCharType="begin"/>
      </w:r>
      <w:r>
        <w:instrText xml:space="preserve"> ADDIN EN.CITE &lt;EndNote&gt;&lt;Cite ExcludeAuth="1"&gt;&lt;Author&gt;NCVER&lt;/Author&gt;&lt;Year&gt;2013&lt;/Year&gt;&lt;RecNum&gt;330&lt;/RecNum&gt;&lt;DisplayText&gt;(2013)&lt;/DisplayText&gt;&lt;record&gt;&lt;rec-number&gt;330&lt;/rec-number&gt;&lt;foreign-keys&gt;&lt;key app="EN" db-id="0xrr5a5zkrxdw5esxr55w5a79ptftt5a20fr"&gt;330&lt;/key&gt;&lt;/foreign-keys&gt;&lt;ref-type name="Report"&gt;27&lt;/ref-type&gt;&lt;contributors&gt;&lt;authors&gt;&lt;author&gt;NCVER&lt;/author&gt;&lt;/authors&gt;&lt;/contributors&gt;&lt;titles&gt;&lt;title&gt;Student outcomes, unpublished data&lt;/title&gt;&lt;/titles&gt;&lt;dates&gt;&lt;year&gt;2013&lt;/year&gt;&lt;/dates&gt;&lt;pub-location&gt;Adelaide&lt;/pub-location&gt;&lt;urls&gt;&lt;/urls&gt;&lt;/record&gt;&lt;/Cite&gt;&lt;/EndNote&gt;</w:instrText>
      </w:r>
      <w:r>
        <w:fldChar w:fldCharType="separate"/>
      </w:r>
      <w:r>
        <w:rPr>
          <w:noProof/>
        </w:rPr>
        <w:t>(</w:t>
      </w:r>
      <w:hyperlink w:anchor="_ENREF_19" w:tooltip="NCVER, 2013 #330" w:history="1">
        <w:r w:rsidR="00B03184">
          <w:rPr>
            <w:noProof/>
          </w:rPr>
          <w:t>2013</w:t>
        </w:r>
      </w:hyperlink>
      <w:r>
        <w:rPr>
          <w:noProof/>
        </w:rPr>
        <w:t>)</w:t>
      </w:r>
      <w:r>
        <w:fldChar w:fldCharType="end"/>
      </w:r>
      <w:r>
        <w:t>.</w:t>
      </w:r>
    </w:p>
    <w:p w14:paraId="75B53EE4" w14:textId="77777777" w:rsidR="002C6037" w:rsidRDefault="002C6037" w:rsidP="002C6037">
      <w:pPr>
        <w:pStyle w:val="Source"/>
      </w:pPr>
      <w:r>
        <w:t>Notes:</w:t>
      </w:r>
      <w:r>
        <w:tab/>
      </w:r>
      <w:proofErr w:type="spellStart"/>
      <w:proofErr w:type="gramStart"/>
      <w:r>
        <w:t>na</w:t>
      </w:r>
      <w:proofErr w:type="spellEnd"/>
      <w:proofErr w:type="gramEnd"/>
      <w:r>
        <w:t xml:space="preserve"> </w:t>
      </w:r>
      <w:r w:rsidRPr="00147C93">
        <w:t>Not applicable</w:t>
      </w:r>
    </w:p>
    <w:p w14:paraId="453AA305" w14:textId="77777777" w:rsidR="002C6037" w:rsidRDefault="002C6037" w:rsidP="002C6037">
      <w:pPr>
        <w:pStyle w:val="Source"/>
        <w:ind w:firstLine="0"/>
      </w:pPr>
      <w:r>
        <w:t xml:space="preserve">* The estimate has a relative standard error greater than, or equal to, 25% and therefore should be used with caution. </w:t>
      </w:r>
    </w:p>
    <w:p w14:paraId="758CC9C2" w14:textId="77777777" w:rsidR="002C6037" w:rsidRDefault="002C6037" w:rsidP="002C6037">
      <w:pPr>
        <w:pStyle w:val="Source"/>
        <w:ind w:firstLine="0"/>
      </w:pPr>
      <w:proofErr w:type="gramStart"/>
      <w:r>
        <w:t>np</w:t>
      </w:r>
      <w:proofErr w:type="gramEnd"/>
      <w:r>
        <w:t xml:space="preserve"> Not published. NCVER does not report on estimates based on five or fewer respondents because the estimates are unreliable.</w:t>
      </w:r>
    </w:p>
    <w:p w14:paraId="35251A9A" w14:textId="77777777" w:rsidR="002C6037" w:rsidRDefault="002C6037" w:rsidP="002C6037">
      <w:pPr>
        <w:pStyle w:val="Text"/>
      </w:pPr>
      <w:r>
        <w:t>Unfortunately employment rates are not published for the small number of graduates of higher education diplomas and associate degrees. However, Graduate Careers Australia’s (2012) Australian Graduate Survey reports that 72.6% of agriculture bachelor graduates in 2011 who were available for full time employment were employed full time, rather lower than the bachelor graduates’ employment rate for all fields of 76.1%. This was a slight increase over the rate of 70.9% in the 2011 Australian Graduate Survey.</w:t>
      </w:r>
    </w:p>
    <w:p w14:paraId="6B7A5AFD" w14:textId="77777777" w:rsidR="002C6037" w:rsidRDefault="002C6037" w:rsidP="002C6037">
      <w:pPr>
        <w:pStyle w:val="Text"/>
      </w:pPr>
      <w:r>
        <w:t xml:space="preserve">While there was a fall in the employment rate of agriculture diploma or higher graduates in the 2012 Students Outcomes Survey compared to the 2011 survey, the proportion employed in agriculture was very similar. As we previously reported 51.7% were employed in agriculture in 2011, which was just </w:t>
      </w:r>
      <w:r>
        <w:lastRenderedPageBreak/>
        <w:t xml:space="preserve">over double the rate for all fields of 25.5% for vocational diploma graduates </w:t>
      </w:r>
      <w:r>
        <w:fldChar w:fldCharType="begin"/>
      </w:r>
      <w:r>
        <w:instrText xml:space="preserve"> ADDIN EN.CITE &lt;EndNote&gt;&lt;Cite&gt;&lt;Author&gt;Moodie&lt;/Author&gt;&lt;Year&gt;2013&lt;/Year&gt;&lt;RecNum&gt;3168&lt;/RecNum&gt;&lt;DisplayText&gt;(Moodie et al., 2013)&lt;/DisplayText&gt;&lt;record&gt;&lt;rec-number&gt;3168&lt;/rec-number&gt;&lt;foreign-keys&gt;&lt;key app="EN" db-id="vadepsw2f2aeebevffz5fzpddt9tvewsatpr" timestamp="1359515584"&gt;3168&lt;/key&gt;&lt;/foreign-keys&gt;&lt;ref-type name="Report"&gt;27&lt;/ref-type&gt;&lt;contributors&gt;&lt;authors&gt;&lt;author&gt;Moodie, Gavin&lt;/author&gt;&lt;author&gt;Fredman, Nick&lt;/author&gt;&lt;author&gt;Bexley, Emmaline&lt;/author&gt;&lt;author&gt;Wheelahan, Leesa&lt;/author&gt;&lt;/authors&gt;&lt;/contributors&gt;&lt;titles&gt;&lt;title&gt;Vocational education’s variable links to vocations&lt;/title&gt;&lt;/titles&gt;&lt;dates&gt;&lt;year&gt;2013&lt;/year&gt;&lt;pub-dates&gt;&lt;date&gt;19 December 2013&lt;/date&gt;&lt;/pub-dates&gt;&lt;/dates&gt;&lt;pub-location&gt;Adelaide&lt;/pub-location&gt;&lt;publisher&gt;National Centre for Vocational Education Research&lt;/publisher&gt;&lt;label&gt;NCVER Vcations project&lt;/label&gt;&lt;urls&gt;&lt;related-urls&gt;&lt;url&gt;&amp;lt;http://www.ncver.edu.au/publications/2689.html&amp;gt; viewed 21 December&lt;/url&gt;&lt;/related-urls&gt;&lt;/urls&gt;&lt;/record&gt;&lt;/Cite&gt;&lt;/EndNote&gt;</w:instrText>
      </w:r>
      <w:r>
        <w:fldChar w:fldCharType="separate"/>
      </w:r>
      <w:r>
        <w:rPr>
          <w:noProof/>
        </w:rPr>
        <w:t>(</w:t>
      </w:r>
      <w:hyperlink w:anchor="_ENREF_17" w:tooltip="Moodie, 2013 #3168" w:history="1">
        <w:r w:rsidR="00B03184">
          <w:rPr>
            <w:noProof/>
          </w:rPr>
          <w:t>Moodie et al. 2013</w:t>
        </w:r>
      </w:hyperlink>
      <w:r>
        <w:rPr>
          <w:noProof/>
        </w:rPr>
        <w:t>)</w:t>
      </w:r>
      <w:r>
        <w:fldChar w:fldCharType="end"/>
      </w:r>
      <w:r>
        <w:t xml:space="preserve">. The respective 2012 survey figure for graduates of diploma or higher graduates is </w:t>
      </w:r>
      <w:r w:rsidRPr="000A6839">
        <w:t>50.4%</w:t>
      </w:r>
      <w:r>
        <w:t xml:space="preserve">, again around double that for diploma or higher graduates from all fields (Table </w:t>
      </w:r>
      <w:r w:rsidR="00EF732C">
        <w:t>7</w:t>
      </w:r>
      <w:r>
        <w:t>).</w:t>
      </w:r>
    </w:p>
    <w:p w14:paraId="50017BF8" w14:textId="77777777" w:rsidR="002C6037" w:rsidRDefault="002C6037" w:rsidP="002C6037">
      <w:pPr>
        <w:pStyle w:val="tabletitle"/>
      </w:pPr>
      <w:bookmarkStart w:id="44" w:name="_Toc248818128"/>
      <w:bookmarkStart w:id="45" w:name="_Toc257836870"/>
      <w:r>
        <w:t xml:space="preserve">Table </w:t>
      </w:r>
      <w:r w:rsidR="00EF732C">
        <w:t>7</w:t>
      </w:r>
      <w:r>
        <w:tab/>
        <w:t>Percentage of those employed six months after training working in the same occupation as their training, by level of qualification in the broad field of education of agriculture, environmental and related studies and the narrow field of education of agriculture, 2012</w:t>
      </w:r>
      <w:bookmarkEnd w:id="44"/>
      <w:bookmarkEnd w:id="45"/>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2C6037" w:rsidRPr="00354810" w14:paraId="264DAD3E" w14:textId="77777777" w:rsidTr="00721F1E">
        <w:trPr>
          <w:trHeight w:val="255"/>
          <w:tblHeader/>
        </w:trPr>
        <w:tc>
          <w:tcPr>
            <w:tcW w:w="2876" w:type="dxa"/>
            <w:tcBorders>
              <w:top w:val="single" w:sz="4" w:space="0" w:color="auto"/>
              <w:bottom w:val="nil"/>
            </w:tcBorders>
            <w:shd w:val="clear" w:color="auto" w:fill="auto"/>
            <w:vAlign w:val="center"/>
          </w:tcPr>
          <w:p w14:paraId="63FDADD6" w14:textId="77777777" w:rsidR="002C6037" w:rsidRPr="00354810" w:rsidRDefault="002C6037" w:rsidP="00721F1E">
            <w:pPr>
              <w:pStyle w:val="Tablehead1"/>
            </w:pPr>
            <w:r w:rsidRPr="00354810">
              <w:t>Field of education</w:t>
            </w:r>
          </w:p>
        </w:tc>
        <w:tc>
          <w:tcPr>
            <w:tcW w:w="860" w:type="dxa"/>
            <w:tcBorders>
              <w:top w:val="single" w:sz="4" w:space="0" w:color="auto"/>
              <w:bottom w:val="nil"/>
            </w:tcBorders>
            <w:vAlign w:val="center"/>
          </w:tcPr>
          <w:p w14:paraId="1602D54B" w14:textId="77777777" w:rsidR="002C6037" w:rsidRPr="00354810" w:rsidRDefault="002C6037" w:rsidP="00721F1E">
            <w:pPr>
              <w:pStyle w:val="Tablehead1"/>
              <w:jc w:val="right"/>
              <w:rPr>
                <w:bCs/>
              </w:rPr>
            </w:pPr>
            <w:r w:rsidRPr="00354810">
              <w:rPr>
                <w:bCs/>
              </w:rPr>
              <w:t>Cert I</w:t>
            </w:r>
          </w:p>
        </w:tc>
        <w:tc>
          <w:tcPr>
            <w:tcW w:w="861" w:type="dxa"/>
            <w:tcBorders>
              <w:top w:val="single" w:sz="4" w:space="0" w:color="auto"/>
              <w:bottom w:val="nil"/>
            </w:tcBorders>
            <w:vAlign w:val="center"/>
          </w:tcPr>
          <w:p w14:paraId="05BD5CF7" w14:textId="77777777" w:rsidR="002C6037" w:rsidRPr="00354810" w:rsidRDefault="002C6037" w:rsidP="00721F1E">
            <w:pPr>
              <w:pStyle w:val="Tablehead1"/>
              <w:jc w:val="right"/>
              <w:rPr>
                <w:bCs/>
              </w:rPr>
            </w:pPr>
            <w:r w:rsidRPr="00354810">
              <w:rPr>
                <w:bCs/>
              </w:rPr>
              <w:t>Cert II</w:t>
            </w:r>
          </w:p>
        </w:tc>
        <w:tc>
          <w:tcPr>
            <w:tcW w:w="861" w:type="dxa"/>
            <w:tcBorders>
              <w:top w:val="single" w:sz="4" w:space="0" w:color="auto"/>
              <w:bottom w:val="nil"/>
            </w:tcBorders>
            <w:shd w:val="clear" w:color="auto" w:fill="auto"/>
            <w:vAlign w:val="center"/>
          </w:tcPr>
          <w:p w14:paraId="4CA4247B" w14:textId="77777777" w:rsidR="002C6037" w:rsidRPr="00354810" w:rsidRDefault="002C6037" w:rsidP="00721F1E">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501857BA" w14:textId="77777777" w:rsidR="002C6037" w:rsidRPr="00354810" w:rsidRDefault="002C6037" w:rsidP="00721F1E">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50EA5AA1" w14:textId="77777777" w:rsidR="002C6037" w:rsidRPr="00354810" w:rsidRDefault="002C6037" w:rsidP="00721F1E">
            <w:pPr>
              <w:pStyle w:val="Tablehead1"/>
              <w:jc w:val="right"/>
              <w:rPr>
                <w:bCs/>
              </w:rPr>
            </w:pPr>
            <w:r>
              <w:rPr>
                <w:bCs/>
              </w:rPr>
              <w:t>Dips and above</w:t>
            </w:r>
          </w:p>
        </w:tc>
        <w:tc>
          <w:tcPr>
            <w:tcW w:w="861" w:type="dxa"/>
            <w:tcBorders>
              <w:top w:val="single" w:sz="4" w:space="0" w:color="auto"/>
              <w:bottom w:val="nil"/>
            </w:tcBorders>
            <w:vAlign w:val="center"/>
          </w:tcPr>
          <w:p w14:paraId="49A3A715" w14:textId="77777777" w:rsidR="002C6037" w:rsidRPr="00354810" w:rsidRDefault="002C6037" w:rsidP="00721F1E">
            <w:pPr>
              <w:pStyle w:val="Tablehead1"/>
              <w:jc w:val="right"/>
              <w:rPr>
                <w:bCs/>
              </w:rPr>
            </w:pPr>
            <w:r w:rsidRPr="00354810">
              <w:rPr>
                <w:bCs/>
              </w:rPr>
              <w:t>All levels</w:t>
            </w:r>
          </w:p>
        </w:tc>
      </w:tr>
      <w:tr w:rsidR="002C6037" w:rsidRPr="00354810" w14:paraId="5DDD707C" w14:textId="77777777" w:rsidTr="00721F1E">
        <w:trPr>
          <w:trHeight w:val="510"/>
        </w:trPr>
        <w:tc>
          <w:tcPr>
            <w:tcW w:w="2876" w:type="dxa"/>
            <w:tcBorders>
              <w:top w:val="nil"/>
              <w:bottom w:val="nil"/>
            </w:tcBorders>
            <w:shd w:val="clear" w:color="auto" w:fill="auto"/>
            <w:vAlign w:val="center"/>
          </w:tcPr>
          <w:p w14:paraId="0CFBEA7C" w14:textId="77777777" w:rsidR="002C6037" w:rsidRPr="00354810" w:rsidRDefault="002C6037" w:rsidP="00721F1E">
            <w:pPr>
              <w:pStyle w:val="Tabletext"/>
              <w:rPr>
                <w:b/>
              </w:rPr>
            </w:pPr>
            <w:r w:rsidRPr="00354810">
              <w:rPr>
                <w:b/>
              </w:rPr>
              <w:t>Agriculture, environmental and related studies</w:t>
            </w:r>
          </w:p>
        </w:tc>
        <w:tc>
          <w:tcPr>
            <w:tcW w:w="860" w:type="dxa"/>
            <w:tcBorders>
              <w:top w:val="nil"/>
              <w:bottom w:val="nil"/>
            </w:tcBorders>
            <w:vAlign w:val="center"/>
          </w:tcPr>
          <w:p w14:paraId="375F4B0C" w14:textId="77777777" w:rsidR="002C6037" w:rsidRPr="00354810" w:rsidRDefault="002C6037" w:rsidP="00721F1E">
            <w:pPr>
              <w:pStyle w:val="Tabletext"/>
              <w:jc w:val="right"/>
            </w:pPr>
            <w:r>
              <w:t>0.0</w:t>
            </w:r>
          </w:p>
        </w:tc>
        <w:tc>
          <w:tcPr>
            <w:tcW w:w="861" w:type="dxa"/>
            <w:tcBorders>
              <w:top w:val="nil"/>
              <w:bottom w:val="nil"/>
            </w:tcBorders>
            <w:vAlign w:val="center"/>
          </w:tcPr>
          <w:p w14:paraId="5DCEE772" w14:textId="77777777" w:rsidR="002C6037" w:rsidRPr="00354810" w:rsidRDefault="002C6037" w:rsidP="00721F1E">
            <w:pPr>
              <w:pStyle w:val="Tabletext"/>
              <w:jc w:val="right"/>
            </w:pPr>
            <w:r>
              <w:t>27.4*</w:t>
            </w:r>
          </w:p>
        </w:tc>
        <w:tc>
          <w:tcPr>
            <w:tcW w:w="861" w:type="dxa"/>
            <w:tcBorders>
              <w:top w:val="nil"/>
              <w:bottom w:val="nil"/>
            </w:tcBorders>
            <w:shd w:val="clear" w:color="auto" w:fill="auto"/>
            <w:vAlign w:val="center"/>
          </w:tcPr>
          <w:p w14:paraId="6591E351" w14:textId="77777777" w:rsidR="002C6037" w:rsidRPr="00354810" w:rsidRDefault="002C6037" w:rsidP="00721F1E">
            <w:pPr>
              <w:pStyle w:val="Tabletext"/>
              <w:jc w:val="right"/>
            </w:pPr>
            <w:r>
              <w:t>44.8</w:t>
            </w:r>
          </w:p>
        </w:tc>
        <w:tc>
          <w:tcPr>
            <w:tcW w:w="860" w:type="dxa"/>
            <w:tcBorders>
              <w:top w:val="nil"/>
              <w:bottom w:val="nil"/>
            </w:tcBorders>
            <w:shd w:val="clear" w:color="auto" w:fill="auto"/>
            <w:vAlign w:val="center"/>
          </w:tcPr>
          <w:p w14:paraId="28CA91A3" w14:textId="77777777" w:rsidR="002C6037" w:rsidRPr="00354810" w:rsidRDefault="002C6037" w:rsidP="00721F1E">
            <w:pPr>
              <w:pStyle w:val="Tabletext"/>
              <w:jc w:val="right"/>
            </w:pPr>
            <w:r>
              <w:t>28.6*</w:t>
            </w:r>
          </w:p>
        </w:tc>
        <w:tc>
          <w:tcPr>
            <w:tcW w:w="861" w:type="dxa"/>
            <w:tcBorders>
              <w:top w:val="nil"/>
              <w:bottom w:val="nil"/>
            </w:tcBorders>
            <w:shd w:val="pct12" w:color="auto" w:fill="auto"/>
            <w:vAlign w:val="center"/>
          </w:tcPr>
          <w:p w14:paraId="7E41F3AD" w14:textId="77777777" w:rsidR="002C6037" w:rsidRPr="00354810" w:rsidRDefault="002C6037" w:rsidP="00721F1E">
            <w:pPr>
              <w:pStyle w:val="Tabletext"/>
              <w:jc w:val="right"/>
            </w:pPr>
            <w:r>
              <w:t>30.1*</w:t>
            </w:r>
          </w:p>
        </w:tc>
        <w:tc>
          <w:tcPr>
            <w:tcW w:w="861" w:type="dxa"/>
            <w:tcBorders>
              <w:top w:val="nil"/>
              <w:bottom w:val="nil"/>
            </w:tcBorders>
            <w:vAlign w:val="center"/>
          </w:tcPr>
          <w:p w14:paraId="432E2F68" w14:textId="77777777" w:rsidR="002C6037" w:rsidRPr="00354810" w:rsidRDefault="002C6037" w:rsidP="00721F1E">
            <w:pPr>
              <w:pStyle w:val="Tabletext"/>
              <w:jc w:val="right"/>
              <w:rPr>
                <w:b/>
              </w:rPr>
            </w:pPr>
            <w:r>
              <w:rPr>
                <w:b/>
              </w:rPr>
              <w:t>36.9</w:t>
            </w:r>
          </w:p>
        </w:tc>
      </w:tr>
      <w:tr w:rsidR="002C6037" w:rsidRPr="00354810" w14:paraId="7F05D758" w14:textId="77777777" w:rsidTr="00721F1E">
        <w:trPr>
          <w:trHeight w:val="255"/>
        </w:trPr>
        <w:tc>
          <w:tcPr>
            <w:tcW w:w="2876" w:type="dxa"/>
            <w:tcBorders>
              <w:top w:val="nil"/>
              <w:bottom w:val="nil"/>
            </w:tcBorders>
            <w:shd w:val="clear" w:color="auto" w:fill="auto"/>
            <w:vAlign w:val="center"/>
          </w:tcPr>
          <w:p w14:paraId="13313EBC" w14:textId="77777777" w:rsidR="002C6037" w:rsidRPr="00354810" w:rsidRDefault="002C6037" w:rsidP="00721F1E">
            <w:pPr>
              <w:pStyle w:val="Tabletext"/>
              <w:ind w:left="567"/>
            </w:pPr>
            <w:r w:rsidRPr="00354810">
              <w:t>Agriculture</w:t>
            </w:r>
          </w:p>
        </w:tc>
        <w:tc>
          <w:tcPr>
            <w:tcW w:w="860" w:type="dxa"/>
            <w:tcBorders>
              <w:top w:val="nil"/>
              <w:bottom w:val="nil"/>
            </w:tcBorders>
            <w:vAlign w:val="center"/>
          </w:tcPr>
          <w:p w14:paraId="6340652C" w14:textId="77777777" w:rsidR="002C6037" w:rsidRPr="00354810" w:rsidRDefault="002C6037" w:rsidP="00721F1E">
            <w:pPr>
              <w:pStyle w:val="Tabletext"/>
              <w:jc w:val="right"/>
            </w:pPr>
            <w:r>
              <w:t>0.0</w:t>
            </w:r>
          </w:p>
        </w:tc>
        <w:tc>
          <w:tcPr>
            <w:tcW w:w="861" w:type="dxa"/>
            <w:tcBorders>
              <w:top w:val="nil"/>
              <w:bottom w:val="nil"/>
            </w:tcBorders>
            <w:vAlign w:val="center"/>
          </w:tcPr>
          <w:p w14:paraId="38762FA3" w14:textId="77777777" w:rsidR="002C6037" w:rsidRPr="00354810" w:rsidRDefault="002C6037" w:rsidP="00721F1E">
            <w:pPr>
              <w:pStyle w:val="Tabletext"/>
              <w:jc w:val="right"/>
            </w:pPr>
            <w:r>
              <w:t>44.8*</w:t>
            </w:r>
          </w:p>
        </w:tc>
        <w:tc>
          <w:tcPr>
            <w:tcW w:w="861" w:type="dxa"/>
            <w:tcBorders>
              <w:top w:val="nil"/>
              <w:bottom w:val="nil"/>
            </w:tcBorders>
            <w:shd w:val="clear" w:color="auto" w:fill="auto"/>
            <w:vAlign w:val="center"/>
          </w:tcPr>
          <w:p w14:paraId="290E5436" w14:textId="77777777" w:rsidR="002C6037" w:rsidRPr="00354810" w:rsidRDefault="002C6037" w:rsidP="00721F1E">
            <w:pPr>
              <w:pStyle w:val="Tabletext"/>
              <w:jc w:val="right"/>
            </w:pPr>
            <w:r>
              <w:t>36.6</w:t>
            </w:r>
          </w:p>
        </w:tc>
        <w:tc>
          <w:tcPr>
            <w:tcW w:w="860" w:type="dxa"/>
            <w:tcBorders>
              <w:top w:val="nil"/>
              <w:bottom w:val="nil"/>
            </w:tcBorders>
            <w:shd w:val="clear" w:color="auto" w:fill="auto"/>
            <w:vAlign w:val="center"/>
          </w:tcPr>
          <w:p w14:paraId="25C166D9" w14:textId="77777777" w:rsidR="002C6037" w:rsidRPr="00354810" w:rsidRDefault="002C6037" w:rsidP="00721F1E">
            <w:pPr>
              <w:pStyle w:val="Tabletext"/>
              <w:jc w:val="right"/>
            </w:pPr>
            <w:r>
              <w:t>20.1*</w:t>
            </w:r>
          </w:p>
        </w:tc>
        <w:tc>
          <w:tcPr>
            <w:tcW w:w="861" w:type="dxa"/>
            <w:tcBorders>
              <w:top w:val="nil"/>
              <w:bottom w:val="nil"/>
            </w:tcBorders>
            <w:shd w:val="pct12" w:color="auto" w:fill="auto"/>
            <w:vAlign w:val="center"/>
          </w:tcPr>
          <w:p w14:paraId="07935466" w14:textId="77777777" w:rsidR="002C6037" w:rsidRPr="00354810" w:rsidRDefault="002C6037" w:rsidP="00721F1E">
            <w:pPr>
              <w:pStyle w:val="Tabletext"/>
              <w:jc w:val="right"/>
            </w:pPr>
            <w:r>
              <w:t>50.4</w:t>
            </w:r>
          </w:p>
        </w:tc>
        <w:tc>
          <w:tcPr>
            <w:tcW w:w="861" w:type="dxa"/>
            <w:tcBorders>
              <w:top w:val="nil"/>
              <w:bottom w:val="nil"/>
            </w:tcBorders>
            <w:vAlign w:val="center"/>
          </w:tcPr>
          <w:p w14:paraId="3A197E0F" w14:textId="77777777" w:rsidR="002C6037" w:rsidRPr="00354810" w:rsidRDefault="002C6037" w:rsidP="00721F1E">
            <w:pPr>
              <w:pStyle w:val="Tabletext"/>
              <w:jc w:val="right"/>
              <w:rPr>
                <w:b/>
              </w:rPr>
            </w:pPr>
            <w:r>
              <w:rPr>
                <w:b/>
              </w:rPr>
              <w:t>37.8</w:t>
            </w:r>
          </w:p>
        </w:tc>
      </w:tr>
      <w:tr w:rsidR="002C6037" w:rsidRPr="00354810" w14:paraId="45657B65" w14:textId="77777777" w:rsidTr="00721F1E">
        <w:trPr>
          <w:trHeight w:val="255"/>
        </w:trPr>
        <w:tc>
          <w:tcPr>
            <w:tcW w:w="2876" w:type="dxa"/>
            <w:tcBorders>
              <w:top w:val="single" w:sz="4" w:space="0" w:color="auto"/>
              <w:bottom w:val="single" w:sz="4" w:space="0" w:color="auto"/>
            </w:tcBorders>
            <w:shd w:val="clear" w:color="auto" w:fill="auto"/>
            <w:vAlign w:val="center"/>
          </w:tcPr>
          <w:p w14:paraId="1E233944" w14:textId="77777777" w:rsidR="002C6037" w:rsidRPr="00354810" w:rsidRDefault="002C6037" w:rsidP="00721F1E">
            <w:pPr>
              <w:pStyle w:val="Tabletext"/>
              <w:rPr>
                <w:b/>
              </w:rPr>
            </w:pPr>
            <w:r w:rsidRPr="00354810">
              <w:rPr>
                <w:b/>
              </w:rPr>
              <w:t>All fields</w:t>
            </w:r>
          </w:p>
        </w:tc>
        <w:tc>
          <w:tcPr>
            <w:tcW w:w="860" w:type="dxa"/>
            <w:tcBorders>
              <w:top w:val="single" w:sz="4" w:space="0" w:color="auto"/>
              <w:bottom w:val="single" w:sz="4" w:space="0" w:color="auto"/>
            </w:tcBorders>
            <w:vAlign w:val="center"/>
          </w:tcPr>
          <w:p w14:paraId="4858A791" w14:textId="77777777" w:rsidR="002C6037" w:rsidRPr="00354810" w:rsidRDefault="002C6037" w:rsidP="00721F1E">
            <w:pPr>
              <w:pStyle w:val="Tabletext"/>
              <w:jc w:val="right"/>
              <w:rPr>
                <w:b/>
              </w:rPr>
            </w:pPr>
            <w:r>
              <w:rPr>
                <w:b/>
              </w:rPr>
              <w:t>24.0*</w:t>
            </w:r>
          </w:p>
        </w:tc>
        <w:tc>
          <w:tcPr>
            <w:tcW w:w="861" w:type="dxa"/>
            <w:tcBorders>
              <w:top w:val="single" w:sz="4" w:space="0" w:color="auto"/>
              <w:bottom w:val="single" w:sz="4" w:space="0" w:color="auto"/>
            </w:tcBorders>
            <w:vAlign w:val="center"/>
          </w:tcPr>
          <w:p w14:paraId="0C21328E" w14:textId="77777777" w:rsidR="002C6037" w:rsidRPr="00354810" w:rsidRDefault="002C6037" w:rsidP="00721F1E">
            <w:pPr>
              <w:pStyle w:val="Tabletext"/>
              <w:jc w:val="right"/>
              <w:rPr>
                <w:b/>
              </w:rPr>
            </w:pPr>
            <w:r>
              <w:rPr>
                <w:b/>
              </w:rPr>
              <w:t>22.3</w:t>
            </w:r>
          </w:p>
        </w:tc>
        <w:tc>
          <w:tcPr>
            <w:tcW w:w="861" w:type="dxa"/>
            <w:tcBorders>
              <w:top w:val="single" w:sz="4" w:space="0" w:color="auto"/>
              <w:bottom w:val="single" w:sz="4" w:space="0" w:color="auto"/>
            </w:tcBorders>
            <w:shd w:val="clear" w:color="auto" w:fill="auto"/>
            <w:vAlign w:val="center"/>
          </w:tcPr>
          <w:p w14:paraId="709D32FF" w14:textId="77777777" w:rsidR="002C6037" w:rsidRPr="00354810" w:rsidRDefault="002C6037" w:rsidP="00721F1E">
            <w:pPr>
              <w:pStyle w:val="Tabletext"/>
              <w:jc w:val="right"/>
              <w:rPr>
                <w:b/>
              </w:rPr>
            </w:pPr>
            <w:r>
              <w:rPr>
                <w:b/>
              </w:rPr>
              <w:t>60.0</w:t>
            </w:r>
          </w:p>
        </w:tc>
        <w:tc>
          <w:tcPr>
            <w:tcW w:w="860" w:type="dxa"/>
            <w:tcBorders>
              <w:top w:val="single" w:sz="4" w:space="0" w:color="auto"/>
              <w:bottom w:val="single" w:sz="4" w:space="0" w:color="auto"/>
            </w:tcBorders>
            <w:shd w:val="clear" w:color="auto" w:fill="auto"/>
            <w:vAlign w:val="center"/>
          </w:tcPr>
          <w:p w14:paraId="59BA506E" w14:textId="77777777" w:rsidR="002C6037" w:rsidRPr="00354810" w:rsidRDefault="002C6037" w:rsidP="00721F1E">
            <w:pPr>
              <w:pStyle w:val="Tabletext"/>
              <w:jc w:val="right"/>
              <w:rPr>
                <w:b/>
              </w:rPr>
            </w:pPr>
            <w:r>
              <w:rPr>
                <w:b/>
              </w:rPr>
              <w:t>26.2</w:t>
            </w:r>
          </w:p>
        </w:tc>
        <w:tc>
          <w:tcPr>
            <w:tcW w:w="861" w:type="dxa"/>
            <w:tcBorders>
              <w:top w:val="single" w:sz="4" w:space="0" w:color="auto"/>
              <w:bottom w:val="single" w:sz="4" w:space="0" w:color="auto"/>
            </w:tcBorders>
            <w:shd w:val="pct12" w:color="auto" w:fill="auto"/>
            <w:vAlign w:val="center"/>
          </w:tcPr>
          <w:p w14:paraId="5BAC6619" w14:textId="77777777" w:rsidR="002C6037" w:rsidRPr="00354810" w:rsidRDefault="002C6037" w:rsidP="00721F1E">
            <w:pPr>
              <w:pStyle w:val="Tabletext"/>
              <w:jc w:val="right"/>
              <w:rPr>
                <w:b/>
              </w:rPr>
            </w:pPr>
            <w:r>
              <w:rPr>
                <w:b/>
              </w:rPr>
              <w:t>25.1</w:t>
            </w:r>
          </w:p>
        </w:tc>
        <w:tc>
          <w:tcPr>
            <w:tcW w:w="861" w:type="dxa"/>
            <w:tcBorders>
              <w:top w:val="single" w:sz="4" w:space="0" w:color="auto"/>
              <w:bottom w:val="single" w:sz="4" w:space="0" w:color="auto"/>
            </w:tcBorders>
            <w:vAlign w:val="center"/>
          </w:tcPr>
          <w:p w14:paraId="7FD5BAA0" w14:textId="77777777" w:rsidR="002C6037" w:rsidRPr="00354810" w:rsidRDefault="002C6037" w:rsidP="00721F1E">
            <w:pPr>
              <w:pStyle w:val="Tabletext"/>
              <w:jc w:val="right"/>
              <w:rPr>
                <w:b/>
              </w:rPr>
            </w:pPr>
            <w:r>
              <w:rPr>
                <w:b/>
              </w:rPr>
              <w:t>41.1</w:t>
            </w:r>
          </w:p>
        </w:tc>
      </w:tr>
    </w:tbl>
    <w:p w14:paraId="613BA17D" w14:textId="77777777" w:rsidR="002C6037" w:rsidRDefault="002C6037" w:rsidP="002C6037">
      <w:pPr>
        <w:pStyle w:val="Source"/>
      </w:pPr>
      <w:r>
        <w:t>Source:</w:t>
      </w:r>
      <w:r>
        <w:tab/>
        <w:t xml:space="preserve">NCVER </w:t>
      </w:r>
      <w:r>
        <w:fldChar w:fldCharType="begin"/>
      </w:r>
      <w:r>
        <w:instrText xml:space="preserve"> ADDIN EN.CITE &lt;EndNote&gt;&lt;Cite ExcludeAuth="1"&gt;&lt;Author&gt;NCVER&lt;/Author&gt;&lt;Year&gt;2013&lt;/Year&gt;&lt;RecNum&gt;330&lt;/RecNum&gt;&lt;DisplayText&gt;(2013)&lt;/DisplayText&gt;&lt;record&gt;&lt;rec-number&gt;330&lt;/rec-number&gt;&lt;foreign-keys&gt;&lt;key app="EN" db-id="0xrr5a5zkrxdw5esxr55w5a79ptftt5a20fr"&gt;330&lt;/key&gt;&lt;/foreign-keys&gt;&lt;ref-type name="Report"&gt;27&lt;/ref-type&gt;&lt;contributors&gt;&lt;authors&gt;&lt;author&gt;NCVER&lt;/author&gt;&lt;/authors&gt;&lt;/contributors&gt;&lt;titles&gt;&lt;title&gt;Student outcomes, unpublished data&lt;/title&gt;&lt;/titles&gt;&lt;dates&gt;&lt;year&gt;2013&lt;/year&gt;&lt;/dates&gt;&lt;pub-location&gt;Adelaide&lt;/pub-location&gt;&lt;urls&gt;&lt;/urls&gt;&lt;/record&gt;&lt;/Cite&gt;&lt;/EndNote&gt;</w:instrText>
      </w:r>
      <w:r>
        <w:fldChar w:fldCharType="separate"/>
      </w:r>
      <w:r>
        <w:rPr>
          <w:noProof/>
        </w:rPr>
        <w:t>(</w:t>
      </w:r>
      <w:hyperlink w:anchor="_ENREF_19" w:tooltip="NCVER, 2013 #330" w:history="1">
        <w:r w:rsidR="00B03184">
          <w:rPr>
            <w:noProof/>
          </w:rPr>
          <w:t>2013</w:t>
        </w:r>
      </w:hyperlink>
      <w:r>
        <w:rPr>
          <w:noProof/>
        </w:rPr>
        <w:t>)</w:t>
      </w:r>
      <w:r>
        <w:fldChar w:fldCharType="end"/>
      </w:r>
      <w:r>
        <w:t>.</w:t>
      </w:r>
    </w:p>
    <w:p w14:paraId="47AF2368" w14:textId="77777777" w:rsidR="002C6037" w:rsidRDefault="002C6037" w:rsidP="002C6037">
      <w:pPr>
        <w:pStyle w:val="Source"/>
      </w:pPr>
      <w:r>
        <w:t>Notes:</w:t>
      </w:r>
      <w:r>
        <w:tab/>
      </w:r>
      <w:proofErr w:type="spellStart"/>
      <w:proofErr w:type="gramStart"/>
      <w:r>
        <w:t>na</w:t>
      </w:r>
      <w:proofErr w:type="spellEnd"/>
      <w:proofErr w:type="gramEnd"/>
      <w:r>
        <w:t xml:space="preserve"> </w:t>
      </w:r>
      <w:r w:rsidRPr="00147C93">
        <w:t>Not applicable</w:t>
      </w:r>
    </w:p>
    <w:p w14:paraId="24EE354F" w14:textId="77777777" w:rsidR="002C6037" w:rsidRDefault="002C6037" w:rsidP="002C6037">
      <w:pPr>
        <w:pStyle w:val="Source"/>
        <w:ind w:firstLine="0"/>
      </w:pPr>
      <w:r>
        <w:t xml:space="preserve">* The estimate has a relative standard error greater than, or equal to, 25% and therefore should be used with caution. </w:t>
      </w:r>
    </w:p>
    <w:p w14:paraId="617FDA15" w14:textId="77777777" w:rsidR="002C6037" w:rsidRDefault="002C6037" w:rsidP="002C6037">
      <w:pPr>
        <w:pStyle w:val="Source"/>
        <w:ind w:firstLine="0"/>
      </w:pPr>
      <w:proofErr w:type="gramStart"/>
      <w:r>
        <w:t>np</w:t>
      </w:r>
      <w:proofErr w:type="gramEnd"/>
      <w:r>
        <w:t xml:space="preserve"> Not published. NCVER does not report on estimates based on five or fewer respondents because the estimates are unreliable.</w:t>
      </w:r>
    </w:p>
    <w:p w14:paraId="00DE554A" w14:textId="491ED9A9" w:rsidR="002C6037" w:rsidRDefault="002C6037" w:rsidP="002C6037">
      <w:pPr>
        <w:pStyle w:val="Text"/>
      </w:pPr>
      <w:r>
        <w:t>Two of the third stage partici</w:t>
      </w:r>
      <w:r w:rsidR="00943902">
        <w:t xml:space="preserve">pants with substantial and long </w:t>
      </w:r>
      <w:r>
        <w:t xml:space="preserve">standing involvement in </w:t>
      </w:r>
      <w:r w:rsidR="00FC03E9">
        <w:t xml:space="preserve">the </w:t>
      </w:r>
      <w:r w:rsidR="00943902">
        <w:t xml:space="preserve">VET sector emphasised that </w:t>
      </w:r>
      <w:r w:rsidR="00572455">
        <w:t>mid-level</w:t>
      </w:r>
      <w:r>
        <w:t xml:space="preserve"> qualifications (in this case certificate IVs and diplomas) had significant problems in being considered</w:t>
      </w:r>
      <w:r w:rsidR="00FC03E9">
        <w:t xml:space="preserve"> a suitable </w:t>
      </w:r>
      <w:r>
        <w:t xml:space="preserve">preparation for labour market entry because they did not cover the broad range of skills needed for such work. </w:t>
      </w:r>
    </w:p>
    <w:p w14:paraId="6C7A9C72" w14:textId="77777777" w:rsidR="002C6037" w:rsidRDefault="002C6037" w:rsidP="002C6037">
      <w:pPr>
        <w:pStyle w:val="Quote"/>
      </w:pPr>
      <w:r>
        <w:t>If someone comes in expecting I'll do a Certificate IV and that will get me an overseer or trainee manager’s jobs, and [unless] this bloke</w:t>
      </w:r>
      <w:r w:rsidR="00204C22">
        <w:t>’</w:t>
      </w:r>
      <w:r>
        <w:t>s got experience or they’ve done a lower-level qualification, it doesn’t really work that way. And I think that goes to the third point that all level qualifications are a market entry qualification, and I don't think the agriculture qualifications are… to be an overseer you also got to be a farm hand, and to be a manager you've also got to be a farm hand and an overseer, so you need to have both lower - level skills. I think the way qualifications are written currently they're very restrictive; if you come in and do a Certificate IV you can only really attach two practical Certificate III level units to that qualification… there's no entry requirements [as there was in previous packages]. The qualifications are very restrictive because they don't match job the description of what an overseer, a farm manager or a farmer would be.</w:t>
      </w:r>
      <w:r>
        <w:tab/>
        <w:t xml:space="preserve">(TAFE head teacher) </w:t>
      </w:r>
    </w:p>
    <w:p w14:paraId="36D0B3D5" w14:textId="77777777" w:rsidR="002C6037" w:rsidRDefault="002C6037" w:rsidP="002C6037">
      <w:pPr>
        <w:pStyle w:val="Quote"/>
      </w:pPr>
      <w:r>
        <w:t>Often a diploma is not the real entry; it's been made the entry because we want to make it look good. Let’s have Diploma as the entry level but we haven’t got the underpinning knowledge and skills to do that role.</w:t>
      </w:r>
      <w:r>
        <w:tab/>
        <w:t xml:space="preserve">(Training consultant) </w:t>
      </w:r>
    </w:p>
    <w:p w14:paraId="7F8FBF7A" w14:textId="3BB02B35" w:rsidR="002C6037" w:rsidRDefault="002C6037" w:rsidP="002C6037">
      <w:pPr>
        <w:pStyle w:val="Text"/>
      </w:pPr>
      <w:r>
        <w:t>However, these</w:t>
      </w:r>
      <w:r w:rsidR="00943902">
        <w:t xml:space="preserve"> and other participants saw </w:t>
      </w:r>
      <w:r w:rsidR="00572455">
        <w:t>mid-level</w:t>
      </w:r>
      <w:r>
        <w:t xml:space="preserve"> qualifications when combined with other skills, knowledge and experience as successful in occupational progression, in particular in preparing workers for managerial roles. Comments along these lines included:</w:t>
      </w:r>
    </w:p>
    <w:p w14:paraId="48B1A800" w14:textId="22D9B68D" w:rsidR="002C6037" w:rsidRDefault="002C6037" w:rsidP="002C6037">
      <w:pPr>
        <w:pStyle w:val="Quote"/>
      </w:pPr>
      <w:r>
        <w:t xml:space="preserve">It's probably about re-acquainting people or finishing them off ready for the management roles… turning those people that perhaps have </w:t>
      </w:r>
      <w:r w:rsidR="00E16CA7">
        <w:t>got a higher-</w:t>
      </w:r>
      <w:r>
        <w:t>level qualification or no qualification and lots of experience can finish them off in a job where they can be hands on, quite productive and have a fair range of knowledge about what they're doing.</w:t>
      </w:r>
      <w:r>
        <w:tab/>
        <w:t>(Training consultant)</w:t>
      </w:r>
    </w:p>
    <w:p w14:paraId="6286EB6E" w14:textId="77777777" w:rsidR="002C6037" w:rsidRDefault="002C6037" w:rsidP="002C6037">
      <w:pPr>
        <w:pStyle w:val="Quote"/>
      </w:pPr>
      <w:r>
        <w:t>T</w:t>
      </w:r>
      <w:r w:rsidRPr="002C264B">
        <w:t>he role I've seen</w:t>
      </w:r>
      <w:r>
        <w:t xml:space="preserve"> best described was by the NCDEA, </w:t>
      </w:r>
      <w:r w:rsidRPr="002C264B">
        <w:t>the National Centre for Dairy Education Australia and it's certainly up to managing level roles.</w:t>
      </w:r>
      <w:r>
        <w:tab/>
        <w:t>(University lecturer)</w:t>
      </w:r>
    </w:p>
    <w:p w14:paraId="6D02B639" w14:textId="08F67639" w:rsidR="002C6037" w:rsidRDefault="002C6037" w:rsidP="002C6037">
      <w:pPr>
        <w:pStyle w:val="Text"/>
      </w:pPr>
      <w:r>
        <w:t xml:space="preserve">The latter </w:t>
      </w:r>
      <w:r w:rsidR="00943902">
        <w:t>appears to be an example of</w:t>
      </w:r>
      <w:r>
        <w:t xml:space="preserve"> an author</w:t>
      </w:r>
      <w:r w:rsidR="00943902">
        <w:t xml:space="preserve">itative body representing a sub </w:t>
      </w:r>
      <w:r>
        <w:t xml:space="preserve">sector of agriculture </w:t>
      </w:r>
      <w:r w:rsidR="00943902">
        <w:t>working</w:t>
      </w:r>
      <w:r>
        <w:t xml:space="preserve"> closely with education providers to develop qual</w:t>
      </w:r>
      <w:r w:rsidR="00943902">
        <w:t xml:space="preserve">ifications closely matching </w:t>
      </w:r>
      <w:r w:rsidR="00572455">
        <w:t>mid-level</w:t>
      </w:r>
      <w:r>
        <w:t xml:space="preserve"> skills </w:t>
      </w:r>
      <w:r>
        <w:lastRenderedPageBreak/>
        <w:t>needs. The NCDEA has developed a range of qualifications delivered throu</w:t>
      </w:r>
      <w:r w:rsidR="00943902">
        <w:t>gh different TAFE systems from certificate I to advanced d</w:t>
      </w:r>
      <w:r>
        <w:t>iploma. The diplomas are designed for ‘Production Manager’,</w:t>
      </w:r>
      <w:r w:rsidRPr="002C264B">
        <w:t xml:space="preserve"> </w:t>
      </w:r>
      <w:r>
        <w:t>‘</w:t>
      </w:r>
      <w:r w:rsidRPr="002C264B">
        <w:t>Senior Production</w:t>
      </w:r>
      <w:r>
        <w:t xml:space="preserve"> Manager’ or ‘Business Manager’ in the </w:t>
      </w:r>
      <w:r w:rsidR="00FC03E9">
        <w:t>f</w:t>
      </w:r>
      <w:r>
        <w:t xml:space="preserve">arming stream, and there is a </w:t>
      </w:r>
      <w:r w:rsidRPr="00552A2B">
        <w:t>Diploma of Laboratory Technology</w:t>
      </w:r>
      <w:r>
        <w:t xml:space="preserve"> and a </w:t>
      </w:r>
      <w:r w:rsidRPr="00552A2B">
        <w:t>Diploma of Food Science &amp; Technology (Dairy)</w:t>
      </w:r>
      <w:r>
        <w:t xml:space="preserve"> in the </w:t>
      </w:r>
      <w:r w:rsidR="00FC03E9">
        <w:t>p</w:t>
      </w:r>
      <w:r>
        <w:t xml:space="preserve">rocessing stream of qualifications </w:t>
      </w:r>
      <w:r>
        <w:fldChar w:fldCharType="begin"/>
      </w:r>
      <w:r>
        <w:instrText xml:space="preserve"> ADDIN EN.CITE &lt;EndNote&gt;&lt;Cite ExcludeAuth="1"&gt;&lt;Author&gt;National Centre for Dairy Education Australia [NCDEA]&lt;/Author&gt;&lt;Year&gt;2010&lt;/Year&gt;&lt;RecNum&gt;325&lt;/RecNum&gt;&lt;Prefix&gt;NCDEA&lt;/Prefix&gt;&lt;DisplayText&gt;(NCDEA2010)&lt;/DisplayText&gt;&lt;record&gt;&lt;rec-number&gt;325&lt;/rec-number&gt;&lt;foreign-keys&gt;&lt;key app="EN" db-id="0xrr5a5zkrxdw5esxr55w5a79ptftt5a20fr"&gt;325&lt;/key&gt;&lt;/foreign-keys&gt;&lt;ref-type name="Web Page"&gt;12&lt;/ref-type&gt;&lt;contributors&gt;&lt;authors&gt;&lt;author&gt;National Centre for Dairy Education Australia [NCDEA],&lt;/author&gt;&lt;/authors&gt;&lt;/contributors&gt;&lt;titles&gt;&lt;title&gt;Courses&lt;/title&gt;&lt;/titles&gt;&lt;volume&gt;2013&lt;/volume&gt;&lt;number&gt;1 November 2013&lt;/number&gt;&lt;dates&gt;&lt;year&gt;2010&lt;/year&gt;&lt;/dates&gt;&lt;urls&gt;&lt;related-urls&gt;&lt;url&gt;http://www.ncdea.edu.au/Courses/Courses-home.aspx&lt;/url&gt;&lt;/related-urls&gt;&lt;/urls&gt;&lt;/record&gt;&lt;/Cite&gt;&lt;/EndNote&gt;</w:instrText>
      </w:r>
      <w:r>
        <w:fldChar w:fldCharType="separate"/>
      </w:r>
      <w:r>
        <w:rPr>
          <w:noProof/>
        </w:rPr>
        <w:t>(</w:t>
      </w:r>
      <w:hyperlink w:anchor="_ENREF_18" w:tooltip="National Centre for Dairy Education Australia [NCDEA], 2010 #325" w:history="1">
        <w:r w:rsidR="00B03184">
          <w:rPr>
            <w:noProof/>
          </w:rPr>
          <w:t>NCDEA2010</w:t>
        </w:r>
      </w:hyperlink>
      <w:r>
        <w:rPr>
          <w:noProof/>
        </w:rPr>
        <w:t>)</w:t>
      </w:r>
      <w:r>
        <w:fldChar w:fldCharType="end"/>
      </w:r>
      <w:r>
        <w:t xml:space="preserve">. </w:t>
      </w:r>
    </w:p>
    <w:p w14:paraId="18DD35D5" w14:textId="22803EA9" w:rsidR="002C6037" w:rsidRDefault="0001344C" w:rsidP="002C6037">
      <w:pPr>
        <w:pStyle w:val="Text"/>
      </w:pPr>
      <w:r>
        <w:t>There were differing views among our third stage participants about the changing nature of technical work in agriculture and the appropriate entry req</w:t>
      </w:r>
      <w:r w:rsidR="00BC717F">
        <w:t xml:space="preserve">uirements for this. </w:t>
      </w:r>
      <w:r w:rsidR="002C6037">
        <w:t>The TAFE teacher and employer consultant argu</w:t>
      </w:r>
      <w:r w:rsidR="00BC717F">
        <w:t xml:space="preserve">ed that diplomas should be well suited for high skilled, </w:t>
      </w:r>
      <w:r w:rsidR="00572455">
        <w:t>mid-level</w:t>
      </w:r>
      <w:r w:rsidR="002C6037">
        <w:t xml:space="preserve"> roles:</w:t>
      </w:r>
    </w:p>
    <w:p w14:paraId="7966E685" w14:textId="77777777" w:rsidR="002C6037" w:rsidRDefault="002C6037" w:rsidP="002C6037">
      <w:pPr>
        <w:pStyle w:val="Quote"/>
      </w:pPr>
      <w:r>
        <w:t>A really good mate who’s actually managing a breeding program for one of the private companies, and he’s looking for someone now and focussing on university students. And I said why aren’t you looking at Certificate IV or Diploma? He said they haven’t got enough science. But then I said to him if you get someone with an agricultural science degree graduate, that person hasn’t got enough practical stuff; what do you want them to do? Go out and sow your seeds properly, make sure they're fertilised and go and do the harvest or do you want them to do science of it? And he said well yeah, that was sort of the quandary he faced. Someone with a Certificate IV and a Diploma would be ideal for those sorts of research assistants and technical officers because they're going to have a much more practical lean — understanding the practicalities of doing that work. And you would expect that the scientists are the ones that have got to make all the scientific decisions and really the technical officer is just a bit of a problem solver.</w:t>
      </w:r>
      <w:r w:rsidRPr="00762F9C">
        <w:t xml:space="preserve"> </w:t>
      </w:r>
      <w:r>
        <w:tab/>
        <w:t>(TAFE teacher)</w:t>
      </w:r>
    </w:p>
    <w:p w14:paraId="7BA67AB8" w14:textId="77777777" w:rsidR="002C6037" w:rsidRDefault="002C6037" w:rsidP="002C6037">
      <w:pPr>
        <w:pStyle w:val="Quote"/>
      </w:pPr>
      <w:r>
        <w:t>I think … agronomy is moving towards a Diploma, I know Elders Land Mark are finding it increasingly beneficial to run them through a Diploma of agriculture than your business rather than a degree person, because they’ve got that hands on aspect to it.</w:t>
      </w:r>
      <w:r>
        <w:tab/>
        <w:t>(Training consultant)</w:t>
      </w:r>
    </w:p>
    <w:p w14:paraId="3CBECF2B" w14:textId="77777777" w:rsidR="002C6037" w:rsidRDefault="002C6037" w:rsidP="002C6037">
      <w:pPr>
        <w:pStyle w:val="Text"/>
      </w:pPr>
      <w:r>
        <w:t xml:space="preserve">In some contrast the </w:t>
      </w:r>
      <w:r w:rsidR="00EC3768">
        <w:t xml:space="preserve">skills council </w:t>
      </w:r>
      <w:r>
        <w:t>consultant argued that ‘technical work’ in agriculture encompassed a range of roles and thus a range of approaches in training was required:</w:t>
      </w:r>
    </w:p>
    <w:p w14:paraId="7F1E74DE" w14:textId="77777777" w:rsidR="002C6037" w:rsidRDefault="002C6037" w:rsidP="002C6037">
      <w:pPr>
        <w:pStyle w:val="Quote"/>
      </w:pPr>
      <w:proofErr w:type="gramStart"/>
      <w:r w:rsidRPr="00E646E7">
        <w:t>There's</w:t>
      </w:r>
      <w:proofErr w:type="gramEnd"/>
      <w:r w:rsidRPr="00E646E7">
        <w:t xml:space="preserve"> two kinds of jobs and I think people might be getting confused around the terminology. </w:t>
      </w:r>
      <w:proofErr w:type="gramStart"/>
      <w:r w:rsidRPr="00E646E7">
        <w:t>There's</w:t>
      </w:r>
      <w:proofErr w:type="gramEnd"/>
      <w:r w:rsidRPr="00E646E7">
        <w:t xml:space="preserve"> some technical officer type jobs which have that title which can often be seen in research and development related activities. That’d probably be more attuned to a person with a university degree, because they need that underpinning biology and science background. Whereas a technical person is another role, the farming system that’s supporting that with operations and planting/seeding equipment might be a person that would come up through the ranks and take that on. So I think </w:t>
      </w:r>
      <w:proofErr w:type="gramStart"/>
      <w:r w:rsidRPr="00E646E7">
        <w:t>there's</w:t>
      </w:r>
      <w:proofErr w:type="gramEnd"/>
      <w:r w:rsidRPr="00E646E7">
        <w:t xml:space="preserve"> probably two different types of jobs that appear to have the same name.</w:t>
      </w:r>
      <w:r>
        <w:tab/>
      </w:r>
    </w:p>
    <w:p w14:paraId="4E765718" w14:textId="25AEF27C" w:rsidR="002C6037" w:rsidRDefault="00036502" w:rsidP="002C6037">
      <w:pPr>
        <w:pStyle w:val="Text"/>
      </w:pPr>
      <w:r>
        <w:t>We</w:t>
      </w:r>
      <w:r w:rsidR="002C6037">
        <w:t xml:space="preserve"> have argued that qualifications </w:t>
      </w:r>
      <w:r>
        <w:t>have</w:t>
      </w:r>
      <w:r w:rsidR="002C6037">
        <w:t xml:space="preserve"> more a screening role or a human capital role</w:t>
      </w:r>
      <w:r>
        <w:t>, depending on the industry to which they are related, and that this affects the role that they can serve in gaining their graduates entry to or progression in the labour market</w:t>
      </w:r>
      <w:r w:rsidR="002C6037">
        <w:t>. Qualifications related to industries with loose, external labour markets, such as finance, emphasise a screening role</w:t>
      </w:r>
      <w:r w:rsidR="00C2279B">
        <w:t xml:space="preserve">. They are used by employers not to ensure that recruits have specific knowledge or skills, </w:t>
      </w:r>
      <w:r w:rsidR="001330F1">
        <w:t>but to screen out applicants who are assumed not to have</w:t>
      </w:r>
      <w:r w:rsidR="00C2279B">
        <w:t xml:space="preserve"> the general </w:t>
      </w:r>
      <w:r w:rsidR="002C6037">
        <w:t>level of aptitude</w:t>
      </w:r>
      <w:r w:rsidR="00C2279B">
        <w:t xml:space="preserve"> signalled by the qualification</w:t>
      </w:r>
      <w:r w:rsidR="002C6037">
        <w:t>.  Qualifications related to industries with structured or occupational labour markets, such as health and engineering, emphasise a human capital role</w:t>
      </w:r>
      <w:r w:rsidR="001330F1">
        <w:t>. They are used by employers to certify</w:t>
      </w:r>
      <w:r w:rsidR="002C6037">
        <w:t xml:space="preserve"> that graduates have developed specific </w:t>
      </w:r>
      <w:r>
        <w:t xml:space="preserve">attributes </w:t>
      </w:r>
      <w:r w:rsidR="002C6037">
        <w:t xml:space="preserve">needed to undertake skilled roles in that industry. Perhaps because the agricultural labour market is loosely structured, but also requires specific skills, our participants emphasised that qualifications in agriculture should both certify existing knowledge and skills, a type of screening role, and develop new skills, a human capital role. </w:t>
      </w:r>
    </w:p>
    <w:p w14:paraId="2CF803AB" w14:textId="77777777" w:rsidR="002C6037" w:rsidRDefault="002C6037" w:rsidP="002C6037">
      <w:pPr>
        <w:pStyle w:val="Text"/>
      </w:pPr>
      <w:r>
        <w:lastRenderedPageBreak/>
        <w:t xml:space="preserve">For example the university lecturer emphasised that occupational progression beyond a certain point needed the development of skills by qualifications. </w:t>
      </w:r>
    </w:p>
    <w:p w14:paraId="41B189B1" w14:textId="77777777" w:rsidR="002C6037" w:rsidRDefault="002C6037" w:rsidP="002C6037">
      <w:pPr>
        <w:pStyle w:val="Quote"/>
      </w:pPr>
      <w:r>
        <w:t>We have many labourers that up-</w:t>
      </w:r>
      <w:r w:rsidRPr="00AB4B6B">
        <w:t>skill, that</w:t>
      </w:r>
      <w:r>
        <w:t>’s a vertical education, but up-</w:t>
      </w:r>
      <w:r w:rsidRPr="00AB4B6B">
        <w:t>skill</w:t>
      </w:r>
      <w:r>
        <w:t xml:space="preserve"> not because they want to stick</w:t>
      </w:r>
      <w:r w:rsidRPr="00AB4B6B">
        <w:t xml:space="preserve"> themselves into a part</w:t>
      </w:r>
      <w:r>
        <w:t>icular profession or job but up-</w:t>
      </w:r>
      <w:r w:rsidRPr="00AB4B6B">
        <w:t xml:space="preserve">skill because there is a threshold between the perception of the skills of a labourer and moving altogether whether it's vertically or horizontally. I'm talking about individuals with maybe a certificate III or IV. Once you’ve gone above that I think </w:t>
      </w:r>
      <w:proofErr w:type="gramStart"/>
      <w:r w:rsidRPr="00AB4B6B">
        <w:t>there's</w:t>
      </w:r>
      <w:proofErr w:type="gramEnd"/>
      <w:r w:rsidRPr="00AB4B6B">
        <w:t xml:space="preserve"> more opportunities.</w:t>
      </w:r>
      <w:r>
        <w:tab/>
      </w:r>
    </w:p>
    <w:p w14:paraId="52FC2B95" w14:textId="77777777" w:rsidR="002C6037" w:rsidRDefault="002C6037" w:rsidP="002C6037">
      <w:pPr>
        <w:pStyle w:val="Text"/>
      </w:pPr>
      <w:r>
        <w:t>The training consult</w:t>
      </w:r>
      <w:r w:rsidR="00CE1D80">
        <w:t>ant</w:t>
      </w:r>
      <w:r>
        <w:t xml:space="preserve"> made this point while emphasising the dual role of certifying existing skills and developing new skills.</w:t>
      </w:r>
    </w:p>
    <w:p w14:paraId="2F20DCA1" w14:textId="77777777" w:rsidR="002C6037" w:rsidRDefault="002C6037" w:rsidP="002C6037">
      <w:pPr>
        <w:pStyle w:val="Quote"/>
      </w:pPr>
      <w:r>
        <w:t xml:space="preserve">We get a significant number of people who have worked in agriculture as a farm hand or rural service industry basically learnt on the job and they're doing it well, but they're never going to progress because they haven’t got the opportunity to learn or develop some of the higher level skills, and they more often than not in corporate agriculture particularly they need a piece of paper. So they’ll come to us and get a qualification reasonably quickly because they’ve got a whole lot of prior knowledge and competence and they leave and get a job, but I don't see that as an entry level qualification, I see that as just being a pathways qualification… a work pathway… </w:t>
      </w:r>
      <w:proofErr w:type="gramStart"/>
      <w:r>
        <w:t>Recognising existing skills and refining those skills.</w:t>
      </w:r>
      <w:proofErr w:type="gramEnd"/>
      <w:r>
        <w:tab/>
        <w:t xml:space="preserve"> </w:t>
      </w:r>
    </w:p>
    <w:p w14:paraId="1ABCDCBD" w14:textId="77777777" w:rsidR="002C6037" w:rsidRDefault="002C6037" w:rsidP="002C6037">
      <w:pPr>
        <w:pStyle w:val="Text"/>
      </w:pPr>
      <w:r>
        <w:t xml:space="preserve">Similarly the </w:t>
      </w:r>
      <w:r w:rsidR="00EC3768">
        <w:t>skills council</w:t>
      </w:r>
      <w:r>
        <w:t xml:space="preserve"> consultant argued that while the ‘skills for the job’ were a more central requirement tha</w:t>
      </w:r>
      <w:r w:rsidR="00CE1D80">
        <w:t>n</w:t>
      </w:r>
      <w:r>
        <w:t xml:space="preserve"> a qualification, a qualification could be a ‘</w:t>
      </w:r>
      <w:r w:rsidRPr="00AF7028">
        <w:t>foot in the door</w:t>
      </w:r>
      <w:r>
        <w:t>’ in gaining work.</w:t>
      </w:r>
    </w:p>
    <w:p w14:paraId="5A6D06BD" w14:textId="77777777" w:rsidR="002C6037" w:rsidRDefault="002C6037" w:rsidP="002C6037">
      <w:pPr>
        <w:pStyle w:val="Heading3"/>
      </w:pPr>
      <w:r>
        <w:t>Educational progression</w:t>
      </w:r>
    </w:p>
    <w:p w14:paraId="23A876D3" w14:textId="153D0403" w:rsidR="002C6037" w:rsidRDefault="002C6037" w:rsidP="002C6037">
      <w:pPr>
        <w:pStyle w:val="Text"/>
      </w:pPr>
      <w:r>
        <w:t>In the first stage of the project st</w:t>
      </w:r>
      <w:r w:rsidR="00E16CA7">
        <w:t>r</w:t>
      </w:r>
      <w:r>
        <w:t xml:space="preserve">and 2 examined how pathways varied in tertiary education. We first examined the extent to which students were admitted to bachelor level programs on the basis of previous VET study. It was noted that </w:t>
      </w:r>
      <w:r w:rsidR="003D41A0">
        <w:t>9%</w:t>
      </w:r>
      <w:r w:rsidR="00E72BAC">
        <w:t xml:space="preserve"> cent of all students commencing bachelor programs in 2008 were admitted on the basis of a VET qualification</w:t>
      </w:r>
      <w:r>
        <w:t>. This proportion was somewhat lower in the broad field of agriculture and environment, at 5%, and in the narrow field of agriculture at 6%. Of the detailed fields within agriculture the proportion varied from 2% in fishery studies to 11% in horticulture and viticulture</w:t>
      </w:r>
      <w:r w:rsidR="00BB7429">
        <w:t xml:space="preserve"> (</w:t>
      </w:r>
      <w:proofErr w:type="spellStart"/>
      <w:r w:rsidR="00BB7429">
        <w:t>Moodie</w:t>
      </w:r>
      <w:proofErr w:type="spellEnd"/>
      <w:r w:rsidR="00BB7429">
        <w:t xml:space="preserve"> et al. 2013, pp.11-12).</w:t>
      </w:r>
    </w:p>
    <w:p w14:paraId="10E3414A" w14:textId="7BCCFEA6" w:rsidR="002C6037" w:rsidRDefault="002C6037" w:rsidP="002C6037">
      <w:pPr>
        <w:pStyle w:val="Text"/>
      </w:pPr>
      <w:r>
        <w:t xml:space="preserve">We also examined pathways in tertiary education more broadly by examining the detailed educational history available in the Australian Bureau of Statistics’ Survey of Education and Training. We noted that successive issues of this survey through the 2000s show a trend towards multiple qualifications and also shows a trend towards a greater proportion of qualifications in higher education </w:t>
      </w:r>
      <w:r>
        <w:fldChar w:fldCharType="begin"/>
      </w:r>
      <w:r>
        <w:instrText xml:space="preserve"> ADDIN EN.CITE &lt;EndNote&gt;&lt;Cite&gt;&lt;Author&gt;Wheelahan&lt;/Author&gt;&lt;Year&gt;2012&lt;/Year&gt;&lt;RecNum&gt;278&lt;/RecNum&gt;&lt;Suffix&gt;`, p. 16&lt;/Suffix&gt;&lt;DisplayText&gt;(Wheelahan et al., 2012, p. 16)&lt;/DisplayText&gt;&lt;record&gt;&lt;rec-number&gt;278&lt;/rec-number&gt;&lt;foreign-keys&gt;&lt;key app="EN" db-id="0xrr5a5zkrxdw5esxr55w5a79ptftt5a20fr"&gt;278&lt;/key&gt;&lt;/foreign-keys&gt;&lt;ref-type name="Report"&gt;27&lt;/ref-type&gt;&lt;contributors&gt;&lt;authors&gt;&lt;author&gt;Wheelahan, Leesa&lt;/author&gt;&lt;author&gt;Leahy, Mary&lt;/author&gt;&lt;author&gt;Fredman, Nick&lt;/author&gt;&lt;author&gt;Moodie, Gavin&lt;/author&gt;&lt;author&gt;Arkoudis, Sophie&lt;/author&gt;&lt;author&gt;Bexley, Emmaline&lt;/author&gt;&lt;/authors&gt;&lt;/contributors&gt;&lt;titles&gt;&lt;title&gt;Missing links: the fragmented relation between tertiary education and jobs&lt;/title&gt;&lt;/titles&gt;&lt;dates&gt;&lt;year&gt;2012&lt;/year&gt;&lt;/dates&gt;&lt;pub-location&gt;Adelaide&lt;/pub-location&gt;&lt;publisher&gt;National Centre for Vocational Education Research&lt;/publisher&gt;&lt;urls&gt;&lt;related-urls&gt;&lt;url&gt;http://www.ncver.edu.au/publications/2554.html&lt;/url&gt;&lt;/related-urls&gt;&lt;/urls&gt;&lt;/record&gt;&lt;/Cite&gt;&lt;/EndNote&gt;</w:instrText>
      </w:r>
      <w:r>
        <w:fldChar w:fldCharType="separate"/>
      </w:r>
      <w:r>
        <w:rPr>
          <w:noProof/>
        </w:rPr>
        <w:t>(</w:t>
      </w:r>
      <w:hyperlink w:anchor="_ENREF_27" w:tooltip="Wheelahan, 2012 #278" w:history="1">
        <w:r w:rsidR="00B03184">
          <w:rPr>
            <w:noProof/>
          </w:rPr>
          <w:t>Wheelahan et al. 2012, p. 16</w:t>
        </w:r>
      </w:hyperlink>
      <w:r>
        <w:rPr>
          <w:noProof/>
        </w:rPr>
        <w:t>)</w:t>
      </w:r>
      <w:r>
        <w:fldChar w:fldCharType="end"/>
      </w:r>
      <w:r>
        <w:t xml:space="preserve">. We looked at </w:t>
      </w:r>
      <w:r w:rsidR="00E72BAC">
        <w:t xml:space="preserve">the </w:t>
      </w:r>
      <w:r>
        <w:t xml:space="preserve">extent </w:t>
      </w:r>
      <w:r w:rsidR="00E72BAC">
        <w:t xml:space="preserve">to which </w:t>
      </w:r>
      <w:r>
        <w:t>different pathways had been followed, examining the first and second qualification for those who had undertaken at least two qualifications</w:t>
      </w:r>
      <w:r w:rsidR="00C61B3A">
        <w:t xml:space="preserve">. We analysed this by </w:t>
      </w:r>
      <w:r>
        <w:t>broad field of educatio</w:t>
      </w:r>
      <w:r w:rsidR="00C61B3A">
        <w:t xml:space="preserve">n and type of pathway followed, </w:t>
      </w:r>
      <w:r>
        <w:t>that is</w:t>
      </w:r>
      <w:r w:rsidR="00E72BAC">
        <w:t>,</w:t>
      </w:r>
      <w:r>
        <w:t xml:space="preserve"> the possible combinations of VET to VET, VET to higher education, higher education to VET and highe</w:t>
      </w:r>
      <w:r w:rsidR="00C61B3A">
        <w:t>r education to higher education. This</w:t>
      </w:r>
      <w:r>
        <w:t xml:space="preserve"> </w:t>
      </w:r>
      <w:r w:rsidR="00BD0979">
        <w:t xml:space="preserve">analysis </w:t>
      </w:r>
      <w:r>
        <w:t xml:space="preserve">did not distinguish between agriculture and environmental programs. </w:t>
      </w:r>
    </w:p>
    <w:p w14:paraId="794C760B" w14:textId="0CBD08CB" w:rsidR="002C6037" w:rsidRDefault="002C6037" w:rsidP="002C6037">
      <w:pPr>
        <w:pStyle w:val="Text"/>
      </w:pPr>
      <w:r>
        <w:t xml:space="preserve">To show the overall extent </w:t>
      </w:r>
      <w:r w:rsidR="00EC3768">
        <w:t>of patterns of student articulation</w:t>
      </w:r>
      <w:r>
        <w:t xml:space="preserve"> and how this has changed over time, we estimated from the 2009 S</w:t>
      </w:r>
      <w:r w:rsidR="00E72BAC">
        <w:t>urvey of Education and Training</w:t>
      </w:r>
      <w:r>
        <w:t xml:space="preserve"> the numbers of working age people in 2009 who had gained a qualification in each broad field, in either VET or higher education</w:t>
      </w:r>
      <w:r w:rsidR="00C61B3A">
        <w:t>. We divided these estimates</w:t>
      </w:r>
      <w:r>
        <w:t xml:space="preserve"> by </w:t>
      </w:r>
      <w:r w:rsidR="00C61B3A">
        <w:t>qualifications completed</w:t>
      </w:r>
      <w:r>
        <w:t xml:space="preserve"> before 1990</w:t>
      </w:r>
      <w:r w:rsidR="00C61B3A">
        <w:t xml:space="preserve"> and by qualifications completed</w:t>
      </w:r>
      <w:r>
        <w:t xml:space="preserve"> </w:t>
      </w:r>
      <w:r w:rsidR="00BD0979">
        <w:t xml:space="preserve">from 1990 to </w:t>
      </w:r>
      <w:r>
        <w:t>2009</w:t>
      </w:r>
      <w:r w:rsidR="00C61B3A">
        <w:t>. We analysed this by</w:t>
      </w:r>
      <w:r>
        <w:t xml:space="preserve"> field, </w:t>
      </w:r>
      <w:r w:rsidR="00C61B3A">
        <w:t>sector and completion period for people who</w:t>
      </w:r>
      <w:r>
        <w:t xml:space="preserve"> had no further qualification, a second qualification in VET or a second qualification in higher education. In the broad </w:t>
      </w:r>
      <w:r>
        <w:lastRenderedPageBreak/>
        <w:t>field of agriculture and environment, the results between the pre-1990 and post-1990 groups follow the general trend of increasing proportions of multiple qualifications and a greater proportion of qualifications in higher education. Compared to other fields examined, a relatively high proportion</w:t>
      </w:r>
      <w:r w:rsidR="00E72BAC">
        <w:t xml:space="preserve"> of</w:t>
      </w:r>
      <w:r>
        <w:t xml:space="preserve"> those commencing in VET undertook a second qualification in VET, and a relatively high proportion of </w:t>
      </w:r>
      <w:r w:rsidR="00E72BAC">
        <w:t xml:space="preserve">those </w:t>
      </w:r>
      <w:r>
        <w:t>commencing in higher education undertook a second qualification in higher education. However, low proportions of those commencing in VET undertook a second qualification in higher education: 4% of those completing a first qualification before 1990, the equal lowest</w:t>
      </w:r>
      <w:r w:rsidR="00C61B3A">
        <w:t xml:space="preserve"> with engineering</w:t>
      </w:r>
      <w:r>
        <w:t xml:space="preserve"> of the fields examined, and 8% of those completing a first qualification from 1990, second lowest to engineering </w:t>
      </w:r>
      <w:r>
        <w:fldChar w:fldCharType="begin"/>
      </w:r>
      <w:r>
        <w:instrText xml:space="preserve"> ADDIN EN.CITE &lt;EndNote&gt;&lt;Cite&gt;&lt;Author&gt;Fredman&lt;/Author&gt;&lt;Year&gt;2013&lt;/Year&gt;&lt;RecNum&gt;312&lt;/RecNum&gt;&lt;Suffix&gt;`, p. 10&lt;/Suffix&gt;&lt;DisplayText&gt;(Fredman, 2013, p. 10)&lt;/DisplayText&gt;&lt;record&gt;&lt;rec-number&gt;312&lt;/rec-number&gt;&lt;foreign-keys&gt;&lt;key app="EN" db-id="0xrr5a5zkrxdw5esxr55w5a79ptftt5a20fr"&gt;312&lt;/key&gt;&lt;/foreign-keys&gt;&lt;ref-type name="Journal Article"&gt;17&lt;/ref-type&gt;&lt;contributors&gt;&lt;authors&gt;&lt;author&gt;Fredman, Nick&lt;/author&gt;&lt;/authors&gt;&lt;/contributors&gt;&lt;titles&gt;&lt;title&gt;Student movement: Pathways, fields and links to work&lt;/title&gt;&lt;secondary-title&gt;International Journal of Training Research&lt;/secondary-title&gt;&lt;/titles&gt;&lt;periodical&gt;&lt;full-title&gt;International Journal of Training Research&lt;/full-title&gt;&lt;/periodical&gt;&lt;pages&gt;5–16&lt;/pages&gt;&lt;volume&gt;11&lt;/volume&gt;&lt;number&gt;1&lt;/number&gt;&lt;dates&gt;&lt;year&gt;2013&lt;/year&gt;&lt;/dates&gt;&lt;urls&gt;&lt;related-urls&gt;&lt;url&gt;http://jtr.e-contentmanagement.com/archives/vol/11/issue/1/article/5116/student-movement-pathways-fields-and-links-to&lt;/url&gt;&lt;/related-urls&gt;&lt;/urls&gt;&lt;/record&gt;&lt;/Cite&gt;&lt;/EndNote&gt;</w:instrText>
      </w:r>
      <w:r>
        <w:fldChar w:fldCharType="separate"/>
      </w:r>
      <w:r>
        <w:rPr>
          <w:noProof/>
        </w:rPr>
        <w:t>(</w:t>
      </w:r>
      <w:hyperlink w:anchor="_ENREF_8" w:tooltip="Fredman, 2013 #312" w:history="1">
        <w:r w:rsidR="00B03184">
          <w:rPr>
            <w:noProof/>
          </w:rPr>
          <w:t>Fredman 2013, p. 10</w:t>
        </w:r>
      </w:hyperlink>
      <w:r>
        <w:rPr>
          <w:noProof/>
        </w:rPr>
        <w:t>)</w:t>
      </w:r>
      <w:r>
        <w:fldChar w:fldCharType="end"/>
      </w:r>
      <w:r>
        <w:t xml:space="preserve">. Hence by both institutional data and Survey of Education and Training data, there appears to be little articulation between the tertiary education sectors in agriculture, although this has increased somewhat over time, and although there are relatively high rates of multiple tertiary </w:t>
      </w:r>
      <w:proofErr w:type="gramStart"/>
      <w:r>
        <w:t>study</w:t>
      </w:r>
      <w:proofErr w:type="gramEnd"/>
      <w:r>
        <w:t xml:space="preserve"> within each sector. </w:t>
      </w:r>
    </w:p>
    <w:p w14:paraId="05596CC0" w14:textId="77777777" w:rsidR="002C6037" w:rsidRDefault="002C6037" w:rsidP="002C6037">
      <w:pPr>
        <w:pStyle w:val="Text"/>
      </w:pPr>
      <w:r>
        <w:t>We also used the 2009 S</w:t>
      </w:r>
      <w:r w:rsidR="00E72BAC">
        <w:t>urvey of Education and Training</w:t>
      </w:r>
      <w:r>
        <w:t xml:space="preserve"> to examine the extent to which those with at least two qualifications changed fields between their first and second qualifications, as an indicator of the coherence of educational pathways in these fields. We found that for those with a first qualification in agriculture and environment, a relatively high 61% studied in a different broad field for their second qualification (for all fields this was 52%). Management and commerce was the most common second field </w:t>
      </w:r>
      <w:r w:rsidR="00A62DD8">
        <w:t xml:space="preserve">for </w:t>
      </w:r>
      <w:r>
        <w:t>all pathways</w:t>
      </w:r>
      <w:r w:rsidRPr="00930EF1">
        <w:t>.</w:t>
      </w:r>
    </w:p>
    <w:p w14:paraId="52ADB2D4" w14:textId="77777777" w:rsidR="002C6037" w:rsidRDefault="002C6037" w:rsidP="002C6037">
      <w:pPr>
        <w:pStyle w:val="Text"/>
      </w:pPr>
      <w:r>
        <w:t xml:space="preserve">In the second stage of the project, as well as the patterns in enrolment and in work outcomes discussed above, we also further examined educational outcomes from qualifications. Table </w:t>
      </w:r>
      <w:r w:rsidR="00A62DD8">
        <w:t>8</w:t>
      </w:r>
      <w:r>
        <w:t xml:space="preserve"> shows the proportions of graduates of different levels of study undertaking further study, with the proportion of graduate</w:t>
      </w:r>
      <w:r w:rsidR="00EC3768">
        <w:t>s</w:t>
      </w:r>
      <w:r>
        <w:t xml:space="preserve"> of diploma or higher programs in agriculture similar to that for all fields. </w:t>
      </w:r>
    </w:p>
    <w:p w14:paraId="6CB247E1" w14:textId="77777777" w:rsidR="002C6037" w:rsidRDefault="002C6037" w:rsidP="002C6037">
      <w:pPr>
        <w:pStyle w:val="tabletitle"/>
      </w:pPr>
      <w:bookmarkStart w:id="46" w:name="_Toc248818129"/>
      <w:bookmarkStart w:id="47" w:name="_Toc257836871"/>
      <w:r>
        <w:t xml:space="preserve">Table </w:t>
      </w:r>
      <w:r w:rsidR="00A62DD8">
        <w:t>8</w:t>
      </w:r>
      <w:r>
        <w:tab/>
        <w:t>Percentage of those in further study six months after training in the broad field of education of agriculture, environmental and related studies and the narrow field of education of agriculture, 2012</w:t>
      </w:r>
      <w:bookmarkEnd w:id="46"/>
      <w:bookmarkEnd w:id="47"/>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2C6037" w:rsidRPr="00354810" w14:paraId="4F2372F0" w14:textId="77777777" w:rsidTr="00721F1E">
        <w:trPr>
          <w:trHeight w:val="255"/>
          <w:tblHeader/>
        </w:trPr>
        <w:tc>
          <w:tcPr>
            <w:tcW w:w="2876" w:type="dxa"/>
            <w:tcBorders>
              <w:top w:val="single" w:sz="4" w:space="0" w:color="auto"/>
              <w:bottom w:val="nil"/>
            </w:tcBorders>
            <w:shd w:val="clear" w:color="auto" w:fill="auto"/>
            <w:vAlign w:val="center"/>
          </w:tcPr>
          <w:p w14:paraId="0E7C6CEA" w14:textId="77777777" w:rsidR="002C6037" w:rsidRPr="00354810" w:rsidRDefault="002C6037" w:rsidP="00721F1E">
            <w:pPr>
              <w:pStyle w:val="Tablehead1"/>
            </w:pPr>
            <w:r w:rsidRPr="00354810">
              <w:t>Field of education</w:t>
            </w:r>
          </w:p>
        </w:tc>
        <w:tc>
          <w:tcPr>
            <w:tcW w:w="860" w:type="dxa"/>
            <w:tcBorders>
              <w:top w:val="single" w:sz="4" w:space="0" w:color="auto"/>
              <w:bottom w:val="nil"/>
            </w:tcBorders>
            <w:vAlign w:val="center"/>
          </w:tcPr>
          <w:p w14:paraId="566B0F51" w14:textId="77777777" w:rsidR="002C6037" w:rsidRPr="00354810" w:rsidRDefault="002C6037" w:rsidP="00721F1E">
            <w:pPr>
              <w:pStyle w:val="Tablehead1"/>
              <w:jc w:val="right"/>
              <w:rPr>
                <w:bCs/>
              </w:rPr>
            </w:pPr>
            <w:r w:rsidRPr="00354810">
              <w:rPr>
                <w:bCs/>
              </w:rPr>
              <w:t>Cert I</w:t>
            </w:r>
          </w:p>
        </w:tc>
        <w:tc>
          <w:tcPr>
            <w:tcW w:w="861" w:type="dxa"/>
            <w:tcBorders>
              <w:top w:val="single" w:sz="4" w:space="0" w:color="auto"/>
              <w:bottom w:val="nil"/>
            </w:tcBorders>
            <w:vAlign w:val="center"/>
          </w:tcPr>
          <w:p w14:paraId="64378D1C" w14:textId="77777777" w:rsidR="002C6037" w:rsidRPr="00354810" w:rsidRDefault="002C6037" w:rsidP="00721F1E">
            <w:pPr>
              <w:pStyle w:val="Tablehead1"/>
              <w:jc w:val="right"/>
              <w:rPr>
                <w:bCs/>
              </w:rPr>
            </w:pPr>
            <w:r w:rsidRPr="00354810">
              <w:rPr>
                <w:bCs/>
              </w:rPr>
              <w:t>Cert II</w:t>
            </w:r>
          </w:p>
        </w:tc>
        <w:tc>
          <w:tcPr>
            <w:tcW w:w="861" w:type="dxa"/>
            <w:tcBorders>
              <w:top w:val="single" w:sz="4" w:space="0" w:color="auto"/>
              <w:bottom w:val="nil"/>
            </w:tcBorders>
            <w:shd w:val="clear" w:color="auto" w:fill="auto"/>
            <w:vAlign w:val="center"/>
          </w:tcPr>
          <w:p w14:paraId="422D6096" w14:textId="77777777" w:rsidR="002C6037" w:rsidRPr="00354810" w:rsidRDefault="002C6037" w:rsidP="00721F1E">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61DF262B" w14:textId="77777777" w:rsidR="002C6037" w:rsidRPr="00354810" w:rsidRDefault="002C6037" w:rsidP="00721F1E">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48C82AFE" w14:textId="77777777" w:rsidR="002C6037" w:rsidRPr="00354810" w:rsidRDefault="002C6037" w:rsidP="00721F1E">
            <w:pPr>
              <w:pStyle w:val="Tablehead1"/>
              <w:jc w:val="right"/>
              <w:rPr>
                <w:bCs/>
              </w:rPr>
            </w:pPr>
            <w:r>
              <w:rPr>
                <w:bCs/>
              </w:rPr>
              <w:t>Dips and above</w:t>
            </w:r>
          </w:p>
        </w:tc>
        <w:tc>
          <w:tcPr>
            <w:tcW w:w="861" w:type="dxa"/>
            <w:tcBorders>
              <w:top w:val="single" w:sz="4" w:space="0" w:color="auto"/>
              <w:bottom w:val="nil"/>
            </w:tcBorders>
            <w:vAlign w:val="center"/>
          </w:tcPr>
          <w:p w14:paraId="42263747" w14:textId="77777777" w:rsidR="002C6037" w:rsidRPr="00354810" w:rsidRDefault="002C6037" w:rsidP="00721F1E">
            <w:pPr>
              <w:pStyle w:val="Tablehead1"/>
              <w:jc w:val="right"/>
              <w:rPr>
                <w:bCs/>
              </w:rPr>
            </w:pPr>
            <w:r w:rsidRPr="00354810">
              <w:rPr>
                <w:bCs/>
              </w:rPr>
              <w:t>All levels</w:t>
            </w:r>
          </w:p>
        </w:tc>
      </w:tr>
      <w:tr w:rsidR="002C6037" w:rsidRPr="00354810" w14:paraId="73E019AB" w14:textId="77777777" w:rsidTr="00721F1E">
        <w:trPr>
          <w:trHeight w:val="510"/>
        </w:trPr>
        <w:tc>
          <w:tcPr>
            <w:tcW w:w="2876" w:type="dxa"/>
            <w:tcBorders>
              <w:top w:val="nil"/>
              <w:bottom w:val="nil"/>
            </w:tcBorders>
            <w:shd w:val="clear" w:color="auto" w:fill="auto"/>
            <w:vAlign w:val="center"/>
          </w:tcPr>
          <w:p w14:paraId="1DFD3A5B" w14:textId="77777777" w:rsidR="002C6037" w:rsidRPr="00354810" w:rsidRDefault="002C6037" w:rsidP="00721F1E">
            <w:pPr>
              <w:pStyle w:val="Tabletext"/>
              <w:rPr>
                <w:b/>
              </w:rPr>
            </w:pPr>
            <w:r w:rsidRPr="00354810">
              <w:rPr>
                <w:b/>
              </w:rPr>
              <w:t>Agriculture, environmental and related studies</w:t>
            </w:r>
          </w:p>
        </w:tc>
        <w:tc>
          <w:tcPr>
            <w:tcW w:w="860" w:type="dxa"/>
            <w:tcBorders>
              <w:top w:val="nil"/>
              <w:bottom w:val="nil"/>
            </w:tcBorders>
            <w:vAlign w:val="center"/>
          </w:tcPr>
          <w:p w14:paraId="16B46E62" w14:textId="77777777" w:rsidR="002C6037" w:rsidRPr="00354810" w:rsidRDefault="002C6037" w:rsidP="00721F1E">
            <w:pPr>
              <w:pStyle w:val="Tabletext"/>
              <w:jc w:val="right"/>
            </w:pPr>
            <w:r>
              <w:t>29.1*</w:t>
            </w:r>
          </w:p>
        </w:tc>
        <w:tc>
          <w:tcPr>
            <w:tcW w:w="861" w:type="dxa"/>
            <w:tcBorders>
              <w:top w:val="nil"/>
              <w:bottom w:val="nil"/>
            </w:tcBorders>
            <w:vAlign w:val="center"/>
          </w:tcPr>
          <w:p w14:paraId="22FB575B" w14:textId="77777777" w:rsidR="002C6037" w:rsidRPr="00354810" w:rsidRDefault="002C6037" w:rsidP="00721F1E">
            <w:pPr>
              <w:pStyle w:val="Tabletext"/>
              <w:jc w:val="right"/>
            </w:pPr>
            <w:r>
              <w:t>47.7</w:t>
            </w:r>
          </w:p>
        </w:tc>
        <w:tc>
          <w:tcPr>
            <w:tcW w:w="861" w:type="dxa"/>
            <w:tcBorders>
              <w:top w:val="nil"/>
              <w:bottom w:val="nil"/>
            </w:tcBorders>
            <w:shd w:val="clear" w:color="auto" w:fill="auto"/>
            <w:vAlign w:val="center"/>
          </w:tcPr>
          <w:p w14:paraId="1F5308EA" w14:textId="77777777" w:rsidR="002C6037" w:rsidRPr="00354810" w:rsidRDefault="002C6037" w:rsidP="00721F1E">
            <w:pPr>
              <w:pStyle w:val="Tabletext"/>
              <w:jc w:val="right"/>
            </w:pPr>
            <w:r>
              <w:t>26.4</w:t>
            </w:r>
          </w:p>
        </w:tc>
        <w:tc>
          <w:tcPr>
            <w:tcW w:w="860" w:type="dxa"/>
            <w:tcBorders>
              <w:top w:val="nil"/>
              <w:bottom w:val="nil"/>
            </w:tcBorders>
            <w:shd w:val="clear" w:color="auto" w:fill="auto"/>
            <w:vAlign w:val="center"/>
          </w:tcPr>
          <w:p w14:paraId="4F89BE17" w14:textId="77777777" w:rsidR="002C6037" w:rsidRPr="00354810" w:rsidRDefault="002C6037" w:rsidP="00721F1E">
            <w:pPr>
              <w:pStyle w:val="Tabletext"/>
              <w:jc w:val="right"/>
            </w:pPr>
            <w:r>
              <w:t>51.9</w:t>
            </w:r>
          </w:p>
        </w:tc>
        <w:tc>
          <w:tcPr>
            <w:tcW w:w="861" w:type="dxa"/>
            <w:tcBorders>
              <w:top w:val="nil"/>
              <w:bottom w:val="nil"/>
            </w:tcBorders>
            <w:shd w:val="pct12" w:color="auto" w:fill="auto"/>
            <w:vAlign w:val="center"/>
          </w:tcPr>
          <w:p w14:paraId="724E6453" w14:textId="77777777" w:rsidR="002C6037" w:rsidRPr="00E90645" w:rsidRDefault="002C6037" w:rsidP="00721F1E">
            <w:pPr>
              <w:pStyle w:val="Tabletext"/>
              <w:jc w:val="right"/>
            </w:pPr>
            <w:r>
              <w:t>36.3*</w:t>
            </w:r>
          </w:p>
        </w:tc>
        <w:tc>
          <w:tcPr>
            <w:tcW w:w="861" w:type="dxa"/>
            <w:tcBorders>
              <w:top w:val="nil"/>
              <w:bottom w:val="nil"/>
            </w:tcBorders>
            <w:vAlign w:val="center"/>
          </w:tcPr>
          <w:p w14:paraId="446BBA8A" w14:textId="77777777" w:rsidR="002C6037" w:rsidRPr="00354810" w:rsidRDefault="002C6037" w:rsidP="00721F1E">
            <w:pPr>
              <w:pStyle w:val="Tabletext"/>
              <w:jc w:val="right"/>
              <w:rPr>
                <w:b/>
              </w:rPr>
            </w:pPr>
            <w:r>
              <w:rPr>
                <w:b/>
              </w:rPr>
              <w:t>35.5</w:t>
            </w:r>
          </w:p>
        </w:tc>
      </w:tr>
      <w:tr w:rsidR="002C6037" w:rsidRPr="00354810" w14:paraId="6F925E0B" w14:textId="77777777" w:rsidTr="00721F1E">
        <w:trPr>
          <w:trHeight w:val="255"/>
        </w:trPr>
        <w:tc>
          <w:tcPr>
            <w:tcW w:w="2876" w:type="dxa"/>
            <w:tcBorders>
              <w:top w:val="nil"/>
              <w:bottom w:val="nil"/>
            </w:tcBorders>
            <w:shd w:val="clear" w:color="auto" w:fill="auto"/>
            <w:vAlign w:val="center"/>
          </w:tcPr>
          <w:p w14:paraId="7745B7A5" w14:textId="77777777" w:rsidR="002C6037" w:rsidRPr="00354810" w:rsidRDefault="002C6037" w:rsidP="00721F1E">
            <w:pPr>
              <w:pStyle w:val="Tabletext"/>
              <w:ind w:left="567"/>
            </w:pPr>
            <w:r w:rsidRPr="00354810">
              <w:t>Agriculture</w:t>
            </w:r>
          </w:p>
        </w:tc>
        <w:tc>
          <w:tcPr>
            <w:tcW w:w="860" w:type="dxa"/>
            <w:tcBorders>
              <w:top w:val="nil"/>
              <w:bottom w:val="nil"/>
            </w:tcBorders>
            <w:vAlign w:val="center"/>
          </w:tcPr>
          <w:p w14:paraId="48A31EF7" w14:textId="77777777" w:rsidR="002C6037" w:rsidRPr="00354810" w:rsidRDefault="002C6037" w:rsidP="00721F1E">
            <w:pPr>
              <w:pStyle w:val="Tabletext"/>
              <w:jc w:val="right"/>
            </w:pPr>
            <w:r>
              <w:t>np</w:t>
            </w:r>
          </w:p>
        </w:tc>
        <w:tc>
          <w:tcPr>
            <w:tcW w:w="861" w:type="dxa"/>
            <w:tcBorders>
              <w:top w:val="nil"/>
              <w:bottom w:val="nil"/>
            </w:tcBorders>
            <w:vAlign w:val="center"/>
          </w:tcPr>
          <w:p w14:paraId="34E7C478" w14:textId="77777777" w:rsidR="002C6037" w:rsidRPr="00354810" w:rsidRDefault="002C6037" w:rsidP="00721F1E">
            <w:pPr>
              <w:pStyle w:val="Tabletext"/>
              <w:jc w:val="right"/>
            </w:pPr>
            <w:r>
              <w:t>39.9</w:t>
            </w:r>
          </w:p>
        </w:tc>
        <w:tc>
          <w:tcPr>
            <w:tcW w:w="861" w:type="dxa"/>
            <w:tcBorders>
              <w:top w:val="nil"/>
              <w:bottom w:val="nil"/>
            </w:tcBorders>
            <w:shd w:val="clear" w:color="auto" w:fill="auto"/>
            <w:vAlign w:val="center"/>
          </w:tcPr>
          <w:p w14:paraId="3A690829" w14:textId="77777777" w:rsidR="002C6037" w:rsidRPr="00354810" w:rsidRDefault="002C6037" w:rsidP="00721F1E">
            <w:pPr>
              <w:pStyle w:val="Tabletext"/>
              <w:jc w:val="right"/>
            </w:pPr>
            <w:r>
              <w:t>26.1</w:t>
            </w:r>
          </w:p>
        </w:tc>
        <w:tc>
          <w:tcPr>
            <w:tcW w:w="860" w:type="dxa"/>
            <w:tcBorders>
              <w:top w:val="nil"/>
              <w:bottom w:val="nil"/>
            </w:tcBorders>
            <w:shd w:val="clear" w:color="auto" w:fill="auto"/>
            <w:vAlign w:val="center"/>
          </w:tcPr>
          <w:p w14:paraId="6A6ADB31" w14:textId="77777777" w:rsidR="002C6037" w:rsidRPr="00354810" w:rsidRDefault="002C6037" w:rsidP="00721F1E">
            <w:pPr>
              <w:pStyle w:val="Tabletext"/>
              <w:jc w:val="right"/>
            </w:pPr>
            <w:r>
              <w:t>58.3</w:t>
            </w:r>
          </w:p>
        </w:tc>
        <w:tc>
          <w:tcPr>
            <w:tcW w:w="861" w:type="dxa"/>
            <w:tcBorders>
              <w:top w:val="nil"/>
              <w:bottom w:val="nil"/>
            </w:tcBorders>
            <w:shd w:val="pct12" w:color="auto" w:fill="auto"/>
            <w:vAlign w:val="center"/>
          </w:tcPr>
          <w:p w14:paraId="2067DFE3" w14:textId="77777777" w:rsidR="002C6037" w:rsidRPr="00354810" w:rsidRDefault="002C6037" w:rsidP="00721F1E">
            <w:pPr>
              <w:pStyle w:val="Tabletext"/>
              <w:jc w:val="right"/>
            </w:pPr>
            <w:r>
              <w:t>41.4*</w:t>
            </w:r>
          </w:p>
        </w:tc>
        <w:tc>
          <w:tcPr>
            <w:tcW w:w="861" w:type="dxa"/>
            <w:tcBorders>
              <w:top w:val="nil"/>
              <w:bottom w:val="nil"/>
            </w:tcBorders>
            <w:vAlign w:val="center"/>
          </w:tcPr>
          <w:p w14:paraId="4C04CF52" w14:textId="77777777" w:rsidR="002C6037" w:rsidRPr="00354810" w:rsidRDefault="002C6037" w:rsidP="00721F1E">
            <w:pPr>
              <w:pStyle w:val="Tabletext"/>
              <w:jc w:val="right"/>
              <w:rPr>
                <w:b/>
              </w:rPr>
            </w:pPr>
            <w:r>
              <w:rPr>
                <w:b/>
              </w:rPr>
              <w:t>35.0</w:t>
            </w:r>
          </w:p>
        </w:tc>
      </w:tr>
      <w:tr w:rsidR="002C6037" w:rsidRPr="00354810" w14:paraId="1625B5D2" w14:textId="77777777" w:rsidTr="00721F1E">
        <w:trPr>
          <w:trHeight w:val="255"/>
        </w:trPr>
        <w:tc>
          <w:tcPr>
            <w:tcW w:w="2876" w:type="dxa"/>
            <w:tcBorders>
              <w:top w:val="single" w:sz="4" w:space="0" w:color="auto"/>
              <w:bottom w:val="single" w:sz="4" w:space="0" w:color="auto"/>
            </w:tcBorders>
            <w:shd w:val="clear" w:color="auto" w:fill="auto"/>
            <w:vAlign w:val="center"/>
          </w:tcPr>
          <w:p w14:paraId="5D2EC35B" w14:textId="77777777" w:rsidR="002C6037" w:rsidRPr="00354810" w:rsidRDefault="002C6037" w:rsidP="00721F1E">
            <w:pPr>
              <w:pStyle w:val="Tabletext"/>
              <w:rPr>
                <w:b/>
              </w:rPr>
            </w:pPr>
            <w:r w:rsidRPr="00354810">
              <w:rPr>
                <w:b/>
              </w:rPr>
              <w:t>All fields</w:t>
            </w:r>
          </w:p>
        </w:tc>
        <w:tc>
          <w:tcPr>
            <w:tcW w:w="860" w:type="dxa"/>
            <w:tcBorders>
              <w:top w:val="single" w:sz="4" w:space="0" w:color="auto"/>
              <w:bottom w:val="single" w:sz="4" w:space="0" w:color="auto"/>
            </w:tcBorders>
            <w:vAlign w:val="center"/>
          </w:tcPr>
          <w:p w14:paraId="66096188" w14:textId="77777777" w:rsidR="002C6037" w:rsidRPr="00354810" w:rsidRDefault="002C6037" w:rsidP="00721F1E">
            <w:pPr>
              <w:pStyle w:val="Tabletext"/>
              <w:jc w:val="right"/>
              <w:rPr>
                <w:b/>
              </w:rPr>
            </w:pPr>
            <w:r>
              <w:rPr>
                <w:b/>
              </w:rPr>
              <w:t>51.3</w:t>
            </w:r>
          </w:p>
        </w:tc>
        <w:tc>
          <w:tcPr>
            <w:tcW w:w="861" w:type="dxa"/>
            <w:tcBorders>
              <w:top w:val="single" w:sz="4" w:space="0" w:color="auto"/>
              <w:bottom w:val="single" w:sz="4" w:space="0" w:color="auto"/>
            </w:tcBorders>
            <w:vAlign w:val="center"/>
          </w:tcPr>
          <w:p w14:paraId="10EF98B1" w14:textId="77777777" w:rsidR="002C6037" w:rsidRPr="00354810" w:rsidRDefault="002C6037" w:rsidP="00721F1E">
            <w:pPr>
              <w:pStyle w:val="Tabletext"/>
              <w:jc w:val="right"/>
              <w:rPr>
                <w:b/>
              </w:rPr>
            </w:pPr>
            <w:r>
              <w:rPr>
                <w:b/>
              </w:rPr>
              <w:t>42.4</w:t>
            </w:r>
          </w:p>
        </w:tc>
        <w:tc>
          <w:tcPr>
            <w:tcW w:w="861" w:type="dxa"/>
            <w:tcBorders>
              <w:top w:val="single" w:sz="4" w:space="0" w:color="auto"/>
              <w:bottom w:val="single" w:sz="4" w:space="0" w:color="auto"/>
            </w:tcBorders>
            <w:shd w:val="clear" w:color="auto" w:fill="auto"/>
            <w:vAlign w:val="center"/>
          </w:tcPr>
          <w:p w14:paraId="52C1828F" w14:textId="77777777" w:rsidR="002C6037" w:rsidRPr="00354810" w:rsidRDefault="002C6037" w:rsidP="00721F1E">
            <w:pPr>
              <w:pStyle w:val="Tabletext"/>
              <w:jc w:val="right"/>
              <w:rPr>
                <w:b/>
              </w:rPr>
            </w:pPr>
            <w:r>
              <w:rPr>
                <w:b/>
              </w:rPr>
              <w:t>33.4</w:t>
            </w:r>
          </w:p>
        </w:tc>
        <w:tc>
          <w:tcPr>
            <w:tcW w:w="860" w:type="dxa"/>
            <w:tcBorders>
              <w:top w:val="single" w:sz="4" w:space="0" w:color="auto"/>
              <w:bottom w:val="single" w:sz="4" w:space="0" w:color="auto"/>
            </w:tcBorders>
            <w:shd w:val="clear" w:color="auto" w:fill="auto"/>
            <w:vAlign w:val="center"/>
          </w:tcPr>
          <w:p w14:paraId="64BA93FE" w14:textId="77777777" w:rsidR="002C6037" w:rsidRPr="00354810" w:rsidRDefault="002C6037" w:rsidP="00721F1E">
            <w:pPr>
              <w:pStyle w:val="Tabletext"/>
              <w:jc w:val="right"/>
              <w:rPr>
                <w:b/>
              </w:rPr>
            </w:pPr>
            <w:r>
              <w:rPr>
                <w:b/>
              </w:rPr>
              <w:t>36.1</w:t>
            </w:r>
          </w:p>
        </w:tc>
        <w:tc>
          <w:tcPr>
            <w:tcW w:w="861" w:type="dxa"/>
            <w:tcBorders>
              <w:top w:val="single" w:sz="4" w:space="0" w:color="auto"/>
              <w:bottom w:val="single" w:sz="4" w:space="0" w:color="auto"/>
            </w:tcBorders>
            <w:shd w:val="pct12" w:color="auto" w:fill="auto"/>
            <w:vAlign w:val="center"/>
          </w:tcPr>
          <w:p w14:paraId="64CC74A0" w14:textId="77777777" w:rsidR="002C6037" w:rsidRPr="00354810" w:rsidRDefault="002C6037" w:rsidP="00721F1E">
            <w:pPr>
              <w:pStyle w:val="Tabletext"/>
              <w:jc w:val="right"/>
              <w:rPr>
                <w:b/>
              </w:rPr>
            </w:pPr>
            <w:r>
              <w:rPr>
                <w:b/>
              </w:rPr>
              <w:t>35.2</w:t>
            </w:r>
          </w:p>
        </w:tc>
        <w:tc>
          <w:tcPr>
            <w:tcW w:w="861" w:type="dxa"/>
            <w:tcBorders>
              <w:top w:val="single" w:sz="4" w:space="0" w:color="auto"/>
              <w:bottom w:val="single" w:sz="4" w:space="0" w:color="auto"/>
            </w:tcBorders>
            <w:vAlign w:val="center"/>
          </w:tcPr>
          <w:p w14:paraId="12A319E9" w14:textId="77777777" w:rsidR="002C6037" w:rsidRPr="00354810" w:rsidRDefault="002C6037" w:rsidP="00721F1E">
            <w:pPr>
              <w:pStyle w:val="Tabletext"/>
              <w:jc w:val="right"/>
              <w:rPr>
                <w:b/>
              </w:rPr>
            </w:pPr>
            <w:r>
              <w:rPr>
                <w:b/>
              </w:rPr>
              <w:t>36.1</w:t>
            </w:r>
          </w:p>
        </w:tc>
      </w:tr>
    </w:tbl>
    <w:p w14:paraId="3FBCF947" w14:textId="77777777" w:rsidR="002C6037" w:rsidRDefault="002C6037" w:rsidP="002C6037">
      <w:pPr>
        <w:pStyle w:val="Source"/>
      </w:pPr>
      <w:r>
        <w:t>Source:</w:t>
      </w:r>
      <w:r>
        <w:tab/>
        <w:t>NCVER (2013).</w:t>
      </w:r>
    </w:p>
    <w:p w14:paraId="4FB3F747" w14:textId="77777777" w:rsidR="002C6037" w:rsidRDefault="002C6037" w:rsidP="002C6037">
      <w:pPr>
        <w:pStyle w:val="Source"/>
      </w:pPr>
      <w:r>
        <w:t>Notes:</w:t>
      </w:r>
      <w:r>
        <w:tab/>
      </w:r>
      <w:proofErr w:type="spellStart"/>
      <w:proofErr w:type="gramStart"/>
      <w:r>
        <w:t>na</w:t>
      </w:r>
      <w:proofErr w:type="spellEnd"/>
      <w:proofErr w:type="gramEnd"/>
      <w:r>
        <w:t xml:space="preserve"> </w:t>
      </w:r>
      <w:r w:rsidRPr="00147C93">
        <w:t>Not applicable</w:t>
      </w:r>
    </w:p>
    <w:p w14:paraId="46223A81" w14:textId="77777777" w:rsidR="002C6037" w:rsidRDefault="002C6037" w:rsidP="002C6037">
      <w:pPr>
        <w:pStyle w:val="Source"/>
        <w:ind w:firstLine="0"/>
      </w:pPr>
      <w:r>
        <w:t xml:space="preserve">* The estimate has a relative standard error greater than, or equal to, 25% and therefore should be used with caution. </w:t>
      </w:r>
    </w:p>
    <w:p w14:paraId="2A2B4D4B" w14:textId="77777777" w:rsidR="002C6037" w:rsidRDefault="002C6037" w:rsidP="002C6037">
      <w:pPr>
        <w:pStyle w:val="Source"/>
        <w:ind w:firstLine="0"/>
      </w:pPr>
      <w:proofErr w:type="gramStart"/>
      <w:r>
        <w:t>np</w:t>
      </w:r>
      <w:proofErr w:type="gramEnd"/>
      <w:r>
        <w:t xml:space="preserve"> Not published. NCVER does not report on estimates based on five or fewer respondents because the estimates are unreliable.</w:t>
      </w:r>
    </w:p>
    <w:p w14:paraId="5A40F556" w14:textId="77777777" w:rsidR="002C6037" w:rsidRDefault="002C6037" w:rsidP="002C6037">
      <w:pPr>
        <w:pStyle w:val="Text"/>
      </w:pPr>
      <w:r>
        <w:t>Several of our third stage participants remarked that in agriculture while progression through levels of the VET system was effective there were significant barriers to educational progression from VET to higher education. The TAFE teacher stated,</w:t>
      </w:r>
    </w:p>
    <w:p w14:paraId="0910BBD6" w14:textId="77777777" w:rsidR="002C6037" w:rsidRDefault="002C6037" w:rsidP="002C6037">
      <w:pPr>
        <w:pStyle w:val="Quote"/>
      </w:pPr>
      <w:r>
        <w:t>Students complete Certificate III and are invariably asked to go to Certificate IV or ask about Certificate IV and the same from Certificate IV to Diploma. So I think that part works well.</w:t>
      </w:r>
      <w:r>
        <w:tab/>
      </w:r>
      <w:r>
        <w:tab/>
        <w:t xml:space="preserve"> </w:t>
      </w:r>
    </w:p>
    <w:p w14:paraId="6202C12E" w14:textId="77777777" w:rsidR="002C6037" w:rsidRDefault="002C6037" w:rsidP="002C6037">
      <w:pPr>
        <w:pStyle w:val="Text"/>
      </w:pPr>
      <w:r>
        <w:t>In contrast the former dean of agriculture argued that</w:t>
      </w:r>
      <w:r w:rsidR="00A62DD8">
        <w:t>:</w:t>
      </w:r>
    </w:p>
    <w:p w14:paraId="1EB9E3A5" w14:textId="77777777" w:rsidR="002C6037" w:rsidRDefault="002C6037" w:rsidP="002C6037">
      <w:pPr>
        <w:pStyle w:val="Quote"/>
      </w:pPr>
      <w:r>
        <w:t>Well they should be a qualification on a career pathway so that tho</w:t>
      </w:r>
      <w:r w:rsidR="00217F5A">
        <w:t>se people that come in via the v</w:t>
      </w:r>
      <w:r>
        <w:t xml:space="preserve">ocational </w:t>
      </w:r>
      <w:r w:rsidR="00217F5A">
        <w:t>e</w:t>
      </w:r>
      <w:r>
        <w:t xml:space="preserve">ducation and </w:t>
      </w:r>
      <w:r w:rsidR="00217F5A">
        <w:t>t</w:t>
      </w:r>
      <w:r>
        <w:t>raining sector should have the oppo</w:t>
      </w:r>
      <w:r w:rsidR="00217F5A">
        <w:t>rtunity to move up through the certificates and d</w:t>
      </w:r>
      <w:r>
        <w:t xml:space="preserve">iplomas, but in reality that really doesn’t </w:t>
      </w:r>
      <w:r w:rsidR="00217F5A">
        <w:t>happen too well in agriculture.</w:t>
      </w:r>
    </w:p>
    <w:p w14:paraId="5C5EF3ED" w14:textId="77777777" w:rsidR="002C6037" w:rsidRDefault="002C6037" w:rsidP="002C6037">
      <w:pPr>
        <w:pStyle w:val="Text"/>
      </w:pPr>
      <w:r>
        <w:lastRenderedPageBreak/>
        <w:t xml:space="preserve">While there appears to be reasonable transitions within </w:t>
      </w:r>
      <w:r w:rsidR="00217F5A">
        <w:t>each of the</w:t>
      </w:r>
      <w:r>
        <w:t xml:space="preserve"> tertiary education sectors, it could be argued these are not meeting needs, and that transitions between the sectors are lacking. The training consultant argued that varied educational pathways were vital, but that those in higher education have been slow to engage with the reality of this, and</w:t>
      </w:r>
      <w:r w:rsidR="00217F5A">
        <w:t xml:space="preserve"> nor do</w:t>
      </w:r>
      <w:r>
        <w:t xml:space="preserve"> current funding models</w:t>
      </w:r>
      <w:r w:rsidR="00217F5A">
        <w:t xml:space="preserve"> </w:t>
      </w:r>
      <w:r>
        <w:t xml:space="preserve">support the life-long approach to education </w:t>
      </w:r>
      <w:r w:rsidR="00217F5A">
        <w:t xml:space="preserve">which is </w:t>
      </w:r>
      <w:r>
        <w:t>needed:</w:t>
      </w:r>
    </w:p>
    <w:p w14:paraId="41C0B3C6" w14:textId="77777777" w:rsidR="002C6037" w:rsidRDefault="002C6037" w:rsidP="002C6037">
      <w:pPr>
        <w:pStyle w:val="Quote"/>
      </w:pPr>
      <w:r>
        <w:t xml:space="preserve">It's got to be a two way street, it's not just the deans telling us what should happen, it's a matter of then engaging with the vocational sector… Step out of their ivory towers and say we do recognise that a Diploma of Agriculture from </w:t>
      </w:r>
      <w:r w:rsidR="00217F5A">
        <w:t>XXX Agriculture</w:t>
      </w:r>
      <w:r>
        <w:t xml:space="preserve"> College in Victoria has some value to a degree in agriculture rather than saying you've got to start from scratch… perhaps the funders have got to say we will fund somebody who’s got a Degree to come back and do a Diploma to get the hands on experience and knowledge they need. Whereas at the moment they won’t — you've got a higher qualification so you can’t come back and do a lower qualification, so that barrier has got of be broken down as well.</w:t>
      </w:r>
      <w:r w:rsidR="00217F5A">
        <w:rPr>
          <w:rStyle w:val="FootnoteReference"/>
        </w:rPr>
        <w:footnoteReference w:id="3"/>
      </w:r>
    </w:p>
    <w:p w14:paraId="18BD8341" w14:textId="146C54D5" w:rsidR="002C6037" w:rsidRDefault="002C6037" w:rsidP="002C6037">
      <w:pPr>
        <w:pStyle w:val="Text"/>
      </w:pPr>
      <w:r>
        <w:t xml:space="preserve">A concept raised independently by two participants, and which also mirrors a proposal by our dean of engineering participant </w:t>
      </w:r>
      <w:r w:rsidR="00217F5A">
        <w:t>discussed in the</w:t>
      </w:r>
      <w:r>
        <w:t xml:space="preserve"> engineering case study chapter, is that a way to implement educational progression suitable to the realitie</w:t>
      </w:r>
      <w:r w:rsidR="00C61B3A">
        <w:t xml:space="preserve">s of agriculture might be ‘post </w:t>
      </w:r>
      <w:r>
        <w:t xml:space="preserve">graduate’ programs that are short and specific, but also </w:t>
      </w:r>
      <w:r w:rsidR="00C61B3A">
        <w:t>rich in knowledge</w:t>
      </w:r>
      <w:r>
        <w:t xml:space="preserve">, that could </w:t>
      </w:r>
      <w:r w:rsidR="003C3B4A">
        <w:t>ac</w:t>
      </w:r>
      <w:r>
        <w:t xml:space="preserve">cumulate </w:t>
      </w:r>
      <w:r w:rsidR="00217F5A">
        <w:t>towards</w:t>
      </w:r>
      <w:r>
        <w:t xml:space="preserve"> awarded qualifications. The </w:t>
      </w:r>
      <w:r w:rsidR="00217F5A">
        <w:t xml:space="preserve">skills council </w:t>
      </w:r>
      <w:r>
        <w:t>consultant argued that</w:t>
      </w:r>
      <w:r w:rsidR="003C3B4A">
        <w:t>:</w:t>
      </w:r>
    </w:p>
    <w:p w14:paraId="396123AA" w14:textId="77777777" w:rsidR="002C6037" w:rsidRDefault="002C6037" w:rsidP="002C6037">
      <w:pPr>
        <w:pStyle w:val="Quote"/>
      </w:pPr>
      <w:r>
        <w:t xml:space="preserve">We should have the degree programs, the diploma programs to set people up but there seems to be some kind of formality that you've got your degree/diploma and off you go, it doesn’t sit in the context of lifelong learning… Whereas if you saw that as part of a continuum, say with young adults or people up to their forties the system in a sense should be like an RPL process, where they have to take a jab at other things as well or apply, government fields days, do workshops… </w:t>
      </w:r>
      <w:r w:rsidRPr="00447257">
        <w:t>At least you’d get that practical application to do your discipline until you can get a portfolio with evident skills behind you to demonstrate you've got the skills.</w:t>
      </w:r>
      <w:r>
        <w:tab/>
      </w:r>
    </w:p>
    <w:p w14:paraId="5EA1FC6F" w14:textId="77777777" w:rsidR="002C6037" w:rsidRPr="00E8779A" w:rsidRDefault="002C6037" w:rsidP="002C6037">
      <w:pPr>
        <w:pStyle w:val="Heading3"/>
      </w:pPr>
      <w:r>
        <w:t>Widening participation in qualifications</w:t>
      </w:r>
    </w:p>
    <w:p w14:paraId="075E19B3" w14:textId="26D9F056" w:rsidR="0078060F" w:rsidRDefault="003946DD" w:rsidP="0078060F">
      <w:pPr>
        <w:pStyle w:val="Text"/>
      </w:pPr>
      <w:r>
        <w:t>This section e</w:t>
      </w:r>
      <w:r w:rsidR="00C61B3A">
        <w:t xml:space="preserve">xamines the extent to which </w:t>
      </w:r>
      <w:r w:rsidR="00572455">
        <w:t>mid-level</w:t>
      </w:r>
      <w:r>
        <w:t xml:space="preserve"> qualifications in VE</w:t>
      </w:r>
      <w:r w:rsidR="008E2176">
        <w:t xml:space="preserve">T widen participation in higher </w:t>
      </w:r>
      <w:r>
        <w:t xml:space="preserve">level qualifications for students from disadvantaged backgrounds, thus supporting equity and social mobility. </w:t>
      </w:r>
      <w:r w:rsidR="0078060F">
        <w:t xml:space="preserve">Table </w:t>
      </w:r>
      <w:r w:rsidR="00822A3A">
        <w:t>9</w:t>
      </w:r>
      <w:r w:rsidR="0078060F">
        <w:t xml:space="preserve"> shows the percentage of s</w:t>
      </w:r>
      <w:r w:rsidR="008E2176">
        <w:t xml:space="preserve">tudents in the two lowest socio </w:t>
      </w:r>
      <w:r w:rsidR="0078060F">
        <w:t>economic quintiles, or students in the bottom 40% of socio-economic backgrounds</w:t>
      </w:r>
      <w:r w:rsidR="00822A3A">
        <w:t>,</w:t>
      </w:r>
      <w:r w:rsidR="0078060F">
        <w:t xml:space="preserve"> in </w:t>
      </w:r>
      <w:r w:rsidR="00483DF5">
        <w:t xml:space="preserve">the broad field of education of agriculture and environmental and related studies, and in the narrow field of education of agriculture </w:t>
      </w:r>
      <w:r w:rsidR="0078060F">
        <w:t>and for VET students overall. If stu</w:t>
      </w:r>
      <w:r w:rsidR="008E2176">
        <w:t xml:space="preserve">dents from the two lowest socio </w:t>
      </w:r>
      <w:r w:rsidR="0078060F">
        <w:t>economic quintiles (the bottom 40</w:t>
      </w:r>
      <w:r w:rsidR="003D41A0">
        <w:t>%</w:t>
      </w:r>
      <w:r w:rsidR="0078060F">
        <w:t>) were represented in VET qualifications in proportion to their numbers in the population, then they should be 40</w:t>
      </w:r>
      <w:r w:rsidR="003D41A0">
        <w:t>%</w:t>
      </w:r>
      <w:r w:rsidR="0078060F">
        <w:t xml:space="preserve"> of students in these qualifications. </w:t>
      </w:r>
    </w:p>
    <w:p w14:paraId="400CA6AB" w14:textId="39BCF338" w:rsidR="008E61E6" w:rsidRPr="003946DD" w:rsidRDefault="00483DF5" w:rsidP="002C6037">
      <w:pPr>
        <w:pStyle w:val="Text"/>
      </w:pPr>
      <w:r>
        <w:t xml:space="preserve">The table shows that both the broad and narrow fields of education examined here </w:t>
      </w:r>
      <w:r w:rsidR="008E2176">
        <w:t xml:space="preserve">support students from low socio </w:t>
      </w:r>
      <w:r>
        <w:t>eco</w:t>
      </w:r>
      <w:r w:rsidR="008E2176">
        <w:t xml:space="preserve">nomic backgrounds to access </w:t>
      </w:r>
      <w:r w:rsidR="00572455">
        <w:t>mid-level</w:t>
      </w:r>
      <w:r>
        <w:t xml:space="preserve"> qualifications, in contrast to the situation in VET overall, where students from the most disa</w:t>
      </w:r>
      <w:r w:rsidR="00C23B19">
        <w:t xml:space="preserve">dvantaged backgrounds are </w:t>
      </w:r>
      <w:proofErr w:type="spellStart"/>
      <w:r w:rsidR="00C23B19">
        <w:t xml:space="preserve">under </w:t>
      </w:r>
      <w:r>
        <w:t>represented</w:t>
      </w:r>
      <w:proofErr w:type="spellEnd"/>
      <w:r>
        <w:t xml:space="preserve"> in higher level qualifications. This is particularly true for the narrow field of education of agriculture, in which more than half of all students undertaking diplomas and above come from the most disadvantaged backgrounds. Both the broad and narrow fields of ed</w:t>
      </w:r>
      <w:r w:rsidR="00C23B19">
        <w:t xml:space="preserve">ucation in agriculture are over </w:t>
      </w:r>
      <w:r>
        <w:lastRenderedPageBreak/>
        <w:t>represe</w:t>
      </w:r>
      <w:r w:rsidR="00C23B19">
        <w:t xml:space="preserve">nted by students from low socio </w:t>
      </w:r>
      <w:r>
        <w:t xml:space="preserve">economic backgrounds, particularly in lower level qualifications. This reflects the fact that students from rural </w:t>
      </w:r>
      <w:r w:rsidR="00C23B19">
        <w:t xml:space="preserve">and regional Australia are over </w:t>
      </w:r>
      <w:r>
        <w:t xml:space="preserve">represented in these fields of education, and that </w:t>
      </w:r>
      <w:r w:rsidR="008E61E6">
        <w:t>rural and regional areas also have a hi</w:t>
      </w:r>
      <w:r w:rsidR="00C23B19">
        <w:t xml:space="preserve">gh percentage of the most socio </w:t>
      </w:r>
      <w:r w:rsidR="008E61E6">
        <w:t xml:space="preserve">economically disadvantaged postcodes. </w:t>
      </w:r>
    </w:p>
    <w:p w14:paraId="4062C244" w14:textId="77777777" w:rsidR="00896141" w:rsidRPr="00837EEF" w:rsidRDefault="00896141" w:rsidP="00896141">
      <w:pPr>
        <w:pStyle w:val="tabletitle"/>
      </w:pPr>
      <w:bookmarkStart w:id="48" w:name="_Toc257836872"/>
      <w:r>
        <w:t xml:space="preserve">Table </w:t>
      </w:r>
      <w:r w:rsidR="00822A3A">
        <w:t>9</w:t>
      </w:r>
      <w:r w:rsidRPr="00837EEF">
        <w:tab/>
      </w:r>
      <w:r>
        <w:t>Percentage of students from the two lowest socio-economic quintiles</w:t>
      </w:r>
      <w:r w:rsidRPr="00771F89">
        <w:t xml:space="preserve"> by level of qualification and broad and selected</w:t>
      </w:r>
      <w:r>
        <w:t xml:space="preserve"> narrow field of education, 2012*</w:t>
      </w:r>
      <w:bookmarkEnd w:id="48"/>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896141" w:rsidRPr="00354810" w14:paraId="598BA9B6" w14:textId="77777777" w:rsidTr="006A738C">
        <w:trPr>
          <w:trHeight w:val="255"/>
          <w:tblHeader/>
        </w:trPr>
        <w:tc>
          <w:tcPr>
            <w:tcW w:w="2876" w:type="dxa"/>
            <w:tcBorders>
              <w:top w:val="single" w:sz="4" w:space="0" w:color="auto"/>
              <w:bottom w:val="nil"/>
            </w:tcBorders>
            <w:shd w:val="clear" w:color="auto" w:fill="auto"/>
            <w:vAlign w:val="center"/>
          </w:tcPr>
          <w:p w14:paraId="27C383DF" w14:textId="77777777" w:rsidR="00896141" w:rsidRPr="00354810" w:rsidRDefault="00896141" w:rsidP="006A738C">
            <w:pPr>
              <w:pStyle w:val="Tablehead1"/>
            </w:pPr>
            <w:r w:rsidRPr="00354810">
              <w:t>Field of education</w:t>
            </w:r>
          </w:p>
        </w:tc>
        <w:tc>
          <w:tcPr>
            <w:tcW w:w="860" w:type="dxa"/>
            <w:tcBorders>
              <w:top w:val="single" w:sz="4" w:space="0" w:color="auto"/>
              <w:bottom w:val="nil"/>
            </w:tcBorders>
            <w:vAlign w:val="center"/>
          </w:tcPr>
          <w:p w14:paraId="12A6BB56" w14:textId="77777777" w:rsidR="00896141" w:rsidRPr="00354810" w:rsidRDefault="00896141" w:rsidP="006A738C">
            <w:pPr>
              <w:pStyle w:val="Tablehead1"/>
              <w:jc w:val="right"/>
              <w:rPr>
                <w:bCs/>
              </w:rPr>
            </w:pPr>
            <w:r w:rsidRPr="00354810">
              <w:rPr>
                <w:bCs/>
              </w:rPr>
              <w:t>Cert I</w:t>
            </w:r>
          </w:p>
        </w:tc>
        <w:tc>
          <w:tcPr>
            <w:tcW w:w="861" w:type="dxa"/>
            <w:tcBorders>
              <w:top w:val="single" w:sz="4" w:space="0" w:color="auto"/>
              <w:bottom w:val="nil"/>
            </w:tcBorders>
            <w:vAlign w:val="center"/>
          </w:tcPr>
          <w:p w14:paraId="216D83FF" w14:textId="77777777" w:rsidR="00896141" w:rsidRPr="00354810" w:rsidRDefault="00896141" w:rsidP="006A738C">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016D987F" w14:textId="77777777" w:rsidR="00896141" w:rsidRPr="00354810" w:rsidRDefault="00896141" w:rsidP="006A738C">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647FDEDB" w14:textId="77777777" w:rsidR="00896141" w:rsidRPr="00354810" w:rsidRDefault="00896141" w:rsidP="006A738C">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18956389" w14:textId="77777777" w:rsidR="00896141" w:rsidRPr="00354810" w:rsidRDefault="00896141" w:rsidP="006A738C">
            <w:pPr>
              <w:pStyle w:val="Tablehead1"/>
              <w:jc w:val="right"/>
              <w:rPr>
                <w:bCs/>
              </w:rPr>
            </w:pPr>
            <w:r>
              <w:rPr>
                <w:bCs/>
              </w:rPr>
              <w:t>Dips and above</w:t>
            </w:r>
          </w:p>
        </w:tc>
        <w:tc>
          <w:tcPr>
            <w:tcW w:w="861" w:type="dxa"/>
            <w:tcBorders>
              <w:top w:val="single" w:sz="4" w:space="0" w:color="auto"/>
              <w:bottom w:val="nil"/>
            </w:tcBorders>
            <w:vAlign w:val="center"/>
          </w:tcPr>
          <w:p w14:paraId="361833E5" w14:textId="77777777" w:rsidR="00896141" w:rsidRPr="00354810" w:rsidRDefault="00896141" w:rsidP="006A738C">
            <w:pPr>
              <w:pStyle w:val="Tablehead1"/>
              <w:jc w:val="right"/>
              <w:rPr>
                <w:bCs/>
              </w:rPr>
            </w:pPr>
            <w:r w:rsidRPr="00354810">
              <w:rPr>
                <w:bCs/>
              </w:rPr>
              <w:t>All levels</w:t>
            </w:r>
          </w:p>
        </w:tc>
      </w:tr>
      <w:tr w:rsidR="00896141" w:rsidRPr="00354810" w14:paraId="70408F22" w14:textId="77777777" w:rsidTr="006A738C">
        <w:trPr>
          <w:trHeight w:val="255"/>
        </w:trPr>
        <w:tc>
          <w:tcPr>
            <w:tcW w:w="2876" w:type="dxa"/>
            <w:tcBorders>
              <w:top w:val="nil"/>
              <w:bottom w:val="nil"/>
            </w:tcBorders>
            <w:shd w:val="clear" w:color="auto" w:fill="auto"/>
            <w:vAlign w:val="center"/>
          </w:tcPr>
          <w:p w14:paraId="5DFA9CEF" w14:textId="77777777" w:rsidR="00896141" w:rsidRPr="00354810" w:rsidRDefault="00896141" w:rsidP="006A738C">
            <w:pPr>
              <w:pStyle w:val="Tabletext"/>
              <w:rPr>
                <w:b/>
                <w:bCs/>
              </w:rPr>
            </w:pPr>
            <w:r w:rsidRPr="009C0D37">
              <w:rPr>
                <w:b/>
                <w:bCs/>
              </w:rPr>
              <w:t>Agriculture, environmental and related studies</w:t>
            </w:r>
          </w:p>
        </w:tc>
        <w:tc>
          <w:tcPr>
            <w:tcW w:w="860" w:type="dxa"/>
            <w:tcBorders>
              <w:top w:val="nil"/>
              <w:bottom w:val="nil"/>
            </w:tcBorders>
            <w:vAlign w:val="center"/>
          </w:tcPr>
          <w:p w14:paraId="7263534A" w14:textId="77777777" w:rsidR="00896141" w:rsidRPr="00354810" w:rsidRDefault="00896141" w:rsidP="006A738C">
            <w:pPr>
              <w:pStyle w:val="Tabletext"/>
              <w:tabs>
                <w:tab w:val="decimal" w:pos="0"/>
                <w:tab w:val="decimal" w:pos="645"/>
                <w:tab w:val="right" w:pos="703"/>
              </w:tabs>
              <w:jc w:val="right"/>
            </w:pPr>
            <w:r w:rsidRPr="009C0D37">
              <w:t>56.1</w:t>
            </w:r>
          </w:p>
        </w:tc>
        <w:tc>
          <w:tcPr>
            <w:tcW w:w="861" w:type="dxa"/>
            <w:tcBorders>
              <w:top w:val="nil"/>
              <w:bottom w:val="nil"/>
            </w:tcBorders>
            <w:vAlign w:val="center"/>
          </w:tcPr>
          <w:p w14:paraId="677F2F3F" w14:textId="77777777" w:rsidR="00896141" w:rsidRPr="00354810" w:rsidRDefault="00896141" w:rsidP="006A738C">
            <w:pPr>
              <w:pStyle w:val="Tabletext"/>
              <w:tabs>
                <w:tab w:val="decimal" w:pos="0"/>
                <w:tab w:val="decimal" w:pos="645"/>
                <w:tab w:val="right" w:pos="703"/>
              </w:tabs>
              <w:jc w:val="right"/>
            </w:pPr>
            <w:r w:rsidRPr="009C0D37">
              <w:t>56.0</w:t>
            </w:r>
          </w:p>
        </w:tc>
        <w:tc>
          <w:tcPr>
            <w:tcW w:w="861" w:type="dxa"/>
            <w:tcBorders>
              <w:top w:val="nil"/>
              <w:bottom w:val="nil"/>
            </w:tcBorders>
            <w:shd w:val="clear" w:color="auto" w:fill="auto"/>
            <w:vAlign w:val="center"/>
          </w:tcPr>
          <w:p w14:paraId="15447D59" w14:textId="77777777" w:rsidR="00896141" w:rsidRPr="00354810" w:rsidRDefault="00896141" w:rsidP="006A738C">
            <w:pPr>
              <w:pStyle w:val="Tabletext"/>
              <w:tabs>
                <w:tab w:val="decimal" w:pos="0"/>
                <w:tab w:val="decimal" w:pos="645"/>
                <w:tab w:val="right" w:pos="703"/>
              </w:tabs>
              <w:jc w:val="right"/>
            </w:pPr>
            <w:r w:rsidRPr="009C0D37">
              <w:t>50.8</w:t>
            </w:r>
          </w:p>
        </w:tc>
        <w:tc>
          <w:tcPr>
            <w:tcW w:w="860" w:type="dxa"/>
            <w:tcBorders>
              <w:top w:val="nil"/>
              <w:bottom w:val="nil"/>
            </w:tcBorders>
            <w:shd w:val="clear" w:color="auto" w:fill="auto"/>
            <w:vAlign w:val="center"/>
          </w:tcPr>
          <w:p w14:paraId="7F8983AA" w14:textId="77777777" w:rsidR="00896141" w:rsidRPr="00354810" w:rsidRDefault="00896141" w:rsidP="006A738C">
            <w:pPr>
              <w:pStyle w:val="Tabletext"/>
              <w:tabs>
                <w:tab w:val="decimal" w:pos="0"/>
                <w:tab w:val="decimal" w:pos="645"/>
                <w:tab w:val="right" w:pos="703"/>
              </w:tabs>
              <w:jc w:val="right"/>
            </w:pPr>
            <w:r w:rsidRPr="009C0D37">
              <w:t>52.6</w:t>
            </w:r>
          </w:p>
        </w:tc>
        <w:tc>
          <w:tcPr>
            <w:tcW w:w="861" w:type="dxa"/>
            <w:tcBorders>
              <w:top w:val="nil"/>
              <w:bottom w:val="nil"/>
            </w:tcBorders>
            <w:shd w:val="pct12" w:color="auto" w:fill="auto"/>
            <w:vAlign w:val="center"/>
          </w:tcPr>
          <w:p w14:paraId="598D03C6" w14:textId="77777777" w:rsidR="00896141" w:rsidRPr="00354810" w:rsidRDefault="00896141" w:rsidP="006A738C">
            <w:pPr>
              <w:pStyle w:val="Tabletext"/>
              <w:tabs>
                <w:tab w:val="decimal" w:pos="0"/>
                <w:tab w:val="decimal" w:pos="645"/>
                <w:tab w:val="right" w:pos="703"/>
              </w:tabs>
              <w:jc w:val="right"/>
            </w:pPr>
            <w:r w:rsidRPr="009C0D37">
              <w:t>39.5</w:t>
            </w:r>
          </w:p>
        </w:tc>
        <w:tc>
          <w:tcPr>
            <w:tcW w:w="861" w:type="dxa"/>
            <w:tcBorders>
              <w:top w:val="nil"/>
              <w:bottom w:val="nil"/>
            </w:tcBorders>
            <w:vAlign w:val="center"/>
          </w:tcPr>
          <w:p w14:paraId="11D695E1" w14:textId="77777777" w:rsidR="00896141" w:rsidRPr="00A85869" w:rsidRDefault="00896141" w:rsidP="006A738C">
            <w:pPr>
              <w:pStyle w:val="Tabletext"/>
              <w:tabs>
                <w:tab w:val="decimal" w:pos="0"/>
                <w:tab w:val="decimal" w:pos="645"/>
                <w:tab w:val="right" w:pos="703"/>
              </w:tabs>
              <w:jc w:val="right"/>
            </w:pPr>
            <w:r w:rsidRPr="009C0D37">
              <w:t>51.8</w:t>
            </w:r>
          </w:p>
        </w:tc>
      </w:tr>
      <w:tr w:rsidR="00896141" w:rsidRPr="00354810" w14:paraId="4CFBA9F4" w14:textId="77777777" w:rsidTr="006A738C">
        <w:trPr>
          <w:trHeight w:val="255"/>
        </w:trPr>
        <w:tc>
          <w:tcPr>
            <w:tcW w:w="2876" w:type="dxa"/>
            <w:tcBorders>
              <w:top w:val="nil"/>
              <w:bottom w:val="nil"/>
            </w:tcBorders>
            <w:shd w:val="clear" w:color="auto" w:fill="auto"/>
            <w:vAlign w:val="center"/>
          </w:tcPr>
          <w:p w14:paraId="77C0069B" w14:textId="77777777" w:rsidR="00896141" w:rsidRPr="00354810" w:rsidRDefault="00896141" w:rsidP="006A738C">
            <w:pPr>
              <w:pStyle w:val="Tabletext"/>
              <w:ind w:left="567"/>
            </w:pPr>
            <w:r>
              <w:t>Agriculture</w:t>
            </w:r>
          </w:p>
        </w:tc>
        <w:tc>
          <w:tcPr>
            <w:tcW w:w="860" w:type="dxa"/>
            <w:tcBorders>
              <w:top w:val="nil"/>
              <w:bottom w:val="nil"/>
            </w:tcBorders>
            <w:vAlign w:val="center"/>
          </w:tcPr>
          <w:p w14:paraId="1CCA60DF" w14:textId="77777777" w:rsidR="00896141" w:rsidRPr="00354810" w:rsidRDefault="00896141" w:rsidP="006A738C">
            <w:pPr>
              <w:pStyle w:val="Tabletext"/>
              <w:tabs>
                <w:tab w:val="decimal" w:pos="0"/>
                <w:tab w:val="decimal" w:pos="645"/>
                <w:tab w:val="right" w:pos="703"/>
              </w:tabs>
              <w:jc w:val="right"/>
            </w:pPr>
            <w:r w:rsidRPr="009C0D37">
              <w:t>58.9</w:t>
            </w:r>
          </w:p>
        </w:tc>
        <w:tc>
          <w:tcPr>
            <w:tcW w:w="861" w:type="dxa"/>
            <w:tcBorders>
              <w:top w:val="nil"/>
              <w:bottom w:val="nil"/>
            </w:tcBorders>
            <w:vAlign w:val="center"/>
          </w:tcPr>
          <w:p w14:paraId="1AF30888" w14:textId="77777777" w:rsidR="00896141" w:rsidRPr="00354810" w:rsidRDefault="00896141" w:rsidP="006A738C">
            <w:pPr>
              <w:pStyle w:val="Tabletext"/>
              <w:tabs>
                <w:tab w:val="decimal" w:pos="0"/>
                <w:tab w:val="decimal" w:pos="645"/>
                <w:tab w:val="right" w:pos="703"/>
              </w:tabs>
              <w:jc w:val="right"/>
            </w:pPr>
            <w:r w:rsidRPr="009C0D37">
              <w:t>59.5</w:t>
            </w:r>
          </w:p>
        </w:tc>
        <w:tc>
          <w:tcPr>
            <w:tcW w:w="861" w:type="dxa"/>
            <w:tcBorders>
              <w:top w:val="nil"/>
              <w:bottom w:val="nil"/>
            </w:tcBorders>
            <w:shd w:val="clear" w:color="auto" w:fill="auto"/>
            <w:vAlign w:val="center"/>
          </w:tcPr>
          <w:p w14:paraId="789B01C0" w14:textId="77777777" w:rsidR="00896141" w:rsidRPr="00354810" w:rsidRDefault="00896141" w:rsidP="006A738C">
            <w:pPr>
              <w:pStyle w:val="Tabletext"/>
              <w:tabs>
                <w:tab w:val="decimal" w:pos="0"/>
                <w:tab w:val="decimal" w:pos="645"/>
                <w:tab w:val="right" w:pos="703"/>
              </w:tabs>
              <w:jc w:val="right"/>
            </w:pPr>
            <w:r w:rsidRPr="009C0D37">
              <w:t>57.7</w:t>
            </w:r>
          </w:p>
        </w:tc>
        <w:tc>
          <w:tcPr>
            <w:tcW w:w="860" w:type="dxa"/>
            <w:tcBorders>
              <w:top w:val="nil"/>
              <w:bottom w:val="nil"/>
            </w:tcBorders>
            <w:shd w:val="clear" w:color="auto" w:fill="auto"/>
            <w:vAlign w:val="center"/>
          </w:tcPr>
          <w:p w14:paraId="6D9F135D" w14:textId="77777777" w:rsidR="00896141" w:rsidRPr="00354810" w:rsidRDefault="00896141" w:rsidP="006A738C">
            <w:pPr>
              <w:pStyle w:val="Tabletext"/>
              <w:tabs>
                <w:tab w:val="decimal" w:pos="0"/>
                <w:tab w:val="decimal" w:pos="645"/>
                <w:tab w:val="right" w:pos="703"/>
              </w:tabs>
              <w:jc w:val="right"/>
            </w:pPr>
            <w:r w:rsidRPr="009C0D37">
              <w:t>52.0</w:t>
            </w:r>
          </w:p>
        </w:tc>
        <w:tc>
          <w:tcPr>
            <w:tcW w:w="861" w:type="dxa"/>
            <w:tcBorders>
              <w:top w:val="nil"/>
              <w:bottom w:val="nil"/>
            </w:tcBorders>
            <w:shd w:val="pct12" w:color="auto" w:fill="auto"/>
            <w:vAlign w:val="center"/>
          </w:tcPr>
          <w:p w14:paraId="0AB6D74A" w14:textId="77777777" w:rsidR="00896141" w:rsidRPr="00354810" w:rsidRDefault="00896141" w:rsidP="006A738C">
            <w:pPr>
              <w:pStyle w:val="Tabletext"/>
              <w:tabs>
                <w:tab w:val="decimal" w:pos="0"/>
                <w:tab w:val="decimal" w:pos="645"/>
                <w:tab w:val="right" w:pos="703"/>
              </w:tabs>
              <w:jc w:val="right"/>
            </w:pPr>
            <w:r w:rsidRPr="009C0D37">
              <w:t>53.2</w:t>
            </w:r>
          </w:p>
        </w:tc>
        <w:tc>
          <w:tcPr>
            <w:tcW w:w="861" w:type="dxa"/>
            <w:tcBorders>
              <w:top w:val="nil"/>
              <w:bottom w:val="nil"/>
            </w:tcBorders>
            <w:vAlign w:val="center"/>
          </w:tcPr>
          <w:p w14:paraId="236DF924" w14:textId="77777777" w:rsidR="00896141" w:rsidRPr="00A85869" w:rsidRDefault="00896141" w:rsidP="006A738C">
            <w:pPr>
              <w:pStyle w:val="Tabletext"/>
              <w:tabs>
                <w:tab w:val="decimal" w:pos="0"/>
                <w:tab w:val="decimal" w:pos="645"/>
                <w:tab w:val="right" w:pos="703"/>
              </w:tabs>
              <w:jc w:val="right"/>
            </w:pPr>
            <w:r w:rsidRPr="009C0D37">
              <w:t>57.3</w:t>
            </w:r>
          </w:p>
        </w:tc>
      </w:tr>
      <w:tr w:rsidR="00896141" w:rsidRPr="00354810" w14:paraId="1194D02F" w14:textId="77777777" w:rsidTr="006A738C">
        <w:trPr>
          <w:trHeight w:val="255"/>
        </w:trPr>
        <w:tc>
          <w:tcPr>
            <w:tcW w:w="2876" w:type="dxa"/>
            <w:tcBorders>
              <w:top w:val="single" w:sz="4" w:space="0" w:color="auto"/>
              <w:bottom w:val="single" w:sz="4" w:space="0" w:color="auto"/>
            </w:tcBorders>
            <w:shd w:val="clear" w:color="auto" w:fill="auto"/>
            <w:vAlign w:val="center"/>
          </w:tcPr>
          <w:p w14:paraId="6DB3C13E" w14:textId="77777777" w:rsidR="00896141" w:rsidRPr="00354810" w:rsidRDefault="00896141" w:rsidP="006A738C">
            <w:pPr>
              <w:pStyle w:val="Tabletext"/>
              <w:rPr>
                <w:b/>
              </w:rPr>
            </w:pPr>
            <w:r w:rsidRPr="00354810">
              <w:rPr>
                <w:b/>
              </w:rPr>
              <w:t>All fields</w:t>
            </w:r>
          </w:p>
        </w:tc>
        <w:tc>
          <w:tcPr>
            <w:tcW w:w="860" w:type="dxa"/>
            <w:tcBorders>
              <w:top w:val="single" w:sz="4" w:space="0" w:color="auto"/>
              <w:bottom w:val="single" w:sz="4" w:space="0" w:color="auto"/>
            </w:tcBorders>
            <w:vAlign w:val="center"/>
          </w:tcPr>
          <w:p w14:paraId="24094BEE" w14:textId="77777777" w:rsidR="00896141" w:rsidRPr="00A85869" w:rsidRDefault="00896141" w:rsidP="006A738C">
            <w:pPr>
              <w:pStyle w:val="Tabletext"/>
              <w:jc w:val="right"/>
              <w:rPr>
                <w:b/>
              </w:rPr>
            </w:pPr>
            <w:r w:rsidRPr="00A85869">
              <w:rPr>
                <w:b/>
              </w:rPr>
              <w:t>47.5</w:t>
            </w:r>
          </w:p>
        </w:tc>
        <w:tc>
          <w:tcPr>
            <w:tcW w:w="861" w:type="dxa"/>
            <w:tcBorders>
              <w:top w:val="single" w:sz="4" w:space="0" w:color="auto"/>
              <w:bottom w:val="single" w:sz="4" w:space="0" w:color="auto"/>
            </w:tcBorders>
            <w:vAlign w:val="center"/>
          </w:tcPr>
          <w:p w14:paraId="13B2AC3A" w14:textId="77777777" w:rsidR="00896141" w:rsidRPr="00A85869" w:rsidRDefault="00896141" w:rsidP="006A738C">
            <w:pPr>
              <w:pStyle w:val="Tabletext"/>
              <w:tabs>
                <w:tab w:val="decimal" w:pos="0"/>
                <w:tab w:val="decimal" w:pos="645"/>
              </w:tabs>
              <w:jc w:val="right"/>
              <w:rPr>
                <w:b/>
              </w:rPr>
            </w:pPr>
            <w:r w:rsidRPr="00A85869">
              <w:rPr>
                <w:b/>
              </w:rPr>
              <w:t>50.9</w:t>
            </w:r>
          </w:p>
        </w:tc>
        <w:tc>
          <w:tcPr>
            <w:tcW w:w="861" w:type="dxa"/>
            <w:tcBorders>
              <w:top w:val="single" w:sz="4" w:space="0" w:color="auto"/>
              <w:bottom w:val="single" w:sz="4" w:space="0" w:color="auto"/>
            </w:tcBorders>
            <w:shd w:val="clear" w:color="auto" w:fill="auto"/>
            <w:vAlign w:val="center"/>
          </w:tcPr>
          <w:p w14:paraId="4885DA7A" w14:textId="77777777" w:rsidR="00896141" w:rsidRPr="00A85869" w:rsidRDefault="00896141" w:rsidP="006A738C">
            <w:pPr>
              <w:pStyle w:val="Tabletext"/>
              <w:jc w:val="right"/>
              <w:rPr>
                <w:b/>
              </w:rPr>
            </w:pPr>
            <w:r w:rsidRPr="00A85869">
              <w:rPr>
                <w:b/>
              </w:rPr>
              <w:t>45.3</w:t>
            </w:r>
          </w:p>
        </w:tc>
        <w:tc>
          <w:tcPr>
            <w:tcW w:w="860" w:type="dxa"/>
            <w:tcBorders>
              <w:top w:val="single" w:sz="4" w:space="0" w:color="auto"/>
              <w:bottom w:val="single" w:sz="4" w:space="0" w:color="auto"/>
            </w:tcBorders>
            <w:shd w:val="clear" w:color="auto" w:fill="auto"/>
            <w:vAlign w:val="center"/>
          </w:tcPr>
          <w:p w14:paraId="521B5701" w14:textId="77777777" w:rsidR="00896141" w:rsidRPr="00A85869" w:rsidRDefault="00896141" w:rsidP="006A738C">
            <w:pPr>
              <w:pStyle w:val="Tabletext"/>
              <w:jc w:val="right"/>
              <w:rPr>
                <w:b/>
              </w:rPr>
            </w:pPr>
            <w:r w:rsidRPr="00A85869">
              <w:rPr>
                <w:b/>
              </w:rPr>
              <w:t>37.9</w:t>
            </w:r>
          </w:p>
        </w:tc>
        <w:tc>
          <w:tcPr>
            <w:tcW w:w="861" w:type="dxa"/>
            <w:tcBorders>
              <w:top w:val="single" w:sz="4" w:space="0" w:color="auto"/>
              <w:bottom w:val="single" w:sz="4" w:space="0" w:color="auto"/>
            </w:tcBorders>
            <w:shd w:val="pct12" w:color="auto" w:fill="auto"/>
            <w:vAlign w:val="center"/>
          </w:tcPr>
          <w:p w14:paraId="7DE5B5A6" w14:textId="77777777" w:rsidR="00896141" w:rsidRPr="00A85869" w:rsidRDefault="00896141" w:rsidP="006A738C">
            <w:pPr>
              <w:pStyle w:val="Tabletext"/>
              <w:jc w:val="right"/>
              <w:rPr>
                <w:b/>
              </w:rPr>
            </w:pPr>
            <w:r w:rsidRPr="00A85869">
              <w:rPr>
                <w:b/>
              </w:rPr>
              <w:t>33.8</w:t>
            </w:r>
          </w:p>
        </w:tc>
        <w:tc>
          <w:tcPr>
            <w:tcW w:w="861" w:type="dxa"/>
            <w:tcBorders>
              <w:top w:val="single" w:sz="4" w:space="0" w:color="auto"/>
              <w:bottom w:val="single" w:sz="4" w:space="0" w:color="auto"/>
            </w:tcBorders>
            <w:vAlign w:val="center"/>
          </w:tcPr>
          <w:p w14:paraId="70769DE8" w14:textId="77777777" w:rsidR="00896141" w:rsidRPr="00A85869" w:rsidRDefault="00896141" w:rsidP="006A738C">
            <w:pPr>
              <w:pStyle w:val="Tabletext"/>
              <w:jc w:val="right"/>
              <w:rPr>
                <w:b/>
              </w:rPr>
            </w:pPr>
            <w:r w:rsidRPr="00A85869">
              <w:rPr>
                <w:b/>
              </w:rPr>
              <w:t>43.1</w:t>
            </w:r>
          </w:p>
        </w:tc>
      </w:tr>
    </w:tbl>
    <w:p w14:paraId="15035B24" w14:textId="77777777" w:rsidR="00896141" w:rsidRDefault="00896141" w:rsidP="00896141">
      <w:pPr>
        <w:pStyle w:val="Source"/>
      </w:pPr>
      <w:r w:rsidRPr="000B7EAA">
        <w:t>S</w:t>
      </w:r>
      <w:r>
        <w:t>ource</w:t>
      </w:r>
      <w:r>
        <w:tab/>
      </w:r>
      <w:r w:rsidRPr="00772E52">
        <w:t>VOCSTATS (</w:t>
      </w:r>
      <w:hyperlink r:id="rId24" w:history="1">
        <w:r w:rsidRPr="00E22016">
          <w:t>www.ncver.edu.au/resources/vocstats/intro.html</w:t>
        </w:r>
      </w:hyperlink>
      <w:r w:rsidRPr="00772E52">
        <w:t>)</w:t>
      </w:r>
      <w:r>
        <w:t xml:space="preserve"> extracted on 26/12/2013</w:t>
      </w:r>
    </w:p>
    <w:p w14:paraId="3CCC332B" w14:textId="77777777" w:rsidR="00896141" w:rsidRDefault="00896141" w:rsidP="00896141">
      <w:pPr>
        <w:pStyle w:val="Source"/>
      </w:pPr>
      <w:r>
        <w:t>Notes:</w:t>
      </w:r>
      <w:r>
        <w:tab/>
      </w:r>
      <w:proofErr w:type="spellStart"/>
      <w:proofErr w:type="gramStart"/>
      <w:r>
        <w:t>na</w:t>
      </w:r>
      <w:proofErr w:type="spellEnd"/>
      <w:proofErr w:type="gramEnd"/>
      <w:r>
        <w:t xml:space="preserve"> </w:t>
      </w:r>
      <w:r w:rsidRPr="00147C93">
        <w:t>Not applicable</w:t>
      </w:r>
    </w:p>
    <w:p w14:paraId="00D3D037" w14:textId="77777777" w:rsidR="00896141" w:rsidRDefault="00896141" w:rsidP="00896141">
      <w:pPr>
        <w:pStyle w:val="Source"/>
        <w:ind w:firstLine="0"/>
      </w:pPr>
      <w:r>
        <w:t>*as measured by the Index of Education and Occupations in SEIFA (Socio-Economic Indexes for Areas), Australian Bureau of Statistics</w:t>
      </w:r>
      <w:r w:rsidR="0078060F">
        <w:t>. It uses postcodes as the basic unit of measurement.</w:t>
      </w:r>
      <w:r>
        <w:t xml:space="preserve"> </w:t>
      </w:r>
    </w:p>
    <w:p w14:paraId="58E78E6B" w14:textId="77777777" w:rsidR="00896141" w:rsidRDefault="00896141" w:rsidP="00896141">
      <w:pPr>
        <w:pStyle w:val="Source"/>
        <w:ind w:firstLine="0"/>
      </w:pPr>
      <w:r>
        <w:t>The number of students is counted and not enrolments or equivalent fulltime student load as the table focuses on attributes of students and not qualifications</w:t>
      </w:r>
    </w:p>
    <w:p w14:paraId="464F80CE" w14:textId="5242FF18" w:rsidR="008E61E6" w:rsidRDefault="008E61E6" w:rsidP="008E61E6">
      <w:pPr>
        <w:pStyle w:val="Text"/>
      </w:pPr>
      <w:bookmarkStart w:id="49" w:name="_Toc248492887"/>
      <w:r>
        <w:t xml:space="preserve">However, this does not necessarily translate into social mobility into higher education. </w:t>
      </w:r>
      <w:proofErr w:type="spellStart"/>
      <w:r>
        <w:t>Moodie</w:t>
      </w:r>
      <w:proofErr w:type="spellEnd"/>
      <w:r>
        <w:t xml:space="preserve"> (2012</w:t>
      </w:r>
      <w:r w:rsidR="00B24D35">
        <w:t>b</w:t>
      </w:r>
      <w:r>
        <w:t xml:space="preserve"> Table 4) shows that the broad field of education of agriculture, environmental and related studies admits approximately 8</w:t>
      </w:r>
      <w:r w:rsidR="003D41A0">
        <w:t>%</w:t>
      </w:r>
      <w:r>
        <w:t xml:space="preserve"> of students on the basis of prior VET studies, compared to 9</w:t>
      </w:r>
      <w:r w:rsidR="003D41A0">
        <w:t>%</w:t>
      </w:r>
      <w:r>
        <w:t xml:space="preserve"> for higher education overall. On the other hand, it admits approximately 21</w:t>
      </w:r>
      <w:r w:rsidR="003D41A0">
        <w:t>%</w:t>
      </w:r>
      <w:r w:rsidR="00C23B19">
        <w:t xml:space="preserve"> of students from low socio </w:t>
      </w:r>
      <w:r>
        <w:t>economic backgrounds, compared to 17</w:t>
      </w:r>
      <w:r w:rsidR="003D41A0">
        <w:t>%</w:t>
      </w:r>
      <w:r w:rsidR="00C23B19">
        <w:t xml:space="preserve"> for higher education overall </w:t>
      </w:r>
      <w:r>
        <w:t>(in this instance, calculated as the bottom 25</w:t>
      </w:r>
      <w:r w:rsidR="003D41A0">
        <w:t>%</w:t>
      </w:r>
      <w:r>
        <w:t xml:space="preserve"> of disadvantaged students and not 40</w:t>
      </w:r>
      <w:r w:rsidR="003D41A0">
        <w:t>%</w:t>
      </w:r>
      <w:r>
        <w:t xml:space="preserve"> as we are using it here). It is clear that while at least some of those students from disadvantaged backgrounds who are admitted into the broad field of education may have had prior studies in VET, the majority of disadvantaged students entering agriculture did not come via VET.</w:t>
      </w:r>
    </w:p>
    <w:p w14:paraId="730D2D48" w14:textId="77777777" w:rsidR="002C6037" w:rsidRDefault="002C6037" w:rsidP="002C6037">
      <w:pPr>
        <w:pStyle w:val="Heading2"/>
      </w:pPr>
      <w:bookmarkStart w:id="50" w:name="_Toc257836748"/>
      <w:r>
        <w:t>Capabilities approach</w:t>
      </w:r>
      <w:bookmarkEnd w:id="49"/>
      <w:bookmarkEnd w:id="50"/>
    </w:p>
    <w:p w14:paraId="5B8F2A2D" w14:textId="77777777" w:rsidR="002C6037" w:rsidRDefault="002C6037" w:rsidP="002C6037">
      <w:pPr>
        <w:pStyle w:val="Text"/>
      </w:pPr>
      <w:r>
        <w:t xml:space="preserve">There was general support among the third stage participants for a capabilities approach of developing broad-ranging knowledge and skills throughout careers, and building the social arrangements to achieve this. The </w:t>
      </w:r>
      <w:r w:rsidR="006265AA">
        <w:t xml:space="preserve">skills council </w:t>
      </w:r>
      <w:r>
        <w:t>consultant emphasised the need for education through working life:</w:t>
      </w:r>
    </w:p>
    <w:p w14:paraId="1E51E67A" w14:textId="77777777" w:rsidR="002C6037" w:rsidRDefault="002C6037" w:rsidP="002C6037">
      <w:pPr>
        <w:pStyle w:val="Quote"/>
      </w:pPr>
      <w:r>
        <w:t>I think it's fairly short-</w:t>
      </w:r>
      <w:r w:rsidRPr="00D204CB">
        <w:t>term view to knock somebod</w:t>
      </w:r>
      <w:r w:rsidR="006265AA">
        <w:t>y’</w:t>
      </w:r>
      <w:r w:rsidRPr="00D204CB">
        <w:t>s education over in two or three years to think that’s going to set them up for life. I like the capabilities approach because it's incremental over a long period of time, it takes all their means of learning rather than just institutional based because there's a whole lot of other ways people learn.</w:t>
      </w:r>
    </w:p>
    <w:p w14:paraId="47039FE6" w14:textId="77777777" w:rsidR="002C6037" w:rsidRDefault="002C6037" w:rsidP="002C6037">
      <w:pPr>
        <w:pStyle w:val="Text"/>
      </w:pPr>
      <w:r>
        <w:t>The training consultant participant put forward as a best-practice example an employer with a long-term and comprehensive view of a structured approach to education and work:</w:t>
      </w:r>
    </w:p>
    <w:p w14:paraId="711A22A1" w14:textId="77777777" w:rsidR="002C6037" w:rsidRDefault="006265AA" w:rsidP="002C6037">
      <w:pPr>
        <w:pStyle w:val="Quote"/>
      </w:pPr>
      <w:r>
        <w:t>Then a guy in w</w:t>
      </w:r>
      <w:r w:rsidR="002C6037">
        <w:t>estern Victoria a few years ago, a large grain</w:t>
      </w:r>
      <w:r>
        <w:t xml:space="preserve"> farmer, operates about 60,000 h</w:t>
      </w:r>
      <w:r w:rsidR="002C6037">
        <w:t xml:space="preserve">ectares of grain across </w:t>
      </w:r>
      <w:r>
        <w:t>w</w:t>
      </w:r>
      <w:r w:rsidR="002C6037">
        <w:t xml:space="preserve">estern Victoria and </w:t>
      </w:r>
      <w:r>
        <w:t>s</w:t>
      </w:r>
      <w:r w:rsidR="002C6037">
        <w:t xml:space="preserve">outhern New South Wales and he had a terrific concept for his staff. He had about sixteen or eighteen staff on board, he said what he’d like to be able to do is grab them out of school, do a school based apprenticeship with them while they finish year 12, work one day a week, do their Certificate II in Agriculture, let them work for twelve months or so, then send them away, go and do something somewhere; a Certificate III or apprenticeship somewhere, then come back and I'll take you on and run you through a Certificate </w:t>
      </w:r>
      <w:r w:rsidR="002C6037">
        <w:lastRenderedPageBreak/>
        <w:t>IV or five. Then you go and do your graduate program at Marcus Oldham and you'll be my next farm manager, my 2IC sort of person. So the coming in and coming out — almost like a cadet program where you can do some work, training, work, training. And I thought that was a good idea but very hard to put in place.</w:t>
      </w:r>
      <w:r w:rsidR="002C6037">
        <w:tab/>
      </w:r>
    </w:p>
    <w:p w14:paraId="12AF5FCB" w14:textId="77777777" w:rsidR="002C6037" w:rsidRDefault="002C6037" w:rsidP="002C6037">
      <w:pPr>
        <w:pStyle w:val="Text"/>
      </w:pPr>
      <w:r>
        <w:t xml:space="preserve">This participant saw the nature of current funding mechanisms as one barrier to a capabilities approach. </w:t>
      </w:r>
    </w:p>
    <w:p w14:paraId="6CFAB866" w14:textId="77777777" w:rsidR="002C6037" w:rsidRDefault="002C6037" w:rsidP="002C6037">
      <w:pPr>
        <w:pStyle w:val="Quote"/>
      </w:pPr>
      <w:r>
        <w:t>You try and do lifelong learning with the current funding mechanisms we've got currently and it doesn’t happen. You get one shot at it and that’s it. Everything else you’ve got to pay for, and if you've got a Degree in something forget actually trying to get a Diploma in something because it's coming down the ladder and you're not allowed to get access to it. You've got to be able to move across and up and down and come back in, that sort of thing, and we should be recognising that ability and provide some funding there or the capacity for it to be funded at a reasonable rate anyway.</w:t>
      </w:r>
    </w:p>
    <w:p w14:paraId="69811019" w14:textId="77777777" w:rsidR="002C6037" w:rsidRDefault="002C6037" w:rsidP="002C6037">
      <w:pPr>
        <w:pStyle w:val="Text"/>
      </w:pPr>
      <w:r>
        <w:t>Another barrier raised by several participants is the aversion of employers to supporting training at all. As the former dean of agriculture put it</w:t>
      </w:r>
      <w:r w:rsidR="00822A3A">
        <w:t>:</w:t>
      </w:r>
    </w:p>
    <w:p w14:paraId="1753706B" w14:textId="77777777" w:rsidR="002C6037" w:rsidRDefault="002C6037" w:rsidP="002C6037">
      <w:pPr>
        <w:pStyle w:val="Quote"/>
      </w:pPr>
      <w:r>
        <w:t>Industry has a poor record of paying for qualifications for skilled labour… unless industry recognises qualifications, it's going to struggle to find people to work in it and we’re seeing that in horticulture and agriculture. Because if you compare agriculture with the other sectors, its level of education qualifications are very low, so the industry only sees it from the employer point of view.</w:t>
      </w:r>
    </w:p>
    <w:p w14:paraId="770C6A78" w14:textId="77777777" w:rsidR="002C6037" w:rsidRDefault="002C6037" w:rsidP="002C6037">
      <w:pPr>
        <w:pStyle w:val="Text"/>
      </w:pPr>
      <w:r>
        <w:t>The training consultant similarly stated</w:t>
      </w:r>
      <w:r w:rsidR="00874794">
        <w:t>:</w:t>
      </w:r>
    </w:p>
    <w:p w14:paraId="325D873D" w14:textId="03649A3B" w:rsidR="002C6037" w:rsidRDefault="00790572" w:rsidP="002C6037">
      <w:pPr>
        <w:pStyle w:val="Quote"/>
      </w:pPr>
      <w:r>
        <w:t>There a</w:t>
      </w:r>
      <w:r w:rsidR="002C6037">
        <w:t xml:space="preserve">re good employers out there that will say to get good people we've got to pay them good money and they're probably only about 40-60% of the market and they're producing 90% of the product. The other ones that get all the oxygen are the ones that whinge and scream; we've got to pay them another $10 a week when the national wage thing comes out every year. Well hang on, you go and buy a bloody $40,000 quad bike or spend $100,000 on a new heater or $25,000 on a new dog, but you won’t pay your apprenticeship another $2 a week. </w:t>
      </w:r>
    </w:p>
    <w:p w14:paraId="4919FC90" w14:textId="77777777" w:rsidR="002C6037" w:rsidRDefault="002C6037" w:rsidP="002C6037">
      <w:pPr>
        <w:pStyle w:val="Text"/>
      </w:pPr>
      <w:r>
        <w:t xml:space="preserve">But he stressed really that the lack of investment for training and labour generally was not the fault of the individual employers, but their existence within a very tight market. For example co-operative efforts have become more difficult with </w:t>
      </w:r>
      <w:proofErr w:type="spellStart"/>
      <w:r>
        <w:t>marketising</w:t>
      </w:r>
      <w:proofErr w:type="spellEnd"/>
      <w:r>
        <w:t xml:space="preserve"> policies:</w:t>
      </w:r>
    </w:p>
    <w:p w14:paraId="04FAEC25" w14:textId="77777777" w:rsidR="002C6037" w:rsidRDefault="002C6037" w:rsidP="002C6037">
      <w:pPr>
        <w:pStyle w:val="Quote"/>
      </w:pPr>
      <w:r>
        <w:t>As soon as the dairy industry started getting together and saying perhaps we might have a self-demanding product price for our milk then the ACCC kicked them down and said you're becoming a cartel, you can’t do that.</w:t>
      </w:r>
    </w:p>
    <w:p w14:paraId="2941F407" w14:textId="77777777" w:rsidR="002C6037" w:rsidRDefault="002C6037" w:rsidP="002C6037">
      <w:pPr>
        <w:pStyle w:val="Text"/>
      </w:pPr>
      <w:r>
        <w:t xml:space="preserve">The training consultant also </w:t>
      </w:r>
      <w:r w:rsidR="00874794">
        <w:t>suggested</w:t>
      </w:r>
      <w:r>
        <w:t xml:space="preserve"> that there may be a disincentive for training for employees, because in a relatively unstructured and unregulated labour ma</w:t>
      </w:r>
      <w:r w:rsidR="006265AA">
        <w:t>rket the returns are not clear:</w:t>
      </w:r>
    </w:p>
    <w:p w14:paraId="623B66F0" w14:textId="77777777" w:rsidR="002C6037" w:rsidRDefault="002C6037" w:rsidP="002C6037">
      <w:pPr>
        <w:pStyle w:val="Quote"/>
      </w:pPr>
      <w:r>
        <w:t xml:space="preserve">If you've got a </w:t>
      </w:r>
      <w:r w:rsidR="006265AA">
        <w:t>d</w:t>
      </w:r>
      <w:r>
        <w:t xml:space="preserve">iploma of </w:t>
      </w:r>
      <w:r w:rsidR="006265AA">
        <w:t>a</w:t>
      </w:r>
      <w:r>
        <w:t xml:space="preserve">griculture or a </w:t>
      </w:r>
      <w:r w:rsidR="006265AA">
        <w:t>d</w:t>
      </w:r>
      <w:r>
        <w:t xml:space="preserve">egree in </w:t>
      </w:r>
      <w:r w:rsidR="006265AA">
        <w:t>agricultural s</w:t>
      </w:r>
      <w:r>
        <w:t>cience there's no definitive pay structure that says because you've got that, you've got to be paid this amount of dollars as you'd have in the manufacturing or education fields etc. So we haven’t got that pay structure and I don't think we ever will becaus</w:t>
      </w:r>
      <w:r w:rsidR="006265AA">
        <w:t>e industry is just too diverse.</w:t>
      </w:r>
    </w:p>
    <w:p w14:paraId="1BE90072" w14:textId="77777777" w:rsidR="002C6037" w:rsidRDefault="002C6037" w:rsidP="002C6037">
      <w:pPr>
        <w:pStyle w:val="Text"/>
      </w:pPr>
      <w:r>
        <w:t>Some third stage participants argued that where employers support training it can be at a superficial level that does not build capabilities. The union organiser participant argued that employers in food processing were most interested in exploiting the previously available subsidies for certificate II programs:</w:t>
      </w:r>
    </w:p>
    <w:p w14:paraId="54C2E789" w14:textId="77777777" w:rsidR="002C6037" w:rsidRDefault="002C6037" w:rsidP="002C6037">
      <w:pPr>
        <w:pStyle w:val="Quote"/>
      </w:pPr>
      <w:r>
        <w:lastRenderedPageBreak/>
        <w:t>There has been some evidence that employers were exploiting the Certificate II model just to achieve the subsidy and once achieving the subsidy, they could have all sorts of other offsets when it comes to payroll tax, workers compensation and those sorts of things. That’s been reined in personally, and I think my organisation as I represent, think that’s a good thing because it's actually stopped the ability for some people to rort the system.</w:t>
      </w:r>
    </w:p>
    <w:p w14:paraId="54394F9B" w14:textId="77777777" w:rsidR="002C6037" w:rsidRDefault="002C6037" w:rsidP="002C6037">
      <w:pPr>
        <w:pStyle w:val="Text"/>
      </w:pPr>
      <w:r>
        <w:t>The union organiser also saw employers as being adverse to well-rounded qualifications because they preferred more employer-specific ‘skill sets’:</w:t>
      </w:r>
    </w:p>
    <w:p w14:paraId="35AFC92C" w14:textId="691008E7" w:rsidR="002C6037" w:rsidRDefault="002C6037" w:rsidP="002C6037">
      <w:pPr>
        <w:pStyle w:val="Quote"/>
      </w:pPr>
      <w:r>
        <w:t xml:space="preserve">I don't like the idea of using </w:t>
      </w:r>
      <w:r w:rsidR="006265AA">
        <w:t xml:space="preserve">specific </w:t>
      </w:r>
      <w:r>
        <w:t xml:space="preserve">skill </w:t>
      </w:r>
      <w:r w:rsidR="006265AA">
        <w:t>sets;</w:t>
      </w:r>
      <w:r>
        <w:t xml:space="preserve"> I want people to be able to move from job to job if they want to. The last thing we want is for someone working in a large retail chain supermarket and the</w:t>
      </w:r>
      <w:r w:rsidR="00790572">
        <w:t>y’</w:t>
      </w:r>
      <w:r>
        <w:t xml:space="preserve">re performing a particular food service model there and then they have a qualification that says they're trade equivalent and go to another small business for instance to perform that trade qualification, and they’ve only got half the skills. The </w:t>
      </w:r>
      <w:r w:rsidR="006265AA">
        <w:t>c</w:t>
      </w:r>
      <w:r>
        <w:t xml:space="preserve">ertificate they’ve got isn’t worth the paper it's written on, you need to make sure those skills are trade specific if talking about </w:t>
      </w:r>
      <w:r w:rsidR="006265AA">
        <w:t>c</w:t>
      </w:r>
      <w:r>
        <w:t xml:space="preserve">ertificate III or </w:t>
      </w:r>
      <w:r w:rsidR="006265AA">
        <w:t>c</w:t>
      </w:r>
      <w:r>
        <w:t xml:space="preserve">ertificate IV equivalence… the key is to make sure that people get a real qualification… Offering a </w:t>
      </w:r>
      <w:r w:rsidR="006265AA">
        <w:t>c</w:t>
      </w:r>
      <w:r>
        <w:t>ertificate II in food processing in my view is not a real qualification because you move to the next company and they don't rec</w:t>
      </w:r>
      <w:r w:rsidR="006265AA">
        <w:t>ognise it… what people want is c</w:t>
      </w:r>
      <w:r>
        <w:t>ertificate III qualifications and that’s what workers are telling us that they want, that they want a trade equivalent.</w:t>
      </w:r>
    </w:p>
    <w:p w14:paraId="33C56AFC" w14:textId="77777777" w:rsidR="002C6037" w:rsidRDefault="002C6037" w:rsidP="002C6037">
      <w:pPr>
        <w:pStyle w:val="Text"/>
      </w:pPr>
      <w:r>
        <w:t>The former dean of agriculture saw this as a general problem in developing skills and knowledge in agriculture:</w:t>
      </w:r>
    </w:p>
    <w:p w14:paraId="37A622C2" w14:textId="77777777" w:rsidR="002C6037" w:rsidRDefault="002C6037" w:rsidP="002C6037">
      <w:pPr>
        <w:pStyle w:val="Quote"/>
      </w:pPr>
      <w:r>
        <w:t xml:space="preserve">In agriculture it tends to be </w:t>
      </w:r>
      <w:proofErr w:type="gramStart"/>
      <w:r>
        <w:t>very</w:t>
      </w:r>
      <w:proofErr w:type="gramEnd"/>
      <w:r>
        <w:t xml:space="preserve"> focussed skills sets rather than </w:t>
      </w:r>
      <w:r w:rsidR="006265AA">
        <w:t>more generic qualifications at v</w:t>
      </w:r>
      <w:r>
        <w:t xml:space="preserve">ocational </w:t>
      </w:r>
      <w:r w:rsidR="006265AA">
        <w:t>e</w:t>
      </w:r>
      <w:r>
        <w:t xml:space="preserve">ducation and </w:t>
      </w:r>
      <w:r w:rsidR="006265AA">
        <w:t>t</w:t>
      </w:r>
      <w:r>
        <w:t>raining level and so you go in and do wool classing or sheep production. Some of those generic things are probably disguised, perhaps not even done, because particularly for people who are in employment, the employers only want them to get the skills that the employers want and that’s the only time they’ll get release to do that. I actually think that’s a problem, I think we ought to be looking at the rounding of the person with broader skills as well.</w:t>
      </w:r>
    </w:p>
    <w:p w14:paraId="7B9044D0" w14:textId="77777777" w:rsidR="002C6037" w:rsidRDefault="002C6037" w:rsidP="002C6037">
      <w:pPr>
        <w:pStyle w:val="Text"/>
      </w:pPr>
      <w:r>
        <w:t xml:space="preserve">The term ‘skill sets’ can however be used in varied ways, with the former dean using it also in a </w:t>
      </w:r>
      <w:r w:rsidR="009A5308">
        <w:t>broader sense</w:t>
      </w:r>
      <w:r>
        <w:t>:</w:t>
      </w:r>
    </w:p>
    <w:p w14:paraId="68ACE5AF" w14:textId="77777777" w:rsidR="002C6037" w:rsidRDefault="002C6037" w:rsidP="002C6037">
      <w:pPr>
        <w:pStyle w:val="Quote"/>
      </w:pPr>
      <w:r>
        <w:t>Whilst there are good reasons for developing skill sets, those skill sets ought to be in a broader context because what we're doing is we’re training people for future careers, not just the current one. Those skill sets in the context should be the building blocks on which they can develop better qualifications to allow them to progress to greater opportunities.</w:t>
      </w:r>
    </w:p>
    <w:p w14:paraId="4BF449CF" w14:textId="77777777" w:rsidR="002C6037" w:rsidRDefault="002C6037" w:rsidP="002C6037">
      <w:pPr>
        <w:pStyle w:val="Text"/>
      </w:pPr>
      <w:r>
        <w:t>The university lecturer saw as another barrier a lack of underpinning concept</w:t>
      </w:r>
      <w:r w:rsidR="006265AA">
        <w:t xml:space="preserve">ual knowledge in VET programs. </w:t>
      </w:r>
    </w:p>
    <w:p w14:paraId="75C05EDD" w14:textId="77777777" w:rsidR="002C6037" w:rsidRDefault="002C6037" w:rsidP="002C6037">
      <w:pPr>
        <w:pStyle w:val="Quote"/>
      </w:pPr>
      <w:r>
        <w:t>The up-</w:t>
      </w:r>
      <w:r w:rsidRPr="00AD7812">
        <w:t xml:space="preserve">skilling needs to have the next step in mind. There is a very serious gap in </w:t>
      </w:r>
      <w:proofErr w:type="gramStart"/>
      <w:r w:rsidRPr="00AD7812">
        <w:t>skills,</w:t>
      </w:r>
      <w:proofErr w:type="gramEnd"/>
      <w:r w:rsidRPr="00AD7812">
        <w:t xml:space="preserve"> I'm not talking about skills I'm talking about capabilities.  Theirs is a big gap in capabilities in intermediate educated individuals and their capacity to enter tertiary education. It's a very significant problem. The reason I do think it is important is we do actually have quite a lot of data that shows vocationally educated students struggle tremendously to start their course. But once they start to pass their subjects, they actually do better than their counterparts. It's not that they're stupid it's just they haven’t got the capabilities in the first place</w:t>
      </w:r>
      <w:r>
        <w:t xml:space="preserve">… </w:t>
      </w:r>
      <w:r w:rsidRPr="00AD7812">
        <w:t>the intermediate education has to give the capacity for a student to p</w:t>
      </w:r>
      <w:r>
        <w:t>repare for the next step</w:t>
      </w:r>
      <w:r w:rsidRPr="00AD7812">
        <w:t xml:space="preserve">. So for a student that wants to do a cascade of courses, so a student that enters vocational education with the idea that he or she can go as far as he or she can. It may be they continue straight away into university they </w:t>
      </w:r>
      <w:r w:rsidRPr="00AD7812">
        <w:lastRenderedPageBreak/>
        <w:t>must get those skills to study at university</w:t>
      </w:r>
      <w:r>
        <w:t xml:space="preserve">… </w:t>
      </w:r>
      <w:r w:rsidRPr="00AD7812">
        <w:t>There will be no pressure on AQF level 5 and 6 to design courses that prepares students to go into AQF level 7. There is absolutely no pressure for them to do so. As long as they meet the AQF level requirement they do not have to specifically prepare students for the next level. I really can’t see changes at that level.</w:t>
      </w:r>
    </w:p>
    <w:p w14:paraId="70044E3A" w14:textId="77777777" w:rsidR="002C6037" w:rsidRDefault="002C6037" w:rsidP="002C6037">
      <w:pPr>
        <w:pStyle w:val="Text"/>
      </w:pPr>
      <w:r>
        <w:t xml:space="preserve">He argued that more rigorous </w:t>
      </w:r>
      <w:r w:rsidR="006265AA">
        <w:t>teacher training</w:t>
      </w:r>
      <w:r>
        <w:t xml:space="preserve"> is needed to address the need for a higher level of knowledge in VET. </w:t>
      </w:r>
    </w:p>
    <w:p w14:paraId="7039F058" w14:textId="77777777" w:rsidR="002C6037" w:rsidRDefault="002C6037" w:rsidP="002C6037">
      <w:pPr>
        <w:pStyle w:val="Quote"/>
      </w:pPr>
      <w:r>
        <w:t>E</w:t>
      </w:r>
      <w:r w:rsidRPr="000E58F2">
        <w:t>nsuring that teachers have the qualifications superior to that at which they're teaching. That’s a first step towards more rigour into the teaching. I'm not saying for a second saying that every TAFE teacher has to be a scientist, but they need to be able to see the next step.</w:t>
      </w:r>
    </w:p>
    <w:p w14:paraId="79C641BF" w14:textId="77777777" w:rsidR="002C6037" w:rsidRDefault="002C6037" w:rsidP="002C6037">
      <w:pPr>
        <w:pStyle w:val="Heading2"/>
      </w:pPr>
      <w:bookmarkStart w:id="51" w:name="_Toc248492888"/>
      <w:bookmarkStart w:id="52" w:name="_Toc257836749"/>
      <w:r>
        <w:t>Vocational streams</w:t>
      </w:r>
      <w:bookmarkEnd w:id="51"/>
      <w:bookmarkEnd w:id="52"/>
    </w:p>
    <w:p w14:paraId="45D53E3D" w14:textId="77777777" w:rsidR="002C6037" w:rsidRDefault="002C6037" w:rsidP="002C6037">
      <w:pPr>
        <w:pStyle w:val="Text"/>
      </w:pPr>
      <w:r>
        <w:t>Third stage participants generally gave the concept of vocational streams cautious support as relevant to limited areas in agriculture. The TAFE teacher connected the idea of streams in agriculture to one area in which higher certificates and diplomas as currently constituted have a purpose as entry-level qualifications, in the enterprises servicing and supporting farming:</w:t>
      </w:r>
    </w:p>
    <w:p w14:paraId="20C17BC2" w14:textId="77777777" w:rsidR="002C6037" w:rsidRDefault="002C6037" w:rsidP="002C6037">
      <w:pPr>
        <w:pStyle w:val="Quote"/>
      </w:pPr>
      <w:r>
        <w:t>There are some qualifications that do work as entry-level qualifications. So if you look at Certificate III and someone going into rural service industry or rural merchandising, stock and station agents; yep that works really well. If you look at someone going from say Certificate IV in Agricultural Business and going into rural finan</w:t>
      </w:r>
      <w:r w:rsidR="006265AA">
        <w:t>ce; that works reasonably well.</w:t>
      </w:r>
    </w:p>
    <w:p w14:paraId="39B593E6" w14:textId="60602E94" w:rsidR="002C6037" w:rsidRDefault="002C6037" w:rsidP="002C6037">
      <w:pPr>
        <w:pStyle w:val="Text"/>
      </w:pPr>
      <w:r>
        <w:t xml:space="preserve">This participant continued his discussion of the services and business areas of agriculture as most relevant to the concept of vocational streams, while conceding that </w:t>
      </w:r>
      <w:r w:rsidR="00790572">
        <w:t>there were limited</w:t>
      </w:r>
      <w:r>
        <w:t xml:space="preserve"> areas of possible streaming in technical and production areas:</w:t>
      </w:r>
    </w:p>
    <w:p w14:paraId="05F7B0E8" w14:textId="77777777" w:rsidR="002C6037" w:rsidRDefault="006265AA" w:rsidP="002C6037">
      <w:pPr>
        <w:pStyle w:val="Quote"/>
      </w:pPr>
      <w:r>
        <w:t>I think once you get to c</w:t>
      </w:r>
      <w:r w:rsidR="002C6037">
        <w:t>ertificate IV there are certainly areas where you can stream; once you get to Certificate IV you start to get into the business/production side of agriculture. And that</w:t>
      </w:r>
      <w:r>
        <w:t xml:space="preserve"> applies in the d</w:t>
      </w:r>
      <w:r w:rsidR="002C6037">
        <w:t xml:space="preserve">iploma and then when you get to the </w:t>
      </w:r>
      <w:r>
        <w:t>advanced d</w:t>
      </w:r>
      <w:r w:rsidR="002C6037">
        <w:t xml:space="preserve">iploma it's almost all gone to the business side of it rather than there's not much production at all… So there are some areas like that but it's pretty much mainly on business or some rural merchandising or customer service, those areas where there is some cross over, so people can come in and do a </w:t>
      </w:r>
      <w:r w:rsidR="00BF49A8">
        <w:t>c</w:t>
      </w:r>
      <w:r w:rsidR="002C6037">
        <w:t xml:space="preserve">ertificate IV or </w:t>
      </w:r>
      <w:r w:rsidR="00BF49A8">
        <w:t>c</w:t>
      </w:r>
      <w:r w:rsidR="002C6037">
        <w:t xml:space="preserve">ertificate III in agriculture or </w:t>
      </w:r>
      <w:r w:rsidR="00BF49A8">
        <w:t>c</w:t>
      </w:r>
      <w:r w:rsidR="002C6037">
        <w:t>ertificate IV in agriculture business, and they can put some retail units in there. So there is potential for people to be employable across streams there, but if you look at agriculture production particularly the streams are really enterprise based; sheep, cattle, crops, pastures. And keeping cattle obviously there's a fair bit of similarity. A lot of the concepts between l</w:t>
      </w:r>
      <w:r w:rsidR="00BF49A8">
        <w:t>ivestock and cropping apply at c</w:t>
      </w:r>
      <w:r w:rsidR="002C6037">
        <w:t xml:space="preserve">ertificate IV and </w:t>
      </w:r>
      <w:r w:rsidR="00BF49A8">
        <w:t>d</w:t>
      </w:r>
      <w:r w:rsidR="002C6037">
        <w:t>iploma level but the technical detail is different. It's limited.</w:t>
      </w:r>
    </w:p>
    <w:p w14:paraId="0A4A594D" w14:textId="77777777" w:rsidR="002C6037" w:rsidRDefault="002C6037" w:rsidP="002C6037">
      <w:pPr>
        <w:pStyle w:val="Text"/>
      </w:pPr>
      <w:r>
        <w:t>He also pointed out that ‘generic’ skills developed in agriculture could lead to other work, but the possibilities here were limited by the limited transferability of technical skills.</w:t>
      </w:r>
    </w:p>
    <w:p w14:paraId="6150881B" w14:textId="77777777" w:rsidR="002C6037" w:rsidRDefault="002C6037" w:rsidP="002C6037">
      <w:pPr>
        <w:pStyle w:val="Quote"/>
      </w:pPr>
      <w:r>
        <w:t>I think one thing that does happen with young people particularly but also some middle aged people who leave farms, they are super employable but only at a basic operator level, just because they haven’t got the technical training in those other streams. But invariably I hear employers say they like the work ethic, adaptability, flexibility, problem solving ability and ability to handle a whole lot of pressures that people who worked in agriculture have, because you’ve got to develop those skills otherwise you won’t survive. But they're not necessarily technical skills or going to get people jobs in the higher employment areas other than a basic operator.</w:t>
      </w:r>
    </w:p>
    <w:p w14:paraId="6982694B" w14:textId="77777777" w:rsidR="002C6037" w:rsidRDefault="002C6037" w:rsidP="002C6037">
      <w:pPr>
        <w:pStyle w:val="Text"/>
      </w:pPr>
      <w:r>
        <w:lastRenderedPageBreak/>
        <w:t>Comments from the union organiser participant support the contention that food processing as a whole coul</w:t>
      </w:r>
      <w:r w:rsidR="00BF49A8">
        <w:t xml:space="preserve">d make up a vocational stream: </w:t>
      </w:r>
    </w:p>
    <w:p w14:paraId="4B0E5B41" w14:textId="77777777" w:rsidR="002C6037" w:rsidRDefault="002C6037" w:rsidP="002C6037">
      <w:pPr>
        <w:pStyle w:val="Quote"/>
      </w:pPr>
      <w:r>
        <w:t>Whether you're working in dairy, meat processing, white meat processing, fish manufacturing as well; those qualifications you can use and are clearly portable, but what we need to do is make sure the qualifications are generic and also usable so employers want to take on people that are going to be productive.</w:t>
      </w:r>
      <w:r>
        <w:tab/>
      </w:r>
    </w:p>
    <w:p w14:paraId="00CFB3DE" w14:textId="77777777" w:rsidR="002C6037" w:rsidRDefault="002C6037" w:rsidP="002C6037">
      <w:pPr>
        <w:pStyle w:val="Text"/>
      </w:pPr>
      <w:r>
        <w:t>In some contrast</w:t>
      </w:r>
      <w:r w:rsidR="00BF49A8">
        <w:t>,</w:t>
      </w:r>
      <w:r>
        <w:t xml:space="preserve"> the </w:t>
      </w:r>
      <w:r w:rsidR="00BF49A8">
        <w:t xml:space="preserve">skills council </w:t>
      </w:r>
      <w:r>
        <w:t xml:space="preserve">consultant argued that skills were sequential, that there was a </w:t>
      </w:r>
      <w:r w:rsidR="00BF49A8">
        <w:t xml:space="preserve">related </w:t>
      </w:r>
      <w:r>
        <w:t xml:space="preserve">layer of underpinning common skills in agriculture: </w:t>
      </w:r>
    </w:p>
    <w:p w14:paraId="3B340AAA" w14:textId="77777777" w:rsidR="002C6037" w:rsidRDefault="002C6037" w:rsidP="002C6037">
      <w:pPr>
        <w:pStyle w:val="Quote"/>
      </w:pPr>
      <w:proofErr w:type="gramStart"/>
      <w:r w:rsidRPr="00D204CB">
        <w:t>There's functional skills</w:t>
      </w:r>
      <w:proofErr w:type="gramEnd"/>
      <w:r w:rsidRPr="00D204CB">
        <w:t xml:space="preserve"> as core, the</w:t>
      </w:r>
      <w:r>
        <w:t>n there’s</w:t>
      </w:r>
      <w:r w:rsidRPr="00D204CB">
        <w:t xml:space="preserve"> the higher level ones that you need for a particular job</w:t>
      </w:r>
      <w:r>
        <w:t xml:space="preserve">… </w:t>
      </w:r>
      <w:r w:rsidRPr="00D204CB">
        <w:t xml:space="preserve">Then when you're in an animal system or plant system, what you need to know </w:t>
      </w:r>
      <w:r>
        <w:t>is the particular skills</w:t>
      </w:r>
      <w:r w:rsidRPr="00D204CB">
        <w:t xml:space="preserve"> to go to the next level, growing cotton or growing wheat</w:t>
      </w:r>
      <w:r>
        <w:t>…</w:t>
      </w:r>
      <w:r w:rsidRPr="00D204CB">
        <w:t>. I think there's an underpinning layer of skills then you move into the second layer of skills heading into the area you're in.</w:t>
      </w:r>
    </w:p>
    <w:p w14:paraId="5689EC61" w14:textId="77777777" w:rsidR="002C6037" w:rsidRDefault="002C6037" w:rsidP="002C6037">
      <w:pPr>
        <w:pStyle w:val="Text"/>
      </w:pPr>
      <w:r>
        <w:t xml:space="preserve">The university lecturer </w:t>
      </w:r>
      <w:r w:rsidR="00BF49A8">
        <w:t xml:space="preserve">argued that </w:t>
      </w:r>
      <w:r>
        <w:t>management was the area with most commonalities between broad streams and specialisations, and also saw a trade-off between horizontal and vertical movement in work.</w:t>
      </w:r>
    </w:p>
    <w:p w14:paraId="043E3BA1" w14:textId="77777777" w:rsidR="002C6037" w:rsidRDefault="002C6037" w:rsidP="002C6037">
      <w:pPr>
        <w:pStyle w:val="Quote"/>
      </w:pPr>
      <w:r w:rsidRPr="00B20BE2">
        <w:t>The generalist course for agriculture relates usually to agricultural management. The segmented courses in agriculture will usually relate to animal science, or animal specific courses and agronomy courses. Other than these specific disciplines, I disagree that there is a high segmentation in the agricultural industry</w:t>
      </w:r>
      <w:r>
        <w:t>..</w:t>
      </w:r>
      <w:r w:rsidRPr="00B20BE2">
        <w:t>.</w:t>
      </w:r>
      <w:r>
        <w:t xml:space="preserve"> </w:t>
      </w:r>
      <w:r w:rsidRPr="006B6E34">
        <w:t>the more flexibility in a program the more difficulty in fact to identify the profile of an individual. Although it's positive when you want to move sideways, it's negative when you want to get a promotion.</w:t>
      </w:r>
    </w:p>
    <w:p w14:paraId="628242AA" w14:textId="77777777" w:rsidR="002C6037" w:rsidRDefault="002C6037" w:rsidP="002C6037">
      <w:pPr>
        <w:pStyle w:val="Heading2"/>
      </w:pPr>
      <w:bookmarkStart w:id="53" w:name="_Toc248492889"/>
      <w:bookmarkStart w:id="54" w:name="_Toc257836750"/>
      <w:proofErr w:type="spellStart"/>
      <w:r>
        <w:t>Regionality</w:t>
      </w:r>
      <w:bookmarkEnd w:id="53"/>
      <w:bookmarkEnd w:id="54"/>
      <w:proofErr w:type="spellEnd"/>
    </w:p>
    <w:p w14:paraId="3A444FEC" w14:textId="77777777" w:rsidR="002C6037" w:rsidRDefault="002C6037" w:rsidP="002C6037">
      <w:pPr>
        <w:pStyle w:val="Text"/>
      </w:pPr>
      <w:r>
        <w:t xml:space="preserve">Participants in the third stage of the project, to differing degrees, supported the idea of </w:t>
      </w:r>
      <w:proofErr w:type="spellStart"/>
      <w:r>
        <w:t>regionality</w:t>
      </w:r>
      <w:proofErr w:type="spellEnd"/>
      <w:r>
        <w:t xml:space="preserve"> in the design of qualifications, but point</w:t>
      </w:r>
      <w:r w:rsidR="003641E8">
        <w:t>ed</w:t>
      </w:r>
      <w:r>
        <w:t xml:space="preserve"> to a range of issues that needed to be considered </w:t>
      </w:r>
      <w:r w:rsidR="003641E8">
        <w:t xml:space="preserve">to ensure that </w:t>
      </w:r>
      <w:r>
        <w:t xml:space="preserve">high quality and </w:t>
      </w:r>
      <w:r w:rsidR="003641E8">
        <w:t>nationally recognised</w:t>
      </w:r>
      <w:r>
        <w:t xml:space="preserve"> qualifications were available to all who needed them in agriculture. The former dean of agriculture argued that the concept regional qualifications should be able to be incorporated into educational and occupational progression, including across regions:</w:t>
      </w:r>
    </w:p>
    <w:p w14:paraId="69BAD43E" w14:textId="77777777" w:rsidR="002C6037" w:rsidRDefault="002C6037" w:rsidP="002C6037">
      <w:pPr>
        <w:pStyle w:val="Quote"/>
      </w:pPr>
      <w:r>
        <w:t>I don't have a problem with it in t</w:t>
      </w:r>
      <w:r w:rsidR="003641E8">
        <w:t>he sense that if someone has a c</w:t>
      </w:r>
      <w:r>
        <w:t>ertificate IV winter crop production for example,</w:t>
      </w:r>
      <w:r w:rsidR="003641E8">
        <w:t xml:space="preserve"> then move to Queensland, that c</w:t>
      </w:r>
      <w:r>
        <w:t>ertificate IV is a qualification, it says that this person has a certain level of competence, knowledge, understanding, but it may be that when the get there they ne</w:t>
      </w:r>
      <w:r w:rsidR="003641E8">
        <w:t>ed to top it up, maybe go to a d</w:t>
      </w:r>
      <w:r>
        <w:t xml:space="preserve">iploma and do the extra year and get the nuances of a different region. But the fact that they’ve actually got a qualification is something that is portable, it signifies they do have certain level of capability and then they just have </w:t>
      </w:r>
      <w:r w:rsidR="003641E8">
        <w:t>to adapt it when they're there.</w:t>
      </w:r>
    </w:p>
    <w:p w14:paraId="3F6D419D" w14:textId="77777777" w:rsidR="002C6037" w:rsidRDefault="002C6037" w:rsidP="002C6037">
      <w:pPr>
        <w:pStyle w:val="Text"/>
      </w:pPr>
      <w:r>
        <w:t>The training consultant was more cautious, seeing some merit if standards, recognition and portability could be maintained:</w:t>
      </w:r>
    </w:p>
    <w:p w14:paraId="5D7AFDDF" w14:textId="77777777" w:rsidR="002C6037" w:rsidRDefault="002C6037" w:rsidP="002C6037">
      <w:pPr>
        <w:pStyle w:val="Quote"/>
      </w:pPr>
      <w:r>
        <w:t xml:space="preserve">There is the argument of portability and also as a national consistent standard as well. The risk of going regional is — does it become the lowest common denominator in that region or is it everyone else is trying to catch up to that standard? The feedback I get around the states </w:t>
      </w:r>
      <w:r w:rsidR="003641E8">
        <w:t>is there is that hunger in the r</w:t>
      </w:r>
      <w:r>
        <w:t xml:space="preserve">egistered </w:t>
      </w:r>
      <w:r w:rsidR="003641E8">
        <w:t>t</w:t>
      </w:r>
      <w:r>
        <w:t xml:space="preserve">raining </w:t>
      </w:r>
      <w:r w:rsidR="003641E8">
        <w:t>o</w:t>
      </w:r>
      <w:r>
        <w:t xml:space="preserve">rganisation networks for some consistency in content and delivery and outcomes… You still want some sort of consistency across product. I think the </w:t>
      </w:r>
      <w:r>
        <w:lastRenderedPageBreak/>
        <w:t>regional stuff is more the commodity or the conditions of the area that need to be focussed on rather than – still maintain standards for what the industry is looking for… The last thing you want is for a qualification to not be recognised.</w:t>
      </w:r>
    </w:p>
    <w:p w14:paraId="526A4C0C" w14:textId="77777777" w:rsidR="002C6037" w:rsidRDefault="002C6037" w:rsidP="002C6037">
      <w:pPr>
        <w:pStyle w:val="Text"/>
      </w:pPr>
      <w:r>
        <w:t>The union organiser saw some limited merit, but was concerned with not just portability of skills but also equality of educational opportunity between city and country:</w:t>
      </w:r>
    </w:p>
    <w:p w14:paraId="52F441BF" w14:textId="77777777" w:rsidR="002C6037" w:rsidRDefault="002C6037" w:rsidP="002C6037">
      <w:pPr>
        <w:pStyle w:val="Quote"/>
      </w:pPr>
      <w:r>
        <w:t xml:space="preserve">I think the qualifications that people might achieve whether talking about metropolitan areas of Sydney, regional areas of New South Wales or regional sectors all across the country, those qualifications should be generic and identical. Yes certain skills are required in certain areas of </w:t>
      </w:r>
      <w:proofErr w:type="spellStart"/>
      <w:r>
        <w:t>AgriFoods</w:t>
      </w:r>
      <w:proofErr w:type="spellEnd"/>
      <w:r>
        <w:t xml:space="preserve"> sectors when talking about key farming areas, however when we’re talking about food processing which is a fundamental part of the </w:t>
      </w:r>
      <w:proofErr w:type="spellStart"/>
      <w:r>
        <w:t>AgriFoods</w:t>
      </w:r>
      <w:proofErr w:type="spellEnd"/>
      <w:r>
        <w:t xml:space="preserve"> sector in Australia, and we want to make sure that someone’s qualified in one particular area in the city, ten years those same skills in another particular area of the country… But portability of skills yes, to be able to move from place to place of course we want that to happen, but we want those people in regional Australia to be offered the same skills that are being offered in the city.</w:t>
      </w:r>
      <w:r>
        <w:tab/>
      </w:r>
    </w:p>
    <w:p w14:paraId="7F8B30F9" w14:textId="77777777" w:rsidR="002C6037" w:rsidRDefault="002C6037" w:rsidP="002C6037">
      <w:pPr>
        <w:pStyle w:val="Text"/>
      </w:pPr>
      <w:r>
        <w:t>The university lecturer argued that teaching, curriculum and the practice of teachers has to be tied to regional labour mar</w:t>
      </w:r>
      <w:r w:rsidR="003641E8">
        <w:t>kets, which can relate</w:t>
      </w:r>
      <w:r>
        <w:t xml:space="preserve"> both to preparation for specific industries and broader knowledge in curriculum, and </w:t>
      </w:r>
      <w:r w:rsidR="003641E8">
        <w:t>gave</w:t>
      </w:r>
      <w:r>
        <w:t xml:space="preserve"> an example of regional cooperation between a university and TAFE with the close involvement of the dairy industry training body:</w:t>
      </w:r>
    </w:p>
    <w:p w14:paraId="19E2B293" w14:textId="77777777" w:rsidR="002C6037" w:rsidRDefault="002C6037" w:rsidP="002C6037">
      <w:pPr>
        <w:pStyle w:val="Quote"/>
      </w:pPr>
      <w:r>
        <w:t>[As well as those institutions that practice student-centred teaching] t</w:t>
      </w:r>
      <w:r w:rsidRPr="00E3211E">
        <w:t xml:space="preserve">he other institutions that I think are very good are those that know where their students are going. Your paper touches on this, the concept of </w:t>
      </w:r>
      <w:proofErr w:type="spellStart"/>
      <w:r w:rsidRPr="00E3211E">
        <w:t>regionality</w:t>
      </w:r>
      <w:proofErr w:type="spellEnd"/>
      <w:r w:rsidRPr="00E3211E">
        <w:t xml:space="preserve"> and regional relevance that the first proposition you're doing in the paper. If your students are staying regional and mostly going into the mid-section market then you must map to this. If your catchment includes a university as students go to university then you need to prepare those students for university. It's a different set of units</w:t>
      </w:r>
      <w:r>
        <w:t>… W</w:t>
      </w:r>
      <w:r w:rsidRPr="00102F09">
        <w:t xml:space="preserve">e have an articulated pathway </w:t>
      </w:r>
      <w:r>
        <w:t>[with a particular TAFE]</w:t>
      </w:r>
      <w:r w:rsidRPr="00102F09">
        <w:t xml:space="preserve">. It's actually more than an articulated </w:t>
      </w:r>
      <w:r w:rsidR="003641E8" w:rsidRPr="00102F09">
        <w:t>pathway;</w:t>
      </w:r>
      <w:r w:rsidRPr="00102F09">
        <w:t xml:space="preserve"> we now have a campus on</w:t>
      </w:r>
      <w:r>
        <w:t xml:space="preserve"> that site where the students/</w:t>
      </w:r>
      <w:r w:rsidRPr="00102F09">
        <w:t>TAFE graduates continue into either a Bachelor of Agricultural Business Management or Bachelor of Agriculture. So we’ve mapped what they’ve done and it is facilitated or simplified by the fact that their diploma was set by NCDEA so we knew what units they had to do and instead of six electives they only had two electives. We’ve changed early subjects to include some of the skills that we thought were missing which means as a result all our students, doesn’t matter if they come from a vocational pathway, but all our students are now getting more writing/maths skills as part of their early subjects.</w:t>
      </w:r>
    </w:p>
    <w:p w14:paraId="28E97D75" w14:textId="77777777" w:rsidR="002C6037" w:rsidRDefault="002C6037" w:rsidP="002C6037">
      <w:pPr>
        <w:pStyle w:val="Heading2"/>
      </w:pPr>
      <w:bookmarkStart w:id="55" w:name="_Toc248492890"/>
      <w:bookmarkStart w:id="56" w:name="_Toc257836751"/>
      <w:r>
        <w:t>Social partnerships</w:t>
      </w:r>
      <w:bookmarkEnd w:id="55"/>
      <w:bookmarkEnd w:id="56"/>
    </w:p>
    <w:p w14:paraId="207EB2FE" w14:textId="36B85F69" w:rsidR="002C6037" w:rsidRDefault="002C6037" w:rsidP="002C6037">
      <w:pPr>
        <w:pStyle w:val="Text"/>
      </w:pPr>
      <w:r>
        <w:t>The need for renewed social partnerships in the governance of education and training and their links to work was implicit in many of the comments discussed above from our third stage participants</w:t>
      </w:r>
      <w:r w:rsidR="00663949">
        <w:t xml:space="preserve">. Participants said that </w:t>
      </w:r>
      <w:r>
        <w:t>employers need more support (and sometimes need sanctions, as the union organise</w:t>
      </w:r>
      <w:r w:rsidR="00663949">
        <w:t>r pointed out to stop employers rorting</w:t>
      </w:r>
      <w:r>
        <w:t xml:space="preserve"> subsidies); that the dairy industry involvement in developing qualifications and pathways was a good model; and </w:t>
      </w:r>
      <w:r w:rsidR="00663949">
        <w:t>that more flexibility in the design of VET qualifications was needed, particularly to enable</w:t>
      </w:r>
      <w:r>
        <w:t xml:space="preserve"> regi</w:t>
      </w:r>
      <w:r w:rsidR="00663949">
        <w:t>onal partnerships</w:t>
      </w:r>
      <w:r>
        <w:t xml:space="preserve">. The TAFE teacher was most explicit </w:t>
      </w:r>
      <w:r w:rsidR="00C00F6D">
        <w:t>about</w:t>
      </w:r>
      <w:r>
        <w:t xml:space="preserve"> the need for change when he argued that industry skills councils were dominated by those too far removed from t</w:t>
      </w:r>
      <w:r w:rsidR="00C00F6D">
        <w:t xml:space="preserve">he grass </w:t>
      </w:r>
      <w:r>
        <w:t>roots, and i</w:t>
      </w:r>
      <w:r w:rsidR="003641E8">
        <w:t>n agriculture governance needed:</w:t>
      </w:r>
    </w:p>
    <w:p w14:paraId="37A58AAC" w14:textId="77777777" w:rsidR="002C6037" w:rsidRDefault="002C6037" w:rsidP="002C6037">
      <w:pPr>
        <w:pStyle w:val="Quote"/>
      </w:pPr>
      <w:r>
        <w:t xml:space="preserve">Some key people from </w:t>
      </w:r>
      <w:r w:rsidR="003641E8">
        <w:t>r</w:t>
      </w:r>
      <w:r>
        <w:t xml:space="preserve">egistered </w:t>
      </w:r>
      <w:r w:rsidR="003641E8">
        <w:t>t</w:t>
      </w:r>
      <w:r>
        <w:t xml:space="preserve">raining </w:t>
      </w:r>
      <w:r w:rsidR="003641E8">
        <w:t>organisation</w:t>
      </w:r>
      <w:r>
        <w:t>s</w:t>
      </w:r>
      <w:r w:rsidR="003641E8">
        <w:t>,</w:t>
      </w:r>
      <w:r>
        <w:t xml:space="preserve"> some key producers, some managers in corporate agriculture who are very hands on, you don't sort of want the general manager who sits </w:t>
      </w:r>
      <w:r>
        <w:lastRenderedPageBreak/>
        <w:t>in his office who doesn’t really talk to his or her people very much. You need the local farm managers, probably some overseers.</w:t>
      </w:r>
    </w:p>
    <w:p w14:paraId="64C5BE80" w14:textId="52A241A0" w:rsidR="002C6037" w:rsidRPr="00DE728D" w:rsidRDefault="002C6037" w:rsidP="002C6037">
      <w:pPr>
        <w:pStyle w:val="Text"/>
      </w:pPr>
      <w:r>
        <w:t>The need for new arrangements in agriculture has been supported by work in this project</w:t>
      </w:r>
      <w:r w:rsidR="00C00F6D">
        <w:t xml:space="preserve">. A strong model is </w:t>
      </w:r>
      <w:r>
        <w:t>the Make it Work project</w:t>
      </w:r>
      <w:r w:rsidR="00C00F6D">
        <w:t xml:space="preserve"> based in Narrabri. This project is supported by</w:t>
      </w:r>
      <w:r>
        <w:t xml:space="preserve"> the </w:t>
      </w:r>
      <w:proofErr w:type="spellStart"/>
      <w:r>
        <w:t>Agrifoods</w:t>
      </w:r>
      <w:proofErr w:type="spellEnd"/>
      <w:r>
        <w:t xml:space="preserve"> </w:t>
      </w:r>
      <w:r w:rsidR="00DE728D">
        <w:t>Industry Skills C</w:t>
      </w:r>
      <w:r w:rsidR="00C00F6D">
        <w:t>ouncil and</w:t>
      </w:r>
      <w:r>
        <w:t xml:space="preserve"> brings together the local council, employers and educational providers to create both more secure work and </w:t>
      </w:r>
      <w:r w:rsidR="00C00F6D">
        <w:t>continuing</w:t>
      </w:r>
      <w:r>
        <w:t xml:space="preserve"> educational opportunities within a region </w:t>
      </w:r>
      <w:r>
        <w:fldChar w:fldCharType="begin"/>
      </w:r>
      <w:r>
        <w:instrText xml:space="preserve"> ADDIN EN.CITE &lt;EndNote&gt;&lt;Cite&gt;&lt;Author&gt;Yu&lt;/Author&gt;&lt;Year&gt;2013&lt;/Year&gt;&lt;RecNum&gt;3169&lt;/RecNum&gt;&lt;Suffix&gt;`, pp. 36–37`, 43&lt;/Suffix&gt;&lt;DisplayText&gt;(Yu et al., 2013, pp. 36–37, 43)&lt;/DisplayText&gt;&lt;record&gt;&lt;rec-number&gt;3169&lt;/rec-number&gt;&lt;foreign-keys&gt;&lt;key app="EN" db-id="vadepsw2f2aeebevffz5fzpddt9tvewsatpr" timestamp="1359516039"&gt;3169&lt;/key&gt;&lt;/foreign-keys&gt;&lt;ref-type name="Report"&gt;27&lt;/ref-type&gt;&lt;contributors&gt;&lt;authors&gt;&lt;author&gt;Yu, Serena&lt;/author&gt;&lt;author&gt;Bretherton, Tanya&lt;/author&gt;&lt;author&gt;Buchanan, John&lt;/author&gt;&lt;/authors&gt;&lt;/contributors&gt;&lt;titles&gt;&lt;title&gt;Defining vocational streams: insights from the engineering, finance, agriculture and care sectors&lt;/title&gt;&lt;/titles&gt;&lt;dates&gt;&lt;year&gt;2013&lt;/year&gt;&lt;pub-dates&gt;&lt;date&gt;26 November&lt;/date&gt;&lt;/pub-dates&gt;&lt;/dates&gt;&lt;pub-location&gt;Adelaide&lt;/pub-location&gt;&lt;publisher&gt;National Centre for Vocational Education Research&lt;/publisher&gt;&lt;label&gt;NCVER, NCVER 2010 Funding round, our reports as on the web&lt;/label&gt;&lt;urls&gt;&lt;related-urls&gt;&lt;url&gt;&amp;lt;http://www.ncver.edu.au/publications/2667.html&amp;gt; viewed 26 November 2013&lt;/url&gt;&lt;/related-urls&gt;&lt;/urls&gt;&lt;/record&gt;&lt;/Cite&gt;&lt;/EndNote&gt;</w:instrText>
      </w:r>
      <w:r>
        <w:fldChar w:fldCharType="separate"/>
      </w:r>
      <w:r>
        <w:rPr>
          <w:noProof/>
        </w:rPr>
        <w:t>(</w:t>
      </w:r>
      <w:hyperlink w:anchor="_ENREF_28" w:tooltip="Yu, 2013 #3169" w:history="1">
        <w:r w:rsidR="00B03184">
          <w:rPr>
            <w:noProof/>
          </w:rPr>
          <w:t>Yu et al. 2013, pp. 36–37, 43</w:t>
        </w:r>
      </w:hyperlink>
      <w:r>
        <w:rPr>
          <w:noProof/>
        </w:rPr>
        <w:t>)</w:t>
      </w:r>
      <w:r>
        <w:fldChar w:fldCharType="end"/>
      </w:r>
      <w:r>
        <w:t xml:space="preserve">. The need for new arrangements at a national level is also supported by other recent reports. The Australian Workforce Productivity Agency </w:t>
      </w:r>
      <w:r w:rsidR="00DE728D">
        <w:t xml:space="preserve">(2013a p.13) </w:t>
      </w:r>
      <w:r>
        <w:t>stat</w:t>
      </w:r>
      <w:r w:rsidR="00C00F6D">
        <w:t>es:</w:t>
      </w:r>
      <w:r>
        <w:t xml:space="preserve"> </w:t>
      </w:r>
      <w:r w:rsidRPr="00D70636">
        <w:t>‘The central fin</w:t>
      </w:r>
      <w:r>
        <w:t>ding of this f</w:t>
      </w:r>
      <w:r w:rsidRPr="00D70636">
        <w:t xml:space="preserve">ood and beverage workforce study is that responsibility for developing industry workforce development agenda, much of which is outlined in this report, should be invested in a fully representative and authoritative body with the necessary mandate’ </w:t>
      </w:r>
      <w:r w:rsidR="00DF478B">
        <w:t>(AWPA 2013a, p.13)</w:t>
      </w:r>
      <w:r w:rsidRPr="00D70636">
        <w:t xml:space="preserve">. ACIL Allen Consulting </w:t>
      </w:r>
      <w:r w:rsidR="00DE728D">
        <w:t xml:space="preserve">(2012, p.58) </w:t>
      </w:r>
      <w:r w:rsidRPr="00D70636">
        <w:t xml:space="preserve">urges the creation of a ‘Agriculture Education Council’ which would ‘comprise representatives of higher education, vocational education, school science education, industry and government’ </w:t>
      </w:r>
      <w:r w:rsidRPr="00D70636">
        <w:rPr>
          <w:rStyle w:val="TextChar"/>
        </w:rPr>
        <w:fldChar w:fldCharType="begin"/>
      </w:r>
      <w:r w:rsidRPr="00D70636">
        <w:rPr>
          <w:rStyle w:val="TextChar"/>
        </w:rPr>
        <w:instrText xml:space="preserve"> ADDIN EN.CITE &lt;EndNote&gt;&lt;Cite&gt;&lt;Author&gt;ACIL Allen Consulting Group&lt;/Author&gt;&lt;Year&gt;2012&lt;/Year&gt;&lt;RecNum&gt;319&lt;/RecNum&gt;&lt;Suffix&gt;`, p. 58&lt;/Suffix&gt;&lt;DisplayText&gt;(ACIL Allen Consulting Group, 2012, p. 58)&lt;/DisplayText&gt;&lt;record&gt;&lt;rec-number&gt;319&lt;/rec-number&gt;&lt;foreign-keys&gt;&lt;key app="EN" db-id="0xrr5a5zkrxdw5esxr55w5a79ptftt5a20fr"&gt;319&lt;/key&gt;&lt;/foreign-keys&gt;&lt;ref-type name="Report"&gt;27&lt;/ref-type&gt;&lt;contributors&gt;&lt;authors&gt;&lt;author&gt;ACIL Allen Consulting Group,&lt;/author&gt;&lt;/authors&gt;&lt;/contributors&gt;&lt;titles&gt;&lt;title&gt;Rebuilding the agricultural workforce&lt;/title&gt;&lt;/titles&gt;&lt;dates&gt;&lt;year&gt;2012&lt;/year&gt;&lt;/dates&gt;&lt;pub-location&gt;Canberra&lt;/pub-location&gt;&lt;urls&gt;&lt;related-urls&gt;&lt;url&gt;http://www.acilallen.com.au/projects/7/agribusiness/47/rebuilding-the-agricultural-workforce&lt;/url&gt;&lt;/related-urls&gt;&lt;/urls&gt;&lt;access-date&gt;5 November 2013&lt;/access-date&gt;&lt;/record&gt;&lt;/Cite&gt;&lt;/EndNote&gt;</w:instrText>
      </w:r>
      <w:r w:rsidRPr="00D70636">
        <w:rPr>
          <w:rStyle w:val="TextChar"/>
        </w:rPr>
        <w:fldChar w:fldCharType="separate"/>
      </w:r>
      <w:r w:rsidRPr="00D70636">
        <w:rPr>
          <w:rStyle w:val="TextChar"/>
        </w:rPr>
        <w:t>(</w:t>
      </w:r>
      <w:hyperlink w:anchor="_ENREF_1" w:tooltip="ACIL Allen Consulting Group, 2012 #319" w:history="1">
        <w:r w:rsidR="00B03184" w:rsidRPr="00D70636">
          <w:rPr>
            <w:rStyle w:val="TextChar"/>
          </w:rPr>
          <w:t>ACIL Allen Consulting Group, 2012, p. 58</w:t>
        </w:r>
      </w:hyperlink>
      <w:r w:rsidRPr="00D70636">
        <w:rPr>
          <w:rStyle w:val="TextChar"/>
        </w:rPr>
        <w:t>)</w:t>
      </w:r>
      <w:r w:rsidRPr="00D70636">
        <w:rPr>
          <w:rStyle w:val="TextChar"/>
        </w:rPr>
        <w:fldChar w:fldCharType="end"/>
      </w:r>
      <w:r w:rsidR="00DE728D">
        <w:rPr>
          <w:rStyle w:val="TextChar"/>
        </w:rPr>
        <w:t>.</w:t>
      </w:r>
    </w:p>
    <w:p w14:paraId="112A226C" w14:textId="77777777" w:rsidR="002C6037" w:rsidRDefault="002C6037" w:rsidP="002C6037">
      <w:pPr>
        <w:pStyle w:val="Heading2"/>
      </w:pPr>
      <w:bookmarkStart w:id="57" w:name="_Toc248492891"/>
      <w:bookmarkStart w:id="58" w:name="_Toc257836752"/>
      <w:r>
        <w:t>Conclusions</w:t>
      </w:r>
      <w:bookmarkEnd w:id="57"/>
      <w:bookmarkEnd w:id="58"/>
    </w:p>
    <w:p w14:paraId="18774E9F" w14:textId="3AB5AE44" w:rsidR="002C6037" w:rsidRDefault="002C6037" w:rsidP="002C6037">
      <w:pPr>
        <w:pStyle w:val="Text"/>
      </w:pPr>
      <w:r>
        <w:t>This chapter has synthesised findings from the three years of</w:t>
      </w:r>
      <w:r w:rsidR="008736F7">
        <w:t xml:space="preserve"> the v</w:t>
      </w:r>
      <w:r>
        <w:t>ocations project including a round of consultations in the third stage of the project to examine the need for a new approach to qualifications i</w:t>
      </w:r>
      <w:r w:rsidR="008736F7">
        <w:t xml:space="preserve">n agriculture, focusing on </w:t>
      </w:r>
      <w:r w:rsidR="00572455">
        <w:t>mid-level</w:t>
      </w:r>
      <w:r>
        <w:t xml:space="preserve"> qualifications</w:t>
      </w:r>
      <w:r w:rsidR="00DE728D">
        <w:t xml:space="preserve"> and updating data reported in previous reports</w:t>
      </w:r>
      <w:r>
        <w:t>. It has examined new and increasing demands for skills and knowledge in the industry, and the barriers to and challenges in meeting these demands</w:t>
      </w:r>
      <w:r w:rsidR="008736F7">
        <w:t xml:space="preserve">. These challenges include </w:t>
      </w:r>
      <w:r>
        <w:t xml:space="preserve">the current low level of qualifications in the industry, the loose and unstructured nature of the labour market, the lack of support from many employers, particularly the small and struggling, </w:t>
      </w:r>
      <w:proofErr w:type="gramStart"/>
      <w:r>
        <w:t>the</w:t>
      </w:r>
      <w:proofErr w:type="gramEnd"/>
      <w:r>
        <w:t xml:space="preserve"> inflexibility of VET qualifications and their general lack of conceptual underpinnings. In canvassing these issues and our proposals to address these issues with a range of participants, we found: general support for the capabilities approach and </w:t>
      </w:r>
      <w:r w:rsidR="008736F7">
        <w:t>learning that is rich in knowledge and extends over careers</w:t>
      </w:r>
      <w:r>
        <w:t>; some support for the concept of vocational streams in particular areas such as management and services; an</w:t>
      </w:r>
      <w:r w:rsidR="008736F7">
        <w:t>d some support for</w:t>
      </w:r>
      <w:r>
        <w:t xml:space="preserve"> regionally designed qualifications, with the caveats of the need for assured quality, recognition, portability and regional equality of opportunity in qualifications. These findings suggest that there is support for change in agricultural education and work</w:t>
      </w:r>
      <w:r w:rsidR="008736F7">
        <w:t>,</w:t>
      </w:r>
      <w:r>
        <w:t xml:space="preserve"> and that debate needs to continue over forms this change should take. </w:t>
      </w:r>
    </w:p>
    <w:p w14:paraId="340FE4E2" w14:textId="77777777" w:rsidR="002C6037" w:rsidRDefault="002C6037" w:rsidP="002C6037">
      <w:pPr>
        <w:spacing w:before="0" w:line="240" w:lineRule="auto"/>
        <w:rPr>
          <w:rFonts w:ascii="Tahoma" w:hAnsi="Tahoma" w:cs="Tahoma"/>
          <w:color w:val="000000"/>
          <w:kern w:val="28"/>
          <w:sz w:val="56"/>
          <w:szCs w:val="56"/>
        </w:rPr>
      </w:pPr>
      <w:bookmarkStart w:id="59" w:name="_Toc248492892"/>
      <w:r>
        <w:br w:type="page"/>
      </w:r>
    </w:p>
    <w:p w14:paraId="60CC71A4" w14:textId="77777777" w:rsidR="002C6037" w:rsidRPr="005C2FCF" w:rsidRDefault="002C6037" w:rsidP="002C6037">
      <w:pPr>
        <w:pStyle w:val="Heading1"/>
      </w:pPr>
      <w:bookmarkStart w:id="60" w:name="_Toc257836753"/>
      <w:r>
        <w:lastRenderedPageBreak/>
        <w:t>Engineering</w:t>
      </w:r>
      <w:bookmarkEnd w:id="59"/>
      <w:bookmarkEnd w:id="60"/>
    </w:p>
    <w:p w14:paraId="1E307B9E" w14:textId="66BF4CB4" w:rsidR="002C6037" w:rsidRDefault="002C6037" w:rsidP="002C6037">
      <w:pPr>
        <w:pStyle w:val="Text"/>
      </w:pPr>
      <w:r w:rsidRPr="00CB7169">
        <w:t xml:space="preserve">This </w:t>
      </w:r>
      <w:r>
        <w:t>chapter</w:t>
      </w:r>
      <w:r w:rsidRPr="00CB7169">
        <w:t xml:space="preserve"> considers the knowledge, skills and attributes </w:t>
      </w:r>
      <w:r w:rsidR="005110A1">
        <w:t xml:space="preserve">that </w:t>
      </w:r>
      <w:r w:rsidRPr="00CB7169">
        <w:t xml:space="preserve">those working in </w:t>
      </w:r>
      <w:r>
        <w:t>engineering</w:t>
      </w:r>
      <w:r w:rsidRPr="00CB7169">
        <w:t xml:space="preserve"> will need as </w:t>
      </w:r>
      <w:r w:rsidR="005110A1">
        <w:t>work in</w:t>
      </w:r>
      <w:r>
        <w:t xml:space="preserve"> engineerin</w:t>
      </w:r>
      <w:r w:rsidR="00837B30">
        <w:t>g trades and professions changes</w:t>
      </w:r>
      <w:r w:rsidRPr="00CB7169">
        <w:t xml:space="preserve">, how we can support career progression, and the type of qualifications that will be needed as a result. It proposes a new approach to </w:t>
      </w:r>
      <w:r w:rsidR="00572455">
        <w:t>mid-level</w:t>
      </w:r>
      <w:r w:rsidR="005110A1">
        <w:t xml:space="preserve"> </w:t>
      </w:r>
      <w:r w:rsidRPr="00CB7169">
        <w:t xml:space="preserve">qualifications in </w:t>
      </w:r>
      <w:r>
        <w:t>engineering</w:t>
      </w:r>
      <w:r w:rsidRPr="00CB7169">
        <w:t xml:space="preserve"> </w:t>
      </w:r>
      <w:r>
        <w:t>that was</w:t>
      </w:r>
      <w:r w:rsidRPr="00CB7169">
        <w:t xml:space="preserve"> </w:t>
      </w:r>
      <w:r>
        <w:t>developed out of the findings and insights from the first two years of the vocations project</w:t>
      </w:r>
      <w:r w:rsidR="005110A1">
        <w:t>. The new approach</w:t>
      </w:r>
      <w:r>
        <w:t xml:space="preserve"> was </w:t>
      </w:r>
      <w:r w:rsidRPr="00CB7169">
        <w:t>tested in consultations with the qualifications’ social partners: educators, employers, unions and government and profess</w:t>
      </w:r>
      <w:r w:rsidR="00D9318D">
        <w:t>ional and occupational bodies. The chapter</w:t>
      </w:r>
      <w:r w:rsidRPr="00CB7169">
        <w:t xml:space="preserve"> </w:t>
      </w:r>
      <w:r>
        <w:t>discusses</w:t>
      </w:r>
      <w:r w:rsidRPr="00CB7169">
        <w:t xml:space="preserve"> the extent to which there is support for basing qualifications on capabilities and on vocational streams. </w:t>
      </w:r>
      <w:r>
        <w:t>As discussed in the introduction to this document and throughout the project, c</w:t>
      </w:r>
      <w:r w:rsidR="00D9318D">
        <w:t xml:space="preserve">apabilities refer to the broad </w:t>
      </w:r>
      <w:r w:rsidRPr="00CB7169">
        <w:t xml:space="preserve">ranging knowledge, skills and attributes needed for a career, </w:t>
      </w:r>
      <w:r>
        <w:t>and the social arran</w:t>
      </w:r>
      <w:r w:rsidR="00D9318D">
        <w:t>gements that can support these. V</w:t>
      </w:r>
      <w:r w:rsidR="00837B30" w:rsidRPr="00CB7169">
        <w:t>ocational streams refer to families of linked occupations</w:t>
      </w:r>
      <w:r w:rsidR="00837B30">
        <w:t xml:space="preserve"> which share common knowledge, skills, practices and attributes</w:t>
      </w:r>
      <w:r w:rsidR="00837B30" w:rsidRPr="00CB7169">
        <w:t>.</w:t>
      </w:r>
    </w:p>
    <w:p w14:paraId="45032A79" w14:textId="02EDB9E5" w:rsidR="002C6037" w:rsidRDefault="002C6037" w:rsidP="002C6037">
      <w:pPr>
        <w:pStyle w:val="Text"/>
      </w:pPr>
      <w:r>
        <w:t>This chapter firstly outlines the method</w:t>
      </w:r>
      <w:r w:rsidR="00837B30">
        <w:t>s</w:t>
      </w:r>
      <w:r>
        <w:t xml:space="preserve"> used, which are discussed more fully in the introduction to</w:t>
      </w:r>
      <w:r w:rsidR="00837B30">
        <w:t xml:space="preserve"> the case studies</w:t>
      </w:r>
      <w:r>
        <w:t xml:space="preserve">, and the participants consulted for this final stage of the engineering case study of strand two of the project. The chapter then discusses the key themes emerging from our analysis of the data used throughout the project. The chapter concludes by assessing our proposals for </w:t>
      </w:r>
      <w:r w:rsidR="00572455">
        <w:t>mid-level</w:t>
      </w:r>
      <w:r w:rsidR="009A6DF2">
        <w:t xml:space="preserve"> </w:t>
      </w:r>
      <w:r>
        <w:t>quali</w:t>
      </w:r>
      <w:r w:rsidR="009A6DF2">
        <w:t>fications in engineering</w:t>
      </w:r>
      <w:r>
        <w:t xml:space="preserve">.  </w:t>
      </w:r>
    </w:p>
    <w:p w14:paraId="25814823" w14:textId="77777777" w:rsidR="002C6037" w:rsidRDefault="002C6037" w:rsidP="002C6037">
      <w:pPr>
        <w:pStyle w:val="Heading2"/>
      </w:pPr>
      <w:bookmarkStart w:id="61" w:name="_Toc248492893"/>
      <w:bookmarkStart w:id="62" w:name="_Toc257836754"/>
      <w:r>
        <w:t>Method, proposals and participants</w:t>
      </w:r>
      <w:bookmarkEnd w:id="61"/>
      <w:bookmarkEnd w:id="62"/>
      <w:r>
        <w:t xml:space="preserve"> </w:t>
      </w:r>
    </w:p>
    <w:p w14:paraId="6BB93AEF" w14:textId="731E0137" w:rsidR="002C6037" w:rsidRDefault="002C6037" w:rsidP="002C6037">
      <w:pPr>
        <w:pStyle w:val="Text"/>
      </w:pPr>
      <w:r>
        <w:t>As outlined in the introduction, the discussion papers</w:t>
      </w:r>
      <w:r w:rsidR="00837B30">
        <w:t xml:space="preserve"> for the case studies</w:t>
      </w:r>
      <w:r>
        <w:t xml:space="preserve"> outlined our general proposals to base qualifications on capabilities </w:t>
      </w:r>
      <w:r w:rsidR="009A6DF2">
        <w:t xml:space="preserve">and on </w:t>
      </w:r>
      <w:r>
        <w:t>vocational streams</w:t>
      </w:r>
      <w:r w:rsidR="009A6DF2">
        <w:t xml:space="preserve">. They described </w:t>
      </w:r>
      <w:r>
        <w:t>the</w:t>
      </w:r>
      <w:r w:rsidR="00837B30">
        <w:t xml:space="preserve"> three purposes of labour market</w:t>
      </w:r>
      <w:r>
        <w:t xml:space="preserve"> entry or progression, transitions to higher level qualifications and widening access to h</w:t>
      </w:r>
      <w:r w:rsidR="009A6DF2">
        <w:t>igher level qualifications and noted that</w:t>
      </w:r>
      <w:r>
        <w:t xml:space="preserve"> the balance between </w:t>
      </w:r>
      <w:r w:rsidR="009A6DF2">
        <w:t>these purposes may vary</w:t>
      </w:r>
      <w:r>
        <w:t xml:space="preserve"> as appropriate between fields of education and work. </w:t>
      </w:r>
    </w:p>
    <w:p w14:paraId="3C16C2F5" w14:textId="4AFCE792" w:rsidR="002C6037" w:rsidRDefault="002C6037" w:rsidP="002C6037">
      <w:pPr>
        <w:pStyle w:val="Text"/>
      </w:pPr>
      <w:r>
        <w:t xml:space="preserve">The discussion papers for each case study also made proposals specific to </w:t>
      </w:r>
      <w:r w:rsidR="009A6DF2">
        <w:t>its industry</w:t>
      </w:r>
      <w:r>
        <w:t xml:space="preserve">. The team proposed as a model </w:t>
      </w:r>
      <w:r w:rsidR="009A6DF2">
        <w:t xml:space="preserve">for </w:t>
      </w:r>
      <w:r w:rsidR="00572455">
        <w:t>mid-level</w:t>
      </w:r>
      <w:r>
        <w:t xml:space="preserve"> qualifications in engineering the Minerals Industry National Associate Degree (MINAD) project initiated by the Minerals Council of Australia (MCA). The MCA</w:t>
      </w:r>
      <w:r w:rsidR="009A6DF2">
        <w:t xml:space="preserve"> designed this program to prepare</w:t>
      </w:r>
      <w:r>
        <w:t xml:space="preserve"> gra</w:t>
      </w:r>
      <w:r w:rsidR="009A6DF2">
        <w:t xml:space="preserve">duates for highly skilled, para </w:t>
      </w:r>
      <w:r>
        <w:t>professional roles</w:t>
      </w:r>
      <w:r w:rsidR="009A6DF2">
        <w:t xml:space="preserve">. While the </w:t>
      </w:r>
      <w:r w:rsidR="00F25C7F">
        <w:t>associate degree prepare</w:t>
      </w:r>
      <w:r w:rsidR="001837C7">
        <w:t>s</w:t>
      </w:r>
      <w:r w:rsidR="00F25C7F">
        <w:t xml:space="preserve"> graduates for</w:t>
      </w:r>
      <w:r>
        <w:t xml:space="preserve"> further development into p</w:t>
      </w:r>
      <w:r w:rsidR="00F25C7F">
        <w:t>rofessional roles, its chief aim is to develop</w:t>
      </w:r>
      <w:r>
        <w:t xml:space="preserve"> skills within the engineering team. It summarises the program thus:</w:t>
      </w:r>
    </w:p>
    <w:p w14:paraId="50420CA4" w14:textId="77777777" w:rsidR="002C6037" w:rsidRDefault="002C6037" w:rsidP="002C6037">
      <w:pPr>
        <w:pStyle w:val="Quote"/>
      </w:pPr>
      <w:r w:rsidRPr="00D96D24">
        <w:t xml:space="preserve">Through its innovative Minerals Industry National Associate Degree (MINAD) Program, the MCA is working to develop para‐professional roles in mining engineering </w:t>
      </w:r>
      <w:r w:rsidR="00837B30">
        <w:t>a</w:t>
      </w:r>
      <w:r w:rsidRPr="00D96D24">
        <w:t>nd minerals geoscience to alleviate reliance on four‐year trained professionals. Holders of these collaborative, nationally consistent associate degrees will perform discipline‐ specific roles under the supervision and mentorship of a four‐year trained professional. In time, this will create a new pipeline of skilled labour, though it will not negate the chronic need for four‐year trained mining engineers and minerals geoscientists.</w:t>
      </w:r>
      <w:r>
        <w:tab/>
      </w:r>
      <w:r>
        <w:fldChar w:fldCharType="begin"/>
      </w:r>
      <w:r>
        <w:instrText xml:space="preserve"> ADDIN EN.CITE &lt;EndNote&gt;&lt;Cite&gt;&lt;Author&gt;Minerals Council of Australia&lt;/Author&gt;&lt;Year&gt;2012&lt;/Year&gt;&lt;RecNum&gt;329&lt;/RecNum&gt;&lt;Suffix&gt;`, p. 8&lt;/Suffix&gt;&lt;DisplayText&gt;(Minerals Council of Australia, 2012, p. 8)&lt;/DisplayText&gt;&lt;record&gt;&lt;rec-number&gt;329&lt;/rec-number&gt;&lt;foreign-keys&gt;&lt;key app="EN" db-id="0xrr5a5zkrxdw5esxr55w5a79ptftt5a20fr"&gt;329&lt;/key&gt;&lt;/foreign-keys&gt;&lt;ref-type name="Report"&gt;27&lt;/ref-type&gt;&lt;contributors&gt;&lt;authors&gt;&lt;author&gt;Minerals Council of Australia,&lt;/author&gt;&lt;/authors&gt;&lt;/contributors&gt;&lt;titles&gt;&lt;title&gt;Workforce Skills, Education and Training: Priorities and principles of the Australian minerals industry&lt;/title&gt;&lt;/titles&gt;&lt;dates&gt;&lt;year&gt;2012&lt;/year&gt;&lt;/dates&gt;&lt;pub-location&gt;Canberra&lt;/pub-location&gt;&lt;urls&gt;&lt;related-urls&gt;&lt;url&gt;http://www.minerals.org.au/file_upload/files/publications/MCA%20Policy%20Brief%204-2012%20-%20Workforce%20skills%20education%20%20training.pdf&lt;/url&gt;&lt;/related-urls&gt;&lt;/urls&gt;&lt;access-date&gt;1 September 2013&lt;/access-date&gt;&lt;/record&gt;&lt;/Cite&gt;&lt;/EndNote&gt;</w:instrText>
      </w:r>
      <w:r>
        <w:fldChar w:fldCharType="separate"/>
      </w:r>
      <w:r>
        <w:rPr>
          <w:noProof/>
        </w:rPr>
        <w:t>(</w:t>
      </w:r>
      <w:hyperlink w:anchor="_ENREF_13" w:tooltip="Minerals Council of Australia, 2012 #329" w:history="1">
        <w:r w:rsidR="00B03184">
          <w:rPr>
            <w:noProof/>
          </w:rPr>
          <w:t>Minerals Council of Australia, 2012, p. 8</w:t>
        </w:r>
      </w:hyperlink>
      <w:r>
        <w:rPr>
          <w:noProof/>
        </w:rPr>
        <w:t>)</w:t>
      </w:r>
      <w:r>
        <w:fldChar w:fldCharType="end"/>
      </w:r>
    </w:p>
    <w:p w14:paraId="10EBCF0A" w14:textId="0F223CF6" w:rsidR="002C6037" w:rsidRDefault="002C6037" w:rsidP="002C6037">
      <w:pPr>
        <w:pStyle w:val="Text"/>
      </w:pPr>
      <w:r>
        <w:t>In discussing this program with a range of pa</w:t>
      </w:r>
      <w:r w:rsidR="001837C7">
        <w:t>rticipants in stage two of the v</w:t>
      </w:r>
      <w:r>
        <w:t>ocations project</w:t>
      </w:r>
      <w:r w:rsidR="00837B30">
        <w:t xml:space="preserve"> the</w:t>
      </w:r>
      <w:r>
        <w:t xml:space="preserve"> team found</w:t>
      </w:r>
      <w:r w:rsidR="00837B30">
        <w:t xml:space="preserve"> that</w:t>
      </w:r>
      <w:r>
        <w:t>:</w:t>
      </w:r>
    </w:p>
    <w:p w14:paraId="5F1FB6AF" w14:textId="446254A4" w:rsidR="002C6037" w:rsidRDefault="002C6037" w:rsidP="001837C7">
      <w:pPr>
        <w:pStyle w:val="Quote"/>
      </w:pPr>
      <w:r>
        <w:t xml:space="preserve">The pilot is progressing well and has good potential to solve the problems identified by the Minerals Council of Australia and by the research more generally. The project has attracted interest from a broad range of employers, universities and TAFE institutes and could be a general </w:t>
      </w:r>
      <w:r>
        <w:lastRenderedPageBreak/>
        <w:t>model for other fields. This case is the most successful of those studied. Importantly, it involves collaboration by the three social partners. An industry association initiated the qualification, described the work role for which the qualification should prepare graduates and sets the aims for the project. Educators consulted employers and their colleagues, developed the qualification and offer it in close association with employers. Governments establish the regulatory environment, funded the development of the qualification, subsidise its teaching and offer income contingent loans for student fees.</w:t>
      </w:r>
      <w:r w:rsidR="001837C7">
        <w:tab/>
      </w:r>
      <w:r>
        <w:t>(</w:t>
      </w:r>
      <w:proofErr w:type="spellStart"/>
      <w:r>
        <w:t>Moodie</w:t>
      </w:r>
      <w:proofErr w:type="spellEnd"/>
      <w:r>
        <w:t xml:space="preserve">, </w:t>
      </w:r>
      <w:proofErr w:type="spellStart"/>
      <w:r>
        <w:t>Fredman</w:t>
      </w:r>
      <w:proofErr w:type="spellEnd"/>
      <w:r>
        <w:t xml:space="preserve">, Bexley and </w:t>
      </w:r>
      <w:proofErr w:type="spellStart"/>
      <w:r>
        <w:t>Wheelahan</w:t>
      </w:r>
      <w:proofErr w:type="spellEnd"/>
      <w:r>
        <w:t xml:space="preserve"> </w:t>
      </w:r>
      <w:r w:rsidR="00BB7429">
        <w:t>2013, p.25</w:t>
      </w:r>
      <w:r>
        <w:t>)</w:t>
      </w:r>
    </w:p>
    <w:p w14:paraId="5EB041E5" w14:textId="79B6F793" w:rsidR="002C6037" w:rsidRDefault="002C6037" w:rsidP="002C6037">
      <w:pPr>
        <w:pStyle w:val="Text"/>
      </w:pPr>
      <w:r>
        <w:t xml:space="preserve">Associate degrees in engineering are also offered by </w:t>
      </w:r>
      <w:proofErr w:type="spellStart"/>
      <w:r>
        <w:t>CQUniversity</w:t>
      </w:r>
      <w:proofErr w:type="spellEnd"/>
      <w:r>
        <w:t>, Swinburne University, University of South Australia, University of Tasmania, Southbank Institute of Technology</w:t>
      </w:r>
      <w:r w:rsidR="00837B30">
        <w:t>, TAFE South Australia</w:t>
      </w:r>
      <w:r>
        <w:t xml:space="preserve"> and RMIT University. One focus of our interviews was to investigate the potential for expa</w:t>
      </w:r>
      <w:r w:rsidR="001837C7">
        <w:t>nding these associate degrees</w:t>
      </w:r>
      <w:r>
        <w:t xml:space="preserve"> and applying the model to other engineering fields and at other institutions.</w:t>
      </w:r>
    </w:p>
    <w:p w14:paraId="2ADCE4BB" w14:textId="77777777" w:rsidR="002C6037" w:rsidRDefault="002C6037" w:rsidP="002C6037">
      <w:pPr>
        <w:pStyle w:val="Text"/>
      </w:pPr>
      <w:r>
        <w:t xml:space="preserve">The eight participants chosen as representing a range of </w:t>
      </w:r>
      <w:r w:rsidR="00CD3ED9">
        <w:t xml:space="preserve">interest groups </w:t>
      </w:r>
      <w:r>
        <w:t xml:space="preserve">and contrasting views in engineering education and work consisted of: </w:t>
      </w:r>
    </w:p>
    <w:p w14:paraId="773F9B0B" w14:textId="77777777" w:rsidR="002C6037" w:rsidRDefault="002C6037" w:rsidP="002C6037">
      <w:pPr>
        <w:pStyle w:val="Dotpoint1"/>
        <w:ind w:left="284" w:hanging="284"/>
      </w:pPr>
      <w:r>
        <w:t>Four educators:</w:t>
      </w:r>
    </w:p>
    <w:p w14:paraId="5E2BEF47" w14:textId="77777777" w:rsidR="002C6037" w:rsidRDefault="002C6037" w:rsidP="002C6037">
      <w:pPr>
        <w:pStyle w:val="Dotpoint2"/>
        <w:ind w:left="568" w:hanging="284"/>
      </w:pPr>
      <w:r>
        <w:t>A higher education dean of engineering;</w:t>
      </w:r>
    </w:p>
    <w:p w14:paraId="5687616A" w14:textId="77777777" w:rsidR="002C6037" w:rsidRDefault="002C6037" w:rsidP="002C6037">
      <w:pPr>
        <w:pStyle w:val="Dotpoint2"/>
        <w:ind w:left="568" w:hanging="284"/>
      </w:pPr>
      <w:r>
        <w:t xml:space="preserve">Two engineering teachers in the </w:t>
      </w:r>
      <w:r w:rsidR="00837B30">
        <w:t xml:space="preserve">TAFE </w:t>
      </w:r>
      <w:r>
        <w:t>division of a dual-sector university;</w:t>
      </w:r>
    </w:p>
    <w:p w14:paraId="22B10B8E" w14:textId="77777777" w:rsidR="002C6037" w:rsidRDefault="002C6037" w:rsidP="002C6037">
      <w:pPr>
        <w:pStyle w:val="Dotpoint2"/>
        <w:ind w:left="568" w:hanging="284"/>
      </w:pPr>
      <w:r>
        <w:t xml:space="preserve">An engineering lecturer </w:t>
      </w:r>
      <w:r w:rsidR="00837B30">
        <w:t xml:space="preserve">in </w:t>
      </w:r>
      <w:r>
        <w:t>the higher education division of this dual-sector university;</w:t>
      </w:r>
    </w:p>
    <w:p w14:paraId="7D151D93" w14:textId="77777777" w:rsidR="002C6037" w:rsidRDefault="002C6037" w:rsidP="002C6037">
      <w:pPr>
        <w:pStyle w:val="Dotpoint1"/>
        <w:ind w:left="284" w:hanging="284"/>
      </w:pPr>
      <w:r>
        <w:t xml:space="preserve">Four representatives of </w:t>
      </w:r>
      <w:r w:rsidR="00CD3ED9">
        <w:t xml:space="preserve">groups </w:t>
      </w:r>
      <w:r>
        <w:t>involved in engineering with a particular focus on education and training:</w:t>
      </w:r>
    </w:p>
    <w:p w14:paraId="2E1C8C2F" w14:textId="77777777" w:rsidR="002C6037" w:rsidRDefault="002C6037" w:rsidP="002C6037">
      <w:pPr>
        <w:pStyle w:val="Dotpoint2"/>
        <w:ind w:left="568" w:hanging="284"/>
      </w:pPr>
      <w:r>
        <w:t>One union official who is also involved in the relevant industry skills council;</w:t>
      </w:r>
    </w:p>
    <w:p w14:paraId="183AC39D" w14:textId="77777777" w:rsidR="002C6037" w:rsidRDefault="002C6037" w:rsidP="002C6037">
      <w:pPr>
        <w:pStyle w:val="Dotpoint2"/>
        <w:ind w:left="568" w:hanging="284"/>
      </w:pPr>
      <w:r>
        <w:t>A consultant for engineering employers;</w:t>
      </w:r>
    </w:p>
    <w:p w14:paraId="216F1E07" w14:textId="77777777" w:rsidR="002C6037" w:rsidRDefault="002C6037" w:rsidP="002C6037">
      <w:pPr>
        <w:pStyle w:val="Dotpoint2"/>
        <w:ind w:left="568" w:hanging="284"/>
      </w:pPr>
      <w:r>
        <w:t>A mining industry representative;</w:t>
      </w:r>
    </w:p>
    <w:p w14:paraId="3EDFAAAA" w14:textId="77777777" w:rsidR="002C6037" w:rsidRDefault="002C6037" w:rsidP="002C6037">
      <w:pPr>
        <w:pStyle w:val="Dotpoint2"/>
        <w:ind w:left="568" w:hanging="284"/>
      </w:pPr>
      <w:r>
        <w:t>A</w:t>
      </w:r>
      <w:r w:rsidR="00DF478B">
        <w:t xml:space="preserve"> representative from a relevant professional body</w:t>
      </w:r>
      <w:r w:rsidR="00CD3ED9">
        <w:t>.</w:t>
      </w:r>
    </w:p>
    <w:p w14:paraId="25A31779" w14:textId="77777777" w:rsidR="002C6037" w:rsidRDefault="002C6037" w:rsidP="002C6037">
      <w:pPr>
        <w:pStyle w:val="Text"/>
      </w:pPr>
      <w:r>
        <w:t xml:space="preserve">The next sections of the chapter discuss the key themes that emerged from our participant interviews and our synthesis of this data with our findings from the first two years of the project. </w:t>
      </w:r>
    </w:p>
    <w:p w14:paraId="7CC83D04" w14:textId="77777777" w:rsidR="002C6037" w:rsidRDefault="002C6037" w:rsidP="002C6037">
      <w:pPr>
        <w:pStyle w:val="Heading2"/>
      </w:pPr>
      <w:bookmarkStart w:id="63" w:name="_Toc248492894"/>
      <w:bookmarkStart w:id="64" w:name="_Toc257836755"/>
      <w:r>
        <w:t>The changing nature of engineering and the imperatives for change</w:t>
      </w:r>
      <w:bookmarkEnd w:id="63"/>
      <w:bookmarkEnd w:id="64"/>
    </w:p>
    <w:p w14:paraId="28D9CE45" w14:textId="18830DC4" w:rsidR="002C6037" w:rsidRDefault="002C6037" w:rsidP="002C6037">
      <w:pPr>
        <w:pStyle w:val="Text"/>
      </w:pPr>
      <w:r>
        <w:t>In previous work in the pr</w:t>
      </w:r>
      <w:r w:rsidR="001837C7">
        <w:t>oject we observed that</w:t>
      </w:r>
      <w:r>
        <w:t xml:space="preserve"> engineering </w:t>
      </w:r>
      <w:r w:rsidR="001837C7">
        <w:t>has</w:t>
      </w:r>
      <w:r w:rsidR="002326DC">
        <w:t xml:space="preserve"> strong occupational labour </w:t>
      </w:r>
      <w:r>
        <w:t xml:space="preserve">markets </w:t>
      </w:r>
      <w:r w:rsidR="002326DC">
        <w:t>with</w:t>
      </w:r>
      <w:r w:rsidRPr="00967035">
        <w:t xml:space="preserve"> strong structures </w:t>
      </w:r>
      <w:r w:rsidR="002326DC">
        <w:t xml:space="preserve">and connections </w:t>
      </w:r>
      <w:r w:rsidR="001837C7">
        <w:t>between employers, unions</w:t>
      </w:r>
      <w:r w:rsidRPr="00967035">
        <w:t xml:space="preserve"> </w:t>
      </w:r>
      <w:r>
        <w:t xml:space="preserve">and </w:t>
      </w:r>
      <w:r w:rsidRPr="00967035">
        <w:t>professional associations</w:t>
      </w:r>
      <w:r w:rsidR="001837C7">
        <w:t>. However, engineering has</w:t>
      </w:r>
      <w:r>
        <w:t xml:space="preserve"> </w:t>
      </w:r>
      <w:r w:rsidRPr="00967035">
        <w:t xml:space="preserve">highly differentiated trades and professional segments </w:t>
      </w:r>
      <w:r w:rsidR="001837C7">
        <w:t>and</w:t>
      </w:r>
      <w:r w:rsidRPr="00967035">
        <w:t xml:space="preserve"> </w:t>
      </w:r>
      <w:r>
        <w:t>a lack of</w:t>
      </w:r>
      <w:r w:rsidRPr="00967035">
        <w:t xml:space="preserve"> progression</w:t>
      </w:r>
      <w:r>
        <w:t xml:space="preserve"> in education and work </w:t>
      </w:r>
      <w:r>
        <w:fldChar w:fldCharType="begin">
          <w:fldData xml:space="preserve">PEVuZE5vdGU+PENpdGU+PEF1dGhvcj5Nb29kaWU8L0F1dGhvcj48WWVhcj4yMDEzPC9ZZWFyPjxS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</w:fldData>
        </w:fldChar>
      </w:r>
      <w:r>
        <w:instrText xml:space="preserve"> ADDIN EN.CITE </w:instrText>
      </w:r>
      <w:r>
        <w:fldChar w:fldCharType="begin">
          <w:fldData xml:space="preserve">PEVuZE5vdGU+PENpdGU+PEF1dGhvcj5Nb29kaWU8L0F1dGhvcj48WWVhcj4yMDEzPC9ZZWFyPjxS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</w:fldData>
        </w:fldChar>
      </w:r>
      <w:r>
        <w:instrText xml:space="preserve"> ADDIN EN.CITE.DATA </w:instrText>
      </w:r>
      <w:r>
        <w:fldChar w:fldCharType="end"/>
      </w:r>
      <w:r>
        <w:fldChar w:fldCharType="separate"/>
      </w:r>
      <w:r>
        <w:rPr>
          <w:noProof/>
        </w:rPr>
        <w:t>(</w:t>
      </w:r>
      <w:hyperlink w:anchor="_ENREF_16" w:tooltip="Moodie, 2013 #3249" w:history="1">
        <w:r w:rsidR="00B03184">
          <w:rPr>
            <w:noProof/>
          </w:rPr>
          <w:t>Moodie and Fredman 2013</w:t>
        </w:r>
      </w:hyperlink>
      <w:r>
        <w:rPr>
          <w:noProof/>
        </w:rPr>
        <w:t xml:space="preserve">; </w:t>
      </w:r>
      <w:hyperlink w:anchor="_ENREF_17" w:tooltip="Moodie, 2013 #3168" w:history="1">
        <w:r w:rsidR="00B03184">
          <w:rPr>
            <w:noProof/>
          </w:rPr>
          <w:t>Moodie et al. 2013</w:t>
        </w:r>
      </w:hyperlink>
      <w:r>
        <w:rPr>
          <w:noProof/>
        </w:rPr>
        <w:t xml:space="preserve">; </w:t>
      </w:r>
      <w:hyperlink w:anchor="_ENREF_27" w:tooltip="Wheelahan, 2012 #278" w:history="1">
        <w:r w:rsidR="00B03184">
          <w:rPr>
            <w:noProof/>
          </w:rPr>
          <w:t>Wheelahan et al. 2012</w:t>
        </w:r>
      </w:hyperlink>
      <w:r>
        <w:rPr>
          <w:noProof/>
        </w:rPr>
        <w:t>)</w:t>
      </w:r>
      <w:r>
        <w:fldChar w:fldCharType="end"/>
      </w:r>
      <w:r>
        <w:t>. In particu</w:t>
      </w:r>
      <w:r w:rsidR="001837C7">
        <w:t>lar, in the first stage of the v</w:t>
      </w:r>
      <w:r>
        <w:t>ocation</w:t>
      </w:r>
      <w:r w:rsidR="002326DC">
        <w:t>s</w:t>
      </w:r>
      <w:r>
        <w:t xml:space="preserve"> project</w:t>
      </w:r>
      <w:r w:rsidR="002326DC">
        <w:t>, Strand 3</w:t>
      </w:r>
      <w:r>
        <w:t xml:space="preserve"> </w:t>
      </w:r>
      <w:r w:rsidRPr="002D7D35">
        <w:t>analysed data</w:t>
      </w:r>
      <w:r>
        <w:t xml:space="preserve"> from the survey of Household, Income and Labour Dynamics in Australia (HILDA) on workers in engineering trades and professions. A number of judgements had to be made to construct the area because workers in engineering and the trades work in a range of industries and because quite a broad catchment of skills might feed into trades and engineering roles. Involvement in engineering and the trades was defined as those who had worked</w:t>
      </w:r>
      <w:r w:rsidR="00047E1A">
        <w:t xml:space="preserve"> at some point in the nine years of the longitudinal HILDA survey from 2001 to 2010</w:t>
      </w:r>
      <w:r>
        <w:t xml:space="preserve"> in the </w:t>
      </w:r>
      <w:r w:rsidR="00047E1A">
        <w:t xml:space="preserve">occupations defined by the </w:t>
      </w:r>
      <w:r>
        <w:t>Australian Bureau of S</w:t>
      </w:r>
      <w:r w:rsidR="00047E1A">
        <w:t>tatistics as</w:t>
      </w:r>
      <w:r>
        <w:t xml:space="preserve"> engineering professional, engineering </w:t>
      </w:r>
      <w:proofErr w:type="gramStart"/>
      <w:r>
        <w:t>technician,</w:t>
      </w:r>
      <w:proofErr w:type="gramEnd"/>
      <w:r>
        <w:t xml:space="preserve"> or automotive, construction, engineering, </w:t>
      </w:r>
      <w:proofErr w:type="spellStart"/>
      <w:r>
        <w:t>electrotechnology</w:t>
      </w:r>
      <w:proofErr w:type="spellEnd"/>
      <w:r>
        <w:t xml:space="preserve"> or </w:t>
      </w:r>
      <w:r w:rsidR="00047E1A">
        <w:t>telecommunication trades worker</w:t>
      </w:r>
      <w:r>
        <w:t xml:space="preserve">. Table </w:t>
      </w:r>
      <w:r w:rsidR="008F7B3D" w:rsidRPr="00E629DF">
        <w:t>10</w:t>
      </w:r>
      <w:r w:rsidR="002326DC">
        <w:rPr>
          <w:b/>
        </w:rPr>
        <w:t xml:space="preserve"> </w:t>
      </w:r>
      <w:r>
        <w:t xml:space="preserve">shows clusters of occupational </w:t>
      </w:r>
      <w:r w:rsidR="003E5C34">
        <w:t>trajectories for such workers. In m</w:t>
      </w:r>
      <w:r>
        <w:t xml:space="preserve">ost clusters </w:t>
      </w:r>
      <w:r w:rsidR="003E5C34">
        <w:t>participants remained</w:t>
      </w:r>
      <w:r>
        <w:t xml:space="preserve"> in the same broad occupational group for all or nearly </w:t>
      </w:r>
      <w:r>
        <w:lastRenderedPageBreak/>
        <w:t>all of the whole nine-year perio</w:t>
      </w:r>
      <w:r w:rsidR="003E5C34">
        <w:t>d. The clusters with</w:t>
      </w:r>
      <w:r>
        <w:t xml:space="preserve"> </w:t>
      </w:r>
      <w:r w:rsidR="008F7B3D">
        <w:t xml:space="preserve">movement </w:t>
      </w:r>
      <w:r>
        <w:t>between broad occu</w:t>
      </w:r>
      <w:r w:rsidR="00E91741">
        <w:t>pational categories are</w:t>
      </w:r>
      <w:r>
        <w:t xml:space="preserve"> the 8.</w:t>
      </w:r>
      <w:r w:rsidR="00E91741">
        <w:t>1% who had switched between low skill, manual roles and</w:t>
      </w:r>
      <w:r>
        <w:t xml:space="preserve"> the trades and the 8.4% who had m</w:t>
      </w:r>
      <w:r w:rsidR="008F7B3D">
        <w:t>oved</w:t>
      </w:r>
      <w:r>
        <w:t xml:space="preserve"> </w:t>
      </w:r>
      <w:r w:rsidR="008F7B3D">
        <w:t xml:space="preserve">from </w:t>
      </w:r>
      <w:r>
        <w:t>higher education study into an engineering professional role</w:t>
      </w:r>
      <w:r w:rsidR="00AD4123">
        <w:t>. Some 5.4%</w:t>
      </w:r>
      <w:r w:rsidR="002A4522">
        <w:t xml:space="preserve"> were not in the labour force (NILF)</w:t>
      </w:r>
      <w:r>
        <w:t xml:space="preserve"> (Table </w:t>
      </w:r>
      <w:r w:rsidR="008F7B3D">
        <w:t>10</w:t>
      </w:r>
      <w:r>
        <w:t>).</w:t>
      </w:r>
    </w:p>
    <w:p w14:paraId="46CB04CF" w14:textId="77777777" w:rsidR="002C6037" w:rsidRDefault="002C6037" w:rsidP="002C6037">
      <w:pPr>
        <w:pStyle w:val="tabletitle"/>
      </w:pPr>
      <w:bookmarkStart w:id="65" w:name="_Toc248818132"/>
      <w:bookmarkStart w:id="66" w:name="_Toc257836873"/>
      <w:r w:rsidRPr="000A452E">
        <w:t xml:space="preserve">Table </w:t>
      </w:r>
      <w:r w:rsidR="008F7B3D">
        <w:t>10</w:t>
      </w:r>
      <w:r w:rsidRPr="000A452E">
        <w:tab/>
        <w:t>Clusters of broad occupational groups among those with some work as engineering professionals, technicians or tradespeople, 2001–2009</w:t>
      </w:r>
      <w:bookmarkEnd w:id="65"/>
      <w:bookmarkEnd w:id="66"/>
    </w:p>
    <w:tbl>
      <w:tblPr>
        <w:tblW w:w="3571" w:type="dxa"/>
        <w:tblInd w:w="93" w:type="dxa"/>
        <w:tblBorders>
          <w:top w:val="single" w:sz="4" w:space="0" w:color="auto"/>
          <w:bottom w:val="single" w:sz="4" w:space="0" w:color="auto"/>
          <w:insideH w:val="single" w:sz="4" w:space="0" w:color="auto"/>
        </w:tblBorders>
        <w:tblLook w:val="0000" w:firstRow="0" w:lastRow="0" w:firstColumn="0" w:lastColumn="0" w:noHBand="0" w:noVBand="0"/>
      </w:tblPr>
      <w:tblGrid>
        <w:gridCol w:w="2476"/>
        <w:gridCol w:w="1095"/>
      </w:tblGrid>
      <w:tr w:rsidR="002C6037" w:rsidRPr="00836D55" w14:paraId="0A68D888" w14:textId="77777777" w:rsidTr="00721F1E">
        <w:trPr>
          <w:trHeight w:val="255"/>
        </w:trPr>
        <w:tc>
          <w:tcPr>
            <w:tcW w:w="2476" w:type="dxa"/>
            <w:shd w:val="clear" w:color="auto" w:fill="auto"/>
            <w:noWrap/>
            <w:vAlign w:val="bottom"/>
          </w:tcPr>
          <w:p w14:paraId="75844792" w14:textId="77777777" w:rsidR="002C6037" w:rsidRPr="00836D55" w:rsidRDefault="002C6037" w:rsidP="00721F1E">
            <w:pPr>
              <w:pStyle w:val="Tablehead1"/>
            </w:pPr>
            <w:r w:rsidRPr="00836D55">
              <w:t xml:space="preserve">Description </w:t>
            </w:r>
          </w:p>
        </w:tc>
        <w:tc>
          <w:tcPr>
            <w:tcW w:w="1095" w:type="dxa"/>
            <w:shd w:val="clear" w:color="auto" w:fill="auto"/>
            <w:noWrap/>
            <w:vAlign w:val="bottom"/>
          </w:tcPr>
          <w:p w14:paraId="6EBAAC17" w14:textId="77777777" w:rsidR="002C6037" w:rsidRPr="00836D55" w:rsidRDefault="002C6037" w:rsidP="00721F1E">
            <w:pPr>
              <w:pStyle w:val="Tablehead1"/>
              <w:jc w:val="right"/>
            </w:pPr>
            <w:r w:rsidRPr="00836D55">
              <w:t xml:space="preserve">% </w:t>
            </w:r>
          </w:p>
        </w:tc>
      </w:tr>
      <w:tr w:rsidR="002C6037" w:rsidRPr="00836D55" w14:paraId="7D18EAAB" w14:textId="77777777" w:rsidTr="00721F1E">
        <w:trPr>
          <w:trHeight w:val="255"/>
        </w:trPr>
        <w:tc>
          <w:tcPr>
            <w:tcW w:w="2476" w:type="dxa"/>
            <w:tcBorders>
              <w:bottom w:val="nil"/>
            </w:tcBorders>
            <w:shd w:val="clear" w:color="auto" w:fill="auto"/>
            <w:noWrap/>
            <w:vAlign w:val="bottom"/>
          </w:tcPr>
          <w:p w14:paraId="73479BB7" w14:textId="77777777" w:rsidR="002C6037" w:rsidRPr="00836D55" w:rsidRDefault="002C6037" w:rsidP="00721F1E">
            <w:pPr>
              <w:pStyle w:val="Tabletext"/>
            </w:pPr>
            <w:r>
              <w:t xml:space="preserve">HE </w:t>
            </w:r>
            <w:r>
              <w:rPr>
                <w:rFonts w:cs="Arial"/>
              </w:rPr>
              <w:t>→</w:t>
            </w:r>
            <w:r>
              <w:t xml:space="preserve"> </w:t>
            </w:r>
            <w:r w:rsidRPr="00836D55">
              <w:t xml:space="preserve">engineers </w:t>
            </w:r>
          </w:p>
        </w:tc>
        <w:tc>
          <w:tcPr>
            <w:tcW w:w="1095" w:type="dxa"/>
            <w:tcBorders>
              <w:bottom w:val="nil"/>
            </w:tcBorders>
            <w:shd w:val="clear" w:color="auto" w:fill="auto"/>
            <w:noWrap/>
            <w:vAlign w:val="bottom"/>
          </w:tcPr>
          <w:p w14:paraId="1D2DB22B" w14:textId="77777777" w:rsidR="002C6037" w:rsidRPr="00836D55" w:rsidRDefault="002C6037" w:rsidP="00721F1E">
            <w:pPr>
              <w:pStyle w:val="Tabletext"/>
              <w:ind w:left="567"/>
              <w:jc w:val="right"/>
            </w:pPr>
            <w:r w:rsidRPr="00836D55">
              <w:t>8.4</w:t>
            </w:r>
          </w:p>
        </w:tc>
      </w:tr>
      <w:tr w:rsidR="002C6037" w:rsidRPr="00836D55" w14:paraId="44C8D973" w14:textId="77777777" w:rsidTr="00721F1E">
        <w:trPr>
          <w:trHeight w:val="255"/>
        </w:trPr>
        <w:tc>
          <w:tcPr>
            <w:tcW w:w="2476" w:type="dxa"/>
            <w:tcBorders>
              <w:top w:val="nil"/>
              <w:bottom w:val="nil"/>
            </w:tcBorders>
            <w:shd w:val="clear" w:color="auto" w:fill="auto"/>
            <w:noWrap/>
            <w:vAlign w:val="bottom"/>
          </w:tcPr>
          <w:p w14:paraId="3FEF942A" w14:textId="77777777" w:rsidR="002C6037" w:rsidRPr="00836D55" w:rsidRDefault="002C6037" w:rsidP="00721F1E">
            <w:pPr>
              <w:pStyle w:val="Tabletext"/>
            </w:pPr>
            <w:r w:rsidRPr="00836D55">
              <w:t xml:space="preserve">Managers </w:t>
            </w:r>
          </w:p>
        </w:tc>
        <w:tc>
          <w:tcPr>
            <w:tcW w:w="1095" w:type="dxa"/>
            <w:tcBorders>
              <w:top w:val="nil"/>
              <w:bottom w:val="nil"/>
            </w:tcBorders>
            <w:shd w:val="clear" w:color="auto" w:fill="auto"/>
            <w:noWrap/>
            <w:vAlign w:val="bottom"/>
          </w:tcPr>
          <w:p w14:paraId="6513D46A" w14:textId="77777777" w:rsidR="002C6037" w:rsidRPr="00836D55" w:rsidRDefault="002C6037" w:rsidP="00721F1E">
            <w:pPr>
              <w:pStyle w:val="Tabletext"/>
              <w:ind w:left="567"/>
              <w:jc w:val="right"/>
            </w:pPr>
            <w:r w:rsidRPr="00836D55">
              <w:t>6.7</w:t>
            </w:r>
          </w:p>
        </w:tc>
      </w:tr>
      <w:tr w:rsidR="002C6037" w:rsidRPr="00836D55" w14:paraId="0A967945" w14:textId="77777777" w:rsidTr="00721F1E">
        <w:trPr>
          <w:trHeight w:val="255"/>
        </w:trPr>
        <w:tc>
          <w:tcPr>
            <w:tcW w:w="2476" w:type="dxa"/>
            <w:tcBorders>
              <w:top w:val="nil"/>
              <w:bottom w:val="nil"/>
            </w:tcBorders>
            <w:shd w:val="clear" w:color="auto" w:fill="auto"/>
            <w:noWrap/>
            <w:vAlign w:val="bottom"/>
          </w:tcPr>
          <w:p w14:paraId="684ADCAD" w14:textId="77777777" w:rsidR="002C6037" w:rsidRPr="00836D55" w:rsidRDefault="002C6037" w:rsidP="00721F1E">
            <w:pPr>
              <w:pStyle w:val="Tabletext"/>
            </w:pPr>
            <w:r w:rsidRPr="00836D55">
              <w:t xml:space="preserve">Other professionals </w:t>
            </w:r>
          </w:p>
        </w:tc>
        <w:tc>
          <w:tcPr>
            <w:tcW w:w="1095" w:type="dxa"/>
            <w:tcBorders>
              <w:top w:val="nil"/>
              <w:bottom w:val="nil"/>
            </w:tcBorders>
            <w:shd w:val="clear" w:color="auto" w:fill="auto"/>
            <w:noWrap/>
            <w:vAlign w:val="bottom"/>
          </w:tcPr>
          <w:p w14:paraId="1B00D921" w14:textId="77777777" w:rsidR="002C6037" w:rsidRPr="00836D55" w:rsidRDefault="002C6037" w:rsidP="00721F1E">
            <w:pPr>
              <w:pStyle w:val="Tabletext"/>
              <w:ind w:left="567"/>
              <w:jc w:val="right"/>
            </w:pPr>
            <w:r w:rsidRPr="00836D55">
              <w:t>4.8</w:t>
            </w:r>
          </w:p>
        </w:tc>
      </w:tr>
      <w:tr w:rsidR="002C6037" w:rsidRPr="00836D55" w14:paraId="6A1A94AE" w14:textId="77777777" w:rsidTr="00721F1E">
        <w:trPr>
          <w:trHeight w:val="255"/>
        </w:trPr>
        <w:tc>
          <w:tcPr>
            <w:tcW w:w="2476" w:type="dxa"/>
            <w:tcBorders>
              <w:top w:val="nil"/>
              <w:bottom w:val="nil"/>
            </w:tcBorders>
            <w:shd w:val="clear" w:color="auto" w:fill="auto"/>
            <w:noWrap/>
            <w:vAlign w:val="bottom"/>
          </w:tcPr>
          <w:p w14:paraId="49B6FAF9" w14:textId="77777777" w:rsidR="002C6037" w:rsidRPr="00836D55" w:rsidRDefault="002C6037" w:rsidP="00721F1E">
            <w:pPr>
              <w:pStyle w:val="Tabletext"/>
            </w:pPr>
            <w:r w:rsidRPr="00836D55">
              <w:t xml:space="preserve">Low-skill non-manual </w:t>
            </w:r>
          </w:p>
        </w:tc>
        <w:tc>
          <w:tcPr>
            <w:tcW w:w="1095" w:type="dxa"/>
            <w:tcBorders>
              <w:top w:val="nil"/>
              <w:bottom w:val="nil"/>
            </w:tcBorders>
            <w:shd w:val="clear" w:color="auto" w:fill="auto"/>
            <w:noWrap/>
            <w:vAlign w:val="bottom"/>
          </w:tcPr>
          <w:p w14:paraId="0BC6F10F" w14:textId="77777777" w:rsidR="002C6037" w:rsidRPr="00836D55" w:rsidRDefault="002C6037" w:rsidP="00721F1E">
            <w:pPr>
              <w:pStyle w:val="Tabletext"/>
              <w:ind w:left="567"/>
              <w:jc w:val="right"/>
            </w:pPr>
            <w:r w:rsidRPr="00836D55">
              <w:t>8.1</w:t>
            </w:r>
          </w:p>
        </w:tc>
      </w:tr>
      <w:tr w:rsidR="002C6037" w:rsidRPr="00836D55" w14:paraId="3A8CAB65" w14:textId="77777777" w:rsidTr="00721F1E">
        <w:trPr>
          <w:trHeight w:val="255"/>
        </w:trPr>
        <w:tc>
          <w:tcPr>
            <w:tcW w:w="2476" w:type="dxa"/>
            <w:tcBorders>
              <w:top w:val="nil"/>
              <w:bottom w:val="nil"/>
            </w:tcBorders>
            <w:shd w:val="clear" w:color="auto" w:fill="auto"/>
            <w:noWrap/>
            <w:vAlign w:val="bottom"/>
          </w:tcPr>
          <w:p w14:paraId="18C6B4F3" w14:textId="77777777" w:rsidR="002C6037" w:rsidRPr="00836D55" w:rsidRDefault="002C6037" w:rsidP="00721F1E">
            <w:pPr>
              <w:pStyle w:val="Tabletext"/>
            </w:pPr>
            <w:r w:rsidRPr="00836D55">
              <w:t xml:space="preserve">NILF </w:t>
            </w:r>
          </w:p>
        </w:tc>
        <w:tc>
          <w:tcPr>
            <w:tcW w:w="1095" w:type="dxa"/>
            <w:tcBorders>
              <w:top w:val="nil"/>
              <w:bottom w:val="nil"/>
            </w:tcBorders>
            <w:shd w:val="clear" w:color="auto" w:fill="auto"/>
            <w:noWrap/>
            <w:vAlign w:val="bottom"/>
          </w:tcPr>
          <w:p w14:paraId="1A188AAC" w14:textId="77777777" w:rsidR="002C6037" w:rsidRPr="00836D55" w:rsidRDefault="002C6037" w:rsidP="00721F1E">
            <w:pPr>
              <w:pStyle w:val="Tabletext"/>
              <w:ind w:left="567"/>
              <w:jc w:val="right"/>
            </w:pPr>
            <w:r w:rsidRPr="00836D55">
              <w:t>5.4</w:t>
            </w:r>
          </w:p>
        </w:tc>
      </w:tr>
      <w:tr w:rsidR="002C6037" w:rsidRPr="00836D55" w14:paraId="0FEF012E" w14:textId="77777777" w:rsidTr="00721F1E">
        <w:trPr>
          <w:trHeight w:val="255"/>
        </w:trPr>
        <w:tc>
          <w:tcPr>
            <w:tcW w:w="2476" w:type="dxa"/>
            <w:tcBorders>
              <w:top w:val="nil"/>
              <w:bottom w:val="nil"/>
            </w:tcBorders>
            <w:shd w:val="clear" w:color="auto" w:fill="auto"/>
            <w:noWrap/>
            <w:vAlign w:val="bottom"/>
          </w:tcPr>
          <w:p w14:paraId="41982366" w14:textId="77777777" w:rsidR="002C6037" w:rsidRPr="00836D55" w:rsidRDefault="002C6037" w:rsidP="00721F1E">
            <w:pPr>
              <w:pStyle w:val="Tabletext"/>
            </w:pPr>
            <w:r w:rsidRPr="00836D55">
              <w:t xml:space="preserve">Low-skill </w:t>
            </w:r>
            <w:r>
              <w:t xml:space="preserve">manual </w:t>
            </w:r>
            <w:r>
              <w:rPr>
                <w:rFonts w:cs="Arial"/>
              </w:rPr>
              <w:t>→</w:t>
            </w:r>
            <w:r>
              <w:t xml:space="preserve"> </w:t>
            </w:r>
            <w:r w:rsidRPr="00836D55">
              <w:t xml:space="preserve">trades </w:t>
            </w:r>
          </w:p>
        </w:tc>
        <w:tc>
          <w:tcPr>
            <w:tcW w:w="1095" w:type="dxa"/>
            <w:tcBorders>
              <w:top w:val="nil"/>
              <w:bottom w:val="nil"/>
            </w:tcBorders>
            <w:shd w:val="clear" w:color="auto" w:fill="auto"/>
            <w:noWrap/>
            <w:vAlign w:val="bottom"/>
          </w:tcPr>
          <w:p w14:paraId="0492D481" w14:textId="77777777" w:rsidR="002C6037" w:rsidRPr="00836D55" w:rsidRDefault="002C6037" w:rsidP="00721F1E">
            <w:pPr>
              <w:pStyle w:val="Tabletext"/>
              <w:ind w:left="567"/>
              <w:jc w:val="right"/>
            </w:pPr>
            <w:r w:rsidRPr="00836D55">
              <w:t>8.1</w:t>
            </w:r>
          </w:p>
        </w:tc>
      </w:tr>
      <w:tr w:rsidR="002C6037" w:rsidRPr="00836D55" w14:paraId="3BC6C316" w14:textId="77777777" w:rsidTr="00721F1E">
        <w:trPr>
          <w:trHeight w:val="255"/>
        </w:trPr>
        <w:tc>
          <w:tcPr>
            <w:tcW w:w="2476" w:type="dxa"/>
            <w:tcBorders>
              <w:top w:val="nil"/>
              <w:bottom w:val="nil"/>
            </w:tcBorders>
            <w:shd w:val="clear" w:color="auto" w:fill="auto"/>
            <w:noWrap/>
            <w:vAlign w:val="bottom"/>
          </w:tcPr>
          <w:p w14:paraId="5F0CEA8C" w14:textId="77777777" w:rsidR="002C6037" w:rsidRPr="00836D55" w:rsidRDefault="002C6037" w:rsidP="00721F1E">
            <w:pPr>
              <w:pStyle w:val="Tabletext"/>
            </w:pPr>
            <w:r w:rsidRPr="00836D55">
              <w:t xml:space="preserve">Movement out of trades </w:t>
            </w:r>
          </w:p>
        </w:tc>
        <w:tc>
          <w:tcPr>
            <w:tcW w:w="1095" w:type="dxa"/>
            <w:tcBorders>
              <w:top w:val="nil"/>
              <w:bottom w:val="nil"/>
            </w:tcBorders>
            <w:shd w:val="clear" w:color="auto" w:fill="auto"/>
            <w:noWrap/>
            <w:vAlign w:val="bottom"/>
          </w:tcPr>
          <w:p w14:paraId="0D8ED67A" w14:textId="77777777" w:rsidR="002C6037" w:rsidRPr="00836D55" w:rsidRDefault="002C6037" w:rsidP="00721F1E">
            <w:pPr>
              <w:pStyle w:val="Tabletext"/>
              <w:ind w:left="567"/>
              <w:jc w:val="right"/>
            </w:pPr>
            <w:r w:rsidRPr="00836D55">
              <w:t>28.3</w:t>
            </w:r>
          </w:p>
        </w:tc>
      </w:tr>
      <w:tr w:rsidR="002C6037" w:rsidRPr="00836D55" w14:paraId="0E5115BB" w14:textId="77777777" w:rsidTr="00721F1E">
        <w:trPr>
          <w:trHeight w:val="255"/>
        </w:trPr>
        <w:tc>
          <w:tcPr>
            <w:tcW w:w="2476" w:type="dxa"/>
            <w:tcBorders>
              <w:top w:val="nil"/>
            </w:tcBorders>
            <w:shd w:val="clear" w:color="auto" w:fill="auto"/>
            <w:noWrap/>
            <w:vAlign w:val="bottom"/>
          </w:tcPr>
          <w:p w14:paraId="533708BE" w14:textId="77777777" w:rsidR="002C6037" w:rsidRPr="00836D55" w:rsidRDefault="002C6037" w:rsidP="00721F1E">
            <w:pPr>
              <w:pStyle w:val="Tabletext"/>
            </w:pPr>
            <w:r w:rsidRPr="00836D55">
              <w:t xml:space="preserve">Trades </w:t>
            </w:r>
          </w:p>
        </w:tc>
        <w:tc>
          <w:tcPr>
            <w:tcW w:w="1095" w:type="dxa"/>
            <w:tcBorders>
              <w:top w:val="nil"/>
            </w:tcBorders>
            <w:shd w:val="clear" w:color="auto" w:fill="auto"/>
            <w:noWrap/>
            <w:vAlign w:val="bottom"/>
          </w:tcPr>
          <w:p w14:paraId="0157547E" w14:textId="77777777" w:rsidR="002C6037" w:rsidRPr="00836D55" w:rsidRDefault="002C6037" w:rsidP="00721F1E">
            <w:pPr>
              <w:pStyle w:val="Tabletext"/>
              <w:ind w:left="567"/>
              <w:jc w:val="right"/>
            </w:pPr>
            <w:r w:rsidRPr="00836D55">
              <w:t>30.1</w:t>
            </w:r>
          </w:p>
        </w:tc>
      </w:tr>
      <w:tr w:rsidR="002C6037" w:rsidRPr="00836D55" w14:paraId="2FF33C6F" w14:textId="77777777" w:rsidTr="00721F1E">
        <w:trPr>
          <w:trHeight w:val="255"/>
        </w:trPr>
        <w:tc>
          <w:tcPr>
            <w:tcW w:w="2476" w:type="dxa"/>
            <w:shd w:val="clear" w:color="auto" w:fill="auto"/>
            <w:noWrap/>
            <w:vAlign w:val="bottom"/>
          </w:tcPr>
          <w:p w14:paraId="57BB6400" w14:textId="77777777" w:rsidR="002C6037" w:rsidRPr="00836D55" w:rsidRDefault="002C6037" w:rsidP="00721F1E">
            <w:pPr>
              <w:pStyle w:val="Tabletext"/>
              <w:rPr>
                <w:b/>
              </w:rPr>
            </w:pPr>
            <w:r w:rsidRPr="00836D55">
              <w:rPr>
                <w:b/>
              </w:rPr>
              <w:t xml:space="preserve">Total </w:t>
            </w:r>
          </w:p>
        </w:tc>
        <w:tc>
          <w:tcPr>
            <w:tcW w:w="1095" w:type="dxa"/>
            <w:shd w:val="clear" w:color="auto" w:fill="auto"/>
            <w:noWrap/>
            <w:vAlign w:val="bottom"/>
          </w:tcPr>
          <w:p w14:paraId="4AF83AC4" w14:textId="77777777" w:rsidR="002C6037" w:rsidRPr="00836D55" w:rsidRDefault="002C6037" w:rsidP="00721F1E">
            <w:pPr>
              <w:pStyle w:val="Tabletext"/>
              <w:jc w:val="right"/>
              <w:rPr>
                <w:b/>
              </w:rPr>
            </w:pPr>
            <w:r w:rsidRPr="00836D55">
              <w:rPr>
                <w:b/>
              </w:rPr>
              <w:t>100</w:t>
            </w:r>
            <w:r>
              <w:rPr>
                <w:b/>
              </w:rPr>
              <w:t>.0</w:t>
            </w:r>
          </w:p>
        </w:tc>
      </w:tr>
    </w:tbl>
    <w:p w14:paraId="21622FE3" w14:textId="77777777" w:rsidR="002C6037" w:rsidRPr="002623E9" w:rsidRDefault="002C6037" w:rsidP="002C6037">
      <w:pPr>
        <w:pStyle w:val="Source"/>
        <w:spacing w:after="160"/>
      </w:pPr>
      <w:r w:rsidRPr="002623E9">
        <w:t xml:space="preserve">Source: </w:t>
      </w:r>
      <w:r w:rsidRPr="00780F19">
        <w:t xml:space="preserve">Yu, </w:t>
      </w:r>
      <w:proofErr w:type="spellStart"/>
      <w:r>
        <w:t>Bretherton</w:t>
      </w:r>
      <w:proofErr w:type="spellEnd"/>
      <w:r>
        <w:t xml:space="preserve">, </w:t>
      </w:r>
      <w:proofErr w:type="spellStart"/>
      <w:r>
        <w:t>Schutz</w:t>
      </w:r>
      <w:proofErr w:type="spellEnd"/>
      <w:r>
        <w:t xml:space="preserve"> &amp; </w:t>
      </w:r>
      <w:r w:rsidRPr="00780F19">
        <w:t>Buchanan</w:t>
      </w:r>
      <w:r w:rsidR="002A4522">
        <w:t xml:space="preserve"> </w:t>
      </w:r>
      <w:r w:rsidRPr="00780F19">
        <w:t>2012</w:t>
      </w:r>
      <w:r>
        <w:t xml:space="preserve">, p. 42, </w:t>
      </w:r>
      <w:r w:rsidRPr="002623E9">
        <w:t>Table 17 Results of cluster analysis, trades and engineering</w:t>
      </w:r>
    </w:p>
    <w:p w14:paraId="4ED3EED5" w14:textId="34233194" w:rsidR="002C6037" w:rsidRDefault="002C6037" w:rsidP="002C6037">
      <w:pPr>
        <w:pStyle w:val="Text"/>
      </w:pPr>
      <w:r>
        <w:t xml:space="preserve">The team found that engineering and the trades are stable occupations tied explicitly to standards of entry and practice governed by occupational bodies. While trades workers are the biggest cluster of stable occupations, there also appeared to be those on the fringe of this </w:t>
      </w:r>
      <w:r w:rsidR="00665B31">
        <w:t xml:space="preserve">segment, transitioning into low skill manual and even non </w:t>
      </w:r>
      <w:r>
        <w:t xml:space="preserve">manual work. Pathways into professional work were available, but seemingly limited to those with experience as engineering technicians or electronics trades, or had come via extensive higher education studies (Yu, </w:t>
      </w:r>
      <w:proofErr w:type="spellStart"/>
      <w:r>
        <w:t>Bretherton</w:t>
      </w:r>
      <w:proofErr w:type="spellEnd"/>
      <w:r>
        <w:t xml:space="preserve">, </w:t>
      </w:r>
      <w:proofErr w:type="spellStart"/>
      <w:r>
        <w:t>Schutz</w:t>
      </w:r>
      <w:proofErr w:type="spellEnd"/>
      <w:r>
        <w:t xml:space="preserve"> &amp; Buchanan 2012, p.42).</w:t>
      </w:r>
    </w:p>
    <w:p w14:paraId="337E3347" w14:textId="597F5AF9" w:rsidR="002C6037" w:rsidRDefault="002C6037" w:rsidP="002C6037">
      <w:pPr>
        <w:pStyle w:val="Text"/>
      </w:pPr>
      <w:r>
        <w:t>The team also found strong</w:t>
      </w:r>
      <w:r w:rsidR="00B53405">
        <w:t>ly</w:t>
      </w:r>
      <w:r>
        <w:t xml:space="preserve"> segmented occupational markets in engineering and the trades maintained by occupational associations, regulation in some cases, and specialised education and training. This restricts horizontal mobility between occupations in different fields and vertical mobility even within the same field. However, there is considerable movement of occupations between industries. Trades workers, technicians and professional engineers work across the mining, construction, manufacturing, transport and utilities industries </w:t>
      </w:r>
      <w:r>
        <w:fldChar w:fldCharType="begin"/>
      </w:r>
      <w:r>
        <w:instrText xml:space="preserve"> ADDIN EN.CITE &lt;EndNote&gt;&lt;Cite&gt;&lt;Author&gt;Yu&lt;/Author&gt;&lt;Year&gt;2013&lt;/Year&gt;&lt;RecNum&gt;3169&lt;/RecNum&gt;&lt;Suffix&gt;`, pp. 18–19&lt;/Suffix&gt;&lt;DisplayText&gt;(Yu et al., 2013, pp. 18–19)&lt;/DisplayText&gt;&lt;record&gt;&lt;rec-number&gt;3169&lt;/rec-number&gt;&lt;foreign-keys&gt;&lt;key app="EN" db-id="vadepsw2f2aeebevffz5fzpddt9tvewsatpr" timestamp="1359516039"&gt;3169&lt;/key&gt;&lt;/foreign-keys&gt;&lt;ref-type name="Report"&gt;27&lt;/ref-type&gt;&lt;contributors&gt;&lt;authors&gt;&lt;author&gt;Yu, Serena&lt;/author&gt;&lt;author&gt;Bretherton, Tanya&lt;/author&gt;&lt;author&gt;Buchanan, John&lt;/author&gt;&lt;/authors&gt;&lt;/contributors&gt;&lt;titles&gt;&lt;title&gt;Defining vocational streams: insights from the engineering, finance, agriculture and care sectors&lt;/title&gt;&lt;/titles&gt;&lt;dates&gt;&lt;year&gt;2013&lt;/year&gt;&lt;pub-dates&gt;&lt;date&gt;26 November&lt;/date&gt;&lt;/pub-dates&gt;&lt;/dates&gt;&lt;pub-location&gt;Adelaide&lt;/pub-location&gt;&lt;publisher&gt;National Centre for Vocational Education Research&lt;/publisher&gt;&lt;label&gt;NCVER, NCVER 2010 Funding round, our reports as on the web&lt;/label&gt;&lt;urls&gt;&lt;related-urls&gt;&lt;url&gt;&amp;lt;http://www.ncver.edu.au/publications/2667.html&amp;gt; viewed 26 November 2013&lt;/url&gt;&lt;/related-urls&gt;&lt;/urls&gt;&lt;/record&gt;&lt;/Cite&gt;&lt;/EndNote&gt;</w:instrText>
      </w:r>
      <w:r>
        <w:fldChar w:fldCharType="separate"/>
      </w:r>
      <w:r>
        <w:rPr>
          <w:noProof/>
        </w:rPr>
        <w:t>(</w:t>
      </w:r>
      <w:hyperlink w:anchor="_ENREF_28" w:tooltip="Yu, 2013 #3169" w:history="1">
        <w:r w:rsidR="00B03184">
          <w:rPr>
            <w:noProof/>
          </w:rPr>
          <w:t>Yu et al. 2013, pp. 18–19</w:t>
        </w:r>
      </w:hyperlink>
      <w:r>
        <w:rPr>
          <w:noProof/>
        </w:rPr>
        <w:t>)</w:t>
      </w:r>
      <w:r>
        <w:fldChar w:fldCharType="end"/>
      </w:r>
      <w:r>
        <w:t>.</w:t>
      </w:r>
    </w:p>
    <w:p w14:paraId="0B81F2BA" w14:textId="76B3D08C" w:rsidR="002C6037" w:rsidRDefault="002C6037" w:rsidP="002C6037">
      <w:pPr>
        <w:pStyle w:val="Text"/>
      </w:pPr>
      <w:r>
        <w:t xml:space="preserve">A number of changes are occurring in the industries most related </w:t>
      </w:r>
      <w:r w:rsidR="00B53405">
        <w:t xml:space="preserve">to the work of engineering. These changes </w:t>
      </w:r>
      <w:proofErr w:type="gramStart"/>
      <w:r w:rsidR="00B53405">
        <w:t>effect</w:t>
      </w:r>
      <w:proofErr w:type="gramEnd"/>
      <w:r>
        <w:t xml:space="preserve"> the nature of quali</w:t>
      </w:r>
      <w:r w:rsidR="00B53405">
        <w:t>fications and work, not least by</w:t>
      </w:r>
      <w:r>
        <w:t xml:space="preserve"> recasting</w:t>
      </w:r>
      <w:r w:rsidR="00B53405">
        <w:t xml:space="preserve"> and creating new needs for </w:t>
      </w:r>
      <w:r w:rsidR="00572455">
        <w:t>mid-level</w:t>
      </w:r>
      <w:r>
        <w:t xml:space="preserve"> work. Manufacturing, in both absolute employment and </w:t>
      </w:r>
      <w:r w:rsidR="00024A65">
        <w:t xml:space="preserve">as </w:t>
      </w:r>
      <w:r>
        <w:t>a proportion of total national economic a</w:t>
      </w:r>
      <w:r w:rsidR="00B53405">
        <w:t xml:space="preserve">ctivity, is experiencing a long term decline in most of its sub branches </w:t>
      </w:r>
      <w:r>
        <w:t>except, with some connection to agriculture</w:t>
      </w:r>
      <w:r w:rsidR="00B53405">
        <w:t>, food and beverage manufacture</w:t>
      </w:r>
      <w:r>
        <w:t xml:space="preserve">. In particular, routine process work is increasingly being displaced by automation, which however creates new needs for skilled workers to monitor and maintain systems </w:t>
      </w:r>
      <w:r>
        <w:fldChar w:fldCharType="begin"/>
      </w:r>
      <w:r>
        <w:instrText xml:space="preserve"> ADDIN EN.CITE &lt;EndNote&gt;&lt;Cite ExcludeAuth="1"&gt;&lt;Author&gt;Australian Workforce Productivity Agency [AWPA]&lt;/Author&gt;&lt;Year&gt;2013&lt;/Year&gt;&lt;RecNum&gt;322&lt;/RecNum&gt;&lt;Prefix&gt;AWPA&lt;/Prefix&gt;&lt;DisplayText&gt;(AWPA2013b)&lt;/DisplayText&gt;&lt;record&gt;&lt;rec-number&gt;322&lt;/rec-number&gt;&lt;foreign-keys&gt;&lt;key app="EN" db-id="0xrr5a5zkrxdw5esxr55w5a79ptftt5a20fr"&gt;322&lt;/key&gt;&lt;/foreign-keys&gt;&lt;ref-type name="Report"&gt;27&lt;/ref-type&gt;&lt;contributors&gt;&lt;authors&gt;&lt;author&gt;Australian Workforce Productivity Agency [AWPA],&lt;/author&gt;&lt;/authors&gt;&lt;/contributors&gt;&lt;titles&gt;&lt;title&gt;Manufacturing workforce issues paper&lt;/title&gt;&lt;/titles&gt;&lt;dates&gt;&lt;year&gt;2013&lt;/year&gt;&lt;/dates&gt;&lt;pub-location&gt;Canberra&lt;/pub-location&gt;&lt;urls&gt;&lt;related-urls&gt;&lt;url&gt;http://www.awpa.gov.au/our-work/sector-specific-skill-needs/Manufacturing_workforce_study/Pages/default.aspx&lt;/url&gt;&lt;/related-urls&gt;&lt;/urls&gt;&lt;access-date&gt;2 November 2013&lt;/access-date&gt;&lt;/record&gt;&lt;/Cite&gt;&lt;/EndNote&gt;</w:instrText>
      </w:r>
      <w:r>
        <w:fldChar w:fldCharType="separate"/>
      </w:r>
      <w:r>
        <w:rPr>
          <w:noProof/>
        </w:rPr>
        <w:t>(</w:t>
      </w:r>
      <w:hyperlink w:anchor="_ENREF_5" w:tooltip="Australian Workforce Productivity Agency [AWPA], 2013 #322" w:history="1">
        <w:r w:rsidR="00B03184">
          <w:rPr>
            <w:noProof/>
          </w:rPr>
          <w:t>AWPA</w:t>
        </w:r>
        <w:r w:rsidR="00E629DF">
          <w:rPr>
            <w:noProof/>
          </w:rPr>
          <w:t xml:space="preserve"> </w:t>
        </w:r>
        <w:r w:rsidR="00B03184">
          <w:rPr>
            <w:noProof/>
          </w:rPr>
          <w:t>2013b</w:t>
        </w:r>
      </w:hyperlink>
      <w:r>
        <w:rPr>
          <w:noProof/>
        </w:rPr>
        <w:t>)</w:t>
      </w:r>
      <w:r>
        <w:fldChar w:fldCharType="end"/>
      </w:r>
      <w:r>
        <w:t xml:space="preserve">. </w:t>
      </w:r>
    </w:p>
    <w:p w14:paraId="13498B6F" w14:textId="6B547B79" w:rsidR="002C6037" w:rsidRDefault="002C6037" w:rsidP="002C6037">
      <w:pPr>
        <w:pStyle w:val="Text"/>
      </w:pPr>
      <w:r>
        <w:t>In a previous paper in the project we discussed how there ha</w:t>
      </w:r>
      <w:r w:rsidR="002326DC">
        <w:t>s</w:t>
      </w:r>
      <w:r>
        <w:t xml:space="preserve"> been increasin</w:t>
      </w:r>
      <w:r w:rsidR="00B53405">
        <w:t>g demand for a range of skills</w:t>
      </w:r>
      <w:r w:rsidR="00E629DF">
        <w:t>.</w:t>
      </w:r>
      <w:r w:rsidR="00B53405">
        <w:t xml:space="preserve"> This is </w:t>
      </w:r>
      <w:r>
        <w:t xml:space="preserve">exacerbating </w:t>
      </w:r>
      <w:r w:rsidR="00B53405">
        <w:t xml:space="preserve">the </w:t>
      </w:r>
      <w:r w:rsidR="002326DC">
        <w:t>limited</w:t>
      </w:r>
      <w:r>
        <w:t xml:space="preserve"> supply </w:t>
      </w:r>
      <w:r w:rsidR="00B53405">
        <w:t xml:space="preserve">of skilled workers </w:t>
      </w:r>
      <w:r>
        <w:t xml:space="preserve">due to the collapse of previous modes of education and training — cadetships, apprenticeships and graduate programs — that were formerly much more common in public utilities and some private employers </w:t>
      </w:r>
      <w:r>
        <w:fldChar w:fldCharType="begin"/>
      </w:r>
      <w:r>
        <w:instrText xml:space="preserve"> ADDIN EN.CITE &lt;EndNote&gt;&lt;Cite&gt;&lt;Author&gt;Fredman&lt;/Author&gt;&lt;Year&gt;2013&lt;/Year&gt;&lt;RecNum&gt;316&lt;/RecNum&gt;&lt;DisplayText&gt;(Fredman et al., 2013)&lt;/DisplayText&gt;&lt;record&gt;&lt;rec-number&gt;316&lt;/rec-number&gt;&lt;foreign-keys&gt;&lt;key app="EN" db-id="0xrr5a5zkrxdw5esxr55w5a79ptftt5a20fr"&gt;316&lt;/key&gt;&lt;/foreign-keys&gt;&lt;ref-type name="Report"&gt;27&lt;/ref-type&gt;&lt;contributors&gt;&lt;authors&gt;&lt;author&gt;Fredman, Nick&lt;/author&gt;&lt;author&gt;Moodie, Gavin&lt;/author&gt;&lt;author&gt;Bexley, Emmaline&lt;/author&gt;&lt;/authors&gt;&lt;/contributors&gt;&lt;titles&gt;&lt;title&gt;Vocational education’s variable links to vocations — support document&lt;/title&gt;&lt;/titles&gt;&lt;dates&gt;&lt;year&gt;2013&lt;/year&gt;&lt;/dates&gt;&lt;pub-location&gt;Adelaide&lt;/pub-location&gt;&lt;publisher&gt;National Centre for Vocational Education Research&lt;/publisher&gt;&lt;urls&gt;&lt;related-urls&gt;&lt;url&gt;http://www.ncver.edu.au/publicatons/2689.html&lt;/url&gt;&lt;/related-urls&gt;&lt;/urls&gt;&lt;/record&gt;&lt;/Cite&gt;&lt;/EndNote&gt;</w:instrText>
      </w:r>
      <w:r>
        <w:fldChar w:fldCharType="separate"/>
      </w:r>
      <w:r>
        <w:rPr>
          <w:noProof/>
        </w:rPr>
        <w:t>(</w:t>
      </w:r>
      <w:hyperlink w:anchor="_ENREF_10" w:tooltip="Fredman, 2013 #316" w:history="1">
        <w:r w:rsidR="00B03184">
          <w:rPr>
            <w:noProof/>
          </w:rPr>
          <w:t>Fredman et al. 2013</w:t>
        </w:r>
      </w:hyperlink>
      <w:r>
        <w:rPr>
          <w:noProof/>
        </w:rPr>
        <w:t>)</w:t>
      </w:r>
      <w:r>
        <w:fldChar w:fldCharType="end"/>
      </w:r>
      <w:r>
        <w:t xml:space="preserve">. Several of our stage three participants highlighted this issue. The civil and construction sector participant saw this as a problem exacerbated by the short-term nature of projects within those branches of engineering. </w:t>
      </w:r>
    </w:p>
    <w:p w14:paraId="0776EE34" w14:textId="77777777" w:rsidR="002C6037" w:rsidRDefault="002C6037" w:rsidP="002C6037">
      <w:pPr>
        <w:pStyle w:val="Quote"/>
      </w:pPr>
      <w:r>
        <w:t xml:space="preserve">We used to talk about an engineering skills </w:t>
      </w:r>
      <w:proofErr w:type="gramStart"/>
      <w:r>
        <w:t>shortage,</w:t>
      </w:r>
      <w:proofErr w:type="gramEnd"/>
      <w:r>
        <w:t xml:space="preserve"> we don't anymore because they've all getting fired within the past year. I do believe there is still a systemic problem with the supply of the </w:t>
      </w:r>
      <w:r>
        <w:lastRenderedPageBreak/>
        <w:t xml:space="preserve">engineering workforce. We think a lot of that stems from the privatisation of public utility organisations and other government departments and agencies that really acted as the breeding grounds for engineers but then go to the private sector. That doesn’t exist </w:t>
      </w:r>
      <w:proofErr w:type="gramStart"/>
      <w:r>
        <w:t>anymore,</w:t>
      </w:r>
      <w:proofErr w:type="gramEnd"/>
      <w:r>
        <w:t xml:space="preserve"> it's now the private sector that’s responsible for that training. The private sector in our view understands this and takes it on — is fine with that idea, but we don't think that clients understand or respect the cost of doing that. So the jobs that they win don't really have enough </w:t>
      </w:r>
      <w:proofErr w:type="gramStart"/>
      <w:r>
        <w:t>margin</w:t>
      </w:r>
      <w:proofErr w:type="gramEnd"/>
      <w:r>
        <w:t xml:space="preserve"> to invest an awful lot of it back into training.</w:t>
      </w:r>
      <w:r>
        <w:tab/>
        <w:t>(Consult Australia)</w:t>
      </w:r>
    </w:p>
    <w:p w14:paraId="789D024D" w14:textId="77777777" w:rsidR="002C6037" w:rsidRDefault="002C6037" w:rsidP="002C6037">
      <w:pPr>
        <w:pStyle w:val="Text"/>
      </w:pPr>
      <w:r>
        <w:t xml:space="preserve">The engineering dean </w:t>
      </w:r>
      <w:r w:rsidR="002326DC">
        <w:t xml:space="preserve">thought </w:t>
      </w:r>
      <w:r>
        <w:t>qualifications were being used as a substitute for the decline in these previous modes, and that this allowed employers to abrogate their responsibilities.</w:t>
      </w:r>
    </w:p>
    <w:p w14:paraId="3A6E33C4" w14:textId="77777777" w:rsidR="002C6037" w:rsidRDefault="002C6037" w:rsidP="002C6037">
      <w:pPr>
        <w:pStyle w:val="Quote"/>
      </w:pPr>
      <w:r w:rsidRPr="00510B11">
        <w:t>The unfortunate thing is that industry has moved away from offering training on the job</w:t>
      </w:r>
      <w:r>
        <w:t>. They'd get somebody as an a</w:t>
      </w:r>
      <w:r w:rsidRPr="00A415C3">
        <w:t>pprentice with almost no skills knowing that this person nee</w:t>
      </w:r>
      <w:r>
        <w:t>ds a bit of monitoring and hand-</w:t>
      </w:r>
      <w:r w:rsidRPr="00A415C3">
        <w:t xml:space="preserve">holding. They were also offering a lot of engineering graduate opportunities and again giving these graduates the chance to see a whole spectrum within that engineering workforce </w:t>
      </w:r>
      <w:r>
        <w:t>…</w:t>
      </w:r>
      <w:r w:rsidRPr="00A415C3">
        <w:t xml:space="preserve"> So it's a very selfish attitude of the industry that wants everything for very little and want everything now, they don't want to invest. And now they're looking at -- we don't want to train anybody who has Diplomas or Certificate IV – we’re not going to invest much in them, we want the universities to bring the next level up. That’s the role of the industry.</w:t>
      </w:r>
    </w:p>
    <w:p w14:paraId="30C4C058" w14:textId="71E438EB" w:rsidR="002C6037" w:rsidRDefault="002C6037" w:rsidP="002C6037">
      <w:pPr>
        <w:pStyle w:val="Text"/>
      </w:pPr>
      <w:r>
        <w:t xml:space="preserve">Current trends in enrolments in qualifications </w:t>
      </w:r>
      <w:r w:rsidR="002326DC">
        <w:t>in engineering</w:t>
      </w:r>
      <w:r>
        <w:t xml:space="preserve"> can be seen </w:t>
      </w:r>
      <w:r w:rsidR="002326DC">
        <w:t xml:space="preserve">in </w:t>
      </w:r>
      <w:r>
        <w:t xml:space="preserve">Figure </w:t>
      </w:r>
      <w:r w:rsidR="00024A65">
        <w:t>4</w:t>
      </w:r>
      <w:r>
        <w:t xml:space="preserve"> </w:t>
      </w:r>
      <w:r w:rsidR="002326DC">
        <w:t xml:space="preserve">which </w:t>
      </w:r>
      <w:r>
        <w:t>summarises this data for the broad field of education of engineering and related</w:t>
      </w:r>
      <w:r w:rsidR="00024A65">
        <w:t xml:space="preserve"> studies</w:t>
      </w:r>
      <w:r>
        <w:t>. We see strong growth in bachelor degree enrolments from 2005. This appear</w:t>
      </w:r>
      <w:r w:rsidR="00337D2E">
        <w:t>s at least partly driven by increased enrolments of international</w:t>
      </w:r>
      <w:r>
        <w:t xml:space="preserve"> stude</w:t>
      </w:r>
      <w:r w:rsidR="00337D2E">
        <w:t>nts, who increased from 22% of total load in 2002 to 29% of total</w:t>
      </w:r>
      <w:r>
        <w:t xml:space="preserve"> load in 2012. Advanced diploma load has fallen somewhat overall, while an inc</w:t>
      </w:r>
      <w:r w:rsidR="00446DB7">
        <w:t xml:space="preserve">rease in diploma load from 2002 to </w:t>
      </w:r>
      <w:r>
        <w:t xml:space="preserve">2009 has reversed somewhat more recently. </w:t>
      </w:r>
      <w:r w:rsidR="00446DB7">
        <w:t xml:space="preserve">Associate degrees increased almost fivefold from a small base of 197 in 2002 </w:t>
      </w:r>
      <w:r w:rsidR="00C96827">
        <w:t xml:space="preserve">to 799 in 2009. </w:t>
      </w:r>
      <w:r>
        <w:t>It is not clear whether th</w:t>
      </w:r>
      <w:r w:rsidR="00C96827">
        <w:t>is strong growth in associate degrees has continued</w:t>
      </w:r>
      <w:r w:rsidR="00C34199">
        <w:t xml:space="preserve"> as the data are</w:t>
      </w:r>
      <w:r>
        <w:t xml:space="preserve"> no longer readily available. Associate degrees both have the clearest articulation pathway and the better recognition by Engineers Australia as </w:t>
      </w:r>
      <w:r w:rsidR="00C34199">
        <w:t xml:space="preserve">a preparation for </w:t>
      </w:r>
      <w:r w:rsidR="00572455">
        <w:t>mid-level</w:t>
      </w:r>
      <w:r>
        <w:t xml:space="preserve"> work, as noted below. </w:t>
      </w:r>
    </w:p>
    <w:p w14:paraId="0713B728" w14:textId="77777777" w:rsidR="000F39EA" w:rsidRDefault="000F39EA" w:rsidP="002C6037">
      <w:pPr>
        <w:pStyle w:val="Text"/>
      </w:pPr>
    </w:p>
    <w:p w14:paraId="1A661C13" w14:textId="77777777" w:rsidR="000F39EA" w:rsidRDefault="000F39EA" w:rsidP="002C6037">
      <w:pPr>
        <w:pStyle w:val="Text"/>
      </w:pPr>
    </w:p>
    <w:p w14:paraId="5A4FD4A0" w14:textId="77777777" w:rsidR="000F39EA" w:rsidRDefault="000F39EA" w:rsidP="002C6037">
      <w:pPr>
        <w:pStyle w:val="Text"/>
      </w:pPr>
    </w:p>
    <w:p w14:paraId="439CE228" w14:textId="77777777" w:rsidR="000F39EA" w:rsidRDefault="000F39EA" w:rsidP="002C6037">
      <w:pPr>
        <w:pStyle w:val="Text"/>
      </w:pPr>
    </w:p>
    <w:p w14:paraId="749CDED0" w14:textId="77777777" w:rsidR="000F39EA" w:rsidRDefault="000F39EA" w:rsidP="002C6037">
      <w:pPr>
        <w:pStyle w:val="Text"/>
      </w:pPr>
    </w:p>
    <w:p w14:paraId="411CB9F0" w14:textId="77777777" w:rsidR="000F39EA" w:rsidRDefault="000F39EA" w:rsidP="002C6037">
      <w:pPr>
        <w:pStyle w:val="Text"/>
      </w:pPr>
    </w:p>
    <w:p w14:paraId="06160714" w14:textId="77777777" w:rsidR="000F39EA" w:rsidRDefault="000F39EA" w:rsidP="002C6037">
      <w:pPr>
        <w:pStyle w:val="Text"/>
      </w:pPr>
    </w:p>
    <w:p w14:paraId="161A4A68" w14:textId="77777777" w:rsidR="000F39EA" w:rsidRDefault="000F39EA" w:rsidP="002C6037">
      <w:pPr>
        <w:pStyle w:val="Text"/>
      </w:pPr>
    </w:p>
    <w:p w14:paraId="552FF44A" w14:textId="77777777" w:rsidR="00C34199" w:rsidRDefault="00C34199" w:rsidP="002C6037">
      <w:pPr>
        <w:pStyle w:val="Text"/>
      </w:pPr>
    </w:p>
    <w:p w14:paraId="2BBB8DD4" w14:textId="77777777" w:rsidR="00C34199" w:rsidRDefault="00C34199" w:rsidP="002C6037">
      <w:pPr>
        <w:pStyle w:val="Text"/>
      </w:pPr>
    </w:p>
    <w:p w14:paraId="09A53DD8" w14:textId="77777777" w:rsidR="000F39EA" w:rsidRDefault="000F39EA" w:rsidP="002C6037">
      <w:pPr>
        <w:pStyle w:val="Text"/>
      </w:pPr>
    </w:p>
    <w:p w14:paraId="23423494" w14:textId="77777777" w:rsidR="000F39EA" w:rsidRDefault="000F39EA" w:rsidP="002C6037">
      <w:pPr>
        <w:pStyle w:val="Text"/>
      </w:pPr>
    </w:p>
    <w:p w14:paraId="3DE7D294" w14:textId="77777777" w:rsidR="000F39EA" w:rsidRDefault="000F39EA" w:rsidP="002C6037">
      <w:pPr>
        <w:pStyle w:val="Text"/>
      </w:pPr>
    </w:p>
    <w:p w14:paraId="0186562E" w14:textId="77777777" w:rsidR="002C6037" w:rsidRDefault="002C6037" w:rsidP="002C6037">
      <w:pPr>
        <w:pStyle w:val="Figuretitle"/>
      </w:pPr>
      <w:bookmarkStart w:id="67" w:name="_Toc248818139"/>
      <w:bookmarkStart w:id="68" w:name="_Toc257836792"/>
      <w:r>
        <w:t xml:space="preserve">Figure </w:t>
      </w:r>
      <w:r w:rsidR="00024A65">
        <w:t>4</w:t>
      </w:r>
      <w:r>
        <w:tab/>
        <w:t>Full-time equivalent load in AQF 5–7 programs in engineering, 2002–2012</w:t>
      </w:r>
      <w:bookmarkEnd w:id="67"/>
      <w:bookmarkEnd w:id="68"/>
    </w:p>
    <w:p w14:paraId="19A4D118" w14:textId="77777777" w:rsidR="002C6037" w:rsidRDefault="002C6037" w:rsidP="002C6037">
      <w:pPr>
        <w:pStyle w:val="Text"/>
        <w:spacing w:line="240" w:lineRule="auto"/>
        <w:ind w:right="0"/>
      </w:pPr>
      <w:r>
        <w:rPr>
          <w:noProof/>
          <w:lang w:eastAsia="en-AU"/>
        </w:rPr>
        <w:drawing>
          <wp:inline distT="0" distB="0" distL="0" distR="0" wp14:anchorId="7D3F0E2F" wp14:editId="77101549">
            <wp:extent cx="5580380" cy="3344545"/>
            <wp:effectExtent l="0" t="0" r="7620" b="825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0380" cy="3344545"/>
                    </a:xfrm>
                    <a:prstGeom prst="rect">
                      <a:avLst/>
                    </a:prstGeom>
                    <a:noFill/>
                    <a:ln>
                      <a:noFill/>
                    </a:ln>
                  </pic:spPr>
                </pic:pic>
              </a:graphicData>
            </a:graphic>
          </wp:inline>
        </w:drawing>
      </w:r>
    </w:p>
    <w:p w14:paraId="62F649E7" w14:textId="77777777" w:rsidR="002C6037" w:rsidRDefault="002C6037" w:rsidP="002C6037">
      <w:pPr>
        <w:pStyle w:val="Source"/>
      </w:pPr>
      <w:r>
        <w:t>Note:</w:t>
      </w:r>
      <w:r>
        <w:tab/>
        <w:t xml:space="preserve">Data on higher education associate degree load only available until 2009. </w:t>
      </w:r>
    </w:p>
    <w:p w14:paraId="1D7E1380" w14:textId="77777777" w:rsidR="002C6037" w:rsidRDefault="002C6037" w:rsidP="002C6037">
      <w:pPr>
        <w:pStyle w:val="Source"/>
      </w:pPr>
      <w:r>
        <w:t>Source:</w:t>
      </w:r>
      <w:r>
        <w:tab/>
      </w:r>
      <w:r w:rsidRPr="00772E52">
        <w:t>VOCSTATS (</w:t>
      </w:r>
      <w:hyperlink r:id="rId26" w:history="1">
        <w:r w:rsidRPr="00E22016">
          <w:t>www.ncver.edu.au/resources/vocstats/intro.html</w:t>
        </w:r>
      </w:hyperlink>
      <w:r w:rsidRPr="00772E52">
        <w:t>)</w:t>
      </w:r>
      <w:r>
        <w:t xml:space="preserve"> extracted on 1/10/2013; and DIISRTE (2013</w:t>
      </w:r>
      <w:r w:rsidRPr="00893D5C">
        <w:t xml:space="preserve">) </w:t>
      </w:r>
      <w:r w:rsidRPr="00980B2E">
        <w:t>Table 4.1: actual student Load (EFTSL) for all students by State, higher education provider and broad level of course, full year 2011</w:t>
      </w:r>
      <w:r>
        <w:t xml:space="preserve"> and corresponding tables from previous years.</w:t>
      </w:r>
    </w:p>
    <w:p w14:paraId="08BED8F0" w14:textId="7D9D631F" w:rsidR="002C6037" w:rsidRDefault="00C34199" w:rsidP="002C6037">
      <w:pPr>
        <w:pStyle w:val="Text"/>
      </w:pPr>
      <w:r>
        <w:t>T</w:t>
      </w:r>
      <w:r w:rsidR="002C6037">
        <w:t xml:space="preserve">he decline in previous modes of education and training </w:t>
      </w:r>
      <w:r>
        <w:t xml:space="preserve">was compounded by an expansion of mining, leading to specific skills shortages noted in </w:t>
      </w:r>
      <w:r w:rsidR="002C6037">
        <w:t xml:space="preserve">a number of reports, most recently </w:t>
      </w:r>
      <w:r w:rsidR="002C6037">
        <w:fldChar w:fldCharType="begin"/>
      </w:r>
      <w:r w:rsidR="002C6037">
        <w:instrText xml:space="preserve"> ADDIN EN.CITE &lt;EndNote&gt;&lt;Cite ExcludeAuth="1"&gt;&lt;Author&gt;Australian Workforce Productivity Agency [AWPA]&lt;/Author&gt;&lt;Year&gt;2012&lt;/Year&gt;&lt;RecNum&gt;323&lt;/RecNum&gt;&lt;Prefix&gt;AWPA&lt;/Prefix&gt;&lt;DisplayText&gt;(AWPA2012)&lt;/DisplayText&gt;&lt;record&gt;&lt;rec-number&gt;323&lt;/rec-number&gt;&lt;foreign-keys&gt;&lt;key app="EN" db-id="0xrr5a5zkrxdw5esxr55w5a79ptftt5a20fr"&gt;323&lt;/key&gt;&lt;/foreign-keys&gt;&lt;ref-type name="Report"&gt;27&lt;/ref-type&gt;&lt;contributors&gt;&lt;authors&gt;&lt;author&gt;Australian Workforce Productivity Agency [AWPA],&lt;/author&gt;&lt;/authors&gt;&lt;/contributors&gt;&lt;titles&gt;&lt;title&gt;Resource sector skills needs&lt;/title&gt;&lt;/titles&gt;&lt;dates&gt;&lt;year&gt;2012&lt;/year&gt;&lt;/dates&gt;&lt;pub-location&gt;Canberra&lt;/pub-location&gt;&lt;urls&gt;&lt;related-urls&gt;&lt;url&gt;http://www.awpa.gov.au/our-work/sector-specific-skill-needs/resource-sector-skills/Pages/default.aspx&lt;/url&gt;&lt;/related-urls&gt;&lt;/urls&gt;&lt;access-date&gt;2 November 2013&lt;/access-date&gt;&lt;/record&gt;&lt;/Cite&gt;&lt;/EndNote&gt;</w:instrText>
      </w:r>
      <w:r w:rsidR="002C6037">
        <w:fldChar w:fldCharType="separate"/>
      </w:r>
      <w:r w:rsidR="002C6037">
        <w:rPr>
          <w:noProof/>
        </w:rPr>
        <w:t>(</w:t>
      </w:r>
      <w:hyperlink w:anchor="_ENREF_3" w:tooltip="Australian Workforce Productivity Agency [AWPA], 2012 #323" w:history="1">
        <w:r w:rsidR="00B03184">
          <w:rPr>
            <w:noProof/>
          </w:rPr>
          <w:t>AWPA</w:t>
        </w:r>
        <w:r w:rsidR="00E629DF">
          <w:rPr>
            <w:noProof/>
          </w:rPr>
          <w:t xml:space="preserve"> </w:t>
        </w:r>
        <w:r w:rsidR="00B03184">
          <w:rPr>
            <w:noProof/>
          </w:rPr>
          <w:t>2012</w:t>
        </w:r>
      </w:hyperlink>
      <w:r w:rsidR="002C6037">
        <w:rPr>
          <w:noProof/>
        </w:rPr>
        <w:t>)</w:t>
      </w:r>
      <w:r w:rsidR="002C6037">
        <w:fldChar w:fldCharType="end"/>
      </w:r>
      <w:r w:rsidR="002C6037">
        <w:t xml:space="preserve">. </w:t>
      </w:r>
      <w:r w:rsidR="00543466">
        <w:t>However, more</w:t>
      </w:r>
      <w:r w:rsidR="002C6037">
        <w:t xml:space="preserve"> recent data on the engineering workforce </w:t>
      </w:r>
      <w:r w:rsidR="002C6037">
        <w:fldChar w:fldCharType="begin"/>
      </w:r>
      <w:r w:rsidR="002C6037">
        <w:instrText xml:space="preserve"> ADDIN EN.CITE &lt;EndNote&gt;&lt;Cite&gt;&lt;Author&gt;Engineers Australia&lt;/Author&gt;&lt;Year&gt;2013&lt;/Year&gt;&lt;RecNum&gt;321&lt;/RecNum&gt;&lt;DisplayText&gt;(Engineers Australia, 2013)&lt;/DisplayText&gt;&lt;record&gt;&lt;rec-number&gt;321&lt;/rec-number&gt;&lt;foreign-keys&gt;&lt;key app="EN" db-id="0xrr5a5zkrxdw5esxr55w5a79ptftt5a20fr"&gt;321&lt;/key&gt;&lt;/foreign-keys&gt;&lt;ref-type name="Report"&gt;27&lt;/ref-type&gt;&lt;contributors&gt;&lt;authors&gt;&lt;author&gt;Engineers Australia,&lt;/author&gt;&lt;/authors&gt;&lt;/contributors&gt;&lt;titles&gt;&lt;title&gt;The engineering profession: A statistical overview&lt;/title&gt;&lt;/titles&gt;&lt;dates&gt;&lt;year&gt;2013&lt;/year&gt;&lt;/dates&gt;&lt;pub-location&gt;Canberra&lt;/pub-location&gt;&lt;urls&gt;&lt;related-urls&gt;&lt;url&gt;https://www.engineersaustralia.org.au/sites/default/files/shado/Representation/Stats/2013_statistical_overview_australia.pdf&lt;/url&gt;&lt;/related-urls&gt;&lt;/urls&gt;&lt;access-date&gt;2 November 2013&lt;/access-date&gt;&lt;/record&gt;&lt;/Cite&gt;&lt;/EndNote&gt;</w:instrText>
      </w:r>
      <w:r w:rsidR="002C6037">
        <w:fldChar w:fldCharType="separate"/>
      </w:r>
      <w:r w:rsidR="002C6037">
        <w:rPr>
          <w:noProof/>
        </w:rPr>
        <w:t>(</w:t>
      </w:r>
      <w:hyperlink w:anchor="_ENREF_7" w:tooltip="Engineers Australia, 2013 #321" w:history="1">
        <w:r w:rsidR="00B03184">
          <w:rPr>
            <w:noProof/>
          </w:rPr>
          <w:t>Engineers Australia 2013</w:t>
        </w:r>
      </w:hyperlink>
      <w:r w:rsidR="002C6037">
        <w:rPr>
          <w:noProof/>
        </w:rPr>
        <w:t>)</w:t>
      </w:r>
      <w:r w:rsidR="002C6037">
        <w:fldChar w:fldCharType="end"/>
      </w:r>
      <w:r w:rsidR="002C6037">
        <w:t xml:space="preserve"> suggests that </w:t>
      </w:r>
      <w:r w:rsidR="00047CE0">
        <w:t>the ‘skills shortage’ in engineering is less of an issue than when the project previously discussed the drivers for a change in approach to engineering qualifications (</w:t>
      </w:r>
      <w:proofErr w:type="spellStart"/>
      <w:r w:rsidR="00047CE0">
        <w:t>Fredman</w:t>
      </w:r>
      <w:proofErr w:type="spellEnd"/>
      <w:r w:rsidR="00047CE0">
        <w:t xml:space="preserve"> et al. 2013). Engineers Australia’s (2013) data show a lower proportion of qualified engineers are working in engineering occupations and </w:t>
      </w:r>
      <w:r w:rsidR="00543466">
        <w:t xml:space="preserve">that </w:t>
      </w:r>
      <w:r w:rsidR="00047CE0">
        <w:t xml:space="preserve">a lower proportion of employers report difficulties in filling positions. </w:t>
      </w:r>
      <w:r w:rsidR="002C6037">
        <w:t>The discussion here howe</w:t>
      </w:r>
      <w:r w:rsidR="00543466">
        <w:t>ver suggests that</w:t>
      </w:r>
      <w:r w:rsidR="002C6037">
        <w:t xml:space="preserve"> </w:t>
      </w:r>
      <w:r w:rsidR="00E629DF">
        <w:t xml:space="preserve">there </w:t>
      </w:r>
      <w:r w:rsidR="002C6037">
        <w:t>are</w:t>
      </w:r>
      <w:r w:rsidR="00543466">
        <w:t xml:space="preserve"> still</w:t>
      </w:r>
      <w:r w:rsidR="002C6037">
        <w:t xml:space="preserve"> new needs for knowledge and skills and </w:t>
      </w:r>
      <w:proofErr w:type="gramStart"/>
      <w:r w:rsidR="00047CE0">
        <w:t>that previous modes</w:t>
      </w:r>
      <w:proofErr w:type="gramEnd"/>
      <w:r w:rsidR="002C6037">
        <w:t xml:space="preserve"> of education and training still need to be replaced. </w:t>
      </w:r>
    </w:p>
    <w:p w14:paraId="1C9534F3" w14:textId="77777777" w:rsidR="002C6037" w:rsidRDefault="002C6037" w:rsidP="002C6037">
      <w:pPr>
        <w:pStyle w:val="Heading2"/>
      </w:pPr>
      <w:bookmarkStart w:id="69" w:name="_Toc248492895"/>
      <w:bookmarkStart w:id="70" w:name="_Toc257836756"/>
      <w:r>
        <w:t>Purposes of qualifications</w:t>
      </w:r>
      <w:bookmarkEnd w:id="69"/>
      <w:bookmarkEnd w:id="70"/>
    </w:p>
    <w:p w14:paraId="231D05E0" w14:textId="54339957" w:rsidR="002C6037" w:rsidRDefault="002C6037" w:rsidP="002C6037">
      <w:pPr>
        <w:pStyle w:val="Text"/>
      </w:pPr>
      <w:r>
        <w:t xml:space="preserve">This section </w:t>
      </w:r>
      <w:r w:rsidR="00EC5391">
        <w:t>draws on data on employment and further</w:t>
      </w:r>
      <w:r w:rsidR="00B24D35">
        <w:t xml:space="preserve"> study</w:t>
      </w:r>
      <w:r w:rsidR="00EC5391">
        <w:rPr>
          <w:b/>
        </w:rPr>
        <w:t xml:space="preserve"> </w:t>
      </w:r>
      <w:r w:rsidR="00EC5391">
        <w:t xml:space="preserve">outcomes from qualifications and interviewees’ perspectives to explore an </w:t>
      </w:r>
      <w:r>
        <w:t>appropri</w:t>
      </w:r>
      <w:r w:rsidR="0005355E">
        <w:t xml:space="preserve">ate balance of purposes for </w:t>
      </w:r>
      <w:r w:rsidR="00572455">
        <w:t>mid-level</w:t>
      </w:r>
      <w:r>
        <w:t xml:space="preserve"> qualifications in engineering</w:t>
      </w:r>
      <w:r w:rsidR="00024A65">
        <w:t xml:space="preserve"> between</w:t>
      </w:r>
      <w:r>
        <w:t xml:space="preserve"> labour market entry and progression, educational progression and widening access to qualifications.</w:t>
      </w:r>
    </w:p>
    <w:p w14:paraId="2B7733AC" w14:textId="276A56AE" w:rsidR="002C6037" w:rsidRDefault="002C6037" w:rsidP="002C6037">
      <w:pPr>
        <w:pStyle w:val="Heading3"/>
      </w:pPr>
      <w:r>
        <w:t>Contradictions in work and educati</w:t>
      </w:r>
      <w:r w:rsidR="0005355E">
        <w:t xml:space="preserve">onal purposes in </w:t>
      </w:r>
      <w:r w:rsidR="00572455">
        <w:t>mid-level</w:t>
      </w:r>
      <w:r>
        <w:t xml:space="preserve"> engineering qualifications</w:t>
      </w:r>
    </w:p>
    <w:p w14:paraId="17062A66" w14:textId="19F09280" w:rsidR="002C6037" w:rsidRDefault="002C6037" w:rsidP="002C6037">
      <w:pPr>
        <w:pStyle w:val="Text"/>
      </w:pPr>
      <w:r>
        <w:t xml:space="preserve">Throughout the project we </w:t>
      </w:r>
      <w:r w:rsidR="00EC5391">
        <w:t xml:space="preserve">found </w:t>
      </w:r>
      <w:r>
        <w:t>contradictory indications of a</w:t>
      </w:r>
      <w:r w:rsidR="0005355E">
        <w:t xml:space="preserve">nd views on the purposes of </w:t>
      </w:r>
      <w:r w:rsidR="00572455">
        <w:t>mid-level</w:t>
      </w:r>
      <w:r>
        <w:t xml:space="preserve"> qualifications in engineering </w:t>
      </w:r>
      <w:r w:rsidR="00EC5391">
        <w:t xml:space="preserve">which, as noted above, is </w:t>
      </w:r>
      <w:r>
        <w:t>an area with highly structured segmentation between trades and professional roles. Employment outcomes of qualifications at all levels are good but varied, while there ar</w:t>
      </w:r>
      <w:r w:rsidR="0005355E">
        <w:t>e indications of generally poor</w:t>
      </w:r>
      <w:r>
        <w:t xml:space="preserve"> and worsening pathways from engineering </w:t>
      </w:r>
      <w:r>
        <w:lastRenderedPageBreak/>
        <w:t>study</w:t>
      </w:r>
      <w:r w:rsidR="0005355E">
        <w:t xml:space="preserve"> to engineering work at the </w:t>
      </w:r>
      <w:r w:rsidR="00572455">
        <w:t>mid-level</w:t>
      </w:r>
      <w:r>
        <w:t xml:space="preserve">. Table </w:t>
      </w:r>
      <w:r w:rsidR="00024A65" w:rsidRPr="00E629DF">
        <w:t>11</w:t>
      </w:r>
      <w:r w:rsidR="000B3876">
        <w:t xml:space="preserve"> shows</w:t>
      </w:r>
      <w:r>
        <w:t xml:space="preserve"> that engineering graduates of vocational diplomas or higher in 2012 had strong employment outcomes, with 86.6% of graduates employed after training. However, employment rates of engineering graduates of diplomas and above differed somewhat by narrow field of education, with vocational diploma or higher graduates in process and resource engineering having an employment rate </w:t>
      </w:r>
      <w:r w:rsidR="0005355E">
        <w:t xml:space="preserve">(88.9%) higher than </w:t>
      </w:r>
      <w:r w:rsidRPr="00E303DE">
        <w:t>the rate for graduates in electrical and electronic engineering and technology (85.7%).</w:t>
      </w:r>
      <w:r>
        <w:t xml:space="preserve"> </w:t>
      </w:r>
    </w:p>
    <w:p w14:paraId="62954785" w14:textId="77777777" w:rsidR="002C6037" w:rsidRDefault="002C6037" w:rsidP="002C6037">
      <w:pPr>
        <w:pStyle w:val="tabletitle"/>
      </w:pPr>
      <w:bookmarkStart w:id="71" w:name="_Toc248818133"/>
      <w:bookmarkStart w:id="72" w:name="_Toc257836874"/>
      <w:r w:rsidRPr="000A452E">
        <w:t xml:space="preserve">Table </w:t>
      </w:r>
      <w:r w:rsidR="00024A65">
        <w:t>11</w:t>
      </w:r>
      <w:r w:rsidRPr="000A452E">
        <w:tab/>
        <w:t xml:space="preserve">Percentage of graduates in employment six months after training, by level of qualification in the broad field of education of engineering and related technologies and selected </w:t>
      </w:r>
      <w:r>
        <w:t>narrow fields of education, 2012</w:t>
      </w:r>
      <w:bookmarkEnd w:id="71"/>
      <w:bookmarkEnd w:id="72"/>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2C6037" w:rsidRPr="00354810" w14:paraId="7B7D8FB1" w14:textId="77777777" w:rsidTr="00721F1E">
        <w:trPr>
          <w:trHeight w:val="255"/>
          <w:tblHeader/>
        </w:trPr>
        <w:tc>
          <w:tcPr>
            <w:tcW w:w="2876" w:type="dxa"/>
            <w:tcBorders>
              <w:top w:val="single" w:sz="4" w:space="0" w:color="auto"/>
              <w:bottom w:val="nil"/>
            </w:tcBorders>
            <w:shd w:val="clear" w:color="auto" w:fill="auto"/>
            <w:vAlign w:val="center"/>
          </w:tcPr>
          <w:p w14:paraId="13E5A990" w14:textId="77777777" w:rsidR="002C6037" w:rsidRPr="00354810" w:rsidRDefault="002C6037" w:rsidP="00721F1E">
            <w:pPr>
              <w:pStyle w:val="Tablehead1"/>
            </w:pPr>
            <w:r w:rsidRPr="00354810">
              <w:t>Field of education</w:t>
            </w:r>
          </w:p>
        </w:tc>
        <w:tc>
          <w:tcPr>
            <w:tcW w:w="860" w:type="dxa"/>
            <w:tcBorders>
              <w:top w:val="single" w:sz="4" w:space="0" w:color="auto"/>
              <w:bottom w:val="nil"/>
            </w:tcBorders>
            <w:vAlign w:val="center"/>
          </w:tcPr>
          <w:p w14:paraId="6CA6B088" w14:textId="77777777" w:rsidR="002C6037" w:rsidRPr="00354810" w:rsidRDefault="002C6037" w:rsidP="00721F1E">
            <w:pPr>
              <w:pStyle w:val="Tablehead1"/>
              <w:jc w:val="right"/>
              <w:rPr>
                <w:bCs/>
              </w:rPr>
            </w:pPr>
            <w:r w:rsidRPr="00354810">
              <w:rPr>
                <w:bCs/>
              </w:rPr>
              <w:t>Cert I</w:t>
            </w:r>
          </w:p>
        </w:tc>
        <w:tc>
          <w:tcPr>
            <w:tcW w:w="861" w:type="dxa"/>
            <w:tcBorders>
              <w:top w:val="single" w:sz="4" w:space="0" w:color="auto"/>
              <w:bottom w:val="nil"/>
            </w:tcBorders>
            <w:vAlign w:val="center"/>
          </w:tcPr>
          <w:p w14:paraId="51CF4C96" w14:textId="77777777" w:rsidR="002C6037" w:rsidRPr="00354810" w:rsidRDefault="002C6037" w:rsidP="00721F1E">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18BA0803" w14:textId="77777777" w:rsidR="002C6037" w:rsidRPr="00354810" w:rsidRDefault="002C6037" w:rsidP="00721F1E">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33D215AF" w14:textId="77777777" w:rsidR="002C6037" w:rsidRPr="00354810" w:rsidRDefault="002C6037" w:rsidP="00721F1E">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1D96B610" w14:textId="77777777" w:rsidR="002C6037" w:rsidRPr="00354810" w:rsidRDefault="002C6037" w:rsidP="00721F1E">
            <w:pPr>
              <w:pStyle w:val="Tablehead1"/>
              <w:jc w:val="right"/>
              <w:rPr>
                <w:bCs/>
              </w:rPr>
            </w:pPr>
            <w:r>
              <w:rPr>
                <w:bCs/>
              </w:rPr>
              <w:t>Dips or higher</w:t>
            </w:r>
          </w:p>
        </w:tc>
        <w:tc>
          <w:tcPr>
            <w:tcW w:w="861" w:type="dxa"/>
            <w:tcBorders>
              <w:top w:val="single" w:sz="4" w:space="0" w:color="auto"/>
              <w:bottom w:val="nil"/>
            </w:tcBorders>
            <w:vAlign w:val="center"/>
          </w:tcPr>
          <w:p w14:paraId="39D35556" w14:textId="77777777" w:rsidR="002C6037" w:rsidRPr="00354810" w:rsidRDefault="002C6037" w:rsidP="00721F1E">
            <w:pPr>
              <w:pStyle w:val="Tablehead1"/>
              <w:jc w:val="right"/>
              <w:rPr>
                <w:bCs/>
              </w:rPr>
            </w:pPr>
            <w:r w:rsidRPr="00354810">
              <w:rPr>
                <w:bCs/>
              </w:rPr>
              <w:t>All levels</w:t>
            </w:r>
          </w:p>
        </w:tc>
      </w:tr>
      <w:tr w:rsidR="002C6037" w:rsidRPr="00354810" w14:paraId="4639EEA1" w14:textId="77777777" w:rsidTr="00721F1E">
        <w:trPr>
          <w:trHeight w:val="255"/>
        </w:trPr>
        <w:tc>
          <w:tcPr>
            <w:tcW w:w="2876" w:type="dxa"/>
            <w:tcBorders>
              <w:top w:val="nil"/>
              <w:bottom w:val="nil"/>
            </w:tcBorders>
            <w:shd w:val="clear" w:color="auto" w:fill="auto"/>
            <w:vAlign w:val="center"/>
          </w:tcPr>
          <w:p w14:paraId="1AFE7622" w14:textId="77777777" w:rsidR="002C6037" w:rsidRPr="00354810" w:rsidRDefault="002C6037" w:rsidP="00721F1E">
            <w:pPr>
              <w:pStyle w:val="Tabletext"/>
              <w:rPr>
                <w:b/>
              </w:rPr>
            </w:pPr>
            <w:r w:rsidRPr="00354810">
              <w:rPr>
                <w:b/>
              </w:rPr>
              <w:t>Engineering and related technologies</w:t>
            </w:r>
          </w:p>
        </w:tc>
        <w:tc>
          <w:tcPr>
            <w:tcW w:w="860" w:type="dxa"/>
            <w:tcBorders>
              <w:top w:val="nil"/>
              <w:bottom w:val="nil"/>
            </w:tcBorders>
            <w:vAlign w:val="center"/>
          </w:tcPr>
          <w:p w14:paraId="2F06C182" w14:textId="77777777" w:rsidR="002C6037" w:rsidRPr="00354810" w:rsidRDefault="002C6037" w:rsidP="00721F1E">
            <w:pPr>
              <w:pStyle w:val="Tabletext"/>
              <w:jc w:val="right"/>
            </w:pPr>
            <w:r>
              <w:t>68.3</w:t>
            </w:r>
          </w:p>
        </w:tc>
        <w:tc>
          <w:tcPr>
            <w:tcW w:w="861" w:type="dxa"/>
            <w:tcBorders>
              <w:top w:val="nil"/>
              <w:bottom w:val="nil"/>
            </w:tcBorders>
            <w:vAlign w:val="center"/>
          </w:tcPr>
          <w:p w14:paraId="313A52D2" w14:textId="77777777" w:rsidR="002C6037" w:rsidRPr="00354810" w:rsidRDefault="002C6037" w:rsidP="00721F1E">
            <w:pPr>
              <w:pStyle w:val="Tabletext"/>
              <w:tabs>
                <w:tab w:val="decimal" w:pos="0"/>
                <w:tab w:val="decimal" w:pos="645"/>
              </w:tabs>
              <w:jc w:val="right"/>
            </w:pPr>
            <w:r>
              <w:t>69.8</w:t>
            </w:r>
          </w:p>
        </w:tc>
        <w:tc>
          <w:tcPr>
            <w:tcW w:w="861" w:type="dxa"/>
            <w:tcBorders>
              <w:top w:val="nil"/>
              <w:bottom w:val="nil"/>
            </w:tcBorders>
            <w:shd w:val="clear" w:color="auto" w:fill="auto"/>
            <w:vAlign w:val="center"/>
          </w:tcPr>
          <w:p w14:paraId="25881DC7" w14:textId="77777777" w:rsidR="002C6037" w:rsidRPr="00354810" w:rsidRDefault="002C6037" w:rsidP="00721F1E">
            <w:pPr>
              <w:pStyle w:val="Tabletext"/>
              <w:jc w:val="right"/>
            </w:pPr>
            <w:r>
              <w:t>87.8</w:t>
            </w:r>
          </w:p>
        </w:tc>
        <w:tc>
          <w:tcPr>
            <w:tcW w:w="860" w:type="dxa"/>
            <w:tcBorders>
              <w:top w:val="nil"/>
              <w:bottom w:val="nil"/>
            </w:tcBorders>
            <w:shd w:val="clear" w:color="auto" w:fill="auto"/>
            <w:vAlign w:val="center"/>
          </w:tcPr>
          <w:p w14:paraId="71EB2CD0" w14:textId="77777777" w:rsidR="002C6037" w:rsidRPr="00354810" w:rsidRDefault="002C6037" w:rsidP="00721F1E">
            <w:pPr>
              <w:pStyle w:val="Tabletext"/>
              <w:jc w:val="right"/>
            </w:pPr>
            <w:r>
              <w:t>89.8</w:t>
            </w:r>
          </w:p>
        </w:tc>
        <w:tc>
          <w:tcPr>
            <w:tcW w:w="861" w:type="dxa"/>
            <w:tcBorders>
              <w:top w:val="nil"/>
              <w:bottom w:val="nil"/>
            </w:tcBorders>
            <w:shd w:val="pct12" w:color="auto" w:fill="auto"/>
            <w:vAlign w:val="center"/>
          </w:tcPr>
          <w:p w14:paraId="66231960" w14:textId="77777777" w:rsidR="002C6037" w:rsidRPr="00354810" w:rsidRDefault="002C6037" w:rsidP="00721F1E">
            <w:pPr>
              <w:pStyle w:val="Tabletext"/>
              <w:jc w:val="right"/>
            </w:pPr>
            <w:r>
              <w:t>86.6</w:t>
            </w:r>
          </w:p>
        </w:tc>
        <w:tc>
          <w:tcPr>
            <w:tcW w:w="861" w:type="dxa"/>
            <w:tcBorders>
              <w:top w:val="nil"/>
              <w:bottom w:val="nil"/>
            </w:tcBorders>
            <w:vAlign w:val="center"/>
          </w:tcPr>
          <w:p w14:paraId="6B9174C7" w14:textId="77777777" w:rsidR="002C6037" w:rsidRPr="00354810" w:rsidRDefault="002C6037" w:rsidP="00721F1E">
            <w:pPr>
              <w:pStyle w:val="Tabletext"/>
              <w:jc w:val="right"/>
              <w:rPr>
                <w:b/>
              </w:rPr>
            </w:pPr>
            <w:r>
              <w:rPr>
                <w:b/>
              </w:rPr>
              <w:t>83.9</w:t>
            </w:r>
          </w:p>
        </w:tc>
      </w:tr>
      <w:tr w:rsidR="002C6037" w:rsidRPr="00354810" w14:paraId="3246E2BD" w14:textId="77777777" w:rsidTr="00721F1E">
        <w:trPr>
          <w:trHeight w:val="255"/>
        </w:trPr>
        <w:tc>
          <w:tcPr>
            <w:tcW w:w="2876" w:type="dxa"/>
            <w:tcBorders>
              <w:top w:val="nil"/>
              <w:bottom w:val="nil"/>
            </w:tcBorders>
            <w:shd w:val="clear" w:color="auto" w:fill="auto"/>
            <w:vAlign w:val="center"/>
          </w:tcPr>
          <w:p w14:paraId="3784658A" w14:textId="77777777" w:rsidR="002C6037" w:rsidRPr="00354810" w:rsidRDefault="002C6037" w:rsidP="00721F1E">
            <w:pPr>
              <w:pStyle w:val="Tabletext"/>
              <w:ind w:left="567"/>
            </w:pPr>
            <w:r w:rsidRPr="00354810">
              <w:t>Process and resources engineering</w:t>
            </w:r>
          </w:p>
        </w:tc>
        <w:tc>
          <w:tcPr>
            <w:tcW w:w="860" w:type="dxa"/>
            <w:tcBorders>
              <w:top w:val="nil"/>
              <w:bottom w:val="nil"/>
            </w:tcBorders>
            <w:vAlign w:val="center"/>
          </w:tcPr>
          <w:p w14:paraId="6D382ACF" w14:textId="77777777" w:rsidR="002C6037" w:rsidRPr="00354810" w:rsidRDefault="002C6037" w:rsidP="00721F1E">
            <w:pPr>
              <w:pStyle w:val="Tabletext"/>
              <w:tabs>
                <w:tab w:val="decimal" w:pos="0"/>
                <w:tab w:val="decimal" w:pos="645"/>
              </w:tabs>
              <w:jc w:val="right"/>
            </w:pPr>
            <w:r>
              <w:t>np</w:t>
            </w:r>
          </w:p>
        </w:tc>
        <w:tc>
          <w:tcPr>
            <w:tcW w:w="861" w:type="dxa"/>
            <w:tcBorders>
              <w:top w:val="nil"/>
              <w:bottom w:val="nil"/>
            </w:tcBorders>
            <w:vAlign w:val="center"/>
          </w:tcPr>
          <w:p w14:paraId="1ECF3293" w14:textId="77777777" w:rsidR="002C6037" w:rsidRPr="00354810" w:rsidRDefault="002C6037" w:rsidP="00721F1E">
            <w:pPr>
              <w:pStyle w:val="Tabletext"/>
              <w:jc w:val="right"/>
            </w:pPr>
            <w:r>
              <w:t>65.9</w:t>
            </w:r>
          </w:p>
        </w:tc>
        <w:tc>
          <w:tcPr>
            <w:tcW w:w="861" w:type="dxa"/>
            <w:tcBorders>
              <w:top w:val="nil"/>
              <w:bottom w:val="nil"/>
            </w:tcBorders>
            <w:shd w:val="clear" w:color="auto" w:fill="auto"/>
            <w:vAlign w:val="center"/>
          </w:tcPr>
          <w:p w14:paraId="0DD3F01F" w14:textId="77777777" w:rsidR="002C6037" w:rsidRPr="00354810" w:rsidRDefault="002C6037" w:rsidP="00721F1E">
            <w:pPr>
              <w:pStyle w:val="Tabletext"/>
              <w:jc w:val="right"/>
            </w:pPr>
            <w:r>
              <w:t>82.3</w:t>
            </w:r>
          </w:p>
        </w:tc>
        <w:tc>
          <w:tcPr>
            <w:tcW w:w="860" w:type="dxa"/>
            <w:tcBorders>
              <w:top w:val="nil"/>
              <w:bottom w:val="nil"/>
            </w:tcBorders>
            <w:shd w:val="clear" w:color="auto" w:fill="auto"/>
            <w:vAlign w:val="center"/>
          </w:tcPr>
          <w:p w14:paraId="16AF8A04" w14:textId="77777777" w:rsidR="002C6037" w:rsidRPr="00354810" w:rsidRDefault="002C6037" w:rsidP="00721F1E">
            <w:pPr>
              <w:pStyle w:val="Tabletext"/>
              <w:jc w:val="right"/>
            </w:pPr>
            <w:r>
              <w:t>97.9</w:t>
            </w:r>
          </w:p>
        </w:tc>
        <w:tc>
          <w:tcPr>
            <w:tcW w:w="861" w:type="dxa"/>
            <w:tcBorders>
              <w:top w:val="nil"/>
              <w:bottom w:val="nil"/>
            </w:tcBorders>
            <w:shd w:val="pct12" w:color="auto" w:fill="auto"/>
            <w:vAlign w:val="center"/>
          </w:tcPr>
          <w:p w14:paraId="674E6A22" w14:textId="77777777" w:rsidR="002C6037" w:rsidRPr="00354810" w:rsidRDefault="002C6037" w:rsidP="00721F1E">
            <w:pPr>
              <w:pStyle w:val="Tabletext"/>
              <w:jc w:val="right"/>
            </w:pPr>
            <w:r>
              <w:t>88.9</w:t>
            </w:r>
          </w:p>
        </w:tc>
        <w:tc>
          <w:tcPr>
            <w:tcW w:w="861" w:type="dxa"/>
            <w:tcBorders>
              <w:top w:val="nil"/>
              <w:bottom w:val="nil"/>
            </w:tcBorders>
            <w:vAlign w:val="center"/>
          </w:tcPr>
          <w:p w14:paraId="464A7A69" w14:textId="77777777" w:rsidR="002C6037" w:rsidRPr="00354810" w:rsidRDefault="002C6037" w:rsidP="00721F1E">
            <w:pPr>
              <w:pStyle w:val="Tabletext"/>
              <w:jc w:val="right"/>
              <w:rPr>
                <w:b/>
              </w:rPr>
            </w:pPr>
            <w:r>
              <w:rPr>
                <w:b/>
              </w:rPr>
              <w:t>80.8</w:t>
            </w:r>
          </w:p>
        </w:tc>
      </w:tr>
      <w:tr w:rsidR="002C6037" w:rsidRPr="00354810" w14:paraId="57D06E86" w14:textId="77777777" w:rsidTr="00721F1E">
        <w:trPr>
          <w:trHeight w:val="510"/>
        </w:trPr>
        <w:tc>
          <w:tcPr>
            <w:tcW w:w="2876" w:type="dxa"/>
            <w:tcBorders>
              <w:top w:val="nil"/>
              <w:bottom w:val="nil"/>
            </w:tcBorders>
            <w:shd w:val="clear" w:color="auto" w:fill="auto"/>
            <w:vAlign w:val="center"/>
          </w:tcPr>
          <w:p w14:paraId="64754945" w14:textId="77777777" w:rsidR="002C6037" w:rsidRPr="00354810" w:rsidRDefault="002C6037" w:rsidP="00721F1E">
            <w:pPr>
              <w:pStyle w:val="Tabletext"/>
              <w:ind w:left="567"/>
            </w:pPr>
            <w:r w:rsidRPr="00354810">
              <w:t>Electrical and electronic engineering and technology</w:t>
            </w:r>
          </w:p>
        </w:tc>
        <w:tc>
          <w:tcPr>
            <w:tcW w:w="860" w:type="dxa"/>
            <w:tcBorders>
              <w:top w:val="nil"/>
              <w:bottom w:val="nil"/>
            </w:tcBorders>
            <w:vAlign w:val="center"/>
          </w:tcPr>
          <w:p w14:paraId="0288C964" w14:textId="77777777" w:rsidR="002C6037" w:rsidRPr="00354810" w:rsidRDefault="002C6037" w:rsidP="00721F1E">
            <w:pPr>
              <w:pStyle w:val="Tabletext"/>
              <w:jc w:val="right"/>
            </w:pPr>
            <w:r>
              <w:t>0.0</w:t>
            </w:r>
          </w:p>
        </w:tc>
        <w:tc>
          <w:tcPr>
            <w:tcW w:w="861" w:type="dxa"/>
            <w:tcBorders>
              <w:top w:val="nil"/>
              <w:bottom w:val="nil"/>
            </w:tcBorders>
            <w:vAlign w:val="center"/>
          </w:tcPr>
          <w:p w14:paraId="54A2B554" w14:textId="77777777" w:rsidR="002C6037" w:rsidRPr="00354810" w:rsidRDefault="002C6037" w:rsidP="00721F1E">
            <w:pPr>
              <w:pStyle w:val="Tabletext"/>
              <w:tabs>
                <w:tab w:val="decimal" w:pos="0"/>
                <w:tab w:val="decimal" w:pos="645"/>
              </w:tabs>
              <w:jc w:val="right"/>
            </w:pPr>
            <w:r>
              <w:t>80.6</w:t>
            </w:r>
          </w:p>
        </w:tc>
        <w:tc>
          <w:tcPr>
            <w:tcW w:w="861" w:type="dxa"/>
            <w:tcBorders>
              <w:top w:val="nil"/>
              <w:bottom w:val="nil"/>
            </w:tcBorders>
            <w:shd w:val="clear" w:color="auto" w:fill="auto"/>
            <w:vAlign w:val="center"/>
          </w:tcPr>
          <w:p w14:paraId="0113339C" w14:textId="77777777" w:rsidR="002C6037" w:rsidRPr="00354810" w:rsidRDefault="002C6037" w:rsidP="00721F1E">
            <w:pPr>
              <w:pStyle w:val="Tabletext"/>
              <w:jc w:val="right"/>
            </w:pPr>
            <w:r>
              <w:t>96.2</w:t>
            </w:r>
          </w:p>
        </w:tc>
        <w:tc>
          <w:tcPr>
            <w:tcW w:w="860" w:type="dxa"/>
            <w:tcBorders>
              <w:top w:val="nil"/>
              <w:bottom w:val="nil"/>
            </w:tcBorders>
            <w:shd w:val="clear" w:color="auto" w:fill="auto"/>
            <w:vAlign w:val="center"/>
          </w:tcPr>
          <w:p w14:paraId="58AF94DA" w14:textId="77777777" w:rsidR="002C6037" w:rsidRPr="00354810" w:rsidRDefault="002C6037" w:rsidP="00721F1E">
            <w:pPr>
              <w:pStyle w:val="Tabletext"/>
              <w:jc w:val="right"/>
            </w:pPr>
            <w:r>
              <w:t>94.3</w:t>
            </w:r>
          </w:p>
        </w:tc>
        <w:tc>
          <w:tcPr>
            <w:tcW w:w="861" w:type="dxa"/>
            <w:tcBorders>
              <w:top w:val="nil"/>
              <w:bottom w:val="nil"/>
            </w:tcBorders>
            <w:shd w:val="pct12" w:color="auto" w:fill="auto"/>
            <w:vAlign w:val="center"/>
          </w:tcPr>
          <w:p w14:paraId="62EE5D57" w14:textId="77777777" w:rsidR="002C6037" w:rsidRPr="00354810" w:rsidRDefault="002C6037" w:rsidP="00721F1E">
            <w:pPr>
              <w:pStyle w:val="Tabletext"/>
              <w:jc w:val="right"/>
            </w:pPr>
            <w:r>
              <w:t>85.7</w:t>
            </w:r>
          </w:p>
        </w:tc>
        <w:tc>
          <w:tcPr>
            <w:tcW w:w="861" w:type="dxa"/>
            <w:tcBorders>
              <w:top w:val="nil"/>
              <w:bottom w:val="nil"/>
            </w:tcBorders>
            <w:vAlign w:val="center"/>
          </w:tcPr>
          <w:p w14:paraId="6D7FB85B" w14:textId="77777777" w:rsidR="002C6037" w:rsidRPr="00354810" w:rsidRDefault="002C6037" w:rsidP="00721F1E">
            <w:pPr>
              <w:pStyle w:val="Tabletext"/>
              <w:jc w:val="right"/>
              <w:rPr>
                <w:b/>
              </w:rPr>
            </w:pPr>
            <w:r>
              <w:rPr>
                <w:b/>
              </w:rPr>
              <w:t>92.0</w:t>
            </w:r>
          </w:p>
        </w:tc>
      </w:tr>
      <w:tr w:rsidR="002C6037" w:rsidRPr="00354810" w14:paraId="24D2F05B" w14:textId="77777777" w:rsidTr="00721F1E">
        <w:trPr>
          <w:trHeight w:val="255"/>
        </w:trPr>
        <w:tc>
          <w:tcPr>
            <w:tcW w:w="2876" w:type="dxa"/>
            <w:tcBorders>
              <w:top w:val="single" w:sz="4" w:space="0" w:color="auto"/>
              <w:bottom w:val="single" w:sz="4" w:space="0" w:color="auto"/>
            </w:tcBorders>
            <w:shd w:val="clear" w:color="auto" w:fill="auto"/>
            <w:vAlign w:val="center"/>
          </w:tcPr>
          <w:p w14:paraId="722CE112" w14:textId="77777777" w:rsidR="002C6037" w:rsidRPr="00354810" w:rsidRDefault="002C6037" w:rsidP="00721F1E">
            <w:pPr>
              <w:pStyle w:val="Tabletext"/>
              <w:rPr>
                <w:b/>
              </w:rPr>
            </w:pPr>
            <w:r w:rsidRPr="00354810">
              <w:rPr>
                <w:b/>
              </w:rPr>
              <w:t>All fields</w:t>
            </w:r>
          </w:p>
        </w:tc>
        <w:tc>
          <w:tcPr>
            <w:tcW w:w="860" w:type="dxa"/>
            <w:tcBorders>
              <w:top w:val="single" w:sz="4" w:space="0" w:color="auto"/>
              <w:bottom w:val="single" w:sz="4" w:space="0" w:color="auto"/>
            </w:tcBorders>
            <w:vAlign w:val="center"/>
          </w:tcPr>
          <w:p w14:paraId="3EC359F0" w14:textId="77777777" w:rsidR="002C6037" w:rsidRPr="00354810" w:rsidRDefault="002C6037" w:rsidP="00721F1E">
            <w:pPr>
              <w:pStyle w:val="Tabletext"/>
              <w:jc w:val="right"/>
              <w:rPr>
                <w:b/>
              </w:rPr>
            </w:pPr>
            <w:r>
              <w:rPr>
                <w:b/>
              </w:rPr>
              <w:t>50.5</w:t>
            </w:r>
          </w:p>
        </w:tc>
        <w:tc>
          <w:tcPr>
            <w:tcW w:w="861" w:type="dxa"/>
            <w:tcBorders>
              <w:top w:val="single" w:sz="4" w:space="0" w:color="auto"/>
              <w:bottom w:val="single" w:sz="4" w:space="0" w:color="auto"/>
            </w:tcBorders>
            <w:vAlign w:val="center"/>
          </w:tcPr>
          <w:p w14:paraId="675E2354" w14:textId="77777777" w:rsidR="002C6037" w:rsidRPr="00354810" w:rsidRDefault="002C6037" w:rsidP="00721F1E">
            <w:pPr>
              <w:pStyle w:val="Tabletext"/>
              <w:tabs>
                <w:tab w:val="decimal" w:pos="0"/>
                <w:tab w:val="decimal" w:pos="645"/>
              </w:tabs>
              <w:jc w:val="right"/>
              <w:rPr>
                <w:b/>
              </w:rPr>
            </w:pPr>
            <w:r>
              <w:rPr>
                <w:b/>
              </w:rPr>
              <w:t>61.8</w:t>
            </w:r>
          </w:p>
        </w:tc>
        <w:tc>
          <w:tcPr>
            <w:tcW w:w="861" w:type="dxa"/>
            <w:tcBorders>
              <w:top w:val="single" w:sz="4" w:space="0" w:color="auto"/>
              <w:bottom w:val="single" w:sz="4" w:space="0" w:color="auto"/>
            </w:tcBorders>
            <w:shd w:val="clear" w:color="auto" w:fill="auto"/>
            <w:vAlign w:val="center"/>
          </w:tcPr>
          <w:p w14:paraId="217E30DF" w14:textId="77777777" w:rsidR="002C6037" w:rsidRPr="00354810" w:rsidRDefault="002C6037" w:rsidP="00721F1E">
            <w:pPr>
              <w:pStyle w:val="Tabletext"/>
              <w:jc w:val="right"/>
              <w:rPr>
                <w:b/>
              </w:rPr>
            </w:pPr>
            <w:r>
              <w:rPr>
                <w:b/>
              </w:rPr>
              <w:t>79.2</w:t>
            </w:r>
          </w:p>
        </w:tc>
        <w:tc>
          <w:tcPr>
            <w:tcW w:w="860" w:type="dxa"/>
            <w:tcBorders>
              <w:top w:val="single" w:sz="4" w:space="0" w:color="auto"/>
              <w:bottom w:val="single" w:sz="4" w:space="0" w:color="auto"/>
            </w:tcBorders>
            <w:shd w:val="clear" w:color="auto" w:fill="auto"/>
            <w:vAlign w:val="center"/>
          </w:tcPr>
          <w:p w14:paraId="0125AF4F" w14:textId="77777777" w:rsidR="002C6037" w:rsidRPr="00354810" w:rsidRDefault="002C6037" w:rsidP="00721F1E">
            <w:pPr>
              <w:pStyle w:val="Tabletext"/>
              <w:jc w:val="right"/>
              <w:rPr>
                <w:b/>
              </w:rPr>
            </w:pPr>
            <w:r>
              <w:rPr>
                <w:b/>
              </w:rPr>
              <w:t>84.0</w:t>
            </w:r>
          </w:p>
        </w:tc>
        <w:tc>
          <w:tcPr>
            <w:tcW w:w="861" w:type="dxa"/>
            <w:tcBorders>
              <w:top w:val="single" w:sz="4" w:space="0" w:color="auto"/>
              <w:bottom w:val="single" w:sz="4" w:space="0" w:color="auto"/>
            </w:tcBorders>
            <w:shd w:val="pct12" w:color="auto" w:fill="auto"/>
            <w:vAlign w:val="center"/>
          </w:tcPr>
          <w:p w14:paraId="1DC32A71" w14:textId="77777777" w:rsidR="002C6037" w:rsidRPr="00354810" w:rsidRDefault="002C6037" w:rsidP="00721F1E">
            <w:pPr>
              <w:pStyle w:val="Tabletext"/>
              <w:jc w:val="right"/>
              <w:rPr>
                <w:b/>
              </w:rPr>
            </w:pPr>
            <w:r>
              <w:rPr>
                <w:b/>
              </w:rPr>
              <w:t>83.2</w:t>
            </w:r>
          </w:p>
        </w:tc>
        <w:tc>
          <w:tcPr>
            <w:tcW w:w="861" w:type="dxa"/>
            <w:tcBorders>
              <w:top w:val="single" w:sz="4" w:space="0" w:color="auto"/>
              <w:bottom w:val="single" w:sz="4" w:space="0" w:color="auto"/>
            </w:tcBorders>
            <w:vAlign w:val="center"/>
          </w:tcPr>
          <w:p w14:paraId="633FE221" w14:textId="77777777" w:rsidR="002C6037" w:rsidRPr="00354810" w:rsidRDefault="002C6037" w:rsidP="00721F1E">
            <w:pPr>
              <w:pStyle w:val="Tabletext"/>
              <w:jc w:val="right"/>
              <w:rPr>
                <w:b/>
              </w:rPr>
            </w:pPr>
            <w:r>
              <w:rPr>
                <w:b/>
              </w:rPr>
              <w:t>77.8</w:t>
            </w:r>
          </w:p>
        </w:tc>
      </w:tr>
    </w:tbl>
    <w:p w14:paraId="4B5BA57B" w14:textId="77777777" w:rsidR="002C6037" w:rsidRDefault="002C6037" w:rsidP="002C6037">
      <w:pPr>
        <w:pStyle w:val="Source"/>
      </w:pPr>
      <w:r>
        <w:t>Source:</w:t>
      </w:r>
      <w:r>
        <w:tab/>
        <w:t>NCVER (2013).</w:t>
      </w:r>
    </w:p>
    <w:p w14:paraId="15E83208" w14:textId="77777777" w:rsidR="002C6037" w:rsidRDefault="002C6037" w:rsidP="002C6037">
      <w:pPr>
        <w:pStyle w:val="Source"/>
      </w:pPr>
      <w:r>
        <w:t>Notes:</w:t>
      </w:r>
      <w:r>
        <w:tab/>
      </w:r>
      <w:proofErr w:type="spellStart"/>
      <w:proofErr w:type="gramStart"/>
      <w:r>
        <w:t>na</w:t>
      </w:r>
      <w:proofErr w:type="spellEnd"/>
      <w:proofErr w:type="gramEnd"/>
      <w:r>
        <w:t xml:space="preserve"> </w:t>
      </w:r>
      <w:r w:rsidRPr="00147C93">
        <w:t>Not applicable</w:t>
      </w:r>
    </w:p>
    <w:p w14:paraId="07D4284A" w14:textId="77777777" w:rsidR="002C6037" w:rsidRDefault="002C6037" w:rsidP="002C6037">
      <w:pPr>
        <w:pStyle w:val="Source"/>
        <w:ind w:firstLine="0"/>
      </w:pPr>
      <w:r>
        <w:t xml:space="preserve">* The estimate has a relative standard error greater than, or equal to, 25% and therefore should be used with caution. </w:t>
      </w:r>
    </w:p>
    <w:p w14:paraId="711A4804" w14:textId="77777777" w:rsidR="002C6037" w:rsidRDefault="002C6037" w:rsidP="002C6037">
      <w:pPr>
        <w:pStyle w:val="Source"/>
        <w:ind w:firstLine="0"/>
      </w:pPr>
      <w:proofErr w:type="gramStart"/>
      <w:r>
        <w:t>np</w:t>
      </w:r>
      <w:proofErr w:type="gramEnd"/>
      <w:r>
        <w:t xml:space="preserve"> Not published. NCVER does not report on estimates based on five or fewer respondents because the estimates are unreliable.</w:t>
      </w:r>
    </w:p>
    <w:p w14:paraId="1849B6F2" w14:textId="77777777" w:rsidR="002C6037" w:rsidRDefault="002C6037" w:rsidP="002C6037">
      <w:pPr>
        <w:pStyle w:val="Text"/>
      </w:pPr>
      <w:r w:rsidRPr="000A452E">
        <w:t>Unfortunately employment rates are not published for the small number of graduates of higher education diplomas and associate degrees. However, Gr</w:t>
      </w:r>
      <w:r>
        <w:t>aduate Careers Australia’s (2012</w:t>
      </w:r>
      <w:r w:rsidRPr="000A452E">
        <w:t>) Australian graduate survey reports the proporti</w:t>
      </w:r>
      <w:r>
        <w:t>on of bachelor graduates in 2012</w:t>
      </w:r>
      <w:r w:rsidRPr="000A452E">
        <w:t xml:space="preserve"> </w:t>
      </w:r>
      <w:r w:rsidR="000B3876">
        <w:t xml:space="preserve">in engineering </w:t>
      </w:r>
      <w:r w:rsidRPr="000A452E">
        <w:t xml:space="preserve">available for full time employment who were employed full time. The rates differ between narrow engineering fields, but the employment rate for most engineering fields are very high, much higher than for all fields (Table </w:t>
      </w:r>
      <w:r w:rsidR="00AD4123">
        <w:t>12</w:t>
      </w:r>
      <w:r w:rsidRPr="000A452E">
        <w:t>).</w:t>
      </w:r>
    </w:p>
    <w:p w14:paraId="5EFC0E32" w14:textId="77777777" w:rsidR="002C6037" w:rsidRDefault="002C6037" w:rsidP="002C6037">
      <w:pPr>
        <w:pStyle w:val="tabletitle"/>
      </w:pPr>
      <w:bookmarkStart w:id="73" w:name="_Toc248818134"/>
      <w:bookmarkStart w:id="74" w:name="_Toc257836875"/>
      <w:r w:rsidRPr="000A452E">
        <w:t xml:space="preserve">Table </w:t>
      </w:r>
      <w:r w:rsidR="00AD4123">
        <w:t>12</w:t>
      </w:r>
      <w:r w:rsidRPr="000A452E">
        <w:tab/>
        <w:t xml:space="preserve"> Bachelor degree graduates in full time employment as % of available for full-time employment, by aggregated field of education and employment status</w:t>
      </w:r>
      <w:bookmarkEnd w:id="73"/>
      <w:bookmarkEnd w:id="74"/>
    </w:p>
    <w:tbl>
      <w:tblPr>
        <w:tblW w:w="54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3780"/>
        <w:gridCol w:w="1620"/>
      </w:tblGrid>
      <w:tr w:rsidR="002C6037" w:rsidRPr="007A62EE" w14:paraId="369DB317" w14:textId="77777777" w:rsidTr="00721F1E">
        <w:trPr>
          <w:trHeight w:val="255"/>
        </w:trPr>
        <w:tc>
          <w:tcPr>
            <w:tcW w:w="3780" w:type="dxa"/>
            <w:shd w:val="clear" w:color="auto" w:fill="auto"/>
            <w:vAlign w:val="center"/>
          </w:tcPr>
          <w:p w14:paraId="06B97B6B" w14:textId="77777777" w:rsidR="002C6037" w:rsidRPr="007A62EE" w:rsidRDefault="002C6037" w:rsidP="00721F1E">
            <w:pPr>
              <w:pStyle w:val="Tablehead1"/>
            </w:pPr>
            <w:r w:rsidRPr="007A62EE">
              <w:t>Field of education</w:t>
            </w:r>
          </w:p>
        </w:tc>
        <w:tc>
          <w:tcPr>
            <w:tcW w:w="1620" w:type="dxa"/>
            <w:shd w:val="clear" w:color="auto" w:fill="auto"/>
            <w:vAlign w:val="center"/>
          </w:tcPr>
          <w:p w14:paraId="14C076E4" w14:textId="77777777" w:rsidR="002C6037" w:rsidRPr="007A62EE" w:rsidRDefault="002C6037" w:rsidP="00721F1E">
            <w:pPr>
              <w:pStyle w:val="Tablehead1"/>
              <w:jc w:val="right"/>
            </w:pPr>
            <w:r w:rsidRPr="007A62EE">
              <w:t>% employed</w:t>
            </w:r>
          </w:p>
        </w:tc>
      </w:tr>
      <w:tr w:rsidR="002C6037" w:rsidRPr="007A62EE" w14:paraId="68FE502E" w14:textId="77777777" w:rsidTr="00721F1E">
        <w:trPr>
          <w:trHeight w:val="252"/>
        </w:trPr>
        <w:tc>
          <w:tcPr>
            <w:tcW w:w="3780" w:type="dxa"/>
            <w:tcBorders>
              <w:bottom w:val="nil"/>
            </w:tcBorders>
            <w:shd w:val="clear" w:color="auto" w:fill="auto"/>
            <w:noWrap/>
            <w:vAlign w:val="center"/>
          </w:tcPr>
          <w:p w14:paraId="5AEC3DEA" w14:textId="77777777" w:rsidR="002C6037" w:rsidRPr="007A62EE" w:rsidRDefault="002C6037" w:rsidP="00721F1E">
            <w:pPr>
              <w:pStyle w:val="Tabletext"/>
              <w:ind w:left="-108"/>
            </w:pPr>
            <w:r w:rsidRPr="007A62EE">
              <w:t>Aeronautical engineering</w:t>
            </w:r>
          </w:p>
        </w:tc>
        <w:tc>
          <w:tcPr>
            <w:tcW w:w="1620" w:type="dxa"/>
            <w:tcBorders>
              <w:bottom w:val="nil"/>
            </w:tcBorders>
            <w:shd w:val="clear" w:color="auto" w:fill="auto"/>
            <w:vAlign w:val="center"/>
          </w:tcPr>
          <w:p w14:paraId="34101B91" w14:textId="77777777" w:rsidR="002C6037" w:rsidRPr="007A62EE" w:rsidRDefault="002C6037" w:rsidP="00721F1E">
            <w:pPr>
              <w:pStyle w:val="Tabletext"/>
              <w:ind w:left="567"/>
              <w:jc w:val="right"/>
            </w:pPr>
            <w:r>
              <w:t>81.4</w:t>
            </w:r>
          </w:p>
        </w:tc>
      </w:tr>
      <w:tr w:rsidR="002C6037" w:rsidRPr="007A62EE" w14:paraId="03C778F2" w14:textId="77777777" w:rsidTr="00721F1E">
        <w:trPr>
          <w:trHeight w:val="252"/>
        </w:trPr>
        <w:tc>
          <w:tcPr>
            <w:tcW w:w="3780" w:type="dxa"/>
            <w:tcBorders>
              <w:top w:val="nil"/>
              <w:bottom w:val="nil"/>
            </w:tcBorders>
            <w:shd w:val="clear" w:color="auto" w:fill="auto"/>
            <w:noWrap/>
            <w:vAlign w:val="center"/>
          </w:tcPr>
          <w:p w14:paraId="7F56F1FD" w14:textId="77777777" w:rsidR="002C6037" w:rsidRPr="007A62EE" w:rsidRDefault="002C6037" w:rsidP="00721F1E">
            <w:pPr>
              <w:pStyle w:val="Tabletext"/>
              <w:ind w:left="-108"/>
            </w:pPr>
            <w:r w:rsidRPr="007A62EE">
              <w:t>Chemical engineering</w:t>
            </w:r>
          </w:p>
        </w:tc>
        <w:tc>
          <w:tcPr>
            <w:tcW w:w="1620" w:type="dxa"/>
            <w:tcBorders>
              <w:top w:val="nil"/>
              <w:bottom w:val="nil"/>
            </w:tcBorders>
            <w:shd w:val="clear" w:color="auto" w:fill="auto"/>
            <w:vAlign w:val="center"/>
          </w:tcPr>
          <w:p w14:paraId="458E6BB9" w14:textId="77777777" w:rsidR="002C6037" w:rsidRPr="007A62EE" w:rsidRDefault="002C6037" w:rsidP="00721F1E">
            <w:pPr>
              <w:pStyle w:val="Tabletext"/>
              <w:ind w:left="567"/>
              <w:jc w:val="right"/>
            </w:pPr>
            <w:r>
              <w:t>77.5</w:t>
            </w:r>
          </w:p>
        </w:tc>
      </w:tr>
      <w:tr w:rsidR="002C6037" w:rsidRPr="007A62EE" w14:paraId="797CA87C" w14:textId="77777777" w:rsidTr="00721F1E">
        <w:trPr>
          <w:trHeight w:val="252"/>
        </w:trPr>
        <w:tc>
          <w:tcPr>
            <w:tcW w:w="3780" w:type="dxa"/>
            <w:tcBorders>
              <w:top w:val="nil"/>
              <w:bottom w:val="nil"/>
            </w:tcBorders>
            <w:shd w:val="clear" w:color="auto" w:fill="auto"/>
            <w:noWrap/>
            <w:vAlign w:val="center"/>
          </w:tcPr>
          <w:p w14:paraId="16777C23" w14:textId="77777777" w:rsidR="002C6037" w:rsidRPr="007A62EE" w:rsidRDefault="002C6037" w:rsidP="00721F1E">
            <w:pPr>
              <w:pStyle w:val="Tabletext"/>
              <w:ind w:left="-108"/>
            </w:pPr>
            <w:r w:rsidRPr="007A62EE">
              <w:t>Civil engineering</w:t>
            </w:r>
          </w:p>
        </w:tc>
        <w:tc>
          <w:tcPr>
            <w:tcW w:w="1620" w:type="dxa"/>
            <w:tcBorders>
              <w:top w:val="nil"/>
              <w:bottom w:val="nil"/>
            </w:tcBorders>
            <w:shd w:val="clear" w:color="auto" w:fill="auto"/>
            <w:vAlign w:val="center"/>
          </w:tcPr>
          <w:p w14:paraId="00E2023E" w14:textId="77777777" w:rsidR="002C6037" w:rsidRPr="007A62EE" w:rsidRDefault="002C6037" w:rsidP="00721F1E">
            <w:pPr>
              <w:pStyle w:val="Tabletext"/>
              <w:ind w:left="567"/>
              <w:jc w:val="right"/>
            </w:pPr>
            <w:r>
              <w:t>90.5</w:t>
            </w:r>
          </w:p>
        </w:tc>
      </w:tr>
      <w:tr w:rsidR="002C6037" w:rsidRPr="007A62EE" w14:paraId="24658596" w14:textId="77777777" w:rsidTr="00721F1E">
        <w:trPr>
          <w:trHeight w:val="263"/>
        </w:trPr>
        <w:tc>
          <w:tcPr>
            <w:tcW w:w="3780" w:type="dxa"/>
            <w:tcBorders>
              <w:top w:val="nil"/>
              <w:bottom w:val="nil"/>
            </w:tcBorders>
            <w:shd w:val="clear" w:color="auto" w:fill="auto"/>
            <w:noWrap/>
            <w:vAlign w:val="center"/>
          </w:tcPr>
          <w:p w14:paraId="3E58A472" w14:textId="77777777" w:rsidR="002C6037" w:rsidRPr="007A62EE" w:rsidRDefault="002C6037" w:rsidP="00721F1E">
            <w:pPr>
              <w:pStyle w:val="Tabletext"/>
              <w:ind w:left="-108"/>
            </w:pPr>
            <w:r w:rsidRPr="007A62EE">
              <w:t>Electrical engineering</w:t>
            </w:r>
          </w:p>
        </w:tc>
        <w:tc>
          <w:tcPr>
            <w:tcW w:w="1620" w:type="dxa"/>
            <w:tcBorders>
              <w:top w:val="nil"/>
              <w:bottom w:val="nil"/>
            </w:tcBorders>
            <w:shd w:val="clear" w:color="auto" w:fill="auto"/>
            <w:vAlign w:val="center"/>
          </w:tcPr>
          <w:p w14:paraId="69A9711E" w14:textId="77777777" w:rsidR="002C6037" w:rsidRPr="007A62EE" w:rsidRDefault="002C6037" w:rsidP="00721F1E">
            <w:pPr>
              <w:pStyle w:val="Tabletext"/>
              <w:ind w:left="567"/>
              <w:jc w:val="right"/>
            </w:pPr>
            <w:r>
              <w:t>88.0</w:t>
            </w:r>
          </w:p>
        </w:tc>
      </w:tr>
      <w:tr w:rsidR="002C6037" w:rsidRPr="007A62EE" w14:paraId="741C0677" w14:textId="77777777" w:rsidTr="00721F1E">
        <w:trPr>
          <w:trHeight w:val="252"/>
        </w:trPr>
        <w:tc>
          <w:tcPr>
            <w:tcW w:w="3780" w:type="dxa"/>
            <w:tcBorders>
              <w:top w:val="nil"/>
              <w:bottom w:val="nil"/>
            </w:tcBorders>
            <w:shd w:val="clear" w:color="auto" w:fill="auto"/>
            <w:noWrap/>
            <w:vAlign w:val="center"/>
          </w:tcPr>
          <w:p w14:paraId="65C27E5E" w14:textId="77777777" w:rsidR="002C6037" w:rsidRPr="007A62EE" w:rsidRDefault="002C6037" w:rsidP="00721F1E">
            <w:pPr>
              <w:pStyle w:val="Tabletext"/>
              <w:ind w:left="-108"/>
            </w:pPr>
            <w:r w:rsidRPr="007A62EE">
              <w:t>Electronic/computer engineering</w:t>
            </w:r>
          </w:p>
        </w:tc>
        <w:tc>
          <w:tcPr>
            <w:tcW w:w="1620" w:type="dxa"/>
            <w:tcBorders>
              <w:top w:val="nil"/>
              <w:bottom w:val="nil"/>
            </w:tcBorders>
            <w:shd w:val="clear" w:color="auto" w:fill="auto"/>
            <w:vAlign w:val="center"/>
          </w:tcPr>
          <w:p w14:paraId="7176C2CC" w14:textId="77777777" w:rsidR="002C6037" w:rsidRPr="007A62EE" w:rsidRDefault="002C6037" w:rsidP="00721F1E">
            <w:pPr>
              <w:pStyle w:val="Tabletext"/>
              <w:ind w:left="567"/>
              <w:jc w:val="right"/>
            </w:pPr>
            <w:r>
              <w:t>79.5</w:t>
            </w:r>
          </w:p>
        </w:tc>
      </w:tr>
      <w:tr w:rsidR="002C6037" w:rsidRPr="007A62EE" w14:paraId="5750D32F" w14:textId="77777777" w:rsidTr="00721F1E">
        <w:trPr>
          <w:trHeight w:val="252"/>
        </w:trPr>
        <w:tc>
          <w:tcPr>
            <w:tcW w:w="3780" w:type="dxa"/>
            <w:tcBorders>
              <w:top w:val="nil"/>
              <w:bottom w:val="nil"/>
            </w:tcBorders>
            <w:shd w:val="clear" w:color="auto" w:fill="auto"/>
            <w:noWrap/>
            <w:vAlign w:val="center"/>
          </w:tcPr>
          <w:p w14:paraId="7230F4E5" w14:textId="77777777" w:rsidR="002C6037" w:rsidRPr="007A62EE" w:rsidRDefault="002C6037" w:rsidP="00721F1E">
            <w:pPr>
              <w:pStyle w:val="Tabletext"/>
              <w:ind w:left="-108"/>
            </w:pPr>
            <w:r w:rsidRPr="007A62EE">
              <w:t>Mechanical engineering</w:t>
            </w:r>
          </w:p>
        </w:tc>
        <w:tc>
          <w:tcPr>
            <w:tcW w:w="1620" w:type="dxa"/>
            <w:tcBorders>
              <w:top w:val="nil"/>
              <w:bottom w:val="nil"/>
            </w:tcBorders>
            <w:shd w:val="clear" w:color="auto" w:fill="auto"/>
            <w:vAlign w:val="center"/>
          </w:tcPr>
          <w:p w14:paraId="5B2FE429" w14:textId="77777777" w:rsidR="002C6037" w:rsidRPr="007A62EE" w:rsidRDefault="002C6037" w:rsidP="00721F1E">
            <w:pPr>
              <w:pStyle w:val="Tabletext"/>
              <w:ind w:left="567"/>
              <w:jc w:val="right"/>
            </w:pPr>
            <w:r>
              <w:t>88.4</w:t>
            </w:r>
          </w:p>
        </w:tc>
      </w:tr>
      <w:tr w:rsidR="002C6037" w:rsidRPr="007A62EE" w14:paraId="44221A7D" w14:textId="77777777" w:rsidTr="00721F1E">
        <w:trPr>
          <w:trHeight w:val="252"/>
        </w:trPr>
        <w:tc>
          <w:tcPr>
            <w:tcW w:w="3780" w:type="dxa"/>
            <w:tcBorders>
              <w:top w:val="nil"/>
              <w:bottom w:val="nil"/>
            </w:tcBorders>
            <w:shd w:val="clear" w:color="auto" w:fill="auto"/>
            <w:noWrap/>
            <w:vAlign w:val="center"/>
          </w:tcPr>
          <w:p w14:paraId="52C28731" w14:textId="77777777" w:rsidR="002C6037" w:rsidRPr="007A62EE" w:rsidRDefault="002C6037" w:rsidP="00721F1E">
            <w:pPr>
              <w:pStyle w:val="Tabletext"/>
              <w:ind w:left="-108"/>
            </w:pPr>
            <w:r w:rsidRPr="007A62EE">
              <w:t>Mining engineering</w:t>
            </w:r>
          </w:p>
        </w:tc>
        <w:tc>
          <w:tcPr>
            <w:tcW w:w="1620" w:type="dxa"/>
            <w:tcBorders>
              <w:top w:val="nil"/>
              <w:bottom w:val="nil"/>
            </w:tcBorders>
            <w:shd w:val="clear" w:color="auto" w:fill="auto"/>
            <w:vAlign w:val="center"/>
          </w:tcPr>
          <w:p w14:paraId="0BC949D5" w14:textId="77777777" w:rsidR="002C6037" w:rsidRPr="007A62EE" w:rsidRDefault="002C6037" w:rsidP="00721F1E">
            <w:pPr>
              <w:pStyle w:val="Tabletext"/>
              <w:ind w:left="567"/>
              <w:jc w:val="right"/>
            </w:pPr>
            <w:r>
              <w:t>93.9</w:t>
            </w:r>
          </w:p>
        </w:tc>
      </w:tr>
      <w:tr w:rsidR="002C6037" w:rsidRPr="007A62EE" w14:paraId="0C18DD89" w14:textId="77777777" w:rsidTr="00721F1E">
        <w:trPr>
          <w:trHeight w:val="252"/>
        </w:trPr>
        <w:tc>
          <w:tcPr>
            <w:tcW w:w="3780" w:type="dxa"/>
            <w:tcBorders>
              <w:top w:val="nil"/>
              <w:bottom w:val="nil"/>
            </w:tcBorders>
            <w:shd w:val="clear" w:color="auto" w:fill="auto"/>
            <w:noWrap/>
            <w:vAlign w:val="center"/>
          </w:tcPr>
          <w:p w14:paraId="6B5F0A65" w14:textId="77777777" w:rsidR="002C6037" w:rsidRPr="007A62EE" w:rsidRDefault="002C6037" w:rsidP="00721F1E">
            <w:pPr>
              <w:pStyle w:val="Tabletext"/>
              <w:ind w:left="-108"/>
            </w:pPr>
            <w:r w:rsidRPr="007A62EE">
              <w:t>Other engineering</w:t>
            </w:r>
          </w:p>
        </w:tc>
        <w:tc>
          <w:tcPr>
            <w:tcW w:w="1620" w:type="dxa"/>
            <w:tcBorders>
              <w:top w:val="nil"/>
              <w:bottom w:val="nil"/>
            </w:tcBorders>
            <w:shd w:val="clear" w:color="auto" w:fill="auto"/>
            <w:vAlign w:val="center"/>
          </w:tcPr>
          <w:p w14:paraId="381EAE7E" w14:textId="77777777" w:rsidR="002C6037" w:rsidRPr="007A62EE" w:rsidRDefault="002C6037" w:rsidP="00721F1E">
            <w:pPr>
              <w:pStyle w:val="Tabletext"/>
              <w:ind w:left="567"/>
              <w:jc w:val="right"/>
            </w:pPr>
            <w:r>
              <w:t>85.4</w:t>
            </w:r>
          </w:p>
        </w:tc>
      </w:tr>
      <w:tr w:rsidR="002C6037" w:rsidRPr="007A62EE" w14:paraId="1BEFA554" w14:textId="77777777" w:rsidTr="00721F1E">
        <w:trPr>
          <w:trHeight w:val="252"/>
        </w:trPr>
        <w:tc>
          <w:tcPr>
            <w:tcW w:w="3780" w:type="dxa"/>
            <w:tcBorders>
              <w:top w:val="nil"/>
            </w:tcBorders>
            <w:shd w:val="clear" w:color="auto" w:fill="auto"/>
            <w:noWrap/>
            <w:vAlign w:val="center"/>
          </w:tcPr>
          <w:p w14:paraId="30F7885E" w14:textId="77777777" w:rsidR="002C6037" w:rsidRPr="007A62EE" w:rsidRDefault="002C6037" w:rsidP="00721F1E">
            <w:pPr>
              <w:pStyle w:val="Tabletext"/>
              <w:ind w:left="-108"/>
            </w:pPr>
            <w:r w:rsidRPr="007A62EE">
              <w:t>Surveying</w:t>
            </w:r>
          </w:p>
        </w:tc>
        <w:tc>
          <w:tcPr>
            <w:tcW w:w="1620" w:type="dxa"/>
            <w:tcBorders>
              <w:top w:val="nil"/>
            </w:tcBorders>
            <w:shd w:val="clear" w:color="auto" w:fill="auto"/>
            <w:vAlign w:val="center"/>
          </w:tcPr>
          <w:p w14:paraId="23374F73" w14:textId="77777777" w:rsidR="002C6037" w:rsidRPr="007A62EE" w:rsidRDefault="002C6037" w:rsidP="00721F1E">
            <w:pPr>
              <w:pStyle w:val="Tabletext"/>
              <w:ind w:left="567"/>
              <w:jc w:val="right"/>
            </w:pPr>
            <w:r>
              <w:t>93.0</w:t>
            </w:r>
          </w:p>
        </w:tc>
      </w:tr>
      <w:tr w:rsidR="002C6037" w:rsidRPr="007A62EE" w14:paraId="676A072E" w14:textId="77777777" w:rsidTr="00721F1E">
        <w:trPr>
          <w:trHeight w:val="252"/>
        </w:trPr>
        <w:tc>
          <w:tcPr>
            <w:tcW w:w="3780" w:type="dxa"/>
            <w:shd w:val="clear" w:color="auto" w:fill="auto"/>
            <w:vAlign w:val="center"/>
          </w:tcPr>
          <w:p w14:paraId="53A643FB" w14:textId="77777777" w:rsidR="002C6037" w:rsidRPr="007A62EE" w:rsidRDefault="002C6037" w:rsidP="00721F1E">
            <w:pPr>
              <w:pStyle w:val="Tabletext"/>
              <w:rPr>
                <w:b/>
              </w:rPr>
            </w:pPr>
            <w:r w:rsidRPr="007A62EE">
              <w:rPr>
                <w:b/>
              </w:rPr>
              <w:t>All fields</w:t>
            </w:r>
          </w:p>
        </w:tc>
        <w:tc>
          <w:tcPr>
            <w:tcW w:w="1620" w:type="dxa"/>
            <w:shd w:val="clear" w:color="auto" w:fill="auto"/>
            <w:vAlign w:val="center"/>
          </w:tcPr>
          <w:p w14:paraId="2C8AE46D" w14:textId="77777777" w:rsidR="002C6037" w:rsidRPr="007A62EE" w:rsidRDefault="002C6037" w:rsidP="00721F1E">
            <w:pPr>
              <w:pStyle w:val="Tabletext"/>
              <w:jc w:val="right"/>
              <w:rPr>
                <w:b/>
              </w:rPr>
            </w:pPr>
            <w:r>
              <w:rPr>
                <w:b/>
              </w:rPr>
              <w:t>76.1</w:t>
            </w:r>
          </w:p>
        </w:tc>
      </w:tr>
    </w:tbl>
    <w:p w14:paraId="69A26AE4" w14:textId="77777777" w:rsidR="002C6037" w:rsidRDefault="002C6037" w:rsidP="002C6037">
      <w:pPr>
        <w:pStyle w:val="Source"/>
      </w:pPr>
      <w:r>
        <w:t>Source</w:t>
      </w:r>
      <w:r>
        <w:tab/>
      </w:r>
      <w:r w:rsidRPr="007A62EE">
        <w:t>Graduate Careers Australia (201</w:t>
      </w:r>
      <w:r>
        <w:t>2</w:t>
      </w:r>
      <w:r w:rsidRPr="007A62EE">
        <w:t>) Table 2: breakdown of bachelor degree graduates available for full-time employment, by field of education, 201</w:t>
      </w:r>
      <w:r>
        <w:t xml:space="preserve">2 </w:t>
      </w:r>
      <w:r w:rsidRPr="007A62EE">
        <w:t>(%)</w:t>
      </w:r>
    </w:p>
    <w:p w14:paraId="16EB9E59" w14:textId="30CD3B0F" w:rsidR="002C6037" w:rsidRDefault="002C6037" w:rsidP="002C6037">
      <w:pPr>
        <w:pStyle w:val="Text"/>
      </w:pPr>
      <w:r w:rsidRPr="000A452E">
        <w:t xml:space="preserve">While a high proportion of engineering graduates of vocational diplomas </w:t>
      </w:r>
      <w:r>
        <w:t>or higher programs</w:t>
      </w:r>
      <w:r w:rsidRPr="000A452E">
        <w:t xml:space="preserve"> in 201</w:t>
      </w:r>
      <w:r>
        <w:t>2</w:t>
      </w:r>
      <w:r w:rsidRPr="000A452E">
        <w:t xml:space="preserve"> were employed, only </w:t>
      </w:r>
      <w:r>
        <w:t>19.2</w:t>
      </w:r>
      <w:r w:rsidRPr="000A452E">
        <w:t xml:space="preserve">% were employed in engineering, </w:t>
      </w:r>
      <w:r>
        <w:t>even lower than the</w:t>
      </w:r>
      <w:r w:rsidRPr="000A452E">
        <w:t xml:space="preserve"> relevant rate for all fields of </w:t>
      </w:r>
      <w:r>
        <w:t>25.1</w:t>
      </w:r>
      <w:r w:rsidRPr="000A452E">
        <w:t xml:space="preserve">% (Table </w:t>
      </w:r>
      <w:r w:rsidR="000B3876">
        <w:t>1</w:t>
      </w:r>
      <w:r w:rsidR="00AD4123">
        <w:t>3</w:t>
      </w:r>
      <w:r w:rsidRPr="000A452E">
        <w:t>).</w:t>
      </w:r>
      <w:r>
        <w:t xml:space="preserve"> This is a marked drop from the 2011 figure of 35.1% of engineering diploma or higher graduates emp</w:t>
      </w:r>
      <w:r w:rsidR="0005355E">
        <w:t>loyed in engineering, perhaps reflecting</w:t>
      </w:r>
      <w:r>
        <w:t xml:space="preserve"> the decline in the ‘skills shortage’ </w:t>
      </w:r>
      <w:r w:rsidR="000B3876">
        <w:t xml:space="preserve">discussed </w:t>
      </w:r>
      <w:r>
        <w:t xml:space="preserve">above. </w:t>
      </w:r>
    </w:p>
    <w:p w14:paraId="682676ED" w14:textId="77777777" w:rsidR="000B3876" w:rsidRDefault="000B3876" w:rsidP="002C6037">
      <w:pPr>
        <w:pStyle w:val="Text"/>
      </w:pPr>
    </w:p>
    <w:p w14:paraId="26AD3D96" w14:textId="77777777" w:rsidR="002C6037" w:rsidRDefault="002C6037" w:rsidP="002C6037">
      <w:pPr>
        <w:pStyle w:val="tabletitle"/>
      </w:pPr>
      <w:bookmarkStart w:id="75" w:name="_Toc248818135"/>
      <w:bookmarkStart w:id="76" w:name="_Toc257836876"/>
      <w:r w:rsidRPr="000A452E">
        <w:t xml:space="preserve">Table </w:t>
      </w:r>
      <w:r>
        <w:t>1</w:t>
      </w:r>
      <w:r w:rsidR="00AD4123">
        <w:t>3</w:t>
      </w:r>
      <w:r w:rsidRPr="000A452E">
        <w:tab/>
        <w:t>Percentage of those employed six months after training working in the same occupation as their training, by level of qualification in the broad field of education of engineering and related technologies and selected narrow fiel</w:t>
      </w:r>
      <w:r>
        <w:t xml:space="preserve">ds </w:t>
      </w:r>
      <w:r w:rsidRPr="000A452E">
        <w:t>of education, 201</w:t>
      </w:r>
      <w:bookmarkEnd w:id="75"/>
      <w:r w:rsidR="000B3876">
        <w:t>2</w:t>
      </w:r>
      <w:bookmarkEnd w:id="76"/>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2C6037" w:rsidRPr="00354810" w14:paraId="53CA386F" w14:textId="77777777" w:rsidTr="00721F1E">
        <w:trPr>
          <w:trHeight w:val="255"/>
          <w:tblHeader/>
        </w:trPr>
        <w:tc>
          <w:tcPr>
            <w:tcW w:w="2876" w:type="dxa"/>
            <w:tcBorders>
              <w:top w:val="single" w:sz="4" w:space="0" w:color="auto"/>
              <w:bottom w:val="nil"/>
            </w:tcBorders>
            <w:shd w:val="clear" w:color="auto" w:fill="auto"/>
            <w:vAlign w:val="center"/>
          </w:tcPr>
          <w:p w14:paraId="5F207503" w14:textId="77777777" w:rsidR="002C6037" w:rsidRPr="00354810" w:rsidRDefault="002C6037" w:rsidP="00721F1E">
            <w:pPr>
              <w:pStyle w:val="Tablehead1"/>
            </w:pPr>
            <w:r w:rsidRPr="00354810">
              <w:t>Field of education</w:t>
            </w:r>
          </w:p>
        </w:tc>
        <w:tc>
          <w:tcPr>
            <w:tcW w:w="860" w:type="dxa"/>
            <w:tcBorders>
              <w:top w:val="single" w:sz="4" w:space="0" w:color="auto"/>
              <w:bottom w:val="nil"/>
            </w:tcBorders>
            <w:vAlign w:val="center"/>
          </w:tcPr>
          <w:p w14:paraId="7B35E5E7" w14:textId="77777777" w:rsidR="002C6037" w:rsidRPr="00354810" w:rsidRDefault="002C6037" w:rsidP="00721F1E">
            <w:pPr>
              <w:pStyle w:val="Tablehead1"/>
              <w:jc w:val="right"/>
              <w:rPr>
                <w:bCs/>
              </w:rPr>
            </w:pPr>
            <w:r w:rsidRPr="00354810">
              <w:rPr>
                <w:bCs/>
              </w:rPr>
              <w:t>Cert I</w:t>
            </w:r>
          </w:p>
        </w:tc>
        <w:tc>
          <w:tcPr>
            <w:tcW w:w="861" w:type="dxa"/>
            <w:tcBorders>
              <w:top w:val="single" w:sz="4" w:space="0" w:color="auto"/>
              <w:bottom w:val="nil"/>
            </w:tcBorders>
            <w:vAlign w:val="center"/>
          </w:tcPr>
          <w:p w14:paraId="5DC1CBBF" w14:textId="77777777" w:rsidR="002C6037" w:rsidRPr="00354810" w:rsidRDefault="002C6037" w:rsidP="00721F1E">
            <w:pPr>
              <w:pStyle w:val="Tablehead1"/>
              <w:jc w:val="right"/>
              <w:rPr>
                <w:bCs/>
              </w:rPr>
            </w:pPr>
            <w:r w:rsidRPr="00354810">
              <w:rPr>
                <w:bCs/>
              </w:rPr>
              <w:t>Cert II</w:t>
            </w:r>
          </w:p>
        </w:tc>
        <w:tc>
          <w:tcPr>
            <w:tcW w:w="861" w:type="dxa"/>
            <w:tcBorders>
              <w:top w:val="single" w:sz="4" w:space="0" w:color="auto"/>
              <w:bottom w:val="nil"/>
            </w:tcBorders>
            <w:shd w:val="clear" w:color="auto" w:fill="auto"/>
            <w:vAlign w:val="center"/>
          </w:tcPr>
          <w:p w14:paraId="6EB24FE7" w14:textId="77777777" w:rsidR="002C6037" w:rsidRPr="00354810" w:rsidRDefault="002C6037" w:rsidP="00721F1E">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49B031E0" w14:textId="77777777" w:rsidR="002C6037" w:rsidRPr="00354810" w:rsidRDefault="002C6037" w:rsidP="00721F1E">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07763A04" w14:textId="77777777" w:rsidR="002C6037" w:rsidRPr="00354810" w:rsidRDefault="002C6037" w:rsidP="00721F1E">
            <w:pPr>
              <w:pStyle w:val="Tablehead1"/>
              <w:jc w:val="right"/>
              <w:rPr>
                <w:bCs/>
              </w:rPr>
            </w:pPr>
            <w:r>
              <w:rPr>
                <w:bCs/>
              </w:rPr>
              <w:t>Dips and above</w:t>
            </w:r>
          </w:p>
        </w:tc>
        <w:tc>
          <w:tcPr>
            <w:tcW w:w="861" w:type="dxa"/>
            <w:tcBorders>
              <w:top w:val="single" w:sz="4" w:space="0" w:color="auto"/>
              <w:bottom w:val="nil"/>
            </w:tcBorders>
            <w:vAlign w:val="center"/>
          </w:tcPr>
          <w:p w14:paraId="5D9C648C" w14:textId="77777777" w:rsidR="002C6037" w:rsidRPr="00354810" w:rsidRDefault="002C6037" w:rsidP="00721F1E">
            <w:pPr>
              <w:pStyle w:val="Tablehead1"/>
              <w:jc w:val="right"/>
              <w:rPr>
                <w:bCs/>
              </w:rPr>
            </w:pPr>
            <w:r w:rsidRPr="00354810">
              <w:rPr>
                <w:bCs/>
              </w:rPr>
              <w:t>All levels</w:t>
            </w:r>
          </w:p>
        </w:tc>
      </w:tr>
      <w:tr w:rsidR="002C6037" w:rsidRPr="00354810" w14:paraId="01F4E68C" w14:textId="77777777" w:rsidTr="00721F1E">
        <w:trPr>
          <w:trHeight w:val="255"/>
        </w:trPr>
        <w:tc>
          <w:tcPr>
            <w:tcW w:w="2876" w:type="dxa"/>
            <w:tcBorders>
              <w:top w:val="nil"/>
              <w:bottom w:val="nil"/>
            </w:tcBorders>
            <w:shd w:val="clear" w:color="auto" w:fill="auto"/>
            <w:vAlign w:val="center"/>
          </w:tcPr>
          <w:p w14:paraId="0FE3D18B" w14:textId="77777777" w:rsidR="002C6037" w:rsidRPr="00354810" w:rsidRDefault="002C6037" w:rsidP="00721F1E">
            <w:pPr>
              <w:pStyle w:val="Tabletext"/>
              <w:rPr>
                <w:b/>
              </w:rPr>
            </w:pPr>
            <w:r w:rsidRPr="00354810">
              <w:rPr>
                <w:b/>
              </w:rPr>
              <w:t>Engineering and related technologies</w:t>
            </w:r>
          </w:p>
        </w:tc>
        <w:tc>
          <w:tcPr>
            <w:tcW w:w="860" w:type="dxa"/>
            <w:tcBorders>
              <w:top w:val="nil"/>
              <w:bottom w:val="nil"/>
            </w:tcBorders>
            <w:vAlign w:val="center"/>
          </w:tcPr>
          <w:p w14:paraId="31EA8575" w14:textId="77777777" w:rsidR="002C6037" w:rsidRPr="00354810" w:rsidRDefault="002C6037" w:rsidP="00721F1E">
            <w:pPr>
              <w:pStyle w:val="Tabletext"/>
              <w:jc w:val="right"/>
            </w:pPr>
            <w:r>
              <w:t>38.7*</w:t>
            </w:r>
          </w:p>
        </w:tc>
        <w:tc>
          <w:tcPr>
            <w:tcW w:w="861" w:type="dxa"/>
            <w:tcBorders>
              <w:top w:val="nil"/>
              <w:bottom w:val="nil"/>
            </w:tcBorders>
            <w:vAlign w:val="center"/>
          </w:tcPr>
          <w:p w14:paraId="0D0EA9AE" w14:textId="77777777" w:rsidR="002C6037" w:rsidRPr="00354810" w:rsidRDefault="002C6037" w:rsidP="00721F1E">
            <w:pPr>
              <w:pStyle w:val="Tabletext"/>
              <w:jc w:val="right"/>
            </w:pPr>
            <w:r>
              <w:t>12.2</w:t>
            </w:r>
          </w:p>
        </w:tc>
        <w:tc>
          <w:tcPr>
            <w:tcW w:w="861" w:type="dxa"/>
            <w:tcBorders>
              <w:top w:val="nil"/>
              <w:bottom w:val="nil"/>
            </w:tcBorders>
            <w:shd w:val="clear" w:color="auto" w:fill="auto"/>
            <w:vAlign w:val="center"/>
          </w:tcPr>
          <w:p w14:paraId="06903954" w14:textId="77777777" w:rsidR="002C6037" w:rsidRPr="00354810" w:rsidRDefault="002C6037" w:rsidP="00721F1E">
            <w:pPr>
              <w:pStyle w:val="Tabletext"/>
              <w:jc w:val="right"/>
            </w:pPr>
            <w:r>
              <w:t>75.7</w:t>
            </w:r>
          </w:p>
        </w:tc>
        <w:tc>
          <w:tcPr>
            <w:tcW w:w="860" w:type="dxa"/>
            <w:tcBorders>
              <w:top w:val="nil"/>
              <w:bottom w:val="nil"/>
            </w:tcBorders>
            <w:shd w:val="clear" w:color="auto" w:fill="auto"/>
            <w:vAlign w:val="center"/>
          </w:tcPr>
          <w:p w14:paraId="65F3F912" w14:textId="77777777" w:rsidR="002C6037" w:rsidRPr="00354810" w:rsidRDefault="002C6037" w:rsidP="00721F1E">
            <w:pPr>
              <w:pStyle w:val="Tabletext"/>
              <w:jc w:val="right"/>
            </w:pPr>
            <w:r>
              <w:t>35.8</w:t>
            </w:r>
          </w:p>
        </w:tc>
        <w:tc>
          <w:tcPr>
            <w:tcW w:w="861" w:type="dxa"/>
            <w:tcBorders>
              <w:top w:val="nil"/>
              <w:bottom w:val="nil"/>
            </w:tcBorders>
            <w:shd w:val="pct12" w:color="auto" w:fill="auto"/>
            <w:vAlign w:val="center"/>
          </w:tcPr>
          <w:p w14:paraId="5BA71229" w14:textId="77777777" w:rsidR="002C6037" w:rsidRPr="00354810" w:rsidRDefault="002C6037" w:rsidP="00721F1E">
            <w:pPr>
              <w:pStyle w:val="Tabletext"/>
              <w:jc w:val="right"/>
            </w:pPr>
            <w:r>
              <w:t>19.2</w:t>
            </w:r>
          </w:p>
        </w:tc>
        <w:tc>
          <w:tcPr>
            <w:tcW w:w="861" w:type="dxa"/>
            <w:tcBorders>
              <w:top w:val="nil"/>
              <w:bottom w:val="nil"/>
            </w:tcBorders>
            <w:vAlign w:val="center"/>
          </w:tcPr>
          <w:p w14:paraId="33709AF1" w14:textId="77777777" w:rsidR="002C6037" w:rsidRPr="00354810" w:rsidRDefault="002C6037" w:rsidP="00721F1E">
            <w:pPr>
              <w:pStyle w:val="Tabletext"/>
              <w:jc w:val="right"/>
              <w:rPr>
                <w:b/>
              </w:rPr>
            </w:pPr>
            <w:r>
              <w:rPr>
                <w:b/>
              </w:rPr>
              <w:t>58.2</w:t>
            </w:r>
          </w:p>
        </w:tc>
      </w:tr>
      <w:tr w:rsidR="002C6037" w:rsidRPr="00354810" w14:paraId="429A0C5A" w14:textId="77777777" w:rsidTr="00721F1E">
        <w:trPr>
          <w:trHeight w:val="255"/>
        </w:trPr>
        <w:tc>
          <w:tcPr>
            <w:tcW w:w="2876" w:type="dxa"/>
            <w:tcBorders>
              <w:top w:val="nil"/>
              <w:bottom w:val="nil"/>
            </w:tcBorders>
            <w:shd w:val="clear" w:color="auto" w:fill="auto"/>
            <w:vAlign w:val="center"/>
          </w:tcPr>
          <w:p w14:paraId="2B3D37EA" w14:textId="77777777" w:rsidR="002C6037" w:rsidRPr="00354810" w:rsidRDefault="002C6037" w:rsidP="00721F1E">
            <w:pPr>
              <w:pStyle w:val="Tabletext"/>
              <w:ind w:left="567"/>
            </w:pPr>
            <w:r w:rsidRPr="00354810">
              <w:t>Process and resources engineering</w:t>
            </w:r>
          </w:p>
        </w:tc>
        <w:tc>
          <w:tcPr>
            <w:tcW w:w="860" w:type="dxa"/>
            <w:tcBorders>
              <w:top w:val="nil"/>
              <w:bottom w:val="nil"/>
            </w:tcBorders>
            <w:vAlign w:val="center"/>
          </w:tcPr>
          <w:p w14:paraId="6696E88B" w14:textId="77777777" w:rsidR="002C6037" w:rsidRPr="00354810" w:rsidRDefault="002C6037" w:rsidP="00721F1E">
            <w:pPr>
              <w:pStyle w:val="Tabletext"/>
              <w:jc w:val="right"/>
            </w:pPr>
            <w:r>
              <w:t>np</w:t>
            </w:r>
          </w:p>
        </w:tc>
        <w:tc>
          <w:tcPr>
            <w:tcW w:w="861" w:type="dxa"/>
            <w:tcBorders>
              <w:top w:val="nil"/>
              <w:bottom w:val="nil"/>
            </w:tcBorders>
            <w:vAlign w:val="center"/>
          </w:tcPr>
          <w:p w14:paraId="466419DA" w14:textId="77777777" w:rsidR="002C6037" w:rsidRPr="00354810" w:rsidRDefault="002C6037" w:rsidP="00721F1E">
            <w:pPr>
              <w:pStyle w:val="Tabletext"/>
              <w:jc w:val="right"/>
            </w:pPr>
            <w:r>
              <w:t>np</w:t>
            </w:r>
          </w:p>
        </w:tc>
        <w:tc>
          <w:tcPr>
            <w:tcW w:w="861" w:type="dxa"/>
            <w:tcBorders>
              <w:top w:val="nil"/>
              <w:bottom w:val="nil"/>
            </w:tcBorders>
            <w:shd w:val="clear" w:color="auto" w:fill="auto"/>
            <w:vAlign w:val="center"/>
          </w:tcPr>
          <w:p w14:paraId="0940959E" w14:textId="77777777" w:rsidR="002C6037" w:rsidRPr="00354810" w:rsidRDefault="002C6037" w:rsidP="00721F1E">
            <w:pPr>
              <w:pStyle w:val="Tabletext"/>
              <w:jc w:val="right"/>
            </w:pPr>
            <w:r>
              <w:t>67.7</w:t>
            </w:r>
          </w:p>
        </w:tc>
        <w:tc>
          <w:tcPr>
            <w:tcW w:w="860" w:type="dxa"/>
            <w:tcBorders>
              <w:top w:val="nil"/>
              <w:bottom w:val="nil"/>
            </w:tcBorders>
            <w:shd w:val="clear" w:color="auto" w:fill="auto"/>
            <w:vAlign w:val="center"/>
          </w:tcPr>
          <w:p w14:paraId="0DB88493" w14:textId="77777777" w:rsidR="002C6037" w:rsidRPr="00354810" w:rsidRDefault="002C6037" w:rsidP="00721F1E">
            <w:pPr>
              <w:pStyle w:val="Tabletext"/>
              <w:jc w:val="right"/>
            </w:pPr>
            <w:r>
              <w:t>np</w:t>
            </w:r>
          </w:p>
        </w:tc>
        <w:tc>
          <w:tcPr>
            <w:tcW w:w="861" w:type="dxa"/>
            <w:tcBorders>
              <w:top w:val="nil"/>
              <w:bottom w:val="nil"/>
            </w:tcBorders>
            <w:shd w:val="pct12" w:color="auto" w:fill="auto"/>
            <w:vAlign w:val="center"/>
          </w:tcPr>
          <w:p w14:paraId="7AC2BB63" w14:textId="77777777" w:rsidR="002C6037" w:rsidRPr="00354810" w:rsidRDefault="002C6037" w:rsidP="00721F1E">
            <w:pPr>
              <w:pStyle w:val="Tabletext"/>
              <w:jc w:val="right"/>
            </w:pPr>
            <w:r>
              <w:t>0.0</w:t>
            </w:r>
          </w:p>
        </w:tc>
        <w:tc>
          <w:tcPr>
            <w:tcW w:w="861" w:type="dxa"/>
            <w:tcBorders>
              <w:top w:val="nil"/>
              <w:bottom w:val="nil"/>
            </w:tcBorders>
            <w:vAlign w:val="center"/>
          </w:tcPr>
          <w:p w14:paraId="1B9BC9D1" w14:textId="77777777" w:rsidR="002C6037" w:rsidRPr="00354810" w:rsidRDefault="002C6037" w:rsidP="00721F1E">
            <w:pPr>
              <w:pStyle w:val="Tabletext"/>
              <w:jc w:val="right"/>
              <w:rPr>
                <w:b/>
              </w:rPr>
            </w:pPr>
            <w:r>
              <w:rPr>
                <w:b/>
              </w:rPr>
              <w:t>49.9</w:t>
            </w:r>
          </w:p>
        </w:tc>
      </w:tr>
      <w:tr w:rsidR="002C6037" w:rsidRPr="00354810" w14:paraId="59F08DF2" w14:textId="77777777" w:rsidTr="00721F1E">
        <w:trPr>
          <w:trHeight w:val="510"/>
        </w:trPr>
        <w:tc>
          <w:tcPr>
            <w:tcW w:w="2876" w:type="dxa"/>
            <w:tcBorders>
              <w:top w:val="nil"/>
              <w:bottom w:val="nil"/>
            </w:tcBorders>
            <w:shd w:val="clear" w:color="auto" w:fill="auto"/>
            <w:vAlign w:val="center"/>
          </w:tcPr>
          <w:p w14:paraId="2AD89FBB" w14:textId="77777777" w:rsidR="002C6037" w:rsidRPr="00354810" w:rsidRDefault="002C6037" w:rsidP="00721F1E">
            <w:pPr>
              <w:pStyle w:val="Tabletext"/>
              <w:ind w:left="567"/>
            </w:pPr>
            <w:r w:rsidRPr="00354810">
              <w:t>Electrical and electronic engineering and technology</w:t>
            </w:r>
          </w:p>
        </w:tc>
        <w:tc>
          <w:tcPr>
            <w:tcW w:w="860" w:type="dxa"/>
            <w:tcBorders>
              <w:top w:val="nil"/>
              <w:bottom w:val="nil"/>
            </w:tcBorders>
            <w:vAlign w:val="center"/>
          </w:tcPr>
          <w:p w14:paraId="537483E7" w14:textId="77777777" w:rsidR="002C6037" w:rsidRPr="00354810" w:rsidRDefault="002C6037" w:rsidP="00721F1E">
            <w:pPr>
              <w:pStyle w:val="Tabletext"/>
              <w:jc w:val="right"/>
            </w:pPr>
            <w:proofErr w:type="spellStart"/>
            <w:r>
              <w:t>na</w:t>
            </w:r>
            <w:proofErr w:type="spellEnd"/>
          </w:p>
        </w:tc>
        <w:tc>
          <w:tcPr>
            <w:tcW w:w="861" w:type="dxa"/>
            <w:tcBorders>
              <w:top w:val="nil"/>
              <w:bottom w:val="nil"/>
            </w:tcBorders>
            <w:vAlign w:val="center"/>
          </w:tcPr>
          <w:p w14:paraId="37F50CE2" w14:textId="77777777" w:rsidR="002C6037" w:rsidRPr="00354810" w:rsidRDefault="002C6037" w:rsidP="00721F1E">
            <w:pPr>
              <w:pStyle w:val="Tabletext"/>
              <w:jc w:val="right"/>
            </w:pPr>
            <w:r>
              <w:t>16.2*</w:t>
            </w:r>
          </w:p>
        </w:tc>
        <w:tc>
          <w:tcPr>
            <w:tcW w:w="861" w:type="dxa"/>
            <w:tcBorders>
              <w:top w:val="nil"/>
              <w:bottom w:val="nil"/>
            </w:tcBorders>
            <w:shd w:val="clear" w:color="auto" w:fill="auto"/>
            <w:vAlign w:val="center"/>
          </w:tcPr>
          <w:p w14:paraId="4EFC1D62" w14:textId="77777777" w:rsidR="002C6037" w:rsidRPr="00354810" w:rsidRDefault="002C6037" w:rsidP="00721F1E">
            <w:pPr>
              <w:pStyle w:val="Tabletext"/>
              <w:jc w:val="right"/>
            </w:pPr>
            <w:r>
              <w:t>89.9</w:t>
            </w:r>
          </w:p>
        </w:tc>
        <w:tc>
          <w:tcPr>
            <w:tcW w:w="860" w:type="dxa"/>
            <w:tcBorders>
              <w:top w:val="nil"/>
              <w:bottom w:val="nil"/>
            </w:tcBorders>
            <w:shd w:val="clear" w:color="auto" w:fill="auto"/>
            <w:vAlign w:val="center"/>
          </w:tcPr>
          <w:p w14:paraId="390005EE" w14:textId="77777777" w:rsidR="002C6037" w:rsidRPr="00354810" w:rsidRDefault="002C6037" w:rsidP="00721F1E">
            <w:pPr>
              <w:pStyle w:val="Tabletext"/>
              <w:jc w:val="right"/>
            </w:pPr>
            <w:r>
              <w:t>53.9*</w:t>
            </w:r>
          </w:p>
        </w:tc>
        <w:tc>
          <w:tcPr>
            <w:tcW w:w="861" w:type="dxa"/>
            <w:tcBorders>
              <w:top w:val="nil"/>
              <w:bottom w:val="nil"/>
            </w:tcBorders>
            <w:shd w:val="pct12" w:color="auto" w:fill="auto"/>
            <w:vAlign w:val="center"/>
          </w:tcPr>
          <w:p w14:paraId="50F04052" w14:textId="77777777" w:rsidR="002C6037" w:rsidRPr="00354810" w:rsidRDefault="002C6037" w:rsidP="00721F1E">
            <w:pPr>
              <w:pStyle w:val="Tabletext"/>
              <w:jc w:val="right"/>
            </w:pPr>
            <w:r>
              <w:t>np</w:t>
            </w:r>
          </w:p>
        </w:tc>
        <w:tc>
          <w:tcPr>
            <w:tcW w:w="861" w:type="dxa"/>
            <w:tcBorders>
              <w:top w:val="nil"/>
              <w:bottom w:val="nil"/>
            </w:tcBorders>
            <w:vAlign w:val="center"/>
          </w:tcPr>
          <w:p w14:paraId="2BE060DB" w14:textId="77777777" w:rsidR="002C6037" w:rsidRPr="00354810" w:rsidRDefault="002C6037" w:rsidP="00721F1E">
            <w:pPr>
              <w:pStyle w:val="Tabletext"/>
              <w:jc w:val="right"/>
              <w:rPr>
                <w:b/>
              </w:rPr>
            </w:pPr>
            <w:r>
              <w:rPr>
                <w:b/>
              </w:rPr>
              <w:t>76.3</w:t>
            </w:r>
          </w:p>
        </w:tc>
      </w:tr>
      <w:tr w:rsidR="002C6037" w:rsidRPr="00354810" w14:paraId="492347AE" w14:textId="77777777" w:rsidTr="00721F1E">
        <w:trPr>
          <w:trHeight w:val="255"/>
        </w:trPr>
        <w:tc>
          <w:tcPr>
            <w:tcW w:w="2876" w:type="dxa"/>
            <w:tcBorders>
              <w:top w:val="single" w:sz="4" w:space="0" w:color="auto"/>
              <w:bottom w:val="single" w:sz="4" w:space="0" w:color="auto"/>
            </w:tcBorders>
            <w:shd w:val="clear" w:color="auto" w:fill="auto"/>
            <w:vAlign w:val="center"/>
          </w:tcPr>
          <w:p w14:paraId="7C825553" w14:textId="77777777" w:rsidR="002C6037" w:rsidRPr="00354810" w:rsidRDefault="002C6037" w:rsidP="00721F1E">
            <w:pPr>
              <w:pStyle w:val="Tabletext"/>
              <w:rPr>
                <w:b/>
              </w:rPr>
            </w:pPr>
            <w:r w:rsidRPr="00354810">
              <w:rPr>
                <w:b/>
              </w:rPr>
              <w:t>All fields</w:t>
            </w:r>
          </w:p>
        </w:tc>
        <w:tc>
          <w:tcPr>
            <w:tcW w:w="860" w:type="dxa"/>
            <w:tcBorders>
              <w:top w:val="single" w:sz="4" w:space="0" w:color="auto"/>
              <w:bottom w:val="single" w:sz="4" w:space="0" w:color="auto"/>
            </w:tcBorders>
            <w:vAlign w:val="center"/>
          </w:tcPr>
          <w:p w14:paraId="2F105E3E" w14:textId="77777777" w:rsidR="002C6037" w:rsidRPr="00354810" w:rsidRDefault="002C6037" w:rsidP="00721F1E">
            <w:pPr>
              <w:pStyle w:val="Tabletext"/>
              <w:jc w:val="right"/>
              <w:rPr>
                <w:b/>
              </w:rPr>
            </w:pPr>
            <w:r>
              <w:rPr>
                <w:b/>
              </w:rPr>
              <w:t>24.0*</w:t>
            </w:r>
          </w:p>
        </w:tc>
        <w:tc>
          <w:tcPr>
            <w:tcW w:w="861" w:type="dxa"/>
            <w:tcBorders>
              <w:top w:val="single" w:sz="4" w:space="0" w:color="auto"/>
              <w:bottom w:val="single" w:sz="4" w:space="0" w:color="auto"/>
            </w:tcBorders>
            <w:vAlign w:val="center"/>
          </w:tcPr>
          <w:p w14:paraId="21FC4B90" w14:textId="77777777" w:rsidR="002C6037" w:rsidRPr="00354810" w:rsidRDefault="002C6037" w:rsidP="00721F1E">
            <w:pPr>
              <w:pStyle w:val="Tabletext"/>
              <w:jc w:val="right"/>
              <w:rPr>
                <w:b/>
              </w:rPr>
            </w:pPr>
            <w:r>
              <w:rPr>
                <w:b/>
              </w:rPr>
              <w:t>22.3</w:t>
            </w:r>
          </w:p>
        </w:tc>
        <w:tc>
          <w:tcPr>
            <w:tcW w:w="861" w:type="dxa"/>
            <w:tcBorders>
              <w:top w:val="single" w:sz="4" w:space="0" w:color="auto"/>
              <w:bottom w:val="single" w:sz="4" w:space="0" w:color="auto"/>
            </w:tcBorders>
            <w:shd w:val="clear" w:color="auto" w:fill="auto"/>
            <w:vAlign w:val="center"/>
          </w:tcPr>
          <w:p w14:paraId="66EBA163" w14:textId="77777777" w:rsidR="002C6037" w:rsidRPr="00354810" w:rsidRDefault="002C6037" w:rsidP="00721F1E">
            <w:pPr>
              <w:pStyle w:val="Tabletext"/>
              <w:jc w:val="right"/>
              <w:rPr>
                <w:b/>
              </w:rPr>
            </w:pPr>
            <w:r>
              <w:rPr>
                <w:b/>
              </w:rPr>
              <w:t>60.0</w:t>
            </w:r>
          </w:p>
        </w:tc>
        <w:tc>
          <w:tcPr>
            <w:tcW w:w="860" w:type="dxa"/>
            <w:tcBorders>
              <w:top w:val="single" w:sz="4" w:space="0" w:color="auto"/>
              <w:bottom w:val="single" w:sz="4" w:space="0" w:color="auto"/>
            </w:tcBorders>
            <w:shd w:val="clear" w:color="auto" w:fill="auto"/>
            <w:vAlign w:val="center"/>
          </w:tcPr>
          <w:p w14:paraId="789B3724" w14:textId="77777777" w:rsidR="002C6037" w:rsidRPr="00354810" w:rsidRDefault="002C6037" w:rsidP="00721F1E">
            <w:pPr>
              <w:pStyle w:val="Tabletext"/>
              <w:jc w:val="right"/>
              <w:rPr>
                <w:b/>
              </w:rPr>
            </w:pPr>
            <w:r>
              <w:rPr>
                <w:b/>
              </w:rPr>
              <w:t>26.2</w:t>
            </w:r>
          </w:p>
        </w:tc>
        <w:tc>
          <w:tcPr>
            <w:tcW w:w="861" w:type="dxa"/>
            <w:tcBorders>
              <w:top w:val="single" w:sz="4" w:space="0" w:color="auto"/>
              <w:bottom w:val="single" w:sz="4" w:space="0" w:color="auto"/>
            </w:tcBorders>
            <w:shd w:val="pct12" w:color="auto" w:fill="auto"/>
            <w:vAlign w:val="center"/>
          </w:tcPr>
          <w:p w14:paraId="759F5AA8" w14:textId="77777777" w:rsidR="002C6037" w:rsidRPr="00354810" w:rsidRDefault="002C6037" w:rsidP="00721F1E">
            <w:pPr>
              <w:pStyle w:val="Tabletext"/>
              <w:jc w:val="right"/>
              <w:rPr>
                <w:b/>
              </w:rPr>
            </w:pPr>
            <w:r>
              <w:rPr>
                <w:b/>
              </w:rPr>
              <w:t>25.1</w:t>
            </w:r>
          </w:p>
        </w:tc>
        <w:tc>
          <w:tcPr>
            <w:tcW w:w="861" w:type="dxa"/>
            <w:tcBorders>
              <w:top w:val="single" w:sz="4" w:space="0" w:color="auto"/>
              <w:bottom w:val="single" w:sz="4" w:space="0" w:color="auto"/>
            </w:tcBorders>
            <w:vAlign w:val="center"/>
          </w:tcPr>
          <w:p w14:paraId="7D65E586" w14:textId="77777777" w:rsidR="002C6037" w:rsidRPr="00354810" w:rsidRDefault="002C6037" w:rsidP="00721F1E">
            <w:pPr>
              <w:pStyle w:val="Tabletext"/>
              <w:jc w:val="right"/>
              <w:rPr>
                <w:b/>
              </w:rPr>
            </w:pPr>
            <w:r>
              <w:rPr>
                <w:b/>
              </w:rPr>
              <w:t>41.1</w:t>
            </w:r>
          </w:p>
        </w:tc>
      </w:tr>
    </w:tbl>
    <w:p w14:paraId="6981BDBE" w14:textId="77777777" w:rsidR="002C6037" w:rsidRDefault="002C6037" w:rsidP="002C6037">
      <w:pPr>
        <w:pStyle w:val="Source"/>
      </w:pPr>
      <w:r>
        <w:t>Source:</w:t>
      </w:r>
      <w:r>
        <w:tab/>
        <w:t>NCVER (2013).</w:t>
      </w:r>
    </w:p>
    <w:p w14:paraId="31591291" w14:textId="77777777" w:rsidR="002C6037" w:rsidRDefault="002C6037" w:rsidP="002C6037">
      <w:pPr>
        <w:pStyle w:val="Source"/>
      </w:pPr>
      <w:r>
        <w:t>Notes:</w:t>
      </w:r>
      <w:r>
        <w:tab/>
      </w:r>
      <w:proofErr w:type="spellStart"/>
      <w:proofErr w:type="gramStart"/>
      <w:r>
        <w:t>na</w:t>
      </w:r>
      <w:proofErr w:type="spellEnd"/>
      <w:proofErr w:type="gramEnd"/>
      <w:r>
        <w:t xml:space="preserve"> </w:t>
      </w:r>
      <w:r w:rsidRPr="00147C93">
        <w:t>Not applicable</w:t>
      </w:r>
    </w:p>
    <w:p w14:paraId="412A17C6" w14:textId="77777777" w:rsidR="002C6037" w:rsidRDefault="002C6037" w:rsidP="002C6037">
      <w:pPr>
        <w:pStyle w:val="Source"/>
        <w:ind w:firstLine="0"/>
      </w:pPr>
      <w:r>
        <w:t xml:space="preserve">* The estimate has a relative standard error greater than, or equal to, 25% and therefore should be used with caution. </w:t>
      </w:r>
    </w:p>
    <w:p w14:paraId="06DECB45" w14:textId="77777777" w:rsidR="002C6037" w:rsidRDefault="002C6037" w:rsidP="002C6037">
      <w:pPr>
        <w:pStyle w:val="Source"/>
        <w:ind w:firstLine="0"/>
      </w:pPr>
      <w:proofErr w:type="gramStart"/>
      <w:r>
        <w:t>np</w:t>
      </w:r>
      <w:proofErr w:type="gramEnd"/>
      <w:r>
        <w:t xml:space="preserve"> Not published. NCVER does not report on estimates based on five or fewer respondents because the estimates are unreliable.</w:t>
      </w:r>
    </w:p>
    <w:p w14:paraId="2C28BC5B" w14:textId="3DC1D3D8" w:rsidR="002C6037" w:rsidRDefault="002C6037" w:rsidP="002C6037">
      <w:pPr>
        <w:pStyle w:val="Text"/>
      </w:pPr>
      <w:r>
        <w:t>This suggests that notwithstanding the aim of vocational</w:t>
      </w:r>
      <w:r w:rsidR="00AD4123">
        <w:t xml:space="preserve"> diplomas and above</w:t>
      </w:r>
      <w:r>
        <w:t xml:space="preserve"> </w:t>
      </w:r>
      <w:r w:rsidR="000B3876">
        <w:t xml:space="preserve">in engineering </w:t>
      </w:r>
      <w:r>
        <w:t>to prepare graduates for specific jobs, they actually prepare graduates for employment more generally. It also highlights the importance of vocational qualifications’ other roles, t</w:t>
      </w:r>
      <w:r w:rsidR="005E0650">
        <w:t xml:space="preserve">o support transitions to higher </w:t>
      </w:r>
      <w:r>
        <w:t>level qualifications and t</w:t>
      </w:r>
      <w:r w:rsidR="005E0650">
        <w:t xml:space="preserve">o widen participation in higher </w:t>
      </w:r>
      <w:r>
        <w:t>level qualifications by expanding access for students from disadvantaged backgrounds.</w:t>
      </w:r>
    </w:p>
    <w:p w14:paraId="31CEC1EE" w14:textId="77777777" w:rsidR="002C6037" w:rsidRDefault="002C6037" w:rsidP="002C6037">
      <w:pPr>
        <w:pStyle w:val="Text"/>
      </w:pPr>
      <w:r>
        <w:t xml:space="preserve">Our previous findings in the project also suggested a lack of coherence in educational progression in engineering. In </w:t>
      </w:r>
      <w:r w:rsidR="000B3876">
        <w:t>the first stage of the project S</w:t>
      </w:r>
      <w:r>
        <w:t xml:space="preserve">trand 2 examined how pathways varied in tertiary education. We firstly examined the extent to which students were admitted to bachelor level programs on the basis of previous VET study. It was noted that </w:t>
      </w:r>
      <w:r w:rsidR="006668AC">
        <w:t>9% of</w:t>
      </w:r>
      <w:r>
        <w:t xml:space="preserve"> students commencing</w:t>
      </w:r>
      <w:r w:rsidR="006668AC">
        <w:t xml:space="preserve"> all programs</w:t>
      </w:r>
      <w:r>
        <w:t xml:space="preserve"> in 2008 were admitted on th</w:t>
      </w:r>
      <w:r w:rsidR="006668AC">
        <w:t>e</w:t>
      </w:r>
      <w:r>
        <w:t xml:space="preserve"> basis</w:t>
      </w:r>
      <w:r w:rsidR="006668AC">
        <w:t xml:space="preserve"> of previous VET study</w:t>
      </w:r>
      <w:r>
        <w:t xml:space="preserve">. This proportion was somewhat lower in the broad field of engineering and related technologies, at 5%, and in the 12 narrow engineering fields the proportion ranged from zero to 12%, with the marked exception of manufacturing engineering and technology in which it was 43% </w:t>
      </w:r>
      <w:r>
        <w:fldChar w:fldCharType="begin"/>
      </w:r>
      <w:r w:rsidR="00B24D35">
        <w:instrText xml:space="preserve"> ADDIN EN.CITE &lt;EndNote&gt;&lt;Cite&gt;&lt;Author&gt;Moodie&lt;/Author&gt;&lt;Year&gt;2012 forthcoming&lt;/Year&gt;&lt;RecNum&gt;2924&lt;/RecNum&gt;&lt;Suffix&gt;`, p. 11&lt;/Suffix&gt;&lt;DisplayText&gt;(Moodie, 2012a, p. 11)&lt;/DisplayText&gt;&lt;record&gt;&lt;rec-number&gt;2924&lt;/rec-number&gt;&lt;foreign-keys&gt;&lt;key app="EN" db-id="vadepsw2f2aeebevffz5fzpddt9tvewsatpr" timestamp="0"&gt;2924&lt;/key&gt;&lt;/foreign-keys&gt;&lt;ref-type name="Report"&gt;27&lt;/ref-type&gt;&lt;contributors&gt;&lt;authors&gt;&lt;author&gt;Moodie, Gavin&lt;/author&gt;&lt;/authors&gt;&lt;/contributors&gt;&lt;titles&gt;&lt;title&gt;The role of educational institutions in fostering vocations &lt;/title&gt;&lt;/titles&gt;&lt;dates&gt;&lt;year&gt;2012&lt;/year&gt;&lt;/dates&gt;&lt;pub-location&gt;Adelaide&lt;/pub-location&gt;&lt;publisher&gt;National Centre for Vocational Education Research&lt;/publisher&gt;&lt;urls&gt;&lt;/urls&gt;&lt;/record&gt;&lt;/Cite&gt;&lt;/EndNote&gt;</w:instrText>
      </w:r>
      <w:r>
        <w:fldChar w:fldCharType="separate"/>
      </w:r>
      <w:r w:rsidR="00B24D35">
        <w:rPr>
          <w:noProof/>
        </w:rPr>
        <w:t>(</w:t>
      </w:r>
      <w:hyperlink w:anchor="_ENREF_14" w:tooltip="Moodie, 2012 #2924" w:history="1">
        <w:r w:rsidR="00B03184">
          <w:rPr>
            <w:noProof/>
          </w:rPr>
          <w:t>Moodie 2012a, p. 11</w:t>
        </w:r>
      </w:hyperlink>
      <w:r w:rsidR="00B24D35">
        <w:rPr>
          <w:noProof/>
        </w:rPr>
        <w:t>)</w:t>
      </w:r>
      <w:r>
        <w:fldChar w:fldCharType="end"/>
      </w:r>
      <w:r>
        <w:t>.</w:t>
      </w:r>
    </w:p>
    <w:p w14:paraId="63F29D41" w14:textId="1C9A3061" w:rsidR="002C6037" w:rsidRDefault="002C6037" w:rsidP="002C6037">
      <w:pPr>
        <w:pStyle w:val="Text"/>
      </w:pPr>
      <w:r>
        <w:t>We also examined pathways in tertiary education more broadly by examining the detailed educational history available in the Australian Bureau of Statistics’ Survey of Education and Training. We noted that successive issues of this survey through the 2000s show a trend towards multiple qualifications and also shows a trend towards a greater proportion of qualifications in higher education</w:t>
      </w:r>
      <w:r w:rsidR="00B24D35">
        <w:t xml:space="preserve"> </w:t>
      </w:r>
      <w:r w:rsidR="00B03184">
        <w:fldChar w:fldCharType="begin"/>
      </w:r>
      <w:r w:rsidR="00B03184">
        <w:instrText xml:space="preserve"> ADDIN EN.CITE &lt;EndNote&gt;&lt;Cite&gt;&lt;Author&gt;Moodie&lt;/Author&gt;&lt;Year&gt;2012&lt;/Year&gt;&lt;RecNum&gt;2924&lt;/RecNum&gt;&lt;Suffix&gt;`, p.16&lt;/Suffix&gt;&lt;DisplayText&gt;(Moodie, 2012a, p.16)&lt;/DisplayText&gt;&lt;record&gt;&lt;rec-number&gt;2924&lt;/rec-number&gt;&lt;foreign-keys&gt;&lt;key app="EN" db-id="vadepsw2f2aeebevffz5fzpddt9tvewsatpr" timestamp="0"&gt;2924&lt;/key&gt;&lt;/foreign-keys&gt;&lt;ref-type name="Report"&gt;27&lt;/ref-type&gt;&lt;contributors&gt;&lt;authors&gt;&lt;author&gt;Moodie, Gavin&lt;/author&gt;&lt;/authors&gt;&lt;/contributors&gt;&lt;titles&gt;&lt;title&gt;The role of educational institutions in fostering vocations &lt;/title&gt;&lt;/titles&gt;&lt;dates&gt;&lt;year&gt;2012&lt;/year&gt;&lt;/dates&gt;&lt;pub-location&gt;Adelaide&lt;/pub-location&gt;&lt;publisher&gt;National Centre for Vocational Education Research&lt;/publisher&gt;&lt;urls&gt;&lt;/urls&gt;&lt;/record&gt;&lt;/Cite&gt;&lt;/EndNote&gt;</w:instrText>
      </w:r>
      <w:r w:rsidR="00B03184">
        <w:fldChar w:fldCharType="separate"/>
      </w:r>
      <w:r w:rsidR="00B03184">
        <w:rPr>
          <w:noProof/>
        </w:rPr>
        <w:t>(</w:t>
      </w:r>
      <w:hyperlink w:anchor="_ENREF_14" w:tooltip="Moodie, 2012 #2924" w:history="1">
        <w:r w:rsidR="00B03184">
          <w:rPr>
            <w:noProof/>
          </w:rPr>
          <w:t>Moodie 2012a, p.16</w:t>
        </w:r>
      </w:hyperlink>
      <w:r w:rsidR="00B03184">
        <w:rPr>
          <w:noProof/>
        </w:rPr>
        <w:t>)</w:t>
      </w:r>
      <w:r w:rsidR="00B03184">
        <w:fldChar w:fldCharType="end"/>
      </w:r>
      <w:r>
        <w:t xml:space="preserve">. We looked at </w:t>
      </w:r>
      <w:r w:rsidR="007C7D3F">
        <w:t xml:space="preserve">the </w:t>
      </w:r>
      <w:r>
        <w:t xml:space="preserve">extent </w:t>
      </w:r>
      <w:r w:rsidR="005E0650">
        <w:t xml:space="preserve">to which </w:t>
      </w:r>
      <w:r>
        <w:t>diffe</w:t>
      </w:r>
      <w:r w:rsidR="005E0650">
        <w:t>rent pathways had been followed by</w:t>
      </w:r>
      <w:r>
        <w:t xml:space="preserve"> examining the first and second qualification for those who had undertaken at least two qualifications</w:t>
      </w:r>
      <w:r w:rsidR="005E0650">
        <w:t xml:space="preserve">. We analysed this </w:t>
      </w:r>
      <w:r>
        <w:t>by broad field of educatio</w:t>
      </w:r>
      <w:r w:rsidR="005E0650">
        <w:t xml:space="preserve">n and type of pathway followed, </w:t>
      </w:r>
      <w:r>
        <w:t>that is</w:t>
      </w:r>
      <w:r w:rsidR="007C7D3F">
        <w:t>,</w:t>
      </w:r>
      <w:r>
        <w:t xml:space="preserve"> </w:t>
      </w:r>
      <w:r w:rsidR="005E0650">
        <w:t xml:space="preserve">by </w:t>
      </w:r>
      <w:r>
        <w:t>the possible combinations of VET to VET, VET to higher education, higher education to VET and highe</w:t>
      </w:r>
      <w:r w:rsidR="005E0650">
        <w:t>r education to higher education</w:t>
      </w:r>
      <w:r>
        <w:t xml:space="preserve">. </w:t>
      </w:r>
      <w:r w:rsidR="007C7D3F">
        <w:t>W</w:t>
      </w:r>
      <w:r>
        <w:t>e looked at the broad field of education of engineering, rath</w:t>
      </w:r>
      <w:r w:rsidR="000254F8">
        <w:t>er than narrow fields of</w:t>
      </w:r>
      <w:r>
        <w:t xml:space="preserve"> branches of engineering. </w:t>
      </w:r>
    </w:p>
    <w:p w14:paraId="6D879FA0" w14:textId="6EE13822" w:rsidR="002C6037" w:rsidRDefault="00E60F89" w:rsidP="00E60F89">
      <w:pPr>
        <w:pStyle w:val="Text"/>
      </w:pPr>
      <w:r>
        <w:t>To show the overall extent of patterns of student articulation and how this has changed over time, we estimated from the 2009 S</w:t>
      </w:r>
      <w:r w:rsidR="007C7D3F">
        <w:t>urvey of Education and Training</w:t>
      </w:r>
      <w:r>
        <w:t xml:space="preserve"> the numbers of working age people in 2009 who had gained a qu</w:t>
      </w:r>
      <w:r w:rsidR="000254F8">
        <w:t>alification in each broad field</w:t>
      </w:r>
      <w:r>
        <w:t xml:space="preserve"> in</w:t>
      </w:r>
      <w:r w:rsidR="002C6037">
        <w:t xml:space="preserve"> either VET or higher education</w:t>
      </w:r>
      <w:r w:rsidR="000254F8">
        <w:t>. We</w:t>
      </w:r>
      <w:r w:rsidR="002C6037">
        <w:t xml:space="preserve"> divided these by </w:t>
      </w:r>
      <w:r w:rsidR="000254F8">
        <w:t>those who completed their qualification</w:t>
      </w:r>
      <w:r w:rsidR="002C6037">
        <w:t xml:space="preserve"> before 1990 and </w:t>
      </w:r>
      <w:r w:rsidR="000254F8">
        <w:t>those who completed it from 1990 to 2009. We</w:t>
      </w:r>
      <w:r w:rsidR="002C6037">
        <w:t xml:space="preserve"> calculated </w:t>
      </w:r>
      <w:r w:rsidR="000254F8">
        <w:t xml:space="preserve">the </w:t>
      </w:r>
      <w:r w:rsidR="002C6037">
        <w:t>proportion</w:t>
      </w:r>
      <w:r w:rsidR="000254F8">
        <w:t>s</w:t>
      </w:r>
      <w:r w:rsidR="002C6037">
        <w:t xml:space="preserve"> </w:t>
      </w:r>
      <w:r w:rsidR="000254F8">
        <w:t xml:space="preserve">of graduates who </w:t>
      </w:r>
      <w:r w:rsidR="002C6037">
        <w:t>had no further qualification, a second qualification in VET or a second qualification in higher education</w:t>
      </w:r>
      <w:r w:rsidR="000254F8">
        <w:t xml:space="preserve"> and analysed these by field, sector </w:t>
      </w:r>
      <w:r w:rsidR="000254F8">
        <w:lastRenderedPageBreak/>
        <w:t>and completion period</w:t>
      </w:r>
      <w:r w:rsidR="002C6037">
        <w:t>. Patterns for</w:t>
      </w:r>
      <w:r w:rsidR="002C6037" w:rsidRPr="003831AD">
        <w:t xml:space="preserve"> those with a first qualification in engineering show, </w:t>
      </w:r>
      <w:r w:rsidR="002C6037">
        <w:t>compared to other fields, a low level of articulation either within or between the sectors, and little increase in these rates between those completing befo</w:t>
      </w:r>
      <w:r w:rsidR="00AD2D39">
        <w:t>re 1990 and those after 1990</w:t>
      </w:r>
      <w:r w:rsidR="002C6037">
        <w:t xml:space="preserve"> </w:t>
      </w:r>
      <w:r w:rsidR="002C6037">
        <w:fldChar w:fldCharType="begin"/>
      </w:r>
      <w:r w:rsidR="002C6037">
        <w:instrText xml:space="preserve"> ADDIN EN.CITE &lt;EndNote&gt;&lt;Cite&gt;&lt;Author&gt;Fredman&lt;/Author&gt;&lt;Year&gt;2013&lt;/Year&gt;&lt;RecNum&gt;312&lt;/RecNum&gt;&lt;DisplayText&gt;(Fredman, 2013)&lt;/DisplayText&gt;&lt;record&gt;&lt;rec-number&gt;312&lt;/rec-number&gt;&lt;foreign-keys&gt;&lt;key app="EN" db-id="0xrr5a5zkrxdw5esxr55w5a79ptftt5a20fr"&gt;312&lt;/key&gt;&lt;/foreign-keys&gt;&lt;ref-type name="Journal Article"&gt;17&lt;/ref-type&gt;&lt;contributors&gt;&lt;authors&gt;&lt;author&gt;Fredman, Nick&lt;/author&gt;&lt;/authors&gt;&lt;/contributors&gt;&lt;titles&gt;&lt;title&gt;Student movement: Pathways, fields and links to work&lt;/title&gt;&lt;secondary-title&gt;International Journal of Training Research&lt;/secondary-title&gt;&lt;/titles&gt;&lt;periodical&gt;&lt;full-title&gt;International Journal of Training Research&lt;/full-title&gt;&lt;/periodical&gt;&lt;pages&gt;5–16&lt;/pages&gt;&lt;volume&gt;11&lt;/volume&gt;&lt;number&gt;1&lt;/number&gt;&lt;dates&gt;&lt;year&gt;2013&lt;/year&gt;&lt;/dates&gt;&lt;urls&gt;&lt;related-urls&gt;&lt;url&gt;http://jtr.e-contentmanagement.com/archives/vol/11/issue/1/article/5116/student-movement-pathways-fields-and-links-to&lt;/url&gt;&lt;/related-urls&gt;&lt;/urls&gt;&lt;/record&gt;&lt;/Cite&gt;&lt;/EndNote&gt;</w:instrText>
      </w:r>
      <w:r w:rsidR="002C6037">
        <w:fldChar w:fldCharType="separate"/>
      </w:r>
      <w:r w:rsidR="002C6037">
        <w:rPr>
          <w:noProof/>
        </w:rPr>
        <w:t>(</w:t>
      </w:r>
      <w:hyperlink w:anchor="_ENREF_8" w:tooltip="Fredman, 2013 #312" w:history="1">
        <w:r w:rsidR="00B03184">
          <w:rPr>
            <w:noProof/>
          </w:rPr>
          <w:t>Fredman 2013</w:t>
        </w:r>
      </w:hyperlink>
      <w:r w:rsidR="002C6037">
        <w:rPr>
          <w:noProof/>
        </w:rPr>
        <w:t>)</w:t>
      </w:r>
      <w:r w:rsidR="002C6037">
        <w:fldChar w:fldCharType="end"/>
      </w:r>
      <w:r w:rsidR="002C6037" w:rsidRPr="003831AD">
        <w:t xml:space="preserve">. </w:t>
      </w:r>
      <w:r w:rsidR="002C6037">
        <w:t xml:space="preserve">Hence by both institutional data and Survey of Education and Training data, there appears to be little articulation within or between </w:t>
      </w:r>
      <w:r w:rsidR="0091220C">
        <w:t xml:space="preserve">engineering in </w:t>
      </w:r>
      <w:r w:rsidR="002C6037">
        <w:t xml:space="preserve">the tertiary education sectors and little change in this. </w:t>
      </w:r>
    </w:p>
    <w:p w14:paraId="0703B53D" w14:textId="77777777" w:rsidR="002C6037" w:rsidRDefault="002C6037" w:rsidP="002C6037">
      <w:pPr>
        <w:pStyle w:val="Text"/>
      </w:pPr>
      <w:r>
        <w:t>We examined the extent to which those with at least two qualifications changed fields between their first and second qualifications, as an indicator of the coherence of educational pathways in these fields. We found that for those with a first qualification in engineering, the proportion studying in a different broad field for their second qualification, 51</w:t>
      </w:r>
      <w:proofErr w:type="gramStart"/>
      <w:r>
        <w:t>%,</w:t>
      </w:r>
      <w:proofErr w:type="gramEnd"/>
      <w:r>
        <w:t xml:space="preserve"> was statistically the same as that for all fields, 52%. Management and commerce was the most common second field </w:t>
      </w:r>
      <w:r w:rsidR="00DE5930">
        <w:t xml:space="preserve">for </w:t>
      </w:r>
      <w:r>
        <w:t xml:space="preserve">all pathways. </w:t>
      </w:r>
    </w:p>
    <w:p w14:paraId="344C9F3B" w14:textId="72E64A45" w:rsidR="002C6037" w:rsidRDefault="002C6037" w:rsidP="002C6037">
      <w:pPr>
        <w:pStyle w:val="Text"/>
      </w:pPr>
      <w:r>
        <w:t>In the first stage of the project we also interviewed 72 educators (teachers and managers), students and graduates across engineering, agriculture, financial services and nursing, in higher education and VET. Interviewees involved in engineering explained that highly structured pathways</w:t>
      </w:r>
      <w:r w:rsidR="00AD2D39">
        <w:t xml:space="preserve"> worked well</w:t>
      </w:r>
      <w:r>
        <w:t>, such as associate degrees that guaranteed e</w:t>
      </w:r>
      <w:r w:rsidR="007B102F">
        <w:t xml:space="preserve">ntry to a bachelor degree. However, </w:t>
      </w:r>
      <w:r>
        <w:t xml:space="preserve">less formal pathways such as attempting to move from the trades to technical or professional work could be very difficult </w:t>
      </w:r>
      <w:r>
        <w:fldChar w:fldCharType="begin"/>
      </w:r>
      <w:r>
        <w:instrText xml:space="preserve"> ADDIN EN.CITE &lt;EndNote&gt;&lt;Cite&gt;&lt;Author&gt;Wheelahan&lt;/Author&gt;&lt;Year&gt;2012&lt;/Year&gt;&lt;RecNum&gt;278&lt;/RecNum&gt;&lt;Suffix&gt;`, p. 23–24&lt;/Suffix&gt;&lt;DisplayText&gt;(Wheelahan et al., 2012, p. 23–24)&lt;/DisplayText&gt;&lt;record&gt;&lt;rec-number&gt;278&lt;/rec-number&gt;&lt;foreign-keys&gt;&lt;key app="EN" db-id="0xrr5a5zkrxdw5esxr55w5a79ptftt5a20fr"&gt;278&lt;/key&gt;&lt;/foreign-keys&gt;&lt;ref-type name="Report"&gt;27&lt;/ref-type&gt;&lt;contributors&gt;&lt;authors&gt;&lt;author&gt;Wheelahan, Leesa&lt;/author&gt;&lt;author&gt;Leahy, Mary&lt;/author&gt;&lt;author&gt;Fredman, Nick&lt;/author&gt;&lt;author&gt;Moodie, Gavin&lt;/author&gt;&lt;author&gt;Arkoudis, Sophie&lt;/author&gt;&lt;author&gt;Bexley, Emmaline&lt;/author&gt;&lt;/authors&gt;&lt;/contributors&gt;&lt;titles&gt;&lt;title&gt;Missing links: the fragmented relation between tertiary education and jobs&lt;/title&gt;&lt;/titles&gt;&lt;dates&gt;&lt;year&gt;2012&lt;/year&gt;&lt;/dates&gt;&lt;pub-location&gt;Adelaide&lt;/pub-location&gt;&lt;publisher&gt;National Centre for Vocational Education Research&lt;/publisher&gt;&lt;urls&gt;&lt;related-urls&gt;&lt;url&gt;http://www.ncver.edu.au/publications/2554.html&lt;/url&gt;&lt;/related-urls&gt;&lt;/urls&gt;&lt;/record&gt;&lt;/Cite&gt;&lt;/EndNote&gt;</w:instrText>
      </w:r>
      <w:r>
        <w:fldChar w:fldCharType="separate"/>
      </w:r>
      <w:r>
        <w:rPr>
          <w:noProof/>
        </w:rPr>
        <w:t>(</w:t>
      </w:r>
      <w:hyperlink w:anchor="_ENREF_27" w:tooltip="Wheelahan, 2012 #278" w:history="1">
        <w:r w:rsidR="00B03184">
          <w:rPr>
            <w:noProof/>
          </w:rPr>
          <w:t>Wheelahan et al. 2012, p. 23–24</w:t>
        </w:r>
      </w:hyperlink>
      <w:r>
        <w:rPr>
          <w:noProof/>
        </w:rPr>
        <w:t>)</w:t>
      </w:r>
      <w:r>
        <w:fldChar w:fldCharType="end"/>
      </w:r>
      <w:r>
        <w:t xml:space="preserve">. </w:t>
      </w:r>
    </w:p>
    <w:p w14:paraId="7A856B81" w14:textId="468CBE34" w:rsidR="002C6037" w:rsidRDefault="007B102F" w:rsidP="002C6037">
      <w:pPr>
        <w:pStyle w:val="Text"/>
      </w:pPr>
      <w:r>
        <w:t>O</w:t>
      </w:r>
      <w:r w:rsidR="002C6037">
        <w:t xml:space="preserve">ne issue raised in the </w:t>
      </w:r>
      <w:r w:rsidR="00AA03EB">
        <w:t>literature review</w:t>
      </w:r>
      <w:r w:rsidR="002C6037">
        <w:t xml:space="preserve"> and </w:t>
      </w:r>
      <w:r>
        <w:t xml:space="preserve">in </w:t>
      </w:r>
      <w:r w:rsidR="002C6037">
        <w:t>participant</w:t>
      </w:r>
      <w:r w:rsidR="00AA03EB">
        <w:t>s’</w:t>
      </w:r>
      <w:r w:rsidR="002C6037">
        <w:t xml:space="preserve"> comments </w:t>
      </w:r>
      <w:r>
        <w:t xml:space="preserve">in the second stage of the project </w:t>
      </w:r>
      <w:r w:rsidR="002C6037">
        <w:t>was that Engineers Australia, as the profession’s qualification accrediting body, generally finds advanced diplomas too div</w:t>
      </w:r>
      <w:r>
        <w:t>erse and opaque to accredit. Engineers Australia</w:t>
      </w:r>
      <w:r w:rsidR="002C6037">
        <w:t xml:space="preserve"> has a general preference for associate degrees for an AQF 6 qualific</w:t>
      </w:r>
      <w:r>
        <w:t>ation, as long as it is a</w:t>
      </w:r>
      <w:r w:rsidR="002C6037">
        <w:t xml:space="preserve"> real preparation for work and not only </w:t>
      </w:r>
      <w:r>
        <w:t>for progression to higher level study</w:t>
      </w:r>
      <w:r w:rsidR="002C6037">
        <w:t xml:space="preserve">. We examined examples of engineering associate degrees at two universities and a TAFE institute and in particular the </w:t>
      </w:r>
      <w:r w:rsidR="009833B0">
        <w:t>Minerals Industry National Associate Degree (MINAD) initiated by the Minerals Council of Australia</w:t>
      </w:r>
      <w:r w:rsidR="002C6037">
        <w:t xml:space="preserve">, all of which appear to be successful </w:t>
      </w:r>
      <w:r w:rsidR="002C6037">
        <w:fldChar w:fldCharType="begin"/>
      </w:r>
      <w:r w:rsidR="002C6037">
        <w:instrText xml:space="preserve"> ADDIN EN.CITE &lt;EndNote&gt;&lt;Cite&gt;&lt;Author&gt;Fredman&lt;/Author&gt;&lt;Year&gt;Forthcoming&lt;/Year&gt;&lt;RecNum&gt;296&lt;/RecNum&gt;&lt;DisplayText&gt;(Fredman, Forthcoming; Moodie et al., 2013)&lt;/DisplayText&gt;&lt;record&gt;&lt;rec-number&gt;296&lt;/rec-number&gt;&lt;foreign-keys&gt;&lt;key app="EN" db-id="0xrr5a5zkrxdw5esxr55w5a79ptftt5a20fr"&gt;296&lt;/key&gt;&lt;/foreign-keys&gt;&lt;ref-type name="Conference Paper"&gt;47&lt;/ref-type&gt;&lt;contributors&gt;&lt;authors&gt;&lt;author&gt;Fredman, Nick&lt;/author&gt;&lt;/authors&gt;&lt;/contributors&gt;&lt;titles&gt;&lt;title&gt;Pathways, student motivations and human capital theory&lt;/title&gt;&lt;secondary-title&gt;21st National Vocational Education and Training Research Conference&lt;/secondary-title&gt;&lt;/titles&gt;&lt;dates&gt;&lt;year&gt;Forthcoming&lt;/year&gt;&lt;pub-dates&gt;&lt;date&gt;11-13 July&lt;/date&gt;&lt;/pub-dates&gt;&lt;/dates&gt;&lt;pub-location&gt;Adelaide&lt;/pub-location&gt;&lt;urls&gt;&lt;/urls&gt;&lt;/record&gt;&lt;/Cite&gt;&lt;Cite&gt;&lt;Author&gt;Moodie&lt;/Author&gt;&lt;Year&gt;2013&lt;/Year&gt;&lt;RecNum&gt;3168&lt;/RecNum&gt;&lt;record&gt;&lt;rec-number&gt;3168&lt;/rec-number&gt;&lt;foreign-keys&gt;&lt;key app="EN" db-id="vadepsw2f2aeebevffz5fzpddt9tvewsatpr" timestamp="1359515584"&gt;3168&lt;/key&gt;&lt;/foreign-keys&gt;&lt;ref-type name="Report"&gt;27&lt;/ref-type&gt;&lt;contributors&gt;&lt;authors&gt;&lt;author&gt;Moodie, Gavin&lt;/author&gt;&lt;author&gt;Fredman, Nick&lt;/author&gt;&lt;author&gt;Bexley, Emmaline&lt;/author&gt;&lt;author&gt;Wheelahan, Leesa&lt;/author&gt;&lt;/authors&gt;&lt;/contributors&gt;&lt;titles&gt;&lt;title&gt;Vocational education’s variable links to vocations&lt;/title&gt;&lt;/titles&gt;&lt;dates&gt;&lt;year&gt;2013&lt;/year&gt;&lt;pub-dates&gt;&lt;date&gt;19 December 2013&lt;/date&gt;&lt;/pub-dates&gt;&lt;/dates&gt;&lt;pub-location&gt;Adelaide&lt;/pub-location&gt;&lt;publisher&gt;National Centre for Vocational Education Research&lt;/publisher&gt;&lt;label&gt;NCVER Vcations project&lt;/label&gt;&lt;urls&gt;&lt;related-urls&gt;&lt;url&gt;&amp;lt;http://www.ncver.edu.au/publications/2689.html&amp;gt; viewed 21 December&lt;/url&gt;&lt;/related-urls&gt;&lt;/urls&gt;&lt;/record&gt;&lt;/Cite&gt;&lt;/EndNote&gt;</w:instrText>
      </w:r>
      <w:r w:rsidR="002C6037">
        <w:fldChar w:fldCharType="separate"/>
      </w:r>
      <w:r w:rsidR="002C6037">
        <w:rPr>
          <w:noProof/>
        </w:rPr>
        <w:t>(</w:t>
      </w:r>
      <w:hyperlink w:anchor="_ENREF_9" w:tooltip="Fredman, Forthcoming #296" w:history="1">
        <w:r w:rsidR="00B03184">
          <w:rPr>
            <w:noProof/>
          </w:rPr>
          <w:t>Fredman</w:t>
        </w:r>
        <w:r w:rsidR="00DE5930">
          <w:rPr>
            <w:noProof/>
          </w:rPr>
          <w:t xml:space="preserve"> f</w:t>
        </w:r>
        <w:r w:rsidR="00B03184">
          <w:rPr>
            <w:noProof/>
          </w:rPr>
          <w:t>orthcoming</w:t>
        </w:r>
      </w:hyperlink>
      <w:r w:rsidR="002C6037">
        <w:rPr>
          <w:noProof/>
        </w:rPr>
        <w:t xml:space="preserve">; </w:t>
      </w:r>
      <w:hyperlink w:anchor="_ENREF_17" w:tooltip="Moodie, 2013 #3168" w:history="1">
        <w:r w:rsidR="00B03184">
          <w:rPr>
            <w:noProof/>
          </w:rPr>
          <w:t>Moodie et al. 2013</w:t>
        </w:r>
      </w:hyperlink>
      <w:r w:rsidR="002C6037">
        <w:rPr>
          <w:noProof/>
        </w:rPr>
        <w:t>)</w:t>
      </w:r>
      <w:r w:rsidR="002C6037">
        <w:fldChar w:fldCharType="end"/>
      </w:r>
      <w:r w:rsidR="002C6037">
        <w:t>.</w:t>
      </w:r>
    </w:p>
    <w:p w14:paraId="6B7A223B" w14:textId="48C624C2" w:rsidR="002C6037" w:rsidRDefault="008A66CA" w:rsidP="002C6037">
      <w:pPr>
        <w:pStyle w:val="Text"/>
      </w:pPr>
      <w:r>
        <w:t xml:space="preserve">Views of the purposes of </w:t>
      </w:r>
      <w:r w:rsidR="00572455">
        <w:t>mid-level</w:t>
      </w:r>
      <w:r w:rsidR="002C6037">
        <w:t xml:space="preserve"> qualifications varied markedly among our stage three participants, by the social institutions they represented and by the branches of engineering they were most directly involved in. The participant who represented civil and construction engineering employers saw a clear primary </w:t>
      </w:r>
      <w:r w:rsidR="00900A8D">
        <w:t>role in preparing graduates for entry to the labour market</w:t>
      </w:r>
      <w:r w:rsidR="002C6037">
        <w:t xml:space="preserve"> and clear secondary </w:t>
      </w:r>
      <w:r w:rsidR="00900A8D">
        <w:t xml:space="preserve">role in preparing graduates for </w:t>
      </w:r>
      <w:r w:rsidR="002C6037">
        <w:t>educational and occupational progressi</w:t>
      </w:r>
      <w:r w:rsidR="00900A8D">
        <w:t>on</w:t>
      </w:r>
      <w:r w:rsidR="002C6037">
        <w:t>:</w:t>
      </w:r>
    </w:p>
    <w:p w14:paraId="478020B4" w14:textId="77777777" w:rsidR="002C6037" w:rsidRDefault="002C6037" w:rsidP="002C6037">
      <w:pPr>
        <w:pStyle w:val="Quote"/>
      </w:pPr>
      <w:r>
        <w:t>T</w:t>
      </w:r>
      <w:r w:rsidRPr="007C6AAF">
        <w:t>he thing our employers would be most interested in is having people who come to the workforce with actual skills for jobs they have, so preparing for labour market entry</w:t>
      </w:r>
      <w:r>
        <w:t xml:space="preserve"> is</w:t>
      </w:r>
      <w:r w:rsidRPr="007C6AAF">
        <w:t xml:space="preserve"> the primary thing that employers want. I think secondary to that is the supply of people who have the p</w:t>
      </w:r>
      <w:r>
        <w:t>otential to move up to a higher-</w:t>
      </w:r>
      <w:r w:rsidRPr="007C6AAF">
        <w:t>level qualification or role</w:t>
      </w:r>
      <w:r>
        <w:t>.</w:t>
      </w:r>
    </w:p>
    <w:p w14:paraId="19736931" w14:textId="1B22ADFB" w:rsidR="002C6037" w:rsidRDefault="002C6037" w:rsidP="002C6037">
      <w:pPr>
        <w:pStyle w:val="Text"/>
      </w:pPr>
      <w:r>
        <w:t>According to this participant, an occupational pathway from a technical role such as a drafter to a later professional role in civil and construction engineering can be advantageous with a good starting sa</w:t>
      </w:r>
      <w:r w:rsidR="00BD0564">
        <w:t>lary and practical skills. W</w:t>
      </w:r>
      <w:r>
        <w:t>ith a later degree a professional then has a good combination of sk</w:t>
      </w:r>
      <w:r w:rsidR="00BD0564">
        <w:t xml:space="preserve">ills, knowledge and experience, </w:t>
      </w:r>
      <w:r>
        <w:t>although this entails more study overall than someone initiall</w:t>
      </w:r>
      <w:r w:rsidR="00BD0564">
        <w:t>y undertaking a bachelor degree</w:t>
      </w:r>
      <w:r>
        <w:t>:</w:t>
      </w:r>
    </w:p>
    <w:p w14:paraId="7B97416F" w14:textId="77777777" w:rsidR="002C6037" w:rsidRDefault="002C6037" w:rsidP="002C6037">
      <w:pPr>
        <w:pStyle w:val="Quote"/>
      </w:pPr>
      <w:r w:rsidRPr="001F0E5A">
        <w:t>A graduate professional engineer is probably not really as useful in the workplace as a graduate drafter and I think in fact [graduate] drafters earn roughly the same amount as professional engineers at the junior ranks</w:t>
      </w:r>
      <w:r>
        <w:t xml:space="preserve">… </w:t>
      </w:r>
      <w:r w:rsidRPr="001F0E5A">
        <w:t>a good assoc</w:t>
      </w:r>
      <w:r>
        <w:t>iate engineer becomes a quasi-</w:t>
      </w:r>
      <w:r w:rsidRPr="001F0E5A">
        <w:t>professional engineer, although not officially and they don't have qualifications, they can certainly start to take on many of the roles of a professional engineer. A good associate engineer who then retrains as professional engineer is probably a stand out professional engineer, that’s what we hear</w:t>
      </w:r>
      <w:r>
        <w:t>.</w:t>
      </w:r>
    </w:p>
    <w:p w14:paraId="74B627D9" w14:textId="044DC7BB" w:rsidR="002C6037" w:rsidRDefault="002C6037" w:rsidP="002C6037">
      <w:pPr>
        <w:pStyle w:val="Text"/>
      </w:pPr>
      <w:r>
        <w:lastRenderedPageBreak/>
        <w:t xml:space="preserve">The mining industry participant expressed a very strong focus on occupational progression </w:t>
      </w:r>
      <w:r w:rsidR="00AA03EB">
        <w:t xml:space="preserve">as a key </w:t>
      </w:r>
      <w:r w:rsidR="007A7AE5">
        <w:t xml:space="preserve">purpose for </w:t>
      </w:r>
      <w:r w:rsidR="00572455">
        <w:t>mid-level</w:t>
      </w:r>
      <w:r>
        <w:t xml:space="preserve"> qualifications, in particular for the above mentioned MINAD project, which we put forward as a model in our discussion paper for engineering participants.</w:t>
      </w:r>
      <w:r w:rsidR="007A7AE5">
        <w:t xml:space="preserve"> For this participant</w:t>
      </w:r>
      <w:r w:rsidR="00AA03EB">
        <w:t xml:space="preserve"> t</w:t>
      </w:r>
      <w:r>
        <w:t>he current and future skills of the industry point to</w:t>
      </w:r>
      <w:r w:rsidR="00AA03EB">
        <w:t xml:space="preserve"> </w:t>
      </w:r>
      <w:r w:rsidR="007A7AE5">
        <w:t xml:space="preserve">a need for a substantial </w:t>
      </w:r>
      <w:r w:rsidR="00572455">
        <w:t>mid-level</w:t>
      </w:r>
      <w:r>
        <w:t xml:space="preserve"> qualification that the MCA views as being possible with associate degrees:</w:t>
      </w:r>
    </w:p>
    <w:p w14:paraId="0B2398A9" w14:textId="77777777" w:rsidR="002C6037" w:rsidRDefault="002C6037" w:rsidP="002C6037">
      <w:pPr>
        <w:pStyle w:val="Quote"/>
      </w:pPr>
      <w:r w:rsidRPr="00441095">
        <w:t xml:space="preserve">We are coming off a price lead growth phase to a volume lead growth phase, so </w:t>
      </w:r>
      <w:proofErr w:type="gramStart"/>
      <w:r w:rsidRPr="00441095">
        <w:t>you're kind of having</w:t>
      </w:r>
      <w:proofErr w:type="gramEnd"/>
      <w:r w:rsidRPr="00441095">
        <w:t xml:space="preserve"> to do more to stand still, and that means fundamentally how do we answer that productivity equation? The example we can think of here is the new types of ski</w:t>
      </w:r>
      <w:r>
        <w:t xml:space="preserve">lls that professionals may need: </w:t>
      </w:r>
      <w:r w:rsidRPr="00441095">
        <w:t xml:space="preserve">twenty years ago </w:t>
      </w:r>
      <w:r>
        <w:t xml:space="preserve">we </w:t>
      </w:r>
      <w:r w:rsidRPr="00441095">
        <w:t>couldn’t have imagined that that there would be a</w:t>
      </w:r>
      <w:r>
        <w:t xml:space="preserve"> remote</w:t>
      </w:r>
      <w:r w:rsidRPr="00441095">
        <w:t xml:space="preserve"> operations centre in Perth </w:t>
      </w:r>
      <w:r>
        <w:t>that drives trains in the Pilbara</w:t>
      </w:r>
      <w:r w:rsidRPr="00441095">
        <w:t xml:space="preserve"> area to begin with and then drives trucks, </w:t>
      </w:r>
      <w:r w:rsidR="00AA03EB" w:rsidRPr="00441095">
        <w:t>etc.</w:t>
      </w:r>
      <w:r>
        <w:t xml:space="preserve"> A</w:t>
      </w:r>
      <w:r w:rsidRPr="00441095">
        <w:t xml:space="preserve">n automated production environment </w:t>
      </w:r>
      <w:r>
        <w:t>with</w:t>
      </w:r>
      <w:r w:rsidRPr="00441095">
        <w:t xml:space="preserve"> less people but </w:t>
      </w:r>
      <w:r>
        <w:t>people who are</w:t>
      </w:r>
      <w:r w:rsidRPr="00441095">
        <w:t xml:space="preserve"> highly skilled already</w:t>
      </w:r>
      <w:r>
        <w:t>,</w:t>
      </w:r>
      <w:r w:rsidRPr="00441095">
        <w:t xml:space="preserve"> an</w:t>
      </w:r>
      <w:r w:rsidR="00AA03EB">
        <w:t>d you're giving them some comple</w:t>
      </w:r>
      <w:r w:rsidRPr="00441095">
        <w:t>mentary</w:t>
      </w:r>
      <w:r>
        <w:t xml:space="preserve"> additional up –skilling. I</w:t>
      </w:r>
      <w:r w:rsidRPr="00441095">
        <w:t xml:space="preserve">s </w:t>
      </w:r>
      <w:r>
        <w:t>that a mid-</w:t>
      </w:r>
      <w:r w:rsidRPr="00441095">
        <w:t>level qualification perhaps or it is just a natural part of that job growth that’s not for</w:t>
      </w:r>
      <w:r>
        <w:t>malised somehow</w:t>
      </w:r>
      <w:proofErr w:type="gramStart"/>
      <w:r>
        <w:t>?</w:t>
      </w:r>
      <w:r w:rsidR="00AA03EB">
        <w:t>...</w:t>
      </w:r>
      <w:proofErr w:type="gramEnd"/>
      <w:r>
        <w:t xml:space="preserve"> </w:t>
      </w:r>
      <w:r w:rsidRPr="00441095">
        <w:t xml:space="preserve">I guess the Associate Degree </w:t>
      </w:r>
      <w:r>
        <w:t xml:space="preserve">[process] </w:t>
      </w:r>
      <w:r w:rsidRPr="00441095">
        <w:t>has gone a long way to identifying what those fields of knowledge are</w:t>
      </w:r>
      <w:r>
        <w:t>… [We’ve come to see that] the associate d</w:t>
      </w:r>
      <w:r w:rsidRPr="00463998">
        <w:t>egree is a new way in w</w:t>
      </w:r>
      <w:r>
        <w:t>hich we can supplement</w:t>
      </w:r>
      <w:r w:rsidRPr="00463998">
        <w:t xml:space="preserve"> those skills and </w:t>
      </w:r>
      <w:r>
        <w:t>… promote</w:t>
      </w:r>
      <w:r w:rsidRPr="00463998">
        <w:t xml:space="preserve"> a sustainable workforce with transferrable skills.</w:t>
      </w:r>
    </w:p>
    <w:p w14:paraId="6FA4435D" w14:textId="77777777" w:rsidR="002C6037" w:rsidRDefault="002C6037" w:rsidP="002C6037">
      <w:pPr>
        <w:pStyle w:val="Text"/>
      </w:pPr>
      <w:r>
        <w:t>But he also pointed out that industry,</w:t>
      </w:r>
      <w:r w:rsidRPr="00F87ED3">
        <w:t xml:space="preserve"> </w:t>
      </w:r>
      <w:r>
        <w:t>not necessarily through this associate degree project, needs to have a concern with the broader roles of education, such as literacy and numeracy and ‘basic life and non-</w:t>
      </w:r>
      <w:r w:rsidRPr="00B52AB3">
        <w:t>direct</w:t>
      </w:r>
      <w:r>
        <w:t>ly</w:t>
      </w:r>
      <w:r w:rsidRPr="00B52AB3">
        <w:t xml:space="preserve"> vocational skills</w:t>
      </w:r>
      <w:r>
        <w:t>’.</w:t>
      </w:r>
    </w:p>
    <w:p w14:paraId="0BB93AED" w14:textId="77777777" w:rsidR="002C6037" w:rsidRDefault="002C6037" w:rsidP="002C6037">
      <w:pPr>
        <w:pStyle w:val="Quote"/>
      </w:pPr>
      <w:r>
        <w:t>[We are] an industry with remote and regional operations that exist within communities or are nearby communities which are Indigenous communities and which haven’t had possibly the same educational experience as urban Australians. So how do we assist in either facilitating or getting life skills components right to develop a kind of pre-employment pool of individuals?</w:t>
      </w:r>
    </w:p>
    <w:p w14:paraId="5C165E8D" w14:textId="4B8D93FA" w:rsidR="002C6037" w:rsidRDefault="002C6037" w:rsidP="002C6037">
      <w:pPr>
        <w:pStyle w:val="Text"/>
      </w:pPr>
      <w:r>
        <w:t>The union participants argued very strong</w:t>
      </w:r>
      <w:r w:rsidR="00DE5930">
        <w:t>ly</w:t>
      </w:r>
      <w:r>
        <w:t xml:space="preserve"> for a direct vocational purpose</w:t>
      </w:r>
      <w:r w:rsidR="000D5D33">
        <w:t xml:space="preserve"> for </w:t>
      </w:r>
      <w:r w:rsidR="00572455">
        <w:t>mid-level</w:t>
      </w:r>
      <w:r w:rsidR="000D5D33">
        <w:t xml:space="preserve"> qualifications</w:t>
      </w:r>
      <w:r>
        <w:t>, and that current</w:t>
      </w:r>
      <w:r w:rsidR="007A7AE5">
        <w:t xml:space="preserve"> diplomas and advanced diplomas were a suitable preparation for high skilled and some managerial roles in manufacturing</w:t>
      </w:r>
      <w:r>
        <w:t xml:space="preserve"> if </w:t>
      </w:r>
      <w:r w:rsidR="007A7AE5">
        <w:t xml:space="preserve">they were </w:t>
      </w:r>
      <w:r>
        <w:t>delivered well b</w:t>
      </w:r>
      <w:r w:rsidR="007A7AE5">
        <w:t>y good quality and well regulated providers</w:t>
      </w:r>
      <w:r>
        <w:t>. He saw</w:t>
      </w:r>
      <w:r w:rsidR="00DE5930">
        <w:t>,</w:t>
      </w:r>
      <w:r>
        <w:t xml:space="preserve"> however</w:t>
      </w:r>
      <w:r w:rsidR="00DE5930">
        <w:t>,</w:t>
      </w:r>
      <w:r>
        <w:t xml:space="preserve"> an overly </w:t>
      </w:r>
      <w:proofErr w:type="spellStart"/>
      <w:r>
        <w:t>marketised</w:t>
      </w:r>
      <w:proofErr w:type="spellEnd"/>
      <w:r>
        <w:t xml:space="preserve"> system undermining the quality of training, and along with an overly ‘educational’ foc</w:t>
      </w:r>
      <w:r w:rsidR="000D5D33">
        <w:t>us, the system promoting</w:t>
      </w:r>
      <w:r>
        <w:t xml:space="preserve"> a negative ‘purpose’ of profiteering by les</w:t>
      </w:r>
      <w:r w:rsidR="00AA03EB">
        <w:t>s scrupulous private providers.</w:t>
      </w:r>
    </w:p>
    <w:p w14:paraId="613639DC" w14:textId="77777777" w:rsidR="002C6037" w:rsidRDefault="002C6037" w:rsidP="002C6037">
      <w:pPr>
        <w:pStyle w:val="Quote"/>
      </w:pPr>
      <w:r>
        <w:t>Our view of that is mid-level qualifications should qualify people for mid-level occupations, that’s our intent in dealing with the training package. We have diplomas that are geared towards trade vocations, diplomas that are geared towards technical occupations, advanced diplomas and some graduate qualifications as well… we’re unashamedly vocational in our thinking, we want to prepare people for the work that exists…  If we can maximize the amount of articulation of credit into our education qualifications that’s a fine thing, but that’s not our principle goal…</w:t>
      </w:r>
      <w:r w:rsidRPr="00054C20">
        <w:t xml:space="preserve"> the whole </w:t>
      </w:r>
      <w:r>
        <w:t>notion of having a purpose for vocational education and t</w:t>
      </w:r>
      <w:r w:rsidRPr="00054C20">
        <w:t>raining th</w:t>
      </w:r>
      <w:r>
        <w:t xml:space="preserve">at is vocational is being lost… </w:t>
      </w:r>
      <w:r w:rsidRPr="00054C20">
        <w:t xml:space="preserve">you introduce market models and so called demand driven models into that and it's a recipe for the sort of bad behaviour Victoria’s renowned </w:t>
      </w:r>
      <w:r>
        <w:t xml:space="preserve">for… </w:t>
      </w:r>
      <w:r w:rsidRPr="009B4A05">
        <w:t>We’re constantly being asked to fill up our training packages with [Mayer] key competencies, core skills, foundation skills, employability skills but they were always in there but we’re been asked to make this stuff more explicit and we’re losing vocational relevance and opening things up for rent seekers to grasp</w:t>
      </w:r>
      <w:r>
        <w:t xml:space="preserve">. </w:t>
      </w:r>
      <w:r w:rsidRPr="00F17129">
        <w:t xml:space="preserve">So </w:t>
      </w:r>
      <w:r>
        <w:t>[institutions developing new qualifications are]</w:t>
      </w:r>
      <w:r w:rsidRPr="00F17129">
        <w:t xml:space="preserve"> trying to sell something that has no natural constituency</w:t>
      </w:r>
      <w:r>
        <w:t>.</w:t>
      </w:r>
    </w:p>
    <w:p w14:paraId="7856A9AD" w14:textId="5B9D1D33" w:rsidR="002C6037" w:rsidRDefault="002C6037" w:rsidP="002C6037">
      <w:pPr>
        <w:pStyle w:val="Text"/>
      </w:pPr>
      <w:r>
        <w:t>By contrast</w:t>
      </w:r>
      <w:r w:rsidR="00AA03EB">
        <w:t>,</w:t>
      </w:r>
      <w:r>
        <w:t xml:space="preserve"> thr</w:t>
      </w:r>
      <w:r w:rsidR="000D5D33">
        <w:t>ee of the educator participants</w:t>
      </w:r>
      <w:r>
        <w:t xml:space="preserve"> involved in a range of VET and higher education progr</w:t>
      </w:r>
      <w:r w:rsidR="000D5D33">
        <w:t>ams in a dual sector university</w:t>
      </w:r>
      <w:r>
        <w:t xml:space="preserve"> saw different if overlapping educational progression and work </w:t>
      </w:r>
      <w:r w:rsidR="009F497B">
        <w:lastRenderedPageBreak/>
        <w:t xml:space="preserve">preparation purposes for </w:t>
      </w:r>
      <w:r w:rsidR="00572455">
        <w:t>mid-level</w:t>
      </w:r>
      <w:r w:rsidR="009F497B">
        <w:t xml:space="preserve"> qualifications. I</w:t>
      </w:r>
      <w:r>
        <w:t xml:space="preserve">n this </w:t>
      </w:r>
      <w:r w:rsidR="009F497B">
        <w:t xml:space="preserve">they </w:t>
      </w:r>
      <w:r>
        <w:t xml:space="preserve">argued that there was space for both advanced diplomas and associate degrees. One VET sector </w:t>
      </w:r>
      <w:r w:rsidR="009F497B">
        <w:t>educator pointed to a problematic</w:t>
      </w:r>
      <w:r>
        <w:t xml:space="preserve"> lack</w:t>
      </w:r>
      <w:r w:rsidR="009F497B">
        <w:t xml:space="preserve"> of industry recognition of </w:t>
      </w:r>
      <w:r w:rsidR="00572455">
        <w:t>mid-level</w:t>
      </w:r>
      <w:r>
        <w:t xml:space="preserve"> qualifications while arguing advanced diplomas still fulfil some work roles:</w:t>
      </w:r>
    </w:p>
    <w:p w14:paraId="2FB83C3F" w14:textId="77777777" w:rsidR="002C6037" w:rsidRDefault="002C6037" w:rsidP="002C6037">
      <w:pPr>
        <w:pStyle w:val="Quote"/>
      </w:pPr>
      <w:r>
        <w:t xml:space="preserve">Changing work processes has meant a lot more ‘mid-level’ work — drafting, word-processing — falls on professional engineers, particularly for younger professionals, with less clear mid-level roles. But there is still a potential strong work role, even if not recognised. That the associate degree is for nearly all students an educational pathway doesn’t fit in with this need, which industry representatives on the institution’s committees always say. </w:t>
      </w:r>
    </w:p>
    <w:p w14:paraId="49EC1407" w14:textId="1A052159" w:rsidR="002C6037" w:rsidRDefault="002C6037" w:rsidP="002C6037">
      <w:pPr>
        <w:pStyle w:val="Text"/>
      </w:pPr>
      <w:proofErr w:type="gramStart"/>
      <w:r>
        <w:t xml:space="preserve">The other VET sector educator, while arguing that the associate degree had a real labour market entry role, pointed out </w:t>
      </w:r>
      <w:r w:rsidR="009F497B">
        <w:t xml:space="preserve">that </w:t>
      </w:r>
      <w:r>
        <w:t>its closer connection to higher education made it a better preparation for educational progression than the advanced diploma.</w:t>
      </w:r>
      <w:proofErr w:type="gramEnd"/>
    </w:p>
    <w:p w14:paraId="00C933E7" w14:textId="77777777" w:rsidR="002C6037" w:rsidRDefault="002C6037" w:rsidP="002C6037">
      <w:pPr>
        <w:pStyle w:val="Quote"/>
      </w:pPr>
      <w:r>
        <w:t>T</w:t>
      </w:r>
      <w:r w:rsidRPr="00205FD0">
        <w:t>he t</w:t>
      </w:r>
      <w:r>
        <w:t xml:space="preserve">eaching style is </w:t>
      </w:r>
      <w:r w:rsidRPr="00205FD0">
        <w:t xml:space="preserve">very different because the </w:t>
      </w:r>
      <w:r>
        <w:t>a</w:t>
      </w:r>
      <w:r w:rsidRPr="00205FD0">
        <w:t xml:space="preserve">ssociate </w:t>
      </w:r>
      <w:r>
        <w:t>d</w:t>
      </w:r>
      <w:r w:rsidRPr="00205FD0">
        <w:t>egree is cu</w:t>
      </w:r>
      <w:r>
        <w:t>rriculum based, just like what h</w:t>
      </w:r>
      <w:r w:rsidRPr="00205FD0">
        <w:t xml:space="preserve">igher </w:t>
      </w:r>
      <w:r>
        <w:t>e</w:t>
      </w:r>
      <w:r w:rsidRPr="00205FD0">
        <w:t>ducation do, whereas</w:t>
      </w:r>
      <w:r w:rsidR="00AA03EB">
        <w:t xml:space="preserve"> the</w:t>
      </w:r>
      <w:r w:rsidRPr="00205FD0">
        <w:t xml:space="preserve"> </w:t>
      </w:r>
      <w:r>
        <w:t>a</w:t>
      </w:r>
      <w:r w:rsidRPr="00205FD0">
        <w:t>dvan</w:t>
      </w:r>
      <w:r>
        <w:t>ced diploma is competency based</w:t>
      </w:r>
      <w:proofErr w:type="gramStart"/>
      <w:r>
        <w:t>..</w:t>
      </w:r>
      <w:proofErr w:type="gramEnd"/>
      <w:r>
        <w:t xml:space="preserve"> [the former] </w:t>
      </w:r>
      <w:r w:rsidRPr="00205FD0">
        <w:t>even if it's at AQF level 6 it needs a bit more analysing and thinking skills and problem solving and a strong maths background is needed</w:t>
      </w:r>
      <w:r>
        <w:t xml:space="preserve">… </w:t>
      </w:r>
      <w:r w:rsidRPr="00C507DC">
        <w:t xml:space="preserve">if they don't have that level of knowledge it will be very difficult for them to survive in the </w:t>
      </w:r>
      <w:r>
        <w:t>a</w:t>
      </w:r>
      <w:r w:rsidRPr="00C507DC">
        <w:t xml:space="preserve">ssociate </w:t>
      </w:r>
      <w:r>
        <w:t>d</w:t>
      </w:r>
      <w:r w:rsidRPr="00C507DC">
        <w:t xml:space="preserve">egree </w:t>
      </w:r>
      <w:r>
        <w:t>…</w:t>
      </w:r>
      <w:r w:rsidRPr="00C507DC">
        <w:t xml:space="preserve"> they should be at the same level </w:t>
      </w:r>
      <w:r>
        <w:t xml:space="preserve">[as bachelor degree students] </w:t>
      </w:r>
      <w:r w:rsidRPr="00C507DC">
        <w:t>when they go into third year, they should not be lagging behind.</w:t>
      </w:r>
    </w:p>
    <w:p w14:paraId="41D8D2D9" w14:textId="53377241" w:rsidR="002C6037" w:rsidRDefault="002C6037" w:rsidP="002C6037">
      <w:pPr>
        <w:pStyle w:val="Text"/>
      </w:pPr>
      <w:r>
        <w:t xml:space="preserve">All the dual sector participants reported that advanced diploma students </w:t>
      </w:r>
      <w:r w:rsidR="006260FE">
        <w:t>have a harder time transferring to higher education but that individual support is available</w:t>
      </w:r>
      <w:r>
        <w:t>. They also had to change automatic entry for associate degree students to a grade point average minimum for those completing from 2014. The civil and construction engineering employer representative also commented on the current difficulties of a</w:t>
      </w:r>
      <w:r w:rsidR="006260FE">
        <w:t xml:space="preserve"> transition from</w:t>
      </w:r>
      <w:r>
        <w:t xml:space="preserve"> VE</w:t>
      </w:r>
      <w:r w:rsidR="006260FE">
        <w:t>T to higher education</w:t>
      </w:r>
      <w:r>
        <w:t>.</w:t>
      </w:r>
    </w:p>
    <w:p w14:paraId="361DB5EF" w14:textId="77777777" w:rsidR="002C6037" w:rsidRDefault="002C6037" w:rsidP="002C6037">
      <w:pPr>
        <w:pStyle w:val="Quote"/>
      </w:pPr>
      <w:r>
        <w:t xml:space="preserve">It is actually really hard for people to transition from the Diploma, Advanced Diploma up to Bachelor Degree. The recognised prior learning is hard to get and it seems that each university has different rules so I think we could benefit from having standardised, recognised prior learning criteria or guidelines so students know what to expect when they approach university. It's also hard to step up because by the time you're ready to do that, you've done your Advanced Diploma, you've worked for a few years, now you're in your mid to late twenties and that’s when things start to get a bit more real; you start to maybe get married, have kids, get a mortgage and the time and </w:t>
      </w:r>
      <w:r w:rsidR="00DC2E71">
        <w:t>cost commitment is pretty high.</w:t>
      </w:r>
    </w:p>
    <w:p w14:paraId="2CD974BB" w14:textId="0E5E37CB" w:rsidR="002C6037" w:rsidRDefault="002C6037" w:rsidP="002C6037">
      <w:pPr>
        <w:pStyle w:val="Text"/>
      </w:pPr>
      <w:r>
        <w:t>The higher education educator from the dual sector institutio</w:t>
      </w:r>
      <w:r w:rsidR="00660857">
        <w:t xml:space="preserve">n sees a clear work role in </w:t>
      </w:r>
      <w:r w:rsidR="00572455">
        <w:t>mid-level</w:t>
      </w:r>
      <w:r>
        <w:t xml:space="preserve"> qualifications, in recognition of the relative segmentation of engineering work within the engineering team. He also appeared to suggest the seamless nature of the AQF was a barrier to educational progression</w:t>
      </w:r>
      <w:r w:rsidR="00A43EE8">
        <w:t>:</w:t>
      </w:r>
      <w:r>
        <w:t xml:space="preserve"> in not recognising real discontinuities it did not highlight the need for support and bridging. </w:t>
      </w:r>
    </w:p>
    <w:p w14:paraId="2D5FFAC8" w14:textId="77777777" w:rsidR="002C6037" w:rsidRDefault="002C6037" w:rsidP="002C6037">
      <w:pPr>
        <w:pStyle w:val="Quote"/>
      </w:pPr>
      <w:r>
        <w:t xml:space="preserve">[The role of mid-level work is in] analysis, fault-finding and rectification, and assisting in design. Two years isn’t enough underpinning knowledge for complex </w:t>
      </w:r>
      <w:proofErr w:type="gramStart"/>
      <w:r>
        <w:t>design.</w:t>
      </w:r>
      <w:proofErr w:type="gramEnd"/>
      <w:r>
        <w:t xml:space="preserve"> They need a good knowledge of how the whole industry operates. In some associate degrees there’s a rush to get to </w:t>
      </w:r>
      <w:r w:rsidR="00DC2E71">
        <w:t>higher-level</w:t>
      </w:r>
      <w:r>
        <w:t xml:space="preserve"> things which appear to third and fourth year engineering which seems somewhat inappropriate… There’s segmentation, but also an overlap and a spectrum of activity. There’s a role for supporting creative and design work undertaken by graduates of </w:t>
      </w:r>
      <w:r w:rsidR="00DC2E71">
        <w:t xml:space="preserve">[AQF] </w:t>
      </w:r>
      <w:r>
        <w:t xml:space="preserve">level 7–9 programs. There has to be the same language to enable discourse, but people of each level shouldn’t be doing the same thing. Professionals may know how to do de-bugging of systems, or fitting and </w:t>
      </w:r>
      <w:r>
        <w:lastRenderedPageBreak/>
        <w:t xml:space="preserve">turning on a lathe, but probably don’t have highly-honed skills in these areas… AQF while it may help doesn’t really match the actual discontinuities in work. There isn’t scope in current programs for what might be needed in terms of bridging programs, academic scaffolding. </w:t>
      </w:r>
    </w:p>
    <w:p w14:paraId="5624A41F" w14:textId="046A6E7A" w:rsidR="002C6037" w:rsidRDefault="002C6037" w:rsidP="002C6037">
      <w:pPr>
        <w:pStyle w:val="Text"/>
      </w:pPr>
      <w:r>
        <w:t>Perhaps the most sc</w:t>
      </w:r>
      <w:r w:rsidR="00660857">
        <w:t xml:space="preserve">eptical of the potential of </w:t>
      </w:r>
      <w:r w:rsidR="00572455">
        <w:t>mid-level</w:t>
      </w:r>
      <w:r w:rsidR="00660857">
        <w:t xml:space="preserve"> qualification and </w:t>
      </w:r>
      <w:r w:rsidR="00572455">
        <w:t>mid-level</w:t>
      </w:r>
      <w:r>
        <w:t xml:space="preserve"> occupations </w:t>
      </w:r>
      <w:r w:rsidR="00DC2E71">
        <w:t>among interviewees</w:t>
      </w:r>
      <w:r>
        <w:t xml:space="preserve"> </w:t>
      </w:r>
      <w:r w:rsidR="00DC2E71">
        <w:t xml:space="preserve">was </w:t>
      </w:r>
      <w:r>
        <w:t>the engineering dean. He argued</w:t>
      </w:r>
      <w:r w:rsidR="00A43EE8">
        <w:t>:</w:t>
      </w:r>
    </w:p>
    <w:p w14:paraId="56B90E74" w14:textId="77777777" w:rsidR="002C6037" w:rsidRDefault="002C6037" w:rsidP="002C6037">
      <w:pPr>
        <w:pStyle w:val="Quote"/>
      </w:pPr>
      <w:r w:rsidRPr="00A415C3">
        <w:t xml:space="preserve">My personal view is there is really no need under this current trend of the job market to have a </w:t>
      </w:r>
      <w:r>
        <w:t xml:space="preserve">mid-level </w:t>
      </w:r>
      <w:r w:rsidRPr="00A415C3">
        <w:t xml:space="preserve">qualification in engineering, and I do understand that the Minerals Council of Australia wants to </w:t>
      </w:r>
      <w:r>
        <w:t>instigate the creation of mid-</w:t>
      </w:r>
      <w:r w:rsidRPr="00A415C3">
        <w:t>level qualifications, but unless there is an [ask] for it in industry and a recognition of what is exactly in them and the uses of it then it's really going to be a waste of time both for educators as well as those candi</w:t>
      </w:r>
      <w:r>
        <w:t>dates that undertake them.</w:t>
      </w:r>
    </w:p>
    <w:p w14:paraId="146C6623" w14:textId="77777777" w:rsidR="002C6037" w:rsidRDefault="002C6037" w:rsidP="002C6037">
      <w:pPr>
        <w:pStyle w:val="Quote"/>
      </w:pPr>
      <w:r>
        <w:t xml:space="preserve">The graduates of the Bachelor of Technology courses have difficulty finding jobs which are for engineering technologists. They either don't find a job or if they do it's as a technician or engineer. If you look at the BTECH graduates they are either working as an engineer or technician; they are doing the job of one level higher or one level lower, they’re not doing their own job. </w:t>
      </w:r>
    </w:p>
    <w:p w14:paraId="1D971912" w14:textId="77777777" w:rsidR="002C6037" w:rsidRDefault="002C6037" w:rsidP="002C6037">
      <w:pPr>
        <w:pStyle w:val="Text"/>
      </w:pPr>
      <w:r>
        <w:t xml:space="preserve">The dean saw scepticism as appropriate both in the general needs of engineering work, and also </w:t>
      </w:r>
      <w:r w:rsidR="00A43EE8">
        <w:t xml:space="preserve">because </w:t>
      </w:r>
      <w:r>
        <w:t>of a current downturn in employment for engineering professionals.</w:t>
      </w:r>
    </w:p>
    <w:p w14:paraId="48A97E89" w14:textId="77777777" w:rsidR="002C6037" w:rsidRDefault="002C6037" w:rsidP="002C6037">
      <w:pPr>
        <w:pStyle w:val="Quote"/>
      </w:pPr>
      <w:r>
        <w:t>What I see as the intention of these mid-level qualifications is to have a super technician; the person who knows more perhaps in terms of integration than someone who has done a Certificate IV or Diploma, but then they are not designers, they are not necessarily people who can innovate.</w:t>
      </w:r>
      <w:r>
        <w:tab/>
        <w:t xml:space="preserve">Is there a real need for it? In my view not really, I do appreciate the studies that have shown the shortage of engineers in the workforce, but I share the view of many of my academic colleagues who actually talk to the graduates who might’ve finished in the last six months or year and we find that the employment rates are not all that wonderful. </w:t>
      </w:r>
    </w:p>
    <w:p w14:paraId="2968340C" w14:textId="279546EA" w:rsidR="002C6037" w:rsidRDefault="002C6037" w:rsidP="002C6037">
      <w:pPr>
        <w:pStyle w:val="Text"/>
      </w:pPr>
      <w:r>
        <w:t>Along with the union official, the dean saw a negative ‘purpose’ in the</w:t>
      </w:r>
      <w:r w:rsidR="00660857">
        <w:t xml:space="preserve"> recent developments of new </w:t>
      </w:r>
      <w:r w:rsidR="00572455">
        <w:t>mid-level</w:t>
      </w:r>
      <w:r>
        <w:t xml:space="preserve"> qualifications, as, in the dean’s case, a substitute for employers fo</w:t>
      </w:r>
      <w:r w:rsidR="00660857">
        <w:t xml:space="preserve">r a lack of previous modes </w:t>
      </w:r>
      <w:r w:rsidR="00D564EA">
        <w:t xml:space="preserve">of </w:t>
      </w:r>
      <w:r w:rsidR="00660857">
        <w:t xml:space="preserve">work </w:t>
      </w:r>
      <w:r>
        <w:t>based training:</w:t>
      </w:r>
    </w:p>
    <w:p w14:paraId="1DA187E1" w14:textId="3F303EEE" w:rsidR="002C6037" w:rsidRDefault="002C6037" w:rsidP="002C6037">
      <w:pPr>
        <w:pStyle w:val="Quote"/>
      </w:pPr>
      <w:r>
        <w:t>I think what industry is after is they want of slough off their responsibility of some on the job training themselves and they are after many tiers rather than investing into training they just want to pick somebody put them in the role – you are for Certificate III, you are doing the job of a Certificate IV, you are doing the job of an Advance</w:t>
      </w:r>
      <w:r w:rsidR="009F018A">
        <w:t>d</w:t>
      </w:r>
      <w:r>
        <w:t xml:space="preserve"> Diploma, an Associate Degree, a Bachelor of Technology an engineer - you cannot have all those levels… </w:t>
      </w:r>
      <w:r w:rsidRPr="00510B11">
        <w:t>after all of these tiers of qualifications and they want to exactly define what their learning outcomes, skills and capabilities are; Certificate III, Certificate IV, Diploma, Associate Degree, Bachelor of Technology, Bachelor of Engineering, it's just way too much.</w:t>
      </w:r>
    </w:p>
    <w:p w14:paraId="58E67C35" w14:textId="77777777" w:rsidR="002C6037" w:rsidRDefault="002C6037" w:rsidP="002C6037">
      <w:pPr>
        <w:pStyle w:val="Text"/>
      </w:pPr>
      <w:r>
        <w:t>However, in a similar manner to two of the participants in our agriculture case study, the engineering dean also suggested that short course</w:t>
      </w:r>
      <w:r w:rsidR="00DC2E71">
        <w:t>s</w:t>
      </w:r>
      <w:r>
        <w:t xml:space="preserve"> that were specific but also could accumulate to</w:t>
      </w:r>
      <w:r w:rsidR="00DC2E71">
        <w:t>wards</w:t>
      </w:r>
      <w:r>
        <w:t xml:space="preserve"> qualifications might be a useful alternative approach to mid-level qualifications and </w:t>
      </w:r>
      <w:r w:rsidR="00DC2E71">
        <w:t xml:space="preserve">for </w:t>
      </w:r>
      <w:r>
        <w:t xml:space="preserve">educational progression. </w:t>
      </w:r>
    </w:p>
    <w:p w14:paraId="1D37E34F" w14:textId="32807532" w:rsidR="002C6037" w:rsidRDefault="002C6037" w:rsidP="002C6037">
      <w:pPr>
        <w:pStyle w:val="Quote"/>
      </w:pPr>
      <w:r w:rsidRPr="002071E7">
        <w:t>The systems have become more and more complex, so the difficulty is being too focussed on what industry needs now</w:t>
      </w:r>
      <w:r w:rsidR="00DC2E71">
        <w:t>… [Systems]</w:t>
      </w:r>
      <w:r w:rsidRPr="002071E7">
        <w:t xml:space="preserve"> need</w:t>
      </w:r>
      <w:r w:rsidR="00DC2E71">
        <w:t xml:space="preserve"> </w:t>
      </w:r>
      <w:r w:rsidRPr="002071E7">
        <w:t>the opportunity to address what industry will need five years later. R</w:t>
      </w:r>
      <w:r>
        <w:t>ather than thinking about mid-</w:t>
      </w:r>
      <w:r w:rsidRPr="002071E7">
        <w:t>level</w:t>
      </w:r>
      <w:r w:rsidR="00D564EA">
        <w:t xml:space="preserve"> qualifications, we should think</w:t>
      </w:r>
      <w:r w:rsidRPr="002071E7">
        <w:t xml:space="preserve"> about training opportunities which might involve a combination with university</w:t>
      </w:r>
      <w:r>
        <w:t>…</w:t>
      </w:r>
      <w:r w:rsidRPr="002071E7">
        <w:t xml:space="preserve"> the tertiary sector offering those short courses so someo</w:t>
      </w:r>
      <w:r>
        <w:t>ne who has finished with their diploma or c</w:t>
      </w:r>
      <w:r w:rsidRPr="002071E7">
        <w:t xml:space="preserve">ertificate IV has ability to learn more in a systematic way but doing short courses and as the need arises, rather than having </w:t>
      </w:r>
      <w:r w:rsidRPr="002071E7">
        <w:lastRenderedPageBreak/>
        <w:t>another bundle to move to next level you need to do this. Because what is that bundle going to do? That bundle is not going to cater for what that industry wants. Again it's going to have a lot more generic attributes and skills</w:t>
      </w:r>
      <w:r>
        <w:t xml:space="preserve">… </w:t>
      </w:r>
      <w:r w:rsidRPr="00EA37B5">
        <w:t xml:space="preserve">based on the needs of the job, once completed so many modules or credit points we can give you a qualification called </w:t>
      </w:r>
      <w:r>
        <w:t>associate degree or advanced d</w:t>
      </w:r>
      <w:r w:rsidRPr="00EA37B5">
        <w:t>iploma. We should not put any further qualifications constrained on a fixed set of units, subjects</w:t>
      </w:r>
      <w:r>
        <w:t xml:space="preserve">… </w:t>
      </w:r>
      <w:r w:rsidRPr="00EA37B5">
        <w:t>if we really focus on the needs of the industry and design independent yet relevant modules so people do them as they need them and at the end when they’ve done it a good number of them; a particular qualification will be awarded to them.</w:t>
      </w:r>
    </w:p>
    <w:p w14:paraId="04181051" w14:textId="77777777" w:rsidR="002C6037" w:rsidRDefault="002C6037" w:rsidP="002C6037">
      <w:pPr>
        <w:pStyle w:val="Heading3"/>
      </w:pPr>
      <w:r>
        <w:t>Widening participation in qualifications</w:t>
      </w:r>
    </w:p>
    <w:p w14:paraId="2A3692E6" w14:textId="691BC3F0" w:rsidR="00DC68A4" w:rsidRDefault="00DC68A4" w:rsidP="00DC68A4">
      <w:pPr>
        <w:pStyle w:val="Text"/>
      </w:pPr>
      <w:r>
        <w:t>This section e</w:t>
      </w:r>
      <w:r w:rsidR="00660857">
        <w:t xml:space="preserve">xamines the extent to which </w:t>
      </w:r>
      <w:r w:rsidR="00572455">
        <w:t>mid-level</w:t>
      </w:r>
      <w:r>
        <w:t xml:space="preserve"> qualifications in VET widen participati</w:t>
      </w:r>
      <w:r w:rsidR="00660857">
        <w:t xml:space="preserve">on in higher </w:t>
      </w:r>
      <w:r>
        <w:t xml:space="preserve">level qualifications for students from disadvantaged backgrounds, thus supporting equity and social mobility. Table </w:t>
      </w:r>
      <w:r w:rsidR="00A43EE8">
        <w:t>1</w:t>
      </w:r>
      <w:r>
        <w:t>4 shows the percentage of s</w:t>
      </w:r>
      <w:r w:rsidR="00660857">
        <w:t xml:space="preserve">tudents in the two lowest socio </w:t>
      </w:r>
      <w:r>
        <w:t>economic quintiles, or stud</w:t>
      </w:r>
      <w:r w:rsidR="00660857">
        <w:t xml:space="preserve">ents in the bottom 40% of socio </w:t>
      </w:r>
      <w:r>
        <w:t>economic backgrounds</w:t>
      </w:r>
      <w:r w:rsidR="00A43EE8">
        <w:t>,</w:t>
      </w:r>
      <w:r>
        <w:t xml:space="preserve"> in the broad field of education of </w:t>
      </w:r>
      <w:r w:rsidR="004019B2">
        <w:t>engin</w:t>
      </w:r>
      <w:r w:rsidR="00660857">
        <w:t>eering and related technologies. It also shows these percentages in</w:t>
      </w:r>
      <w:r>
        <w:t xml:space="preserve"> the </w:t>
      </w:r>
      <w:r w:rsidR="004019B2">
        <w:t xml:space="preserve">two </w:t>
      </w:r>
      <w:r>
        <w:t>narrow field</w:t>
      </w:r>
      <w:r w:rsidR="004019B2">
        <w:t>s</w:t>
      </w:r>
      <w:r>
        <w:t xml:space="preserve"> of education of</w:t>
      </w:r>
      <w:r w:rsidR="004019B2">
        <w:t xml:space="preserve"> process and resources engineering and electrical and electro</w:t>
      </w:r>
      <w:r w:rsidR="00660857">
        <w:t>nic engineering and technology.</w:t>
      </w:r>
      <w:r>
        <w:t xml:space="preserve"> If stu</w:t>
      </w:r>
      <w:r w:rsidR="00660857">
        <w:t xml:space="preserve">dents from the two lowest socio </w:t>
      </w:r>
      <w:r>
        <w:t>economic quintiles (the bottom 40</w:t>
      </w:r>
      <w:r w:rsidR="003D41A0">
        <w:t>%</w:t>
      </w:r>
      <w:r>
        <w:t>) were represented in VET qualifications in proportion to their numbers in the population, then they should be 40</w:t>
      </w:r>
      <w:r w:rsidR="00A43EE8">
        <w:t>%</w:t>
      </w:r>
      <w:r>
        <w:t xml:space="preserve"> of students in these qualifications. </w:t>
      </w:r>
    </w:p>
    <w:p w14:paraId="0AAE4020" w14:textId="5A6152F9" w:rsidR="00DC68A4" w:rsidRDefault="004019B2" w:rsidP="00DC68A4">
      <w:pPr>
        <w:pStyle w:val="Text"/>
      </w:pPr>
      <w:r>
        <w:t>The table shows that students from the most disa</w:t>
      </w:r>
      <w:r w:rsidR="00660857">
        <w:t xml:space="preserve">dvantaged backgrounds are </w:t>
      </w:r>
      <w:proofErr w:type="spellStart"/>
      <w:r w:rsidR="00660857">
        <w:t xml:space="preserve">under </w:t>
      </w:r>
      <w:r>
        <w:t>represented</w:t>
      </w:r>
      <w:proofErr w:type="spellEnd"/>
      <w:r w:rsidR="00660857">
        <w:t xml:space="preserve"> in</w:t>
      </w:r>
      <w:r>
        <w:t xml:space="preserve"> diplomas a</w:t>
      </w:r>
      <w:r w:rsidR="004B7C72">
        <w:t>nd above in engineering overall</w:t>
      </w:r>
      <w:r>
        <w:t xml:space="preserve"> and in the two narrow fields of education examined here</w:t>
      </w:r>
      <w:r w:rsidR="00660857">
        <w:t xml:space="preserve">. </w:t>
      </w:r>
      <w:r w:rsidR="004B7C72">
        <w:t>This underrepresentation is about the extent of the underrepresentation of students from the most disadvantaged quintiles</w:t>
      </w:r>
      <w:r>
        <w:t xml:space="preserve"> in VET overall. </w:t>
      </w:r>
      <w:r w:rsidR="008A4343">
        <w:t>D</w:t>
      </w:r>
      <w:r w:rsidR="00ED3374">
        <w:t>isadvantaged students in the broad field of educatio</w:t>
      </w:r>
      <w:r w:rsidR="004B7C72">
        <w:t xml:space="preserve">n of engineering are more </w:t>
      </w:r>
      <w:proofErr w:type="spellStart"/>
      <w:r w:rsidR="004B7C72">
        <w:t xml:space="preserve">under </w:t>
      </w:r>
      <w:r w:rsidR="00ED3374">
        <w:t>represented</w:t>
      </w:r>
      <w:proofErr w:type="spellEnd"/>
      <w:r w:rsidR="00ED3374">
        <w:t xml:space="preserve"> </w:t>
      </w:r>
      <w:r w:rsidR="008A4343">
        <w:t xml:space="preserve">in diplomas and above </w:t>
      </w:r>
      <w:r w:rsidR="00ED3374">
        <w:t xml:space="preserve">than for the two narrow fields </w:t>
      </w:r>
      <w:r w:rsidR="008A4343">
        <w:t xml:space="preserve">in engineering </w:t>
      </w:r>
      <w:r w:rsidR="00ED3374">
        <w:t xml:space="preserve">and for VET students overall. The narrow field of electrical and electronic engineering and technology </w:t>
      </w:r>
      <w:r w:rsidR="008A4343">
        <w:t xml:space="preserve">has </w:t>
      </w:r>
      <w:r w:rsidR="00ED3374">
        <w:t xml:space="preserve">fewer students from the most disadvantaged backgrounds compared to VET overall, and compared to the broad field of education of engineering and the narrow field of process and resources engineering. It is only </w:t>
      </w:r>
      <w:r w:rsidR="008A4343">
        <w:t xml:space="preserve">in </w:t>
      </w:r>
      <w:r w:rsidR="00ED3374">
        <w:t>certificate</w:t>
      </w:r>
      <w:r w:rsidR="008A4343">
        <w:t>s</w:t>
      </w:r>
      <w:r w:rsidR="00ED3374">
        <w:t xml:space="preserve"> II </w:t>
      </w:r>
      <w:r w:rsidR="008A4343">
        <w:t xml:space="preserve">in electrical and electronic engineering and technology </w:t>
      </w:r>
      <w:r w:rsidR="00ED3374">
        <w:t xml:space="preserve">that students are represented close to proportionally with their numbers in the population, but </w:t>
      </w:r>
      <w:r w:rsidR="008A4343">
        <w:t>this profile is quite different to certificates II in engineering overall and in VET more broadly.</w:t>
      </w:r>
      <w:r w:rsidR="00ED3374">
        <w:t xml:space="preserve"> The most disadvantaged</w:t>
      </w:r>
      <w:r w:rsidR="004B7C72">
        <w:t xml:space="preserve"> students are dramatically over </w:t>
      </w:r>
      <w:r w:rsidR="00ED3374">
        <w:t>represented in certificate I in electrical and electronic engineering and technology, but there are very few students in this narrow fiel</w:t>
      </w:r>
      <w:r w:rsidR="009F018A">
        <w:t>d of education in certificates I</w:t>
      </w:r>
      <w:r w:rsidR="00ED3374">
        <w:t xml:space="preserve">: </w:t>
      </w:r>
      <w:r w:rsidR="008A4343">
        <w:t xml:space="preserve">there were only 115 students enrolled in these qualifications in </w:t>
      </w:r>
      <w:r w:rsidR="004B7C72">
        <w:t xml:space="preserve">2012, which represented 22 full </w:t>
      </w:r>
      <w:r w:rsidR="008A4343">
        <w:t>year training equivalents.</w:t>
      </w:r>
      <w:r w:rsidR="008A4343">
        <w:rPr>
          <w:rStyle w:val="FootnoteReference"/>
        </w:rPr>
        <w:footnoteReference w:id="4"/>
      </w:r>
      <w:r w:rsidR="008A4343">
        <w:t xml:space="preserve"> </w:t>
      </w:r>
    </w:p>
    <w:p w14:paraId="2339F9BC" w14:textId="77777777" w:rsidR="009F018A" w:rsidRDefault="009F018A" w:rsidP="00896141">
      <w:pPr>
        <w:pStyle w:val="tabletitle"/>
        <w:sectPr w:rsidR="009F018A" w:rsidSect="008F7215">
          <w:footerReference w:type="even" r:id="rId27"/>
          <w:footerReference w:type="default" r:id="rId28"/>
          <w:pgSz w:w="11907" w:h="16840" w:code="9"/>
          <w:pgMar w:top="1276" w:right="1701" w:bottom="1276" w:left="1418" w:header="709" w:footer="556" w:gutter="0"/>
          <w:cols w:space="708" w:equalWidth="0">
            <w:col w:w="8788"/>
          </w:cols>
          <w:docGrid w:linePitch="360"/>
        </w:sectPr>
      </w:pPr>
      <w:bookmarkStart w:id="77" w:name="_Toc257836877"/>
    </w:p>
    <w:p w14:paraId="59DEB270" w14:textId="13544724" w:rsidR="00896141" w:rsidRPr="00837EEF" w:rsidRDefault="00896141" w:rsidP="00896141">
      <w:pPr>
        <w:pStyle w:val="tabletitle"/>
      </w:pPr>
      <w:r>
        <w:lastRenderedPageBreak/>
        <w:t xml:space="preserve">Table </w:t>
      </w:r>
      <w:r w:rsidR="00A43EE8">
        <w:t>1</w:t>
      </w:r>
      <w:r>
        <w:t>4</w:t>
      </w:r>
      <w:r w:rsidRPr="00837EEF">
        <w:tab/>
      </w:r>
      <w:r>
        <w:t>Percentage of students from the two lowest socio-economic quintiles</w:t>
      </w:r>
      <w:r w:rsidRPr="00771F89">
        <w:t xml:space="preserve"> by level of qualification and broad and selected</w:t>
      </w:r>
      <w:r>
        <w:t xml:space="preserve"> narrow field of education, 2012*</w:t>
      </w:r>
      <w:bookmarkEnd w:id="77"/>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896141" w:rsidRPr="00354810" w14:paraId="65152FF1" w14:textId="77777777" w:rsidTr="006A738C">
        <w:trPr>
          <w:trHeight w:val="255"/>
          <w:tblHeader/>
        </w:trPr>
        <w:tc>
          <w:tcPr>
            <w:tcW w:w="2876" w:type="dxa"/>
            <w:tcBorders>
              <w:top w:val="single" w:sz="4" w:space="0" w:color="auto"/>
              <w:bottom w:val="nil"/>
            </w:tcBorders>
            <w:shd w:val="clear" w:color="auto" w:fill="auto"/>
            <w:vAlign w:val="center"/>
          </w:tcPr>
          <w:p w14:paraId="4F704FF9" w14:textId="77777777" w:rsidR="00896141" w:rsidRPr="00354810" w:rsidRDefault="00896141" w:rsidP="006A738C">
            <w:pPr>
              <w:pStyle w:val="Tablehead1"/>
            </w:pPr>
            <w:r w:rsidRPr="00354810">
              <w:t>Field of education</w:t>
            </w:r>
          </w:p>
        </w:tc>
        <w:tc>
          <w:tcPr>
            <w:tcW w:w="860" w:type="dxa"/>
            <w:tcBorders>
              <w:top w:val="single" w:sz="4" w:space="0" w:color="auto"/>
              <w:bottom w:val="nil"/>
            </w:tcBorders>
            <w:vAlign w:val="center"/>
          </w:tcPr>
          <w:p w14:paraId="22B8E2C5" w14:textId="77777777" w:rsidR="00896141" w:rsidRPr="00354810" w:rsidRDefault="00896141" w:rsidP="006A738C">
            <w:pPr>
              <w:pStyle w:val="Tablehead1"/>
              <w:jc w:val="right"/>
              <w:rPr>
                <w:bCs/>
              </w:rPr>
            </w:pPr>
            <w:r w:rsidRPr="00354810">
              <w:rPr>
                <w:bCs/>
              </w:rPr>
              <w:t>Cert I</w:t>
            </w:r>
          </w:p>
        </w:tc>
        <w:tc>
          <w:tcPr>
            <w:tcW w:w="861" w:type="dxa"/>
            <w:tcBorders>
              <w:top w:val="single" w:sz="4" w:space="0" w:color="auto"/>
              <w:bottom w:val="nil"/>
            </w:tcBorders>
            <w:vAlign w:val="center"/>
          </w:tcPr>
          <w:p w14:paraId="29E054D8" w14:textId="77777777" w:rsidR="00896141" w:rsidRPr="00354810" w:rsidRDefault="00896141" w:rsidP="006A738C">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1E239B91" w14:textId="77777777" w:rsidR="00896141" w:rsidRPr="00354810" w:rsidRDefault="00896141" w:rsidP="006A738C">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5713CCE3" w14:textId="77777777" w:rsidR="00896141" w:rsidRPr="00354810" w:rsidRDefault="00896141" w:rsidP="006A738C">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2DA7F7AF" w14:textId="77777777" w:rsidR="00896141" w:rsidRPr="00354810" w:rsidRDefault="00896141" w:rsidP="006A738C">
            <w:pPr>
              <w:pStyle w:val="Tablehead1"/>
              <w:jc w:val="right"/>
              <w:rPr>
                <w:bCs/>
              </w:rPr>
            </w:pPr>
            <w:r>
              <w:rPr>
                <w:bCs/>
              </w:rPr>
              <w:t>Dips and above</w:t>
            </w:r>
          </w:p>
        </w:tc>
        <w:tc>
          <w:tcPr>
            <w:tcW w:w="861" w:type="dxa"/>
            <w:tcBorders>
              <w:top w:val="single" w:sz="4" w:space="0" w:color="auto"/>
              <w:bottom w:val="nil"/>
            </w:tcBorders>
            <w:vAlign w:val="center"/>
          </w:tcPr>
          <w:p w14:paraId="1FD5B889" w14:textId="77777777" w:rsidR="00896141" w:rsidRPr="00354810" w:rsidRDefault="00896141" w:rsidP="006A738C">
            <w:pPr>
              <w:pStyle w:val="Tablehead1"/>
              <w:jc w:val="right"/>
              <w:rPr>
                <w:bCs/>
              </w:rPr>
            </w:pPr>
            <w:r w:rsidRPr="00354810">
              <w:rPr>
                <w:bCs/>
              </w:rPr>
              <w:t>All levels</w:t>
            </w:r>
          </w:p>
        </w:tc>
      </w:tr>
      <w:tr w:rsidR="00896141" w:rsidRPr="00354810" w14:paraId="7BB23D81" w14:textId="77777777" w:rsidTr="006A738C">
        <w:trPr>
          <w:trHeight w:val="255"/>
        </w:trPr>
        <w:tc>
          <w:tcPr>
            <w:tcW w:w="2876" w:type="dxa"/>
            <w:tcBorders>
              <w:top w:val="nil"/>
              <w:bottom w:val="nil"/>
            </w:tcBorders>
            <w:shd w:val="clear" w:color="auto" w:fill="auto"/>
            <w:vAlign w:val="center"/>
          </w:tcPr>
          <w:p w14:paraId="78DD1806" w14:textId="77777777" w:rsidR="00896141" w:rsidRPr="00354810" w:rsidRDefault="00896141" w:rsidP="006A738C">
            <w:pPr>
              <w:pStyle w:val="Tabletext"/>
              <w:rPr>
                <w:b/>
                <w:bCs/>
              </w:rPr>
            </w:pPr>
            <w:r w:rsidRPr="005D42BF">
              <w:rPr>
                <w:b/>
                <w:bCs/>
              </w:rPr>
              <w:t>Engineering and related technologies</w:t>
            </w:r>
          </w:p>
        </w:tc>
        <w:tc>
          <w:tcPr>
            <w:tcW w:w="860" w:type="dxa"/>
            <w:tcBorders>
              <w:top w:val="nil"/>
              <w:bottom w:val="nil"/>
            </w:tcBorders>
            <w:vAlign w:val="center"/>
          </w:tcPr>
          <w:p w14:paraId="54EF9876" w14:textId="77777777" w:rsidR="00896141" w:rsidRPr="005D42BF" w:rsidRDefault="00896141" w:rsidP="006A738C">
            <w:pPr>
              <w:pStyle w:val="Tabletext"/>
              <w:tabs>
                <w:tab w:val="decimal" w:pos="0"/>
                <w:tab w:val="decimal" w:pos="645"/>
                <w:tab w:val="right" w:pos="703"/>
              </w:tabs>
              <w:jc w:val="right"/>
            </w:pPr>
            <w:r w:rsidRPr="005D42BF">
              <w:t>47.5</w:t>
            </w:r>
          </w:p>
        </w:tc>
        <w:tc>
          <w:tcPr>
            <w:tcW w:w="861" w:type="dxa"/>
            <w:tcBorders>
              <w:top w:val="nil"/>
              <w:bottom w:val="nil"/>
            </w:tcBorders>
            <w:vAlign w:val="center"/>
          </w:tcPr>
          <w:p w14:paraId="06B8D17E" w14:textId="77777777" w:rsidR="00896141" w:rsidRPr="00354810" w:rsidRDefault="00896141" w:rsidP="006A738C">
            <w:pPr>
              <w:pStyle w:val="Tabletext"/>
              <w:tabs>
                <w:tab w:val="decimal" w:pos="0"/>
                <w:tab w:val="decimal" w:pos="645"/>
                <w:tab w:val="right" w:pos="703"/>
              </w:tabs>
              <w:jc w:val="right"/>
            </w:pPr>
            <w:r w:rsidRPr="005D42BF">
              <w:t>51.9</w:t>
            </w:r>
          </w:p>
        </w:tc>
        <w:tc>
          <w:tcPr>
            <w:tcW w:w="861" w:type="dxa"/>
            <w:tcBorders>
              <w:top w:val="nil"/>
              <w:bottom w:val="nil"/>
            </w:tcBorders>
            <w:shd w:val="clear" w:color="auto" w:fill="auto"/>
            <w:vAlign w:val="center"/>
          </w:tcPr>
          <w:p w14:paraId="7B499474" w14:textId="77777777" w:rsidR="00896141" w:rsidRPr="00354810" w:rsidRDefault="00896141" w:rsidP="006A738C">
            <w:pPr>
              <w:pStyle w:val="Tabletext"/>
              <w:tabs>
                <w:tab w:val="decimal" w:pos="0"/>
                <w:tab w:val="decimal" w:pos="645"/>
                <w:tab w:val="right" w:pos="703"/>
              </w:tabs>
              <w:jc w:val="right"/>
            </w:pPr>
            <w:r w:rsidRPr="005D42BF">
              <w:t>49.3</w:t>
            </w:r>
          </w:p>
        </w:tc>
        <w:tc>
          <w:tcPr>
            <w:tcW w:w="860" w:type="dxa"/>
            <w:tcBorders>
              <w:top w:val="nil"/>
              <w:bottom w:val="nil"/>
            </w:tcBorders>
            <w:shd w:val="clear" w:color="auto" w:fill="auto"/>
            <w:vAlign w:val="center"/>
          </w:tcPr>
          <w:p w14:paraId="50D1237F" w14:textId="77777777" w:rsidR="00896141" w:rsidRPr="00354810" w:rsidRDefault="00896141" w:rsidP="006A738C">
            <w:pPr>
              <w:pStyle w:val="Tabletext"/>
              <w:tabs>
                <w:tab w:val="decimal" w:pos="0"/>
                <w:tab w:val="decimal" w:pos="645"/>
                <w:tab w:val="right" w:pos="703"/>
              </w:tabs>
              <w:jc w:val="right"/>
            </w:pPr>
            <w:r w:rsidRPr="005D42BF">
              <w:t>44.4</w:t>
            </w:r>
          </w:p>
        </w:tc>
        <w:tc>
          <w:tcPr>
            <w:tcW w:w="861" w:type="dxa"/>
            <w:tcBorders>
              <w:top w:val="nil"/>
              <w:bottom w:val="nil"/>
            </w:tcBorders>
            <w:shd w:val="pct12" w:color="auto" w:fill="auto"/>
            <w:vAlign w:val="center"/>
          </w:tcPr>
          <w:p w14:paraId="024B94A2" w14:textId="77777777" w:rsidR="00896141" w:rsidRPr="00354810" w:rsidRDefault="00896141" w:rsidP="006A738C">
            <w:pPr>
              <w:pStyle w:val="Tabletext"/>
              <w:tabs>
                <w:tab w:val="decimal" w:pos="0"/>
                <w:tab w:val="decimal" w:pos="645"/>
                <w:tab w:val="right" w:pos="703"/>
              </w:tabs>
              <w:jc w:val="right"/>
            </w:pPr>
            <w:r w:rsidRPr="005D42BF">
              <w:t>30.6</w:t>
            </w:r>
          </w:p>
        </w:tc>
        <w:tc>
          <w:tcPr>
            <w:tcW w:w="861" w:type="dxa"/>
            <w:tcBorders>
              <w:top w:val="nil"/>
              <w:bottom w:val="nil"/>
            </w:tcBorders>
            <w:vAlign w:val="center"/>
          </w:tcPr>
          <w:p w14:paraId="2891C7FF" w14:textId="77777777" w:rsidR="00896141" w:rsidRPr="005D42BF" w:rsidRDefault="00896141" w:rsidP="006A738C">
            <w:pPr>
              <w:pStyle w:val="Tabletext"/>
              <w:tabs>
                <w:tab w:val="decimal" w:pos="0"/>
                <w:tab w:val="decimal" w:pos="645"/>
                <w:tab w:val="right" w:pos="703"/>
              </w:tabs>
              <w:jc w:val="right"/>
            </w:pPr>
            <w:r w:rsidRPr="005D42BF">
              <w:t>48.0</w:t>
            </w:r>
          </w:p>
        </w:tc>
      </w:tr>
      <w:tr w:rsidR="00896141" w:rsidRPr="00354810" w14:paraId="069066D9" w14:textId="77777777" w:rsidTr="006A738C">
        <w:trPr>
          <w:trHeight w:val="255"/>
        </w:trPr>
        <w:tc>
          <w:tcPr>
            <w:tcW w:w="2876" w:type="dxa"/>
            <w:tcBorders>
              <w:top w:val="nil"/>
              <w:bottom w:val="nil"/>
            </w:tcBorders>
            <w:shd w:val="clear" w:color="auto" w:fill="auto"/>
            <w:vAlign w:val="center"/>
          </w:tcPr>
          <w:p w14:paraId="7FEE73B9" w14:textId="77777777" w:rsidR="00896141" w:rsidRPr="005D42BF" w:rsidRDefault="00896141" w:rsidP="006A738C">
            <w:pPr>
              <w:pStyle w:val="Tabletext"/>
              <w:ind w:left="567"/>
              <w:rPr>
                <w:b/>
              </w:rPr>
            </w:pPr>
            <w:r w:rsidRPr="005D42BF">
              <w:t>Process and resources engineering</w:t>
            </w:r>
          </w:p>
        </w:tc>
        <w:tc>
          <w:tcPr>
            <w:tcW w:w="860" w:type="dxa"/>
            <w:tcBorders>
              <w:top w:val="nil"/>
              <w:bottom w:val="nil"/>
            </w:tcBorders>
            <w:vAlign w:val="center"/>
          </w:tcPr>
          <w:p w14:paraId="79DA75C4" w14:textId="77777777" w:rsidR="00896141" w:rsidRPr="00354810" w:rsidRDefault="00896141" w:rsidP="006A738C">
            <w:pPr>
              <w:pStyle w:val="Tabletext"/>
              <w:tabs>
                <w:tab w:val="decimal" w:pos="0"/>
                <w:tab w:val="decimal" w:pos="645"/>
                <w:tab w:val="right" w:pos="703"/>
              </w:tabs>
              <w:jc w:val="right"/>
            </w:pPr>
            <w:r w:rsidRPr="005D42BF">
              <w:t>39.8</w:t>
            </w:r>
          </w:p>
        </w:tc>
        <w:tc>
          <w:tcPr>
            <w:tcW w:w="861" w:type="dxa"/>
            <w:tcBorders>
              <w:top w:val="nil"/>
              <w:bottom w:val="nil"/>
            </w:tcBorders>
            <w:vAlign w:val="center"/>
          </w:tcPr>
          <w:p w14:paraId="4CE4E041" w14:textId="77777777" w:rsidR="00896141" w:rsidRPr="005D42BF" w:rsidRDefault="00896141" w:rsidP="006A738C">
            <w:pPr>
              <w:pStyle w:val="Tabletext"/>
              <w:tabs>
                <w:tab w:val="decimal" w:pos="0"/>
                <w:tab w:val="decimal" w:pos="645"/>
                <w:tab w:val="right" w:pos="703"/>
              </w:tabs>
              <w:jc w:val="right"/>
            </w:pPr>
            <w:r w:rsidRPr="005D42BF">
              <w:t>54.7</w:t>
            </w:r>
          </w:p>
        </w:tc>
        <w:tc>
          <w:tcPr>
            <w:tcW w:w="861" w:type="dxa"/>
            <w:tcBorders>
              <w:top w:val="nil"/>
              <w:bottom w:val="nil"/>
            </w:tcBorders>
            <w:shd w:val="clear" w:color="auto" w:fill="auto"/>
            <w:vAlign w:val="center"/>
          </w:tcPr>
          <w:p w14:paraId="037C07CA" w14:textId="77777777" w:rsidR="00896141" w:rsidRPr="00354810" w:rsidRDefault="00896141" w:rsidP="006A738C">
            <w:pPr>
              <w:pStyle w:val="Tabletext"/>
              <w:tabs>
                <w:tab w:val="decimal" w:pos="0"/>
                <w:tab w:val="decimal" w:pos="645"/>
                <w:tab w:val="right" w:pos="703"/>
              </w:tabs>
              <w:jc w:val="right"/>
            </w:pPr>
            <w:r w:rsidRPr="005D42BF">
              <w:t>54.3</w:t>
            </w:r>
          </w:p>
        </w:tc>
        <w:tc>
          <w:tcPr>
            <w:tcW w:w="860" w:type="dxa"/>
            <w:tcBorders>
              <w:top w:val="nil"/>
              <w:bottom w:val="nil"/>
            </w:tcBorders>
            <w:shd w:val="clear" w:color="auto" w:fill="auto"/>
            <w:vAlign w:val="center"/>
          </w:tcPr>
          <w:p w14:paraId="4843929F" w14:textId="77777777" w:rsidR="00896141" w:rsidRPr="005D42BF" w:rsidRDefault="00896141" w:rsidP="006A738C">
            <w:pPr>
              <w:pStyle w:val="Tabletext"/>
              <w:tabs>
                <w:tab w:val="decimal" w:pos="0"/>
                <w:tab w:val="decimal" w:pos="645"/>
                <w:tab w:val="right" w:pos="703"/>
              </w:tabs>
              <w:jc w:val="right"/>
            </w:pPr>
            <w:r w:rsidRPr="005D42BF">
              <w:t>50.8</w:t>
            </w:r>
          </w:p>
        </w:tc>
        <w:tc>
          <w:tcPr>
            <w:tcW w:w="861" w:type="dxa"/>
            <w:tcBorders>
              <w:top w:val="nil"/>
              <w:bottom w:val="nil"/>
            </w:tcBorders>
            <w:shd w:val="pct12" w:color="auto" w:fill="auto"/>
            <w:vAlign w:val="center"/>
          </w:tcPr>
          <w:p w14:paraId="635CA71D" w14:textId="77777777" w:rsidR="00896141" w:rsidRPr="005D42BF" w:rsidRDefault="00896141" w:rsidP="006A738C">
            <w:pPr>
              <w:pStyle w:val="Tabletext"/>
              <w:tabs>
                <w:tab w:val="decimal" w:pos="0"/>
                <w:tab w:val="decimal" w:pos="645"/>
                <w:tab w:val="right" w:pos="703"/>
              </w:tabs>
              <w:jc w:val="right"/>
            </w:pPr>
            <w:r w:rsidRPr="005D42BF">
              <w:t>34.2</w:t>
            </w:r>
          </w:p>
        </w:tc>
        <w:tc>
          <w:tcPr>
            <w:tcW w:w="861" w:type="dxa"/>
            <w:tcBorders>
              <w:top w:val="nil"/>
              <w:bottom w:val="nil"/>
            </w:tcBorders>
            <w:vAlign w:val="center"/>
          </w:tcPr>
          <w:p w14:paraId="7483FD11" w14:textId="77777777" w:rsidR="00896141" w:rsidRPr="00A85869" w:rsidRDefault="00896141" w:rsidP="006A738C">
            <w:pPr>
              <w:pStyle w:val="Tabletext"/>
              <w:tabs>
                <w:tab w:val="decimal" w:pos="0"/>
                <w:tab w:val="decimal" w:pos="645"/>
                <w:tab w:val="right" w:pos="703"/>
              </w:tabs>
              <w:jc w:val="right"/>
            </w:pPr>
            <w:r w:rsidRPr="005D42BF">
              <w:t>53.2</w:t>
            </w:r>
          </w:p>
        </w:tc>
      </w:tr>
      <w:tr w:rsidR="00896141" w:rsidRPr="00354810" w14:paraId="5450F6A6" w14:textId="77777777" w:rsidTr="006A738C">
        <w:trPr>
          <w:trHeight w:val="255"/>
        </w:trPr>
        <w:tc>
          <w:tcPr>
            <w:tcW w:w="2876" w:type="dxa"/>
            <w:tcBorders>
              <w:top w:val="nil"/>
              <w:bottom w:val="nil"/>
            </w:tcBorders>
            <w:shd w:val="clear" w:color="auto" w:fill="auto"/>
            <w:vAlign w:val="center"/>
          </w:tcPr>
          <w:p w14:paraId="6CC63512" w14:textId="77777777" w:rsidR="00896141" w:rsidRDefault="00896141" w:rsidP="006A738C">
            <w:pPr>
              <w:pStyle w:val="Tabletext"/>
              <w:ind w:left="567"/>
            </w:pPr>
            <w:r w:rsidRPr="005D42BF">
              <w:t>Electrical and electronic engineering and technology</w:t>
            </w:r>
          </w:p>
        </w:tc>
        <w:tc>
          <w:tcPr>
            <w:tcW w:w="860" w:type="dxa"/>
            <w:tcBorders>
              <w:top w:val="nil"/>
              <w:bottom w:val="nil"/>
            </w:tcBorders>
            <w:vAlign w:val="center"/>
          </w:tcPr>
          <w:p w14:paraId="0AEEF41F" w14:textId="77777777" w:rsidR="00896141" w:rsidRPr="00354810" w:rsidRDefault="00896141" w:rsidP="006A738C">
            <w:pPr>
              <w:pStyle w:val="Tabletext"/>
              <w:tabs>
                <w:tab w:val="decimal" w:pos="0"/>
                <w:tab w:val="decimal" w:pos="645"/>
                <w:tab w:val="right" w:pos="703"/>
              </w:tabs>
              <w:jc w:val="right"/>
            </w:pPr>
            <w:r w:rsidRPr="005D42BF">
              <w:t>86.1</w:t>
            </w:r>
          </w:p>
        </w:tc>
        <w:tc>
          <w:tcPr>
            <w:tcW w:w="861" w:type="dxa"/>
            <w:tcBorders>
              <w:top w:val="nil"/>
              <w:bottom w:val="nil"/>
            </w:tcBorders>
            <w:vAlign w:val="center"/>
          </w:tcPr>
          <w:p w14:paraId="0C17F10D" w14:textId="77777777" w:rsidR="00896141" w:rsidRPr="00354810" w:rsidRDefault="00896141" w:rsidP="006A738C">
            <w:pPr>
              <w:pStyle w:val="Tabletext"/>
              <w:tabs>
                <w:tab w:val="decimal" w:pos="0"/>
                <w:tab w:val="decimal" w:pos="645"/>
                <w:tab w:val="right" w:pos="703"/>
              </w:tabs>
              <w:jc w:val="right"/>
            </w:pPr>
            <w:r w:rsidRPr="005D42BF">
              <w:t>39.3</w:t>
            </w:r>
          </w:p>
        </w:tc>
        <w:tc>
          <w:tcPr>
            <w:tcW w:w="861" w:type="dxa"/>
            <w:tcBorders>
              <w:top w:val="nil"/>
              <w:bottom w:val="nil"/>
            </w:tcBorders>
            <w:shd w:val="clear" w:color="auto" w:fill="auto"/>
            <w:vAlign w:val="center"/>
          </w:tcPr>
          <w:p w14:paraId="0D874483" w14:textId="77777777" w:rsidR="00896141" w:rsidRPr="00354810" w:rsidRDefault="00896141" w:rsidP="006A738C">
            <w:pPr>
              <w:pStyle w:val="Tabletext"/>
              <w:tabs>
                <w:tab w:val="decimal" w:pos="0"/>
                <w:tab w:val="decimal" w:pos="645"/>
                <w:tab w:val="right" w:pos="703"/>
              </w:tabs>
              <w:jc w:val="right"/>
            </w:pPr>
            <w:r w:rsidRPr="005D42BF">
              <w:t>38.6</w:t>
            </w:r>
          </w:p>
        </w:tc>
        <w:tc>
          <w:tcPr>
            <w:tcW w:w="860" w:type="dxa"/>
            <w:tcBorders>
              <w:top w:val="nil"/>
              <w:bottom w:val="nil"/>
            </w:tcBorders>
            <w:shd w:val="clear" w:color="auto" w:fill="auto"/>
            <w:vAlign w:val="center"/>
          </w:tcPr>
          <w:p w14:paraId="195BFF54" w14:textId="77777777" w:rsidR="00896141" w:rsidRPr="00354810" w:rsidRDefault="00896141" w:rsidP="006A738C">
            <w:pPr>
              <w:pStyle w:val="Tabletext"/>
              <w:tabs>
                <w:tab w:val="decimal" w:pos="0"/>
                <w:tab w:val="decimal" w:pos="645"/>
                <w:tab w:val="right" w:pos="703"/>
              </w:tabs>
              <w:jc w:val="right"/>
            </w:pPr>
            <w:r w:rsidRPr="005D42BF">
              <w:t>35.2</w:t>
            </w:r>
          </w:p>
        </w:tc>
        <w:tc>
          <w:tcPr>
            <w:tcW w:w="861" w:type="dxa"/>
            <w:tcBorders>
              <w:top w:val="nil"/>
              <w:bottom w:val="nil"/>
            </w:tcBorders>
            <w:shd w:val="pct12" w:color="auto" w:fill="auto"/>
            <w:vAlign w:val="center"/>
          </w:tcPr>
          <w:p w14:paraId="795EF3A8" w14:textId="77777777" w:rsidR="00896141" w:rsidRPr="00354810" w:rsidRDefault="00896141" w:rsidP="006A738C">
            <w:pPr>
              <w:pStyle w:val="Tabletext"/>
              <w:tabs>
                <w:tab w:val="decimal" w:pos="0"/>
                <w:tab w:val="decimal" w:pos="645"/>
              </w:tabs>
              <w:jc w:val="right"/>
            </w:pPr>
            <w:r w:rsidRPr="005D42BF">
              <w:t>33.2</w:t>
            </w:r>
          </w:p>
        </w:tc>
        <w:tc>
          <w:tcPr>
            <w:tcW w:w="861" w:type="dxa"/>
            <w:tcBorders>
              <w:top w:val="nil"/>
              <w:bottom w:val="nil"/>
            </w:tcBorders>
            <w:vAlign w:val="center"/>
          </w:tcPr>
          <w:p w14:paraId="4AB6726F" w14:textId="77777777" w:rsidR="00896141" w:rsidRPr="00A85869" w:rsidRDefault="00896141" w:rsidP="006A738C">
            <w:pPr>
              <w:pStyle w:val="Tabletext"/>
              <w:tabs>
                <w:tab w:val="decimal" w:pos="0"/>
                <w:tab w:val="decimal" w:pos="645"/>
              </w:tabs>
              <w:jc w:val="right"/>
            </w:pPr>
            <w:r w:rsidRPr="005D42BF">
              <w:t>38.0</w:t>
            </w:r>
          </w:p>
        </w:tc>
      </w:tr>
      <w:tr w:rsidR="00896141" w:rsidRPr="00354810" w14:paraId="1E1B444B" w14:textId="77777777" w:rsidTr="006A738C">
        <w:trPr>
          <w:trHeight w:val="255"/>
        </w:trPr>
        <w:tc>
          <w:tcPr>
            <w:tcW w:w="2876" w:type="dxa"/>
            <w:tcBorders>
              <w:top w:val="single" w:sz="4" w:space="0" w:color="auto"/>
              <w:bottom w:val="single" w:sz="4" w:space="0" w:color="auto"/>
            </w:tcBorders>
            <w:shd w:val="clear" w:color="auto" w:fill="auto"/>
            <w:vAlign w:val="center"/>
          </w:tcPr>
          <w:p w14:paraId="41130E7A" w14:textId="77777777" w:rsidR="00896141" w:rsidRPr="00354810" w:rsidRDefault="00896141" w:rsidP="006A738C">
            <w:pPr>
              <w:pStyle w:val="Tabletext"/>
              <w:rPr>
                <w:b/>
              </w:rPr>
            </w:pPr>
            <w:r w:rsidRPr="00354810">
              <w:rPr>
                <w:b/>
              </w:rPr>
              <w:t>All fields</w:t>
            </w:r>
          </w:p>
        </w:tc>
        <w:tc>
          <w:tcPr>
            <w:tcW w:w="860" w:type="dxa"/>
            <w:tcBorders>
              <w:top w:val="single" w:sz="4" w:space="0" w:color="auto"/>
              <w:bottom w:val="single" w:sz="4" w:space="0" w:color="auto"/>
            </w:tcBorders>
            <w:vAlign w:val="center"/>
          </w:tcPr>
          <w:p w14:paraId="131F45CD" w14:textId="77777777" w:rsidR="00896141" w:rsidRPr="00A85869" w:rsidRDefault="00896141" w:rsidP="006A738C">
            <w:pPr>
              <w:pStyle w:val="Tabletext"/>
              <w:jc w:val="right"/>
              <w:rPr>
                <w:b/>
              </w:rPr>
            </w:pPr>
            <w:r w:rsidRPr="00A85869">
              <w:rPr>
                <w:b/>
              </w:rPr>
              <w:t>47.5</w:t>
            </w:r>
          </w:p>
        </w:tc>
        <w:tc>
          <w:tcPr>
            <w:tcW w:w="861" w:type="dxa"/>
            <w:tcBorders>
              <w:top w:val="single" w:sz="4" w:space="0" w:color="auto"/>
              <w:bottom w:val="single" w:sz="4" w:space="0" w:color="auto"/>
            </w:tcBorders>
            <w:vAlign w:val="center"/>
          </w:tcPr>
          <w:p w14:paraId="31C57708" w14:textId="77777777" w:rsidR="00896141" w:rsidRPr="00A85869" w:rsidRDefault="00896141" w:rsidP="006A738C">
            <w:pPr>
              <w:pStyle w:val="Tabletext"/>
              <w:tabs>
                <w:tab w:val="decimal" w:pos="0"/>
                <w:tab w:val="decimal" w:pos="645"/>
              </w:tabs>
              <w:jc w:val="right"/>
              <w:rPr>
                <w:b/>
              </w:rPr>
            </w:pPr>
            <w:r w:rsidRPr="00A85869">
              <w:rPr>
                <w:b/>
              </w:rPr>
              <w:t>50.9</w:t>
            </w:r>
          </w:p>
        </w:tc>
        <w:tc>
          <w:tcPr>
            <w:tcW w:w="861" w:type="dxa"/>
            <w:tcBorders>
              <w:top w:val="single" w:sz="4" w:space="0" w:color="auto"/>
              <w:bottom w:val="single" w:sz="4" w:space="0" w:color="auto"/>
            </w:tcBorders>
            <w:shd w:val="clear" w:color="auto" w:fill="auto"/>
            <w:vAlign w:val="center"/>
          </w:tcPr>
          <w:p w14:paraId="7F74322A" w14:textId="77777777" w:rsidR="00896141" w:rsidRPr="00A85869" w:rsidRDefault="00896141" w:rsidP="006A738C">
            <w:pPr>
              <w:pStyle w:val="Tabletext"/>
              <w:jc w:val="right"/>
              <w:rPr>
                <w:b/>
              </w:rPr>
            </w:pPr>
            <w:r w:rsidRPr="00A85869">
              <w:rPr>
                <w:b/>
              </w:rPr>
              <w:t>45.3</w:t>
            </w:r>
          </w:p>
        </w:tc>
        <w:tc>
          <w:tcPr>
            <w:tcW w:w="860" w:type="dxa"/>
            <w:tcBorders>
              <w:top w:val="single" w:sz="4" w:space="0" w:color="auto"/>
              <w:bottom w:val="single" w:sz="4" w:space="0" w:color="auto"/>
            </w:tcBorders>
            <w:shd w:val="clear" w:color="auto" w:fill="auto"/>
            <w:vAlign w:val="center"/>
          </w:tcPr>
          <w:p w14:paraId="27B5614E" w14:textId="77777777" w:rsidR="00896141" w:rsidRPr="00A85869" w:rsidRDefault="00896141" w:rsidP="006A738C">
            <w:pPr>
              <w:pStyle w:val="Tabletext"/>
              <w:jc w:val="right"/>
              <w:rPr>
                <w:b/>
              </w:rPr>
            </w:pPr>
            <w:r w:rsidRPr="00A85869">
              <w:rPr>
                <w:b/>
              </w:rPr>
              <w:t>37.9</w:t>
            </w:r>
          </w:p>
        </w:tc>
        <w:tc>
          <w:tcPr>
            <w:tcW w:w="861" w:type="dxa"/>
            <w:tcBorders>
              <w:top w:val="single" w:sz="4" w:space="0" w:color="auto"/>
              <w:bottom w:val="single" w:sz="4" w:space="0" w:color="auto"/>
            </w:tcBorders>
            <w:shd w:val="pct12" w:color="auto" w:fill="auto"/>
            <w:vAlign w:val="center"/>
          </w:tcPr>
          <w:p w14:paraId="7462C47A" w14:textId="77777777" w:rsidR="00896141" w:rsidRPr="00A85869" w:rsidRDefault="00896141" w:rsidP="006A738C">
            <w:pPr>
              <w:pStyle w:val="Tabletext"/>
              <w:jc w:val="right"/>
              <w:rPr>
                <w:b/>
              </w:rPr>
            </w:pPr>
            <w:r w:rsidRPr="00A85869">
              <w:rPr>
                <w:b/>
              </w:rPr>
              <w:t>33.8</w:t>
            </w:r>
          </w:p>
        </w:tc>
        <w:tc>
          <w:tcPr>
            <w:tcW w:w="861" w:type="dxa"/>
            <w:tcBorders>
              <w:top w:val="single" w:sz="4" w:space="0" w:color="auto"/>
              <w:bottom w:val="single" w:sz="4" w:space="0" w:color="auto"/>
            </w:tcBorders>
            <w:vAlign w:val="center"/>
          </w:tcPr>
          <w:p w14:paraId="0C185FAE" w14:textId="77777777" w:rsidR="00896141" w:rsidRPr="00A85869" w:rsidRDefault="00896141" w:rsidP="006A738C">
            <w:pPr>
              <w:pStyle w:val="Tabletext"/>
              <w:jc w:val="right"/>
              <w:rPr>
                <w:b/>
              </w:rPr>
            </w:pPr>
            <w:r w:rsidRPr="00A85869">
              <w:rPr>
                <w:b/>
              </w:rPr>
              <w:t>43.1</w:t>
            </w:r>
          </w:p>
        </w:tc>
      </w:tr>
    </w:tbl>
    <w:p w14:paraId="1717BFEC" w14:textId="77777777" w:rsidR="00DC68A4" w:rsidRDefault="00DC68A4" w:rsidP="00DC68A4">
      <w:pPr>
        <w:pStyle w:val="Source"/>
      </w:pPr>
      <w:r w:rsidRPr="000B7EAA">
        <w:t>S</w:t>
      </w:r>
      <w:r>
        <w:t>ource</w:t>
      </w:r>
      <w:r>
        <w:tab/>
      </w:r>
      <w:r w:rsidRPr="00772E52">
        <w:t>VOCSTATS (</w:t>
      </w:r>
      <w:hyperlink r:id="rId29" w:history="1">
        <w:r w:rsidRPr="00E22016">
          <w:t>www.ncver.edu.au/resources/vocstats/intro.html</w:t>
        </w:r>
      </w:hyperlink>
      <w:r w:rsidRPr="00772E52">
        <w:t>)</w:t>
      </w:r>
      <w:r>
        <w:t xml:space="preserve"> extracted on 26/12/2013</w:t>
      </w:r>
    </w:p>
    <w:p w14:paraId="052A8FF0" w14:textId="77777777" w:rsidR="00DC68A4" w:rsidRDefault="00DC68A4" w:rsidP="00DC68A4">
      <w:pPr>
        <w:pStyle w:val="Source"/>
      </w:pPr>
      <w:r>
        <w:t>Notes:</w:t>
      </w:r>
      <w:r>
        <w:tab/>
      </w:r>
      <w:proofErr w:type="spellStart"/>
      <w:proofErr w:type="gramStart"/>
      <w:r>
        <w:t>na</w:t>
      </w:r>
      <w:proofErr w:type="spellEnd"/>
      <w:proofErr w:type="gramEnd"/>
      <w:r>
        <w:t xml:space="preserve"> </w:t>
      </w:r>
      <w:r w:rsidRPr="00147C93">
        <w:t>Not applicable</w:t>
      </w:r>
    </w:p>
    <w:p w14:paraId="4CE09D70" w14:textId="77777777" w:rsidR="00DC68A4" w:rsidRDefault="00DC68A4" w:rsidP="00DC68A4">
      <w:pPr>
        <w:pStyle w:val="Source"/>
        <w:ind w:firstLine="0"/>
      </w:pPr>
      <w:r>
        <w:t xml:space="preserve">*as measured by the Index of Education and Occupations in SEIFA (Socio-Economic Indexes for Areas), Australian Bureau of Statistics. It uses postcodes as the basic unit of measurement. </w:t>
      </w:r>
    </w:p>
    <w:p w14:paraId="6004B4D1" w14:textId="77777777" w:rsidR="00DC68A4" w:rsidRDefault="00DC68A4" w:rsidP="00DC68A4">
      <w:pPr>
        <w:pStyle w:val="Source"/>
        <w:ind w:firstLine="0"/>
      </w:pPr>
      <w:r>
        <w:t>The number of students is counted and not enrolments or equivalent fulltime student load as the table focuses on attributes of students and not qualifications</w:t>
      </w:r>
    </w:p>
    <w:p w14:paraId="2F999BAE" w14:textId="31206F58" w:rsidR="00896141" w:rsidRDefault="008A4343" w:rsidP="008A4343">
      <w:pPr>
        <w:pStyle w:val="Text"/>
      </w:pPr>
      <w:r>
        <w:t xml:space="preserve">Engineering does not support widening participation or social mobility for students from disadvantaged backgrounds. </w:t>
      </w:r>
      <w:proofErr w:type="spellStart"/>
      <w:r>
        <w:t>Moodie</w:t>
      </w:r>
      <w:proofErr w:type="spellEnd"/>
      <w:r>
        <w:t xml:space="preserve"> (2012</w:t>
      </w:r>
      <w:r w:rsidR="00B03184">
        <w:t>b</w:t>
      </w:r>
      <w:r>
        <w:t xml:space="preserve"> Table 4) shows that only approximately 6</w:t>
      </w:r>
      <w:r w:rsidR="00D17EED">
        <w:t>%</w:t>
      </w:r>
      <w:r>
        <w:t xml:space="preserve"> of </w:t>
      </w:r>
      <w:r w:rsidR="004B7C72">
        <w:t xml:space="preserve">students </w:t>
      </w:r>
      <w:r>
        <w:t xml:space="preserve">commencing </w:t>
      </w:r>
      <w:r w:rsidR="004B7C72">
        <w:t xml:space="preserve">undergraduate higher education </w:t>
      </w:r>
      <w:r>
        <w:t>in the broad field of</w:t>
      </w:r>
      <w:r w:rsidR="004B7C72">
        <w:t xml:space="preserve"> engineering</w:t>
      </w:r>
      <w:r>
        <w:t xml:space="preserve"> are admitted on the basis of prior VET qualifications</w:t>
      </w:r>
      <w:r w:rsidR="00C74EE4">
        <w:t xml:space="preserve">. Some </w:t>
      </w:r>
      <w:r>
        <w:t>18</w:t>
      </w:r>
      <w:r w:rsidR="00D17EED">
        <w:t>%</w:t>
      </w:r>
      <w:r>
        <w:t xml:space="preserve"> of students in higher education in engineering come from disadvantaged backgrounds (defined in this instance as students from the 25</w:t>
      </w:r>
      <w:r w:rsidR="00D17EED">
        <w:t>%</w:t>
      </w:r>
      <w:r>
        <w:t xml:space="preserve"> most disadvantaged backgrounds)</w:t>
      </w:r>
      <w:r w:rsidR="00C74EE4">
        <w:t xml:space="preserve">, which is </w:t>
      </w:r>
      <w:r w:rsidR="00D17EED">
        <w:t>close</w:t>
      </w:r>
      <w:r w:rsidR="00C74EE4">
        <w:t xml:space="preserve"> to the 17</w:t>
      </w:r>
      <w:r w:rsidR="00D17EED">
        <w:t>%</w:t>
      </w:r>
      <w:r w:rsidR="00C74EE4">
        <w:t xml:space="preserve"> for higher education overall (</w:t>
      </w:r>
      <w:proofErr w:type="spellStart"/>
      <w:r w:rsidR="00C74EE4">
        <w:t>Moodie</w:t>
      </w:r>
      <w:proofErr w:type="spellEnd"/>
      <w:r w:rsidR="00C74EE4">
        <w:t xml:space="preserve"> 2012</w:t>
      </w:r>
      <w:r w:rsidR="00B03184">
        <w:t>b</w:t>
      </w:r>
      <w:r w:rsidR="00C74EE4">
        <w:t xml:space="preserve">, Table 4). However, they are unlikely to have come via VET given the very small </w:t>
      </w:r>
      <w:proofErr w:type="gramStart"/>
      <w:r w:rsidR="00C74EE4">
        <w:t>percentage who are</w:t>
      </w:r>
      <w:proofErr w:type="gramEnd"/>
      <w:r w:rsidR="00C74EE4">
        <w:t xml:space="preserve"> admitted on the basis of prior VE</w:t>
      </w:r>
      <w:r w:rsidR="004B7C72">
        <w:t xml:space="preserve">T qualifications and low proportion of students from low socio </w:t>
      </w:r>
      <w:r w:rsidR="00C74EE4">
        <w:t xml:space="preserve">economic </w:t>
      </w:r>
      <w:r w:rsidR="004B7C72">
        <w:t>backgrounds in VET engineering</w:t>
      </w:r>
      <w:r w:rsidR="00C74EE4">
        <w:t xml:space="preserve"> diplomas and above.</w:t>
      </w:r>
    </w:p>
    <w:p w14:paraId="32F62F50" w14:textId="77777777" w:rsidR="002C6037" w:rsidRDefault="002C6037" w:rsidP="002C6037">
      <w:pPr>
        <w:pStyle w:val="Heading2"/>
      </w:pPr>
      <w:bookmarkStart w:id="78" w:name="_Toc248492896"/>
      <w:bookmarkStart w:id="79" w:name="_Toc257836757"/>
      <w:r>
        <w:t>Capabilities approach</w:t>
      </w:r>
      <w:bookmarkEnd w:id="78"/>
      <w:bookmarkEnd w:id="79"/>
    </w:p>
    <w:p w14:paraId="2981E662" w14:textId="3951551A" w:rsidR="002C6037" w:rsidRDefault="002C6037" w:rsidP="002C6037">
      <w:pPr>
        <w:pStyle w:val="Text"/>
      </w:pPr>
      <w:r>
        <w:t>Our engineering participants in this third stage were similar to those in other case studies in generally supporting the capabilities approach to educat</w:t>
      </w:r>
      <w:r w:rsidR="005A51A8">
        <w:t>ion and work, not least in life</w:t>
      </w:r>
      <w:r>
        <w:t>long education and progression. The mining industry participant called this conception ‘the uninterrupted education and</w:t>
      </w:r>
      <w:r w:rsidRPr="00463998">
        <w:t xml:space="preserve"> training pathway</w:t>
      </w:r>
      <w:r>
        <w:t>’. It is noteworthy that the process of developing a national framework for minerals and geoscience associate degrees had been refined to some extent from a purpose of creat</w:t>
      </w:r>
      <w:r w:rsidR="005A51A8">
        <w:t>ing more professional engineers</w:t>
      </w:r>
      <w:r>
        <w:t xml:space="preserve"> to creating more skills and knowledge within the engineering team.</w:t>
      </w:r>
    </w:p>
    <w:p w14:paraId="776FFAAA" w14:textId="77777777" w:rsidR="002C6037" w:rsidRDefault="002C6037" w:rsidP="002C6037">
      <w:pPr>
        <w:pStyle w:val="Quote"/>
      </w:pPr>
      <w:r>
        <w:t>Part of the process of an a</w:t>
      </w:r>
      <w:r w:rsidRPr="008E733A">
        <w:t xml:space="preserve">ssociate </w:t>
      </w:r>
      <w:r>
        <w:t>d</w:t>
      </w:r>
      <w:r w:rsidRPr="008E733A">
        <w:t>egree I can link here is one of our members had indicated that the original intent for them was that it grows a future pool of mining engineers. They then revisited that to say it grows a pool of technical skills that can assist mining engineers.</w:t>
      </w:r>
    </w:p>
    <w:p w14:paraId="1DF04D63" w14:textId="699AC800" w:rsidR="002C6037" w:rsidRDefault="002C6037" w:rsidP="002C6037">
      <w:pPr>
        <w:pStyle w:val="Text"/>
      </w:pPr>
      <w:r>
        <w:t>Our participant representing employers in civil and construction engineering argued that employers and managers in that branch wanted drafters and assoc</w:t>
      </w:r>
      <w:r w:rsidR="005A51A8">
        <w:t>iates with a depth of skills</w:t>
      </w:r>
      <w:r>
        <w:t xml:space="preserve">, and seemed to contrast </w:t>
      </w:r>
      <w:r w:rsidR="005A51A8">
        <w:t>employers’ views in this with</w:t>
      </w:r>
      <w:r>
        <w:t xml:space="preserve"> that of the industry skills councils. </w:t>
      </w:r>
    </w:p>
    <w:p w14:paraId="26D58BBC" w14:textId="77777777" w:rsidR="002C6037" w:rsidRDefault="002C6037" w:rsidP="002C6037">
      <w:pPr>
        <w:pStyle w:val="Quote"/>
      </w:pPr>
      <w:r>
        <w:t>S</w:t>
      </w:r>
      <w:r w:rsidRPr="001F0E5A">
        <w:t xml:space="preserve">enior engineers within our member firms </w:t>
      </w:r>
      <w:r>
        <w:t>…</w:t>
      </w:r>
      <w:r w:rsidRPr="001F0E5A">
        <w:t xml:space="preserve"> are making a lot of comments on there needs to be a greater emphasis on maps and principles behind what students are learning</w:t>
      </w:r>
      <w:r>
        <w:t xml:space="preserve">… </w:t>
      </w:r>
      <w:r w:rsidRPr="001F0E5A">
        <w:t>employers are talking about making sure the student has not so much specific capability but a broad understanding</w:t>
      </w:r>
      <w:r>
        <w:t xml:space="preserve">… </w:t>
      </w:r>
      <w:r w:rsidRPr="00C4276B">
        <w:t>I just get a sense that employers really want to make sure students come out with a deep broad understanding of the principles, and I get a sense that the skills council as a whole keeper of curriculum is keen to make sure that it is very competencies based</w:t>
      </w:r>
      <w:r w:rsidR="00696F66">
        <w:t>.</w:t>
      </w:r>
    </w:p>
    <w:p w14:paraId="695E6AAF" w14:textId="3E509DAE" w:rsidR="002C6037" w:rsidRDefault="002C6037" w:rsidP="002C6037">
      <w:pPr>
        <w:pStyle w:val="Text"/>
      </w:pPr>
      <w:r>
        <w:lastRenderedPageBreak/>
        <w:t>By contrast the higher education educator at a dual sector institution (whose specialisation is in a different branch to that of civ</w:t>
      </w:r>
      <w:r w:rsidR="005A51A8">
        <w:t>il or construction engineering)</w:t>
      </w:r>
      <w:r>
        <w:t xml:space="preserve"> saw a contrast </w:t>
      </w:r>
      <w:r w:rsidR="005A51A8">
        <w:t>b</w:t>
      </w:r>
      <w:r w:rsidR="007406FD">
        <w:t>etween educators’ and employers’</w:t>
      </w:r>
      <w:r>
        <w:t xml:space="preserve"> support for a</w:t>
      </w:r>
      <w:r w:rsidR="005A51A8">
        <w:t xml:space="preserve"> capabilities approach to </w:t>
      </w:r>
      <w:r w:rsidR="00572455">
        <w:t>mid-level</w:t>
      </w:r>
      <w:r>
        <w:t xml:space="preserve"> education and work.</w:t>
      </w:r>
    </w:p>
    <w:p w14:paraId="662FAF09" w14:textId="77777777" w:rsidR="002C6037" w:rsidRDefault="002C6037" w:rsidP="002C6037">
      <w:pPr>
        <w:pStyle w:val="Quote"/>
      </w:pPr>
      <w:r>
        <w:t>From a pedagogic perspective, I agree. From an employer’s perspectives, they’re used to the idea of co</w:t>
      </w:r>
      <w:r w:rsidR="00696F66">
        <w:t>mpetencies they can check off. I</w:t>
      </w:r>
      <w:r>
        <w:t>f they’re n</w:t>
      </w:r>
      <w:r w:rsidR="00696F66">
        <w:t>ot confident of these, employer</w:t>
      </w:r>
      <w:r>
        <w:t>s might be tempted to employ higher-level educated people.</w:t>
      </w:r>
    </w:p>
    <w:p w14:paraId="4E5AE8F3" w14:textId="77777777" w:rsidR="002C6037" w:rsidRDefault="002C6037" w:rsidP="002C6037">
      <w:pPr>
        <w:pStyle w:val="Text"/>
      </w:pPr>
      <w:r>
        <w:t>The engineering dean stressed the need for education for adaptability in a constantly changing area of work:</w:t>
      </w:r>
    </w:p>
    <w:p w14:paraId="10A795B6" w14:textId="77777777" w:rsidR="002C6037" w:rsidRDefault="00696F66" w:rsidP="002C6037">
      <w:pPr>
        <w:pStyle w:val="Quote"/>
      </w:pPr>
      <w:r>
        <w:t>I think in the h</w:t>
      </w:r>
      <w:r w:rsidR="002C6037" w:rsidRPr="00510B11">
        <w:t xml:space="preserve">igher </w:t>
      </w:r>
      <w:r>
        <w:t>e</w:t>
      </w:r>
      <w:r w:rsidR="002C6037" w:rsidRPr="00510B11">
        <w:t>ducation sector, including the VET sector, a big responsibility on their shoulder</w:t>
      </w:r>
      <w:r>
        <w:t>s</w:t>
      </w:r>
      <w:r w:rsidR="002C6037" w:rsidRPr="00510B11">
        <w:t xml:space="preserve"> </w:t>
      </w:r>
      <w:r w:rsidR="002C6037">
        <w:t>is to educate people for life-</w:t>
      </w:r>
      <w:r w:rsidR="002C6037" w:rsidRPr="00510B11">
        <w:t xml:space="preserve">long learning, and therefore embed knowledge and skills which gives them their adaptability and flexibility to change as the job market changes. The more we narrow the sorts of outcomes </w:t>
      </w:r>
      <w:r w:rsidR="002C6037">
        <w:t>—</w:t>
      </w:r>
      <w:r w:rsidR="002C6037" w:rsidRPr="00510B11">
        <w:t xml:space="preserve"> in terms of learning outcomes and skills of a particular qualification to be really just what the industry wants, we are going too narrow and losing that opportunity to give them that breadth which in the long run would benefit them and industry as well</w:t>
      </w:r>
      <w:r w:rsidR="002C6037">
        <w:t xml:space="preserve">… </w:t>
      </w:r>
      <w:r w:rsidR="002C6037" w:rsidRPr="002071E7">
        <w:t>If a qualification becomes too narrow the scope for lateral movement and horizontal movement and scope for adaptability becomes very limited</w:t>
      </w:r>
      <w:r w:rsidR="002C6037">
        <w:t xml:space="preserve">… </w:t>
      </w:r>
      <w:r w:rsidR="002C6037" w:rsidRPr="00DD2131">
        <w:t xml:space="preserve">Courses should not be designed to meet the needs of the industry now but need to embed enough breadth and lifelong capabilities within the courses so the graduates will be relevant and employable for many years to come. </w:t>
      </w:r>
    </w:p>
    <w:p w14:paraId="08271C05" w14:textId="7FCFBB30" w:rsidR="002C6037" w:rsidRDefault="002C6037" w:rsidP="002C6037">
      <w:pPr>
        <w:pStyle w:val="Text"/>
      </w:pPr>
      <w:r>
        <w:t>While generally defending t</w:t>
      </w:r>
      <w:r w:rsidR="007406FD">
        <w:t xml:space="preserve">he current system of competency </w:t>
      </w:r>
      <w:r>
        <w:t>based training and training packages, and explicitly disagreeing with various aspects of our discussion paper, the union official agreed with the need for depth of knowledge and adaptability in education and work</w:t>
      </w:r>
      <w:r w:rsidR="007406FD">
        <w:t>:</w:t>
      </w:r>
    </w:p>
    <w:p w14:paraId="5F6AA86F" w14:textId="465C5965" w:rsidR="002C6037" w:rsidRDefault="002C6037" w:rsidP="002C6037">
      <w:pPr>
        <w:pStyle w:val="Quote"/>
      </w:pPr>
      <w:r w:rsidRPr="004108F8">
        <w:t>I think what’s in the paper about the breadth of qualifications just goes too far. I'm not far away from the concept, but the practical application of it has to be doable in the sense of the world of work, because someone’s got to pay for the breadth of training that’s re</w:t>
      </w:r>
      <w:r w:rsidR="009F018A">
        <w:t>quired to produce a person who h</w:t>
      </w:r>
      <w:r w:rsidRPr="004108F8">
        <w:t>as both horizontal and vertical mobility through vocations</w:t>
      </w:r>
      <w:r>
        <w:t xml:space="preserve">… </w:t>
      </w:r>
      <w:r w:rsidRPr="009B4A05">
        <w:t>I don't think people can say training packages and competencies standards are too narrow because I don't believe they are</w:t>
      </w:r>
      <w:proofErr w:type="gramStart"/>
      <w:r w:rsidRPr="009B4A05">
        <w:t>,</w:t>
      </w:r>
      <w:proofErr w:type="gramEnd"/>
      <w:r w:rsidRPr="009B4A05">
        <w:t xml:space="preserve"> they’re perfectly capable of delivering sound broad outcomes, sound underpinning knowledge and skill</w:t>
      </w:r>
      <w:r>
        <w:t xml:space="preserve">… </w:t>
      </w:r>
      <w:r w:rsidRPr="00F17129">
        <w:t>We have skill levels in our awards, we no longer describe a fitter or turner or technician, and we describe levels of skill and broad vocational fields within t</w:t>
      </w:r>
      <w:r>
        <w:t>hose levels. W</w:t>
      </w:r>
      <w:r w:rsidRPr="009B4A05">
        <w:t>e have o</w:t>
      </w:r>
      <w:r>
        <w:t>ne diploma advanced trade, one d</w:t>
      </w:r>
      <w:r w:rsidRPr="009B4A05">
        <w:t xml:space="preserve">iploma technical and one </w:t>
      </w:r>
      <w:r>
        <w:t>a</w:t>
      </w:r>
      <w:r w:rsidRPr="009B4A05">
        <w:t>dvan</w:t>
      </w:r>
      <w:r>
        <w:t>ced d</w:t>
      </w:r>
      <w:r w:rsidRPr="009B4A05">
        <w:t>iploma. There is a significant amount of fl</w:t>
      </w:r>
      <w:r>
        <w:t>exibility in that plus a well-</w:t>
      </w:r>
      <w:r w:rsidRPr="009B4A05">
        <w:t>defined process for aligning to the nature of work.</w:t>
      </w:r>
      <w:r>
        <w:t xml:space="preserve"> W</w:t>
      </w:r>
      <w:r w:rsidRPr="009B4A05">
        <w:t>ork in the broader sense of what are the requirements of work in terms of knowledge, skill, contingency, planning, m</w:t>
      </w:r>
      <w:r>
        <w:t>anagement, autonomy, discretion</w:t>
      </w:r>
      <w:r w:rsidR="00696F66">
        <w:t>…</w:t>
      </w:r>
      <w:r>
        <w:t xml:space="preserve"> </w:t>
      </w:r>
      <w:r w:rsidRPr="008751D5">
        <w:t xml:space="preserve">Of course industry wants people who can work, who can adapt to change and we need </w:t>
      </w:r>
      <w:r>
        <w:t>enough of the capability — what are we calling it now? —</w:t>
      </w:r>
      <w:r w:rsidRPr="008751D5">
        <w:t xml:space="preserve"> </w:t>
      </w:r>
      <w:proofErr w:type="gramStart"/>
      <w:r w:rsidRPr="008751D5">
        <w:t>adaptive</w:t>
      </w:r>
      <w:proofErr w:type="gramEnd"/>
      <w:r w:rsidRPr="008751D5">
        <w:t xml:space="preserve"> capacity</w:t>
      </w:r>
      <w:r>
        <w:t>.</w:t>
      </w:r>
    </w:p>
    <w:p w14:paraId="19CC8225" w14:textId="77777777" w:rsidR="002C6037" w:rsidRDefault="002C6037" w:rsidP="002C6037">
      <w:pPr>
        <w:pStyle w:val="Heading2"/>
      </w:pPr>
      <w:bookmarkStart w:id="80" w:name="_Toc248492897"/>
      <w:bookmarkStart w:id="81" w:name="_Toc257836758"/>
      <w:r>
        <w:t>Vocational streams</w:t>
      </w:r>
      <w:bookmarkEnd w:id="80"/>
      <w:bookmarkEnd w:id="81"/>
    </w:p>
    <w:p w14:paraId="55A9746C" w14:textId="08675905" w:rsidR="002C6037" w:rsidRDefault="002C6037" w:rsidP="002C6037">
      <w:pPr>
        <w:pStyle w:val="Text"/>
      </w:pPr>
      <w:r>
        <w:t>Our engineering third stage participants were as a group similar to our agriculture participants both in expressing general support for the capabilities approach w</w:t>
      </w:r>
      <w:r w:rsidR="00696F66">
        <w:t>h</w:t>
      </w:r>
      <w:r>
        <w:t>ile expressing more limited support for the vocational streams concepts. In a similar manner to the range of views expressed by participants in agriculture, participants saw some limited validity in th</w:t>
      </w:r>
      <w:r w:rsidR="008506E5">
        <w:t>e concept of vocational streams</w:t>
      </w:r>
      <w:r>
        <w:t xml:space="preserve"> within specific areas in engineering. The participants representing civil and construction employers stated that ‘the concept is certainly relevant in management, as many firms have engineering associates as managers </w:t>
      </w:r>
      <w:r>
        <w:lastRenderedPageBreak/>
        <w:t xml:space="preserve">or part of a management team’. The need to teach management in context and being part of the engineering team was seen as important by the VET educator participants. One argued that, </w:t>
      </w:r>
    </w:p>
    <w:p w14:paraId="60E428CD" w14:textId="77777777" w:rsidR="002C6037" w:rsidRDefault="002C6037" w:rsidP="002C6037">
      <w:pPr>
        <w:pStyle w:val="Quote"/>
      </w:pPr>
      <w:r>
        <w:t>Engineers</w:t>
      </w:r>
      <w:r w:rsidRPr="00D46479">
        <w:t xml:space="preserve"> Australia put so much emphasis on engineering management. When I talk to industry advisory people they say we don't mind people with less knowledge but we at least want someone who is a good team player. What if a person is very knowledgeable but they</w:t>
      </w:r>
      <w:r>
        <w:t>'re not able to fit into a team?</w:t>
      </w:r>
      <w:r>
        <w:tab/>
      </w:r>
    </w:p>
    <w:p w14:paraId="2BFE2AF3" w14:textId="77777777" w:rsidR="002C6037" w:rsidRDefault="002C6037" w:rsidP="002C6037">
      <w:pPr>
        <w:pStyle w:val="Text"/>
      </w:pPr>
      <w:r>
        <w:t>The VET educator</w:t>
      </w:r>
      <w:r w:rsidR="00696F66">
        <w:t>s</w:t>
      </w:r>
      <w:r>
        <w:t xml:space="preserve"> pointed out that a breadth of education was important in being part of the engineering team and the common language it needed, and also as preparation for possible later moves into separate but related areas of engineering work.</w:t>
      </w:r>
    </w:p>
    <w:p w14:paraId="50C26406" w14:textId="77777777" w:rsidR="002C6037" w:rsidRDefault="002C6037" w:rsidP="002C6037">
      <w:pPr>
        <w:pStyle w:val="Quote"/>
      </w:pPr>
      <w:r>
        <w:t xml:space="preserve">While there are specific professions, education should involve multi-skilling and a broad range of attributes, a lot of lateral and soft skills, communication, management, law, environmental issues, teamwork, and </w:t>
      </w:r>
      <w:proofErr w:type="gramStart"/>
      <w:r>
        <w:t>a knowledge</w:t>
      </w:r>
      <w:proofErr w:type="gramEnd"/>
      <w:r>
        <w:t xml:space="preserve"> of other areas. A civil engineer needs to know about surveying… some of this is education for </w:t>
      </w:r>
      <w:proofErr w:type="gramStart"/>
      <w:r>
        <w:t>some,</w:t>
      </w:r>
      <w:proofErr w:type="gramEnd"/>
      <w:r>
        <w:t xml:space="preserve"> there should be re-train</w:t>
      </w:r>
      <w:r w:rsidR="00696F66">
        <w:t xml:space="preserve">ing and the ability to move to </w:t>
      </w:r>
      <w:r>
        <w:t>other areas through learning at work</w:t>
      </w:r>
    </w:p>
    <w:p w14:paraId="4C84196A" w14:textId="5A1CAB2B" w:rsidR="002C6037" w:rsidRDefault="002C6037" w:rsidP="002C6037">
      <w:pPr>
        <w:pStyle w:val="Text"/>
      </w:pPr>
      <w:r>
        <w:t>Having a common year of study across engineering branches within associate degree program</w:t>
      </w:r>
      <w:r w:rsidR="009F018A">
        <w:t>s was seen</w:t>
      </w:r>
      <w:r>
        <w:t xml:space="preserve"> as one way of incorporating the vocation stream concept into engineering.</w:t>
      </w:r>
    </w:p>
    <w:p w14:paraId="02CFCC2E" w14:textId="77777777" w:rsidR="002C6037" w:rsidRDefault="002C6037" w:rsidP="002C6037">
      <w:pPr>
        <w:pStyle w:val="Quote"/>
      </w:pPr>
      <w:r>
        <w:t>I</w:t>
      </w:r>
      <w:r w:rsidRPr="00C507DC">
        <w:t xml:space="preserve">t will give them one full year to decide what their strengths are, which field they want to go to and then second year they will go to their major, one full year they will study into their subject, decide on their major and they will be competent enough to go either go to </w:t>
      </w:r>
      <w:r>
        <w:t>industry</w:t>
      </w:r>
      <w:r w:rsidRPr="00C507DC">
        <w:t xml:space="preserve"> with that knowledge, </w:t>
      </w:r>
      <w:r>
        <w:t xml:space="preserve">or </w:t>
      </w:r>
      <w:r w:rsidRPr="00C507DC">
        <w:t>go to the Bachelor.</w:t>
      </w:r>
    </w:p>
    <w:p w14:paraId="78D8BDED" w14:textId="52FFA91E" w:rsidR="002C6037" w:rsidRDefault="002C6037" w:rsidP="002C6037">
      <w:pPr>
        <w:pStyle w:val="Text"/>
      </w:pPr>
      <w:r>
        <w:t>The engineering dea</w:t>
      </w:r>
      <w:r w:rsidR="008506E5">
        <w:t xml:space="preserve">n expressed scepticism that </w:t>
      </w:r>
      <w:r w:rsidR="00572455">
        <w:t>mid-level</w:t>
      </w:r>
      <w:r>
        <w:t xml:space="preserve"> technical engineering work could be strongly linked:</w:t>
      </w:r>
    </w:p>
    <w:p w14:paraId="2DFB164D" w14:textId="77777777" w:rsidR="002C6037" w:rsidRDefault="002C6037" w:rsidP="002C6037">
      <w:pPr>
        <w:pStyle w:val="Quote"/>
      </w:pPr>
      <w:r w:rsidRPr="00A415C3">
        <w:t>I do appre</w:t>
      </w:r>
      <w:r>
        <w:t>ciate that people might get an advanced d</w:t>
      </w:r>
      <w:r w:rsidRPr="00A415C3">
        <w:t>iploma, and after a while they may not necessarily work in that particular field, but it is unlikely that they would be working somew</w:t>
      </w:r>
      <w:r>
        <w:t>here where a different type of advanced d</w:t>
      </w:r>
      <w:r w:rsidRPr="00A415C3">
        <w:t>iploma should be occup</w:t>
      </w:r>
      <w:r>
        <w:t>ied there. Say someone does an a</w:t>
      </w:r>
      <w:r w:rsidRPr="00A415C3">
        <w:t xml:space="preserve">dvanced </w:t>
      </w:r>
      <w:r>
        <w:t>d</w:t>
      </w:r>
      <w:r w:rsidRPr="00A415C3">
        <w:t xml:space="preserve">iploma in electrical technology, whilst it is likely that a good professional job – they may not find a job and do something different, that something different is not going to </w:t>
      </w:r>
      <w:r>
        <w:t xml:space="preserve">be </w:t>
      </w:r>
      <w:r w:rsidRPr="00A415C3">
        <w:t xml:space="preserve">the job that a person who has done an </w:t>
      </w:r>
      <w:r>
        <w:t>a</w:t>
      </w:r>
      <w:r w:rsidRPr="00A415C3">
        <w:t xml:space="preserve">dvanced </w:t>
      </w:r>
      <w:r>
        <w:t>d</w:t>
      </w:r>
      <w:r w:rsidRPr="00A415C3">
        <w:t>iploma in mechanical technology would normally undertake, so the opportunity to move horizontally is fairly limited.</w:t>
      </w:r>
    </w:p>
    <w:p w14:paraId="1493536E" w14:textId="77777777" w:rsidR="002C6037" w:rsidRDefault="002C6037" w:rsidP="002C6037">
      <w:pPr>
        <w:pStyle w:val="Text"/>
      </w:pPr>
      <w:r>
        <w:t>The dean seemed to see some possibilities at bachelor degree and above levels but not levels below:</w:t>
      </w:r>
    </w:p>
    <w:p w14:paraId="72F45310" w14:textId="77777777" w:rsidR="002C6037" w:rsidRDefault="002C6037" w:rsidP="002C6037">
      <w:pPr>
        <w:pStyle w:val="Quote"/>
      </w:pPr>
      <w:r w:rsidRPr="00EA37B5">
        <w:t xml:space="preserve">Because of how </w:t>
      </w:r>
      <w:r>
        <w:t xml:space="preserve">complex </w:t>
      </w:r>
      <w:r w:rsidRPr="00EA37B5">
        <w:t>the systems have become the challenges are more than what they would’v</w:t>
      </w:r>
      <w:r>
        <w:t xml:space="preserve">e been twenty, thirty years ago… </w:t>
      </w:r>
      <w:r w:rsidRPr="00EA37B5">
        <w:t xml:space="preserve">looking at </w:t>
      </w:r>
      <w:r>
        <w:t xml:space="preserve">the </w:t>
      </w:r>
      <w:r w:rsidRPr="00EA37B5">
        <w:t>broadening knowledge and skills</w:t>
      </w:r>
      <w:r>
        <w:t xml:space="preserve"> [needed]</w:t>
      </w:r>
      <w:r w:rsidRPr="00EA37B5">
        <w:t xml:space="preserve">, </w:t>
      </w:r>
      <w:r>
        <w:t>you need</w:t>
      </w:r>
      <w:r w:rsidRPr="00EA37B5">
        <w:t xml:space="preserve"> higher qualifications at least equivalent to three, four or five years, nothing less than</w:t>
      </w:r>
      <w:r>
        <w:t xml:space="preserve"> that</w:t>
      </w:r>
      <w:r w:rsidRPr="00EA37B5">
        <w:t xml:space="preserve">. </w:t>
      </w:r>
      <w:r>
        <w:t>A</w:t>
      </w:r>
      <w:r w:rsidRPr="00EA37B5">
        <w:t xml:space="preserve"> one or two year qualification</w:t>
      </w:r>
      <w:r>
        <w:t>,</w:t>
      </w:r>
      <w:r w:rsidRPr="00EA37B5">
        <w:t xml:space="preserve"> based on where systems are, it will only let them touch the surface of an area of specialisation, you don't have a lot of opportunity to give them breadth.</w:t>
      </w:r>
    </w:p>
    <w:p w14:paraId="22237E2E" w14:textId="6C2A9A1F" w:rsidR="002C6037" w:rsidRDefault="002C6037" w:rsidP="002C6037">
      <w:pPr>
        <w:pStyle w:val="Text"/>
      </w:pPr>
      <w:r>
        <w:t>The mining industry participants discussed vocational streams in terms of the Regional Agricultural and Mining Integrated Training (RAMIT) program, in which agricultural and mining industry bodies have worked together in pilot programs in Morawa, WA, and Emerald, Queensland to ‘give compl</w:t>
      </w:r>
      <w:r w:rsidR="00696F66">
        <w:t>e</w:t>
      </w:r>
      <w:r>
        <w:t>mentary</w:t>
      </w:r>
      <w:r w:rsidR="008506E5">
        <w:t xml:space="preserve"> skills to both sectors.</w:t>
      </w:r>
      <w:r>
        <w:t xml:space="preserve"> The whole idea there is that if one sector is in decline, then at least that person might be able to find employment in the sector that’s in the up’. This program has been discu</w:t>
      </w:r>
      <w:r w:rsidR="00154384">
        <w:t>ssed previously in this project</w:t>
      </w:r>
      <w:r>
        <w:t xml:space="preserve"> as a model of regional collaboration along with the Make It Work program, also mentioned in the agricultural case study chapter in this paper </w:t>
      </w:r>
      <w:r>
        <w:fldChar w:fldCharType="begin"/>
      </w:r>
      <w:r>
        <w:instrText xml:space="preserve"> ADDIN EN.CITE &lt;EndNote&gt;&lt;Cite&gt;&lt;Author&gt;Yu&lt;/Author&gt;&lt;Year&gt;2013&lt;/Year&gt;&lt;RecNum&gt;3169&lt;/RecNum&gt;&lt;Suffix&gt;`, pp. 36–37&lt;/Suffix&gt;&lt;DisplayText&gt;(Yu et al., 2013, pp. 36–37)&lt;/DisplayText&gt;&lt;record&gt;&lt;rec-number&gt;3169&lt;/rec-number&gt;&lt;foreign-keys&gt;&lt;key app="EN" db-id="vadepsw2f2aeebevffz5fzpddt9tvewsatpr" timestamp="1359516039"&gt;3169&lt;/key&gt;&lt;/foreign-keys&gt;&lt;ref-type name="Report"&gt;27&lt;/ref-type&gt;&lt;contributors&gt;&lt;authors&gt;&lt;author&gt;Yu, Serena&lt;/author&gt;&lt;author&gt;Bretherton, Tanya&lt;/author&gt;&lt;author&gt;Buchanan, John&lt;/author&gt;&lt;/authors&gt;&lt;/contributors&gt;&lt;titles&gt;&lt;title&gt;Defining vocational streams: insights from the engineering, finance, agriculture and care sectors&lt;/title&gt;&lt;/titles&gt;&lt;dates&gt;&lt;year&gt;2013&lt;/year&gt;&lt;pub-dates&gt;&lt;date&gt;26 November&lt;/date&gt;&lt;/pub-dates&gt;&lt;/dates&gt;&lt;pub-location&gt;Adelaide&lt;/pub-location&gt;&lt;publisher&gt;National Centre for Vocational Education Research&lt;/publisher&gt;&lt;label&gt;NCVER, NCVER 2010 Funding round, our reports as on the web&lt;/label&gt;&lt;urls&gt;&lt;related-urls&gt;&lt;url&gt;&amp;lt;http://www.ncver.edu.au/publications/2667.html&amp;gt; viewed 26 November 2013&lt;/url&gt;&lt;/related-urls&gt;&lt;/urls&gt;&lt;/record&gt;&lt;/Cite&gt;&lt;/EndNote&gt;</w:instrText>
      </w:r>
      <w:r>
        <w:fldChar w:fldCharType="separate"/>
      </w:r>
      <w:r>
        <w:rPr>
          <w:noProof/>
        </w:rPr>
        <w:t>(</w:t>
      </w:r>
      <w:hyperlink w:anchor="_ENREF_28" w:tooltip="Yu, 2013 #3169" w:history="1">
        <w:r w:rsidR="00B03184">
          <w:rPr>
            <w:noProof/>
          </w:rPr>
          <w:t>Yu et al. 2013, pp. 36–37</w:t>
        </w:r>
      </w:hyperlink>
      <w:r>
        <w:rPr>
          <w:noProof/>
        </w:rPr>
        <w:t>)</w:t>
      </w:r>
      <w:r>
        <w:fldChar w:fldCharType="end"/>
      </w:r>
      <w:r>
        <w:t>.</w:t>
      </w:r>
    </w:p>
    <w:p w14:paraId="46AC7DCE" w14:textId="77777777" w:rsidR="002C6037" w:rsidRDefault="002C6037" w:rsidP="002C6037">
      <w:pPr>
        <w:pStyle w:val="Heading2"/>
      </w:pPr>
      <w:bookmarkStart w:id="82" w:name="_Toc248492898"/>
      <w:bookmarkStart w:id="83" w:name="_Toc257836759"/>
      <w:r>
        <w:lastRenderedPageBreak/>
        <w:t>Social partnerships</w:t>
      </w:r>
      <w:bookmarkEnd w:id="82"/>
      <w:bookmarkEnd w:id="83"/>
    </w:p>
    <w:p w14:paraId="62633288" w14:textId="07ECE64C" w:rsidR="002C6037" w:rsidRDefault="002C6037" w:rsidP="002C6037">
      <w:pPr>
        <w:pStyle w:val="Text"/>
      </w:pPr>
      <w:r>
        <w:t xml:space="preserve">Engineering participants in the project’s third stage raised a number of examples of, and ideas relating to, new forms of social partnerships that could better develop education and work in engineering. The mining industry representative discussed the progress of the MINAD process as an example of collaboration, and stressed this is very much </w:t>
      </w:r>
      <w:r w:rsidR="00154384">
        <w:t>led by industry defining the needs in skills and work roles, with providers designing the best way to fulfil these. They politely contrasted</w:t>
      </w:r>
      <w:r>
        <w:t xml:space="preserve"> this with our discussion paper’s focus on educational providers initiating new qualifications —:</w:t>
      </w:r>
    </w:p>
    <w:p w14:paraId="12967E6D" w14:textId="77777777" w:rsidR="002C6037" w:rsidRDefault="002C6037" w:rsidP="002C6037">
      <w:pPr>
        <w:pStyle w:val="Quote"/>
      </w:pPr>
      <w:r>
        <w:t>W</w:t>
      </w:r>
      <w:r w:rsidRPr="00463998">
        <w:t xml:space="preserve">hat we did </w:t>
      </w:r>
      <w:r>
        <w:t xml:space="preserve">[in early 2013] </w:t>
      </w:r>
      <w:r w:rsidRPr="00463998">
        <w:t xml:space="preserve">was we took recently trained four year graduates, their supervisors as well as technical experts, so there was about forty people across five work shops across the country, and we asked them to imagine what a person </w:t>
      </w:r>
      <w:r>
        <w:t>—</w:t>
      </w:r>
      <w:r w:rsidRPr="00463998">
        <w:t xml:space="preserve"> who is a paraprofessional </w:t>
      </w:r>
      <w:r>
        <w:t>—</w:t>
      </w:r>
      <w:r w:rsidRPr="00463998">
        <w:t xml:space="preserve"> who has got a two year qualification, what it is they might do. So once we were able to define what they would do, we brought it one step back to say what knowledge do they have to have to perform those functions?</w:t>
      </w:r>
      <w:r>
        <w:t xml:space="preserve"> </w:t>
      </w:r>
      <w:r w:rsidRPr="00463998">
        <w:t xml:space="preserve">We were able to crystallise ultimately sixteen fields of knowledge broadly for in fact both disciplines in our target of our Associate Degree program; </w:t>
      </w:r>
      <w:proofErr w:type="gramStart"/>
      <w:r w:rsidRPr="00463998">
        <w:t>one mining engineering</w:t>
      </w:r>
      <w:proofErr w:type="gramEnd"/>
      <w:r w:rsidRPr="00463998">
        <w:t xml:space="preserve"> and one geoscience. So those sixteen fields of knowledge were by in large common for both, which I found quite interesting</w:t>
      </w:r>
      <w:r>
        <w:t xml:space="preserve">… </w:t>
      </w:r>
      <w:r w:rsidRPr="00463998">
        <w:t>the education providers are now able to take that and either match current curriculum that achieves those fields of knowledge or identif</w:t>
      </w:r>
      <w:r w:rsidR="004F46EA">
        <w:t>y</w:t>
      </w:r>
      <w:r w:rsidRPr="00463998">
        <w:t xml:space="preserve"> the gaps where we can support them</w:t>
      </w:r>
      <w:r>
        <w:t xml:space="preserve">… </w:t>
      </w:r>
      <w:r w:rsidRPr="00463998">
        <w:t>And industry takes those fields of knowledge now so they can in fact write the job description. So it's the same thread both ways.</w:t>
      </w:r>
    </w:p>
    <w:p w14:paraId="327CC81B" w14:textId="77777777" w:rsidR="002C6037" w:rsidRDefault="002C6037" w:rsidP="002C6037">
      <w:pPr>
        <w:pStyle w:val="Text"/>
      </w:pPr>
      <w:r>
        <w:t>While industry defines the fields of knowledge</w:t>
      </w:r>
      <w:r w:rsidR="00C70ED6">
        <w:t>:</w:t>
      </w:r>
    </w:p>
    <w:p w14:paraId="78158999" w14:textId="77777777" w:rsidR="002C6037" w:rsidRDefault="002C6037" w:rsidP="002C6037">
      <w:pPr>
        <w:pStyle w:val="Quote"/>
      </w:pPr>
      <w:r w:rsidRPr="008E733A">
        <w:t xml:space="preserve">The education providers ultimately take those fields of knowledge and package them up. It's not really for us to decide – we’d be quite happy </w:t>
      </w:r>
      <w:r>
        <w:t>—</w:t>
      </w:r>
      <w:r w:rsidRPr="008E733A">
        <w:t xml:space="preserve"> and this is how it's going to end up being – the model that we deliver is this broad model that has flexibility for education providers to say we already have those foundation engineering mathematics or physics in a physical environment to use two examples, we already have that in our own inst</w:t>
      </w:r>
      <w:r>
        <w:t xml:space="preserve">itution or organisation… </w:t>
      </w:r>
      <w:r w:rsidRPr="008E733A">
        <w:t>we won’t in any way try and influence the pedagogical approach</w:t>
      </w:r>
      <w:r>
        <w:t xml:space="preserve">. </w:t>
      </w:r>
    </w:p>
    <w:p w14:paraId="6D4CB1F5" w14:textId="77777777" w:rsidR="002C6037" w:rsidRDefault="004F46EA" w:rsidP="002C6037">
      <w:pPr>
        <w:pStyle w:val="Text"/>
      </w:pPr>
      <w:r>
        <w:t xml:space="preserve">They </w:t>
      </w:r>
      <w:r w:rsidR="00C70ED6">
        <w:t xml:space="preserve">stated that </w:t>
      </w:r>
      <w:r w:rsidR="002C6037">
        <w:t>there is little space for an associate degree in geoscience, an area in which there has been particularly heavy retrenchments.</w:t>
      </w:r>
    </w:p>
    <w:p w14:paraId="3253FC1D" w14:textId="5455855A" w:rsidR="002C6037" w:rsidRDefault="002C6037" w:rsidP="002C6037">
      <w:pPr>
        <w:pStyle w:val="Text"/>
      </w:pPr>
      <w:r>
        <w:t xml:space="preserve">The engineering dean also saw that new forms of collaboration between industry and </w:t>
      </w:r>
      <w:r w:rsidR="004F46EA">
        <w:t>educators had to be interactive:</w:t>
      </w:r>
    </w:p>
    <w:p w14:paraId="5AFBC4F7" w14:textId="77777777" w:rsidR="002C6037" w:rsidRPr="00DD2131" w:rsidRDefault="002C6037" w:rsidP="002C6037">
      <w:pPr>
        <w:pStyle w:val="Quote"/>
      </w:pPr>
      <w:r w:rsidRPr="00DD2131">
        <w:t>Collaboration/cooperation both ways</w:t>
      </w:r>
      <w:r>
        <w:t xml:space="preserve">… </w:t>
      </w:r>
      <w:r w:rsidRPr="00DD2131">
        <w:t xml:space="preserve">So the challenges can be addressed if they work together, the answer is not in another series of qualifications to be named </w:t>
      </w:r>
      <w:proofErr w:type="gramStart"/>
      <w:r w:rsidRPr="00DD2131">
        <w:t>whatever,</w:t>
      </w:r>
      <w:proofErr w:type="gramEnd"/>
      <w:r w:rsidRPr="00DD2131">
        <w:t xml:space="preserve"> we have to work on what the graduates’ outcomes are at the end of the qualification</w:t>
      </w:r>
      <w:r>
        <w:t>… [Industry]</w:t>
      </w:r>
      <w:r w:rsidRPr="00DD2131">
        <w:t xml:space="preserve"> can’t just ask for things, the same thing applies to universities as well. The universities have to invest in linkage with industry, not focus on needs of industry</w:t>
      </w:r>
      <w:r>
        <w:t xml:space="preserve">… </w:t>
      </w:r>
      <w:r w:rsidRPr="00DD2131">
        <w:t xml:space="preserve">The tertiary </w:t>
      </w:r>
      <w:proofErr w:type="gramStart"/>
      <w:r w:rsidRPr="00DD2131">
        <w:t>sector, including both TAFE and universities, have</w:t>
      </w:r>
      <w:proofErr w:type="gramEnd"/>
      <w:r w:rsidRPr="00DD2131">
        <w:t xml:space="preserve"> to engage more with industry and not expect outcomes straight away</w:t>
      </w:r>
      <w:r>
        <w:t xml:space="preserve">… </w:t>
      </w:r>
      <w:r w:rsidRPr="00DD2131">
        <w:t>And industry has to invest in giving more work experience to people doing various qualification levels because if they're after something that is more tailored for them then to really participate in it, not magically at the end somehow they will be an engineering graduate or engineering technologist or somebody with a Certificate IV or Diploma who knows exactly what they're after</w:t>
      </w:r>
    </w:p>
    <w:p w14:paraId="07C02F2B" w14:textId="77777777" w:rsidR="002C6037" w:rsidRDefault="002C6037" w:rsidP="002C6037">
      <w:pPr>
        <w:pStyle w:val="Text"/>
      </w:pPr>
      <w:r>
        <w:t>One of the VET educator participants in a dual sector institution also expressed this</w:t>
      </w:r>
      <w:r w:rsidR="004F46EA">
        <w:t>:</w:t>
      </w:r>
    </w:p>
    <w:p w14:paraId="72DE4CA0" w14:textId="448AA6D2" w:rsidR="002C6037" w:rsidRDefault="002C6037" w:rsidP="002C6037">
      <w:pPr>
        <w:pStyle w:val="Quote"/>
      </w:pPr>
      <w:proofErr w:type="gramStart"/>
      <w:r>
        <w:t>There’s</w:t>
      </w:r>
      <w:proofErr w:type="gramEnd"/>
      <w:r>
        <w:t xml:space="preserve"> four players: industry, educational institutions and professionals associations, and government. The main, prime mover should be industry. We can’t say, look guys, we’re produced </w:t>
      </w:r>
      <w:r>
        <w:lastRenderedPageBreak/>
        <w:t xml:space="preserve">these great qualifications, you take them. We </w:t>
      </w:r>
      <w:r w:rsidR="009F018A">
        <w:t>have to consult heavily. We hear</w:t>
      </w:r>
      <w:r>
        <w:t xml:space="preserve"> there’s a need for mid-level work but we need to kno</w:t>
      </w:r>
      <w:r w:rsidR="004F46EA">
        <w:t xml:space="preserve">w there’s employment for them. </w:t>
      </w:r>
    </w:p>
    <w:p w14:paraId="552E8551" w14:textId="77777777" w:rsidR="002C6037" w:rsidRDefault="002C6037" w:rsidP="004F46EA">
      <w:pPr>
        <w:pStyle w:val="Text"/>
      </w:pPr>
      <w:r>
        <w:t>The higher education educator from this institution saw a n</w:t>
      </w:r>
      <w:r w:rsidR="004F46EA">
        <w:t>eed for change and new bodies:</w:t>
      </w:r>
    </w:p>
    <w:p w14:paraId="74BD638B" w14:textId="77777777" w:rsidR="002C6037" w:rsidRDefault="002C6037" w:rsidP="002C6037">
      <w:pPr>
        <w:pStyle w:val="Quote"/>
      </w:pPr>
      <w:r>
        <w:t xml:space="preserve">There’s a lack of heart and soul industry engagement. In medicine, nursing and teaching it seems students get closer to industry, in a more coherent way than in engineering. </w:t>
      </w:r>
      <w:proofErr w:type="gramStart"/>
      <w:r>
        <w:t>There’s a whole lot of fora</w:t>
      </w:r>
      <w:proofErr w:type="gramEnd"/>
      <w:r>
        <w:t xml:space="preserve"> and panels, but not necessarily a sense from industry and government that training the next generation of engineers is important for the country. Maybe there has to be something systemic which supports that… rather than a supply chain focus in which something is produced whether it’s needed or not, it’s more about integration of the system. Engineers Australia might play a brokering role, but universities and TAFEs have to work directly with industry. We have to also work out how this doesn’t become a free market free for all, but has a c</w:t>
      </w:r>
      <w:r w:rsidR="004F46EA">
        <w:t xml:space="preserve">oherent and adaptable overlay. </w:t>
      </w:r>
    </w:p>
    <w:p w14:paraId="20A0B3A6" w14:textId="14F5CCD8" w:rsidR="002C6037" w:rsidRDefault="002C6037" w:rsidP="002C6037">
      <w:pPr>
        <w:pStyle w:val="Text"/>
      </w:pPr>
      <w:r>
        <w:t>New forms of collaboration were discussed by the civil and construction employer representative, who was i</w:t>
      </w:r>
      <w:r w:rsidR="000C4534">
        <w:t>nvolved in the</w:t>
      </w:r>
      <w:r>
        <w:t xml:space="preserve"> reaccredit</w:t>
      </w:r>
      <w:r w:rsidR="000C4534">
        <w:t>ation of</w:t>
      </w:r>
      <w:r>
        <w:t xml:space="preserve"> the Diploma of Engineering Drafting and </w:t>
      </w:r>
      <w:r w:rsidR="000C4534">
        <w:t xml:space="preserve">the </w:t>
      </w:r>
      <w:r>
        <w:t>Advanced Diploma of Engineering Design</w:t>
      </w:r>
      <w:r w:rsidR="000C4534">
        <w:t>. These programs</w:t>
      </w:r>
      <w:r>
        <w:t xml:space="preserve"> had </w:t>
      </w:r>
      <w:r w:rsidR="000C4534">
        <w:t xml:space="preserve">broad industry support as developing broad </w:t>
      </w:r>
      <w:r>
        <w:t xml:space="preserve">based knowledge and skills in drafting and drawing and </w:t>
      </w:r>
      <w:r w:rsidR="000C4534">
        <w:t xml:space="preserve">as providing </w:t>
      </w:r>
      <w:r>
        <w:t>clear pathways to higher study</w:t>
      </w:r>
      <w:r w:rsidR="000C4534">
        <w:t>. The programs are</w:t>
      </w:r>
      <w:r w:rsidR="003939A2">
        <w:t xml:space="preserve"> registered in South Australia as accredited courses because they</w:t>
      </w:r>
      <w:r>
        <w:t xml:space="preserve"> were due to run out and the alternative training package programs were seen as narrow and inferior. The process drew together TAFE teachers, Engineers Australia, employers and </w:t>
      </w:r>
      <w:proofErr w:type="spellStart"/>
      <w:r>
        <w:t>SkillsDMC</w:t>
      </w:r>
      <w:proofErr w:type="spellEnd"/>
      <w:r>
        <w:t>, and our participant noted, ‘</w:t>
      </w:r>
      <w:r w:rsidRPr="00281778">
        <w:t>After a wh</w:t>
      </w:r>
      <w:r>
        <w:t>i</w:t>
      </w:r>
      <w:r w:rsidRPr="00281778">
        <w:t>le I realised that n</w:t>
      </w:r>
      <w:r w:rsidR="009F018A">
        <w:t>one of those four sets of stake</w:t>
      </w:r>
      <w:r w:rsidRPr="00281778">
        <w:t xml:space="preserve">holders had ever spoken </w:t>
      </w:r>
      <w:r>
        <w:t xml:space="preserve">to each other about the problem’. </w:t>
      </w:r>
    </w:p>
    <w:p w14:paraId="5018AD5D" w14:textId="0DBAB541" w:rsidR="002C6037" w:rsidRDefault="002C6037" w:rsidP="002C6037">
      <w:pPr>
        <w:pStyle w:val="Text"/>
      </w:pPr>
      <w:r>
        <w:t>Generalising from this experience, this participant considered that there needs to be clear roles for all stakeholders, and a recognition that the education and skills development needs of engineering</w:t>
      </w:r>
      <w:r w:rsidR="003939A2">
        <w:t xml:space="preserve"> does not fit into the industry-based skills councils since it includes </w:t>
      </w:r>
      <w:r>
        <w:t>a range of related trades, technical roles and profes</w:t>
      </w:r>
      <w:r w:rsidR="003939A2">
        <w:t>sions across several industries</w:t>
      </w:r>
      <w:r>
        <w:t>:</w:t>
      </w:r>
    </w:p>
    <w:p w14:paraId="5DBF9C41" w14:textId="4F38E5D9" w:rsidR="002C6037" w:rsidRDefault="002C6037" w:rsidP="002C6037">
      <w:pPr>
        <w:pStyle w:val="Quote"/>
      </w:pPr>
      <w:r w:rsidRPr="00281778">
        <w:t>The skills council needs to lead development of training packages obviously, but for engineering in particular there needs to be a nominated skills council who is in charge of all engineering related things. Or either a new skills council or a new offshoot of the skills council to look after engineering workforce development</w:t>
      </w:r>
      <w:r>
        <w:t xml:space="preserve">… </w:t>
      </w:r>
      <w:r w:rsidRPr="00D437B5">
        <w:t>Teachers need to be able to connect with the skills councils</w:t>
      </w:r>
      <w:r>
        <w:t xml:space="preserve"> </w:t>
      </w:r>
      <w:r w:rsidRPr="00D437B5">
        <w:t>they're not all coordinated across different jurisdictions but the skills council are. And the professional associations don't have any statutory authority at all or any public fu</w:t>
      </w:r>
      <w:r w:rsidR="009F018A">
        <w:t>nding. They're a key stake</w:t>
      </w:r>
      <w:r w:rsidRPr="00D437B5">
        <w:t>holder, but again I think it's the skills councils who need to take control and we need to figure out which skills councils or a new body within the skills council’s framework could be created to take care of engineering.</w:t>
      </w:r>
      <w:r>
        <w:t xml:space="preserve"> </w:t>
      </w:r>
      <w:r w:rsidRPr="00D437B5">
        <w:t>Employers have a role to help at least with that, but in our area employers are being squeezed pretty tight so there's not an awful lot of money sloshing around for training. They do spend a lot on training but there's not a lot of money spent on really forward thinking stuff that takes five years or more to get done.</w:t>
      </w:r>
    </w:p>
    <w:p w14:paraId="1ADA50CB" w14:textId="77777777" w:rsidR="002C6037" w:rsidRDefault="002C6037" w:rsidP="002C6037">
      <w:pPr>
        <w:pStyle w:val="Heading2"/>
      </w:pPr>
      <w:bookmarkStart w:id="84" w:name="_Toc248492899"/>
      <w:bookmarkStart w:id="85" w:name="_Toc257836760"/>
      <w:r>
        <w:t>Conclusions</w:t>
      </w:r>
      <w:bookmarkEnd w:id="84"/>
      <w:bookmarkEnd w:id="85"/>
    </w:p>
    <w:p w14:paraId="0E248A3A" w14:textId="73FAB3E7" w:rsidR="00FB58E4" w:rsidRDefault="002C6037" w:rsidP="0035165C">
      <w:pPr>
        <w:pStyle w:val="Text"/>
      </w:pPr>
      <w:r>
        <w:t xml:space="preserve">This chapter has examined the need for a new approach to qualifications </w:t>
      </w:r>
      <w:r w:rsidR="0060317F">
        <w:t xml:space="preserve">in engineering, focusing on </w:t>
      </w:r>
      <w:r w:rsidR="00572455">
        <w:t>mid-level</w:t>
      </w:r>
      <w:r w:rsidR="0060317F">
        <w:t xml:space="preserve"> qualifications. This need has arisen from the </w:t>
      </w:r>
      <w:r>
        <w:t>new and increasing demands for skills and knowledge in engineering, the barriers to and chal</w:t>
      </w:r>
      <w:r w:rsidR="0060317F">
        <w:t>lenges in meeting these demands</w:t>
      </w:r>
      <w:r>
        <w:t xml:space="preserve"> such as an apparent dow</w:t>
      </w:r>
      <w:r w:rsidR="0060317F">
        <w:t>nturn in engineering employment and</w:t>
      </w:r>
      <w:r>
        <w:t xml:space="preserve"> the segmented nature of work in engineering</w:t>
      </w:r>
      <w:r w:rsidR="0060317F">
        <w:t>. A new approach is also needed because of</w:t>
      </w:r>
      <w:r>
        <w:t xml:space="preserve"> weak educational progression in engineering, in particular </w:t>
      </w:r>
      <w:r w:rsidR="0060317F">
        <w:lastRenderedPageBreak/>
        <w:t xml:space="preserve">the </w:t>
      </w:r>
      <w:r>
        <w:t xml:space="preserve">difficult transitions between VET and higher education. In canvassing these issues and our proposals to address these issues with a </w:t>
      </w:r>
      <w:r w:rsidR="00FB58E4">
        <w:t>range of participants, we found</w:t>
      </w:r>
      <w:r>
        <w:t xml:space="preserve"> a range </w:t>
      </w:r>
      <w:r w:rsidR="00FB58E4">
        <w:t xml:space="preserve">of views on the purposes of </w:t>
      </w:r>
      <w:r w:rsidR="00572455">
        <w:t>mid-level</w:t>
      </w:r>
      <w:r>
        <w:t xml:space="preserve"> qualifications, with a generally strong </w:t>
      </w:r>
      <w:r w:rsidR="00FB58E4">
        <w:t xml:space="preserve">preference for their </w:t>
      </w:r>
      <w:r>
        <w:t xml:space="preserve">direct vocational </w:t>
      </w:r>
      <w:r w:rsidR="00FB58E4">
        <w:t>role. We heard</w:t>
      </w:r>
      <w:r>
        <w:t xml:space="preserve"> scepticism about overly educati</w:t>
      </w:r>
      <w:r w:rsidR="004F46EA">
        <w:t>onal focuses by one participant</w:t>
      </w:r>
      <w:r w:rsidR="00FB58E4">
        <w:t xml:space="preserve">, and the validity of </w:t>
      </w:r>
      <w:proofErr w:type="spellStart"/>
      <w:r w:rsidR="00FB58E4">
        <w:t xml:space="preserve">mid </w:t>
      </w:r>
      <w:r>
        <w:t>range</w:t>
      </w:r>
      <w:proofErr w:type="spellEnd"/>
      <w:r>
        <w:t xml:space="preserve"> educatio</w:t>
      </w:r>
      <w:r w:rsidR="00FB58E4">
        <w:t>n and work generally by another. We found</w:t>
      </w:r>
      <w:r>
        <w:t xml:space="preserve"> general support for the capabilities approach and knowledge-rich, career-long learning, with only cautious and critical support from one </w:t>
      </w:r>
      <w:r w:rsidR="00FB58E4">
        <w:t>participant. We found mixed</w:t>
      </w:r>
      <w:r>
        <w:t xml:space="preserve"> support for the concept of vocational streams, with some support in particular areas s</w:t>
      </w:r>
      <w:r w:rsidR="00FB58E4">
        <w:t>uch as management or</w:t>
      </w:r>
      <w:r>
        <w:t xml:space="preserve"> in education as preparation for later transitio</w:t>
      </w:r>
      <w:r w:rsidR="00FB58E4">
        <w:t>ns with further training. A</w:t>
      </w:r>
      <w:r>
        <w:t xml:space="preserve">part from one participant, </w:t>
      </w:r>
      <w:r w:rsidR="00FB58E4">
        <w:t>interviewees believed</w:t>
      </w:r>
      <w:r>
        <w:t xml:space="preserve"> that ne</w:t>
      </w:r>
      <w:r w:rsidR="00FB58E4">
        <w:t>w social partnerships are needed</w:t>
      </w:r>
      <w:r>
        <w:t xml:space="preserve"> and can be developed. The findings from the three years of the project suggest that </w:t>
      </w:r>
      <w:r w:rsidR="00FB58E4">
        <w:t xml:space="preserve">there is a diversity of views </w:t>
      </w:r>
      <w:r>
        <w:t xml:space="preserve">within those involved in engineering education and work, but </w:t>
      </w:r>
      <w:r w:rsidR="00FB58E4">
        <w:t xml:space="preserve">that </w:t>
      </w:r>
      <w:r>
        <w:t>there is widespread recognition of the need for change and that the debate on these issues needs to continue.</w:t>
      </w:r>
    </w:p>
    <w:p w14:paraId="2CEF10E4" w14:textId="77777777" w:rsidR="00FB58E4" w:rsidRDefault="00FB58E4" w:rsidP="0035165C">
      <w:pPr>
        <w:pStyle w:val="Text"/>
      </w:pPr>
    </w:p>
    <w:p w14:paraId="5F20949B" w14:textId="77777777" w:rsidR="00FB58E4" w:rsidRDefault="00FB58E4" w:rsidP="0035165C">
      <w:pPr>
        <w:pStyle w:val="Text"/>
      </w:pPr>
    </w:p>
    <w:p w14:paraId="445A33CB" w14:textId="2AD79EAD" w:rsidR="002C6037" w:rsidRDefault="002C6037" w:rsidP="0035165C">
      <w:pPr>
        <w:pStyle w:val="Text"/>
        <w:rPr>
          <w:rFonts w:ascii="Tahoma" w:hAnsi="Tahoma" w:cs="Tahoma"/>
          <w:color w:val="000000"/>
          <w:kern w:val="28"/>
          <w:sz w:val="56"/>
          <w:szCs w:val="56"/>
        </w:rPr>
      </w:pPr>
      <w:r>
        <w:br w:type="page"/>
      </w:r>
    </w:p>
    <w:p w14:paraId="5381C77D" w14:textId="77777777" w:rsidR="00F87BF1" w:rsidRDefault="009932F1" w:rsidP="00DD779E">
      <w:pPr>
        <w:pStyle w:val="Heading1"/>
      </w:pPr>
      <w:bookmarkStart w:id="86" w:name="_Toc257836761"/>
      <w:bookmarkStart w:id="87" w:name="_Toc188077642"/>
      <w:r>
        <w:lastRenderedPageBreak/>
        <w:t>F</w:t>
      </w:r>
      <w:r w:rsidR="00F87BF1" w:rsidRPr="00D53DF6">
        <w:t>inancial services</w:t>
      </w:r>
      <w:bookmarkEnd w:id="86"/>
      <w:r w:rsidR="00F87BF1" w:rsidRPr="00D53DF6">
        <w:t xml:space="preserve"> </w:t>
      </w:r>
      <w:bookmarkEnd w:id="87"/>
    </w:p>
    <w:p w14:paraId="34CEF0F6" w14:textId="1CC5D371" w:rsidR="00F87BF1" w:rsidRPr="00EE57E5" w:rsidRDefault="00F87BF1" w:rsidP="00F87BF1">
      <w:pPr>
        <w:pStyle w:val="Text"/>
      </w:pPr>
      <w:r>
        <w:t xml:space="preserve">Here we discuss the possibilities for a vocational stream in financial services, underpinned by a capabilities approach to education and training that facilitates horizontal flexibility between a range of related occupational roles, as well as vertical mobility </w:t>
      </w:r>
      <w:r w:rsidR="00971434">
        <w:t>supported</w:t>
      </w:r>
      <w:r>
        <w:t xml:space="preserve"> by clear pathways between education and work. The focus in this section is on the role of </w:t>
      </w:r>
      <w:r w:rsidR="00572455">
        <w:t>mid-level</w:t>
      </w:r>
      <w:r>
        <w:t xml:space="preserve"> qualifications</w:t>
      </w:r>
      <w:r w:rsidR="009F1205">
        <w:t xml:space="preserve"> in financial services</w:t>
      </w:r>
      <w:r>
        <w:t>, which we have</w:t>
      </w:r>
      <w:r w:rsidRPr="00EE57E5">
        <w:t xml:space="preserve"> identified as those that prepare graduates for </w:t>
      </w:r>
      <w:r w:rsidR="00241455">
        <w:t>para</w:t>
      </w:r>
      <w:r w:rsidRPr="00EE57E5">
        <w:t xml:space="preserve"> professional occupations: diplomas at Australian Qualifications Framework level 5 and advanced diplomas and associate degrees at AQF 6. </w:t>
      </w:r>
      <w:r>
        <w:t xml:space="preserve">The paper draws on a discussion paper developed </w:t>
      </w:r>
      <w:r w:rsidR="009F1205">
        <w:t xml:space="preserve">for </w:t>
      </w:r>
      <w:r>
        <w:t xml:space="preserve">this project and presented </w:t>
      </w:r>
      <w:r w:rsidR="00241455">
        <w:t xml:space="preserve">for feedback </w:t>
      </w:r>
      <w:r>
        <w:t xml:space="preserve">to </w:t>
      </w:r>
      <w:r w:rsidR="00241455">
        <w:t>VET and higher education</w:t>
      </w:r>
      <w:r w:rsidRPr="00D53DF6">
        <w:t xml:space="preserve"> educators, scholarly experts, professional bodies and occupational bodies</w:t>
      </w:r>
      <w:r>
        <w:t>.</w:t>
      </w:r>
      <w:r w:rsidRPr="00DA3B44">
        <w:t xml:space="preserve"> </w:t>
      </w:r>
      <w:r>
        <w:t>During these consultations p</w:t>
      </w:r>
      <w:r w:rsidRPr="00DA3B44">
        <w:t>articipants were asked to consider what types of changes are needed</w:t>
      </w:r>
      <w:r w:rsidR="00D67377">
        <w:t xml:space="preserve"> for a better approach to </w:t>
      </w:r>
      <w:r w:rsidR="00572455">
        <w:t>mid-level</w:t>
      </w:r>
      <w:r>
        <w:t xml:space="preserve"> qualification</w:t>
      </w:r>
      <w:r w:rsidR="00057295">
        <w:t>s</w:t>
      </w:r>
      <w:r>
        <w:t xml:space="preserve"> in financial services. Specifically, </w:t>
      </w:r>
      <w:r w:rsidR="00D67377">
        <w:t>the team sought informants’ views on</w:t>
      </w:r>
      <w:r>
        <w:t xml:space="preserve"> the</w:t>
      </w:r>
      <w:r w:rsidRPr="00D53DF6">
        <w:t xml:space="preserve"> knowledge, skills and attributes </w:t>
      </w:r>
      <w:r w:rsidR="00D67377">
        <w:t xml:space="preserve">that </w:t>
      </w:r>
      <w:r w:rsidRPr="00D53DF6">
        <w:t>those working in financial services wi</w:t>
      </w:r>
      <w:r w:rsidR="00D67377">
        <w:t>ll need as the industry changes.</w:t>
      </w:r>
    </w:p>
    <w:p w14:paraId="01FECC16" w14:textId="77777777" w:rsidR="00F87BF1" w:rsidRDefault="00F87BF1" w:rsidP="00F87BF1">
      <w:pPr>
        <w:pStyle w:val="Text"/>
      </w:pPr>
      <w:r>
        <w:t>The paper begins with a discussion of the method used in this stage of the project, followed by an overview of education and employment trends in banking and finance uncovered by our review of relevant data collections. The main part of the paper presents our analysis of the policy, legislation, and licencing requirements of the financial services sector and the outcomes of our consultations with stakeholders about the future of education in the sector and in particular possibilities for the creation of vocational streams supported by a capabilities approach to education.</w:t>
      </w:r>
    </w:p>
    <w:p w14:paraId="26E81CBE" w14:textId="77777777" w:rsidR="00F87BF1" w:rsidRDefault="00F87BF1" w:rsidP="00F87BF1">
      <w:pPr>
        <w:pStyle w:val="Heading2"/>
      </w:pPr>
      <w:bookmarkStart w:id="88" w:name="_Toc257836762"/>
      <w:r>
        <w:t>Method and participants</w:t>
      </w:r>
      <w:bookmarkEnd w:id="88"/>
      <w:r>
        <w:t xml:space="preserve"> </w:t>
      </w:r>
    </w:p>
    <w:p w14:paraId="31A37A12" w14:textId="18FE1EFC" w:rsidR="00F87BF1" w:rsidRDefault="0059070A" w:rsidP="00F87BF1">
      <w:pPr>
        <w:pStyle w:val="Text"/>
      </w:pPr>
      <w:r>
        <w:t>The third stage</w:t>
      </w:r>
      <w:r w:rsidR="00F87BF1">
        <w:t xml:space="preserve"> of the project </w:t>
      </w:r>
      <w:r>
        <w:t xml:space="preserve">reported here </w:t>
      </w:r>
      <w:r w:rsidR="00F87BF1">
        <w:t xml:space="preserve">consisted of, firstly, producing </w:t>
      </w:r>
      <w:r w:rsidR="001E513F">
        <w:t xml:space="preserve">a general discussion paper and a </w:t>
      </w:r>
      <w:r w:rsidR="00F87BF1">
        <w:t xml:space="preserve">discussion paper for each of our four case study </w:t>
      </w:r>
      <w:r w:rsidR="009F1205">
        <w:t>industries</w:t>
      </w:r>
      <w:r w:rsidR="00F87BF1">
        <w:t xml:space="preserve"> </w:t>
      </w:r>
      <w:r w:rsidR="009F1205">
        <w:t>that synthesis</w:t>
      </w:r>
      <w:r w:rsidR="00F87BF1">
        <w:t>ed our findings from the first two stages and put forward prop</w:t>
      </w:r>
      <w:r>
        <w:t xml:space="preserve">osals for a way forward for </w:t>
      </w:r>
      <w:r w:rsidR="00572455">
        <w:t>mid-level</w:t>
      </w:r>
      <w:r>
        <w:t xml:space="preserve"> education in each field</w:t>
      </w:r>
      <w:r w:rsidR="00F87BF1">
        <w:t xml:space="preserve">. We then distributed these discussion papers to a range of participants representing </w:t>
      </w:r>
      <w:r w:rsidR="001E513F">
        <w:t xml:space="preserve">interest groups </w:t>
      </w:r>
      <w:r w:rsidR="00F87BF1">
        <w:t>in each field. The seven interviewees involved in</w:t>
      </w:r>
      <w:r>
        <w:t xml:space="preserve"> financial services consisted </w:t>
      </w:r>
      <w:r w:rsidR="00057295">
        <w:t>of</w:t>
      </w:r>
      <w:r w:rsidR="00F87BF1">
        <w:t>:</w:t>
      </w:r>
    </w:p>
    <w:p w14:paraId="678ED53C" w14:textId="77777777" w:rsidR="00F87BF1" w:rsidRDefault="00F87BF1" w:rsidP="00F87BF1">
      <w:pPr>
        <w:pStyle w:val="Dotpoint1"/>
      </w:pPr>
      <w:r>
        <w:t>Three education leaders / scholars:</w:t>
      </w:r>
    </w:p>
    <w:p w14:paraId="6D9750AF" w14:textId="77777777" w:rsidR="00F87BF1" w:rsidRDefault="00F87BF1" w:rsidP="00F87BF1">
      <w:pPr>
        <w:pStyle w:val="Dotpoint2"/>
      </w:pPr>
      <w:r>
        <w:t>A Dean of Business;</w:t>
      </w:r>
    </w:p>
    <w:p w14:paraId="60FF4D5F" w14:textId="77777777" w:rsidR="00F87BF1" w:rsidRDefault="00F87BF1" w:rsidP="00F87BF1">
      <w:pPr>
        <w:pStyle w:val="Dotpoint2"/>
      </w:pPr>
      <w:r>
        <w:t>Two senior, prominent scholars of business and finance education;</w:t>
      </w:r>
    </w:p>
    <w:p w14:paraId="3D4822D5" w14:textId="77777777" w:rsidR="00F87BF1" w:rsidRDefault="00F87BF1" w:rsidP="00F87BF1">
      <w:pPr>
        <w:pStyle w:val="Dotpoint1"/>
        <w:ind w:left="284" w:hanging="284"/>
      </w:pPr>
      <w:r>
        <w:t>Two educators:</w:t>
      </w:r>
    </w:p>
    <w:p w14:paraId="136D1FBF" w14:textId="77777777" w:rsidR="00F87BF1" w:rsidRDefault="00F87BF1" w:rsidP="00F87BF1">
      <w:pPr>
        <w:pStyle w:val="Dotpoint2"/>
      </w:pPr>
      <w:r>
        <w:t>A higher education course coordinator of a bachelor specialising in financial planning;</w:t>
      </w:r>
    </w:p>
    <w:p w14:paraId="5C67981C" w14:textId="77777777" w:rsidR="00F87BF1" w:rsidRDefault="00F87BF1" w:rsidP="00F87BF1">
      <w:pPr>
        <w:pStyle w:val="Dotpoint2"/>
      </w:pPr>
      <w:r>
        <w:t>A VET business head teacher;</w:t>
      </w:r>
    </w:p>
    <w:p w14:paraId="0D434D15" w14:textId="77777777" w:rsidR="00F87BF1" w:rsidRDefault="00F87BF1" w:rsidP="00F87BF1">
      <w:pPr>
        <w:pStyle w:val="Dotpoint1"/>
      </w:pPr>
      <w:r>
        <w:t>One industry body representative</w:t>
      </w:r>
      <w:r w:rsidR="001E513F">
        <w:t>;</w:t>
      </w:r>
    </w:p>
    <w:p w14:paraId="69F0C91C" w14:textId="77777777" w:rsidR="00F87BF1" w:rsidRDefault="00F87BF1" w:rsidP="00F87BF1">
      <w:pPr>
        <w:pStyle w:val="Dotpoint1"/>
      </w:pPr>
      <w:r>
        <w:t>One education-based professional involved in education and employment partnerships programs.</w:t>
      </w:r>
    </w:p>
    <w:p w14:paraId="55603700" w14:textId="77777777" w:rsidR="00F87BF1" w:rsidRDefault="00F87BF1" w:rsidP="00F87BF1">
      <w:pPr>
        <w:pStyle w:val="Dotpoint1"/>
        <w:numPr>
          <w:ilvl w:val="0"/>
          <w:numId w:val="0"/>
        </w:numPr>
      </w:pPr>
      <w:r>
        <w:t>These consultations were supported by an analysis of the regulatory environment of the financial services sector and analysis of education and occupation data.</w:t>
      </w:r>
    </w:p>
    <w:p w14:paraId="672AD031" w14:textId="77777777" w:rsidR="00F87BF1" w:rsidRDefault="00F87BF1" w:rsidP="00F87BF1">
      <w:pPr>
        <w:pStyle w:val="Heading2"/>
      </w:pPr>
      <w:bookmarkStart w:id="89" w:name="_Toc257836763"/>
      <w:r>
        <w:lastRenderedPageBreak/>
        <w:t>Education and employment trends in banking and finance</w:t>
      </w:r>
      <w:bookmarkEnd w:id="89"/>
    </w:p>
    <w:p w14:paraId="7081D5CB" w14:textId="64A52455" w:rsidR="00F87BF1" w:rsidRPr="008F628D" w:rsidRDefault="00F87BF1" w:rsidP="00F87BF1">
      <w:pPr>
        <w:pStyle w:val="Text"/>
        <w:rPr>
          <w:b/>
        </w:rPr>
      </w:pPr>
      <w:r w:rsidRPr="00EE57E5">
        <w:t>NCVER’s 201</w:t>
      </w:r>
      <w:r>
        <w:t>2</w:t>
      </w:r>
      <w:r w:rsidRPr="00EE57E5">
        <w:t xml:space="preserve"> student outcomes survey </w:t>
      </w:r>
      <w:r w:rsidR="005234E8">
        <w:t>shows that</w:t>
      </w:r>
      <w:r w:rsidRPr="00EE57E5">
        <w:t xml:space="preserve"> graduates of vocational diplomas and above in banking and finance in 201</w:t>
      </w:r>
      <w:r>
        <w:t>2</w:t>
      </w:r>
      <w:r w:rsidRPr="00EE57E5">
        <w:t xml:space="preserve"> had reasonable </w:t>
      </w:r>
      <w:r>
        <w:t>employment outcomes, with 7</w:t>
      </w:r>
      <w:r w:rsidR="008F628D">
        <w:t>3</w:t>
      </w:r>
      <w:r>
        <w:t>.2</w:t>
      </w:r>
      <w:r w:rsidR="001E513F">
        <w:t>%</w:t>
      </w:r>
      <w:r>
        <w:t xml:space="preserve"> </w:t>
      </w:r>
      <w:r w:rsidRPr="00EE57E5">
        <w:t>employed after graduating. However, this is much lower than the employment rate for other graduates in the broad field o</w:t>
      </w:r>
      <w:r>
        <w:t>f management and commerce (85.3</w:t>
      </w:r>
      <w:r w:rsidR="001E513F">
        <w:t>%</w:t>
      </w:r>
      <w:r w:rsidRPr="00EE57E5">
        <w:t>) and the rate fo</w:t>
      </w:r>
      <w:r w:rsidR="008F628D">
        <w:t>r graduates of all fields (83</w:t>
      </w:r>
      <w:r>
        <w:t>.</w:t>
      </w:r>
      <w:r w:rsidR="008F628D">
        <w:t>2</w:t>
      </w:r>
      <w:r w:rsidR="001E513F">
        <w:t>%</w:t>
      </w:r>
      <w:r w:rsidRPr="00EE57E5">
        <w:t xml:space="preserve">) </w:t>
      </w:r>
      <w:proofErr w:type="gramStart"/>
      <w:r w:rsidRPr="00EE57E5">
        <w:t>(Table 1</w:t>
      </w:r>
      <w:r w:rsidR="00970617">
        <w:t>5</w:t>
      </w:r>
      <w:r w:rsidRPr="00EE57E5">
        <w:t>).</w:t>
      </w:r>
      <w:proofErr w:type="gramEnd"/>
    </w:p>
    <w:p w14:paraId="3FF3BF76" w14:textId="77777777" w:rsidR="009F1205" w:rsidRPr="00837EEF" w:rsidRDefault="009F1205" w:rsidP="009F1205">
      <w:pPr>
        <w:pStyle w:val="tabletitle"/>
      </w:pPr>
      <w:bookmarkStart w:id="90" w:name="_Toc257836878"/>
      <w:r>
        <w:t>Table 1</w:t>
      </w:r>
      <w:r w:rsidR="00970617">
        <w:t>5</w:t>
      </w:r>
      <w:r w:rsidRPr="00837EEF">
        <w:tab/>
        <w:t xml:space="preserve">Percentage of </w:t>
      </w:r>
      <w:r w:rsidR="008F628D">
        <w:t xml:space="preserve">VET </w:t>
      </w:r>
      <w:r w:rsidRPr="00837EEF">
        <w:t>graduates in employment six months after training, by level of qualification and broad and selected narrow field of education, 2</w:t>
      </w:r>
      <w:r>
        <w:t>012</w:t>
      </w:r>
      <w:bookmarkEnd w:id="90"/>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9F1205" w:rsidRPr="00354810" w14:paraId="3284CA90" w14:textId="77777777" w:rsidTr="009F1205">
        <w:trPr>
          <w:trHeight w:val="255"/>
          <w:tblHeader/>
        </w:trPr>
        <w:tc>
          <w:tcPr>
            <w:tcW w:w="2876" w:type="dxa"/>
            <w:tcBorders>
              <w:top w:val="single" w:sz="4" w:space="0" w:color="auto"/>
              <w:bottom w:val="nil"/>
            </w:tcBorders>
            <w:shd w:val="clear" w:color="auto" w:fill="auto"/>
            <w:vAlign w:val="center"/>
          </w:tcPr>
          <w:p w14:paraId="0504EF4F" w14:textId="77777777" w:rsidR="009F1205" w:rsidRPr="00354810" w:rsidRDefault="009F1205" w:rsidP="009F1205">
            <w:pPr>
              <w:pStyle w:val="Tablehead1"/>
            </w:pPr>
            <w:r w:rsidRPr="00354810">
              <w:t>Field of education</w:t>
            </w:r>
          </w:p>
        </w:tc>
        <w:tc>
          <w:tcPr>
            <w:tcW w:w="860" w:type="dxa"/>
            <w:tcBorders>
              <w:top w:val="single" w:sz="4" w:space="0" w:color="auto"/>
              <w:bottom w:val="nil"/>
            </w:tcBorders>
            <w:vAlign w:val="center"/>
          </w:tcPr>
          <w:p w14:paraId="295D4A38" w14:textId="77777777" w:rsidR="009F1205" w:rsidRPr="00354810" w:rsidRDefault="009F1205" w:rsidP="009F1205">
            <w:pPr>
              <w:pStyle w:val="Tablehead1"/>
              <w:jc w:val="right"/>
              <w:rPr>
                <w:bCs/>
              </w:rPr>
            </w:pPr>
            <w:r w:rsidRPr="00354810">
              <w:rPr>
                <w:bCs/>
              </w:rPr>
              <w:t>Cert I</w:t>
            </w:r>
          </w:p>
        </w:tc>
        <w:tc>
          <w:tcPr>
            <w:tcW w:w="861" w:type="dxa"/>
            <w:tcBorders>
              <w:top w:val="single" w:sz="4" w:space="0" w:color="auto"/>
              <w:bottom w:val="nil"/>
            </w:tcBorders>
            <w:vAlign w:val="center"/>
          </w:tcPr>
          <w:p w14:paraId="7AF519BC" w14:textId="77777777" w:rsidR="009F1205" w:rsidRPr="00354810" w:rsidRDefault="009F1205" w:rsidP="009F1205">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27E947DF" w14:textId="77777777" w:rsidR="009F1205" w:rsidRPr="00354810" w:rsidRDefault="009F1205" w:rsidP="009F1205">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3B76F22E" w14:textId="77777777" w:rsidR="009F1205" w:rsidRPr="00354810" w:rsidRDefault="009F1205" w:rsidP="009F1205">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5D35A314" w14:textId="77777777" w:rsidR="009F1205" w:rsidRPr="00354810" w:rsidRDefault="009F1205" w:rsidP="009F1205">
            <w:pPr>
              <w:pStyle w:val="Tablehead1"/>
              <w:jc w:val="right"/>
              <w:rPr>
                <w:bCs/>
              </w:rPr>
            </w:pPr>
            <w:r>
              <w:rPr>
                <w:bCs/>
              </w:rPr>
              <w:t>Dips and above</w:t>
            </w:r>
          </w:p>
        </w:tc>
        <w:tc>
          <w:tcPr>
            <w:tcW w:w="861" w:type="dxa"/>
            <w:tcBorders>
              <w:top w:val="single" w:sz="4" w:space="0" w:color="auto"/>
              <w:bottom w:val="nil"/>
            </w:tcBorders>
            <w:vAlign w:val="center"/>
          </w:tcPr>
          <w:p w14:paraId="6DBE2455" w14:textId="77777777" w:rsidR="009F1205" w:rsidRPr="00354810" w:rsidRDefault="009F1205" w:rsidP="009F1205">
            <w:pPr>
              <w:pStyle w:val="Tablehead1"/>
              <w:jc w:val="right"/>
              <w:rPr>
                <w:bCs/>
              </w:rPr>
            </w:pPr>
            <w:r w:rsidRPr="00354810">
              <w:rPr>
                <w:bCs/>
              </w:rPr>
              <w:t>All levels</w:t>
            </w:r>
          </w:p>
        </w:tc>
      </w:tr>
      <w:tr w:rsidR="009F1205" w:rsidRPr="00354810" w14:paraId="3E57D0AB" w14:textId="77777777" w:rsidTr="009F1205">
        <w:trPr>
          <w:trHeight w:val="255"/>
        </w:trPr>
        <w:tc>
          <w:tcPr>
            <w:tcW w:w="2876" w:type="dxa"/>
            <w:tcBorders>
              <w:top w:val="nil"/>
              <w:bottom w:val="nil"/>
            </w:tcBorders>
            <w:shd w:val="clear" w:color="auto" w:fill="auto"/>
            <w:vAlign w:val="center"/>
          </w:tcPr>
          <w:p w14:paraId="2B5BCF8E" w14:textId="77777777" w:rsidR="009F1205" w:rsidRPr="00354810" w:rsidRDefault="009F1205" w:rsidP="009F1205">
            <w:pPr>
              <w:pStyle w:val="Tabletext"/>
              <w:rPr>
                <w:b/>
                <w:bCs/>
              </w:rPr>
            </w:pPr>
            <w:r w:rsidRPr="00354810">
              <w:rPr>
                <w:b/>
                <w:bCs/>
              </w:rPr>
              <w:t>Management and commerce</w:t>
            </w:r>
          </w:p>
        </w:tc>
        <w:tc>
          <w:tcPr>
            <w:tcW w:w="860" w:type="dxa"/>
            <w:tcBorders>
              <w:top w:val="nil"/>
              <w:bottom w:val="nil"/>
            </w:tcBorders>
            <w:vAlign w:val="center"/>
          </w:tcPr>
          <w:p w14:paraId="7C363ADF" w14:textId="77777777" w:rsidR="009F1205" w:rsidRPr="00354810" w:rsidRDefault="009F1205" w:rsidP="009F1205">
            <w:pPr>
              <w:pStyle w:val="Tabletext"/>
              <w:jc w:val="right"/>
            </w:pPr>
            <w:r>
              <w:t>52.4</w:t>
            </w:r>
          </w:p>
        </w:tc>
        <w:tc>
          <w:tcPr>
            <w:tcW w:w="861" w:type="dxa"/>
            <w:tcBorders>
              <w:top w:val="nil"/>
              <w:bottom w:val="nil"/>
            </w:tcBorders>
            <w:vAlign w:val="center"/>
          </w:tcPr>
          <w:p w14:paraId="477D775F" w14:textId="77777777" w:rsidR="009F1205" w:rsidRPr="00354810" w:rsidRDefault="009F1205" w:rsidP="009F1205">
            <w:pPr>
              <w:pStyle w:val="Tabletext"/>
              <w:tabs>
                <w:tab w:val="decimal" w:pos="0"/>
                <w:tab w:val="decimal" w:pos="645"/>
              </w:tabs>
              <w:jc w:val="right"/>
            </w:pPr>
            <w:r>
              <w:t>60.0</w:t>
            </w:r>
          </w:p>
        </w:tc>
        <w:tc>
          <w:tcPr>
            <w:tcW w:w="861" w:type="dxa"/>
            <w:tcBorders>
              <w:top w:val="nil"/>
              <w:bottom w:val="nil"/>
            </w:tcBorders>
            <w:shd w:val="clear" w:color="auto" w:fill="auto"/>
            <w:vAlign w:val="center"/>
          </w:tcPr>
          <w:p w14:paraId="335942D1" w14:textId="77777777" w:rsidR="009F1205" w:rsidRPr="00354810" w:rsidRDefault="009F1205" w:rsidP="009F1205">
            <w:pPr>
              <w:pStyle w:val="Tabletext"/>
              <w:jc w:val="right"/>
            </w:pPr>
            <w:r>
              <w:t>77.8</w:t>
            </w:r>
          </w:p>
        </w:tc>
        <w:tc>
          <w:tcPr>
            <w:tcW w:w="860" w:type="dxa"/>
            <w:tcBorders>
              <w:top w:val="nil"/>
              <w:bottom w:val="nil"/>
            </w:tcBorders>
            <w:shd w:val="clear" w:color="auto" w:fill="auto"/>
            <w:vAlign w:val="center"/>
          </w:tcPr>
          <w:p w14:paraId="02651476" w14:textId="77777777" w:rsidR="009F1205" w:rsidRPr="00354810" w:rsidRDefault="009F1205" w:rsidP="009F1205">
            <w:pPr>
              <w:pStyle w:val="Tabletext"/>
              <w:jc w:val="right"/>
            </w:pPr>
            <w:r>
              <w:t>84.4</w:t>
            </w:r>
          </w:p>
        </w:tc>
        <w:tc>
          <w:tcPr>
            <w:tcW w:w="861" w:type="dxa"/>
            <w:tcBorders>
              <w:top w:val="nil"/>
              <w:bottom w:val="nil"/>
            </w:tcBorders>
            <w:shd w:val="pct12" w:color="auto" w:fill="auto"/>
            <w:vAlign w:val="center"/>
          </w:tcPr>
          <w:p w14:paraId="7ACE9FBF" w14:textId="77777777" w:rsidR="009F1205" w:rsidRPr="00354810" w:rsidRDefault="009F1205" w:rsidP="009F1205">
            <w:pPr>
              <w:pStyle w:val="Tabletext"/>
              <w:jc w:val="right"/>
            </w:pPr>
            <w:r>
              <w:t>85.5</w:t>
            </w:r>
          </w:p>
        </w:tc>
        <w:tc>
          <w:tcPr>
            <w:tcW w:w="861" w:type="dxa"/>
            <w:tcBorders>
              <w:top w:val="nil"/>
              <w:bottom w:val="nil"/>
            </w:tcBorders>
            <w:vAlign w:val="center"/>
          </w:tcPr>
          <w:p w14:paraId="63D35B06" w14:textId="77777777" w:rsidR="009F1205" w:rsidRPr="00354810" w:rsidRDefault="009F1205" w:rsidP="009F1205">
            <w:pPr>
              <w:pStyle w:val="Tabletext"/>
              <w:jc w:val="right"/>
              <w:rPr>
                <w:b/>
              </w:rPr>
            </w:pPr>
            <w:r>
              <w:rPr>
                <w:b/>
              </w:rPr>
              <w:t>77.8</w:t>
            </w:r>
          </w:p>
        </w:tc>
      </w:tr>
      <w:tr w:rsidR="009F1205" w:rsidRPr="00354810" w14:paraId="65A8EE1E" w14:textId="77777777" w:rsidTr="009F1205">
        <w:trPr>
          <w:trHeight w:val="255"/>
        </w:trPr>
        <w:tc>
          <w:tcPr>
            <w:tcW w:w="2876" w:type="dxa"/>
            <w:tcBorders>
              <w:top w:val="nil"/>
              <w:bottom w:val="nil"/>
            </w:tcBorders>
            <w:shd w:val="clear" w:color="auto" w:fill="auto"/>
            <w:vAlign w:val="center"/>
          </w:tcPr>
          <w:p w14:paraId="49ED01A5" w14:textId="77777777" w:rsidR="009F1205" w:rsidRPr="00354810" w:rsidRDefault="009F1205" w:rsidP="009F1205">
            <w:pPr>
              <w:pStyle w:val="Tabletext"/>
              <w:ind w:left="567"/>
            </w:pPr>
            <w:r w:rsidRPr="00354810">
              <w:t>Banking and finance</w:t>
            </w:r>
          </w:p>
        </w:tc>
        <w:tc>
          <w:tcPr>
            <w:tcW w:w="860" w:type="dxa"/>
            <w:tcBorders>
              <w:top w:val="nil"/>
              <w:bottom w:val="nil"/>
            </w:tcBorders>
            <w:vAlign w:val="center"/>
          </w:tcPr>
          <w:p w14:paraId="2464E265" w14:textId="77777777" w:rsidR="009F1205" w:rsidRPr="00354810" w:rsidRDefault="009F1205" w:rsidP="009F1205">
            <w:pPr>
              <w:pStyle w:val="Tabletext"/>
              <w:jc w:val="right"/>
            </w:pPr>
            <w:proofErr w:type="spellStart"/>
            <w:r>
              <w:t>na</w:t>
            </w:r>
            <w:proofErr w:type="spellEnd"/>
          </w:p>
        </w:tc>
        <w:tc>
          <w:tcPr>
            <w:tcW w:w="861" w:type="dxa"/>
            <w:tcBorders>
              <w:top w:val="nil"/>
              <w:bottom w:val="nil"/>
            </w:tcBorders>
            <w:vAlign w:val="center"/>
          </w:tcPr>
          <w:p w14:paraId="4D4E1328" w14:textId="77777777" w:rsidR="009F1205" w:rsidRPr="00354810" w:rsidRDefault="009F1205" w:rsidP="009F1205">
            <w:pPr>
              <w:pStyle w:val="Tabletext"/>
              <w:tabs>
                <w:tab w:val="decimal" w:pos="0"/>
                <w:tab w:val="decimal" w:pos="645"/>
              </w:tabs>
              <w:jc w:val="right"/>
            </w:pPr>
            <w:r>
              <w:t>np</w:t>
            </w:r>
          </w:p>
        </w:tc>
        <w:tc>
          <w:tcPr>
            <w:tcW w:w="861" w:type="dxa"/>
            <w:tcBorders>
              <w:top w:val="nil"/>
              <w:bottom w:val="nil"/>
            </w:tcBorders>
            <w:shd w:val="clear" w:color="auto" w:fill="auto"/>
            <w:vAlign w:val="center"/>
          </w:tcPr>
          <w:p w14:paraId="4741D6E6" w14:textId="77777777" w:rsidR="009F1205" w:rsidRPr="00354810" w:rsidRDefault="009F1205" w:rsidP="009F1205">
            <w:pPr>
              <w:pStyle w:val="Tabletext"/>
              <w:jc w:val="right"/>
            </w:pPr>
            <w:r>
              <w:t>78.8</w:t>
            </w:r>
          </w:p>
        </w:tc>
        <w:tc>
          <w:tcPr>
            <w:tcW w:w="860" w:type="dxa"/>
            <w:tcBorders>
              <w:top w:val="nil"/>
              <w:bottom w:val="nil"/>
            </w:tcBorders>
            <w:shd w:val="clear" w:color="auto" w:fill="auto"/>
            <w:vAlign w:val="center"/>
          </w:tcPr>
          <w:p w14:paraId="43DE0893" w14:textId="77777777" w:rsidR="009F1205" w:rsidRPr="00354810" w:rsidRDefault="009F1205" w:rsidP="009F1205">
            <w:pPr>
              <w:pStyle w:val="Tabletext"/>
              <w:jc w:val="right"/>
            </w:pPr>
            <w:r>
              <w:t>82.9</w:t>
            </w:r>
          </w:p>
        </w:tc>
        <w:tc>
          <w:tcPr>
            <w:tcW w:w="861" w:type="dxa"/>
            <w:tcBorders>
              <w:top w:val="nil"/>
              <w:bottom w:val="nil"/>
            </w:tcBorders>
            <w:shd w:val="pct12" w:color="auto" w:fill="auto"/>
            <w:vAlign w:val="center"/>
          </w:tcPr>
          <w:p w14:paraId="37FBD322" w14:textId="77777777" w:rsidR="009F1205" w:rsidRPr="00354810" w:rsidRDefault="009F1205" w:rsidP="009F1205">
            <w:pPr>
              <w:pStyle w:val="Tabletext"/>
              <w:jc w:val="right"/>
            </w:pPr>
            <w:r>
              <w:t>73.2</w:t>
            </w:r>
          </w:p>
        </w:tc>
        <w:tc>
          <w:tcPr>
            <w:tcW w:w="861" w:type="dxa"/>
            <w:tcBorders>
              <w:top w:val="nil"/>
              <w:bottom w:val="nil"/>
            </w:tcBorders>
            <w:vAlign w:val="center"/>
          </w:tcPr>
          <w:p w14:paraId="52DF9020" w14:textId="77777777" w:rsidR="009F1205" w:rsidRPr="00354810" w:rsidRDefault="009F1205" w:rsidP="009F1205">
            <w:pPr>
              <w:pStyle w:val="Tabletext"/>
              <w:jc w:val="right"/>
              <w:rPr>
                <w:b/>
              </w:rPr>
            </w:pPr>
            <w:r>
              <w:rPr>
                <w:b/>
              </w:rPr>
              <w:t>76.4</w:t>
            </w:r>
          </w:p>
        </w:tc>
      </w:tr>
      <w:tr w:rsidR="009F1205" w:rsidRPr="00354810" w14:paraId="5B84E447" w14:textId="77777777" w:rsidTr="009F1205">
        <w:trPr>
          <w:trHeight w:val="255"/>
        </w:trPr>
        <w:tc>
          <w:tcPr>
            <w:tcW w:w="2876" w:type="dxa"/>
            <w:tcBorders>
              <w:top w:val="single" w:sz="4" w:space="0" w:color="auto"/>
              <w:bottom w:val="single" w:sz="4" w:space="0" w:color="auto"/>
            </w:tcBorders>
            <w:shd w:val="clear" w:color="auto" w:fill="auto"/>
            <w:vAlign w:val="center"/>
          </w:tcPr>
          <w:p w14:paraId="1CC3F494" w14:textId="77777777" w:rsidR="009F1205" w:rsidRPr="00354810" w:rsidRDefault="009F1205" w:rsidP="009F1205">
            <w:pPr>
              <w:pStyle w:val="Tabletext"/>
              <w:rPr>
                <w:b/>
              </w:rPr>
            </w:pPr>
            <w:r w:rsidRPr="00354810">
              <w:rPr>
                <w:b/>
              </w:rPr>
              <w:t>All fields</w:t>
            </w:r>
          </w:p>
        </w:tc>
        <w:tc>
          <w:tcPr>
            <w:tcW w:w="860" w:type="dxa"/>
            <w:tcBorders>
              <w:top w:val="single" w:sz="4" w:space="0" w:color="auto"/>
              <w:bottom w:val="single" w:sz="4" w:space="0" w:color="auto"/>
            </w:tcBorders>
            <w:vAlign w:val="center"/>
          </w:tcPr>
          <w:p w14:paraId="248A9906" w14:textId="77777777" w:rsidR="009F1205" w:rsidRPr="00354810" w:rsidRDefault="009F1205" w:rsidP="009F1205">
            <w:pPr>
              <w:pStyle w:val="Tabletext"/>
              <w:jc w:val="right"/>
              <w:rPr>
                <w:b/>
              </w:rPr>
            </w:pPr>
            <w:r>
              <w:rPr>
                <w:b/>
              </w:rPr>
              <w:t>50.5</w:t>
            </w:r>
          </w:p>
        </w:tc>
        <w:tc>
          <w:tcPr>
            <w:tcW w:w="861" w:type="dxa"/>
            <w:tcBorders>
              <w:top w:val="single" w:sz="4" w:space="0" w:color="auto"/>
              <w:bottom w:val="single" w:sz="4" w:space="0" w:color="auto"/>
            </w:tcBorders>
            <w:vAlign w:val="center"/>
          </w:tcPr>
          <w:p w14:paraId="741D4B0D" w14:textId="77777777" w:rsidR="009F1205" w:rsidRPr="00354810" w:rsidRDefault="009F1205" w:rsidP="009F1205">
            <w:pPr>
              <w:pStyle w:val="Tabletext"/>
              <w:tabs>
                <w:tab w:val="decimal" w:pos="0"/>
                <w:tab w:val="decimal" w:pos="645"/>
              </w:tabs>
              <w:jc w:val="right"/>
              <w:rPr>
                <w:b/>
              </w:rPr>
            </w:pPr>
            <w:r>
              <w:rPr>
                <w:b/>
              </w:rPr>
              <w:t>61.8</w:t>
            </w:r>
          </w:p>
        </w:tc>
        <w:tc>
          <w:tcPr>
            <w:tcW w:w="861" w:type="dxa"/>
            <w:tcBorders>
              <w:top w:val="single" w:sz="4" w:space="0" w:color="auto"/>
              <w:bottom w:val="single" w:sz="4" w:space="0" w:color="auto"/>
            </w:tcBorders>
            <w:shd w:val="clear" w:color="auto" w:fill="auto"/>
            <w:vAlign w:val="center"/>
          </w:tcPr>
          <w:p w14:paraId="22D523B1" w14:textId="77777777" w:rsidR="009F1205" w:rsidRPr="00354810" w:rsidRDefault="009F1205" w:rsidP="009F1205">
            <w:pPr>
              <w:pStyle w:val="Tabletext"/>
              <w:jc w:val="right"/>
              <w:rPr>
                <w:b/>
              </w:rPr>
            </w:pPr>
            <w:r>
              <w:rPr>
                <w:b/>
              </w:rPr>
              <w:t>79.2</w:t>
            </w:r>
          </w:p>
        </w:tc>
        <w:tc>
          <w:tcPr>
            <w:tcW w:w="860" w:type="dxa"/>
            <w:tcBorders>
              <w:top w:val="single" w:sz="4" w:space="0" w:color="auto"/>
              <w:bottom w:val="single" w:sz="4" w:space="0" w:color="auto"/>
            </w:tcBorders>
            <w:shd w:val="clear" w:color="auto" w:fill="auto"/>
            <w:vAlign w:val="center"/>
          </w:tcPr>
          <w:p w14:paraId="65C6FB6A" w14:textId="77777777" w:rsidR="009F1205" w:rsidRPr="00354810" w:rsidRDefault="009F1205" w:rsidP="009F1205">
            <w:pPr>
              <w:pStyle w:val="Tabletext"/>
              <w:jc w:val="right"/>
              <w:rPr>
                <w:b/>
              </w:rPr>
            </w:pPr>
            <w:r>
              <w:rPr>
                <w:b/>
              </w:rPr>
              <w:t>84.0</w:t>
            </w:r>
          </w:p>
        </w:tc>
        <w:tc>
          <w:tcPr>
            <w:tcW w:w="861" w:type="dxa"/>
            <w:tcBorders>
              <w:top w:val="single" w:sz="4" w:space="0" w:color="auto"/>
              <w:bottom w:val="single" w:sz="4" w:space="0" w:color="auto"/>
            </w:tcBorders>
            <w:shd w:val="pct12" w:color="auto" w:fill="auto"/>
            <w:vAlign w:val="center"/>
          </w:tcPr>
          <w:p w14:paraId="1DA8019A" w14:textId="77777777" w:rsidR="009F1205" w:rsidRPr="00354810" w:rsidRDefault="009F1205" w:rsidP="009F1205">
            <w:pPr>
              <w:pStyle w:val="Tabletext"/>
              <w:jc w:val="right"/>
              <w:rPr>
                <w:b/>
              </w:rPr>
            </w:pPr>
            <w:r>
              <w:rPr>
                <w:b/>
              </w:rPr>
              <w:t>83.2</w:t>
            </w:r>
          </w:p>
        </w:tc>
        <w:tc>
          <w:tcPr>
            <w:tcW w:w="861" w:type="dxa"/>
            <w:tcBorders>
              <w:top w:val="single" w:sz="4" w:space="0" w:color="auto"/>
              <w:bottom w:val="single" w:sz="4" w:space="0" w:color="auto"/>
            </w:tcBorders>
            <w:vAlign w:val="center"/>
          </w:tcPr>
          <w:p w14:paraId="51524098" w14:textId="77777777" w:rsidR="009F1205" w:rsidRPr="00354810" w:rsidRDefault="009F1205" w:rsidP="009F1205">
            <w:pPr>
              <w:pStyle w:val="Tabletext"/>
              <w:jc w:val="right"/>
              <w:rPr>
                <w:b/>
              </w:rPr>
            </w:pPr>
            <w:r>
              <w:rPr>
                <w:b/>
              </w:rPr>
              <w:t>77.8</w:t>
            </w:r>
          </w:p>
        </w:tc>
      </w:tr>
    </w:tbl>
    <w:p w14:paraId="14366890" w14:textId="77777777" w:rsidR="009F1205" w:rsidRDefault="009F1205" w:rsidP="009F1205">
      <w:pPr>
        <w:pStyle w:val="Source"/>
      </w:pPr>
      <w:r>
        <w:t>Source:</w:t>
      </w:r>
      <w:r>
        <w:tab/>
      </w:r>
      <w:r w:rsidRPr="00772E52">
        <w:t>VOCSTATS (</w:t>
      </w:r>
      <w:hyperlink r:id="rId30" w:history="1">
        <w:r w:rsidRPr="00E22016">
          <w:t>www.ncver.edu.au/resources/vocstats/intro.html</w:t>
        </w:r>
      </w:hyperlink>
      <w:r w:rsidRPr="00772E52">
        <w:t>)</w:t>
      </w:r>
      <w:r>
        <w:t xml:space="preserve"> extracted on 1/10/2013.</w:t>
      </w:r>
    </w:p>
    <w:p w14:paraId="06561DF4" w14:textId="77777777" w:rsidR="009F1205" w:rsidRDefault="009F1205" w:rsidP="009F1205">
      <w:pPr>
        <w:pStyle w:val="Source"/>
      </w:pPr>
      <w:r>
        <w:t>Notes:</w:t>
      </w:r>
      <w:r>
        <w:tab/>
      </w:r>
      <w:proofErr w:type="spellStart"/>
      <w:proofErr w:type="gramStart"/>
      <w:r>
        <w:t>na</w:t>
      </w:r>
      <w:proofErr w:type="spellEnd"/>
      <w:proofErr w:type="gramEnd"/>
      <w:r>
        <w:t xml:space="preserve"> </w:t>
      </w:r>
      <w:r w:rsidRPr="00147C93">
        <w:t>Not applicable</w:t>
      </w:r>
    </w:p>
    <w:p w14:paraId="30C7D19D" w14:textId="77777777" w:rsidR="009F1205" w:rsidRDefault="009F1205" w:rsidP="009F1205">
      <w:pPr>
        <w:pStyle w:val="Source"/>
        <w:ind w:firstLine="0"/>
      </w:pPr>
      <w:proofErr w:type="gramStart"/>
      <w:r>
        <w:t>np</w:t>
      </w:r>
      <w:proofErr w:type="gramEnd"/>
      <w:r>
        <w:t xml:space="preserve"> Not published. NCVER does not report on estimates based on five or fewer respondents because the estimates are unreliable.</w:t>
      </w:r>
    </w:p>
    <w:p w14:paraId="7CC141CF" w14:textId="0FE5D631" w:rsidR="00F87BF1" w:rsidRPr="008F628D" w:rsidRDefault="00F87BF1" w:rsidP="00F87BF1">
      <w:pPr>
        <w:pStyle w:val="Text"/>
        <w:rPr>
          <w:b/>
        </w:rPr>
      </w:pPr>
      <w:r>
        <w:t>While</w:t>
      </w:r>
      <w:r w:rsidRPr="00DA3B44">
        <w:t xml:space="preserve"> employment rates are not published for the small number of graduates of higher education diplomas and associate degrees, Graduate Careers Australia’s (201</w:t>
      </w:r>
      <w:r>
        <w:t>2</w:t>
      </w:r>
      <w:r w:rsidRPr="00DA3B44">
        <w:t xml:space="preserve">) Australian graduate survey reports that </w:t>
      </w:r>
      <w:r>
        <w:t>74.5</w:t>
      </w:r>
      <w:r w:rsidR="00970617">
        <w:t>%</w:t>
      </w:r>
      <w:r w:rsidRPr="00DA3B44">
        <w:t xml:space="preserve"> of business studies bachelor graduates in 201</w:t>
      </w:r>
      <w:r>
        <w:t>2</w:t>
      </w:r>
      <w:r w:rsidRPr="00DA3B44">
        <w:t xml:space="preserve"> who were available for full time employment were employed full time, </w:t>
      </w:r>
      <w:r>
        <w:t>slightly below</w:t>
      </w:r>
      <w:r w:rsidRPr="00DA3B44">
        <w:t xml:space="preserve"> the bachelor graduates’ employment rate for all fields of 76.</w:t>
      </w:r>
      <w:r>
        <w:t>1</w:t>
      </w:r>
      <w:r w:rsidR="00970617">
        <w:t>%</w:t>
      </w:r>
      <w:r w:rsidRPr="00DA3B44">
        <w:t xml:space="preserve">. </w:t>
      </w:r>
      <w:r>
        <w:t>Somewhat</w:t>
      </w:r>
      <w:r w:rsidRPr="00DA3B44">
        <w:t xml:space="preserve"> higher employment rates were enjoyed by bachelor graduates in </w:t>
      </w:r>
      <w:r w:rsidR="008F628D">
        <w:t>economics</w:t>
      </w:r>
      <w:r w:rsidRPr="00DA3B44">
        <w:t xml:space="preserve"> (</w:t>
      </w:r>
      <w:r>
        <w:t>76.8</w:t>
      </w:r>
      <w:r w:rsidR="00970617">
        <w:t>%</w:t>
      </w:r>
      <w:r w:rsidR="005234E8">
        <w:t>) and</w:t>
      </w:r>
      <w:r>
        <w:t xml:space="preserve"> accounting</w:t>
      </w:r>
      <w:r w:rsidRPr="00DA3B44">
        <w:t xml:space="preserve"> (7</w:t>
      </w:r>
      <w:r>
        <w:t>9.9</w:t>
      </w:r>
      <w:r w:rsidR="00970617">
        <w:t>%</w:t>
      </w:r>
      <w:r w:rsidRPr="00DA3B44">
        <w:t xml:space="preserve">) </w:t>
      </w:r>
      <w:proofErr w:type="gramStart"/>
      <w:r w:rsidRPr="00DA3B44">
        <w:t xml:space="preserve">(Table </w:t>
      </w:r>
      <w:r w:rsidR="00970617">
        <w:t>16</w:t>
      </w:r>
      <w:r w:rsidRPr="00DA3B44">
        <w:t>).</w:t>
      </w:r>
      <w:proofErr w:type="gramEnd"/>
    </w:p>
    <w:p w14:paraId="1D0690DF" w14:textId="77777777" w:rsidR="00F87BF1" w:rsidRPr="004516FC" w:rsidRDefault="00F87BF1" w:rsidP="00F87BF1">
      <w:pPr>
        <w:pStyle w:val="tabletitle"/>
      </w:pPr>
      <w:bookmarkStart w:id="91" w:name="_Toc247184285"/>
      <w:bookmarkStart w:id="92" w:name="_Toc257836879"/>
      <w:r w:rsidRPr="004516FC">
        <w:rPr>
          <w:lang w:val="en-US"/>
        </w:rPr>
        <w:t xml:space="preserve">Table </w:t>
      </w:r>
      <w:r w:rsidR="00970617">
        <w:rPr>
          <w:lang w:val="en-US"/>
        </w:rPr>
        <w:t>16</w:t>
      </w:r>
      <w:r>
        <w:rPr>
          <w:lang w:val="en-US"/>
        </w:rPr>
        <w:tab/>
        <w:t>B</w:t>
      </w:r>
      <w:r w:rsidRPr="004516FC">
        <w:rPr>
          <w:lang w:val="en-US"/>
        </w:rPr>
        <w:t>achelor degree graduates in full time employment as % of available for full-time employment, by aggregated field of education and employment status</w:t>
      </w:r>
      <w:r>
        <w:rPr>
          <w:lang w:val="en-US"/>
        </w:rPr>
        <w:t>, 2012</w:t>
      </w:r>
      <w:bookmarkEnd w:id="91"/>
      <w:bookmarkEnd w:id="92"/>
    </w:p>
    <w:tbl>
      <w:tblPr>
        <w:tblW w:w="54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3780"/>
        <w:gridCol w:w="1620"/>
      </w:tblGrid>
      <w:tr w:rsidR="00F87BF1" w:rsidRPr="006511F1" w14:paraId="2F98FA0E" w14:textId="77777777" w:rsidTr="000D59D1">
        <w:trPr>
          <w:trHeight w:val="241"/>
        </w:trPr>
        <w:tc>
          <w:tcPr>
            <w:tcW w:w="3780" w:type="dxa"/>
            <w:tcBorders>
              <w:bottom w:val="nil"/>
            </w:tcBorders>
            <w:shd w:val="clear" w:color="auto" w:fill="auto"/>
            <w:vAlign w:val="center"/>
          </w:tcPr>
          <w:p w14:paraId="1FF0796E" w14:textId="77777777" w:rsidR="00F87BF1" w:rsidRPr="00F54A58" w:rsidRDefault="00F87BF1" w:rsidP="000D59D1">
            <w:pPr>
              <w:rPr>
                <w:rFonts w:cs="Arial"/>
                <w:b/>
                <w:bCs/>
                <w:color w:val="000000"/>
                <w:sz w:val="16"/>
                <w:szCs w:val="16"/>
                <w:lang w:val="en-US"/>
              </w:rPr>
            </w:pPr>
            <w:r w:rsidRPr="00F54A58">
              <w:rPr>
                <w:rFonts w:cs="Arial"/>
                <w:b/>
                <w:bCs/>
                <w:color w:val="000000"/>
                <w:sz w:val="16"/>
                <w:szCs w:val="16"/>
                <w:lang w:val="en-US"/>
              </w:rPr>
              <w:t>Field of education</w:t>
            </w:r>
          </w:p>
        </w:tc>
        <w:tc>
          <w:tcPr>
            <w:tcW w:w="1620" w:type="dxa"/>
            <w:tcBorders>
              <w:bottom w:val="nil"/>
            </w:tcBorders>
            <w:shd w:val="clear" w:color="auto" w:fill="auto"/>
            <w:vAlign w:val="center"/>
          </w:tcPr>
          <w:p w14:paraId="676F3033" w14:textId="77777777" w:rsidR="00F87BF1" w:rsidRPr="00F54A58" w:rsidRDefault="00F87BF1" w:rsidP="009F00F0">
            <w:pPr>
              <w:rPr>
                <w:rFonts w:cs="Arial"/>
                <w:b/>
                <w:bCs/>
                <w:color w:val="000000"/>
                <w:spacing w:val="20"/>
                <w:sz w:val="16"/>
                <w:szCs w:val="16"/>
                <w:lang w:val="en-US"/>
              </w:rPr>
            </w:pPr>
            <w:r w:rsidRPr="00F54A58">
              <w:rPr>
                <w:rFonts w:cs="Arial"/>
                <w:b/>
                <w:bCs/>
                <w:color w:val="000000"/>
                <w:sz w:val="16"/>
                <w:szCs w:val="16"/>
                <w:lang w:val="en-US"/>
              </w:rPr>
              <w:t>% employed</w:t>
            </w:r>
          </w:p>
        </w:tc>
      </w:tr>
      <w:tr w:rsidR="00F87BF1" w:rsidRPr="000F230B" w14:paraId="205E3312" w14:textId="77777777" w:rsidTr="000D59D1">
        <w:trPr>
          <w:trHeight w:val="227"/>
        </w:trPr>
        <w:tc>
          <w:tcPr>
            <w:tcW w:w="3780" w:type="dxa"/>
            <w:tcBorders>
              <w:top w:val="nil"/>
              <w:bottom w:val="nil"/>
            </w:tcBorders>
            <w:shd w:val="clear" w:color="auto" w:fill="auto"/>
            <w:vAlign w:val="center"/>
          </w:tcPr>
          <w:p w14:paraId="1ABDC9A6" w14:textId="77777777" w:rsidR="00F87BF1" w:rsidRPr="000F230B" w:rsidRDefault="00F87BF1" w:rsidP="000D59D1">
            <w:pPr>
              <w:spacing w:before="0" w:line="240" w:lineRule="auto"/>
              <w:rPr>
                <w:rFonts w:ascii="Arial" w:eastAsia="MS Mincho" w:hAnsi="Arial" w:cs="Arial"/>
                <w:color w:val="000000"/>
                <w:sz w:val="16"/>
                <w:szCs w:val="16"/>
                <w:lang w:val="en-US" w:eastAsia="ja-JP"/>
              </w:rPr>
            </w:pPr>
            <w:r w:rsidRPr="000F230B">
              <w:rPr>
                <w:rFonts w:ascii="Arial" w:eastAsia="MS Mincho" w:hAnsi="Arial" w:cs="Arial"/>
                <w:color w:val="000000"/>
                <w:sz w:val="16"/>
                <w:szCs w:val="16"/>
                <w:lang w:val="en-US" w:eastAsia="ja-JP"/>
              </w:rPr>
              <w:t>Business studies</w:t>
            </w:r>
          </w:p>
        </w:tc>
        <w:tc>
          <w:tcPr>
            <w:tcW w:w="1620" w:type="dxa"/>
            <w:tcBorders>
              <w:top w:val="nil"/>
              <w:bottom w:val="nil"/>
            </w:tcBorders>
            <w:shd w:val="clear" w:color="auto" w:fill="auto"/>
            <w:vAlign w:val="center"/>
          </w:tcPr>
          <w:p w14:paraId="7DEDA19E" w14:textId="77777777" w:rsidR="00F87BF1" w:rsidRPr="000F230B" w:rsidRDefault="00F87BF1" w:rsidP="000D59D1">
            <w:pPr>
              <w:spacing w:before="0" w:line="240" w:lineRule="auto"/>
              <w:rPr>
                <w:rFonts w:ascii="Arial" w:eastAsia="MS Mincho" w:hAnsi="Arial" w:cs="Arial"/>
                <w:color w:val="000000"/>
                <w:sz w:val="16"/>
                <w:szCs w:val="16"/>
                <w:lang w:val="en-US" w:eastAsia="ja-JP"/>
              </w:rPr>
            </w:pPr>
            <w:r w:rsidRPr="000F230B">
              <w:rPr>
                <w:rFonts w:ascii="Arial" w:eastAsia="MS Mincho" w:hAnsi="Arial" w:cs="Arial"/>
                <w:color w:val="000000"/>
                <w:sz w:val="16"/>
                <w:szCs w:val="16"/>
                <w:lang w:val="en-US" w:eastAsia="ja-JP"/>
              </w:rPr>
              <w:t>74.5</w:t>
            </w:r>
          </w:p>
        </w:tc>
      </w:tr>
      <w:tr w:rsidR="00F87BF1" w:rsidRPr="000F230B" w14:paraId="52E9C785" w14:textId="77777777" w:rsidTr="000D59D1">
        <w:trPr>
          <w:trHeight w:val="227"/>
        </w:trPr>
        <w:tc>
          <w:tcPr>
            <w:tcW w:w="3780" w:type="dxa"/>
            <w:tcBorders>
              <w:top w:val="nil"/>
              <w:bottom w:val="nil"/>
            </w:tcBorders>
            <w:shd w:val="clear" w:color="auto" w:fill="auto"/>
            <w:vAlign w:val="center"/>
          </w:tcPr>
          <w:p w14:paraId="58D9F901" w14:textId="77777777" w:rsidR="00F87BF1" w:rsidRPr="000F230B" w:rsidRDefault="00F87BF1" w:rsidP="000D59D1">
            <w:pPr>
              <w:spacing w:before="0" w:line="240" w:lineRule="auto"/>
              <w:rPr>
                <w:rFonts w:ascii="Arial" w:eastAsia="MS Mincho" w:hAnsi="Arial" w:cs="Arial"/>
                <w:color w:val="000000"/>
                <w:sz w:val="16"/>
                <w:szCs w:val="16"/>
                <w:lang w:val="en-US" w:eastAsia="ja-JP"/>
              </w:rPr>
            </w:pPr>
            <w:r w:rsidRPr="000F230B">
              <w:rPr>
                <w:rFonts w:ascii="Arial" w:eastAsia="MS Mincho" w:hAnsi="Arial" w:cs="Arial"/>
                <w:color w:val="000000"/>
                <w:sz w:val="16"/>
                <w:szCs w:val="16"/>
                <w:lang w:val="en-US" w:eastAsia="ja-JP"/>
              </w:rPr>
              <w:t>Accounting</w:t>
            </w:r>
          </w:p>
        </w:tc>
        <w:tc>
          <w:tcPr>
            <w:tcW w:w="1620" w:type="dxa"/>
            <w:tcBorders>
              <w:top w:val="nil"/>
              <w:bottom w:val="nil"/>
            </w:tcBorders>
            <w:shd w:val="clear" w:color="auto" w:fill="auto"/>
            <w:vAlign w:val="center"/>
          </w:tcPr>
          <w:p w14:paraId="3D326F6F" w14:textId="77777777" w:rsidR="00F87BF1" w:rsidRPr="000F230B" w:rsidRDefault="00F87BF1" w:rsidP="000D59D1">
            <w:pPr>
              <w:spacing w:before="0" w:line="240" w:lineRule="auto"/>
              <w:rPr>
                <w:rFonts w:ascii="Arial" w:eastAsia="MS Mincho" w:hAnsi="Arial" w:cs="Arial"/>
                <w:color w:val="000000"/>
                <w:sz w:val="16"/>
                <w:szCs w:val="16"/>
                <w:lang w:val="en-US" w:eastAsia="ja-JP"/>
              </w:rPr>
            </w:pPr>
            <w:r w:rsidRPr="000F230B">
              <w:rPr>
                <w:rFonts w:ascii="Arial" w:eastAsia="MS Mincho" w:hAnsi="Arial" w:cs="Arial"/>
                <w:color w:val="000000"/>
                <w:sz w:val="16"/>
                <w:szCs w:val="16"/>
                <w:lang w:val="en-US" w:eastAsia="ja-JP"/>
              </w:rPr>
              <w:t>79.9</w:t>
            </w:r>
          </w:p>
        </w:tc>
      </w:tr>
      <w:tr w:rsidR="00F87BF1" w:rsidRPr="000F230B" w14:paraId="05CD22D1" w14:textId="77777777" w:rsidTr="000D59D1">
        <w:trPr>
          <w:trHeight w:val="227"/>
        </w:trPr>
        <w:tc>
          <w:tcPr>
            <w:tcW w:w="3780" w:type="dxa"/>
            <w:tcBorders>
              <w:top w:val="nil"/>
            </w:tcBorders>
            <w:shd w:val="clear" w:color="auto" w:fill="auto"/>
            <w:vAlign w:val="center"/>
          </w:tcPr>
          <w:p w14:paraId="6D981D1E" w14:textId="77777777" w:rsidR="00F87BF1" w:rsidRPr="000F230B" w:rsidRDefault="00F87BF1" w:rsidP="000D59D1">
            <w:pPr>
              <w:spacing w:before="0" w:line="240" w:lineRule="auto"/>
              <w:rPr>
                <w:rFonts w:ascii="Arial" w:eastAsia="MS Mincho" w:hAnsi="Arial" w:cs="Arial"/>
                <w:color w:val="000000"/>
                <w:sz w:val="16"/>
                <w:szCs w:val="16"/>
                <w:lang w:val="en-US" w:eastAsia="ja-JP"/>
              </w:rPr>
            </w:pPr>
            <w:r w:rsidRPr="000F230B">
              <w:rPr>
                <w:rFonts w:ascii="Arial" w:eastAsia="MS Mincho" w:hAnsi="Arial" w:cs="Arial"/>
                <w:color w:val="000000"/>
                <w:sz w:val="16"/>
                <w:szCs w:val="16"/>
                <w:lang w:val="en-US" w:eastAsia="ja-JP"/>
              </w:rPr>
              <w:t>Economics</w:t>
            </w:r>
          </w:p>
        </w:tc>
        <w:tc>
          <w:tcPr>
            <w:tcW w:w="1620" w:type="dxa"/>
            <w:tcBorders>
              <w:top w:val="nil"/>
            </w:tcBorders>
            <w:shd w:val="clear" w:color="auto" w:fill="auto"/>
            <w:vAlign w:val="center"/>
          </w:tcPr>
          <w:p w14:paraId="7FA20600" w14:textId="77777777" w:rsidR="00F87BF1" w:rsidRPr="000F230B" w:rsidRDefault="00F87BF1" w:rsidP="000D59D1">
            <w:pPr>
              <w:spacing w:before="0" w:line="240" w:lineRule="auto"/>
              <w:rPr>
                <w:rFonts w:ascii="Arial" w:eastAsia="MS Mincho" w:hAnsi="Arial" w:cs="Arial"/>
                <w:color w:val="000000"/>
                <w:sz w:val="16"/>
                <w:szCs w:val="16"/>
                <w:lang w:val="en-US" w:eastAsia="ja-JP"/>
              </w:rPr>
            </w:pPr>
            <w:r w:rsidRPr="000F230B">
              <w:rPr>
                <w:rFonts w:ascii="Arial" w:eastAsia="MS Mincho" w:hAnsi="Arial" w:cs="Arial"/>
                <w:color w:val="000000"/>
                <w:sz w:val="16"/>
                <w:szCs w:val="16"/>
                <w:lang w:val="en-US" w:eastAsia="ja-JP"/>
              </w:rPr>
              <w:t>76.8</w:t>
            </w:r>
          </w:p>
        </w:tc>
      </w:tr>
      <w:tr w:rsidR="00F87BF1" w:rsidRPr="006511F1" w14:paraId="3D1A8DB0" w14:textId="77777777" w:rsidTr="000D59D1">
        <w:trPr>
          <w:trHeight w:val="129"/>
        </w:trPr>
        <w:tc>
          <w:tcPr>
            <w:tcW w:w="3780" w:type="dxa"/>
            <w:shd w:val="clear" w:color="auto" w:fill="auto"/>
            <w:vAlign w:val="center"/>
          </w:tcPr>
          <w:p w14:paraId="29BD664C" w14:textId="77777777" w:rsidR="00F87BF1" w:rsidRPr="00F54A58" w:rsidRDefault="00F87BF1" w:rsidP="000D59D1">
            <w:pPr>
              <w:rPr>
                <w:rFonts w:cs="Arial"/>
                <w:b/>
                <w:bCs/>
                <w:color w:val="000000"/>
                <w:sz w:val="16"/>
                <w:szCs w:val="16"/>
                <w:lang w:val="en-US"/>
              </w:rPr>
            </w:pPr>
            <w:r w:rsidRPr="00F54A58">
              <w:rPr>
                <w:rFonts w:cs="Arial"/>
                <w:b/>
                <w:bCs/>
                <w:color w:val="000000"/>
                <w:sz w:val="16"/>
                <w:szCs w:val="16"/>
                <w:lang w:val="en-US"/>
              </w:rPr>
              <w:t>All fields</w:t>
            </w:r>
          </w:p>
        </w:tc>
        <w:tc>
          <w:tcPr>
            <w:tcW w:w="1620" w:type="dxa"/>
            <w:shd w:val="clear" w:color="auto" w:fill="auto"/>
            <w:vAlign w:val="center"/>
          </w:tcPr>
          <w:p w14:paraId="620A3831" w14:textId="77777777" w:rsidR="00F87BF1" w:rsidRPr="00F54A58" w:rsidRDefault="00F87BF1" w:rsidP="009F00F0">
            <w:pPr>
              <w:rPr>
                <w:rFonts w:cs="Arial"/>
                <w:b/>
                <w:bCs/>
                <w:color w:val="000000"/>
                <w:spacing w:val="20"/>
                <w:sz w:val="16"/>
                <w:szCs w:val="16"/>
                <w:lang w:val="en-US"/>
              </w:rPr>
            </w:pPr>
            <w:r>
              <w:rPr>
                <w:rFonts w:cs="Arial"/>
                <w:b/>
                <w:bCs/>
                <w:color w:val="000000"/>
                <w:sz w:val="16"/>
                <w:szCs w:val="16"/>
                <w:lang w:val="en-US"/>
              </w:rPr>
              <w:t>76.1</w:t>
            </w:r>
          </w:p>
        </w:tc>
      </w:tr>
    </w:tbl>
    <w:p w14:paraId="3EBA6344" w14:textId="77777777" w:rsidR="00F87BF1" w:rsidRDefault="00F87BF1" w:rsidP="00F87BF1">
      <w:pPr>
        <w:pStyle w:val="Source"/>
      </w:pPr>
      <w:r>
        <w:t>Source:</w:t>
      </w:r>
      <w:r>
        <w:tab/>
      </w:r>
      <w:r w:rsidRPr="007A62EE">
        <w:t>Graduate Careers Australia (201</w:t>
      </w:r>
      <w:r>
        <w:t>2</w:t>
      </w:r>
      <w:r w:rsidRPr="007A62EE">
        <w:t>) Table 2: breakdown of bachelor degree graduates available for full-time employment, by field of education, 201</w:t>
      </w:r>
      <w:r>
        <w:t xml:space="preserve">2 </w:t>
      </w:r>
      <w:r w:rsidRPr="007A62EE">
        <w:t>(%)</w:t>
      </w:r>
    </w:p>
    <w:p w14:paraId="0F7F08BD" w14:textId="77777777" w:rsidR="00F87BF1" w:rsidRDefault="00F87BF1" w:rsidP="00F87BF1">
      <w:pPr>
        <w:pStyle w:val="Dotpoint1"/>
        <w:numPr>
          <w:ilvl w:val="0"/>
          <w:numId w:val="0"/>
        </w:numPr>
      </w:pPr>
      <w:r>
        <w:t>In 2012</w:t>
      </w:r>
      <w:r w:rsidRPr="00DA3B44">
        <w:t xml:space="preserve"> only 2</w:t>
      </w:r>
      <w:r w:rsidR="00153A94">
        <w:t>8.4</w:t>
      </w:r>
      <w:r w:rsidR="00970617">
        <w:t>%</w:t>
      </w:r>
      <w:r>
        <w:t xml:space="preserve"> </w:t>
      </w:r>
      <w:r w:rsidRPr="00DA3B44">
        <w:t xml:space="preserve">of </w:t>
      </w:r>
      <w:r>
        <w:t xml:space="preserve">banking and finance </w:t>
      </w:r>
      <w:r w:rsidRPr="00DA3B44">
        <w:t xml:space="preserve">graduates were employed in </w:t>
      </w:r>
      <w:r>
        <w:t>their field of training six months after graduation</w:t>
      </w:r>
      <w:r w:rsidR="00153A94">
        <w:t xml:space="preserve"> (Table </w:t>
      </w:r>
      <w:r w:rsidR="00970617" w:rsidRPr="006C6E63">
        <w:t>17</w:t>
      </w:r>
      <w:r w:rsidR="00153A94">
        <w:t>)</w:t>
      </w:r>
      <w:r w:rsidRPr="00DA3B44">
        <w:t xml:space="preserve">. This is very low, </w:t>
      </w:r>
      <w:r>
        <w:t>much</w:t>
      </w:r>
      <w:r w:rsidRPr="00DA3B44">
        <w:t xml:space="preserve"> lower than the </w:t>
      </w:r>
      <w:r w:rsidR="00153A94">
        <w:t>41.1</w:t>
      </w:r>
      <w:r w:rsidR="00970617">
        <w:t>%</w:t>
      </w:r>
      <w:r w:rsidRPr="00DA3B44">
        <w:t xml:space="preserve"> of graduates of all fields employed in their training field after graduation. An even lower </w:t>
      </w:r>
      <w:r w:rsidR="00153A94">
        <w:t>17.5</w:t>
      </w:r>
      <w:r w:rsidR="00970617">
        <w:t>%</w:t>
      </w:r>
      <w:r w:rsidRPr="00DA3B44">
        <w:t xml:space="preserve"> of graduates in the broad field of management and commerce were employed in that field after graduation</w:t>
      </w:r>
      <w:r w:rsidR="00153A94">
        <w:t>, while 22.7</w:t>
      </w:r>
      <w:r w:rsidR="00970617">
        <w:t>%</w:t>
      </w:r>
      <w:r w:rsidR="00153A94">
        <w:t xml:space="preserve"> of graduates from the narrow field of banking and finance were employed in the same occupation as their training</w:t>
      </w:r>
      <w:r w:rsidRPr="00DA3B44">
        <w:t>.</w:t>
      </w:r>
      <w:bookmarkStart w:id="93" w:name="_Toc247184286"/>
    </w:p>
    <w:p w14:paraId="177EF6C1" w14:textId="77777777" w:rsidR="009F00F0" w:rsidRDefault="009F00F0" w:rsidP="00F87BF1">
      <w:pPr>
        <w:pStyle w:val="Dotpoint1"/>
        <w:numPr>
          <w:ilvl w:val="0"/>
          <w:numId w:val="0"/>
        </w:numPr>
      </w:pPr>
    </w:p>
    <w:p w14:paraId="7CCD1783" w14:textId="77777777" w:rsidR="009F00F0" w:rsidRDefault="009F00F0" w:rsidP="00F87BF1">
      <w:pPr>
        <w:pStyle w:val="Dotpoint1"/>
        <w:numPr>
          <w:ilvl w:val="0"/>
          <w:numId w:val="0"/>
        </w:numPr>
      </w:pPr>
    </w:p>
    <w:p w14:paraId="630BEEC7" w14:textId="77777777" w:rsidR="009F00F0" w:rsidRDefault="009F00F0" w:rsidP="00F87BF1">
      <w:pPr>
        <w:pStyle w:val="Dotpoint1"/>
        <w:numPr>
          <w:ilvl w:val="0"/>
          <w:numId w:val="0"/>
        </w:numPr>
      </w:pPr>
    </w:p>
    <w:p w14:paraId="5BD4419A" w14:textId="77777777" w:rsidR="009F00F0" w:rsidRDefault="009F00F0" w:rsidP="00F87BF1">
      <w:pPr>
        <w:pStyle w:val="Dotpoint1"/>
        <w:numPr>
          <w:ilvl w:val="0"/>
          <w:numId w:val="0"/>
        </w:numPr>
      </w:pPr>
    </w:p>
    <w:p w14:paraId="78E58DB4" w14:textId="77777777" w:rsidR="009F00F0" w:rsidRDefault="009F00F0" w:rsidP="00F87BF1">
      <w:pPr>
        <w:pStyle w:val="Dotpoint1"/>
        <w:numPr>
          <w:ilvl w:val="0"/>
          <w:numId w:val="0"/>
        </w:numPr>
      </w:pPr>
    </w:p>
    <w:p w14:paraId="197A2DA6" w14:textId="77777777" w:rsidR="008F628D" w:rsidRPr="00837EEF" w:rsidRDefault="008F628D" w:rsidP="008F628D">
      <w:pPr>
        <w:pStyle w:val="tabletitle"/>
      </w:pPr>
      <w:bookmarkStart w:id="94" w:name="_Toc257836880"/>
      <w:bookmarkEnd w:id="93"/>
      <w:r>
        <w:lastRenderedPageBreak/>
        <w:t xml:space="preserve">Table </w:t>
      </w:r>
      <w:r w:rsidR="00970617">
        <w:t>17</w:t>
      </w:r>
      <w:r w:rsidRPr="00837EEF">
        <w:tab/>
      </w:r>
      <w:r w:rsidRPr="00771F89">
        <w:t>Percentage of those employed six months after training working in the same occupation as their training, by level of qualification and broad and selected</w:t>
      </w:r>
      <w:r>
        <w:t xml:space="preserve"> narrow field of education, 2012</w:t>
      </w:r>
      <w:bookmarkEnd w:id="94"/>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8F628D" w:rsidRPr="00354810" w14:paraId="1089444A" w14:textId="77777777" w:rsidTr="008F628D">
        <w:trPr>
          <w:trHeight w:val="255"/>
          <w:tblHeader/>
        </w:trPr>
        <w:tc>
          <w:tcPr>
            <w:tcW w:w="2876" w:type="dxa"/>
            <w:tcBorders>
              <w:top w:val="single" w:sz="4" w:space="0" w:color="auto"/>
              <w:bottom w:val="nil"/>
            </w:tcBorders>
            <w:shd w:val="clear" w:color="auto" w:fill="auto"/>
            <w:vAlign w:val="center"/>
          </w:tcPr>
          <w:p w14:paraId="7F360B7F" w14:textId="77777777" w:rsidR="008F628D" w:rsidRPr="00354810" w:rsidRDefault="008F628D" w:rsidP="008F628D">
            <w:pPr>
              <w:pStyle w:val="Tablehead1"/>
            </w:pPr>
            <w:r w:rsidRPr="00354810">
              <w:t>Field of education</w:t>
            </w:r>
          </w:p>
        </w:tc>
        <w:tc>
          <w:tcPr>
            <w:tcW w:w="860" w:type="dxa"/>
            <w:tcBorders>
              <w:top w:val="single" w:sz="4" w:space="0" w:color="auto"/>
              <w:bottom w:val="nil"/>
            </w:tcBorders>
            <w:vAlign w:val="center"/>
          </w:tcPr>
          <w:p w14:paraId="5764114E" w14:textId="77777777" w:rsidR="008F628D" w:rsidRPr="00354810" w:rsidRDefault="008F628D" w:rsidP="008F628D">
            <w:pPr>
              <w:pStyle w:val="Tablehead1"/>
              <w:jc w:val="right"/>
              <w:rPr>
                <w:bCs/>
              </w:rPr>
            </w:pPr>
            <w:r w:rsidRPr="00354810">
              <w:rPr>
                <w:bCs/>
              </w:rPr>
              <w:t>Cert I</w:t>
            </w:r>
          </w:p>
        </w:tc>
        <w:tc>
          <w:tcPr>
            <w:tcW w:w="861" w:type="dxa"/>
            <w:tcBorders>
              <w:top w:val="single" w:sz="4" w:space="0" w:color="auto"/>
              <w:bottom w:val="nil"/>
            </w:tcBorders>
            <w:vAlign w:val="center"/>
          </w:tcPr>
          <w:p w14:paraId="34F8B514" w14:textId="77777777" w:rsidR="008F628D" w:rsidRPr="00354810" w:rsidRDefault="008F628D" w:rsidP="008F628D">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44478EA4" w14:textId="77777777" w:rsidR="008F628D" w:rsidRPr="00354810" w:rsidRDefault="008F628D" w:rsidP="008F628D">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08380345" w14:textId="77777777" w:rsidR="008F628D" w:rsidRPr="00354810" w:rsidRDefault="008F628D" w:rsidP="008F628D">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67E231CD" w14:textId="77777777" w:rsidR="008F628D" w:rsidRPr="00354810" w:rsidRDefault="008F628D" w:rsidP="008F628D">
            <w:pPr>
              <w:pStyle w:val="Tablehead1"/>
              <w:jc w:val="right"/>
              <w:rPr>
                <w:bCs/>
              </w:rPr>
            </w:pPr>
            <w:r>
              <w:rPr>
                <w:bCs/>
              </w:rPr>
              <w:t>Dips and above</w:t>
            </w:r>
          </w:p>
        </w:tc>
        <w:tc>
          <w:tcPr>
            <w:tcW w:w="861" w:type="dxa"/>
            <w:tcBorders>
              <w:top w:val="single" w:sz="4" w:space="0" w:color="auto"/>
              <w:bottom w:val="nil"/>
            </w:tcBorders>
            <w:vAlign w:val="center"/>
          </w:tcPr>
          <w:p w14:paraId="6B9D671A" w14:textId="77777777" w:rsidR="008F628D" w:rsidRPr="00354810" w:rsidRDefault="008F628D" w:rsidP="008F628D">
            <w:pPr>
              <w:pStyle w:val="Tablehead1"/>
              <w:jc w:val="right"/>
              <w:rPr>
                <w:bCs/>
              </w:rPr>
            </w:pPr>
            <w:r w:rsidRPr="00354810">
              <w:rPr>
                <w:bCs/>
              </w:rPr>
              <w:t>All levels</w:t>
            </w:r>
          </w:p>
        </w:tc>
      </w:tr>
      <w:tr w:rsidR="008F628D" w:rsidRPr="00354810" w14:paraId="4DCCF03F" w14:textId="77777777" w:rsidTr="008F628D">
        <w:trPr>
          <w:trHeight w:val="255"/>
        </w:trPr>
        <w:tc>
          <w:tcPr>
            <w:tcW w:w="2876" w:type="dxa"/>
            <w:tcBorders>
              <w:top w:val="nil"/>
              <w:bottom w:val="nil"/>
            </w:tcBorders>
            <w:shd w:val="clear" w:color="auto" w:fill="auto"/>
            <w:vAlign w:val="center"/>
          </w:tcPr>
          <w:p w14:paraId="7D0D7776" w14:textId="77777777" w:rsidR="008F628D" w:rsidRPr="00354810" w:rsidRDefault="008F628D" w:rsidP="008F628D">
            <w:pPr>
              <w:pStyle w:val="Tabletext"/>
              <w:rPr>
                <w:b/>
                <w:bCs/>
              </w:rPr>
            </w:pPr>
            <w:r w:rsidRPr="00354810">
              <w:rPr>
                <w:b/>
                <w:bCs/>
              </w:rPr>
              <w:t>Management and commerce</w:t>
            </w:r>
          </w:p>
        </w:tc>
        <w:tc>
          <w:tcPr>
            <w:tcW w:w="860" w:type="dxa"/>
            <w:tcBorders>
              <w:top w:val="nil"/>
              <w:bottom w:val="nil"/>
            </w:tcBorders>
            <w:vAlign w:val="center"/>
          </w:tcPr>
          <w:p w14:paraId="08ACECFF" w14:textId="77777777" w:rsidR="008F628D" w:rsidRPr="00354810" w:rsidRDefault="008F628D" w:rsidP="008F628D">
            <w:pPr>
              <w:pStyle w:val="Tabletext"/>
              <w:jc w:val="right"/>
            </w:pPr>
            <w:r>
              <w:t>15.9*</w:t>
            </w:r>
          </w:p>
        </w:tc>
        <w:tc>
          <w:tcPr>
            <w:tcW w:w="861" w:type="dxa"/>
            <w:tcBorders>
              <w:top w:val="nil"/>
              <w:bottom w:val="nil"/>
            </w:tcBorders>
            <w:vAlign w:val="center"/>
          </w:tcPr>
          <w:p w14:paraId="6D0CA151" w14:textId="77777777" w:rsidR="008F628D" w:rsidRPr="00354810" w:rsidRDefault="008F628D" w:rsidP="008F628D">
            <w:pPr>
              <w:pStyle w:val="Tabletext"/>
              <w:tabs>
                <w:tab w:val="decimal" w:pos="0"/>
                <w:tab w:val="decimal" w:pos="645"/>
              </w:tabs>
              <w:jc w:val="right"/>
            </w:pPr>
            <w:r>
              <w:t>26.7</w:t>
            </w:r>
          </w:p>
        </w:tc>
        <w:tc>
          <w:tcPr>
            <w:tcW w:w="861" w:type="dxa"/>
            <w:tcBorders>
              <w:top w:val="nil"/>
              <w:bottom w:val="nil"/>
            </w:tcBorders>
            <w:shd w:val="clear" w:color="auto" w:fill="auto"/>
            <w:vAlign w:val="center"/>
          </w:tcPr>
          <w:p w14:paraId="1895807D" w14:textId="77777777" w:rsidR="008F628D" w:rsidRPr="00354810" w:rsidRDefault="008F628D" w:rsidP="008F628D">
            <w:pPr>
              <w:pStyle w:val="Tabletext"/>
              <w:jc w:val="right"/>
            </w:pPr>
            <w:r>
              <w:t>34.0</w:t>
            </w:r>
          </w:p>
        </w:tc>
        <w:tc>
          <w:tcPr>
            <w:tcW w:w="860" w:type="dxa"/>
            <w:tcBorders>
              <w:top w:val="nil"/>
              <w:bottom w:val="nil"/>
            </w:tcBorders>
            <w:shd w:val="clear" w:color="auto" w:fill="auto"/>
            <w:vAlign w:val="center"/>
          </w:tcPr>
          <w:p w14:paraId="3A6EE9CB" w14:textId="77777777" w:rsidR="008F628D" w:rsidRPr="00354810" w:rsidRDefault="008F628D" w:rsidP="008F628D">
            <w:pPr>
              <w:pStyle w:val="Tabletext"/>
              <w:jc w:val="right"/>
            </w:pPr>
            <w:r>
              <w:t>15.6</w:t>
            </w:r>
          </w:p>
        </w:tc>
        <w:tc>
          <w:tcPr>
            <w:tcW w:w="861" w:type="dxa"/>
            <w:tcBorders>
              <w:top w:val="nil"/>
              <w:bottom w:val="nil"/>
            </w:tcBorders>
            <w:shd w:val="pct12" w:color="auto" w:fill="auto"/>
            <w:vAlign w:val="center"/>
          </w:tcPr>
          <w:p w14:paraId="4C0BD4EE" w14:textId="77777777" w:rsidR="008F628D" w:rsidRPr="00354810" w:rsidRDefault="008F628D" w:rsidP="008F628D">
            <w:pPr>
              <w:pStyle w:val="Tabletext"/>
              <w:jc w:val="right"/>
            </w:pPr>
            <w:r>
              <w:t>17.5</w:t>
            </w:r>
          </w:p>
        </w:tc>
        <w:tc>
          <w:tcPr>
            <w:tcW w:w="861" w:type="dxa"/>
            <w:tcBorders>
              <w:top w:val="nil"/>
              <w:bottom w:val="nil"/>
            </w:tcBorders>
            <w:vAlign w:val="center"/>
          </w:tcPr>
          <w:p w14:paraId="7CF49389" w14:textId="77777777" w:rsidR="008F628D" w:rsidRPr="00354810" w:rsidRDefault="008F628D" w:rsidP="008F628D">
            <w:pPr>
              <w:pStyle w:val="Tabletext"/>
              <w:jc w:val="right"/>
              <w:rPr>
                <w:b/>
              </w:rPr>
            </w:pPr>
            <w:r>
              <w:rPr>
                <w:b/>
              </w:rPr>
              <w:t>23.5</w:t>
            </w:r>
          </w:p>
        </w:tc>
      </w:tr>
      <w:tr w:rsidR="008F628D" w:rsidRPr="00354810" w14:paraId="1F4B6996" w14:textId="77777777" w:rsidTr="008F628D">
        <w:trPr>
          <w:trHeight w:val="255"/>
        </w:trPr>
        <w:tc>
          <w:tcPr>
            <w:tcW w:w="2876" w:type="dxa"/>
            <w:tcBorders>
              <w:top w:val="nil"/>
              <w:bottom w:val="nil"/>
            </w:tcBorders>
            <w:shd w:val="clear" w:color="auto" w:fill="auto"/>
            <w:vAlign w:val="center"/>
          </w:tcPr>
          <w:p w14:paraId="4A2975EE" w14:textId="77777777" w:rsidR="008F628D" w:rsidRPr="00354810" w:rsidRDefault="008F628D" w:rsidP="008F628D">
            <w:pPr>
              <w:pStyle w:val="Tabletext"/>
              <w:ind w:left="567"/>
            </w:pPr>
            <w:r w:rsidRPr="00354810">
              <w:t>Banking and finance</w:t>
            </w:r>
          </w:p>
        </w:tc>
        <w:tc>
          <w:tcPr>
            <w:tcW w:w="860" w:type="dxa"/>
            <w:tcBorders>
              <w:top w:val="nil"/>
              <w:bottom w:val="nil"/>
            </w:tcBorders>
            <w:vAlign w:val="center"/>
          </w:tcPr>
          <w:p w14:paraId="339E0B85" w14:textId="77777777" w:rsidR="008F628D" w:rsidRPr="00354810" w:rsidRDefault="008F628D" w:rsidP="008F628D">
            <w:pPr>
              <w:pStyle w:val="Tabletext"/>
              <w:jc w:val="right"/>
            </w:pPr>
            <w:proofErr w:type="spellStart"/>
            <w:r>
              <w:t>na</w:t>
            </w:r>
            <w:proofErr w:type="spellEnd"/>
          </w:p>
        </w:tc>
        <w:tc>
          <w:tcPr>
            <w:tcW w:w="861" w:type="dxa"/>
            <w:tcBorders>
              <w:top w:val="nil"/>
              <w:bottom w:val="nil"/>
            </w:tcBorders>
            <w:vAlign w:val="center"/>
          </w:tcPr>
          <w:p w14:paraId="512CC1E9" w14:textId="77777777" w:rsidR="008F628D" w:rsidRPr="00354810" w:rsidRDefault="008F628D" w:rsidP="008F628D">
            <w:pPr>
              <w:pStyle w:val="Tabletext"/>
              <w:tabs>
                <w:tab w:val="decimal" w:pos="0"/>
                <w:tab w:val="decimal" w:pos="645"/>
              </w:tabs>
              <w:jc w:val="right"/>
            </w:pPr>
            <w:r>
              <w:t>np</w:t>
            </w:r>
          </w:p>
        </w:tc>
        <w:tc>
          <w:tcPr>
            <w:tcW w:w="861" w:type="dxa"/>
            <w:tcBorders>
              <w:top w:val="nil"/>
              <w:bottom w:val="nil"/>
            </w:tcBorders>
            <w:shd w:val="clear" w:color="auto" w:fill="auto"/>
            <w:vAlign w:val="center"/>
          </w:tcPr>
          <w:p w14:paraId="3D17E442" w14:textId="77777777" w:rsidR="008F628D" w:rsidRPr="00354810" w:rsidRDefault="008F628D" w:rsidP="008F628D">
            <w:pPr>
              <w:pStyle w:val="Tabletext"/>
              <w:jc w:val="right"/>
            </w:pPr>
            <w:r>
              <w:t>34.4</w:t>
            </w:r>
          </w:p>
        </w:tc>
        <w:tc>
          <w:tcPr>
            <w:tcW w:w="860" w:type="dxa"/>
            <w:tcBorders>
              <w:top w:val="nil"/>
              <w:bottom w:val="nil"/>
            </w:tcBorders>
            <w:shd w:val="clear" w:color="auto" w:fill="auto"/>
            <w:vAlign w:val="center"/>
          </w:tcPr>
          <w:p w14:paraId="589C7EEF" w14:textId="77777777" w:rsidR="008F628D" w:rsidRPr="00354810" w:rsidRDefault="008F628D" w:rsidP="008F628D">
            <w:pPr>
              <w:pStyle w:val="Tabletext"/>
              <w:jc w:val="right"/>
            </w:pPr>
            <w:r>
              <w:t>36.9</w:t>
            </w:r>
          </w:p>
        </w:tc>
        <w:tc>
          <w:tcPr>
            <w:tcW w:w="861" w:type="dxa"/>
            <w:tcBorders>
              <w:top w:val="nil"/>
              <w:bottom w:val="nil"/>
            </w:tcBorders>
            <w:shd w:val="pct12" w:color="auto" w:fill="auto"/>
            <w:vAlign w:val="center"/>
          </w:tcPr>
          <w:p w14:paraId="06BE7131" w14:textId="77777777" w:rsidR="008F628D" w:rsidRPr="00354810" w:rsidRDefault="008F628D" w:rsidP="008F628D">
            <w:pPr>
              <w:pStyle w:val="Tabletext"/>
              <w:jc w:val="right"/>
            </w:pPr>
            <w:r>
              <w:t>22.7</w:t>
            </w:r>
          </w:p>
        </w:tc>
        <w:tc>
          <w:tcPr>
            <w:tcW w:w="861" w:type="dxa"/>
            <w:tcBorders>
              <w:top w:val="nil"/>
              <w:bottom w:val="nil"/>
            </w:tcBorders>
            <w:vAlign w:val="center"/>
          </w:tcPr>
          <w:p w14:paraId="53091A86" w14:textId="77777777" w:rsidR="008F628D" w:rsidRPr="00354810" w:rsidRDefault="008F628D" w:rsidP="008F628D">
            <w:pPr>
              <w:pStyle w:val="Tabletext"/>
              <w:jc w:val="right"/>
              <w:rPr>
                <w:b/>
              </w:rPr>
            </w:pPr>
            <w:r>
              <w:rPr>
                <w:b/>
              </w:rPr>
              <w:t>28.4</w:t>
            </w:r>
          </w:p>
        </w:tc>
      </w:tr>
      <w:tr w:rsidR="008F628D" w:rsidRPr="00354810" w14:paraId="514EB77F" w14:textId="77777777" w:rsidTr="008F628D">
        <w:trPr>
          <w:trHeight w:val="255"/>
        </w:trPr>
        <w:tc>
          <w:tcPr>
            <w:tcW w:w="2876" w:type="dxa"/>
            <w:tcBorders>
              <w:top w:val="single" w:sz="4" w:space="0" w:color="auto"/>
              <w:bottom w:val="single" w:sz="4" w:space="0" w:color="auto"/>
            </w:tcBorders>
            <w:shd w:val="clear" w:color="auto" w:fill="auto"/>
            <w:vAlign w:val="center"/>
          </w:tcPr>
          <w:p w14:paraId="2B1E7057" w14:textId="77777777" w:rsidR="008F628D" w:rsidRPr="00354810" w:rsidRDefault="008F628D" w:rsidP="008F628D">
            <w:pPr>
              <w:pStyle w:val="Tabletext"/>
              <w:rPr>
                <w:b/>
              </w:rPr>
            </w:pPr>
            <w:r w:rsidRPr="00354810">
              <w:rPr>
                <w:b/>
              </w:rPr>
              <w:t>All fields</w:t>
            </w:r>
          </w:p>
        </w:tc>
        <w:tc>
          <w:tcPr>
            <w:tcW w:w="860" w:type="dxa"/>
            <w:tcBorders>
              <w:top w:val="single" w:sz="4" w:space="0" w:color="auto"/>
              <w:bottom w:val="single" w:sz="4" w:space="0" w:color="auto"/>
            </w:tcBorders>
            <w:vAlign w:val="center"/>
          </w:tcPr>
          <w:p w14:paraId="49C89312" w14:textId="77777777" w:rsidR="008F628D" w:rsidRPr="00354810" w:rsidRDefault="008F628D" w:rsidP="008F628D">
            <w:pPr>
              <w:pStyle w:val="Tabletext"/>
              <w:jc w:val="right"/>
              <w:rPr>
                <w:b/>
              </w:rPr>
            </w:pPr>
            <w:r>
              <w:rPr>
                <w:b/>
              </w:rPr>
              <w:t>24.0*</w:t>
            </w:r>
          </w:p>
        </w:tc>
        <w:tc>
          <w:tcPr>
            <w:tcW w:w="861" w:type="dxa"/>
            <w:tcBorders>
              <w:top w:val="single" w:sz="4" w:space="0" w:color="auto"/>
              <w:bottom w:val="single" w:sz="4" w:space="0" w:color="auto"/>
            </w:tcBorders>
            <w:vAlign w:val="center"/>
          </w:tcPr>
          <w:p w14:paraId="2EBEEEBC" w14:textId="77777777" w:rsidR="008F628D" w:rsidRPr="00354810" w:rsidRDefault="008F628D" w:rsidP="008F628D">
            <w:pPr>
              <w:pStyle w:val="Tabletext"/>
              <w:tabs>
                <w:tab w:val="decimal" w:pos="0"/>
                <w:tab w:val="decimal" w:pos="645"/>
              </w:tabs>
              <w:jc w:val="right"/>
              <w:rPr>
                <w:b/>
              </w:rPr>
            </w:pPr>
            <w:r>
              <w:rPr>
                <w:b/>
              </w:rPr>
              <w:t>22.3</w:t>
            </w:r>
          </w:p>
        </w:tc>
        <w:tc>
          <w:tcPr>
            <w:tcW w:w="861" w:type="dxa"/>
            <w:tcBorders>
              <w:top w:val="single" w:sz="4" w:space="0" w:color="auto"/>
              <w:bottom w:val="single" w:sz="4" w:space="0" w:color="auto"/>
            </w:tcBorders>
            <w:shd w:val="clear" w:color="auto" w:fill="auto"/>
            <w:vAlign w:val="center"/>
          </w:tcPr>
          <w:p w14:paraId="6DD969ED" w14:textId="77777777" w:rsidR="008F628D" w:rsidRPr="00354810" w:rsidRDefault="008F628D" w:rsidP="008F628D">
            <w:pPr>
              <w:pStyle w:val="Tabletext"/>
              <w:jc w:val="right"/>
              <w:rPr>
                <w:b/>
              </w:rPr>
            </w:pPr>
            <w:r>
              <w:rPr>
                <w:b/>
              </w:rPr>
              <w:t>60.0</w:t>
            </w:r>
          </w:p>
        </w:tc>
        <w:tc>
          <w:tcPr>
            <w:tcW w:w="860" w:type="dxa"/>
            <w:tcBorders>
              <w:top w:val="single" w:sz="4" w:space="0" w:color="auto"/>
              <w:bottom w:val="single" w:sz="4" w:space="0" w:color="auto"/>
            </w:tcBorders>
            <w:shd w:val="clear" w:color="auto" w:fill="auto"/>
            <w:vAlign w:val="center"/>
          </w:tcPr>
          <w:p w14:paraId="48C19BD0" w14:textId="77777777" w:rsidR="008F628D" w:rsidRPr="00354810" w:rsidRDefault="008F628D" w:rsidP="008F628D">
            <w:pPr>
              <w:pStyle w:val="Tabletext"/>
              <w:jc w:val="right"/>
              <w:rPr>
                <w:b/>
              </w:rPr>
            </w:pPr>
            <w:r>
              <w:rPr>
                <w:b/>
              </w:rPr>
              <w:t>26.2</w:t>
            </w:r>
          </w:p>
        </w:tc>
        <w:tc>
          <w:tcPr>
            <w:tcW w:w="861" w:type="dxa"/>
            <w:tcBorders>
              <w:top w:val="single" w:sz="4" w:space="0" w:color="auto"/>
              <w:bottom w:val="single" w:sz="4" w:space="0" w:color="auto"/>
            </w:tcBorders>
            <w:shd w:val="pct12" w:color="auto" w:fill="auto"/>
            <w:vAlign w:val="center"/>
          </w:tcPr>
          <w:p w14:paraId="468357FF" w14:textId="77777777" w:rsidR="008F628D" w:rsidRPr="00354810" w:rsidRDefault="008F628D" w:rsidP="008F628D">
            <w:pPr>
              <w:pStyle w:val="Tabletext"/>
              <w:jc w:val="right"/>
              <w:rPr>
                <w:b/>
              </w:rPr>
            </w:pPr>
            <w:r>
              <w:rPr>
                <w:b/>
              </w:rPr>
              <w:t>25.1</w:t>
            </w:r>
          </w:p>
        </w:tc>
        <w:tc>
          <w:tcPr>
            <w:tcW w:w="861" w:type="dxa"/>
            <w:tcBorders>
              <w:top w:val="single" w:sz="4" w:space="0" w:color="auto"/>
              <w:bottom w:val="single" w:sz="4" w:space="0" w:color="auto"/>
            </w:tcBorders>
            <w:vAlign w:val="center"/>
          </w:tcPr>
          <w:p w14:paraId="37D3BEE2" w14:textId="77777777" w:rsidR="008F628D" w:rsidRPr="00354810" w:rsidRDefault="008F628D" w:rsidP="008F628D">
            <w:pPr>
              <w:pStyle w:val="Tabletext"/>
              <w:jc w:val="right"/>
              <w:rPr>
                <w:b/>
              </w:rPr>
            </w:pPr>
            <w:r>
              <w:rPr>
                <w:b/>
              </w:rPr>
              <w:t>41.1</w:t>
            </w:r>
          </w:p>
        </w:tc>
      </w:tr>
    </w:tbl>
    <w:p w14:paraId="53E26358" w14:textId="77777777" w:rsidR="008F628D" w:rsidRDefault="008F628D" w:rsidP="008F628D">
      <w:pPr>
        <w:pStyle w:val="Source"/>
      </w:pPr>
      <w:r>
        <w:t>Source:</w:t>
      </w:r>
      <w:r>
        <w:tab/>
        <w:t>NCVER (2013).</w:t>
      </w:r>
    </w:p>
    <w:p w14:paraId="2F0A0980" w14:textId="77777777" w:rsidR="008F628D" w:rsidRDefault="008F628D" w:rsidP="008F628D">
      <w:pPr>
        <w:pStyle w:val="Source"/>
      </w:pPr>
      <w:r>
        <w:t>Notes:</w:t>
      </w:r>
      <w:r>
        <w:tab/>
      </w:r>
      <w:proofErr w:type="spellStart"/>
      <w:proofErr w:type="gramStart"/>
      <w:r>
        <w:t>na</w:t>
      </w:r>
      <w:proofErr w:type="spellEnd"/>
      <w:proofErr w:type="gramEnd"/>
      <w:r>
        <w:t xml:space="preserve"> </w:t>
      </w:r>
      <w:r w:rsidRPr="00147C93">
        <w:t>Not applicable</w:t>
      </w:r>
    </w:p>
    <w:p w14:paraId="2F1B47DF" w14:textId="77777777" w:rsidR="008F628D" w:rsidRDefault="008F628D" w:rsidP="008F628D">
      <w:pPr>
        <w:pStyle w:val="Source"/>
        <w:ind w:firstLine="0"/>
      </w:pPr>
      <w:r>
        <w:t xml:space="preserve">* The estimate has a relative standard error greater than, or equal to, 25% and therefore should be used with caution. </w:t>
      </w:r>
    </w:p>
    <w:p w14:paraId="44A0FDB8" w14:textId="77777777" w:rsidR="008F628D" w:rsidRDefault="008F628D" w:rsidP="008F628D">
      <w:pPr>
        <w:pStyle w:val="Source"/>
        <w:ind w:firstLine="0"/>
      </w:pPr>
      <w:proofErr w:type="gramStart"/>
      <w:r>
        <w:t>np</w:t>
      </w:r>
      <w:proofErr w:type="gramEnd"/>
      <w:r>
        <w:t xml:space="preserve"> Not published. NCVER does not report on estimates based on five or fewer respondents because the estimates are unreliable.</w:t>
      </w:r>
    </w:p>
    <w:p w14:paraId="6F324F29" w14:textId="662C5D14" w:rsidR="00F87BF1" w:rsidRDefault="00F87BF1" w:rsidP="00F87BF1">
      <w:pPr>
        <w:pStyle w:val="Text"/>
      </w:pPr>
      <w:r>
        <w:t>This suggests that notwithstanding the aim of vocational qualifications to prepare graduates for specific jobs, they actually prepare graduates for employment more generally – and that this is particularly true of qualifications in management and commerce. It is perhaps unsurprising that banking and finance, being a less general field, has slightly higher in-field employment rates</w:t>
      </w:r>
      <w:r w:rsidR="00153A94">
        <w:t xml:space="preserve">, but the links between </w:t>
      </w:r>
      <w:r w:rsidR="005234E8">
        <w:t xml:space="preserve">qualifications and jobs for </w:t>
      </w:r>
      <w:r w:rsidR="00572455">
        <w:t>mid-level</w:t>
      </w:r>
      <w:r w:rsidR="00153A94">
        <w:t xml:space="preserve"> qualifications in this field is still very loose</w:t>
      </w:r>
      <w:r>
        <w:t xml:space="preserve">. </w:t>
      </w:r>
    </w:p>
    <w:p w14:paraId="7813D77F" w14:textId="2D3B7BD3" w:rsidR="00F87BF1" w:rsidRDefault="00F87BF1" w:rsidP="00F87BF1">
      <w:pPr>
        <w:pStyle w:val="Text"/>
      </w:pPr>
      <w:r>
        <w:t>Data from the survey of Household, Income and Labour Dynamics in Australia reveal the occupational trajectories for those in fi</w:t>
      </w:r>
      <w:r w:rsidR="00E63F2A">
        <w:t>nancial services from 2001 to 2009</w:t>
      </w:r>
      <w:r>
        <w:t xml:space="preserve">. Those involved in financial services at some time over the period were mostly involved in the same broad occupational role for all or most of this period, rather than </w:t>
      </w:r>
      <w:r w:rsidR="002920AA">
        <w:t xml:space="preserve">moving </w:t>
      </w:r>
      <w:r>
        <w:t>between broad roles. This included the 22.8</w:t>
      </w:r>
      <w:r w:rsidR="002920AA">
        <w:t>%</w:t>
      </w:r>
      <w:r>
        <w:t xml:space="preserve"> of respondents who were clerical/administrative workers, 24.1</w:t>
      </w:r>
      <w:r w:rsidR="002920AA">
        <w:t>%</w:t>
      </w:r>
      <w:r>
        <w:t xml:space="preserve"> who were professionals, 14.6</w:t>
      </w:r>
      <w:r w:rsidR="00B6101A">
        <w:t>%</w:t>
      </w:r>
      <w:r>
        <w:t xml:space="preserve"> who </w:t>
      </w:r>
      <w:r w:rsidR="006C6E63">
        <w:t xml:space="preserve">were </w:t>
      </w:r>
      <w:r>
        <w:t>managers, and 30.5</w:t>
      </w:r>
      <w:r w:rsidR="00B6101A">
        <w:t>%</w:t>
      </w:r>
      <w:r>
        <w:t xml:space="preserve"> who wer</w:t>
      </w:r>
      <w:r w:rsidR="008B4F47">
        <w:t xml:space="preserve">e in high turnover low </w:t>
      </w:r>
      <w:r>
        <w:t xml:space="preserve">skill roles for all or nearly all of this period. The only group that </w:t>
      </w:r>
      <w:r w:rsidR="00B6101A">
        <w:t xml:space="preserve">moved somewhat </w:t>
      </w:r>
      <w:r>
        <w:t xml:space="preserve">between broad occupational categories </w:t>
      </w:r>
      <w:r w:rsidR="00B6101A">
        <w:t>was</w:t>
      </w:r>
      <w:r>
        <w:t xml:space="preserve"> the 8.1</w:t>
      </w:r>
      <w:r w:rsidR="00B6101A">
        <w:t>%</w:t>
      </w:r>
      <w:r>
        <w:t xml:space="preserve"> who had moved from higher education to professional or clerical roles. These clusters of occupational paths were highly gendered: 84</w:t>
      </w:r>
      <w:r w:rsidR="00B6101A">
        <w:t>%</w:t>
      </w:r>
      <w:r>
        <w:t xml:space="preserve"> of those static in clerical/administrative work were women, </w:t>
      </w:r>
      <w:r w:rsidR="008B4F47">
        <w:t xml:space="preserve">as were over two thirds of high turnover low </w:t>
      </w:r>
      <w:r>
        <w:t xml:space="preserve">skilled workers, and of the cluster defined by movement from higher education to professional and clerical roles. Conversely, over two thirds of those in stable professional and managerial roles were men. This suggests that women leave finance before establishing themselves in professional or managerial positions (Yu, </w:t>
      </w:r>
      <w:proofErr w:type="spellStart"/>
      <w:r>
        <w:t>Bretherton</w:t>
      </w:r>
      <w:proofErr w:type="spellEnd"/>
      <w:r>
        <w:t xml:space="preserve">, </w:t>
      </w:r>
      <w:proofErr w:type="spellStart"/>
      <w:r>
        <w:t>S</w:t>
      </w:r>
      <w:r w:rsidR="00153A94">
        <w:t>chutz</w:t>
      </w:r>
      <w:proofErr w:type="spellEnd"/>
      <w:r w:rsidR="00153A94">
        <w:t xml:space="preserve"> &amp; Buchanan 2012, p.30). </w:t>
      </w:r>
      <w:r>
        <w:t xml:space="preserve">A similar pattern is </w:t>
      </w:r>
      <w:r w:rsidR="00153A94">
        <w:t>observed in law</w:t>
      </w:r>
      <w:r>
        <w:t xml:space="preserve"> </w:t>
      </w:r>
      <w:r w:rsidR="00153A94">
        <w:t>(Law Council of Australia 2013</w:t>
      </w:r>
      <w:r>
        <w:t>)</w:t>
      </w:r>
      <w:r w:rsidR="00153A94">
        <w:t>.</w:t>
      </w:r>
      <w:r>
        <w:t xml:space="preserve"> </w:t>
      </w:r>
    </w:p>
    <w:p w14:paraId="2C3F09DD" w14:textId="5E34D4D1" w:rsidR="00F87BF1" w:rsidRDefault="00F87BF1" w:rsidP="00F87BF1">
      <w:pPr>
        <w:pStyle w:val="Text"/>
      </w:pPr>
      <w:r>
        <w:t xml:space="preserve">Financial services, then, is characterised by fluid occupational labour markets, with high general education entry requirements, typically a university degree. Critically, qualifications rarely align with job descriptions, and qualifications are typically used </w:t>
      </w:r>
      <w:r w:rsidR="008B4F47">
        <w:t>to screen entrants to the industry</w:t>
      </w:r>
      <w:r>
        <w:t xml:space="preserve">, with graduates from a wide range of disciplines being accepted and then trained on the job in specialised skills (Buchanan, Yu et al. 2010). </w:t>
      </w:r>
    </w:p>
    <w:p w14:paraId="096A3E54" w14:textId="77777777" w:rsidR="00F87BF1" w:rsidRDefault="00F87BF1" w:rsidP="00F87BF1">
      <w:pPr>
        <w:pStyle w:val="Heading2"/>
      </w:pPr>
      <w:bookmarkStart w:id="95" w:name="_Toc257836764"/>
      <w:r w:rsidRPr="00BA0E76">
        <w:t>Educational requirements and regulation under ASIC</w:t>
      </w:r>
      <w:bookmarkEnd w:id="95"/>
    </w:p>
    <w:p w14:paraId="4BE5C43A" w14:textId="77777777" w:rsidR="00F87BF1" w:rsidRDefault="00F87BF1" w:rsidP="00F87BF1">
      <w:pPr>
        <w:pStyle w:val="Text"/>
      </w:pPr>
      <w:r>
        <w:t xml:space="preserve">At present, education and training in the financial services sector, and particularly in financial advising, is tightly linked to the regulatory requirements of </w:t>
      </w:r>
      <w:r w:rsidR="009B1950">
        <w:t xml:space="preserve">the Australian Securities and Investments Commission (ASIC). </w:t>
      </w:r>
      <w:r>
        <w:t xml:space="preserve">The financial services industry is regulated under the </w:t>
      </w:r>
      <w:r w:rsidRPr="009F00F0">
        <w:rPr>
          <w:i/>
        </w:rPr>
        <w:t xml:space="preserve">Financial Services Reform Act 2001 </w:t>
      </w:r>
      <w:r>
        <w:t>(FSRA). Under the Act, people providing financial advice must comply with Regulatory Guide 146: Licensing: Training of financial product advisers. The areas of speciali</w:t>
      </w:r>
      <w:r w:rsidR="00B6101A">
        <w:t>s</w:t>
      </w:r>
      <w:r>
        <w:t xml:space="preserve">ation covered by RG 146 are: securities; derivatives; managed investments; superannuation; insurance—general, life and broking; deposit products and non-cash payment products; foreign exchange; first home saver accounts; margin lending facilities; and regulated emissions units. </w:t>
      </w:r>
    </w:p>
    <w:p w14:paraId="48A5C940" w14:textId="1D8CCA5D" w:rsidR="00F87BF1" w:rsidRDefault="00F87BF1" w:rsidP="00F87BF1">
      <w:pPr>
        <w:pStyle w:val="Text"/>
      </w:pPr>
      <w:r>
        <w:lastRenderedPageBreak/>
        <w:t xml:space="preserve">RG 146 has required that those offering financial advice have undertaken training at an equivalent of at least the Australian Qualification framework ‘Certificate III’ level for Tier 2 (financial product sellers) or AQF ‘Diploma’ level for Tier 1 (those providing independent financial advice) (ASIC 2012). Training is likely to be </w:t>
      </w:r>
      <w:r w:rsidR="00B6101A">
        <w:t>continu</w:t>
      </w:r>
      <w:r>
        <w:t>ing, for RG 146 requires that practitioners be trained in the particular areas in which they are providing advice, and that their knowledge be up to date. Until 2013 training has had to be completed via a course listed on the ASIC Training Register.</w:t>
      </w:r>
    </w:p>
    <w:p w14:paraId="1B267079" w14:textId="4E2C267D" w:rsidR="00F87BF1" w:rsidRDefault="00F87BF1" w:rsidP="00F87BF1">
      <w:pPr>
        <w:pStyle w:val="Text"/>
      </w:pPr>
      <w:r>
        <w:t>However, the level of education and training required has been updated to reflect the increasing complexity of the finan</w:t>
      </w:r>
      <w:r w:rsidR="009B1950">
        <w:t xml:space="preserve">cial services sector. The </w:t>
      </w:r>
      <w:r w:rsidR="009B1950" w:rsidRPr="009F00F0">
        <w:rPr>
          <w:i/>
        </w:rPr>
        <w:t>ASIC (</w:t>
      </w:r>
      <w:r w:rsidRPr="009F00F0">
        <w:rPr>
          <w:i/>
        </w:rPr>
        <w:t>Corporations Amendment (Future of Financial Advice) Act 2012</w:t>
      </w:r>
      <w:r>
        <w:t xml:space="preserve"> and </w:t>
      </w:r>
      <w:r w:rsidRPr="009F00F0">
        <w:rPr>
          <w:i/>
        </w:rPr>
        <w:t>Corporations Amendment (Further Future of Financial Advice Measures) Act 2012</w:t>
      </w:r>
      <w:r>
        <w:t xml:space="preserve"> will require higher levels of education for practice. From 2019 Tier 1 advisors will require a bachelor level qualification to practice (AQF </w:t>
      </w:r>
      <w:r w:rsidR="00F0563B">
        <w:t>Level 7) and Tier 2 advisors a d</w:t>
      </w:r>
      <w:r>
        <w:t>iploma. The generic and specific areas of knowledge required will also be substantially broadened. Previously, these areas of knowledge were broad and generic, but after 2019, the generic areas will include areas such as: ‘Concepts in behavioural economics’; ‘Risk profiling/risk tolerance’; ‘Life stages and their characteristics’; ‘Life events and their characteristics’, and ‘Ethics’ (ASIC 2013). These changes are in keeping with the feedback about the education of financial advisors that we received during our interviews, as explained below.</w:t>
      </w:r>
    </w:p>
    <w:p w14:paraId="2CB58BBA" w14:textId="77777777" w:rsidR="00F87BF1" w:rsidRDefault="00F87BF1" w:rsidP="00F87BF1">
      <w:pPr>
        <w:pStyle w:val="Heading2"/>
        <w:rPr>
          <w:lang w:val="en-US"/>
        </w:rPr>
      </w:pPr>
      <w:bookmarkStart w:id="96" w:name="_Toc257836765"/>
      <w:r>
        <w:rPr>
          <w:lang w:val="en-US"/>
        </w:rPr>
        <w:t>The hollowing out of mid-level qualifications in financial services</w:t>
      </w:r>
      <w:bookmarkEnd w:id="96"/>
    </w:p>
    <w:p w14:paraId="4BBE3A22" w14:textId="77777777" w:rsidR="00F87BF1" w:rsidRDefault="009B1950" w:rsidP="00F87BF1">
      <w:pPr>
        <w:pStyle w:val="Text"/>
      </w:pPr>
      <w:r>
        <w:t xml:space="preserve">Previously, </w:t>
      </w:r>
      <w:r w:rsidR="005513C2">
        <w:t xml:space="preserve">in drawing on the work of Cully (2003) </w:t>
      </w:r>
      <w:r>
        <w:t xml:space="preserve">our team </w:t>
      </w:r>
      <w:r w:rsidR="005513C2">
        <w:t xml:space="preserve">has </w:t>
      </w:r>
      <w:r>
        <w:t>noted</w:t>
      </w:r>
      <w:r w:rsidR="00F87BF1" w:rsidRPr="00EE57E5">
        <w:t xml:space="preserve"> that there has been a ‘hollowing out’ of the middle of the skill distribution, while those at the high and low end have increased </w:t>
      </w:r>
      <w:r w:rsidR="005513C2" w:rsidRPr="00EE57E5">
        <w:t>(</w:t>
      </w:r>
      <w:proofErr w:type="spellStart"/>
      <w:r w:rsidR="005513C2" w:rsidRPr="00EE57E5">
        <w:t>Wheelahan</w:t>
      </w:r>
      <w:proofErr w:type="spellEnd"/>
      <w:r w:rsidR="005513C2" w:rsidRPr="00EE57E5">
        <w:t xml:space="preserve">, </w:t>
      </w:r>
      <w:proofErr w:type="spellStart"/>
      <w:r w:rsidR="005513C2" w:rsidRPr="00EE57E5">
        <w:t>Moodie</w:t>
      </w:r>
      <w:proofErr w:type="spellEnd"/>
      <w:r w:rsidR="005513C2" w:rsidRPr="00EE57E5">
        <w:t xml:space="preserve"> &amp; Buchanan 2012, p.30)</w:t>
      </w:r>
      <w:r w:rsidR="00F87BF1" w:rsidRPr="00EE57E5">
        <w:t xml:space="preserve">. The team further noted that Curtain (2003, p.1) argues that there has not been sufficient policy attention on intermediate skills and the adequacy of skills formation for intermediate skills. </w:t>
      </w:r>
    </w:p>
    <w:p w14:paraId="5BC902D7" w14:textId="426C8E8E" w:rsidR="00B13B6A" w:rsidRDefault="00F87BF1" w:rsidP="00B13B6A">
      <w:pPr>
        <w:pStyle w:val="Text"/>
        <w:rPr>
          <w:lang w:val="en-US"/>
        </w:rPr>
      </w:pPr>
      <w:r>
        <w:t>The financial services sector has followed this broad trend. At the employment level the financial services are</w:t>
      </w:r>
      <w:r w:rsidRPr="009630D6">
        <w:t xml:space="preserve"> shift</w:t>
      </w:r>
      <w:r>
        <w:t>ing</w:t>
      </w:r>
      <w:r w:rsidRPr="009630D6">
        <w:t xml:space="preserve"> from</w:t>
      </w:r>
      <w:r>
        <w:t xml:space="preserve"> an industry to a profession, </w:t>
      </w:r>
      <w:r w:rsidRPr="009630D6">
        <w:t>crea</w:t>
      </w:r>
      <w:r w:rsidR="001556F5">
        <w:t xml:space="preserve">ting a widening gap between low </w:t>
      </w:r>
      <w:r w:rsidRPr="009630D6">
        <w:t>skill</w:t>
      </w:r>
      <w:r w:rsidR="001556F5">
        <w:t xml:space="preserve">ed and semi </w:t>
      </w:r>
      <w:r w:rsidRPr="009630D6">
        <w:t>administrative work s</w:t>
      </w:r>
      <w:r w:rsidR="001556F5">
        <w:t xml:space="preserve">uch as product selling and high </w:t>
      </w:r>
      <w:r w:rsidRPr="009630D6">
        <w:t>skill</w:t>
      </w:r>
      <w:r w:rsidR="001556F5">
        <w:t>ed</w:t>
      </w:r>
      <w:r w:rsidRPr="009630D6">
        <w:t xml:space="preserve"> professional work in advising, funds management, </w:t>
      </w:r>
      <w:r w:rsidR="005513C2" w:rsidRPr="009630D6">
        <w:t>etc.</w:t>
      </w:r>
      <w:r>
        <w:t xml:space="preserve">, as we note above in the discussion about regulation. </w:t>
      </w:r>
      <w:r w:rsidR="00B13B6A">
        <w:t xml:space="preserve">This is illustrated in Figure </w:t>
      </w:r>
      <w:r w:rsidR="00D601DD">
        <w:t>5</w:t>
      </w:r>
      <w:r w:rsidR="00B13B6A">
        <w:t xml:space="preserve"> which shows </w:t>
      </w:r>
      <w:r w:rsidR="001556F5">
        <w:t xml:space="preserve">the trend in enrolments in </w:t>
      </w:r>
      <w:r w:rsidR="00572455">
        <w:t>mid-level</w:t>
      </w:r>
      <w:r w:rsidR="00B13B6A">
        <w:t xml:space="preserve"> qua</w:t>
      </w:r>
      <w:r w:rsidR="001556F5">
        <w:t>lifications in banking, finance and related fields from 2002 to</w:t>
      </w:r>
      <w:r w:rsidR="00B13B6A">
        <w:t xml:space="preserve"> 2012. There has been a big increase i</w:t>
      </w:r>
      <w:r w:rsidR="001556F5">
        <w:t xml:space="preserve">n the number of equivalent full </w:t>
      </w:r>
      <w:r w:rsidR="00B13B6A">
        <w:t>time students in bachelor</w:t>
      </w:r>
      <w:r w:rsidR="001556F5">
        <w:t xml:space="preserve"> degrees in banking and finance</w:t>
      </w:r>
      <w:r w:rsidR="00B13B6A">
        <w:t>, although this seems to have levelled off in 2012. In contrast, while there was</w:t>
      </w:r>
      <w:r w:rsidR="001556F5">
        <w:t xml:space="preserve"> an increase in equivalent full </w:t>
      </w:r>
      <w:r w:rsidR="00B13B6A">
        <w:t>time students in VET diplomas until about 2010, their numbers have declined since then, whil</w:t>
      </w:r>
      <w:r w:rsidR="001556F5">
        <w:t xml:space="preserve">e the number of equivalent full </w:t>
      </w:r>
      <w:r w:rsidR="00B13B6A">
        <w:t>time students in advanced diplomas declined quite a lot. The move to degrees and away from diplomas signals th</w:t>
      </w:r>
      <w:r w:rsidR="001556F5">
        <w:t>e requirement for degrees for entry</w:t>
      </w:r>
      <w:r w:rsidR="00B13B6A">
        <w:t xml:space="preserve"> to the field. </w:t>
      </w:r>
      <w:r w:rsidR="00B13B6A">
        <w:rPr>
          <w:lang w:val="en-US"/>
        </w:rPr>
        <w:t>Participants in our consultations</w:t>
      </w:r>
      <w:r w:rsidR="00B53C59">
        <w:rPr>
          <w:lang w:val="en-US"/>
        </w:rPr>
        <w:t xml:space="preserve"> agreed that </w:t>
      </w:r>
      <w:r w:rsidR="00572455">
        <w:rPr>
          <w:lang w:val="en-US"/>
        </w:rPr>
        <w:t>mid-level</w:t>
      </w:r>
      <w:r w:rsidR="00B13B6A" w:rsidRPr="00DA3B44">
        <w:rPr>
          <w:lang w:val="en-US"/>
        </w:rPr>
        <w:t xml:space="preserve"> qualifications </w:t>
      </w:r>
      <w:r w:rsidR="00B13B6A">
        <w:rPr>
          <w:lang w:val="en-US"/>
        </w:rPr>
        <w:t xml:space="preserve">in financial services </w:t>
      </w:r>
      <w:r w:rsidR="00B13B6A" w:rsidRPr="00DA3B44">
        <w:rPr>
          <w:lang w:val="en-US"/>
        </w:rPr>
        <w:t>have few direct employment outcomes (client management and sales management were mentioned</w:t>
      </w:r>
      <w:r w:rsidR="00B13B6A">
        <w:rPr>
          <w:lang w:val="en-US"/>
        </w:rPr>
        <w:t xml:space="preserve"> as exceptions), and that t</w:t>
      </w:r>
      <w:r w:rsidR="00B13B6A" w:rsidRPr="00DA3B44">
        <w:rPr>
          <w:lang w:val="en-US"/>
        </w:rPr>
        <w:t xml:space="preserve">he hollowing out of occupational roles at the </w:t>
      </w:r>
      <w:r w:rsidR="00572455">
        <w:rPr>
          <w:lang w:val="en-US"/>
        </w:rPr>
        <w:t>mid-level</w:t>
      </w:r>
      <w:r w:rsidR="00B13B6A" w:rsidRPr="00DA3B44">
        <w:rPr>
          <w:lang w:val="en-US"/>
        </w:rPr>
        <w:t xml:space="preserve"> has </w:t>
      </w:r>
      <w:r w:rsidR="00B13B6A">
        <w:rPr>
          <w:lang w:val="en-US"/>
        </w:rPr>
        <w:t>led</w:t>
      </w:r>
      <w:r w:rsidR="00B53C59">
        <w:rPr>
          <w:lang w:val="en-US"/>
        </w:rPr>
        <w:t xml:space="preserve"> to </w:t>
      </w:r>
      <w:r w:rsidR="00572455">
        <w:rPr>
          <w:lang w:val="en-US"/>
        </w:rPr>
        <w:t>mid-level</w:t>
      </w:r>
      <w:r w:rsidR="00B13B6A" w:rsidRPr="00DA3B44">
        <w:rPr>
          <w:lang w:val="en-US"/>
        </w:rPr>
        <w:t xml:space="preserve"> qua</w:t>
      </w:r>
      <w:r w:rsidR="00B53C59">
        <w:rPr>
          <w:lang w:val="en-US"/>
        </w:rPr>
        <w:t>lifications becoming mainly</w:t>
      </w:r>
      <w:r w:rsidR="00B13B6A" w:rsidRPr="00DA3B44">
        <w:rPr>
          <w:lang w:val="en-US"/>
        </w:rPr>
        <w:t xml:space="preserve"> a means for transiti</w:t>
      </w:r>
      <w:r w:rsidR="006C6E63">
        <w:rPr>
          <w:lang w:val="en-US"/>
        </w:rPr>
        <w:t>o</w:t>
      </w:r>
      <w:r w:rsidR="00B13B6A" w:rsidRPr="00DA3B44">
        <w:rPr>
          <w:lang w:val="en-US"/>
        </w:rPr>
        <w:t>n</w:t>
      </w:r>
      <w:r w:rsidR="006C6E63">
        <w:rPr>
          <w:lang w:val="en-US"/>
        </w:rPr>
        <w:t>in</w:t>
      </w:r>
      <w:r w:rsidR="00B13B6A" w:rsidRPr="00DA3B44">
        <w:rPr>
          <w:lang w:val="en-US"/>
        </w:rPr>
        <w:t>g to higher qualifications</w:t>
      </w:r>
      <w:r w:rsidR="00B13B6A">
        <w:rPr>
          <w:lang w:val="en-US"/>
        </w:rPr>
        <w:t xml:space="preserve">. </w:t>
      </w:r>
    </w:p>
    <w:p w14:paraId="497EDFCD" w14:textId="77777777" w:rsidR="00B13B6A" w:rsidRDefault="00B13B6A" w:rsidP="00B13B6A">
      <w:pPr>
        <w:pStyle w:val="Text"/>
        <w:rPr>
          <w:lang w:val="en-US"/>
        </w:rPr>
      </w:pPr>
    </w:p>
    <w:p w14:paraId="235C9251" w14:textId="77777777" w:rsidR="00B13B6A" w:rsidRDefault="00B13B6A" w:rsidP="00B13B6A">
      <w:pPr>
        <w:pStyle w:val="Text"/>
        <w:rPr>
          <w:lang w:val="en-US"/>
        </w:rPr>
      </w:pPr>
    </w:p>
    <w:p w14:paraId="3165F4E9" w14:textId="77777777" w:rsidR="00B13B6A" w:rsidRDefault="00B13B6A" w:rsidP="00B13B6A">
      <w:pPr>
        <w:pStyle w:val="Text"/>
      </w:pPr>
    </w:p>
    <w:p w14:paraId="2F714D10" w14:textId="77777777" w:rsidR="00B13B6A" w:rsidRDefault="00B13B6A" w:rsidP="00B13B6A">
      <w:pPr>
        <w:pStyle w:val="Text"/>
      </w:pPr>
    </w:p>
    <w:p w14:paraId="28A61E0E" w14:textId="77777777" w:rsidR="00B13B6A" w:rsidRDefault="00B13B6A" w:rsidP="009932F1">
      <w:pPr>
        <w:pStyle w:val="Figuretitle"/>
        <w:rPr>
          <w:noProof/>
        </w:rPr>
      </w:pPr>
      <w:bookmarkStart w:id="97" w:name="_Toc257836793"/>
      <w:r>
        <w:rPr>
          <w:noProof/>
        </w:rPr>
        <w:lastRenderedPageBreak/>
        <w:t xml:space="preserve">Figure </w:t>
      </w:r>
      <w:r w:rsidR="00D601DD">
        <w:rPr>
          <w:noProof/>
        </w:rPr>
        <w:t>5</w:t>
      </w:r>
      <w:r>
        <w:rPr>
          <w:noProof/>
        </w:rPr>
        <w:tab/>
      </w:r>
      <w:r w:rsidR="009932F1">
        <w:rPr>
          <w:noProof/>
        </w:rPr>
        <w:t xml:space="preserve">Full-time equivalent load in AQF 5–7 programs in </w:t>
      </w:r>
      <w:r>
        <w:rPr>
          <w:noProof/>
        </w:rPr>
        <w:t>mid-level banking, finances and related fields programs, 2002–2012</w:t>
      </w:r>
      <w:bookmarkEnd w:id="97"/>
    </w:p>
    <w:p w14:paraId="07DBBE41" w14:textId="77777777" w:rsidR="00B13B6A" w:rsidRDefault="00B13B6A" w:rsidP="00B13B6A">
      <w:pPr>
        <w:pStyle w:val="Text"/>
        <w:spacing w:line="240" w:lineRule="auto"/>
        <w:ind w:right="0"/>
        <w:rPr>
          <w:noProof/>
          <w:lang w:val="en-US"/>
        </w:rPr>
      </w:pPr>
      <w:r>
        <w:rPr>
          <w:noProof/>
          <w:lang w:eastAsia="en-AU"/>
        </w:rPr>
        <w:drawing>
          <wp:inline distT="0" distB="0" distL="0" distR="0" wp14:anchorId="3F0D873B" wp14:editId="0509CA10">
            <wp:extent cx="5580380" cy="3350299"/>
            <wp:effectExtent l="0" t="0" r="7620" b="254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0380" cy="3350299"/>
                    </a:xfrm>
                    <a:prstGeom prst="rect">
                      <a:avLst/>
                    </a:prstGeom>
                    <a:noFill/>
                    <a:ln>
                      <a:noFill/>
                    </a:ln>
                  </pic:spPr>
                </pic:pic>
              </a:graphicData>
            </a:graphic>
          </wp:inline>
        </w:drawing>
      </w:r>
    </w:p>
    <w:p w14:paraId="141E7BD0" w14:textId="59A5B57A" w:rsidR="00B13B6A" w:rsidRDefault="00B13B6A" w:rsidP="00B13B6A">
      <w:pPr>
        <w:pStyle w:val="Source"/>
      </w:pPr>
      <w:r>
        <w:rPr>
          <w:noProof/>
          <w:lang w:val="en-US"/>
        </w:rPr>
        <w:t>S</w:t>
      </w:r>
      <w:proofErr w:type="spellStart"/>
      <w:r>
        <w:t>ource</w:t>
      </w:r>
      <w:proofErr w:type="spellEnd"/>
      <w:r>
        <w:tab/>
      </w:r>
      <w:r w:rsidRPr="00772E52">
        <w:t>VOCSTATS (</w:t>
      </w:r>
      <w:hyperlink r:id="rId32" w:history="1">
        <w:proofErr w:type="gramStart"/>
        <w:r w:rsidRPr="00E22016">
          <w:t>www.ncver.edu.au/resources/vocstats/intro.html</w:t>
        </w:r>
      </w:hyperlink>
      <w:r w:rsidRPr="00772E52">
        <w:t>)</w:t>
      </w:r>
      <w:r>
        <w:t xml:space="preserve"> extracted on 1/10/2013,</w:t>
      </w:r>
      <w:proofErr w:type="gramEnd"/>
      <w:r>
        <w:t xml:space="preserve"> and DIISRTE (2013</w:t>
      </w:r>
      <w:r w:rsidRPr="00893D5C">
        <w:t xml:space="preserve">) </w:t>
      </w:r>
      <w:r>
        <w:t>Table 4.4: A</w:t>
      </w:r>
      <w:r w:rsidRPr="00980B2E">
        <w:t xml:space="preserve">ctual student Load (EFTSL) for all </w:t>
      </w:r>
      <w:r>
        <w:t xml:space="preserve">domestic </w:t>
      </w:r>
      <w:r w:rsidRPr="00980B2E">
        <w:t>students by State, higher education provider and broad</w:t>
      </w:r>
      <w:r>
        <w:t xml:space="preserve"> level of course, full year 2012 and corresponding tables from previous years.</w:t>
      </w:r>
    </w:p>
    <w:p w14:paraId="708096E1" w14:textId="49325F47" w:rsidR="00F87BF1" w:rsidRPr="00EE57E5" w:rsidRDefault="00F87BF1" w:rsidP="00F87BF1">
      <w:pPr>
        <w:pStyle w:val="Text"/>
      </w:pPr>
      <w:r>
        <w:t xml:space="preserve">This is further exacerbated by employment practices. Our interviewees </w:t>
      </w:r>
      <w:r w:rsidR="00B53C59">
        <w:t>stated</w:t>
      </w:r>
      <w:r>
        <w:t xml:space="preserve"> that j</w:t>
      </w:r>
      <w:r w:rsidRPr="009630D6">
        <w:t xml:space="preserve">ob applicants often need a degree and membership of a professional association </w:t>
      </w:r>
      <w:r>
        <w:t xml:space="preserve">simply </w:t>
      </w:r>
      <w:r w:rsidRPr="009630D6">
        <w:t xml:space="preserve">to get an interview, even if the job </w:t>
      </w:r>
      <w:r>
        <w:t>is at the lower level and does not obviously require higher learning. In this sense, d</w:t>
      </w:r>
      <w:r w:rsidRPr="009630D6">
        <w:t xml:space="preserve">egrees are </w:t>
      </w:r>
      <w:r w:rsidR="00D601DD">
        <w:t>‘</w:t>
      </w:r>
      <w:r w:rsidRPr="009630D6">
        <w:t>a filter of capability</w:t>
      </w:r>
      <w:r w:rsidR="00D601DD">
        <w:t>’</w:t>
      </w:r>
      <w:r w:rsidRPr="009630D6">
        <w:t>.</w:t>
      </w:r>
      <w:r>
        <w:t xml:space="preserve"> Once employed, p</w:t>
      </w:r>
      <w:r w:rsidRPr="009630D6">
        <w:t>eople are often trained on site for lower level roles (</w:t>
      </w:r>
      <w:r>
        <w:t xml:space="preserve">for example preparation of </w:t>
      </w:r>
      <w:r w:rsidR="00D601DD">
        <w:t>business activity</w:t>
      </w:r>
      <w:r w:rsidRPr="009630D6">
        <w:t xml:space="preserve"> statements, </w:t>
      </w:r>
      <w:r>
        <w:t xml:space="preserve">or </w:t>
      </w:r>
      <w:r w:rsidRPr="009630D6">
        <w:t xml:space="preserve">data entry). Our interviewees </w:t>
      </w:r>
      <w:r>
        <w:t xml:space="preserve">also </w:t>
      </w:r>
      <w:r w:rsidR="00267C86">
        <w:t>stated</w:t>
      </w:r>
      <w:r w:rsidRPr="009630D6">
        <w:t xml:space="preserve"> that many </w:t>
      </w:r>
      <w:r>
        <w:t xml:space="preserve">such </w:t>
      </w:r>
      <w:r w:rsidR="00572455">
        <w:t>mid-level</w:t>
      </w:r>
      <w:r w:rsidRPr="009630D6">
        <w:t xml:space="preserve"> jobs </w:t>
      </w:r>
      <w:r>
        <w:t>are being replaced by technology</w:t>
      </w:r>
      <w:r w:rsidR="00267C86">
        <w:t xml:space="preserve">. Other low and </w:t>
      </w:r>
      <w:r w:rsidR="00572455">
        <w:t>mid-level</w:t>
      </w:r>
      <w:r w:rsidRPr="009630D6">
        <w:t xml:space="preserve"> jobs are going overseas, particularly to India</w:t>
      </w:r>
      <w:r>
        <w:t xml:space="preserve"> where they can be completed overnight and returned electronically. All these features of the sector contribute to </w:t>
      </w:r>
      <w:r w:rsidR="00267C86">
        <w:t>a hollowing out of the middle</w:t>
      </w:r>
      <w:r>
        <w:t>.</w:t>
      </w:r>
    </w:p>
    <w:p w14:paraId="1029180C" w14:textId="7AFEE098" w:rsidR="00F87BF1" w:rsidRDefault="00267C86" w:rsidP="00F87BF1">
      <w:pPr>
        <w:pStyle w:val="Heading2"/>
        <w:rPr>
          <w:lang w:val="en-US"/>
        </w:rPr>
      </w:pPr>
      <w:bookmarkStart w:id="98" w:name="_Toc257836766"/>
      <w:r>
        <w:rPr>
          <w:lang w:val="en-US"/>
        </w:rPr>
        <w:t xml:space="preserve">The purpose of </w:t>
      </w:r>
      <w:r w:rsidR="00572455">
        <w:rPr>
          <w:lang w:val="en-US"/>
        </w:rPr>
        <w:t>mid-level</w:t>
      </w:r>
      <w:r w:rsidR="00F87BF1" w:rsidRPr="00C70B17">
        <w:rPr>
          <w:lang w:val="en-US"/>
        </w:rPr>
        <w:t xml:space="preserve"> qualifications in the financial services sector</w:t>
      </w:r>
      <w:bookmarkEnd w:id="98"/>
    </w:p>
    <w:p w14:paraId="138C43D4" w14:textId="787BDCAB" w:rsidR="00F87BF1" w:rsidRDefault="00F87BF1" w:rsidP="00F87BF1">
      <w:pPr>
        <w:pStyle w:val="Text"/>
        <w:rPr>
          <w:lang w:val="en-US"/>
        </w:rPr>
      </w:pPr>
      <w:r>
        <w:rPr>
          <w:lang w:val="en-US"/>
        </w:rPr>
        <w:t>As outlined in the introd</w:t>
      </w:r>
      <w:r w:rsidR="00267C86">
        <w:rPr>
          <w:lang w:val="en-US"/>
        </w:rPr>
        <w:t xml:space="preserve">uction to the case studies, </w:t>
      </w:r>
      <w:r w:rsidR="00572455">
        <w:rPr>
          <w:lang w:val="en-US"/>
        </w:rPr>
        <w:t>mid-level</w:t>
      </w:r>
      <w:r>
        <w:rPr>
          <w:lang w:val="en-US"/>
        </w:rPr>
        <w:t xml:space="preserve"> qualifications serve three purposes:</w:t>
      </w:r>
      <w:r w:rsidRPr="00DA3B44">
        <w:rPr>
          <w:lang w:val="en-US"/>
        </w:rPr>
        <w:t xml:space="preserve"> entry to or progression in the </w:t>
      </w:r>
      <w:proofErr w:type="spellStart"/>
      <w:r w:rsidRPr="00DA3B44">
        <w:rPr>
          <w:lang w:val="en-US"/>
        </w:rPr>
        <w:t>labour</w:t>
      </w:r>
      <w:proofErr w:type="spellEnd"/>
      <w:r w:rsidRPr="00DA3B44">
        <w:rPr>
          <w:lang w:val="en-US"/>
        </w:rPr>
        <w:t xml:space="preserve"> market</w:t>
      </w:r>
      <w:r w:rsidR="00D601DD">
        <w:rPr>
          <w:lang w:val="en-US"/>
        </w:rPr>
        <w:t>,</w:t>
      </w:r>
      <w:r w:rsidRPr="00DA3B44">
        <w:rPr>
          <w:lang w:val="en-US"/>
        </w:rPr>
        <w:t xml:space="preserve"> transition to higher level studies</w:t>
      </w:r>
      <w:r>
        <w:rPr>
          <w:lang w:val="en-US"/>
        </w:rPr>
        <w:t>, and</w:t>
      </w:r>
      <w:r w:rsidRPr="00DA3B44">
        <w:rPr>
          <w:lang w:val="en-US"/>
        </w:rPr>
        <w:t xml:space="preserve"> access to higher level studies for students from disadvantaged backgrounds</w:t>
      </w:r>
      <w:r>
        <w:rPr>
          <w:lang w:val="en-US"/>
        </w:rPr>
        <w:t xml:space="preserve">. However, the way these purposes are balanced will be </w:t>
      </w:r>
      <w:r w:rsidR="00D601DD">
        <w:rPr>
          <w:lang w:val="en-US"/>
        </w:rPr>
        <w:t>different for</w:t>
      </w:r>
      <w:r>
        <w:rPr>
          <w:lang w:val="en-US"/>
        </w:rPr>
        <w:t xml:space="preserve"> particular qualifications. Our interviews with </w:t>
      </w:r>
      <w:r w:rsidR="00D601DD">
        <w:rPr>
          <w:lang w:val="en-US"/>
        </w:rPr>
        <w:t xml:space="preserve">interest groups </w:t>
      </w:r>
      <w:r>
        <w:rPr>
          <w:lang w:val="en-US"/>
        </w:rPr>
        <w:t>in the financial services sector indicated that b</w:t>
      </w:r>
      <w:r w:rsidRPr="00DA3B44">
        <w:rPr>
          <w:lang w:val="en-US"/>
        </w:rPr>
        <w:t xml:space="preserve">oth lower level and higher level qualifications in </w:t>
      </w:r>
      <w:r>
        <w:rPr>
          <w:lang w:val="en-US"/>
        </w:rPr>
        <w:t>the sector</w:t>
      </w:r>
      <w:r w:rsidRPr="00DA3B44">
        <w:rPr>
          <w:lang w:val="en-US"/>
        </w:rPr>
        <w:t xml:space="preserve"> are primarily used to facilit</w:t>
      </w:r>
      <w:r>
        <w:rPr>
          <w:lang w:val="en-US"/>
        </w:rPr>
        <w:t>ate entry to the job market: a</w:t>
      </w:r>
      <w:r w:rsidRPr="00DA3B44">
        <w:rPr>
          <w:lang w:val="en-US"/>
        </w:rPr>
        <w:t>t the certificate level, to meet the regulatory requirements for produ</w:t>
      </w:r>
      <w:r>
        <w:rPr>
          <w:lang w:val="en-US"/>
        </w:rPr>
        <w:t>ct sellers and product advisors;</w:t>
      </w:r>
      <w:r w:rsidRPr="00DA3B44">
        <w:rPr>
          <w:lang w:val="en-US"/>
        </w:rPr>
        <w:t xml:space="preserve"> at the higher </w:t>
      </w:r>
      <w:r>
        <w:rPr>
          <w:lang w:val="en-US"/>
        </w:rPr>
        <w:t>level (bachelor and above)</w:t>
      </w:r>
      <w:r w:rsidRPr="00DA3B44">
        <w:rPr>
          <w:lang w:val="en-US"/>
        </w:rPr>
        <w:t xml:space="preserve"> for entry to professional practice.</w:t>
      </w:r>
      <w:r w:rsidR="00BC77E2">
        <w:rPr>
          <w:lang w:val="en-US"/>
        </w:rPr>
        <w:t xml:space="preserve"> As we note above, </w:t>
      </w:r>
      <w:r w:rsidR="00572455">
        <w:rPr>
          <w:lang w:val="en-US"/>
        </w:rPr>
        <w:t>mid-level</w:t>
      </w:r>
      <w:r>
        <w:rPr>
          <w:lang w:val="en-US"/>
        </w:rPr>
        <w:t xml:space="preserve"> qualifications are rarely used for direct entry into the </w:t>
      </w:r>
      <w:proofErr w:type="spellStart"/>
      <w:r>
        <w:rPr>
          <w:lang w:val="en-US"/>
        </w:rPr>
        <w:t>labour</w:t>
      </w:r>
      <w:proofErr w:type="spellEnd"/>
      <w:r>
        <w:rPr>
          <w:lang w:val="en-US"/>
        </w:rPr>
        <w:t xml:space="preserve"> market.</w:t>
      </w:r>
    </w:p>
    <w:p w14:paraId="0712C9BA" w14:textId="0074D477" w:rsidR="00F87BF1" w:rsidRDefault="00F87BF1" w:rsidP="00F87BF1">
      <w:pPr>
        <w:pStyle w:val="Text"/>
        <w:rPr>
          <w:lang w:val="en-US"/>
        </w:rPr>
      </w:pPr>
      <w:r>
        <w:rPr>
          <w:lang w:val="en-US"/>
        </w:rPr>
        <w:t xml:space="preserve">Our interviewees </w:t>
      </w:r>
      <w:r w:rsidR="00BC77E2">
        <w:rPr>
          <w:lang w:val="en-US"/>
        </w:rPr>
        <w:t xml:space="preserve">stated that </w:t>
      </w:r>
      <w:r w:rsidR="00572455">
        <w:rPr>
          <w:lang w:val="en-US"/>
        </w:rPr>
        <w:t>mid-level</w:t>
      </w:r>
      <w:r>
        <w:rPr>
          <w:lang w:val="en-US"/>
        </w:rPr>
        <w:t xml:space="preserve"> qualifications in financial services </w:t>
      </w:r>
      <w:r w:rsidRPr="00DA3B44">
        <w:rPr>
          <w:lang w:val="en-US"/>
        </w:rPr>
        <w:t xml:space="preserve">are </w:t>
      </w:r>
      <w:r>
        <w:rPr>
          <w:lang w:val="en-US"/>
        </w:rPr>
        <w:t xml:space="preserve">primarily </w:t>
      </w:r>
      <w:r w:rsidRPr="00DA3B44">
        <w:rPr>
          <w:lang w:val="en-US"/>
        </w:rPr>
        <w:t xml:space="preserve">used by those wishing to change career direction within the broader commercial sector and </w:t>
      </w:r>
      <w:r w:rsidR="00D601DD">
        <w:rPr>
          <w:lang w:val="en-US"/>
        </w:rPr>
        <w:t>by</w:t>
      </w:r>
      <w:r w:rsidR="00D601DD" w:rsidRPr="00DA3B44">
        <w:rPr>
          <w:lang w:val="en-US"/>
        </w:rPr>
        <w:t xml:space="preserve"> </w:t>
      </w:r>
      <w:r w:rsidRPr="00DA3B44">
        <w:rPr>
          <w:lang w:val="en-US"/>
        </w:rPr>
        <w:t>wo</w:t>
      </w:r>
      <w:r w:rsidR="00BC77E2">
        <w:rPr>
          <w:lang w:val="en-US"/>
        </w:rPr>
        <w:t xml:space="preserve">rkers who need to upgrade lower </w:t>
      </w:r>
      <w:r w:rsidRPr="00DA3B44">
        <w:rPr>
          <w:lang w:val="en-US"/>
        </w:rPr>
        <w:t xml:space="preserve">level qualifications they were awarded when the industry was less </w:t>
      </w:r>
      <w:proofErr w:type="spellStart"/>
      <w:r>
        <w:rPr>
          <w:lang w:val="en-US"/>
        </w:rPr>
        <w:t>credentialled</w:t>
      </w:r>
      <w:proofErr w:type="spellEnd"/>
      <w:r w:rsidRPr="00DA3B44">
        <w:rPr>
          <w:lang w:val="en-US"/>
        </w:rPr>
        <w:t>.</w:t>
      </w:r>
      <w:r>
        <w:rPr>
          <w:lang w:val="en-US"/>
        </w:rPr>
        <w:t xml:space="preserve"> In this sense, the </w:t>
      </w:r>
      <w:r w:rsidR="00BC77E2">
        <w:rPr>
          <w:lang w:val="en-US"/>
        </w:rPr>
        <w:t xml:space="preserve">qualifications logic at the </w:t>
      </w:r>
      <w:r w:rsidR="00572455">
        <w:rPr>
          <w:lang w:val="en-US"/>
        </w:rPr>
        <w:t>mid-level</w:t>
      </w:r>
      <w:r w:rsidR="00BC77E2">
        <w:rPr>
          <w:lang w:val="en-US"/>
        </w:rPr>
        <w:t xml:space="preserve"> is somewhat disjointed. </w:t>
      </w:r>
      <w:r w:rsidR="00572455">
        <w:rPr>
          <w:lang w:val="en-US"/>
        </w:rPr>
        <w:t>Mid-level</w:t>
      </w:r>
      <w:r>
        <w:rPr>
          <w:lang w:val="en-US"/>
        </w:rPr>
        <w:t xml:space="preserve"> qualifications provide a transition either between </w:t>
      </w:r>
      <w:proofErr w:type="spellStart"/>
      <w:r>
        <w:rPr>
          <w:lang w:val="en-US"/>
        </w:rPr>
        <w:t>specialisations</w:t>
      </w:r>
      <w:proofErr w:type="spellEnd"/>
      <w:r>
        <w:rPr>
          <w:lang w:val="en-US"/>
        </w:rPr>
        <w:t xml:space="preserve"> or between levels of accountability. </w:t>
      </w:r>
    </w:p>
    <w:p w14:paraId="76D19066" w14:textId="77777777" w:rsidR="0035165C" w:rsidRDefault="0035165C" w:rsidP="0035165C">
      <w:pPr>
        <w:pStyle w:val="Heading3"/>
      </w:pPr>
      <w:r>
        <w:lastRenderedPageBreak/>
        <w:t>Widening participation in qualifications</w:t>
      </w:r>
    </w:p>
    <w:p w14:paraId="609DA339" w14:textId="436647AE" w:rsidR="0035165C" w:rsidRDefault="0035165C" w:rsidP="0035165C">
      <w:pPr>
        <w:pStyle w:val="Text"/>
      </w:pPr>
      <w:r>
        <w:t>This section e</w:t>
      </w:r>
      <w:r w:rsidR="00BC77E2">
        <w:t xml:space="preserve">xamines the extent to which </w:t>
      </w:r>
      <w:r w:rsidR="00572455">
        <w:t>mid-level</w:t>
      </w:r>
      <w:r>
        <w:t xml:space="preserve"> qualifications in VE</w:t>
      </w:r>
      <w:r w:rsidR="00BC77E2">
        <w:t xml:space="preserve">T widen participation in higher </w:t>
      </w:r>
      <w:r>
        <w:t>level qualifications for students from disadvantaged backgrounds, thus supporting equity and social mobility. Table</w:t>
      </w:r>
      <w:r w:rsidRPr="006C6E63">
        <w:t xml:space="preserve"> </w:t>
      </w:r>
      <w:r w:rsidR="00D601DD" w:rsidRPr="006C6E63">
        <w:t>18</w:t>
      </w:r>
      <w:r>
        <w:t xml:space="preserve"> shows the percentage of s</w:t>
      </w:r>
      <w:r w:rsidR="00BC77E2">
        <w:t xml:space="preserve">tudents in the two lowest socio </w:t>
      </w:r>
      <w:r>
        <w:t>economic quintiles, or stud</w:t>
      </w:r>
      <w:r w:rsidR="00BC77E2">
        <w:t xml:space="preserve">ents in the bottom 40% of socio </w:t>
      </w:r>
      <w:r>
        <w:t>economic backgrounds</w:t>
      </w:r>
      <w:r w:rsidR="004D6777">
        <w:t>, in the broad field of m</w:t>
      </w:r>
      <w:r>
        <w:t>anagement and commerce and in the narrow field of education of banki</w:t>
      </w:r>
      <w:r w:rsidR="00BC77E2">
        <w:t>ng and finance</w:t>
      </w:r>
      <w:r>
        <w:t>. If stu</w:t>
      </w:r>
      <w:r w:rsidR="00BC77E2">
        <w:t xml:space="preserve">dents from the two lowest socio </w:t>
      </w:r>
      <w:r>
        <w:t>economic quintiles (the bottom 40</w:t>
      </w:r>
      <w:r w:rsidR="007014DE">
        <w:t>%</w:t>
      </w:r>
      <w:r>
        <w:t xml:space="preserve">) were represented in VET qualifications in proportion to </w:t>
      </w:r>
      <w:r w:rsidR="00BC77E2">
        <w:t>their numbers in the population</w:t>
      </w:r>
      <w:r>
        <w:t xml:space="preserve"> then they should be 40</w:t>
      </w:r>
      <w:r w:rsidR="007014DE">
        <w:t>%</w:t>
      </w:r>
      <w:r>
        <w:t xml:space="preserve"> of students in these qualifications. </w:t>
      </w:r>
    </w:p>
    <w:p w14:paraId="1A8B9973" w14:textId="452FE5A2" w:rsidR="0035165C" w:rsidRDefault="0035165C" w:rsidP="00F87BF1">
      <w:pPr>
        <w:pStyle w:val="Text"/>
        <w:rPr>
          <w:lang w:val="en-US"/>
        </w:rPr>
      </w:pPr>
      <w:r>
        <w:t>The table shows that students from the most disa</w:t>
      </w:r>
      <w:r w:rsidR="00BC77E2">
        <w:t xml:space="preserve">dvantaged backgrounds are </w:t>
      </w:r>
      <w:proofErr w:type="spellStart"/>
      <w:r w:rsidR="00BC77E2">
        <w:t xml:space="preserve">under </w:t>
      </w:r>
      <w:r>
        <w:t>represented</w:t>
      </w:r>
      <w:proofErr w:type="spellEnd"/>
      <w:r w:rsidR="00BC77E2">
        <w:t xml:space="preserve"> in</w:t>
      </w:r>
      <w:r>
        <w:t xml:space="preserve"> diplomas and above in management and commerce and part</w:t>
      </w:r>
      <w:r w:rsidR="00BC77E2">
        <w:t xml:space="preserve">icularly in banking and finance. They are also under </w:t>
      </w:r>
      <w:r>
        <w:t>represented in certificates IV in banking and finance, and in the banking and finance field of education</w:t>
      </w:r>
      <w:r w:rsidR="0080716B">
        <w:t xml:space="preserve"> as a whole. About 40</w:t>
      </w:r>
      <w:r w:rsidR="007014DE">
        <w:t>%</w:t>
      </w:r>
      <w:r w:rsidR="0080716B">
        <w:t xml:space="preserve"> of students in certificates III in banking and finance</w:t>
      </w:r>
      <w:r w:rsidR="00BC77E2">
        <w:t xml:space="preserve"> come from the two bottom socio </w:t>
      </w:r>
      <w:r w:rsidR="0080716B">
        <w:t xml:space="preserve">economic </w:t>
      </w:r>
      <w:proofErr w:type="gramStart"/>
      <w:r w:rsidR="0080716B">
        <w:t>quintiles which is</w:t>
      </w:r>
      <w:proofErr w:type="gramEnd"/>
      <w:r w:rsidR="0080716B">
        <w:t xml:space="preserve"> proportional to their numbers in the population, but their profile is unlike VET students in all fields of education in certificates III, where 45</w:t>
      </w:r>
      <w:r w:rsidR="007014DE">
        <w:t>%</w:t>
      </w:r>
      <w:r w:rsidR="00BC77E2">
        <w:t xml:space="preserve"> come from the two bottom socio </w:t>
      </w:r>
      <w:r w:rsidR="0080716B">
        <w:t>economic quintiles. It is only in certificates I and II that students from disadvantaged backgrounds have a disproportionate share, but there are very few students at all in these qualifications in banking and finance. In 2012, there were only 42 students in Certificate I and 189 students in Certificate II in banking and finance, which translated to seven full year training equivalents in certificate I and 31 full year training equivalents in certificate II</w:t>
      </w:r>
      <w:r w:rsidR="00E42C2C">
        <w:t xml:space="preserve"> respectively</w:t>
      </w:r>
      <w:r w:rsidR="0080716B">
        <w:t>.</w:t>
      </w:r>
      <w:r w:rsidR="0080716B">
        <w:rPr>
          <w:rStyle w:val="FootnoteReference"/>
        </w:rPr>
        <w:footnoteReference w:id="5"/>
      </w:r>
    </w:p>
    <w:p w14:paraId="788A9F26" w14:textId="77777777" w:rsidR="00896141" w:rsidRPr="00837EEF" w:rsidRDefault="00896141" w:rsidP="00896141">
      <w:pPr>
        <w:pStyle w:val="tabletitle"/>
      </w:pPr>
      <w:bookmarkStart w:id="99" w:name="_Toc257836881"/>
      <w:r>
        <w:t xml:space="preserve">Table </w:t>
      </w:r>
      <w:r w:rsidR="00D601DD">
        <w:t>18</w:t>
      </w:r>
      <w:r w:rsidRPr="00837EEF">
        <w:tab/>
      </w:r>
      <w:r>
        <w:t>Percentage of students from the two lowest socio-economic quintiles</w:t>
      </w:r>
      <w:r w:rsidRPr="00771F89">
        <w:t xml:space="preserve"> by level of qualification and broad and selected</w:t>
      </w:r>
      <w:r>
        <w:t xml:space="preserve"> narrow field of education, 2012*</w:t>
      </w:r>
      <w:bookmarkEnd w:id="99"/>
    </w:p>
    <w:tbl>
      <w:tblPr>
        <w:tblW w:w="8040" w:type="dxa"/>
        <w:tblInd w:w="103" w:type="dxa"/>
        <w:tblBorders>
          <w:top w:val="single" w:sz="4" w:space="0" w:color="auto"/>
          <w:bottom w:val="single" w:sz="4" w:space="0" w:color="auto"/>
          <w:insideH w:val="single" w:sz="4" w:space="0" w:color="auto"/>
        </w:tblBorders>
        <w:tblLook w:val="0000" w:firstRow="0" w:lastRow="0" w:firstColumn="0" w:lastColumn="0" w:noHBand="0" w:noVBand="0"/>
      </w:tblPr>
      <w:tblGrid>
        <w:gridCol w:w="2876"/>
        <w:gridCol w:w="860"/>
        <w:gridCol w:w="861"/>
        <w:gridCol w:w="861"/>
        <w:gridCol w:w="860"/>
        <w:gridCol w:w="861"/>
        <w:gridCol w:w="861"/>
      </w:tblGrid>
      <w:tr w:rsidR="00896141" w:rsidRPr="00354810" w14:paraId="64190DC8" w14:textId="77777777" w:rsidTr="006A738C">
        <w:trPr>
          <w:trHeight w:val="255"/>
          <w:tblHeader/>
        </w:trPr>
        <w:tc>
          <w:tcPr>
            <w:tcW w:w="2876" w:type="dxa"/>
            <w:tcBorders>
              <w:top w:val="single" w:sz="4" w:space="0" w:color="auto"/>
              <w:bottom w:val="nil"/>
            </w:tcBorders>
            <w:shd w:val="clear" w:color="auto" w:fill="auto"/>
            <w:vAlign w:val="center"/>
          </w:tcPr>
          <w:p w14:paraId="790874DB" w14:textId="77777777" w:rsidR="00896141" w:rsidRPr="00354810" w:rsidRDefault="00896141" w:rsidP="006A738C">
            <w:pPr>
              <w:pStyle w:val="Tablehead1"/>
            </w:pPr>
            <w:r w:rsidRPr="00354810">
              <w:t>Field of education</w:t>
            </w:r>
          </w:p>
        </w:tc>
        <w:tc>
          <w:tcPr>
            <w:tcW w:w="860" w:type="dxa"/>
            <w:tcBorders>
              <w:top w:val="single" w:sz="4" w:space="0" w:color="auto"/>
              <w:bottom w:val="nil"/>
            </w:tcBorders>
            <w:vAlign w:val="center"/>
          </w:tcPr>
          <w:p w14:paraId="5477DFBB" w14:textId="77777777" w:rsidR="00896141" w:rsidRPr="00354810" w:rsidRDefault="00896141" w:rsidP="006A738C">
            <w:pPr>
              <w:pStyle w:val="Tablehead1"/>
              <w:jc w:val="right"/>
              <w:rPr>
                <w:bCs/>
              </w:rPr>
            </w:pPr>
            <w:r w:rsidRPr="00354810">
              <w:rPr>
                <w:bCs/>
              </w:rPr>
              <w:t>Cert I</w:t>
            </w:r>
          </w:p>
        </w:tc>
        <w:tc>
          <w:tcPr>
            <w:tcW w:w="861" w:type="dxa"/>
            <w:tcBorders>
              <w:top w:val="single" w:sz="4" w:space="0" w:color="auto"/>
              <w:bottom w:val="nil"/>
            </w:tcBorders>
            <w:vAlign w:val="center"/>
          </w:tcPr>
          <w:p w14:paraId="15CEF19C" w14:textId="77777777" w:rsidR="00896141" w:rsidRPr="00354810" w:rsidRDefault="00896141" w:rsidP="006A738C">
            <w:pPr>
              <w:pStyle w:val="Tablehead1"/>
              <w:tabs>
                <w:tab w:val="decimal" w:pos="0"/>
                <w:tab w:val="decimal" w:pos="645"/>
              </w:tabs>
              <w:jc w:val="right"/>
              <w:rPr>
                <w:bCs/>
              </w:rPr>
            </w:pPr>
            <w:r w:rsidRPr="00354810">
              <w:rPr>
                <w:bCs/>
              </w:rPr>
              <w:t>Cert II</w:t>
            </w:r>
          </w:p>
        </w:tc>
        <w:tc>
          <w:tcPr>
            <w:tcW w:w="861" w:type="dxa"/>
            <w:tcBorders>
              <w:top w:val="single" w:sz="4" w:space="0" w:color="auto"/>
              <w:bottom w:val="nil"/>
            </w:tcBorders>
            <w:shd w:val="clear" w:color="auto" w:fill="auto"/>
            <w:vAlign w:val="center"/>
          </w:tcPr>
          <w:p w14:paraId="3F17BDFF" w14:textId="77777777" w:rsidR="00896141" w:rsidRPr="00354810" w:rsidRDefault="00896141" w:rsidP="006A738C">
            <w:pPr>
              <w:pStyle w:val="Tablehead1"/>
              <w:jc w:val="right"/>
              <w:rPr>
                <w:bCs/>
              </w:rPr>
            </w:pPr>
            <w:r w:rsidRPr="00354810">
              <w:rPr>
                <w:bCs/>
              </w:rPr>
              <w:t>Cert III</w:t>
            </w:r>
          </w:p>
        </w:tc>
        <w:tc>
          <w:tcPr>
            <w:tcW w:w="860" w:type="dxa"/>
            <w:tcBorders>
              <w:top w:val="single" w:sz="4" w:space="0" w:color="auto"/>
              <w:bottom w:val="nil"/>
            </w:tcBorders>
            <w:shd w:val="clear" w:color="auto" w:fill="auto"/>
            <w:vAlign w:val="center"/>
          </w:tcPr>
          <w:p w14:paraId="0CE0AEB1" w14:textId="77777777" w:rsidR="00896141" w:rsidRPr="00354810" w:rsidRDefault="00896141" w:rsidP="006A738C">
            <w:pPr>
              <w:pStyle w:val="Tablehead1"/>
              <w:jc w:val="right"/>
              <w:rPr>
                <w:bCs/>
              </w:rPr>
            </w:pPr>
            <w:r w:rsidRPr="00354810">
              <w:rPr>
                <w:bCs/>
              </w:rPr>
              <w:t>Cert IV</w:t>
            </w:r>
          </w:p>
        </w:tc>
        <w:tc>
          <w:tcPr>
            <w:tcW w:w="861" w:type="dxa"/>
            <w:tcBorders>
              <w:top w:val="single" w:sz="4" w:space="0" w:color="auto"/>
              <w:bottom w:val="nil"/>
            </w:tcBorders>
            <w:shd w:val="pct12" w:color="auto" w:fill="auto"/>
            <w:vAlign w:val="center"/>
          </w:tcPr>
          <w:p w14:paraId="229A619E" w14:textId="77777777" w:rsidR="00896141" w:rsidRPr="00354810" w:rsidRDefault="00896141" w:rsidP="006A738C">
            <w:pPr>
              <w:pStyle w:val="Tablehead1"/>
              <w:jc w:val="right"/>
              <w:rPr>
                <w:bCs/>
              </w:rPr>
            </w:pPr>
            <w:r>
              <w:rPr>
                <w:bCs/>
              </w:rPr>
              <w:t>Dips and above</w:t>
            </w:r>
          </w:p>
        </w:tc>
        <w:tc>
          <w:tcPr>
            <w:tcW w:w="861" w:type="dxa"/>
            <w:tcBorders>
              <w:top w:val="single" w:sz="4" w:space="0" w:color="auto"/>
              <w:bottom w:val="nil"/>
            </w:tcBorders>
            <w:vAlign w:val="center"/>
          </w:tcPr>
          <w:p w14:paraId="179FAF69" w14:textId="77777777" w:rsidR="00896141" w:rsidRPr="00354810" w:rsidRDefault="00896141" w:rsidP="006A738C">
            <w:pPr>
              <w:pStyle w:val="Tablehead1"/>
              <w:jc w:val="right"/>
              <w:rPr>
                <w:bCs/>
              </w:rPr>
            </w:pPr>
            <w:r w:rsidRPr="00354810">
              <w:rPr>
                <w:bCs/>
              </w:rPr>
              <w:t>All levels</w:t>
            </w:r>
          </w:p>
        </w:tc>
      </w:tr>
      <w:tr w:rsidR="00896141" w:rsidRPr="00354810" w14:paraId="5454525F" w14:textId="77777777" w:rsidTr="006A738C">
        <w:trPr>
          <w:trHeight w:val="255"/>
        </w:trPr>
        <w:tc>
          <w:tcPr>
            <w:tcW w:w="2876" w:type="dxa"/>
            <w:tcBorders>
              <w:top w:val="nil"/>
              <w:bottom w:val="nil"/>
            </w:tcBorders>
            <w:shd w:val="clear" w:color="auto" w:fill="auto"/>
            <w:vAlign w:val="center"/>
          </w:tcPr>
          <w:p w14:paraId="3032AC2A" w14:textId="77777777" w:rsidR="00896141" w:rsidRPr="00354810" w:rsidRDefault="00896141" w:rsidP="006A738C">
            <w:pPr>
              <w:pStyle w:val="Tabletext"/>
              <w:rPr>
                <w:b/>
                <w:bCs/>
              </w:rPr>
            </w:pPr>
            <w:r>
              <w:rPr>
                <w:b/>
                <w:bCs/>
              </w:rPr>
              <w:t>Management and commerce</w:t>
            </w:r>
          </w:p>
        </w:tc>
        <w:tc>
          <w:tcPr>
            <w:tcW w:w="860" w:type="dxa"/>
            <w:tcBorders>
              <w:top w:val="nil"/>
              <w:bottom w:val="nil"/>
            </w:tcBorders>
            <w:vAlign w:val="center"/>
          </w:tcPr>
          <w:p w14:paraId="2303A06D" w14:textId="77777777" w:rsidR="00896141" w:rsidRPr="00354810" w:rsidRDefault="00896141" w:rsidP="006A738C">
            <w:pPr>
              <w:pStyle w:val="Tabletext"/>
              <w:tabs>
                <w:tab w:val="right" w:pos="703"/>
              </w:tabs>
              <w:jc w:val="right"/>
            </w:pPr>
            <w:r w:rsidRPr="00C96152">
              <w:t>45.3</w:t>
            </w:r>
          </w:p>
        </w:tc>
        <w:tc>
          <w:tcPr>
            <w:tcW w:w="861" w:type="dxa"/>
            <w:tcBorders>
              <w:top w:val="nil"/>
              <w:bottom w:val="nil"/>
            </w:tcBorders>
            <w:vAlign w:val="center"/>
          </w:tcPr>
          <w:p w14:paraId="5D2E2EEB" w14:textId="77777777" w:rsidR="00896141" w:rsidRPr="00354810" w:rsidRDefault="00896141" w:rsidP="006A738C">
            <w:pPr>
              <w:pStyle w:val="Tabletext"/>
              <w:tabs>
                <w:tab w:val="decimal" w:pos="0"/>
                <w:tab w:val="decimal" w:pos="645"/>
                <w:tab w:val="right" w:pos="703"/>
              </w:tabs>
              <w:jc w:val="right"/>
            </w:pPr>
            <w:r w:rsidRPr="00C96152">
              <w:t>52.4</w:t>
            </w:r>
          </w:p>
        </w:tc>
        <w:tc>
          <w:tcPr>
            <w:tcW w:w="861" w:type="dxa"/>
            <w:tcBorders>
              <w:top w:val="nil"/>
              <w:bottom w:val="nil"/>
            </w:tcBorders>
            <w:shd w:val="clear" w:color="auto" w:fill="auto"/>
            <w:vAlign w:val="center"/>
          </w:tcPr>
          <w:p w14:paraId="4FCAC57C" w14:textId="77777777" w:rsidR="00896141" w:rsidRPr="00354810" w:rsidRDefault="00896141" w:rsidP="006A738C">
            <w:pPr>
              <w:pStyle w:val="Tabletext"/>
              <w:tabs>
                <w:tab w:val="right" w:pos="703"/>
              </w:tabs>
              <w:jc w:val="right"/>
            </w:pPr>
            <w:r w:rsidRPr="00C96152">
              <w:t>43.0</w:t>
            </w:r>
          </w:p>
        </w:tc>
        <w:tc>
          <w:tcPr>
            <w:tcW w:w="860" w:type="dxa"/>
            <w:tcBorders>
              <w:top w:val="nil"/>
              <w:bottom w:val="nil"/>
            </w:tcBorders>
            <w:shd w:val="clear" w:color="auto" w:fill="auto"/>
            <w:vAlign w:val="center"/>
          </w:tcPr>
          <w:p w14:paraId="31071744" w14:textId="77777777" w:rsidR="00896141" w:rsidRPr="00354810" w:rsidRDefault="00896141" w:rsidP="006A738C">
            <w:pPr>
              <w:pStyle w:val="Tabletext"/>
              <w:tabs>
                <w:tab w:val="right" w:pos="703"/>
              </w:tabs>
              <w:jc w:val="right"/>
            </w:pPr>
            <w:r w:rsidRPr="00C96152">
              <w:t>35.5</w:t>
            </w:r>
          </w:p>
        </w:tc>
        <w:tc>
          <w:tcPr>
            <w:tcW w:w="861" w:type="dxa"/>
            <w:tcBorders>
              <w:top w:val="nil"/>
              <w:bottom w:val="nil"/>
            </w:tcBorders>
            <w:shd w:val="pct12" w:color="auto" w:fill="auto"/>
            <w:vAlign w:val="center"/>
          </w:tcPr>
          <w:p w14:paraId="781450C9" w14:textId="77777777" w:rsidR="00896141" w:rsidRPr="00354810" w:rsidRDefault="00896141" w:rsidP="006A738C">
            <w:pPr>
              <w:pStyle w:val="Tabletext"/>
              <w:tabs>
                <w:tab w:val="right" w:pos="703"/>
              </w:tabs>
              <w:jc w:val="right"/>
            </w:pPr>
            <w:r w:rsidRPr="00C96152">
              <w:t>31.1</w:t>
            </w:r>
          </w:p>
        </w:tc>
        <w:tc>
          <w:tcPr>
            <w:tcW w:w="861" w:type="dxa"/>
            <w:tcBorders>
              <w:top w:val="nil"/>
              <w:bottom w:val="nil"/>
            </w:tcBorders>
            <w:vAlign w:val="center"/>
          </w:tcPr>
          <w:p w14:paraId="3E6C1AFE" w14:textId="77777777" w:rsidR="00896141" w:rsidRPr="00A85869" w:rsidRDefault="00896141" w:rsidP="006A738C">
            <w:pPr>
              <w:pStyle w:val="Tabletext"/>
              <w:tabs>
                <w:tab w:val="right" w:pos="703"/>
              </w:tabs>
              <w:jc w:val="right"/>
            </w:pPr>
            <w:r w:rsidRPr="00C96152">
              <w:t>39.3</w:t>
            </w:r>
          </w:p>
        </w:tc>
      </w:tr>
      <w:tr w:rsidR="00896141" w:rsidRPr="00354810" w14:paraId="5205C926" w14:textId="77777777" w:rsidTr="006A738C">
        <w:trPr>
          <w:trHeight w:val="255"/>
        </w:trPr>
        <w:tc>
          <w:tcPr>
            <w:tcW w:w="2876" w:type="dxa"/>
            <w:tcBorders>
              <w:top w:val="nil"/>
              <w:bottom w:val="nil"/>
            </w:tcBorders>
            <w:shd w:val="clear" w:color="auto" w:fill="auto"/>
            <w:vAlign w:val="center"/>
          </w:tcPr>
          <w:p w14:paraId="41E8E705" w14:textId="77777777" w:rsidR="00896141" w:rsidRPr="00354810" w:rsidRDefault="00896141" w:rsidP="006A738C">
            <w:pPr>
              <w:pStyle w:val="Tabletext"/>
              <w:ind w:left="567"/>
            </w:pPr>
            <w:r>
              <w:t>Banking and finance</w:t>
            </w:r>
          </w:p>
        </w:tc>
        <w:tc>
          <w:tcPr>
            <w:tcW w:w="860" w:type="dxa"/>
            <w:tcBorders>
              <w:top w:val="nil"/>
              <w:bottom w:val="nil"/>
            </w:tcBorders>
            <w:vAlign w:val="center"/>
          </w:tcPr>
          <w:p w14:paraId="1EF382DC" w14:textId="77777777" w:rsidR="00896141" w:rsidRPr="00354810" w:rsidRDefault="00896141" w:rsidP="006A738C">
            <w:pPr>
              <w:pStyle w:val="Tabletext"/>
              <w:tabs>
                <w:tab w:val="right" w:pos="703"/>
              </w:tabs>
              <w:jc w:val="right"/>
            </w:pPr>
            <w:r w:rsidRPr="00C96152">
              <w:t>90.5</w:t>
            </w:r>
          </w:p>
        </w:tc>
        <w:tc>
          <w:tcPr>
            <w:tcW w:w="861" w:type="dxa"/>
            <w:tcBorders>
              <w:top w:val="nil"/>
              <w:bottom w:val="nil"/>
            </w:tcBorders>
            <w:vAlign w:val="center"/>
          </w:tcPr>
          <w:p w14:paraId="7EEFF5CE" w14:textId="77777777" w:rsidR="00896141" w:rsidRPr="00354810" w:rsidRDefault="00896141" w:rsidP="006A738C">
            <w:pPr>
              <w:pStyle w:val="Tabletext"/>
              <w:tabs>
                <w:tab w:val="decimal" w:pos="0"/>
                <w:tab w:val="decimal" w:pos="645"/>
                <w:tab w:val="right" w:pos="703"/>
              </w:tabs>
              <w:jc w:val="right"/>
            </w:pPr>
            <w:r w:rsidRPr="00C96152">
              <w:t>56.1</w:t>
            </w:r>
          </w:p>
        </w:tc>
        <w:tc>
          <w:tcPr>
            <w:tcW w:w="861" w:type="dxa"/>
            <w:tcBorders>
              <w:top w:val="nil"/>
              <w:bottom w:val="nil"/>
            </w:tcBorders>
            <w:shd w:val="clear" w:color="auto" w:fill="auto"/>
            <w:vAlign w:val="center"/>
          </w:tcPr>
          <w:p w14:paraId="56B5CF67" w14:textId="77777777" w:rsidR="00896141" w:rsidRPr="00354810" w:rsidRDefault="00896141" w:rsidP="006A738C">
            <w:pPr>
              <w:pStyle w:val="Tabletext"/>
              <w:tabs>
                <w:tab w:val="right" w:pos="703"/>
              </w:tabs>
              <w:jc w:val="right"/>
            </w:pPr>
            <w:r w:rsidRPr="00C96152">
              <w:t>40.5</w:t>
            </w:r>
          </w:p>
        </w:tc>
        <w:tc>
          <w:tcPr>
            <w:tcW w:w="860" w:type="dxa"/>
            <w:tcBorders>
              <w:top w:val="nil"/>
              <w:bottom w:val="nil"/>
            </w:tcBorders>
            <w:shd w:val="clear" w:color="auto" w:fill="auto"/>
            <w:vAlign w:val="center"/>
          </w:tcPr>
          <w:p w14:paraId="17E28E18" w14:textId="77777777" w:rsidR="00896141" w:rsidRPr="00354810" w:rsidRDefault="00896141" w:rsidP="006A738C">
            <w:pPr>
              <w:pStyle w:val="Tabletext"/>
              <w:tabs>
                <w:tab w:val="right" w:pos="703"/>
              </w:tabs>
              <w:jc w:val="right"/>
            </w:pPr>
            <w:r w:rsidRPr="00C96152">
              <w:t>30.0</w:t>
            </w:r>
          </w:p>
        </w:tc>
        <w:tc>
          <w:tcPr>
            <w:tcW w:w="861" w:type="dxa"/>
            <w:tcBorders>
              <w:top w:val="nil"/>
              <w:bottom w:val="nil"/>
            </w:tcBorders>
            <w:shd w:val="pct12" w:color="auto" w:fill="auto"/>
            <w:vAlign w:val="center"/>
          </w:tcPr>
          <w:p w14:paraId="6971E2DE" w14:textId="77777777" w:rsidR="00896141" w:rsidRPr="00354810" w:rsidRDefault="00896141" w:rsidP="006A738C">
            <w:pPr>
              <w:pStyle w:val="Tabletext"/>
              <w:tabs>
                <w:tab w:val="right" w:pos="703"/>
              </w:tabs>
              <w:jc w:val="right"/>
            </w:pPr>
            <w:r w:rsidRPr="00C96152">
              <w:t>29.4</w:t>
            </w:r>
          </w:p>
        </w:tc>
        <w:tc>
          <w:tcPr>
            <w:tcW w:w="861" w:type="dxa"/>
            <w:tcBorders>
              <w:top w:val="nil"/>
              <w:bottom w:val="nil"/>
            </w:tcBorders>
            <w:vAlign w:val="center"/>
          </w:tcPr>
          <w:p w14:paraId="511948AC" w14:textId="77777777" w:rsidR="00896141" w:rsidRPr="00A85869" w:rsidRDefault="00896141" w:rsidP="006A738C">
            <w:pPr>
              <w:pStyle w:val="Tabletext"/>
              <w:tabs>
                <w:tab w:val="right" w:pos="703"/>
              </w:tabs>
              <w:jc w:val="right"/>
            </w:pPr>
            <w:r w:rsidRPr="00C96152">
              <w:t>32.2</w:t>
            </w:r>
          </w:p>
        </w:tc>
      </w:tr>
      <w:tr w:rsidR="00896141" w:rsidRPr="00354810" w14:paraId="228CA867" w14:textId="77777777" w:rsidTr="006A738C">
        <w:trPr>
          <w:trHeight w:val="255"/>
        </w:trPr>
        <w:tc>
          <w:tcPr>
            <w:tcW w:w="2876" w:type="dxa"/>
            <w:tcBorders>
              <w:top w:val="single" w:sz="4" w:space="0" w:color="auto"/>
              <w:bottom w:val="single" w:sz="4" w:space="0" w:color="auto"/>
            </w:tcBorders>
            <w:shd w:val="clear" w:color="auto" w:fill="auto"/>
            <w:vAlign w:val="center"/>
          </w:tcPr>
          <w:p w14:paraId="43028867" w14:textId="77777777" w:rsidR="00896141" w:rsidRPr="00354810" w:rsidRDefault="00896141" w:rsidP="006A738C">
            <w:pPr>
              <w:pStyle w:val="Tabletext"/>
              <w:rPr>
                <w:b/>
              </w:rPr>
            </w:pPr>
            <w:r w:rsidRPr="00354810">
              <w:rPr>
                <w:b/>
              </w:rPr>
              <w:t>All fields</w:t>
            </w:r>
          </w:p>
        </w:tc>
        <w:tc>
          <w:tcPr>
            <w:tcW w:w="860" w:type="dxa"/>
            <w:tcBorders>
              <w:top w:val="single" w:sz="4" w:space="0" w:color="auto"/>
              <w:bottom w:val="single" w:sz="4" w:space="0" w:color="auto"/>
            </w:tcBorders>
            <w:vAlign w:val="center"/>
          </w:tcPr>
          <w:p w14:paraId="5337A9D7" w14:textId="77777777" w:rsidR="00896141" w:rsidRPr="00A85869" w:rsidRDefault="00896141" w:rsidP="006A738C">
            <w:pPr>
              <w:pStyle w:val="Tabletext"/>
              <w:jc w:val="right"/>
              <w:rPr>
                <w:b/>
              </w:rPr>
            </w:pPr>
            <w:r w:rsidRPr="00A85869">
              <w:rPr>
                <w:b/>
              </w:rPr>
              <w:t>47.5</w:t>
            </w:r>
          </w:p>
        </w:tc>
        <w:tc>
          <w:tcPr>
            <w:tcW w:w="861" w:type="dxa"/>
            <w:tcBorders>
              <w:top w:val="single" w:sz="4" w:space="0" w:color="auto"/>
              <w:bottom w:val="single" w:sz="4" w:space="0" w:color="auto"/>
            </w:tcBorders>
            <w:vAlign w:val="center"/>
          </w:tcPr>
          <w:p w14:paraId="197B6F74" w14:textId="77777777" w:rsidR="00896141" w:rsidRPr="00A85869" w:rsidRDefault="00896141" w:rsidP="006A738C">
            <w:pPr>
              <w:pStyle w:val="Tabletext"/>
              <w:tabs>
                <w:tab w:val="decimal" w:pos="0"/>
                <w:tab w:val="decimal" w:pos="645"/>
              </w:tabs>
              <w:jc w:val="right"/>
              <w:rPr>
                <w:b/>
              </w:rPr>
            </w:pPr>
            <w:r w:rsidRPr="00A85869">
              <w:rPr>
                <w:b/>
              </w:rPr>
              <w:t>50.9</w:t>
            </w:r>
          </w:p>
        </w:tc>
        <w:tc>
          <w:tcPr>
            <w:tcW w:w="861" w:type="dxa"/>
            <w:tcBorders>
              <w:top w:val="single" w:sz="4" w:space="0" w:color="auto"/>
              <w:bottom w:val="single" w:sz="4" w:space="0" w:color="auto"/>
            </w:tcBorders>
            <w:shd w:val="clear" w:color="auto" w:fill="auto"/>
            <w:vAlign w:val="center"/>
          </w:tcPr>
          <w:p w14:paraId="2F6F8085" w14:textId="77777777" w:rsidR="00896141" w:rsidRPr="00A85869" w:rsidRDefault="00896141" w:rsidP="006A738C">
            <w:pPr>
              <w:pStyle w:val="Tabletext"/>
              <w:jc w:val="right"/>
              <w:rPr>
                <w:b/>
              </w:rPr>
            </w:pPr>
            <w:r w:rsidRPr="00A85869">
              <w:rPr>
                <w:b/>
              </w:rPr>
              <w:t>45.3</w:t>
            </w:r>
          </w:p>
        </w:tc>
        <w:tc>
          <w:tcPr>
            <w:tcW w:w="860" w:type="dxa"/>
            <w:tcBorders>
              <w:top w:val="single" w:sz="4" w:space="0" w:color="auto"/>
              <w:bottom w:val="single" w:sz="4" w:space="0" w:color="auto"/>
            </w:tcBorders>
            <w:shd w:val="clear" w:color="auto" w:fill="auto"/>
            <w:vAlign w:val="center"/>
          </w:tcPr>
          <w:p w14:paraId="63A23DD0" w14:textId="77777777" w:rsidR="00896141" w:rsidRPr="00A85869" w:rsidRDefault="00896141" w:rsidP="006A738C">
            <w:pPr>
              <w:pStyle w:val="Tabletext"/>
              <w:jc w:val="right"/>
              <w:rPr>
                <w:b/>
              </w:rPr>
            </w:pPr>
            <w:r w:rsidRPr="00A85869">
              <w:rPr>
                <w:b/>
              </w:rPr>
              <w:t>37.9</w:t>
            </w:r>
          </w:p>
        </w:tc>
        <w:tc>
          <w:tcPr>
            <w:tcW w:w="861" w:type="dxa"/>
            <w:tcBorders>
              <w:top w:val="single" w:sz="4" w:space="0" w:color="auto"/>
              <w:bottom w:val="single" w:sz="4" w:space="0" w:color="auto"/>
            </w:tcBorders>
            <w:shd w:val="pct12" w:color="auto" w:fill="auto"/>
            <w:vAlign w:val="center"/>
          </w:tcPr>
          <w:p w14:paraId="622A4A0C" w14:textId="77777777" w:rsidR="00896141" w:rsidRPr="00A85869" w:rsidRDefault="00896141" w:rsidP="006A738C">
            <w:pPr>
              <w:pStyle w:val="Tabletext"/>
              <w:jc w:val="right"/>
              <w:rPr>
                <w:b/>
              </w:rPr>
            </w:pPr>
            <w:r w:rsidRPr="00A85869">
              <w:rPr>
                <w:b/>
              </w:rPr>
              <w:t>33.8</w:t>
            </w:r>
          </w:p>
        </w:tc>
        <w:tc>
          <w:tcPr>
            <w:tcW w:w="861" w:type="dxa"/>
            <w:tcBorders>
              <w:top w:val="single" w:sz="4" w:space="0" w:color="auto"/>
              <w:bottom w:val="single" w:sz="4" w:space="0" w:color="auto"/>
            </w:tcBorders>
            <w:vAlign w:val="center"/>
          </w:tcPr>
          <w:p w14:paraId="0B67A75F" w14:textId="77777777" w:rsidR="00896141" w:rsidRPr="00A85869" w:rsidRDefault="00896141" w:rsidP="006A738C">
            <w:pPr>
              <w:pStyle w:val="Tabletext"/>
              <w:jc w:val="right"/>
              <w:rPr>
                <w:b/>
              </w:rPr>
            </w:pPr>
            <w:r w:rsidRPr="00A85869">
              <w:rPr>
                <w:b/>
              </w:rPr>
              <w:t>43.1</w:t>
            </w:r>
          </w:p>
        </w:tc>
      </w:tr>
    </w:tbl>
    <w:p w14:paraId="09253670" w14:textId="77777777" w:rsidR="00DC68A4" w:rsidRDefault="00DC68A4" w:rsidP="00DC68A4">
      <w:pPr>
        <w:pStyle w:val="Source"/>
      </w:pPr>
      <w:r w:rsidRPr="000B7EAA">
        <w:t>S</w:t>
      </w:r>
      <w:r>
        <w:t>ource</w:t>
      </w:r>
      <w:r>
        <w:tab/>
      </w:r>
      <w:r w:rsidRPr="00772E52">
        <w:t>VOCSTATS (</w:t>
      </w:r>
      <w:hyperlink r:id="rId33" w:history="1">
        <w:r w:rsidRPr="00E22016">
          <w:t>www.ncver.edu.au/resources/vocstats/intro.html</w:t>
        </w:r>
      </w:hyperlink>
      <w:r w:rsidRPr="00772E52">
        <w:t>)</w:t>
      </w:r>
      <w:r>
        <w:t xml:space="preserve"> extracted on 26/12/2013</w:t>
      </w:r>
    </w:p>
    <w:p w14:paraId="73A610F2" w14:textId="77777777" w:rsidR="00DC68A4" w:rsidRDefault="00DC68A4" w:rsidP="00DC68A4">
      <w:pPr>
        <w:pStyle w:val="Source"/>
      </w:pPr>
      <w:r>
        <w:t>Notes:</w:t>
      </w:r>
      <w:r>
        <w:tab/>
      </w:r>
      <w:proofErr w:type="spellStart"/>
      <w:proofErr w:type="gramStart"/>
      <w:r>
        <w:t>na</w:t>
      </w:r>
      <w:proofErr w:type="spellEnd"/>
      <w:proofErr w:type="gramEnd"/>
      <w:r>
        <w:t xml:space="preserve"> </w:t>
      </w:r>
      <w:r w:rsidRPr="00147C93">
        <w:t>Not applicable</w:t>
      </w:r>
    </w:p>
    <w:p w14:paraId="44E4FED6" w14:textId="77777777" w:rsidR="00DC68A4" w:rsidRDefault="00DC68A4" w:rsidP="00DC68A4">
      <w:pPr>
        <w:pStyle w:val="Source"/>
        <w:ind w:firstLine="0"/>
      </w:pPr>
      <w:r>
        <w:t xml:space="preserve">*as measured by the Index of Education and Occupations in SEIFA (Socio-Economic Indexes for Areas), Australian Bureau of Statistics. It uses postcodes as the basic unit of measurement. </w:t>
      </w:r>
    </w:p>
    <w:p w14:paraId="20113960" w14:textId="77777777" w:rsidR="00DC68A4" w:rsidRDefault="00DC68A4" w:rsidP="00DC68A4">
      <w:pPr>
        <w:pStyle w:val="Source"/>
        <w:ind w:firstLine="0"/>
      </w:pPr>
      <w:r>
        <w:t>The number of students is counted and not enrolments or equivalent fulltime student load as the table focuses on attributes of students and not qualifications</w:t>
      </w:r>
    </w:p>
    <w:p w14:paraId="4FD2E55A" w14:textId="690262A2" w:rsidR="00F87BF1" w:rsidRDefault="004D6777" w:rsidP="00F87BF1">
      <w:pPr>
        <w:pStyle w:val="Text"/>
        <w:rPr>
          <w:lang w:val="en-US"/>
        </w:rPr>
      </w:pPr>
      <w:proofErr w:type="spellStart"/>
      <w:r>
        <w:rPr>
          <w:lang w:val="en-US"/>
        </w:rPr>
        <w:t>Moodie</w:t>
      </w:r>
      <w:proofErr w:type="spellEnd"/>
      <w:r>
        <w:rPr>
          <w:lang w:val="en-US"/>
        </w:rPr>
        <w:t xml:space="preserve"> (2012</w:t>
      </w:r>
      <w:r w:rsidR="00B03184">
        <w:rPr>
          <w:lang w:val="en-US"/>
        </w:rPr>
        <w:t>b</w:t>
      </w:r>
      <w:r>
        <w:rPr>
          <w:lang w:val="en-US"/>
        </w:rPr>
        <w:t>, Table 4) shows that 11.6</w:t>
      </w:r>
      <w:r w:rsidR="007014DE">
        <w:rPr>
          <w:lang w:val="en-US"/>
        </w:rPr>
        <w:t>%</w:t>
      </w:r>
      <w:r>
        <w:rPr>
          <w:lang w:val="en-US"/>
        </w:rPr>
        <w:t xml:space="preserve"> of </w:t>
      </w:r>
      <w:r w:rsidR="00BC77E2">
        <w:rPr>
          <w:lang w:val="en-US"/>
        </w:rPr>
        <w:t xml:space="preserve">domestic </w:t>
      </w:r>
      <w:r>
        <w:rPr>
          <w:lang w:val="en-US"/>
        </w:rPr>
        <w:t xml:space="preserve">students </w:t>
      </w:r>
      <w:r w:rsidR="00BC77E2">
        <w:rPr>
          <w:lang w:val="en-US"/>
        </w:rPr>
        <w:t xml:space="preserve">commencing undergraduate programs in the broad field of management and commerce are admitted </w:t>
      </w:r>
      <w:r>
        <w:rPr>
          <w:lang w:val="en-US"/>
        </w:rPr>
        <w:t>on the basis of prior VET qualifications, which is higher than the 9</w:t>
      </w:r>
      <w:r w:rsidR="007014DE">
        <w:rPr>
          <w:lang w:val="en-US"/>
        </w:rPr>
        <w:t>%</w:t>
      </w:r>
      <w:r>
        <w:rPr>
          <w:lang w:val="en-US"/>
        </w:rPr>
        <w:t xml:space="preserve"> for the sector overall. Approximately 16</w:t>
      </w:r>
      <w:r w:rsidR="007014DE">
        <w:rPr>
          <w:lang w:val="en-US"/>
        </w:rPr>
        <w:t>%</w:t>
      </w:r>
      <w:r>
        <w:rPr>
          <w:lang w:val="en-US"/>
        </w:rPr>
        <w:t xml:space="preserve"> are admitted from low soci</w:t>
      </w:r>
      <w:r w:rsidR="00BC77E2">
        <w:rPr>
          <w:lang w:val="en-US"/>
        </w:rPr>
        <w:t xml:space="preserve">o </w:t>
      </w:r>
      <w:r>
        <w:rPr>
          <w:lang w:val="en-US"/>
        </w:rPr>
        <w:t>economic</w:t>
      </w:r>
      <w:r w:rsidR="007014DE">
        <w:rPr>
          <w:lang w:val="en-US"/>
        </w:rPr>
        <w:t xml:space="preserve"> status backgrounds</w:t>
      </w:r>
      <w:r>
        <w:rPr>
          <w:lang w:val="en-US"/>
        </w:rPr>
        <w:t>, which is similar to the 17</w:t>
      </w:r>
      <w:r w:rsidR="007014DE">
        <w:rPr>
          <w:lang w:val="en-US"/>
        </w:rPr>
        <w:t>%</w:t>
      </w:r>
      <w:r>
        <w:rPr>
          <w:lang w:val="en-US"/>
        </w:rPr>
        <w:t xml:space="preserve"> for the sector overall. Unfortunately, we don’t have data within the narrow fields of education to show percentages admitted on the basis of prior VET q</w:t>
      </w:r>
      <w:r w:rsidR="00BC77E2">
        <w:rPr>
          <w:lang w:val="en-US"/>
        </w:rPr>
        <w:t xml:space="preserve">ualifications or from low socio </w:t>
      </w:r>
      <w:r>
        <w:rPr>
          <w:lang w:val="en-US"/>
        </w:rPr>
        <w:t xml:space="preserve">economic backgrounds. </w:t>
      </w:r>
      <w:r w:rsidR="00F87BF1">
        <w:rPr>
          <w:lang w:val="en-US"/>
        </w:rPr>
        <w:t>It seems reasonable to conclude, then, that in th</w:t>
      </w:r>
      <w:r w:rsidR="00BC77E2">
        <w:rPr>
          <w:lang w:val="en-US"/>
        </w:rPr>
        <w:t xml:space="preserve">e financial services sector </w:t>
      </w:r>
      <w:r w:rsidR="00572455">
        <w:rPr>
          <w:lang w:val="en-US"/>
        </w:rPr>
        <w:t>mid-level</w:t>
      </w:r>
      <w:r w:rsidR="00F87BF1">
        <w:rPr>
          <w:lang w:val="en-US"/>
        </w:rPr>
        <w:t xml:space="preserve"> qualifications are primarily used to </w:t>
      </w:r>
      <w:r w:rsidR="00BC77E2">
        <w:rPr>
          <w:lang w:val="en-US"/>
        </w:rPr>
        <w:t>move</w:t>
      </w:r>
      <w:r w:rsidR="00F87BF1">
        <w:rPr>
          <w:lang w:val="en-US"/>
        </w:rPr>
        <w:t xml:space="preserve"> horizontally within an occupational </w:t>
      </w:r>
      <w:proofErr w:type="gramStart"/>
      <w:r w:rsidR="00F87BF1">
        <w:rPr>
          <w:lang w:val="en-US"/>
        </w:rPr>
        <w:t>stream,</w:t>
      </w:r>
      <w:proofErr w:type="gramEnd"/>
      <w:r w:rsidR="00F87BF1">
        <w:rPr>
          <w:lang w:val="en-US"/>
        </w:rPr>
        <w:t xml:space="preserve"> or for</w:t>
      </w:r>
      <w:r w:rsidR="00F87BF1" w:rsidRPr="00DA3B44">
        <w:rPr>
          <w:lang w:val="en-US"/>
        </w:rPr>
        <w:t xml:space="preserve"> transition to </w:t>
      </w:r>
      <w:r w:rsidR="00BC77E2">
        <w:rPr>
          <w:lang w:val="en-US"/>
        </w:rPr>
        <w:t xml:space="preserve">higher </w:t>
      </w:r>
      <w:r w:rsidR="00C84903" w:rsidRPr="00DA3B44">
        <w:rPr>
          <w:lang w:val="en-US"/>
        </w:rPr>
        <w:t>level</w:t>
      </w:r>
      <w:r w:rsidR="00F87BF1" w:rsidRPr="00DA3B44">
        <w:rPr>
          <w:lang w:val="en-US"/>
        </w:rPr>
        <w:t xml:space="preserve"> studies</w:t>
      </w:r>
      <w:r w:rsidR="00F87BF1">
        <w:rPr>
          <w:lang w:val="en-US"/>
        </w:rPr>
        <w:t xml:space="preserve"> to enter professional practice.</w:t>
      </w:r>
      <w:r w:rsidR="00386E80">
        <w:rPr>
          <w:lang w:val="en-US"/>
        </w:rPr>
        <w:t xml:space="preserve"> </w:t>
      </w:r>
      <w:r w:rsidR="00572455">
        <w:rPr>
          <w:lang w:val="en-US"/>
        </w:rPr>
        <w:t>Mid-level</w:t>
      </w:r>
      <w:r w:rsidR="00C84903">
        <w:rPr>
          <w:lang w:val="en-US"/>
        </w:rPr>
        <w:t xml:space="preserve"> qualifications in banking and finance are not particularly effective in widening access for students from disadvantaged backgrounds or in supporting social mobility.</w:t>
      </w:r>
    </w:p>
    <w:p w14:paraId="68B5807D" w14:textId="300427FB" w:rsidR="00F87BF1" w:rsidRDefault="00386E80" w:rsidP="00F87BF1">
      <w:pPr>
        <w:pStyle w:val="Heading2"/>
        <w:rPr>
          <w:lang w:val="en-US"/>
        </w:rPr>
      </w:pPr>
      <w:bookmarkStart w:id="100" w:name="_Toc257836767"/>
      <w:r>
        <w:rPr>
          <w:lang w:val="en-US"/>
        </w:rPr>
        <w:lastRenderedPageBreak/>
        <w:t>Vertical mobility: t</w:t>
      </w:r>
      <w:r w:rsidR="00F87BF1">
        <w:rPr>
          <w:lang w:val="en-US"/>
        </w:rPr>
        <w:t>ensions in the VET / HE transition</w:t>
      </w:r>
      <w:bookmarkEnd w:id="100"/>
    </w:p>
    <w:p w14:paraId="160F309A" w14:textId="71145FA6" w:rsidR="00F87BF1" w:rsidRPr="000C699A" w:rsidRDefault="00386E80" w:rsidP="00F87BF1">
      <w:pPr>
        <w:pStyle w:val="Text"/>
      </w:pPr>
      <w:r>
        <w:t>Many of our participants stated</w:t>
      </w:r>
      <w:r w:rsidR="00F87BF1" w:rsidRPr="00624E90">
        <w:t xml:space="preserve"> that </w:t>
      </w:r>
      <w:r>
        <w:t>the competency based training offered by</w:t>
      </w:r>
      <w:r w:rsidR="00F87BF1">
        <w:t xml:space="preserve"> VET </w:t>
      </w:r>
      <w:r>
        <w:t>is not</w:t>
      </w:r>
      <w:r w:rsidR="00F87BF1" w:rsidRPr="00624E90">
        <w:t xml:space="preserve"> useful </w:t>
      </w:r>
      <w:r w:rsidR="007014DE">
        <w:t>for</w:t>
      </w:r>
      <w:r w:rsidR="007014DE" w:rsidRPr="00624E90">
        <w:t xml:space="preserve"> </w:t>
      </w:r>
      <w:proofErr w:type="gramStart"/>
      <w:r w:rsidR="00F87BF1" w:rsidRPr="00624E90">
        <w:t>progres</w:t>
      </w:r>
      <w:r>
        <w:t>sing</w:t>
      </w:r>
      <w:proofErr w:type="gramEnd"/>
      <w:r>
        <w:t xml:space="preserve"> a person through </w:t>
      </w:r>
      <w:r w:rsidR="00F87BF1">
        <w:t>education leading to</w:t>
      </w:r>
      <w:r w:rsidR="00F87BF1" w:rsidRPr="00624E90">
        <w:t xml:space="preserve"> employment in </w:t>
      </w:r>
      <w:r w:rsidR="00F87BF1">
        <w:t xml:space="preserve">a </w:t>
      </w:r>
      <w:r w:rsidR="00F87BF1" w:rsidRPr="00624E90">
        <w:t xml:space="preserve">professional field. </w:t>
      </w:r>
      <w:r w:rsidR="00C6630D">
        <w:t>As one participant put it, ‘</w:t>
      </w:r>
      <w:r w:rsidR="00F87BF1" w:rsidRPr="00624E90">
        <w:t>There is a friction between the notion of competence, and professional stan</w:t>
      </w:r>
      <w:r w:rsidR="00C6630D">
        <w:t>dards and professional ability.’</w:t>
      </w:r>
      <w:r w:rsidR="00F87BF1">
        <w:t xml:space="preserve"> Interviews undertaken in the previous years of this study also support this view, as do the finding</w:t>
      </w:r>
      <w:r w:rsidR="006C6E63">
        <w:t>s</w:t>
      </w:r>
      <w:r w:rsidR="00F87BF1">
        <w:t xml:space="preserve"> of our earlier </w:t>
      </w:r>
      <w:r w:rsidR="00F87BF1">
        <w:rPr>
          <w:i/>
        </w:rPr>
        <w:t>Missing Links</w:t>
      </w:r>
      <w:r w:rsidR="00F87BF1">
        <w:t xml:space="preserve"> study undertaken for NCVER (</w:t>
      </w:r>
      <w:proofErr w:type="spellStart"/>
      <w:r w:rsidR="00F87BF1" w:rsidRPr="00B62128">
        <w:t>Wheelahan</w:t>
      </w:r>
      <w:proofErr w:type="spellEnd"/>
      <w:r w:rsidR="00F87BF1" w:rsidRPr="00B62128">
        <w:t xml:space="preserve">, Leahy, </w:t>
      </w:r>
      <w:proofErr w:type="spellStart"/>
      <w:r w:rsidR="00F87BF1" w:rsidRPr="00B62128">
        <w:t>Fredman</w:t>
      </w:r>
      <w:proofErr w:type="spellEnd"/>
      <w:r w:rsidR="00F87BF1" w:rsidRPr="00B62128">
        <w:t xml:space="preserve">, </w:t>
      </w:r>
      <w:proofErr w:type="spellStart"/>
      <w:r w:rsidR="00F87BF1" w:rsidRPr="00B62128">
        <w:t>Moodie</w:t>
      </w:r>
      <w:proofErr w:type="spellEnd"/>
      <w:r w:rsidR="00F87BF1" w:rsidRPr="00B62128">
        <w:t xml:space="preserve">, </w:t>
      </w:r>
      <w:proofErr w:type="spellStart"/>
      <w:r w:rsidR="00F87BF1" w:rsidRPr="00B62128">
        <w:t>Arkoudis</w:t>
      </w:r>
      <w:proofErr w:type="spellEnd"/>
      <w:r w:rsidR="00F87BF1" w:rsidRPr="00B62128">
        <w:t>, &amp; Bexley</w:t>
      </w:r>
      <w:r w:rsidR="00F87BF1">
        <w:t xml:space="preserve"> </w:t>
      </w:r>
      <w:r w:rsidR="00F87BF1" w:rsidRPr="00B62128">
        <w:t>2012).</w:t>
      </w:r>
      <w:r w:rsidR="00F87BF1">
        <w:t xml:space="preserve"> Here, and particularly in our interviews with VE</w:t>
      </w:r>
      <w:r w:rsidR="006E4409">
        <w:t xml:space="preserve">T </w:t>
      </w:r>
      <w:r w:rsidR="00F87BF1">
        <w:t>students, we found that p</w:t>
      </w:r>
      <w:r w:rsidR="00F87BF1" w:rsidRPr="00624E90">
        <w:t xml:space="preserve">eople often struggle in the transition from vocational to higher education. </w:t>
      </w:r>
      <w:r w:rsidR="00F87BF1">
        <w:t>Another interviewee</w:t>
      </w:r>
      <w:r w:rsidR="00C6630D">
        <w:t xml:space="preserve"> for this project commented that ‘</w:t>
      </w:r>
      <w:r w:rsidR="00F87BF1">
        <w:t>t</w:t>
      </w:r>
      <w:r w:rsidR="00F87BF1" w:rsidRPr="00624E90">
        <w:t>hey think operationally and tas</w:t>
      </w:r>
      <w:r w:rsidR="00F87BF1">
        <w:t>k wise rather than conceptually</w:t>
      </w:r>
      <w:r w:rsidR="006E4409">
        <w:t>’</w:t>
      </w:r>
      <w:r w:rsidR="00F87BF1">
        <w:t>,</w:t>
      </w:r>
      <w:r w:rsidR="00F87BF1" w:rsidRPr="00624E90">
        <w:t xml:space="preserve"> </w:t>
      </w:r>
      <w:r w:rsidR="00F87BF1">
        <w:t>and therefore a</w:t>
      </w:r>
      <w:r w:rsidR="00F87BF1" w:rsidRPr="00624E90">
        <w:t xml:space="preserve"> person coming out of </w:t>
      </w:r>
      <w:r w:rsidR="006E4409">
        <w:t xml:space="preserve">competency </w:t>
      </w:r>
      <w:r w:rsidR="00F87BF1">
        <w:t>based training</w:t>
      </w:r>
      <w:r w:rsidR="00F87BF1" w:rsidRPr="00624E90">
        <w:t xml:space="preserve"> will have trouble wit</w:t>
      </w:r>
      <w:r w:rsidR="00F87BF1">
        <w:t>h</w:t>
      </w:r>
      <w:r w:rsidR="00F87BF1" w:rsidRPr="00624E90">
        <w:t xml:space="preserve"> the kind of work a graduate can do.</w:t>
      </w:r>
      <w:r w:rsidR="00F87BF1">
        <w:t xml:space="preserve"> In short, the </w:t>
      </w:r>
      <w:r w:rsidR="00F87BF1" w:rsidRPr="00624E90">
        <w:t>VET/HE divide</w:t>
      </w:r>
      <w:r w:rsidR="00F87BF1">
        <w:t xml:space="preserve"> reinforce</w:t>
      </w:r>
      <w:r w:rsidR="007014DE">
        <w:t>s</w:t>
      </w:r>
      <w:r w:rsidR="00F87BF1" w:rsidRPr="00624E90">
        <w:t xml:space="preserve"> existing industry boundaries</w:t>
      </w:r>
      <w:r w:rsidR="00C6630D">
        <w:t xml:space="preserve"> and occupational segmentation</w:t>
      </w:r>
      <w:r w:rsidR="00F87BF1" w:rsidRPr="00624E90">
        <w:t xml:space="preserve">. </w:t>
      </w:r>
    </w:p>
    <w:p w14:paraId="5FC83AB7" w14:textId="35A665E8" w:rsidR="00F87BF1" w:rsidRDefault="00F87BF1" w:rsidP="00F87BF1">
      <w:pPr>
        <w:pStyle w:val="Text"/>
        <w:rPr>
          <w:lang w:val="en-US"/>
        </w:rPr>
      </w:pPr>
      <w:r>
        <w:rPr>
          <w:lang w:val="en-US"/>
        </w:rPr>
        <w:t xml:space="preserve">We note, however, that our colleagues in Strand 3 of this study found that </w:t>
      </w:r>
      <w:r w:rsidRPr="00E742FD">
        <w:rPr>
          <w:lang w:val="en-US"/>
        </w:rPr>
        <w:t>within</w:t>
      </w:r>
      <w:r>
        <w:rPr>
          <w:lang w:val="en-US"/>
        </w:rPr>
        <w:t xml:space="preserve"> large </w:t>
      </w:r>
      <w:proofErr w:type="spellStart"/>
      <w:r>
        <w:rPr>
          <w:lang w:val="en-US"/>
        </w:rPr>
        <w:t>organi</w:t>
      </w:r>
      <w:r w:rsidR="007014DE">
        <w:rPr>
          <w:lang w:val="en-US"/>
        </w:rPr>
        <w:t>s</w:t>
      </w:r>
      <w:r>
        <w:rPr>
          <w:lang w:val="en-US"/>
        </w:rPr>
        <w:t>ation</w:t>
      </w:r>
      <w:r w:rsidR="007014DE">
        <w:rPr>
          <w:lang w:val="en-US"/>
        </w:rPr>
        <w:t>s</w:t>
      </w:r>
      <w:proofErr w:type="spellEnd"/>
      <w:r w:rsidR="007014DE">
        <w:rPr>
          <w:lang w:val="en-US"/>
        </w:rPr>
        <w:t xml:space="preserve"> such as</w:t>
      </w:r>
      <w:r>
        <w:rPr>
          <w:lang w:val="en-US"/>
        </w:rPr>
        <w:t xml:space="preserve"> banks</w:t>
      </w:r>
      <w:r w:rsidR="007014DE">
        <w:rPr>
          <w:lang w:val="en-US"/>
        </w:rPr>
        <w:t xml:space="preserve"> and insurance companies</w:t>
      </w:r>
      <w:r w:rsidR="00E742FD">
        <w:rPr>
          <w:lang w:val="en-US"/>
        </w:rPr>
        <w:t xml:space="preserve"> </w:t>
      </w:r>
      <w:r w:rsidR="00572455">
        <w:rPr>
          <w:lang w:val="en-US"/>
        </w:rPr>
        <w:t>mid-level</w:t>
      </w:r>
      <w:r>
        <w:rPr>
          <w:lang w:val="en-US"/>
        </w:rPr>
        <w:t xml:space="preserve"> qualifications </w:t>
      </w:r>
      <w:r w:rsidR="00E742FD">
        <w:rPr>
          <w:lang w:val="en-US"/>
        </w:rPr>
        <w:t>are often</w:t>
      </w:r>
      <w:r>
        <w:rPr>
          <w:lang w:val="en-US"/>
        </w:rPr>
        <w:t xml:space="preserve"> the basis of an explicit and well </w:t>
      </w:r>
      <w:proofErr w:type="spellStart"/>
      <w:r>
        <w:rPr>
          <w:lang w:val="en-US"/>
        </w:rPr>
        <w:t>organised</w:t>
      </w:r>
      <w:proofErr w:type="spellEnd"/>
      <w:r>
        <w:rPr>
          <w:lang w:val="en-US"/>
        </w:rPr>
        <w:t xml:space="preserve"> progression within a structured </w:t>
      </w:r>
      <w:proofErr w:type="spellStart"/>
      <w:r>
        <w:rPr>
          <w:lang w:val="en-US"/>
        </w:rPr>
        <w:t>labour</w:t>
      </w:r>
      <w:proofErr w:type="spellEnd"/>
      <w:r>
        <w:rPr>
          <w:lang w:val="en-US"/>
        </w:rPr>
        <w:t xml:space="preserve"> market [Yu </w:t>
      </w:r>
      <w:r w:rsidR="00C6630D">
        <w:rPr>
          <w:lang w:val="en-US"/>
        </w:rPr>
        <w:t xml:space="preserve">et al. </w:t>
      </w:r>
      <w:r>
        <w:rPr>
          <w:lang w:val="en-US"/>
        </w:rPr>
        <w:t>forthcoming]. Our i</w:t>
      </w:r>
      <w:r w:rsidR="00E742FD">
        <w:rPr>
          <w:lang w:val="en-US"/>
        </w:rPr>
        <w:t xml:space="preserve">nterviews with employers and registered training </w:t>
      </w:r>
      <w:proofErr w:type="spellStart"/>
      <w:r w:rsidR="00E742FD">
        <w:rPr>
          <w:lang w:val="en-US"/>
        </w:rPr>
        <w:t>organisation</w:t>
      </w:r>
      <w:r>
        <w:rPr>
          <w:lang w:val="en-US"/>
        </w:rPr>
        <w:t>s</w:t>
      </w:r>
      <w:proofErr w:type="spellEnd"/>
      <w:r w:rsidR="00E742FD">
        <w:rPr>
          <w:lang w:val="en-US"/>
        </w:rPr>
        <w:t xml:space="preserve"> (RTOs)</w:t>
      </w:r>
      <w:r>
        <w:rPr>
          <w:lang w:val="en-US"/>
        </w:rPr>
        <w:t xml:space="preserve"> confirmed these observ</w:t>
      </w:r>
      <w:r w:rsidR="00E742FD">
        <w:rPr>
          <w:lang w:val="en-US"/>
        </w:rPr>
        <w:t xml:space="preserve">ations. In these instances, </w:t>
      </w:r>
      <w:r w:rsidR="00572455">
        <w:rPr>
          <w:lang w:val="en-US"/>
        </w:rPr>
        <w:t>mid-level</w:t>
      </w:r>
      <w:r>
        <w:rPr>
          <w:lang w:val="en-US"/>
        </w:rPr>
        <w:t xml:space="preserve"> qualifi</w:t>
      </w:r>
      <w:r w:rsidR="00E742FD">
        <w:rPr>
          <w:lang w:val="en-US"/>
        </w:rPr>
        <w:t xml:space="preserve">cations (generally delivered in </w:t>
      </w:r>
      <w:r>
        <w:rPr>
          <w:lang w:val="en-US"/>
        </w:rPr>
        <w:t xml:space="preserve">house by a private RTO) are focused on the skills formation and </w:t>
      </w:r>
      <w:proofErr w:type="spellStart"/>
      <w:r>
        <w:rPr>
          <w:lang w:val="en-US"/>
        </w:rPr>
        <w:t>speciali</w:t>
      </w:r>
      <w:r w:rsidR="007014DE">
        <w:rPr>
          <w:lang w:val="en-US"/>
        </w:rPr>
        <w:t>s</w:t>
      </w:r>
      <w:r w:rsidR="00E742FD">
        <w:rPr>
          <w:lang w:val="en-US"/>
        </w:rPr>
        <w:t>ation</w:t>
      </w:r>
      <w:proofErr w:type="spellEnd"/>
      <w:r w:rsidR="00E742FD">
        <w:rPr>
          <w:lang w:val="en-US"/>
        </w:rPr>
        <w:t xml:space="preserve"> of </w:t>
      </w:r>
      <w:r w:rsidR="00C6630D">
        <w:rPr>
          <w:lang w:val="en-US"/>
        </w:rPr>
        <w:t>employees</w:t>
      </w:r>
      <w:r w:rsidR="00E742FD">
        <w:rPr>
          <w:lang w:val="en-US"/>
        </w:rPr>
        <w:t xml:space="preserve"> with higher education qualifications</w:t>
      </w:r>
      <w:r w:rsidR="00C6630D">
        <w:rPr>
          <w:lang w:val="en-US"/>
        </w:rPr>
        <w:t xml:space="preserve">, where higher education </w:t>
      </w:r>
      <w:r>
        <w:rPr>
          <w:lang w:val="en-US"/>
        </w:rPr>
        <w:t>has</w:t>
      </w:r>
      <w:r w:rsidR="00E742FD">
        <w:rPr>
          <w:lang w:val="en-US"/>
        </w:rPr>
        <w:t xml:space="preserve"> been used to screen employees</w:t>
      </w:r>
      <w:r>
        <w:rPr>
          <w:lang w:val="en-US"/>
        </w:rPr>
        <w:t xml:space="preserve"> for entry to that employment. Conversely, where an individual’s high</w:t>
      </w:r>
      <w:r w:rsidR="00E742FD">
        <w:rPr>
          <w:lang w:val="en-US"/>
        </w:rPr>
        <w:t xml:space="preserve">est qualification is at the </w:t>
      </w:r>
      <w:r w:rsidR="00572455">
        <w:rPr>
          <w:lang w:val="en-US"/>
        </w:rPr>
        <w:t>mid-level</w:t>
      </w:r>
      <w:r>
        <w:rPr>
          <w:lang w:val="en-US"/>
        </w:rPr>
        <w:t xml:space="preserve"> they are unlikely to get a job in a big corporation, and therefore will be unable to access the structured internal </w:t>
      </w:r>
      <w:proofErr w:type="spellStart"/>
      <w:r>
        <w:rPr>
          <w:lang w:val="en-US"/>
        </w:rPr>
        <w:t>l</w:t>
      </w:r>
      <w:r w:rsidR="00C6630D">
        <w:rPr>
          <w:lang w:val="en-US"/>
        </w:rPr>
        <w:t>abo</w:t>
      </w:r>
      <w:r w:rsidR="00683DA0">
        <w:rPr>
          <w:lang w:val="en-US"/>
        </w:rPr>
        <w:t>u</w:t>
      </w:r>
      <w:r w:rsidR="00C6630D">
        <w:rPr>
          <w:lang w:val="en-US"/>
        </w:rPr>
        <w:t>r</w:t>
      </w:r>
      <w:proofErr w:type="spellEnd"/>
      <w:r w:rsidR="00C6630D">
        <w:rPr>
          <w:lang w:val="en-US"/>
        </w:rPr>
        <w:t xml:space="preserve"> market of the corporation.</w:t>
      </w:r>
    </w:p>
    <w:p w14:paraId="1F817638" w14:textId="219A0EDA" w:rsidR="00F87BF1" w:rsidRDefault="00F87BF1" w:rsidP="00F87BF1">
      <w:pPr>
        <w:pStyle w:val="Text"/>
        <w:rPr>
          <w:lang w:val="en-US"/>
        </w:rPr>
      </w:pPr>
      <w:r w:rsidRPr="00DA3B44">
        <w:rPr>
          <w:lang w:val="en-US"/>
        </w:rPr>
        <w:t>Vertical mobility is a key issue in financial services, and most workers n</w:t>
      </w:r>
      <w:r w:rsidR="00E742FD">
        <w:rPr>
          <w:lang w:val="en-US"/>
        </w:rPr>
        <w:t>eed a bachelor degree to proceed</w:t>
      </w:r>
      <w:r w:rsidRPr="00DA3B44">
        <w:rPr>
          <w:lang w:val="en-US"/>
        </w:rPr>
        <w:t xml:space="preserve"> to professional or management jobs. Consequently, the team is proposing that vocational diplomas </w:t>
      </w:r>
      <w:proofErr w:type="spellStart"/>
      <w:r w:rsidRPr="00DA3B44">
        <w:rPr>
          <w:lang w:val="en-US"/>
        </w:rPr>
        <w:t>emphasise</w:t>
      </w:r>
      <w:proofErr w:type="spellEnd"/>
      <w:r w:rsidRPr="00DA3B44">
        <w:rPr>
          <w:lang w:val="en-US"/>
        </w:rPr>
        <w:t xml:space="preserve"> broad job outcomes, but also the knowledge and skills students will need to progress to a bachelor degree. Guaranteed pathways from vocational diplomas to relevant degrees will help give students certainty and</w:t>
      </w:r>
      <w:r w:rsidR="00E742FD">
        <w:rPr>
          <w:lang w:val="en-US"/>
        </w:rPr>
        <w:t xml:space="preserve"> will</w:t>
      </w:r>
      <w:r w:rsidRPr="00DA3B44">
        <w:rPr>
          <w:lang w:val="en-US"/>
        </w:rPr>
        <w:t xml:space="preserve"> support more coherent pathways within the field.</w:t>
      </w:r>
    </w:p>
    <w:p w14:paraId="44A0FFDC" w14:textId="4AF14D57" w:rsidR="00F87BF1" w:rsidRPr="00DA3B44" w:rsidRDefault="00F87BF1" w:rsidP="00F87BF1">
      <w:pPr>
        <w:pStyle w:val="Heading2"/>
        <w:rPr>
          <w:lang w:val="en-US"/>
        </w:rPr>
      </w:pPr>
      <w:bookmarkStart w:id="101" w:name="_Toc257836768"/>
      <w:r>
        <w:rPr>
          <w:lang w:val="en-US"/>
        </w:rPr>
        <w:t>H</w:t>
      </w:r>
      <w:r w:rsidRPr="00DA3B44">
        <w:rPr>
          <w:lang w:val="en-US"/>
        </w:rPr>
        <w:t xml:space="preserve">orizontal flexibility </w:t>
      </w:r>
      <w:r w:rsidR="00E742FD">
        <w:rPr>
          <w:lang w:val="en-US"/>
        </w:rPr>
        <w:t>and</w:t>
      </w:r>
      <w:r w:rsidRPr="00DA3B44">
        <w:rPr>
          <w:lang w:val="en-US"/>
        </w:rPr>
        <w:t xml:space="preserve"> vocational </w:t>
      </w:r>
      <w:r>
        <w:rPr>
          <w:lang w:val="en-US"/>
        </w:rPr>
        <w:t>streams</w:t>
      </w:r>
      <w:bookmarkEnd w:id="101"/>
    </w:p>
    <w:p w14:paraId="6F8479A1" w14:textId="64D99AFA" w:rsidR="00F87BF1" w:rsidRDefault="00F87BF1" w:rsidP="00F87BF1">
      <w:pPr>
        <w:pStyle w:val="Text"/>
      </w:pPr>
      <w:r>
        <w:rPr>
          <w:lang w:val="en-US"/>
        </w:rPr>
        <w:t>Q</w:t>
      </w:r>
      <w:r w:rsidRPr="00DA3B44">
        <w:rPr>
          <w:lang w:val="en-US"/>
        </w:rPr>
        <w:t xml:space="preserve">ualifications </w:t>
      </w:r>
      <w:r>
        <w:rPr>
          <w:lang w:val="en-US"/>
        </w:rPr>
        <w:t>need to better</w:t>
      </w:r>
      <w:r w:rsidRPr="00DA3B44">
        <w:rPr>
          <w:lang w:val="en-US"/>
        </w:rPr>
        <w:t xml:space="preserve"> promote graduates’ horizontal flexibility, that is, their capacity to work in different roles and in different parts of the finance industry. </w:t>
      </w:r>
      <w:r>
        <w:rPr>
          <w:lang w:val="en-US"/>
        </w:rPr>
        <w:t>W</w:t>
      </w:r>
      <w:proofErr w:type="spellStart"/>
      <w:r>
        <w:t>e</w:t>
      </w:r>
      <w:proofErr w:type="spellEnd"/>
      <w:r>
        <w:t xml:space="preserve"> asked participants to think about</w:t>
      </w:r>
      <w:r w:rsidR="00B725C6">
        <w:t xml:space="preserve"> how we could better design </w:t>
      </w:r>
      <w:r w:rsidR="00572455">
        <w:t>mid-level</w:t>
      </w:r>
      <w:r>
        <w:t xml:space="preserve"> curricula in finance so that graduates are equipped in a suite of skills suitable for a broad vocational stream rather than a single occupation. Responses were in keeping with the main theme, reiterated acro</w:t>
      </w:r>
      <w:r w:rsidR="00B725C6">
        <w:t xml:space="preserve">ss our interviews: even for low </w:t>
      </w:r>
      <w:r>
        <w:t>level work in financial services, employees need a reasonably sophisticated understanding of professional ethics and the kinds of people skills to ensure all interactions are undertaken with responsibility and integrity. Indeed, one interviewee pointed out that it is at the lower levels of employment, where someone is advising an older person about superannuation for example, that the effects of misadvising can be felt most harshly.</w:t>
      </w:r>
      <w:r w:rsidRPr="00CA67A3">
        <w:t xml:space="preserve"> </w:t>
      </w:r>
      <w:r>
        <w:t xml:space="preserve">Another participant put it in these terms: </w:t>
      </w:r>
      <w:r w:rsidR="00C6630D">
        <w:t>‘</w:t>
      </w:r>
      <w:r w:rsidRPr="00CA67A3">
        <w:t>It’s great if you’ve got the skills ASIC requires but you need to be able to deal with people ethically, you need people management skills and a bunch of other skil</w:t>
      </w:r>
      <w:r w:rsidR="00C6630D">
        <w:t>ls that don’t come from [RG146]</w:t>
      </w:r>
      <w:r w:rsidR="00E97246">
        <w:t>’</w:t>
      </w:r>
      <w:r w:rsidRPr="00CA67A3">
        <w:t>.</w:t>
      </w:r>
      <w:r>
        <w:t xml:space="preserve"> </w:t>
      </w:r>
      <w:r w:rsidRPr="00CA67A3">
        <w:t xml:space="preserve">Professional ethics, </w:t>
      </w:r>
      <w:r>
        <w:t>therefore</w:t>
      </w:r>
      <w:r w:rsidRPr="00CA67A3">
        <w:t xml:space="preserve">, needs to pervade all levels of qualification. </w:t>
      </w:r>
      <w:r>
        <w:t xml:space="preserve">However, </w:t>
      </w:r>
      <w:r w:rsidR="00C6630D">
        <w:t>‘</w:t>
      </w:r>
      <w:r w:rsidRPr="00CA67A3">
        <w:t>You can’t build th</w:t>
      </w:r>
      <w:r w:rsidR="00C6630D">
        <w:t>at into a competency framework</w:t>
      </w:r>
      <w:r w:rsidR="00E97246">
        <w:t>’.</w:t>
      </w:r>
      <w:r w:rsidRPr="00CA67A3">
        <w:t xml:space="preserve"> </w:t>
      </w:r>
      <w:r>
        <w:t xml:space="preserve">Other ‘soft’ skills proposed by participants were </w:t>
      </w:r>
      <w:r w:rsidRPr="00CA67A3">
        <w:t xml:space="preserve">professional identity, professional awareness, </w:t>
      </w:r>
      <w:r>
        <w:t xml:space="preserve">and </w:t>
      </w:r>
      <w:proofErr w:type="spellStart"/>
      <w:r w:rsidRPr="00CA67A3">
        <w:t>self effi</w:t>
      </w:r>
      <w:r>
        <w:t>cacy</w:t>
      </w:r>
      <w:proofErr w:type="spellEnd"/>
      <w:r>
        <w:t xml:space="preserve">: </w:t>
      </w:r>
      <w:r w:rsidR="00C6630D">
        <w:t>‘</w:t>
      </w:r>
      <w:r w:rsidRPr="00CA67A3">
        <w:t xml:space="preserve">Constructs that should be relevant for all levels of qualifications, not picked up when you leave university, [and] not </w:t>
      </w:r>
      <w:r w:rsidR="00E97246">
        <w:t>just from a final capstone unit’.</w:t>
      </w:r>
      <w:r>
        <w:t xml:space="preserve"> These soft skills should be included in </w:t>
      </w:r>
      <w:r>
        <w:lastRenderedPageBreak/>
        <w:t>a curriculum that includes</w:t>
      </w:r>
      <w:r w:rsidRPr="00CA67A3">
        <w:t xml:space="preserve"> </w:t>
      </w:r>
      <w:r>
        <w:t>a basic but thorough</w:t>
      </w:r>
      <w:r w:rsidRPr="00CA67A3">
        <w:t xml:space="preserve"> </w:t>
      </w:r>
      <w:r>
        <w:t xml:space="preserve">understanding of </w:t>
      </w:r>
      <w:r w:rsidRPr="00CA67A3">
        <w:t xml:space="preserve">economics, statistics, financial planning, </w:t>
      </w:r>
      <w:r>
        <w:t xml:space="preserve">and </w:t>
      </w:r>
      <w:r w:rsidRPr="00CA67A3">
        <w:t>client relationships</w:t>
      </w:r>
      <w:r>
        <w:t>.</w:t>
      </w:r>
    </w:p>
    <w:p w14:paraId="483B061B" w14:textId="77777777" w:rsidR="00F87BF1" w:rsidRPr="00DA3B44" w:rsidRDefault="00F87BF1" w:rsidP="00F87BF1">
      <w:pPr>
        <w:pStyle w:val="Heading3"/>
        <w:rPr>
          <w:lang w:val="en-US"/>
        </w:rPr>
      </w:pPr>
      <w:r>
        <w:rPr>
          <w:lang w:val="en-US"/>
        </w:rPr>
        <w:t>E</w:t>
      </w:r>
      <w:r w:rsidRPr="00DA3B44">
        <w:rPr>
          <w:lang w:val="en-US"/>
        </w:rPr>
        <w:t>ngagement between employers and educators</w:t>
      </w:r>
    </w:p>
    <w:p w14:paraId="1B6613F3" w14:textId="77777777" w:rsidR="00F87BF1" w:rsidRDefault="00F87BF1" w:rsidP="00F87BF1">
      <w:pPr>
        <w:pStyle w:val="Text"/>
        <w:rPr>
          <w:lang w:val="en-US"/>
        </w:rPr>
      </w:pPr>
      <w:r>
        <w:rPr>
          <w:lang w:val="en-US"/>
        </w:rPr>
        <w:t xml:space="preserve">In </w:t>
      </w:r>
      <w:r w:rsidR="007014DE">
        <w:rPr>
          <w:lang w:val="en-US"/>
        </w:rPr>
        <w:t xml:space="preserve">its </w:t>
      </w:r>
      <w:r>
        <w:rPr>
          <w:lang w:val="en-US"/>
        </w:rPr>
        <w:t>interviews t</w:t>
      </w:r>
      <w:r w:rsidRPr="00DA3B44">
        <w:rPr>
          <w:lang w:val="en-US"/>
        </w:rPr>
        <w:t xml:space="preserve">he team </w:t>
      </w:r>
      <w:r>
        <w:rPr>
          <w:lang w:val="en-US"/>
        </w:rPr>
        <w:t>proposed t</w:t>
      </w:r>
      <w:r w:rsidRPr="00DA3B44">
        <w:rPr>
          <w:lang w:val="en-US"/>
        </w:rPr>
        <w:t>hat qualifications in financial services be developed mainly in consultation with major employers since these are most important for constructing employees’ transition</w:t>
      </w:r>
      <w:r>
        <w:rPr>
          <w:lang w:val="en-US"/>
        </w:rPr>
        <w:t>, and that</w:t>
      </w:r>
      <w:r w:rsidRPr="00DA3B44">
        <w:rPr>
          <w:lang w:val="en-US"/>
        </w:rPr>
        <w:t xml:space="preserve"> </w:t>
      </w:r>
      <w:proofErr w:type="spellStart"/>
      <w:r w:rsidRPr="00DA3B44">
        <w:rPr>
          <w:lang w:val="en-US"/>
        </w:rPr>
        <w:t>sectoral</w:t>
      </w:r>
      <w:proofErr w:type="spellEnd"/>
      <w:r w:rsidRPr="00DA3B44">
        <w:rPr>
          <w:lang w:val="en-US"/>
        </w:rPr>
        <w:t xml:space="preserve"> bodies should also be consulted to encourage coordination between employers and strengthen </w:t>
      </w:r>
      <w:proofErr w:type="spellStart"/>
      <w:r w:rsidRPr="00DA3B44">
        <w:rPr>
          <w:lang w:val="en-US"/>
        </w:rPr>
        <w:t>sectoral</w:t>
      </w:r>
      <w:proofErr w:type="spellEnd"/>
      <w:r w:rsidRPr="00DA3B44">
        <w:rPr>
          <w:lang w:val="en-US"/>
        </w:rPr>
        <w:t xml:space="preserve"> approaches which are currently much weaker in financial services than in other industries such as agric</w:t>
      </w:r>
      <w:r w:rsidR="00C6630D">
        <w:rPr>
          <w:lang w:val="en-US"/>
        </w:rPr>
        <w:t>ulture, engineering and health.</w:t>
      </w:r>
    </w:p>
    <w:p w14:paraId="36181876" w14:textId="77777777" w:rsidR="00F87BF1" w:rsidRDefault="00F87BF1" w:rsidP="00F87BF1">
      <w:pPr>
        <w:pStyle w:val="Text"/>
      </w:pPr>
      <w:r>
        <w:t>Participants indicated that t</w:t>
      </w:r>
      <w:r w:rsidRPr="00624E90">
        <w:t>he field</w:t>
      </w:r>
      <w:r>
        <w:t xml:space="preserve"> of education in finance, including at universities,</w:t>
      </w:r>
      <w:r w:rsidRPr="00624E90">
        <w:t xml:space="preserve"> suffers from not having had a strong external influence on curriculum (comp</w:t>
      </w:r>
      <w:r>
        <w:t>ared with accounting or</w:t>
      </w:r>
      <w:r w:rsidRPr="00624E90">
        <w:t xml:space="preserve"> economics</w:t>
      </w:r>
      <w:r>
        <w:t>,</w:t>
      </w:r>
      <w:r w:rsidRPr="00624E90">
        <w:t xml:space="preserve"> for example</w:t>
      </w:r>
      <w:r>
        <w:t xml:space="preserve">, where </w:t>
      </w:r>
      <w:r w:rsidR="008258F5">
        <w:t xml:space="preserve">programs </w:t>
      </w:r>
      <w:r>
        <w:t>are generally accredited by professional bodies such as the</w:t>
      </w:r>
      <w:r w:rsidR="00C6630D">
        <w:t xml:space="preserve"> Certified Public Accountants – CPA – Australia</w:t>
      </w:r>
      <w:r w:rsidRPr="00624E90">
        <w:t xml:space="preserve">). </w:t>
      </w:r>
      <w:r>
        <w:t xml:space="preserve">Because of this, some felt that the focus on teaching and learning was weaker in finance than in other business-related fields. This has </w:t>
      </w:r>
      <w:proofErr w:type="spellStart"/>
      <w:r>
        <w:t>lead</w:t>
      </w:r>
      <w:proofErr w:type="spellEnd"/>
      <w:r>
        <w:t xml:space="preserve"> to a </w:t>
      </w:r>
      <w:r w:rsidRPr="00624E90">
        <w:t xml:space="preserve">great deal of variation in </w:t>
      </w:r>
      <w:r>
        <w:t xml:space="preserve">the </w:t>
      </w:r>
      <w:r w:rsidRPr="00624E90">
        <w:t>quality and structure of finance education across the country</w:t>
      </w:r>
      <w:r>
        <w:t>.</w:t>
      </w:r>
    </w:p>
    <w:p w14:paraId="556F2FC5" w14:textId="267F07F9" w:rsidR="00F87BF1" w:rsidRPr="00624E90" w:rsidRDefault="00F87BF1" w:rsidP="00F87BF1">
      <w:pPr>
        <w:pStyle w:val="Text"/>
      </w:pPr>
      <w:r>
        <w:t>Another aspect of training for horizontal flexibility within vocational streams was the need to improv</w:t>
      </w:r>
      <w:r w:rsidR="00477B7D">
        <w:t xml:space="preserve">e work placements and workplace </w:t>
      </w:r>
      <w:r>
        <w:t>based learning. While employers are keen for graduates to have work experience, it is notoriously difficult to find sufficient employers willing to offer placements. One suggestion was for education providers to form close p</w:t>
      </w:r>
      <w:r w:rsidR="00477B7D">
        <w:t xml:space="preserve">artnerships with a small group </w:t>
      </w:r>
      <w:r>
        <w:t>of employers, working together to provide cohesive work integrated learning. It is useful here to note recent developments in the UK, where the Minister for Skills has called for the intr</w:t>
      </w:r>
      <w:r w:rsidR="00477B7D">
        <w:t xml:space="preserve">oduction of apprenticeships (on the job </w:t>
      </w:r>
      <w:r>
        <w:t xml:space="preserve">education) in insurance, accounting and law, as well as ‘higher apprenticeships’ at the equivalent level of a bachelor or </w:t>
      </w:r>
      <w:proofErr w:type="spellStart"/>
      <w:r>
        <w:t>masters</w:t>
      </w:r>
      <w:proofErr w:type="spellEnd"/>
      <w:r>
        <w:t xml:space="preserve"> degree (Hancock 2012). These apprenticeships are based on collaboration between </w:t>
      </w:r>
      <w:r w:rsidRPr="00075108">
        <w:rPr>
          <w:lang w:val="en-US"/>
        </w:rPr>
        <w:t>employers, professional bodies, and further and higher education</w:t>
      </w:r>
      <w:r>
        <w:rPr>
          <w:lang w:val="en-US"/>
        </w:rPr>
        <w:t>. Certainly, such a collaborative model of vocational/professional education and training has great potential, however we would warn against the possibility of such innovation coming at the expense of horizontal flexibility.</w:t>
      </w:r>
    </w:p>
    <w:p w14:paraId="25888EA8" w14:textId="77777777" w:rsidR="00F87BF1" w:rsidRPr="008F5802" w:rsidRDefault="00F87BF1" w:rsidP="00F87BF1">
      <w:pPr>
        <w:pStyle w:val="Heading2"/>
        <w:rPr>
          <w:lang w:val="en-US"/>
        </w:rPr>
      </w:pPr>
      <w:bookmarkStart w:id="102" w:name="_Toc257836769"/>
      <w:r w:rsidRPr="008F5802">
        <w:rPr>
          <w:lang w:val="en-US"/>
        </w:rPr>
        <w:t>Key messages</w:t>
      </w:r>
      <w:r>
        <w:rPr>
          <w:lang w:val="en-US"/>
        </w:rPr>
        <w:t xml:space="preserve"> and conclusion</w:t>
      </w:r>
      <w:bookmarkEnd w:id="102"/>
    </w:p>
    <w:p w14:paraId="02D580B4" w14:textId="3E97B418" w:rsidR="00F87BF1" w:rsidRDefault="00F87BF1" w:rsidP="00F87BF1">
      <w:pPr>
        <w:pStyle w:val="Text"/>
      </w:pPr>
      <w:r>
        <w:t xml:space="preserve">The team in Strand </w:t>
      </w:r>
      <w:r w:rsidR="008258F5">
        <w:t xml:space="preserve">3 </w:t>
      </w:r>
      <w:r>
        <w:t xml:space="preserve">of the project found in the industry support for </w:t>
      </w:r>
      <w:r w:rsidR="00CD2CC0">
        <w:t xml:space="preserve">broad </w:t>
      </w:r>
      <w:r>
        <w:t>education and training programs which develop empl</w:t>
      </w:r>
      <w:r w:rsidR="00CD2CC0">
        <w:t xml:space="preserve">oyability skills and vocationally specific knowledge </w:t>
      </w:r>
      <w:r>
        <w:t>such as knowledge of financial assets, risk and governance, and accounting, which support a range of career directions. The team proposed a vocational stream in funds management, general insurance and banking which included a range of occupations, both within and between firms, which included compliance clerk, business analyst, risk analyst and financial dealer. Another possibility would be a stream which facilitated movement between equities analyst, derivatives analyst, financial broker and financial dealer. Respondents regarded such transitions as common and typically supported by some core disciplinary studies, and/</w:t>
      </w:r>
      <w:r w:rsidR="00477B7D">
        <w:t xml:space="preserve">or strong on the </w:t>
      </w:r>
      <w:r>
        <w:t xml:space="preserve">job learning (Yu &amp; </w:t>
      </w:r>
      <w:proofErr w:type="spellStart"/>
      <w:r>
        <w:t>Bretherton</w:t>
      </w:r>
      <w:proofErr w:type="spellEnd"/>
      <w:r>
        <w:t xml:space="preserve"> forthcoming, p.24). </w:t>
      </w:r>
    </w:p>
    <w:p w14:paraId="53B7194F" w14:textId="12E3EBD4" w:rsidR="00F87BF1" w:rsidRDefault="00F87BF1" w:rsidP="00F87BF1">
      <w:pPr>
        <w:pStyle w:val="Text"/>
        <w:rPr>
          <w:lang w:val="en-US"/>
        </w:rPr>
      </w:pPr>
      <w:r>
        <w:t>Our strand also found a very widesp</w:t>
      </w:r>
      <w:r w:rsidR="00477B7D">
        <w:t xml:space="preserve">read support for </w:t>
      </w:r>
      <w:r>
        <w:t>a vocational stream in financial services that could</w:t>
      </w:r>
      <w:r w:rsidRPr="00DA3B44">
        <w:rPr>
          <w:lang w:val="en-US"/>
        </w:rPr>
        <w:t xml:space="preserve"> prepare individuals to work in a career rather than specific jobs</w:t>
      </w:r>
      <w:r>
        <w:rPr>
          <w:lang w:val="en-US"/>
        </w:rPr>
        <w:t>. It was felt that the traditional bachelor path from a management and commerce degree was to</w:t>
      </w:r>
      <w:r w:rsidR="00477B7D">
        <w:rPr>
          <w:lang w:val="en-US"/>
        </w:rPr>
        <w:t xml:space="preserve">o broad, particularly in a post GFC environment where consumer </w:t>
      </w:r>
      <w:r>
        <w:rPr>
          <w:lang w:val="en-US"/>
        </w:rPr>
        <w:t>facing retail roles are r</w:t>
      </w:r>
      <w:r w:rsidR="00477B7D">
        <w:rPr>
          <w:lang w:val="en-US"/>
        </w:rPr>
        <w:t xml:space="preserve">eplacing traditional investment </w:t>
      </w:r>
      <w:r>
        <w:rPr>
          <w:lang w:val="en-US"/>
        </w:rPr>
        <w:t>house roles:</w:t>
      </w:r>
    </w:p>
    <w:p w14:paraId="3252D414" w14:textId="77777777" w:rsidR="00F87BF1" w:rsidRPr="009F00F0" w:rsidRDefault="00F87BF1" w:rsidP="009F00F0">
      <w:pPr>
        <w:pStyle w:val="Quote"/>
      </w:pPr>
      <w:r w:rsidRPr="009F00F0">
        <w:t xml:space="preserve">There is a tension at the moment between traditional finance/banking programs and financial planning programs... Pathways to corporate and investment baking have disappeared post GFC. </w:t>
      </w:r>
      <w:r w:rsidRPr="009F00F0">
        <w:lastRenderedPageBreak/>
        <w:t>[There are] more banking retail and personal finance roles [and] these are more geared to someone with a Financial Planning degree than the Accounting degree. [Graduates] need to be RG146 compliant and that comes from financial planning not corporate finance. Those emerging tensions make it hard to break up qualifications and occupational roles.</w:t>
      </w:r>
    </w:p>
    <w:p w14:paraId="2E9ECEB8" w14:textId="77777777" w:rsidR="00F87BF1" w:rsidRDefault="00F87BF1" w:rsidP="00F87BF1">
      <w:pPr>
        <w:pStyle w:val="Text"/>
      </w:pPr>
      <w:r>
        <w:t>Workers need to be able to work within the range of roles regulated under RG 146 - securities; derivatives; managed investments; superannuation; general, life and broking of insurance; deposit and non-cash payment products; foreign exchange; first home saver accounts; margin lending facilities; and regulated emissions units. Yet to be able to navigate a career in financial services in the future, workers will also require the new skills to be incorporated into regulation from 2019, such as ‘Concepts in behavioural economics’; ‘Risk profiling/risk tolerance’; ‘Life stages and their characteristics’; ‘Life events and their characteristics’, and ‘Ethics’ (ASIC 2013). What is interesting here is that regulatory arrangements appear to be keeping step with the needs of a swiftly evolving occupation, rather than being put in place to force change.</w:t>
      </w:r>
    </w:p>
    <w:p w14:paraId="1D6D3F50" w14:textId="3493489F" w:rsidR="00F87BF1" w:rsidRDefault="00F87BF1" w:rsidP="00F87BF1">
      <w:pPr>
        <w:pStyle w:val="Text"/>
        <w:rPr>
          <w:lang w:val="en-US"/>
        </w:rPr>
      </w:pPr>
      <w:r>
        <w:rPr>
          <w:lang w:val="en-US"/>
        </w:rPr>
        <w:t xml:space="preserve">Strand </w:t>
      </w:r>
      <w:r w:rsidR="00CD2CC0">
        <w:rPr>
          <w:lang w:val="en-US"/>
        </w:rPr>
        <w:t>3</w:t>
      </w:r>
      <w:r>
        <w:rPr>
          <w:lang w:val="en-US"/>
        </w:rPr>
        <w:t xml:space="preserve"> (Yu forthcoming) also found that, </w:t>
      </w:r>
      <w:r w:rsidR="008258F5">
        <w:rPr>
          <w:lang w:val="en-US"/>
        </w:rPr>
        <w:t>‘</w:t>
      </w:r>
      <w:r>
        <w:rPr>
          <w:lang w:val="en-US"/>
        </w:rPr>
        <w:t xml:space="preserve">the current settings within the financial services </w:t>
      </w:r>
      <w:r>
        <w:rPr>
          <w:i/>
          <w:lang w:val="en-US"/>
        </w:rPr>
        <w:t>already</w:t>
      </w:r>
      <w:r>
        <w:rPr>
          <w:lang w:val="en-US"/>
        </w:rPr>
        <w:t xml:space="preserve"> foster a strong occupational mobility and workers who are adaptable across the vocational stream</w:t>
      </w:r>
      <w:r w:rsidR="008258F5">
        <w:rPr>
          <w:lang w:val="en-US"/>
        </w:rPr>
        <w:t>’</w:t>
      </w:r>
      <w:r>
        <w:rPr>
          <w:lang w:val="en-US"/>
        </w:rPr>
        <w:t xml:space="preserve">. We agree, although with the caveat that, </w:t>
      </w:r>
      <w:r w:rsidR="008258F5">
        <w:rPr>
          <w:lang w:val="en-US"/>
        </w:rPr>
        <w:t>for</w:t>
      </w:r>
      <w:r w:rsidR="00DA061B">
        <w:rPr>
          <w:lang w:val="en-US"/>
        </w:rPr>
        <w:t xml:space="preserve"> </w:t>
      </w:r>
      <w:r w:rsidR="00572455">
        <w:rPr>
          <w:lang w:val="en-US"/>
        </w:rPr>
        <w:t>mid-level</w:t>
      </w:r>
      <w:r>
        <w:rPr>
          <w:lang w:val="en-US"/>
        </w:rPr>
        <w:t xml:space="preserve"> qualifications, mobility is limited to </w:t>
      </w:r>
      <w:proofErr w:type="spellStart"/>
      <w:r>
        <w:rPr>
          <w:lang w:val="en-US"/>
        </w:rPr>
        <w:t>speciali</w:t>
      </w:r>
      <w:r w:rsidR="008258F5">
        <w:rPr>
          <w:lang w:val="en-US"/>
        </w:rPr>
        <w:t>s</w:t>
      </w:r>
      <w:r>
        <w:rPr>
          <w:lang w:val="en-US"/>
        </w:rPr>
        <w:t>ation</w:t>
      </w:r>
      <w:proofErr w:type="spellEnd"/>
      <w:r>
        <w:rPr>
          <w:lang w:val="en-US"/>
        </w:rPr>
        <w:t xml:space="preserve"> via diplomas </w:t>
      </w:r>
      <w:r w:rsidR="008258F5">
        <w:rPr>
          <w:lang w:val="en-US"/>
        </w:rPr>
        <w:t>and other shorter qualifications</w:t>
      </w:r>
      <w:r>
        <w:rPr>
          <w:lang w:val="en-US"/>
        </w:rPr>
        <w:t xml:space="preserve"> </w:t>
      </w:r>
      <w:r>
        <w:rPr>
          <w:i/>
          <w:lang w:val="en-US"/>
        </w:rPr>
        <w:t>post bachelor</w:t>
      </w:r>
      <w:r>
        <w:rPr>
          <w:lang w:val="en-US"/>
        </w:rPr>
        <w:t xml:space="preserve">, and that these qualifications </w:t>
      </w:r>
      <w:r w:rsidR="008258F5">
        <w:rPr>
          <w:lang w:val="en-US"/>
        </w:rPr>
        <w:t xml:space="preserve">are mostly not used </w:t>
      </w:r>
      <w:r>
        <w:rPr>
          <w:lang w:val="en-US"/>
        </w:rPr>
        <w:t>to facilitate entry to the occupation by people from disadvantaged backgrounds.</w:t>
      </w:r>
    </w:p>
    <w:p w14:paraId="0322AB12" w14:textId="77777777" w:rsidR="00F87BF1" w:rsidRDefault="00F87BF1" w:rsidP="00F87BF1">
      <w:pPr>
        <w:pStyle w:val="Text"/>
        <w:rPr>
          <w:lang w:val="en-US"/>
        </w:rPr>
      </w:pPr>
      <w:r>
        <w:rPr>
          <w:lang w:val="en-US"/>
        </w:rPr>
        <w:t xml:space="preserve">Therefore, we need not recommend the </w:t>
      </w:r>
      <w:r w:rsidRPr="00BF2D2D">
        <w:rPr>
          <w:i/>
          <w:lang w:val="en-US"/>
        </w:rPr>
        <w:t>creation</w:t>
      </w:r>
      <w:r>
        <w:rPr>
          <w:lang w:val="en-US"/>
        </w:rPr>
        <w:t xml:space="preserve"> of a vocational stream in the financial services, but rather the purposeful refinement of one that is already nascent. There are a number of key challenges for ensuring that the vocational stream in financial services grows in a healthy direction. These challenges can all be met by adopting a capabilities approach.</w:t>
      </w:r>
    </w:p>
    <w:p w14:paraId="64097E32" w14:textId="1EE6D8B8" w:rsidR="00F87BF1" w:rsidRPr="00E465C4" w:rsidRDefault="00F87BF1" w:rsidP="00F87BF1">
      <w:pPr>
        <w:pStyle w:val="Dotpoint1"/>
        <w:rPr>
          <w:lang w:val="en-US"/>
        </w:rPr>
      </w:pPr>
      <w:r>
        <w:rPr>
          <w:lang w:val="en-US"/>
        </w:rPr>
        <w:t xml:space="preserve">‘Soft’ analytical skills need to pervade all levels of education in the financial services sector. These include: professional ethics, </w:t>
      </w:r>
      <w:r w:rsidRPr="00CA67A3">
        <w:t xml:space="preserve">professional identity, professional awareness, </w:t>
      </w:r>
      <w:r>
        <w:t xml:space="preserve">and </w:t>
      </w:r>
      <w:r w:rsidR="00CD2CC0" w:rsidRPr="00CA67A3">
        <w:t>self-efficacy</w:t>
      </w:r>
      <w:r>
        <w:t>. These skills are incompatible with a compet</w:t>
      </w:r>
      <w:r w:rsidR="00DA061B">
        <w:t xml:space="preserve">encies approach. Therefore, VET </w:t>
      </w:r>
      <w:r>
        <w:t>level education in financial services needs to be broadened and deepened in a way that does not seem possible under the present system.</w:t>
      </w:r>
    </w:p>
    <w:p w14:paraId="5B3B27E5" w14:textId="77777777" w:rsidR="00F87BF1" w:rsidRPr="00E465C4" w:rsidRDefault="00F87BF1" w:rsidP="00F87BF1">
      <w:pPr>
        <w:pStyle w:val="Dotpoint1"/>
        <w:rPr>
          <w:lang w:val="en-US"/>
        </w:rPr>
      </w:pPr>
      <w:r>
        <w:t>Curr</w:t>
      </w:r>
      <w:r w:rsidR="00093D44">
        <w:t>icula also need to include the broader</w:t>
      </w:r>
      <w:r>
        <w:t xml:space="preserve"> skills particular to the sector: </w:t>
      </w:r>
      <w:r w:rsidRPr="00CA67A3">
        <w:t xml:space="preserve">economics, statistics, financial planning, </w:t>
      </w:r>
      <w:r>
        <w:t xml:space="preserve">and </w:t>
      </w:r>
      <w:r w:rsidRPr="00CA67A3">
        <w:t>client relationships</w:t>
      </w:r>
      <w:r>
        <w:t xml:space="preserve">. </w:t>
      </w:r>
      <w:r w:rsidR="00CD2CC0">
        <w:t xml:space="preserve">While these skills </w:t>
      </w:r>
      <w:r w:rsidR="00093D44">
        <w:t>are broader</w:t>
      </w:r>
      <w:r w:rsidR="00CD2CC0">
        <w:t xml:space="preserve">, they need to be contextualised by the field of practice for which students are being prepared and </w:t>
      </w:r>
      <w:r>
        <w:t>need to be embedded into all levels of education.</w:t>
      </w:r>
    </w:p>
    <w:p w14:paraId="077663F9" w14:textId="23947645" w:rsidR="00F87BF1" w:rsidRPr="00E465C4" w:rsidRDefault="00F87BF1" w:rsidP="00F87BF1">
      <w:pPr>
        <w:pStyle w:val="Dotpoint1"/>
        <w:rPr>
          <w:lang w:val="en-US"/>
        </w:rPr>
      </w:pPr>
      <w:r>
        <w:rPr>
          <w:lang w:val="en-US"/>
        </w:rPr>
        <w:t xml:space="preserve">While it is true that </w:t>
      </w:r>
      <w:r>
        <w:rPr>
          <w:i/>
          <w:lang w:val="en-US"/>
        </w:rPr>
        <w:t>within</w:t>
      </w:r>
      <w:r w:rsidR="00DA061B">
        <w:rPr>
          <w:lang w:val="en-US"/>
        </w:rPr>
        <w:t xml:space="preserve"> the employment </w:t>
      </w:r>
      <w:r>
        <w:rPr>
          <w:lang w:val="en-US"/>
        </w:rPr>
        <w:t xml:space="preserve">of large </w:t>
      </w:r>
      <w:proofErr w:type="spellStart"/>
      <w:r>
        <w:rPr>
          <w:lang w:val="en-US"/>
        </w:rPr>
        <w:t>organi</w:t>
      </w:r>
      <w:r w:rsidR="00654C0F">
        <w:rPr>
          <w:lang w:val="en-US"/>
        </w:rPr>
        <w:t>s</w:t>
      </w:r>
      <w:r>
        <w:rPr>
          <w:lang w:val="en-US"/>
        </w:rPr>
        <w:t>ation</w:t>
      </w:r>
      <w:r w:rsidR="00654C0F">
        <w:rPr>
          <w:lang w:val="en-US"/>
        </w:rPr>
        <w:t>s</w:t>
      </w:r>
      <w:proofErr w:type="spellEnd"/>
      <w:r w:rsidR="00654C0F">
        <w:rPr>
          <w:lang w:val="en-US"/>
        </w:rPr>
        <w:t xml:space="preserve"> such as banks and insurance companies</w:t>
      </w:r>
      <w:r w:rsidR="00DA061B">
        <w:rPr>
          <w:lang w:val="en-US"/>
        </w:rPr>
        <w:t xml:space="preserve"> </w:t>
      </w:r>
      <w:r w:rsidR="00572455">
        <w:rPr>
          <w:lang w:val="en-US"/>
        </w:rPr>
        <w:t>mid-level</w:t>
      </w:r>
      <w:r>
        <w:rPr>
          <w:lang w:val="en-US"/>
        </w:rPr>
        <w:t xml:space="preserve"> qualifications often form the basis of an explicit and well </w:t>
      </w:r>
      <w:proofErr w:type="spellStart"/>
      <w:r>
        <w:rPr>
          <w:lang w:val="en-US"/>
        </w:rPr>
        <w:t>organised</w:t>
      </w:r>
      <w:proofErr w:type="spellEnd"/>
      <w:r>
        <w:rPr>
          <w:lang w:val="en-US"/>
        </w:rPr>
        <w:t xml:space="preserve"> progression within a structured </w:t>
      </w:r>
      <w:proofErr w:type="spellStart"/>
      <w:r>
        <w:rPr>
          <w:lang w:val="en-US"/>
        </w:rPr>
        <w:t>labour</w:t>
      </w:r>
      <w:proofErr w:type="spellEnd"/>
      <w:r>
        <w:rPr>
          <w:lang w:val="en-US"/>
        </w:rPr>
        <w:t xml:space="preserve"> market, this is not so outside of such </w:t>
      </w:r>
      <w:proofErr w:type="spellStart"/>
      <w:r>
        <w:rPr>
          <w:lang w:val="en-US"/>
        </w:rPr>
        <w:t>organisations</w:t>
      </w:r>
      <w:proofErr w:type="spellEnd"/>
      <w:r>
        <w:rPr>
          <w:lang w:val="en-US"/>
        </w:rPr>
        <w:t xml:space="preserve">. Therefore, other providers need to build stronger relations with employers to </w:t>
      </w:r>
      <w:r>
        <w:t>improve work placement</w:t>
      </w:r>
      <w:r w:rsidR="00DA061B">
        <w:t xml:space="preserve">s and workplace </w:t>
      </w:r>
      <w:r>
        <w:t xml:space="preserve">based learning. If not, there is the potential </w:t>
      </w:r>
      <w:r w:rsidR="00654C0F">
        <w:t xml:space="preserve">for </w:t>
      </w:r>
      <w:r>
        <w:t xml:space="preserve">creating two </w:t>
      </w:r>
      <w:r w:rsidR="00CD2CC0">
        <w:t xml:space="preserve">streams of education </w:t>
      </w:r>
      <w:r w:rsidR="00654C0F">
        <w:t>which have unequal</w:t>
      </w:r>
      <w:r>
        <w:t xml:space="preserve"> graduate employability.</w:t>
      </w:r>
    </w:p>
    <w:p w14:paraId="63E5EA86" w14:textId="531921D7" w:rsidR="00F87BF1" w:rsidRPr="00351340" w:rsidRDefault="00F87BF1" w:rsidP="00F87BF1">
      <w:pPr>
        <w:pStyle w:val="Dotpoint1"/>
        <w:rPr>
          <w:lang w:val="en-US"/>
        </w:rPr>
      </w:pPr>
      <w:r>
        <w:t xml:space="preserve">Similarly, </w:t>
      </w:r>
      <w:r w:rsidR="00DA061B">
        <w:t xml:space="preserve">there needs to be </w:t>
      </w:r>
      <w:r>
        <w:t>a greater focus on teaching and l</w:t>
      </w:r>
      <w:r w:rsidR="00DA061B">
        <w:t>earning</w:t>
      </w:r>
      <w:r>
        <w:t xml:space="preserve"> in finance education. Participants reported a </w:t>
      </w:r>
      <w:r w:rsidRPr="00624E90">
        <w:t xml:space="preserve">great deal of variation in </w:t>
      </w:r>
      <w:r>
        <w:t xml:space="preserve">the </w:t>
      </w:r>
      <w:r w:rsidRPr="00624E90">
        <w:t>quality and structure of finance education across the country</w:t>
      </w:r>
      <w:r>
        <w:t>. It is unsurprising that mobility takes place within corporate structures if education providers have uneven quality of provision.</w:t>
      </w:r>
    </w:p>
    <w:p w14:paraId="0662F0D2" w14:textId="77777777" w:rsidR="00F87BF1" w:rsidRDefault="00F87BF1" w:rsidP="00F87BF1">
      <w:pPr>
        <w:pStyle w:val="Heading1"/>
      </w:pPr>
      <w:r>
        <w:br w:type="page"/>
      </w:r>
    </w:p>
    <w:p w14:paraId="1CBD6F79" w14:textId="77777777" w:rsidR="00BB7429" w:rsidRDefault="00BB7429" w:rsidP="00BB7429">
      <w:pPr>
        <w:pStyle w:val="Text"/>
      </w:pPr>
    </w:p>
    <w:p w14:paraId="2A6A3DDD" w14:textId="77777777" w:rsidR="00A50895" w:rsidRDefault="00A50895" w:rsidP="00A50895">
      <w:pPr>
        <w:pStyle w:val="Heading1"/>
      </w:pPr>
      <w:bookmarkStart w:id="103" w:name="_Toc456000800"/>
      <w:bookmarkStart w:id="104" w:name="_Toc457122465"/>
      <w:bookmarkStart w:id="105" w:name="_Toc188077643"/>
      <w:bookmarkStart w:id="106" w:name="_Toc257836770"/>
      <w:r>
        <w:t>Refere</w:t>
      </w:r>
      <w:bookmarkStart w:id="107" w:name="_GoBack"/>
      <w:bookmarkEnd w:id="107"/>
      <w:r>
        <w:t>nces</w:t>
      </w:r>
      <w:bookmarkEnd w:id="103"/>
      <w:bookmarkEnd w:id="104"/>
      <w:bookmarkEnd w:id="105"/>
      <w:bookmarkEnd w:id="106"/>
    </w:p>
    <w:p w14:paraId="48D41702" w14:textId="77777777" w:rsidR="002F69A4" w:rsidRPr="00047CE0" w:rsidRDefault="002F69A4" w:rsidP="002F69A4">
      <w:pPr>
        <w:pStyle w:val="References"/>
        <w:ind w:left="720" w:hanging="720"/>
        <w:rPr>
          <w:noProof/>
        </w:rPr>
      </w:pPr>
      <w:r w:rsidRPr="00047CE0">
        <w:rPr>
          <w:noProof/>
        </w:rPr>
        <w:t>ACIL Allen Consulting Group, 2012</w:t>
      </w:r>
      <w:r>
        <w:rPr>
          <w:noProof/>
        </w:rPr>
        <w:t>,</w:t>
      </w:r>
      <w:r w:rsidRPr="00047CE0">
        <w:rPr>
          <w:noProof/>
        </w:rPr>
        <w:t xml:space="preserve"> Rebuilding the agricultural workforce, Canberra.</w:t>
      </w:r>
    </w:p>
    <w:p w14:paraId="0B838BC2" w14:textId="77777777" w:rsidR="00002EC9" w:rsidRPr="00047CE0" w:rsidRDefault="00002EC9" w:rsidP="00002EC9">
      <w:pPr>
        <w:pStyle w:val="References"/>
        <w:rPr>
          <w:noProof/>
        </w:rPr>
      </w:pPr>
      <w:r w:rsidRPr="004F46EA">
        <w:rPr>
          <w:noProof/>
        </w:rPr>
        <w:t>Australian Bureau of Statisitics,</w:t>
      </w:r>
      <w:r w:rsidRPr="00047CE0">
        <w:rPr>
          <w:noProof/>
        </w:rPr>
        <w:t xml:space="preserve"> 2011</w:t>
      </w:r>
      <w:r>
        <w:rPr>
          <w:noProof/>
        </w:rPr>
        <w:t>,</w:t>
      </w:r>
      <w:r w:rsidRPr="00047CE0">
        <w:rPr>
          <w:noProof/>
        </w:rPr>
        <w:t xml:space="preserve"> Industry of </w:t>
      </w:r>
      <w:r>
        <w:rPr>
          <w:noProof/>
        </w:rPr>
        <w:t>e</w:t>
      </w:r>
      <w:r w:rsidRPr="00047CE0">
        <w:rPr>
          <w:noProof/>
        </w:rPr>
        <w:t xml:space="preserve">mployment (1 digit level) by </w:t>
      </w:r>
      <w:r>
        <w:rPr>
          <w:noProof/>
        </w:rPr>
        <w:t>n</w:t>
      </w:r>
      <w:r w:rsidRPr="00047CE0">
        <w:rPr>
          <w:noProof/>
        </w:rPr>
        <w:t>on-</w:t>
      </w:r>
      <w:r>
        <w:rPr>
          <w:noProof/>
        </w:rPr>
        <w:t>s</w:t>
      </w:r>
      <w:r w:rsidRPr="00047CE0">
        <w:rPr>
          <w:noProof/>
        </w:rPr>
        <w:t xml:space="preserve">chool </w:t>
      </w:r>
      <w:r>
        <w:rPr>
          <w:noProof/>
        </w:rPr>
        <w:t>q</w:t>
      </w:r>
      <w:r w:rsidRPr="00047CE0">
        <w:rPr>
          <w:noProof/>
        </w:rPr>
        <w:t xml:space="preserve">ualification: </w:t>
      </w:r>
      <w:r>
        <w:rPr>
          <w:noProof/>
        </w:rPr>
        <w:t>l</w:t>
      </w:r>
      <w:r w:rsidRPr="00047CE0">
        <w:rPr>
          <w:noProof/>
        </w:rPr>
        <w:t xml:space="preserve">evel of </w:t>
      </w:r>
      <w:r>
        <w:rPr>
          <w:noProof/>
        </w:rPr>
        <w:t>e</w:t>
      </w:r>
      <w:r w:rsidRPr="00047CE0">
        <w:rPr>
          <w:noProof/>
        </w:rPr>
        <w:t>ducation (1 digit level) Table generated from ABS Census TableBuilder.</w:t>
      </w:r>
    </w:p>
    <w:p w14:paraId="509557C2" w14:textId="77777777" w:rsidR="000D59D1" w:rsidRPr="001D0904" w:rsidRDefault="000D59D1" w:rsidP="002F69A4">
      <w:pPr>
        <w:pStyle w:val="References"/>
      </w:pPr>
      <w:r>
        <w:t xml:space="preserve">Australian Securities and Investment Commission (ASIC) 2013, </w:t>
      </w:r>
      <w:r w:rsidRPr="001D0904">
        <w:rPr>
          <w:i/>
        </w:rPr>
        <w:t>Licensing: Training of financial product advisers— Update to RG 146</w:t>
      </w:r>
      <w:r w:rsidR="00654C0F">
        <w:t>, viewed 6 January 2014</w:t>
      </w:r>
      <w:proofErr w:type="gramStart"/>
      <w:r w:rsidR="00654C0F">
        <w:t>,</w:t>
      </w:r>
      <w:r w:rsidRPr="001D0904">
        <w:t>&lt;</w:t>
      </w:r>
      <w:proofErr w:type="gramEnd"/>
      <w:r w:rsidR="00F10286">
        <w:fldChar w:fldCharType="begin"/>
      </w:r>
      <w:r w:rsidR="00F10286">
        <w:instrText xml:space="preserve"> HYPERLINK "http://www.asic.gov.au/asic/pdflib.nsf/LookupByFileName/cp212-published-24-June-2013.pdf/$file/cp212-published-24-June-2013.pdf" </w:instrText>
      </w:r>
      <w:r w:rsidR="00F10286">
        <w:fldChar w:fldCharType="separate"/>
      </w:r>
      <w:r w:rsidRPr="001D0904">
        <w:t>http://www.asic.gov.au/asic/pdflib.nsf/LookupByFileName/cp212-published-24-June-2013.pdf/$file/cp212-published-24-June-2013.pdf</w:t>
      </w:r>
      <w:r w:rsidR="00F10286">
        <w:fldChar w:fldCharType="end"/>
      </w:r>
      <w:r w:rsidRPr="001D0904">
        <w:t>&gt;</w:t>
      </w:r>
      <w:r w:rsidR="00654C0F">
        <w:t>.</w:t>
      </w:r>
    </w:p>
    <w:p w14:paraId="0C5495DB" w14:textId="77777777" w:rsidR="00002EC9" w:rsidRPr="00047CE0" w:rsidRDefault="00002EC9" w:rsidP="00002EC9">
      <w:pPr>
        <w:pStyle w:val="References"/>
        <w:ind w:left="720" w:hanging="720"/>
        <w:rPr>
          <w:noProof/>
        </w:rPr>
      </w:pPr>
      <w:r w:rsidRPr="004F46EA">
        <w:rPr>
          <w:noProof/>
        </w:rPr>
        <w:t>Australian Workforce Productivity</w:t>
      </w:r>
      <w:r w:rsidRPr="00047CE0">
        <w:rPr>
          <w:noProof/>
        </w:rPr>
        <w:t xml:space="preserve"> Agency </w:t>
      </w:r>
      <w:r>
        <w:rPr>
          <w:noProof/>
        </w:rPr>
        <w:t>(</w:t>
      </w:r>
      <w:r w:rsidRPr="00047CE0">
        <w:rPr>
          <w:noProof/>
        </w:rPr>
        <w:t>AWPA</w:t>
      </w:r>
      <w:r>
        <w:rPr>
          <w:noProof/>
        </w:rPr>
        <w:t>)</w:t>
      </w:r>
      <w:r w:rsidRPr="00047CE0">
        <w:rPr>
          <w:noProof/>
        </w:rPr>
        <w:t xml:space="preserve"> 2012</w:t>
      </w:r>
      <w:r>
        <w:rPr>
          <w:noProof/>
        </w:rPr>
        <w:t>,</w:t>
      </w:r>
      <w:r w:rsidRPr="00047CE0">
        <w:rPr>
          <w:noProof/>
        </w:rPr>
        <w:t xml:space="preserve"> Resource sector skills needs, </w:t>
      </w:r>
      <w:r>
        <w:rPr>
          <w:noProof/>
        </w:rPr>
        <w:t xml:space="preserve">AWPA, </w:t>
      </w:r>
      <w:r w:rsidRPr="00047CE0">
        <w:rPr>
          <w:noProof/>
        </w:rPr>
        <w:t>Canberra.</w:t>
      </w:r>
    </w:p>
    <w:p w14:paraId="2405A703" w14:textId="77777777" w:rsidR="00002EC9" w:rsidRPr="00047CE0" w:rsidRDefault="00002EC9" w:rsidP="00002EC9">
      <w:pPr>
        <w:pStyle w:val="References"/>
        <w:ind w:left="720" w:hanging="720"/>
        <w:rPr>
          <w:noProof/>
        </w:rPr>
      </w:pPr>
      <w:r w:rsidRPr="004F46EA">
        <w:rPr>
          <w:noProof/>
        </w:rPr>
        <w:t>Australian Workforce Productivity</w:t>
      </w:r>
      <w:r w:rsidRPr="00047CE0">
        <w:rPr>
          <w:noProof/>
        </w:rPr>
        <w:t xml:space="preserve"> Agency </w:t>
      </w:r>
      <w:r>
        <w:rPr>
          <w:noProof/>
        </w:rPr>
        <w:t>(</w:t>
      </w:r>
      <w:r w:rsidRPr="00047CE0">
        <w:rPr>
          <w:noProof/>
        </w:rPr>
        <w:t>AWPA</w:t>
      </w:r>
      <w:r>
        <w:rPr>
          <w:noProof/>
        </w:rPr>
        <w:t>)</w:t>
      </w:r>
      <w:r w:rsidRPr="00047CE0">
        <w:rPr>
          <w:noProof/>
        </w:rPr>
        <w:t xml:space="preserve"> 2013a</w:t>
      </w:r>
      <w:r>
        <w:rPr>
          <w:noProof/>
        </w:rPr>
        <w:t>,</w:t>
      </w:r>
      <w:r w:rsidRPr="00047CE0">
        <w:rPr>
          <w:noProof/>
        </w:rPr>
        <w:t xml:space="preserve"> Food and beverage workforce study, </w:t>
      </w:r>
      <w:r>
        <w:rPr>
          <w:noProof/>
        </w:rPr>
        <w:t xml:space="preserve">AWPA, </w:t>
      </w:r>
      <w:r w:rsidRPr="00047CE0">
        <w:rPr>
          <w:noProof/>
        </w:rPr>
        <w:t>Canberra.</w:t>
      </w:r>
    </w:p>
    <w:p w14:paraId="07E4D744" w14:textId="77777777" w:rsidR="00002EC9" w:rsidRPr="00047CE0" w:rsidRDefault="00002EC9" w:rsidP="00002EC9">
      <w:pPr>
        <w:pStyle w:val="References"/>
        <w:rPr>
          <w:noProof/>
        </w:rPr>
      </w:pPr>
      <w:r w:rsidRPr="004F46EA">
        <w:rPr>
          <w:noProof/>
        </w:rPr>
        <w:t>Australian Workforce Productivity</w:t>
      </w:r>
      <w:r w:rsidRPr="00047CE0">
        <w:rPr>
          <w:noProof/>
        </w:rPr>
        <w:t xml:space="preserve"> Agency </w:t>
      </w:r>
      <w:r>
        <w:rPr>
          <w:noProof/>
        </w:rPr>
        <w:t>(</w:t>
      </w:r>
      <w:r w:rsidRPr="00047CE0">
        <w:rPr>
          <w:noProof/>
        </w:rPr>
        <w:t>AWPA</w:t>
      </w:r>
      <w:r>
        <w:rPr>
          <w:noProof/>
        </w:rPr>
        <w:t>)</w:t>
      </w:r>
      <w:r w:rsidRPr="00047CE0">
        <w:rPr>
          <w:noProof/>
        </w:rPr>
        <w:t xml:space="preserve"> 2013b</w:t>
      </w:r>
      <w:r>
        <w:rPr>
          <w:noProof/>
        </w:rPr>
        <w:t>,</w:t>
      </w:r>
      <w:r w:rsidRPr="00047CE0">
        <w:rPr>
          <w:noProof/>
        </w:rPr>
        <w:t xml:space="preserve"> Manufacturing workforce issues paper, </w:t>
      </w:r>
      <w:r>
        <w:rPr>
          <w:noProof/>
        </w:rPr>
        <w:t xml:space="preserve">AWPA, </w:t>
      </w:r>
      <w:r w:rsidRPr="00047CE0">
        <w:rPr>
          <w:noProof/>
        </w:rPr>
        <w:t>Canberra.</w:t>
      </w:r>
    </w:p>
    <w:p w14:paraId="7122EF84" w14:textId="77777777" w:rsidR="00E262F1" w:rsidRPr="00047CE0" w:rsidRDefault="00E262F1" w:rsidP="00E262F1">
      <w:pPr>
        <w:pStyle w:val="References"/>
        <w:rPr>
          <w:noProof/>
        </w:rPr>
      </w:pPr>
      <w:r w:rsidRPr="004F46EA">
        <w:rPr>
          <w:noProof/>
        </w:rPr>
        <w:t>Community Services and Health</w:t>
      </w:r>
      <w:r w:rsidRPr="00047CE0">
        <w:rPr>
          <w:noProof/>
        </w:rPr>
        <w:t xml:space="preserve"> Industry Skills Council 2013</w:t>
      </w:r>
      <w:r>
        <w:rPr>
          <w:noProof/>
        </w:rPr>
        <w:t>,</w:t>
      </w:r>
      <w:r w:rsidRPr="00047CE0">
        <w:rPr>
          <w:noProof/>
        </w:rPr>
        <w:t xml:space="preserve"> The care industry: A time for action environmental Scan 2013, </w:t>
      </w:r>
      <w:r w:rsidRPr="004F46EA">
        <w:rPr>
          <w:noProof/>
        </w:rPr>
        <w:t>Community Services and Health</w:t>
      </w:r>
      <w:r w:rsidRPr="00047CE0">
        <w:rPr>
          <w:noProof/>
        </w:rPr>
        <w:t xml:space="preserve"> Industry Skills Council</w:t>
      </w:r>
      <w:r>
        <w:rPr>
          <w:noProof/>
        </w:rPr>
        <w:t>,</w:t>
      </w:r>
      <w:r w:rsidRPr="00047CE0">
        <w:rPr>
          <w:noProof/>
        </w:rPr>
        <w:t xml:space="preserve"> Sydney.</w:t>
      </w:r>
    </w:p>
    <w:p w14:paraId="644B9469" w14:textId="77777777" w:rsidR="000D59D1" w:rsidRPr="00EE57E5" w:rsidRDefault="000D59D1" w:rsidP="00AD6DB3">
      <w:pPr>
        <w:pStyle w:val="References"/>
      </w:pPr>
      <w:r w:rsidRPr="00EE57E5">
        <w:t xml:space="preserve">Cully, M 2003, </w:t>
      </w:r>
      <w:r w:rsidRPr="003026F1">
        <w:rPr>
          <w:i/>
        </w:rPr>
        <w:t>Pathways to knowledge work</w:t>
      </w:r>
      <w:r w:rsidRPr="00EE57E5">
        <w:t>, NCVER, Adelaide, viewed 10 June 2004</w:t>
      </w:r>
      <w:r w:rsidR="00654C0F">
        <w:t>,</w:t>
      </w:r>
      <w:r w:rsidRPr="00EE57E5">
        <w:t xml:space="preserve"> </w:t>
      </w:r>
      <w:proofErr w:type="gramStart"/>
      <w:r w:rsidRPr="00EE57E5">
        <w:t>&lt;</w:t>
      </w:r>
      <w:proofErr w:type="gramEnd"/>
      <w:r w:rsidRPr="00EE57E5">
        <w:t>http://www.ncver.edu.au/publications/927.html&gt;.</w:t>
      </w:r>
    </w:p>
    <w:p w14:paraId="42896AEB" w14:textId="77777777" w:rsidR="000D59D1" w:rsidRPr="00EE57E5" w:rsidRDefault="000D59D1" w:rsidP="00AD6DB3">
      <w:pPr>
        <w:pStyle w:val="References"/>
      </w:pPr>
      <w:r w:rsidRPr="00EE57E5">
        <w:t xml:space="preserve">Curtain, R 2003, </w:t>
      </w:r>
      <w:r w:rsidRPr="003026F1">
        <w:rPr>
          <w:i/>
        </w:rPr>
        <w:t>The Intermediate skills pool, new apprenticeships and skill shortages</w:t>
      </w:r>
      <w:r w:rsidRPr="00EE57E5">
        <w:t>, Curtain Consulting, Melbourne, viewed 12 September 2010</w:t>
      </w:r>
      <w:r w:rsidR="00654C0F">
        <w:t>,</w:t>
      </w:r>
      <w:r w:rsidRPr="00EE57E5">
        <w:t xml:space="preserve"> &lt;http://www.curtain- consulting.net.au/</w:t>
      </w:r>
      <w:proofErr w:type="spellStart"/>
      <w:r w:rsidRPr="00EE57E5">
        <w:t>download_controlled</w:t>
      </w:r>
      <w:proofErr w:type="spellEnd"/>
      <w:r w:rsidRPr="00EE57E5">
        <w:t>/Skill 20formation/sub101.pdf&gt;.</w:t>
      </w:r>
    </w:p>
    <w:p w14:paraId="2CD78CFE" w14:textId="55FC10D4" w:rsidR="00E262F1" w:rsidRPr="00047CE0" w:rsidRDefault="006A5C63" w:rsidP="00E262F1">
      <w:pPr>
        <w:pStyle w:val="References"/>
        <w:ind w:left="720" w:hanging="720"/>
        <w:rPr>
          <w:noProof/>
        </w:rPr>
      </w:pPr>
      <w:r>
        <w:rPr>
          <w:noProof/>
        </w:rPr>
        <w:t xml:space="preserve">Engineers Australia </w:t>
      </w:r>
      <w:r w:rsidR="00E262F1" w:rsidRPr="004F46EA">
        <w:rPr>
          <w:noProof/>
        </w:rPr>
        <w:t>2013</w:t>
      </w:r>
      <w:r w:rsidR="00E262F1">
        <w:rPr>
          <w:noProof/>
        </w:rPr>
        <w:t>,</w:t>
      </w:r>
      <w:r w:rsidR="00E262F1" w:rsidRPr="004F46EA">
        <w:rPr>
          <w:noProof/>
        </w:rPr>
        <w:t xml:space="preserve"> The</w:t>
      </w:r>
      <w:r w:rsidR="00E262F1" w:rsidRPr="00047CE0">
        <w:rPr>
          <w:noProof/>
        </w:rPr>
        <w:t xml:space="preserve"> engineering profession: </w:t>
      </w:r>
      <w:r w:rsidR="00E262F1">
        <w:rPr>
          <w:noProof/>
        </w:rPr>
        <w:t>a</w:t>
      </w:r>
      <w:r w:rsidR="00E262F1" w:rsidRPr="00047CE0">
        <w:rPr>
          <w:noProof/>
        </w:rPr>
        <w:t xml:space="preserve"> statistical overview, </w:t>
      </w:r>
      <w:r w:rsidR="00E262F1" w:rsidRPr="004F46EA">
        <w:rPr>
          <w:noProof/>
        </w:rPr>
        <w:t>Engineers Australia</w:t>
      </w:r>
      <w:r w:rsidR="00E262F1">
        <w:rPr>
          <w:noProof/>
        </w:rPr>
        <w:t>,</w:t>
      </w:r>
      <w:r w:rsidR="00E262F1" w:rsidRPr="00047CE0">
        <w:rPr>
          <w:noProof/>
        </w:rPr>
        <w:t xml:space="preserve"> Canberra.</w:t>
      </w:r>
    </w:p>
    <w:p w14:paraId="6448BB05" w14:textId="77777777" w:rsidR="00485C93" w:rsidRPr="00047CE0" w:rsidRDefault="00485C93" w:rsidP="00485C93">
      <w:pPr>
        <w:pStyle w:val="References"/>
        <w:rPr>
          <w:noProof/>
        </w:rPr>
      </w:pPr>
      <w:r w:rsidRPr="004F46EA">
        <w:rPr>
          <w:noProof/>
        </w:rPr>
        <w:t>Fredman, N 2013</w:t>
      </w:r>
      <w:r>
        <w:rPr>
          <w:noProof/>
        </w:rPr>
        <w:t>,</w:t>
      </w:r>
      <w:r w:rsidRPr="004F46EA">
        <w:rPr>
          <w:noProof/>
        </w:rPr>
        <w:t xml:space="preserve"> </w:t>
      </w:r>
      <w:r>
        <w:rPr>
          <w:noProof/>
        </w:rPr>
        <w:t>‘</w:t>
      </w:r>
      <w:r w:rsidRPr="004F46EA">
        <w:rPr>
          <w:noProof/>
        </w:rPr>
        <w:t>Student</w:t>
      </w:r>
      <w:r w:rsidRPr="00047CE0">
        <w:rPr>
          <w:noProof/>
        </w:rPr>
        <w:t xml:space="preserve"> movement: </w:t>
      </w:r>
      <w:r>
        <w:rPr>
          <w:noProof/>
        </w:rPr>
        <w:t>p</w:t>
      </w:r>
      <w:r w:rsidRPr="00047CE0">
        <w:rPr>
          <w:noProof/>
        </w:rPr>
        <w:t>athways, fields and links to work</w:t>
      </w:r>
      <w:r>
        <w:rPr>
          <w:noProof/>
        </w:rPr>
        <w:t>’</w:t>
      </w:r>
      <w:r w:rsidRPr="00047CE0">
        <w:rPr>
          <w:noProof/>
        </w:rPr>
        <w:t xml:space="preserve"> </w:t>
      </w:r>
      <w:r w:rsidRPr="00F6118F">
        <w:rPr>
          <w:i/>
          <w:noProof/>
        </w:rPr>
        <w:t>International Journal of Training Research</w:t>
      </w:r>
      <w:r>
        <w:rPr>
          <w:noProof/>
        </w:rPr>
        <w:t>,</w:t>
      </w:r>
      <w:r w:rsidRPr="00047CE0">
        <w:rPr>
          <w:noProof/>
        </w:rPr>
        <w:t xml:space="preserve"> 11, </w:t>
      </w:r>
      <w:r>
        <w:rPr>
          <w:noProof/>
        </w:rPr>
        <w:t>pp.</w:t>
      </w:r>
      <w:r w:rsidRPr="00047CE0">
        <w:rPr>
          <w:noProof/>
        </w:rPr>
        <w:t>5–16.</w:t>
      </w:r>
    </w:p>
    <w:p w14:paraId="553BAB59" w14:textId="77777777" w:rsidR="00485C93" w:rsidRPr="00047CE0" w:rsidRDefault="00485C93" w:rsidP="00485C93">
      <w:pPr>
        <w:pStyle w:val="References"/>
        <w:rPr>
          <w:noProof/>
        </w:rPr>
      </w:pPr>
      <w:r w:rsidRPr="00047CE0">
        <w:rPr>
          <w:noProof/>
        </w:rPr>
        <w:t xml:space="preserve">Fredman, N </w:t>
      </w:r>
      <w:r>
        <w:rPr>
          <w:noProof/>
        </w:rPr>
        <w:t>f</w:t>
      </w:r>
      <w:r w:rsidRPr="00047CE0">
        <w:rPr>
          <w:noProof/>
        </w:rPr>
        <w:t>orthcoming</w:t>
      </w:r>
      <w:r>
        <w:rPr>
          <w:noProof/>
        </w:rPr>
        <w:t>,</w:t>
      </w:r>
      <w:r w:rsidRPr="00047CE0">
        <w:rPr>
          <w:noProof/>
        </w:rPr>
        <w:t xml:space="preserve"> Pathways, student motivations and </w:t>
      </w:r>
      <w:r w:rsidRPr="004F46EA">
        <w:rPr>
          <w:noProof/>
        </w:rPr>
        <w:t>human capital theory, 21st</w:t>
      </w:r>
      <w:r w:rsidRPr="00047CE0">
        <w:rPr>
          <w:noProof/>
        </w:rPr>
        <w:t xml:space="preserve"> National Vocational Education and Training Research Conference, Adelaide.</w:t>
      </w:r>
    </w:p>
    <w:p w14:paraId="6D294AD3" w14:textId="77777777" w:rsidR="00485C93" w:rsidRPr="00047CE0" w:rsidRDefault="00485C93" w:rsidP="00485C93">
      <w:pPr>
        <w:pStyle w:val="References"/>
        <w:rPr>
          <w:noProof/>
        </w:rPr>
      </w:pPr>
      <w:r w:rsidRPr="004F46EA">
        <w:rPr>
          <w:noProof/>
        </w:rPr>
        <w:t>Fredman, N, Moodie, G</w:t>
      </w:r>
      <w:r>
        <w:rPr>
          <w:noProof/>
        </w:rPr>
        <w:t xml:space="preserve"> &amp;</w:t>
      </w:r>
      <w:r w:rsidRPr="004F46EA">
        <w:rPr>
          <w:noProof/>
        </w:rPr>
        <w:t xml:space="preserve"> Bexley,</w:t>
      </w:r>
      <w:r w:rsidRPr="00047CE0">
        <w:rPr>
          <w:noProof/>
        </w:rPr>
        <w:t xml:space="preserve"> E 2013</w:t>
      </w:r>
      <w:r>
        <w:rPr>
          <w:noProof/>
        </w:rPr>
        <w:t>,</w:t>
      </w:r>
      <w:r w:rsidRPr="00047CE0">
        <w:rPr>
          <w:noProof/>
        </w:rPr>
        <w:t xml:space="preserve"> Vocational education’s variable links to vocations — support document. National Centre for Vocational Education Research, Adelaide.</w:t>
      </w:r>
    </w:p>
    <w:p w14:paraId="64286428" w14:textId="77777777" w:rsidR="000D59D1" w:rsidRPr="00DA024C" w:rsidRDefault="000D59D1" w:rsidP="00AD6DB3">
      <w:pPr>
        <w:pStyle w:val="References"/>
      </w:pPr>
      <w:proofErr w:type="spellStart"/>
      <w:r w:rsidRPr="00240FBE">
        <w:t>Gallacher</w:t>
      </w:r>
      <w:proofErr w:type="spellEnd"/>
      <w:r w:rsidRPr="00240FBE">
        <w:t xml:space="preserve">, J, Ingram, R &amp; Reeve, F 2011, </w:t>
      </w:r>
      <w:proofErr w:type="gramStart"/>
      <w:r w:rsidRPr="001D0904">
        <w:rPr>
          <w:i/>
        </w:rPr>
        <w:t>Are</w:t>
      </w:r>
      <w:proofErr w:type="gramEnd"/>
      <w:r w:rsidRPr="001D0904">
        <w:rPr>
          <w:i/>
        </w:rPr>
        <w:t xml:space="preserve"> vocational qualifications vocational</w:t>
      </w:r>
      <w:r w:rsidRPr="00240FBE">
        <w:t xml:space="preserve">? </w:t>
      </w:r>
      <w:proofErr w:type="gramStart"/>
      <w:r w:rsidRPr="00240FBE">
        <w:t>Draft, Centre for the Research in Lifelong Learning, Glasgow Caledonian University, Glasgow.</w:t>
      </w:r>
      <w:proofErr w:type="gramEnd"/>
      <w:r>
        <w:t xml:space="preserve"> </w:t>
      </w:r>
    </w:p>
    <w:p w14:paraId="7C9734C2" w14:textId="77777777" w:rsidR="000D59D1" w:rsidRPr="00EE57E5" w:rsidRDefault="000D59D1" w:rsidP="00B47E68">
      <w:pPr>
        <w:pStyle w:val="References"/>
      </w:pPr>
      <w:r w:rsidRPr="00EE57E5">
        <w:t>Graduate Careers Australia 2011</w:t>
      </w:r>
      <w:r w:rsidR="00654C0F">
        <w:t>,</w:t>
      </w:r>
      <w:r w:rsidRPr="00EE57E5">
        <w:t xml:space="preserve"> </w:t>
      </w:r>
      <w:proofErr w:type="spellStart"/>
      <w:r w:rsidRPr="003026F1">
        <w:rPr>
          <w:i/>
        </w:rPr>
        <w:t>GradStats</w:t>
      </w:r>
      <w:proofErr w:type="spellEnd"/>
      <w:r w:rsidRPr="003026F1">
        <w:rPr>
          <w:i/>
        </w:rPr>
        <w:t xml:space="preserve">. </w:t>
      </w:r>
      <w:proofErr w:type="gramStart"/>
      <w:r w:rsidRPr="003026F1">
        <w:rPr>
          <w:i/>
        </w:rPr>
        <w:t>Employment and salary outcomes of recent higher education graduates</w:t>
      </w:r>
      <w:r w:rsidRPr="00EE57E5">
        <w:t>, viewed 14 December 2011</w:t>
      </w:r>
      <w:r w:rsidR="00654C0F">
        <w:t>,</w:t>
      </w:r>
      <w:r w:rsidRPr="00EE57E5">
        <w:t xml:space="preserve"> &lt;http://www.graduatecareers.com.au/Research/ResearchReports/GradStats/index.htm&gt;</w:t>
      </w:r>
      <w:r w:rsidR="00654C0F">
        <w:t>.</w:t>
      </w:r>
      <w:proofErr w:type="gramEnd"/>
    </w:p>
    <w:p w14:paraId="4FCFFBB3" w14:textId="77777777" w:rsidR="000D59D1" w:rsidRDefault="000D59D1" w:rsidP="00B47E68">
      <w:pPr>
        <w:pStyle w:val="References"/>
      </w:pPr>
      <w:r w:rsidRPr="00075108">
        <w:t xml:space="preserve">Hancock, </w:t>
      </w:r>
      <w:r>
        <w:t>M</w:t>
      </w:r>
      <w:proofErr w:type="gramStart"/>
      <w:r>
        <w:t>,2012</w:t>
      </w:r>
      <w:proofErr w:type="gramEnd"/>
      <w:r>
        <w:t>,</w:t>
      </w:r>
      <w:r w:rsidRPr="00075108">
        <w:t xml:space="preserve"> </w:t>
      </w:r>
      <w:r w:rsidR="00E262F1">
        <w:t>‘</w:t>
      </w:r>
      <w:r w:rsidRPr="00075108">
        <w:t>An apprenticeship will soon match all a degree has to offer</w:t>
      </w:r>
      <w:r w:rsidR="00E262F1">
        <w:t>’</w:t>
      </w:r>
      <w:r w:rsidRPr="00075108">
        <w:t xml:space="preserve">, the </w:t>
      </w:r>
      <w:r w:rsidRPr="00075108">
        <w:rPr>
          <w:i/>
        </w:rPr>
        <w:t>Telegraph</w:t>
      </w:r>
      <w:r w:rsidRPr="00075108">
        <w:t>, 27 December</w:t>
      </w:r>
      <w:r w:rsidR="00B47E68">
        <w:t xml:space="preserve">, viewed 6 January 2014, </w:t>
      </w:r>
      <w:r>
        <w:t>&lt;</w:t>
      </w:r>
      <w:hyperlink r:id="rId34" w:history="1">
        <w:r w:rsidRPr="004E191E">
          <w:rPr>
            <w:rStyle w:val="Hyperlink"/>
            <w:sz w:val="18"/>
          </w:rPr>
          <w:t>http://www.telegraph.co.uk/finance/jobs/9767605/An-apprenticeship-will-soon-match-all-a-degree-has-to-offer.html</w:t>
        </w:r>
      </w:hyperlink>
      <w:r>
        <w:t>&gt;</w:t>
      </w:r>
      <w:r w:rsidR="00B47E68">
        <w:t>.</w:t>
      </w:r>
    </w:p>
    <w:p w14:paraId="78F7DA5D" w14:textId="77777777" w:rsidR="00485C93" w:rsidRPr="00047CE0" w:rsidRDefault="00485C93" w:rsidP="00485C93">
      <w:pPr>
        <w:pStyle w:val="References"/>
        <w:rPr>
          <w:noProof/>
        </w:rPr>
      </w:pPr>
      <w:r w:rsidRPr="00047CE0">
        <w:rPr>
          <w:noProof/>
        </w:rPr>
        <w:t>Karmel, T, Fieger, P 2012</w:t>
      </w:r>
      <w:r>
        <w:rPr>
          <w:noProof/>
        </w:rPr>
        <w:t>,</w:t>
      </w:r>
      <w:r w:rsidRPr="00047CE0">
        <w:rPr>
          <w:noProof/>
        </w:rPr>
        <w:t xml:space="preserve"> The </w:t>
      </w:r>
      <w:r w:rsidRPr="004F46EA">
        <w:rPr>
          <w:noProof/>
        </w:rPr>
        <w:t>value of completing a VET</w:t>
      </w:r>
      <w:r w:rsidRPr="00047CE0">
        <w:rPr>
          <w:noProof/>
        </w:rPr>
        <w:t xml:space="preserve"> qualification</w:t>
      </w:r>
      <w:r>
        <w:rPr>
          <w:noProof/>
        </w:rPr>
        <w:t>,</w:t>
      </w:r>
      <w:r w:rsidRPr="00047CE0">
        <w:rPr>
          <w:noProof/>
        </w:rPr>
        <w:t xml:space="preserve"> National Centre for Vocational Education Research</w:t>
      </w:r>
      <w:r>
        <w:rPr>
          <w:noProof/>
        </w:rPr>
        <w:t>, Adelaide</w:t>
      </w:r>
      <w:r w:rsidRPr="00047CE0">
        <w:rPr>
          <w:noProof/>
        </w:rPr>
        <w:t>.</w:t>
      </w:r>
    </w:p>
    <w:p w14:paraId="578127E8" w14:textId="77777777" w:rsidR="00683C78" w:rsidRPr="00047CE0" w:rsidRDefault="00683C78" w:rsidP="00683C78">
      <w:pPr>
        <w:pStyle w:val="References"/>
        <w:rPr>
          <w:noProof/>
        </w:rPr>
      </w:pPr>
      <w:r w:rsidRPr="004F46EA">
        <w:rPr>
          <w:noProof/>
        </w:rPr>
        <w:t>Leahy, M 2013</w:t>
      </w:r>
      <w:r>
        <w:rPr>
          <w:noProof/>
        </w:rPr>
        <w:t xml:space="preserve">, </w:t>
      </w:r>
      <w:r w:rsidRPr="004F46EA">
        <w:rPr>
          <w:noProof/>
        </w:rPr>
        <w:t>Aged care and</w:t>
      </w:r>
      <w:r w:rsidRPr="00047CE0">
        <w:rPr>
          <w:noProof/>
        </w:rPr>
        <w:t xml:space="preserve"> disability services sector paper: For the ‘From Competencies to Capabilities Project’</w:t>
      </w:r>
      <w:r>
        <w:rPr>
          <w:noProof/>
        </w:rPr>
        <w:t>,</w:t>
      </w:r>
      <w:r w:rsidRPr="00047CE0">
        <w:rPr>
          <w:noProof/>
        </w:rPr>
        <w:t xml:space="preserve"> LH Martin Institute for Tertiary Education Leadership and Management, University of Melbourne, Melbourne.</w:t>
      </w:r>
    </w:p>
    <w:p w14:paraId="10E4CE85" w14:textId="77777777" w:rsidR="00683C78" w:rsidRPr="00047CE0" w:rsidRDefault="00683C78" w:rsidP="00683C78">
      <w:pPr>
        <w:pStyle w:val="References"/>
        <w:rPr>
          <w:noProof/>
        </w:rPr>
      </w:pPr>
      <w:r w:rsidRPr="004F46EA">
        <w:rPr>
          <w:noProof/>
        </w:rPr>
        <w:t>Minerals Council of Australia 2012</w:t>
      </w:r>
      <w:r>
        <w:rPr>
          <w:noProof/>
        </w:rPr>
        <w:t>,</w:t>
      </w:r>
      <w:r w:rsidRPr="00047CE0">
        <w:rPr>
          <w:noProof/>
        </w:rPr>
        <w:t xml:space="preserve"> Workforce </w:t>
      </w:r>
      <w:r>
        <w:rPr>
          <w:noProof/>
        </w:rPr>
        <w:t>s</w:t>
      </w:r>
      <w:r w:rsidRPr="00047CE0">
        <w:rPr>
          <w:noProof/>
        </w:rPr>
        <w:t xml:space="preserve">kills, </w:t>
      </w:r>
      <w:r>
        <w:rPr>
          <w:noProof/>
        </w:rPr>
        <w:t>e</w:t>
      </w:r>
      <w:r w:rsidRPr="00047CE0">
        <w:rPr>
          <w:noProof/>
        </w:rPr>
        <w:t xml:space="preserve">ducation and </w:t>
      </w:r>
      <w:r>
        <w:rPr>
          <w:noProof/>
        </w:rPr>
        <w:t>t</w:t>
      </w:r>
      <w:r w:rsidRPr="00047CE0">
        <w:rPr>
          <w:noProof/>
        </w:rPr>
        <w:t xml:space="preserve">raining: </w:t>
      </w:r>
      <w:r>
        <w:rPr>
          <w:noProof/>
        </w:rPr>
        <w:t>p</w:t>
      </w:r>
      <w:r w:rsidRPr="00047CE0">
        <w:rPr>
          <w:noProof/>
        </w:rPr>
        <w:t xml:space="preserve">riorities and principles of the Australian minerals industry, </w:t>
      </w:r>
      <w:r w:rsidRPr="004F46EA">
        <w:rPr>
          <w:noProof/>
        </w:rPr>
        <w:t>Minerals Council of Australia</w:t>
      </w:r>
      <w:r>
        <w:rPr>
          <w:noProof/>
        </w:rPr>
        <w:t>,</w:t>
      </w:r>
      <w:r w:rsidRPr="004F46EA">
        <w:rPr>
          <w:noProof/>
        </w:rPr>
        <w:t xml:space="preserve"> </w:t>
      </w:r>
      <w:r w:rsidRPr="00047CE0">
        <w:rPr>
          <w:noProof/>
        </w:rPr>
        <w:t>Canberra.</w:t>
      </w:r>
    </w:p>
    <w:p w14:paraId="34D372A0" w14:textId="77777777" w:rsidR="00683C78" w:rsidRPr="00047CE0" w:rsidRDefault="00683C78" w:rsidP="00683C78">
      <w:pPr>
        <w:pStyle w:val="References"/>
        <w:rPr>
          <w:noProof/>
        </w:rPr>
      </w:pPr>
      <w:r w:rsidRPr="004F46EA">
        <w:rPr>
          <w:noProof/>
        </w:rPr>
        <w:t>Moodie, G 2012</w:t>
      </w:r>
      <w:r>
        <w:rPr>
          <w:noProof/>
        </w:rPr>
        <w:t>a,</w:t>
      </w:r>
      <w:r w:rsidRPr="004F46EA">
        <w:rPr>
          <w:noProof/>
        </w:rPr>
        <w:t xml:space="preserve"> The</w:t>
      </w:r>
      <w:r w:rsidRPr="00047CE0">
        <w:rPr>
          <w:noProof/>
        </w:rPr>
        <w:t xml:space="preserve"> role of educational institutions in fostering vocations</w:t>
      </w:r>
      <w:r>
        <w:rPr>
          <w:noProof/>
        </w:rPr>
        <w:t>,</w:t>
      </w:r>
      <w:r w:rsidRPr="00047CE0">
        <w:rPr>
          <w:noProof/>
        </w:rPr>
        <w:t xml:space="preserve"> National Centre for Vocational Education Research, Adelaide.</w:t>
      </w:r>
    </w:p>
    <w:p w14:paraId="2EE12158" w14:textId="77777777" w:rsidR="00683C78" w:rsidRPr="00F6118F" w:rsidRDefault="00683C78" w:rsidP="00683C78">
      <w:pPr>
        <w:autoSpaceDE w:val="0"/>
        <w:autoSpaceDN w:val="0"/>
        <w:adjustRightInd w:val="0"/>
        <w:spacing w:before="120"/>
        <w:ind w:left="284" w:hanging="284"/>
        <w:rPr>
          <w:sz w:val="18"/>
          <w:szCs w:val="18"/>
        </w:rPr>
      </w:pPr>
      <w:r w:rsidRPr="00F6118F">
        <w:rPr>
          <w:noProof/>
          <w:sz w:val="18"/>
          <w:szCs w:val="18"/>
        </w:rPr>
        <w:t xml:space="preserve">Moodie, G 2012b, ‘Variations in the rate at which students cross the boundaries between Australian vocational and higher education’ </w:t>
      </w:r>
      <w:r w:rsidRPr="00F6118F">
        <w:rPr>
          <w:i/>
          <w:noProof/>
          <w:sz w:val="18"/>
          <w:szCs w:val="18"/>
        </w:rPr>
        <w:t>The Australian Educational Researcher</w:t>
      </w:r>
      <w:r w:rsidRPr="00F6118F">
        <w:rPr>
          <w:noProof/>
          <w:sz w:val="18"/>
          <w:szCs w:val="18"/>
        </w:rPr>
        <w:t xml:space="preserve">, </w:t>
      </w:r>
      <w:r w:rsidRPr="00F6118F">
        <w:rPr>
          <w:sz w:val="18"/>
          <w:szCs w:val="18"/>
        </w:rPr>
        <w:t>vol. 39, no. 2, pp. 143-158.</w:t>
      </w:r>
    </w:p>
    <w:p w14:paraId="0DC8EFCF" w14:textId="4956B8A4" w:rsidR="00683C78" w:rsidRPr="00047CE0" w:rsidRDefault="00683C78" w:rsidP="00683C78">
      <w:pPr>
        <w:pStyle w:val="References"/>
        <w:rPr>
          <w:noProof/>
        </w:rPr>
      </w:pPr>
      <w:r w:rsidRPr="004F46EA">
        <w:rPr>
          <w:noProof/>
        </w:rPr>
        <w:t>Moodie, G,</w:t>
      </w:r>
      <w:r>
        <w:rPr>
          <w:noProof/>
        </w:rPr>
        <w:t xml:space="preserve"> &amp;</w:t>
      </w:r>
      <w:r w:rsidRPr="004F46EA">
        <w:rPr>
          <w:noProof/>
        </w:rPr>
        <w:t xml:space="preserve"> Fredman, N 2013</w:t>
      </w:r>
      <w:r w:rsidR="00011B80">
        <w:rPr>
          <w:noProof/>
        </w:rPr>
        <w:t>,</w:t>
      </w:r>
      <w:r w:rsidRPr="00047CE0">
        <w:rPr>
          <w:noProof/>
        </w:rPr>
        <w:t xml:space="preserve"> Student load and employment outcomes attached to mid-level qualifications. National Centre for Vocational Education Research, Adelaide.</w:t>
      </w:r>
    </w:p>
    <w:p w14:paraId="70A48C92" w14:textId="77777777" w:rsidR="000D59D1" w:rsidRPr="00EE57E5" w:rsidRDefault="000D59D1" w:rsidP="00B47E68">
      <w:pPr>
        <w:pStyle w:val="References"/>
      </w:pPr>
      <w:proofErr w:type="spellStart"/>
      <w:r w:rsidRPr="00EE57E5">
        <w:t>Moodie</w:t>
      </w:r>
      <w:proofErr w:type="spellEnd"/>
      <w:r w:rsidRPr="00EE57E5">
        <w:t xml:space="preserve">, G, </w:t>
      </w:r>
      <w:proofErr w:type="spellStart"/>
      <w:r w:rsidRPr="00EE57E5">
        <w:t>Fredman</w:t>
      </w:r>
      <w:proofErr w:type="spellEnd"/>
      <w:r w:rsidRPr="00EE57E5">
        <w:t xml:space="preserve">, N, Bexley, E </w:t>
      </w:r>
      <w:r w:rsidR="002F69A4">
        <w:t>&amp;</w:t>
      </w:r>
      <w:r w:rsidR="002F69A4" w:rsidRPr="00EE57E5">
        <w:t xml:space="preserve"> </w:t>
      </w:r>
      <w:proofErr w:type="spellStart"/>
      <w:r w:rsidRPr="00EE57E5">
        <w:t>Wheelahan</w:t>
      </w:r>
      <w:proofErr w:type="spellEnd"/>
      <w:r w:rsidRPr="00EE57E5">
        <w:t xml:space="preserve">, L </w:t>
      </w:r>
      <w:r w:rsidR="00B47E68">
        <w:t>2013,</w:t>
      </w:r>
      <w:r w:rsidRPr="00EE57E5">
        <w:t xml:space="preserve"> Vocational education’s variable links to vocations, Adelaide, National Centre for Vocational Education Research</w:t>
      </w:r>
      <w:r w:rsidR="00B47E68">
        <w:t xml:space="preserve">, viewed </w:t>
      </w:r>
      <w:r w:rsidR="00B47E68" w:rsidRPr="009F00F0">
        <w:t>18 December 2013, &lt;http://www.ncver.edu.au/publications/2689.html&gt;</w:t>
      </w:r>
      <w:r w:rsidRPr="00EE57E5">
        <w:t>.</w:t>
      </w:r>
    </w:p>
    <w:p w14:paraId="73B1BBF7" w14:textId="77777777" w:rsidR="00304C0D" w:rsidRPr="00F6118F" w:rsidRDefault="00304C0D" w:rsidP="00304C0D">
      <w:pPr>
        <w:pStyle w:val="References"/>
        <w:ind w:left="720" w:hanging="720"/>
        <w:rPr>
          <w:noProof/>
        </w:rPr>
      </w:pPr>
      <w:r w:rsidRPr="004F46EA">
        <w:rPr>
          <w:noProof/>
        </w:rPr>
        <w:t>National Centre for Dairy Education</w:t>
      </w:r>
      <w:r w:rsidRPr="00047CE0">
        <w:rPr>
          <w:noProof/>
        </w:rPr>
        <w:t xml:space="preserve"> Australia </w:t>
      </w:r>
      <w:r>
        <w:rPr>
          <w:noProof/>
        </w:rPr>
        <w:t>(</w:t>
      </w:r>
      <w:r w:rsidRPr="00047CE0">
        <w:rPr>
          <w:noProof/>
        </w:rPr>
        <w:t>NCDEA</w:t>
      </w:r>
      <w:r>
        <w:rPr>
          <w:noProof/>
        </w:rPr>
        <w:t>)</w:t>
      </w:r>
      <w:r w:rsidRPr="00047CE0">
        <w:rPr>
          <w:noProof/>
        </w:rPr>
        <w:t xml:space="preserve"> 2010</w:t>
      </w:r>
      <w:r>
        <w:rPr>
          <w:noProof/>
        </w:rPr>
        <w:t>,</w:t>
      </w:r>
      <w:r w:rsidRPr="00047CE0">
        <w:rPr>
          <w:noProof/>
        </w:rPr>
        <w:t xml:space="preserve"> Courses</w:t>
      </w:r>
      <w:r>
        <w:rPr>
          <w:noProof/>
        </w:rPr>
        <w:t xml:space="preserve">, </w:t>
      </w:r>
      <w:r w:rsidRPr="00047CE0">
        <w:rPr>
          <w:noProof/>
        </w:rPr>
        <w:t>NCDEA</w:t>
      </w:r>
      <w:r>
        <w:rPr>
          <w:noProof/>
        </w:rPr>
        <w:t>,</w:t>
      </w:r>
      <w:r w:rsidRPr="00F6118F">
        <w:rPr>
          <w:noProof/>
        </w:rPr>
        <w:t xml:space="preserve"> Warragul.</w:t>
      </w:r>
    </w:p>
    <w:p w14:paraId="0484E78C" w14:textId="77777777" w:rsidR="000D59D1" w:rsidRPr="00EE57E5" w:rsidRDefault="000D59D1" w:rsidP="00B47E68">
      <w:pPr>
        <w:pStyle w:val="References"/>
      </w:pPr>
      <w:r w:rsidRPr="00EE57E5">
        <w:t xml:space="preserve">NCVER 2011, </w:t>
      </w:r>
      <w:r w:rsidRPr="003026F1">
        <w:rPr>
          <w:i/>
        </w:rPr>
        <w:t>Australian vocational education and training statistics: student outcomes 2011</w:t>
      </w:r>
      <w:r w:rsidRPr="00EE57E5">
        <w:t>, CURF. Findings based on use of NCVER CURF data.</w:t>
      </w:r>
    </w:p>
    <w:p w14:paraId="79B3A03A" w14:textId="77777777" w:rsidR="00304C0D" w:rsidRPr="00047CE0" w:rsidRDefault="00304C0D" w:rsidP="00304C0D">
      <w:pPr>
        <w:pStyle w:val="References"/>
        <w:ind w:left="720" w:hanging="720"/>
        <w:rPr>
          <w:noProof/>
        </w:rPr>
      </w:pPr>
      <w:r w:rsidRPr="004F46EA">
        <w:rPr>
          <w:noProof/>
        </w:rPr>
        <w:lastRenderedPageBreak/>
        <w:t>NCVER 2013</w:t>
      </w:r>
      <w:r>
        <w:rPr>
          <w:noProof/>
        </w:rPr>
        <w:t>,</w:t>
      </w:r>
      <w:r w:rsidRPr="004F46EA">
        <w:rPr>
          <w:noProof/>
        </w:rPr>
        <w:t xml:space="preserve"> Student outcomes,</w:t>
      </w:r>
      <w:r w:rsidRPr="00047CE0">
        <w:rPr>
          <w:noProof/>
        </w:rPr>
        <w:t xml:space="preserve"> unpublished data, Adelaide.</w:t>
      </w:r>
    </w:p>
    <w:p w14:paraId="7B16BE03" w14:textId="77777777" w:rsidR="00304C0D" w:rsidRPr="00047CE0" w:rsidRDefault="00304C0D" w:rsidP="00304C0D">
      <w:pPr>
        <w:pStyle w:val="References"/>
        <w:rPr>
          <w:noProof/>
        </w:rPr>
      </w:pPr>
      <w:r w:rsidRPr="00047CE0">
        <w:rPr>
          <w:noProof/>
        </w:rPr>
        <w:t>Nussbaum, M</w:t>
      </w:r>
      <w:r>
        <w:rPr>
          <w:noProof/>
        </w:rPr>
        <w:t xml:space="preserve"> </w:t>
      </w:r>
      <w:r w:rsidRPr="00047CE0">
        <w:rPr>
          <w:noProof/>
        </w:rPr>
        <w:t>C 2000</w:t>
      </w:r>
      <w:r>
        <w:rPr>
          <w:noProof/>
        </w:rPr>
        <w:t>,</w:t>
      </w:r>
      <w:r w:rsidRPr="00047CE0">
        <w:rPr>
          <w:noProof/>
        </w:rPr>
        <w:t xml:space="preserve"> </w:t>
      </w:r>
      <w:r w:rsidRPr="00F6118F">
        <w:rPr>
          <w:i/>
          <w:noProof/>
        </w:rPr>
        <w:t>Women and human development: the capabilities approach</w:t>
      </w:r>
      <w:r>
        <w:rPr>
          <w:noProof/>
        </w:rPr>
        <w:t>,</w:t>
      </w:r>
      <w:r w:rsidRPr="00047CE0">
        <w:rPr>
          <w:noProof/>
        </w:rPr>
        <w:t xml:space="preserve"> Cambridge University Press (kindle book), Cambridge.</w:t>
      </w:r>
    </w:p>
    <w:p w14:paraId="32847D7D" w14:textId="77777777" w:rsidR="00304C0D" w:rsidRPr="00047CE0" w:rsidRDefault="00304C0D" w:rsidP="00304C0D">
      <w:pPr>
        <w:pStyle w:val="References"/>
        <w:rPr>
          <w:noProof/>
        </w:rPr>
      </w:pPr>
      <w:r w:rsidRPr="004F46EA">
        <w:rPr>
          <w:noProof/>
        </w:rPr>
        <w:t>Nussbaum, M</w:t>
      </w:r>
      <w:r>
        <w:rPr>
          <w:noProof/>
        </w:rPr>
        <w:t xml:space="preserve"> </w:t>
      </w:r>
      <w:r w:rsidRPr="004F46EA">
        <w:rPr>
          <w:noProof/>
        </w:rPr>
        <w:t>C 2011</w:t>
      </w:r>
      <w:r>
        <w:rPr>
          <w:noProof/>
        </w:rPr>
        <w:t>,</w:t>
      </w:r>
      <w:r w:rsidRPr="00047CE0">
        <w:rPr>
          <w:noProof/>
        </w:rPr>
        <w:t xml:space="preserve"> </w:t>
      </w:r>
      <w:r>
        <w:rPr>
          <w:noProof/>
        </w:rPr>
        <w:t>‘</w:t>
      </w:r>
      <w:r w:rsidRPr="00047CE0">
        <w:rPr>
          <w:noProof/>
        </w:rPr>
        <w:t xml:space="preserve">Capabilities, </w:t>
      </w:r>
      <w:r>
        <w:rPr>
          <w:noProof/>
        </w:rPr>
        <w:t>e</w:t>
      </w:r>
      <w:r w:rsidRPr="00047CE0">
        <w:rPr>
          <w:noProof/>
        </w:rPr>
        <w:t xml:space="preserve">ntitlements, </w:t>
      </w:r>
      <w:r>
        <w:rPr>
          <w:noProof/>
        </w:rPr>
        <w:t>r</w:t>
      </w:r>
      <w:r w:rsidRPr="00047CE0">
        <w:rPr>
          <w:noProof/>
        </w:rPr>
        <w:t xml:space="preserve">ights: </w:t>
      </w:r>
      <w:r>
        <w:rPr>
          <w:noProof/>
        </w:rPr>
        <w:t>s</w:t>
      </w:r>
      <w:r w:rsidRPr="00047CE0">
        <w:rPr>
          <w:noProof/>
        </w:rPr>
        <w:t xml:space="preserve">upplementation and </w:t>
      </w:r>
      <w:r>
        <w:rPr>
          <w:noProof/>
        </w:rPr>
        <w:t>c</w:t>
      </w:r>
      <w:r w:rsidRPr="00047CE0">
        <w:rPr>
          <w:noProof/>
        </w:rPr>
        <w:t>ritique</w:t>
      </w:r>
      <w:r>
        <w:rPr>
          <w:noProof/>
        </w:rPr>
        <w:t>’,</w:t>
      </w:r>
      <w:r w:rsidRPr="00047CE0">
        <w:rPr>
          <w:noProof/>
        </w:rPr>
        <w:t xml:space="preserve"> </w:t>
      </w:r>
      <w:r w:rsidRPr="00F6118F">
        <w:rPr>
          <w:i/>
          <w:noProof/>
        </w:rPr>
        <w:t>Journal of Human Development and Capabilities</w:t>
      </w:r>
      <w:r>
        <w:rPr>
          <w:noProof/>
        </w:rPr>
        <w:t>,</w:t>
      </w:r>
      <w:r w:rsidRPr="00047CE0">
        <w:rPr>
          <w:noProof/>
        </w:rPr>
        <w:t xml:space="preserve"> 12, </w:t>
      </w:r>
      <w:r>
        <w:rPr>
          <w:noProof/>
        </w:rPr>
        <w:t>pp.</w:t>
      </w:r>
      <w:r w:rsidRPr="00047CE0">
        <w:rPr>
          <w:noProof/>
        </w:rPr>
        <w:t>23-37.</w:t>
      </w:r>
    </w:p>
    <w:p w14:paraId="1FCEFCC1" w14:textId="77777777" w:rsidR="00707512" w:rsidRPr="00047CE0" w:rsidRDefault="00707512" w:rsidP="00707512">
      <w:pPr>
        <w:pStyle w:val="References"/>
        <w:rPr>
          <w:noProof/>
        </w:rPr>
      </w:pPr>
      <w:r w:rsidRPr="004F46EA">
        <w:rPr>
          <w:noProof/>
        </w:rPr>
        <w:t>Pratley, J 2012</w:t>
      </w:r>
      <w:r>
        <w:rPr>
          <w:noProof/>
        </w:rPr>
        <w:t>,</w:t>
      </w:r>
      <w:r w:rsidRPr="004F46EA">
        <w:rPr>
          <w:noProof/>
        </w:rPr>
        <w:t xml:space="preserve"> Review into</w:t>
      </w:r>
      <w:r w:rsidRPr="00047CE0">
        <w:rPr>
          <w:noProof/>
        </w:rPr>
        <w:t xml:space="preserve"> agricultural education and training in New South Wales — Issues paper</w:t>
      </w:r>
      <w:r>
        <w:rPr>
          <w:noProof/>
        </w:rPr>
        <w:t>,</w:t>
      </w:r>
      <w:r w:rsidRPr="00047CE0">
        <w:rPr>
          <w:noProof/>
        </w:rPr>
        <w:t xml:space="preserve"> NSW Government, Sydney.</w:t>
      </w:r>
    </w:p>
    <w:p w14:paraId="62C33182" w14:textId="77777777" w:rsidR="00707512" w:rsidRPr="004F46EA" w:rsidRDefault="00707512" w:rsidP="00707512">
      <w:pPr>
        <w:pStyle w:val="References"/>
        <w:ind w:left="720" w:hanging="720"/>
        <w:rPr>
          <w:noProof/>
        </w:rPr>
      </w:pPr>
      <w:r w:rsidRPr="00047CE0">
        <w:rPr>
          <w:noProof/>
        </w:rPr>
        <w:t>Sen, A 1999</w:t>
      </w:r>
      <w:r>
        <w:rPr>
          <w:noProof/>
        </w:rPr>
        <w:t>,</w:t>
      </w:r>
      <w:r w:rsidRPr="00047CE0">
        <w:rPr>
          <w:noProof/>
        </w:rPr>
        <w:t xml:space="preserve"> </w:t>
      </w:r>
      <w:r w:rsidRPr="00F6118F">
        <w:rPr>
          <w:i/>
          <w:noProof/>
        </w:rPr>
        <w:t>Development as freedom</w:t>
      </w:r>
      <w:r>
        <w:rPr>
          <w:noProof/>
        </w:rPr>
        <w:t>,</w:t>
      </w:r>
      <w:r w:rsidRPr="004F46EA">
        <w:rPr>
          <w:noProof/>
        </w:rPr>
        <w:t xml:space="preserve"> Anchor Books, New York.</w:t>
      </w:r>
    </w:p>
    <w:p w14:paraId="754F274F" w14:textId="77777777" w:rsidR="00707512" w:rsidRPr="00047CE0" w:rsidRDefault="00707512" w:rsidP="00707512">
      <w:pPr>
        <w:pStyle w:val="References"/>
        <w:ind w:left="720" w:hanging="720"/>
        <w:rPr>
          <w:noProof/>
        </w:rPr>
      </w:pPr>
      <w:r w:rsidRPr="004F46EA">
        <w:rPr>
          <w:noProof/>
        </w:rPr>
        <w:t>Sen, A 2009</w:t>
      </w:r>
      <w:r>
        <w:rPr>
          <w:noProof/>
        </w:rPr>
        <w:t>,</w:t>
      </w:r>
      <w:r w:rsidRPr="004F46EA">
        <w:rPr>
          <w:noProof/>
        </w:rPr>
        <w:t xml:space="preserve"> </w:t>
      </w:r>
      <w:r w:rsidRPr="00F6118F">
        <w:rPr>
          <w:i/>
          <w:noProof/>
        </w:rPr>
        <w:t>The idea of justice</w:t>
      </w:r>
      <w:r>
        <w:rPr>
          <w:noProof/>
        </w:rPr>
        <w:t>,</w:t>
      </w:r>
      <w:r w:rsidRPr="00047CE0">
        <w:rPr>
          <w:noProof/>
        </w:rPr>
        <w:t xml:space="preserve"> The Belknap Press, Cambridge, Massachusetts.</w:t>
      </w:r>
    </w:p>
    <w:p w14:paraId="78A3EECB" w14:textId="77777777" w:rsidR="00707512" w:rsidRPr="00047CE0" w:rsidRDefault="00707512" w:rsidP="00707512">
      <w:pPr>
        <w:pStyle w:val="References"/>
        <w:rPr>
          <w:noProof/>
        </w:rPr>
      </w:pPr>
      <w:r w:rsidRPr="00063D2A">
        <w:rPr>
          <w:noProof/>
        </w:rPr>
        <w:t>Wheelahan, L 2009</w:t>
      </w:r>
      <w:r>
        <w:rPr>
          <w:noProof/>
        </w:rPr>
        <w:t>,</w:t>
      </w:r>
      <w:r w:rsidRPr="00063D2A">
        <w:rPr>
          <w:noProof/>
        </w:rPr>
        <w:t xml:space="preserve"> Rethinking equity policy in tertiary</w:t>
      </w:r>
      <w:r w:rsidRPr="00047CE0">
        <w:rPr>
          <w:noProof/>
        </w:rPr>
        <w:t xml:space="preserve"> education: why VET and higher education have to </w:t>
      </w:r>
      <w:r w:rsidRPr="00063D2A">
        <w:rPr>
          <w:noProof/>
        </w:rPr>
        <w:t>work together</w:t>
      </w:r>
      <w:r>
        <w:rPr>
          <w:noProof/>
        </w:rPr>
        <w:t>,</w:t>
      </w:r>
      <w:r w:rsidRPr="00063D2A">
        <w:rPr>
          <w:noProof/>
        </w:rPr>
        <w:t xml:space="preserve"> Social Inclusion in</w:t>
      </w:r>
      <w:r w:rsidRPr="00047CE0">
        <w:rPr>
          <w:noProof/>
        </w:rPr>
        <w:t xml:space="preserve"> Education conference</w:t>
      </w:r>
      <w:r>
        <w:rPr>
          <w:noProof/>
        </w:rPr>
        <w:t>,</w:t>
      </w:r>
      <w:r w:rsidRPr="00047CE0">
        <w:rPr>
          <w:noProof/>
        </w:rPr>
        <w:t xml:space="preserve"> Informa and the National Centre for Student Equity in Higher Education, Sydney.</w:t>
      </w:r>
    </w:p>
    <w:p w14:paraId="440CCD91" w14:textId="77777777" w:rsidR="00707512" w:rsidRPr="00047CE0" w:rsidRDefault="00707512" w:rsidP="00707512">
      <w:pPr>
        <w:pStyle w:val="References"/>
        <w:rPr>
          <w:noProof/>
        </w:rPr>
      </w:pPr>
      <w:r w:rsidRPr="00047CE0">
        <w:rPr>
          <w:noProof/>
        </w:rPr>
        <w:t xml:space="preserve">Wheelahan, L </w:t>
      </w:r>
      <w:r>
        <w:rPr>
          <w:noProof/>
        </w:rPr>
        <w:t xml:space="preserve">&amp; </w:t>
      </w:r>
      <w:r w:rsidRPr="00047CE0">
        <w:rPr>
          <w:noProof/>
        </w:rPr>
        <w:t xml:space="preserve">Buchanan, J </w:t>
      </w:r>
      <w:r w:rsidRPr="00063D2A">
        <w:rPr>
          <w:noProof/>
        </w:rPr>
        <w:t>2013</w:t>
      </w:r>
      <w:r>
        <w:rPr>
          <w:noProof/>
        </w:rPr>
        <w:t>,</w:t>
      </w:r>
      <w:r w:rsidRPr="00063D2A">
        <w:rPr>
          <w:noProof/>
        </w:rPr>
        <w:t xml:space="preserve"> ‘From </w:t>
      </w:r>
      <w:r>
        <w:rPr>
          <w:noProof/>
        </w:rPr>
        <w:t>c</w:t>
      </w:r>
      <w:r w:rsidRPr="00063D2A">
        <w:rPr>
          <w:noProof/>
        </w:rPr>
        <w:t>ompetencies to</w:t>
      </w:r>
      <w:r w:rsidRPr="00047CE0">
        <w:rPr>
          <w:noProof/>
        </w:rPr>
        <w:t xml:space="preserve"> </w:t>
      </w:r>
      <w:r>
        <w:rPr>
          <w:noProof/>
        </w:rPr>
        <w:t>c</w:t>
      </w:r>
      <w:r w:rsidRPr="00047CE0">
        <w:rPr>
          <w:noProof/>
        </w:rPr>
        <w:t xml:space="preserve">apabilities </w:t>
      </w:r>
      <w:r>
        <w:rPr>
          <w:noProof/>
        </w:rPr>
        <w:t>p</w:t>
      </w:r>
      <w:r w:rsidRPr="00047CE0">
        <w:rPr>
          <w:noProof/>
        </w:rPr>
        <w:t>roject’ Stakeholder engagement and research into vocational streams, LH Martin Institute, University of Melbourne and Workplace Research Centre, University of Sydney.</w:t>
      </w:r>
    </w:p>
    <w:p w14:paraId="3A371C34" w14:textId="77777777" w:rsidR="00707512" w:rsidRPr="00047CE0" w:rsidRDefault="00707512" w:rsidP="00707512">
      <w:pPr>
        <w:pStyle w:val="References"/>
        <w:rPr>
          <w:noProof/>
        </w:rPr>
      </w:pPr>
      <w:r w:rsidRPr="00047CE0">
        <w:rPr>
          <w:noProof/>
        </w:rPr>
        <w:t xml:space="preserve">Wheelahan, L, Leahy, M, Fredman, N, Moodie, G, Arkoudis, </w:t>
      </w:r>
      <w:r w:rsidRPr="00063D2A">
        <w:rPr>
          <w:noProof/>
        </w:rPr>
        <w:t>S</w:t>
      </w:r>
      <w:r>
        <w:rPr>
          <w:noProof/>
        </w:rPr>
        <w:t xml:space="preserve"> &amp;</w:t>
      </w:r>
      <w:r w:rsidRPr="00063D2A">
        <w:rPr>
          <w:noProof/>
        </w:rPr>
        <w:t xml:space="preserve"> Bexley, E 2012</w:t>
      </w:r>
      <w:r>
        <w:rPr>
          <w:noProof/>
        </w:rPr>
        <w:t>,</w:t>
      </w:r>
      <w:r w:rsidRPr="00063D2A">
        <w:rPr>
          <w:noProof/>
        </w:rPr>
        <w:t xml:space="preserve"> Missing links:</w:t>
      </w:r>
      <w:r w:rsidRPr="00047CE0">
        <w:rPr>
          <w:noProof/>
        </w:rPr>
        <w:t xml:space="preserve"> the fragmented relation between tertiary education and jobs</w:t>
      </w:r>
      <w:r>
        <w:rPr>
          <w:noProof/>
        </w:rPr>
        <w:t>,</w:t>
      </w:r>
      <w:r w:rsidRPr="00047CE0">
        <w:rPr>
          <w:noProof/>
        </w:rPr>
        <w:t xml:space="preserve"> National Centre for Vocational Education Research, Adelaide.</w:t>
      </w:r>
    </w:p>
    <w:p w14:paraId="6F41B946" w14:textId="77777777" w:rsidR="000D59D1" w:rsidRDefault="000D59D1" w:rsidP="00B47E68">
      <w:pPr>
        <w:pStyle w:val="References"/>
      </w:pPr>
      <w:proofErr w:type="spellStart"/>
      <w:r>
        <w:t>Wheelahan</w:t>
      </w:r>
      <w:proofErr w:type="spellEnd"/>
      <w:r>
        <w:t xml:space="preserve">, L, Leahy, M, </w:t>
      </w:r>
      <w:proofErr w:type="spellStart"/>
      <w:r>
        <w:t>Fredman</w:t>
      </w:r>
      <w:proofErr w:type="spellEnd"/>
      <w:r>
        <w:t>, N</w:t>
      </w:r>
      <w:r w:rsidRPr="00B62128">
        <w:t xml:space="preserve">, </w:t>
      </w:r>
      <w:proofErr w:type="spellStart"/>
      <w:r w:rsidRPr="00B62128">
        <w:t>Moodie</w:t>
      </w:r>
      <w:proofErr w:type="spellEnd"/>
      <w:r w:rsidRPr="00B62128">
        <w:t>,</w:t>
      </w:r>
      <w:r>
        <w:t xml:space="preserve"> G, </w:t>
      </w:r>
      <w:proofErr w:type="spellStart"/>
      <w:r>
        <w:t>Arkoudis</w:t>
      </w:r>
      <w:proofErr w:type="spellEnd"/>
      <w:r>
        <w:t xml:space="preserve"> </w:t>
      </w:r>
      <w:r w:rsidR="002F69A4">
        <w:t xml:space="preserve">&amp; </w:t>
      </w:r>
      <w:r>
        <w:t xml:space="preserve">Bexley, E, 2012, </w:t>
      </w:r>
      <w:r w:rsidRPr="00D8628E">
        <w:rPr>
          <w:i/>
          <w:iCs/>
          <w:lang w:val="en-US"/>
        </w:rPr>
        <w:t xml:space="preserve">Shaken not stirred?  </w:t>
      </w:r>
      <w:proofErr w:type="gramStart"/>
      <w:r w:rsidRPr="00D8628E">
        <w:rPr>
          <w:i/>
          <w:iCs/>
          <w:lang w:val="en-US"/>
        </w:rPr>
        <w:t>The Development of One Tertiary Education sector in Australia</w:t>
      </w:r>
      <w:r w:rsidRPr="00D8628E">
        <w:rPr>
          <w:lang w:val="en-US"/>
        </w:rPr>
        <w:t>.</w:t>
      </w:r>
      <w:proofErr w:type="gramEnd"/>
      <w:r w:rsidRPr="00D8628E">
        <w:rPr>
          <w:lang w:val="en-US"/>
        </w:rPr>
        <w:t xml:space="preserve"> Commissioned report prepared for NCVER</w:t>
      </w:r>
      <w:r>
        <w:rPr>
          <w:lang w:val="en-US"/>
        </w:rPr>
        <w:t>.</w:t>
      </w:r>
    </w:p>
    <w:p w14:paraId="476DB016" w14:textId="612C2596" w:rsidR="000D59D1" w:rsidRPr="00EE57E5" w:rsidRDefault="000D59D1" w:rsidP="00B47E68">
      <w:pPr>
        <w:pStyle w:val="References"/>
      </w:pPr>
      <w:proofErr w:type="spellStart"/>
      <w:r w:rsidRPr="00EE57E5">
        <w:t>Wheelahan</w:t>
      </w:r>
      <w:proofErr w:type="spellEnd"/>
      <w:r w:rsidRPr="00EE57E5">
        <w:t xml:space="preserve">, L., </w:t>
      </w:r>
      <w:proofErr w:type="spellStart"/>
      <w:r w:rsidRPr="00EE57E5">
        <w:t>Moodie</w:t>
      </w:r>
      <w:proofErr w:type="spellEnd"/>
      <w:r w:rsidRPr="00EE57E5">
        <w:t xml:space="preserve">, G., </w:t>
      </w:r>
      <w:r w:rsidR="002F69A4">
        <w:t>&amp;</w:t>
      </w:r>
      <w:r w:rsidR="002F69A4" w:rsidRPr="00EE57E5">
        <w:t xml:space="preserve"> </w:t>
      </w:r>
      <w:r w:rsidRPr="00EE57E5">
        <w:t xml:space="preserve">Buchanan, J. 2012, </w:t>
      </w:r>
      <w:r w:rsidRPr="003026F1">
        <w:rPr>
          <w:i/>
        </w:rPr>
        <w:t xml:space="preserve">Revitalising the vocational in flows of learning and labour, </w:t>
      </w:r>
      <w:r w:rsidRPr="00EE57E5">
        <w:t>, National Centre for Vocational Education Research</w:t>
      </w:r>
      <w:r w:rsidR="00B47E68">
        <w:t xml:space="preserve">, </w:t>
      </w:r>
      <w:r w:rsidR="00B47E68" w:rsidRPr="009F00F0">
        <w:t>Adelaide</w:t>
      </w:r>
      <w:r w:rsidR="00B47E68">
        <w:t xml:space="preserve">, </w:t>
      </w:r>
      <w:r w:rsidR="00B47E68" w:rsidRPr="00EE57E5">
        <w:t>viewed 30 October 2012</w:t>
      </w:r>
      <w:r w:rsidR="00B47E68">
        <w:t>,</w:t>
      </w:r>
      <w:r w:rsidRPr="00EE57E5">
        <w:t xml:space="preserve"> </w:t>
      </w:r>
      <w:r w:rsidR="00B47E68">
        <w:t>&lt;</w:t>
      </w:r>
      <w:hyperlink r:id="rId35" w:history="1">
        <w:r w:rsidR="00B47E68" w:rsidRPr="00E023E2">
          <w:rPr>
            <w:rStyle w:val="Hyperlink"/>
            <w:sz w:val="18"/>
          </w:rPr>
          <w:t>http://www.ncver.edu.au/publications/2535</w:t>
        </w:r>
      </w:hyperlink>
      <w:r w:rsidR="00B47E68">
        <w:t>&gt;.</w:t>
      </w:r>
    </w:p>
    <w:p w14:paraId="62645C52" w14:textId="77777777" w:rsidR="0057420A" w:rsidRDefault="0057420A" w:rsidP="0057420A">
      <w:pPr>
        <w:pStyle w:val="References"/>
      </w:pPr>
      <w:r>
        <w:t xml:space="preserve">Yu, S, forthcoming. </w:t>
      </w:r>
      <w:r w:rsidRPr="004E58DA">
        <w:rPr>
          <w:i/>
        </w:rPr>
        <w:t>Creating vocational streams: What will it take?</w:t>
      </w:r>
      <w:r>
        <w:t xml:space="preserve"> </w:t>
      </w:r>
      <w:proofErr w:type="gramStart"/>
      <w:r w:rsidRPr="00EE57E5">
        <w:t>National Centre for Vocational Education Research, Adelaide</w:t>
      </w:r>
      <w:r>
        <w:t>.</w:t>
      </w:r>
      <w:proofErr w:type="gramEnd"/>
    </w:p>
    <w:p w14:paraId="2B36A4E7" w14:textId="77777777" w:rsidR="0057420A" w:rsidRDefault="0057420A" w:rsidP="0057420A">
      <w:pPr>
        <w:pStyle w:val="References"/>
      </w:pPr>
      <w:r w:rsidRPr="00EE57E5">
        <w:t xml:space="preserve">Yu, S </w:t>
      </w:r>
      <w:r>
        <w:t>&amp;</w:t>
      </w:r>
      <w:r w:rsidRPr="00EE57E5">
        <w:t xml:space="preserve"> </w:t>
      </w:r>
      <w:proofErr w:type="spellStart"/>
      <w:r w:rsidRPr="00EE57E5">
        <w:t>Bretherton</w:t>
      </w:r>
      <w:proofErr w:type="spellEnd"/>
      <w:r w:rsidRPr="00EE57E5">
        <w:t xml:space="preserve">, T, forthcoming, </w:t>
      </w:r>
      <w:proofErr w:type="gramStart"/>
      <w:r w:rsidRPr="004E58DA">
        <w:rPr>
          <w:i/>
        </w:rPr>
        <w:t>The</w:t>
      </w:r>
      <w:proofErr w:type="gramEnd"/>
      <w:r w:rsidRPr="004E58DA">
        <w:rPr>
          <w:i/>
        </w:rPr>
        <w:t xml:space="preserve"> potential of vocational stream models</w:t>
      </w:r>
      <w:r w:rsidRPr="00EE57E5">
        <w:t>, Centre for Vocational Education Research, Adelaide.</w:t>
      </w:r>
    </w:p>
    <w:p w14:paraId="560906FF" w14:textId="77777777" w:rsidR="00707512" w:rsidRPr="00047CE0" w:rsidRDefault="00707512" w:rsidP="00707512">
      <w:pPr>
        <w:pStyle w:val="References"/>
        <w:rPr>
          <w:noProof/>
        </w:rPr>
      </w:pPr>
      <w:r w:rsidRPr="00047CE0">
        <w:rPr>
          <w:noProof/>
        </w:rPr>
        <w:t>Yu, S, Bretherton, T</w:t>
      </w:r>
      <w:r>
        <w:rPr>
          <w:noProof/>
        </w:rPr>
        <w:t xml:space="preserve"> &amp;</w:t>
      </w:r>
      <w:r w:rsidRPr="00047CE0">
        <w:rPr>
          <w:noProof/>
        </w:rPr>
        <w:t xml:space="preserve"> Buchanan, </w:t>
      </w:r>
      <w:r w:rsidRPr="00063D2A">
        <w:rPr>
          <w:noProof/>
        </w:rPr>
        <w:t>J 2013</w:t>
      </w:r>
      <w:r>
        <w:rPr>
          <w:noProof/>
        </w:rPr>
        <w:t>,</w:t>
      </w:r>
      <w:r w:rsidRPr="00063D2A">
        <w:rPr>
          <w:noProof/>
        </w:rPr>
        <w:t xml:space="preserve"> Defining vocational</w:t>
      </w:r>
      <w:r w:rsidRPr="00047CE0">
        <w:rPr>
          <w:noProof/>
        </w:rPr>
        <w:t xml:space="preserve"> streams: insights from the engineering, finance, agriculture and care sectors</w:t>
      </w:r>
      <w:r>
        <w:rPr>
          <w:noProof/>
        </w:rPr>
        <w:t>,</w:t>
      </w:r>
      <w:r w:rsidRPr="00047CE0">
        <w:rPr>
          <w:noProof/>
        </w:rPr>
        <w:t xml:space="preserve"> National Centre for Vocational Education Research, Adelaide.</w:t>
      </w:r>
    </w:p>
    <w:p w14:paraId="335E37A9" w14:textId="77777777" w:rsidR="00707512" w:rsidRPr="00047CE0" w:rsidRDefault="00707512" w:rsidP="00707512">
      <w:pPr>
        <w:pStyle w:val="References"/>
        <w:rPr>
          <w:noProof/>
        </w:rPr>
      </w:pPr>
      <w:r w:rsidRPr="00047CE0">
        <w:rPr>
          <w:noProof/>
        </w:rPr>
        <w:t>Yu, S, Bretherton, T</w:t>
      </w:r>
      <w:r>
        <w:rPr>
          <w:noProof/>
        </w:rPr>
        <w:t xml:space="preserve"> &amp;</w:t>
      </w:r>
      <w:r w:rsidRPr="00047CE0">
        <w:rPr>
          <w:noProof/>
        </w:rPr>
        <w:t xml:space="preserve"> Schultz, H </w:t>
      </w:r>
      <w:r w:rsidRPr="00063D2A">
        <w:rPr>
          <w:noProof/>
        </w:rPr>
        <w:t>2012</w:t>
      </w:r>
      <w:r>
        <w:rPr>
          <w:noProof/>
        </w:rPr>
        <w:t>,</w:t>
      </w:r>
      <w:r w:rsidRPr="00063D2A">
        <w:rPr>
          <w:noProof/>
        </w:rPr>
        <w:t xml:space="preserve"> Vocational trajectories</w:t>
      </w:r>
      <w:r w:rsidRPr="00047CE0">
        <w:rPr>
          <w:noProof/>
        </w:rPr>
        <w:t xml:space="preserve"> within the Australian labour market</w:t>
      </w:r>
      <w:r>
        <w:rPr>
          <w:noProof/>
        </w:rPr>
        <w:t>,</w:t>
      </w:r>
      <w:r w:rsidRPr="00047CE0">
        <w:rPr>
          <w:noProof/>
        </w:rPr>
        <w:t xml:space="preserve"> National Centre for Vocational Education Research, Adelaide.</w:t>
      </w:r>
    </w:p>
    <w:p w14:paraId="1C7BD7B9" w14:textId="7258CBC5" w:rsidR="004F05B4" w:rsidRDefault="000D59D1" w:rsidP="00A816A8">
      <w:pPr>
        <w:pStyle w:val="References"/>
      </w:pPr>
      <w:r w:rsidRPr="00EE57E5">
        <w:t xml:space="preserve">Yu, S, </w:t>
      </w:r>
      <w:proofErr w:type="spellStart"/>
      <w:r w:rsidRPr="00EE57E5">
        <w:t>Bretherton</w:t>
      </w:r>
      <w:proofErr w:type="spellEnd"/>
      <w:r w:rsidRPr="00EE57E5">
        <w:t xml:space="preserve">, T, </w:t>
      </w:r>
      <w:proofErr w:type="spellStart"/>
      <w:r w:rsidRPr="00EE57E5">
        <w:t>Schutz</w:t>
      </w:r>
      <w:proofErr w:type="spellEnd"/>
      <w:r w:rsidRPr="00EE57E5">
        <w:t xml:space="preserve">, J </w:t>
      </w:r>
      <w:r w:rsidR="002F69A4">
        <w:t>&amp;</w:t>
      </w:r>
      <w:r w:rsidR="002F69A4" w:rsidRPr="00EE57E5">
        <w:t xml:space="preserve"> </w:t>
      </w:r>
      <w:r w:rsidRPr="00EE57E5">
        <w:t xml:space="preserve">Buchanan, J 2012, </w:t>
      </w:r>
      <w:r w:rsidRPr="004E58DA">
        <w:rPr>
          <w:i/>
        </w:rPr>
        <w:t>Understanding the nature of vocations today: exploring labour market pathways</w:t>
      </w:r>
      <w:r w:rsidRPr="00EE57E5">
        <w:t>, National Centre for Vocational Education Research, Adelaide, viewed 9 May 2013</w:t>
      </w:r>
      <w:r w:rsidR="00AD6DB3">
        <w:t>,</w:t>
      </w:r>
      <w:r w:rsidRPr="00EE57E5">
        <w:t xml:space="preserve"> &lt;http://www.ncver.edu.au/publications/2538.html&gt;.</w:t>
      </w:r>
      <w:bookmarkEnd w:id="2"/>
      <w:bookmarkEnd w:id="3"/>
      <w:bookmarkEnd w:id="4"/>
      <w:bookmarkEnd w:id="5"/>
    </w:p>
    <w:sectPr w:rsidR="004F05B4" w:rsidSect="008F7215">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6C097" w14:textId="77777777" w:rsidR="00790572" w:rsidRDefault="00790572">
      <w:r>
        <w:separator/>
      </w:r>
    </w:p>
  </w:endnote>
  <w:endnote w:type="continuationSeparator" w:id="0">
    <w:p w14:paraId="111A8314" w14:textId="77777777" w:rsidR="00790572" w:rsidRDefault="0079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C343A" w14:textId="77777777" w:rsidR="00790572" w:rsidRDefault="00790572">
    <w:pPr>
      <w:pStyle w:val="Footer"/>
    </w:pPr>
    <w:r>
      <w:rPr>
        <w:noProof/>
        <w:lang w:eastAsia="en-AU"/>
      </w:rPr>
      <mc:AlternateContent>
        <mc:Choice Requires="wps">
          <w:drawing>
            <wp:anchor distT="0" distB="0" distL="114300" distR="114300" simplePos="0" relativeHeight="251664384" behindDoc="0" locked="0" layoutInCell="1" allowOverlap="1" wp14:anchorId="1026D8D1" wp14:editId="3D5884AC">
              <wp:simplePos x="0" y="0"/>
              <wp:positionH relativeFrom="column">
                <wp:posOffset>-264160</wp:posOffset>
              </wp:positionH>
              <wp:positionV relativeFrom="paragraph">
                <wp:posOffset>-10161270</wp:posOffset>
              </wp:positionV>
              <wp:extent cx="1104900" cy="10769600"/>
              <wp:effectExtent l="2540" t="1905"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B085A" w14:textId="77777777" w:rsidR="00790572" w:rsidRPr="00A9334E" w:rsidRDefault="00790572"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773C4846" w14:textId="77777777" w:rsidR="00790572" w:rsidRDefault="00790572"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lD0cswIA&#10;AL4FAAAOAAAAAAAAAAAAAAAAAC4CAABkcnMvZTJvRG9jLnhtbFBLAQItABQABgAIAAAAIQAaGl6d&#10;4wAAAAwBAAAPAAAAAAAAAAAAAAAAAA0FAABkcnMvZG93bnJldi54bWxQSwUGAAAAAAQABADzAAAA&#10;HQYAAAAA&#10;" filled="f" stroked="f">
              <v:textbox style="layout-flow:vertical;mso-layout-flow-alt:bottom-to-top">
                <w:txbxContent>
                  <w:p w14:paraId="59BB085A" w14:textId="77777777" w:rsidR="00790572" w:rsidRPr="00A9334E" w:rsidRDefault="00790572"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773C4846" w14:textId="77777777" w:rsidR="00790572" w:rsidRDefault="00790572"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2537" w14:textId="08147BDC" w:rsidR="00790572" w:rsidRPr="008C0A74" w:rsidRDefault="00790572"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61312" behindDoc="1" locked="0" layoutInCell="1" allowOverlap="1" wp14:anchorId="07E67D8D" wp14:editId="306B2D24">
              <wp:simplePos x="0" y="0"/>
              <wp:positionH relativeFrom="column">
                <wp:posOffset>-1080135</wp:posOffset>
              </wp:positionH>
              <wp:positionV relativeFrom="paragraph">
                <wp:posOffset>-31115</wp:posOffset>
              </wp:positionV>
              <wp:extent cx="1257300" cy="238125"/>
              <wp:effectExtent l="0" t="0" r="381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85pt;margin-top:-2.4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890098">
      <w:rPr>
        <w:b/>
        <w:noProof/>
        <w:color w:val="FFFFFF" w:themeColor="background1"/>
      </w:rPr>
      <w:t>68</w:t>
    </w:r>
    <w:r w:rsidRPr="008C0A74">
      <w:rPr>
        <w:b/>
        <w:color w:val="FFFFFF" w:themeColor="background1"/>
      </w:rPr>
      <w:fldChar w:fldCharType="end"/>
    </w:r>
    <w:r w:rsidRPr="008C0A74">
      <w:rPr>
        <w:b/>
        <w:color w:val="FFFFFF" w:themeColor="background1"/>
      </w:rPr>
      <w:tab/>
    </w:r>
    <w:r>
      <w:rPr>
        <w:b/>
      </w:rPr>
      <w:t>Towards a new approach to mid-level qualifications – case studies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0D84B" w14:textId="77777777" w:rsidR="00790572" w:rsidRPr="009775C7" w:rsidRDefault="00790572"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63360" behindDoc="1" locked="0" layoutInCell="1" allowOverlap="1" wp14:anchorId="1AAF8A48" wp14:editId="5B58BB94">
              <wp:simplePos x="0" y="0"/>
              <wp:positionH relativeFrom="column">
                <wp:posOffset>5405120</wp:posOffset>
              </wp:positionH>
              <wp:positionV relativeFrom="paragraph">
                <wp:posOffset>-31115</wp:posOffset>
              </wp:positionV>
              <wp:extent cx="1257300" cy="238125"/>
              <wp:effectExtent l="4445" t="0" r="0" b="25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425.6pt;margin-top:-2.4pt;width:99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" fillcolor="black [3213]" stroked="f" strokecolor="#bfbfbf [2412]"/>
          </w:pict>
        </mc:Fallback>
      </mc:AlternateContent>
    </w:r>
    <w:proofErr w:type="spellStart"/>
    <w:r>
      <w:rPr>
        <w:b/>
      </w:rPr>
      <w:t>Wheelahan</w:t>
    </w:r>
    <w:proofErr w:type="spellEnd"/>
    <w:r>
      <w:rPr>
        <w:b/>
      </w:rPr>
      <w:t xml:space="preserve">, </w:t>
    </w:r>
    <w:proofErr w:type="spellStart"/>
    <w:r>
      <w:rPr>
        <w:b/>
      </w:rPr>
      <w:t>Fredman</w:t>
    </w:r>
    <w:proofErr w:type="spellEnd"/>
    <w:r>
      <w:rPr>
        <w:b/>
      </w:rPr>
      <w:t xml:space="preserve">, Bexley and </w:t>
    </w:r>
    <w:proofErr w:type="spellStart"/>
    <w:r>
      <w:rPr>
        <w:b/>
      </w:rPr>
      <w:t>Moodie</w:t>
    </w:r>
    <w:proofErr w:type="spellEnd"/>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890098">
      <w:rPr>
        <w:rStyle w:val="PageNumber"/>
        <w:rFonts w:cs="Tahoma"/>
        <w:b/>
        <w:noProof/>
        <w:color w:val="FFFFFF" w:themeColor="background1"/>
        <w:sz w:val="17"/>
      </w:rPr>
      <w:t>69</w:t>
    </w:r>
    <w:r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9834E" w14:textId="77777777" w:rsidR="00790572" w:rsidRDefault="00790572">
      <w:r>
        <w:separator/>
      </w:r>
    </w:p>
  </w:footnote>
  <w:footnote w:type="continuationSeparator" w:id="0">
    <w:p w14:paraId="5F003E46" w14:textId="77777777" w:rsidR="00790572" w:rsidRDefault="00790572">
      <w:r>
        <w:continuationSeparator/>
      </w:r>
    </w:p>
  </w:footnote>
  <w:footnote w:id="1">
    <w:p w14:paraId="76210B48" w14:textId="77777777" w:rsidR="00790572" w:rsidRPr="009135F3" w:rsidRDefault="00790572">
      <w:pPr>
        <w:pStyle w:val="FootnoteText"/>
        <w:rPr>
          <w:lang w:val="en-US"/>
        </w:rPr>
      </w:pPr>
      <w:r>
        <w:rPr>
          <w:rStyle w:val="FootnoteReference"/>
        </w:rPr>
        <w:footnoteRef/>
      </w:r>
      <w:r>
        <w:t xml:space="preserve"> </w:t>
      </w:r>
      <w:r>
        <w:rPr>
          <w:lang w:val="en-US"/>
        </w:rPr>
        <w:t xml:space="preserve">See the aged care accreditation standards: </w:t>
      </w:r>
      <w:hyperlink r:id="rId1" w:history="1">
        <w:r w:rsidRPr="00EC08FD">
          <w:rPr>
            <w:rStyle w:val="Hyperlink"/>
            <w:sz w:val="16"/>
            <w:lang w:val="en-US"/>
          </w:rPr>
          <w:t>http://www.myagedcare.gov.au/accreditation-standards</w:t>
        </w:r>
      </w:hyperlink>
      <w:r>
        <w:rPr>
          <w:lang w:val="en-US"/>
        </w:rPr>
        <w:t xml:space="preserve"> viewed 26 December 2013.</w:t>
      </w:r>
    </w:p>
  </w:footnote>
  <w:footnote w:id="2">
    <w:p w14:paraId="6CBAC649" w14:textId="77777777" w:rsidR="00790572" w:rsidRPr="00707420" w:rsidRDefault="00790572" w:rsidP="00A32601">
      <w:pPr>
        <w:pStyle w:val="FootnoteText"/>
        <w:rPr>
          <w:lang w:val="en-US"/>
        </w:rPr>
      </w:pPr>
      <w:r>
        <w:rPr>
          <w:rStyle w:val="FootnoteReference"/>
        </w:rPr>
        <w:footnoteRef/>
      </w:r>
      <w:r>
        <w:t xml:space="preserve"> There </w:t>
      </w:r>
      <w:proofErr w:type="gramStart"/>
      <w:r>
        <w:t>are diploma</w:t>
      </w:r>
      <w:proofErr w:type="gramEnd"/>
      <w:r>
        <w:t xml:space="preserve"> and advanced diploma qualifications in aged and disability care, and while graduates are expected to be involved in direct service delivery, the diplomas emphasise management and supervisory roles. Moreover, the numbers enrolled in these qualifications are much smaller than those enrolled in certificates III and IV.</w:t>
      </w:r>
    </w:p>
  </w:footnote>
  <w:footnote w:id="3">
    <w:p w14:paraId="5455C58C" w14:textId="77777777" w:rsidR="00790572" w:rsidRPr="00217F5A" w:rsidRDefault="00790572">
      <w:pPr>
        <w:pStyle w:val="FootnoteText"/>
        <w:rPr>
          <w:lang w:val="en-US"/>
        </w:rPr>
      </w:pPr>
      <w:r>
        <w:rPr>
          <w:rStyle w:val="FootnoteReference"/>
        </w:rPr>
        <w:footnoteRef/>
      </w:r>
      <w:r>
        <w:t xml:space="preserve"> In Victoria, and increasingly in other states, government policies stipulate that public funding for VET qualifications is available only to those undertaking higher-level qualifications. There are some exceptions to this rule, but for the most part, policy restricts funding in this way.</w:t>
      </w:r>
    </w:p>
  </w:footnote>
  <w:footnote w:id="4">
    <w:p w14:paraId="79885C67" w14:textId="77777777" w:rsidR="00790572" w:rsidRPr="008A4343" w:rsidRDefault="00790572">
      <w:pPr>
        <w:pStyle w:val="FootnoteText"/>
        <w:rPr>
          <w:lang w:val="en-US"/>
        </w:rPr>
      </w:pPr>
      <w:r>
        <w:rPr>
          <w:rStyle w:val="FootnoteReference"/>
        </w:rPr>
        <w:footnoteRef/>
      </w:r>
      <w:r>
        <w:t xml:space="preserve"> Source: </w:t>
      </w:r>
      <w:proofErr w:type="spellStart"/>
      <w:r>
        <w:t>Vocstats</w:t>
      </w:r>
      <w:proofErr w:type="spellEnd"/>
      <w:r>
        <w:t xml:space="preserve">, </w:t>
      </w:r>
      <w:r w:rsidRPr="002B51D8">
        <w:t>http://www.ncver.edu.au/resources/vocstats/intro.html</w:t>
      </w:r>
      <w:r>
        <w:t xml:space="preserve"> accessed 3 January 2014.</w:t>
      </w:r>
    </w:p>
  </w:footnote>
  <w:footnote w:id="5">
    <w:p w14:paraId="7F4DE5BB" w14:textId="77777777" w:rsidR="00790572" w:rsidRPr="0080716B" w:rsidRDefault="00790572">
      <w:pPr>
        <w:pStyle w:val="FootnoteText"/>
        <w:rPr>
          <w:lang w:val="en-US"/>
        </w:rPr>
      </w:pPr>
      <w:r>
        <w:rPr>
          <w:rStyle w:val="FootnoteReference"/>
        </w:rPr>
        <w:footnoteRef/>
      </w:r>
      <w:r>
        <w:t xml:space="preserve"> Source: </w:t>
      </w:r>
      <w:proofErr w:type="spellStart"/>
      <w:r>
        <w:t>Vocstats</w:t>
      </w:r>
      <w:proofErr w:type="spellEnd"/>
      <w:r>
        <w:t xml:space="preserve">, </w:t>
      </w:r>
      <w:hyperlink r:id="rId2" w:history="1">
        <w:r w:rsidRPr="00EE0B27">
          <w:rPr>
            <w:rStyle w:val="Hyperlink"/>
            <w:sz w:val="16"/>
          </w:rPr>
          <w:t>http://www.ncver.edu.au/resources/vocstats/intro.html</w:t>
        </w:r>
      </w:hyperlink>
      <w:r>
        <w:t xml:space="preserve">  accessed 3 January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BC"/>
    <w:multiLevelType w:val="hybridMultilevel"/>
    <w:tmpl w:val="55505E36"/>
    <w:lvl w:ilvl="0" w:tplc="0409000F">
      <w:start w:val="1"/>
      <w:numFmt w:val="decimal"/>
      <w:lvlText w:val="%1."/>
      <w:lvlJc w:val="left"/>
      <w:pPr>
        <w:ind w:left="717" w:hanging="360"/>
      </w:p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410EF"/>
    <w:multiLevelType w:val="hybridMultilevel"/>
    <w:tmpl w:val="42146892"/>
    <w:lvl w:ilvl="0" w:tplc="24BA3DD4">
      <w:start w:val="1"/>
      <w:numFmt w:val="decimal"/>
      <w:pStyle w:val="NumberedListContinuing"/>
      <w:lvlText w:val="%1"/>
      <w:lvlJc w:val="left"/>
      <w:pPr>
        <w:tabs>
          <w:tab w:val="num" w:pos="1420"/>
        </w:tabs>
        <w:ind w:left="1136" w:firstLine="0"/>
      </w:pPr>
      <w:rPr>
        <w:rFonts w:hint="default"/>
      </w:rPr>
    </w:lvl>
    <w:lvl w:ilvl="1" w:tplc="0C090019" w:tentative="1">
      <w:start w:val="1"/>
      <w:numFmt w:val="lowerLetter"/>
      <w:lvlText w:val="%2."/>
      <w:lvlJc w:val="left"/>
      <w:pPr>
        <w:tabs>
          <w:tab w:val="num" w:pos="2576"/>
        </w:tabs>
        <w:ind w:left="2576" w:hanging="360"/>
      </w:pPr>
    </w:lvl>
    <w:lvl w:ilvl="2" w:tplc="0C09001B" w:tentative="1">
      <w:start w:val="1"/>
      <w:numFmt w:val="lowerRoman"/>
      <w:lvlText w:val="%3."/>
      <w:lvlJc w:val="right"/>
      <w:pPr>
        <w:tabs>
          <w:tab w:val="num" w:pos="3296"/>
        </w:tabs>
        <w:ind w:left="3296" w:hanging="180"/>
      </w:pPr>
    </w:lvl>
    <w:lvl w:ilvl="3" w:tplc="0C09000F" w:tentative="1">
      <w:start w:val="1"/>
      <w:numFmt w:val="decimal"/>
      <w:lvlText w:val="%4."/>
      <w:lvlJc w:val="left"/>
      <w:pPr>
        <w:tabs>
          <w:tab w:val="num" w:pos="4016"/>
        </w:tabs>
        <w:ind w:left="4016" w:hanging="360"/>
      </w:pPr>
    </w:lvl>
    <w:lvl w:ilvl="4" w:tplc="0C090019" w:tentative="1">
      <w:start w:val="1"/>
      <w:numFmt w:val="lowerLetter"/>
      <w:lvlText w:val="%5."/>
      <w:lvlJc w:val="left"/>
      <w:pPr>
        <w:tabs>
          <w:tab w:val="num" w:pos="4736"/>
        </w:tabs>
        <w:ind w:left="4736" w:hanging="360"/>
      </w:pPr>
    </w:lvl>
    <w:lvl w:ilvl="5" w:tplc="0C09001B" w:tentative="1">
      <w:start w:val="1"/>
      <w:numFmt w:val="lowerRoman"/>
      <w:lvlText w:val="%6."/>
      <w:lvlJc w:val="right"/>
      <w:pPr>
        <w:tabs>
          <w:tab w:val="num" w:pos="5456"/>
        </w:tabs>
        <w:ind w:left="5456" w:hanging="180"/>
      </w:pPr>
    </w:lvl>
    <w:lvl w:ilvl="6" w:tplc="0C09000F" w:tentative="1">
      <w:start w:val="1"/>
      <w:numFmt w:val="decimal"/>
      <w:lvlText w:val="%7."/>
      <w:lvlJc w:val="left"/>
      <w:pPr>
        <w:tabs>
          <w:tab w:val="num" w:pos="6176"/>
        </w:tabs>
        <w:ind w:left="6176" w:hanging="360"/>
      </w:pPr>
    </w:lvl>
    <w:lvl w:ilvl="7" w:tplc="0C090019" w:tentative="1">
      <w:start w:val="1"/>
      <w:numFmt w:val="lowerLetter"/>
      <w:lvlText w:val="%8."/>
      <w:lvlJc w:val="left"/>
      <w:pPr>
        <w:tabs>
          <w:tab w:val="num" w:pos="6896"/>
        </w:tabs>
        <w:ind w:left="6896" w:hanging="360"/>
      </w:pPr>
    </w:lvl>
    <w:lvl w:ilvl="8" w:tplc="0C09001B" w:tentative="1">
      <w:start w:val="1"/>
      <w:numFmt w:val="lowerRoman"/>
      <w:lvlText w:val="%9."/>
      <w:lvlJc w:val="right"/>
      <w:pPr>
        <w:tabs>
          <w:tab w:val="num" w:pos="7616"/>
        </w:tabs>
        <w:ind w:left="7616" w:hanging="180"/>
      </w:pPr>
    </w:lvl>
  </w:abstractNum>
  <w:abstractNum w:abstractNumId="2">
    <w:nsid w:val="044E5A1E"/>
    <w:multiLevelType w:val="hybridMultilevel"/>
    <w:tmpl w:val="032C31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5">
    <w:nsid w:val="47D02DB9"/>
    <w:multiLevelType w:val="hybridMultilevel"/>
    <w:tmpl w:val="B824DC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6B2363D9"/>
    <w:multiLevelType w:val="hybridMultilevel"/>
    <w:tmpl w:val="B51EB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591060"/>
    <w:multiLevelType w:val="hybridMultilevel"/>
    <w:tmpl w:val="66F423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
    <w:lvlOverride w:ilvl="0">
      <w:startOverride w:val="1"/>
    </w:lvlOverride>
  </w:num>
  <w:num w:numId="5">
    <w:abstractNumId w:val="5"/>
  </w:num>
  <w:num w:numId="6">
    <w:abstractNumId w:val="7"/>
  </w:num>
  <w:num w:numId="7">
    <w:abstractNumId w:val="1"/>
    <w:lvlOverride w:ilvl="0">
      <w:startOverride w:val="1"/>
    </w:lvlOverride>
  </w:num>
  <w:num w:numId="8">
    <w:abstractNumId w:val="3"/>
  </w:num>
  <w:num w:numId="9">
    <w:abstractNumId w:val="4"/>
  </w:num>
  <w:num w:numId="10">
    <w:abstractNumId w:val="0"/>
  </w:num>
  <w:num w:numId="11">
    <w:abstractNumId w:val="2"/>
  </w:num>
  <w:num w:numId="12">
    <w:abstractNumId w:val="8"/>
  </w:num>
  <w:num w:numId="13">
    <w:abstractNumId w:val="9"/>
  </w:num>
  <w:num w:numId="14">
    <w:abstractNumId w:val="9"/>
  </w:num>
  <w:num w:numId="15">
    <w:abstractNumId w:val="9"/>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Health and Place&lt;/Style&gt;&lt;LeftDelim&gt;{&lt;/LeftDelim&gt;&lt;RightDelim&gt;}&lt;/RightDelim&gt;&lt;FontName&gt;Tahoma&lt;/FontName&gt;&lt;FontSize&gt;2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adepsw2f2aeebevffz5fzpddt9tvewsatpr&quot;&gt;TERTED_June_2009&lt;record-ids&gt;&lt;item&gt;2267&lt;/item&gt;&lt;item&gt;2609&lt;/item&gt;&lt;item&gt;2658&lt;/item&gt;&lt;item&gt;2682&lt;/item&gt;&lt;item&gt;2683&lt;/item&gt;&lt;item&gt;2924&lt;/item&gt;&lt;item&gt;2971&lt;/item&gt;&lt;item&gt;3100&lt;/item&gt;&lt;item&gt;3168&lt;/item&gt;&lt;item&gt;3169&lt;/item&gt;&lt;item&gt;3177&lt;/item&gt;&lt;item&gt;3249&lt;/item&gt;&lt;item&gt;3307&lt;/item&gt;&lt;item&gt;3314&lt;/item&gt;&lt;/record-ids&gt;&lt;/item&gt;&lt;/Libraries&gt;"/>
  </w:docVars>
  <w:rsids>
    <w:rsidRoot w:val="00540891"/>
    <w:rsid w:val="00002E4A"/>
    <w:rsid w:val="00002EC9"/>
    <w:rsid w:val="000108B2"/>
    <w:rsid w:val="00011B80"/>
    <w:rsid w:val="00013265"/>
    <w:rsid w:val="0001344C"/>
    <w:rsid w:val="00022290"/>
    <w:rsid w:val="00024691"/>
    <w:rsid w:val="00024A65"/>
    <w:rsid w:val="00024BFC"/>
    <w:rsid w:val="000254F8"/>
    <w:rsid w:val="000315D7"/>
    <w:rsid w:val="00032088"/>
    <w:rsid w:val="000328A9"/>
    <w:rsid w:val="00036502"/>
    <w:rsid w:val="00043F47"/>
    <w:rsid w:val="00047CE0"/>
    <w:rsid w:val="00047E1A"/>
    <w:rsid w:val="00050226"/>
    <w:rsid w:val="0005187F"/>
    <w:rsid w:val="00051FC2"/>
    <w:rsid w:val="00052C93"/>
    <w:rsid w:val="00052F9A"/>
    <w:rsid w:val="00052FB4"/>
    <w:rsid w:val="0005355E"/>
    <w:rsid w:val="00057295"/>
    <w:rsid w:val="0006125F"/>
    <w:rsid w:val="00063D2A"/>
    <w:rsid w:val="00070581"/>
    <w:rsid w:val="000708BA"/>
    <w:rsid w:val="00074BD4"/>
    <w:rsid w:val="00093D44"/>
    <w:rsid w:val="000941C1"/>
    <w:rsid w:val="000B118D"/>
    <w:rsid w:val="000B3876"/>
    <w:rsid w:val="000B7A55"/>
    <w:rsid w:val="000B7EAA"/>
    <w:rsid w:val="000C1642"/>
    <w:rsid w:val="000C4534"/>
    <w:rsid w:val="000D5067"/>
    <w:rsid w:val="000D59D1"/>
    <w:rsid w:val="000D5D33"/>
    <w:rsid w:val="000D7206"/>
    <w:rsid w:val="000F1874"/>
    <w:rsid w:val="000F39EA"/>
    <w:rsid w:val="000F641C"/>
    <w:rsid w:val="00100EBE"/>
    <w:rsid w:val="0010599E"/>
    <w:rsid w:val="0010761A"/>
    <w:rsid w:val="00123B5C"/>
    <w:rsid w:val="001330F1"/>
    <w:rsid w:val="0013446B"/>
    <w:rsid w:val="00135C75"/>
    <w:rsid w:val="00140621"/>
    <w:rsid w:val="00150874"/>
    <w:rsid w:val="001509F3"/>
    <w:rsid w:val="001510FD"/>
    <w:rsid w:val="00153A94"/>
    <w:rsid w:val="00154384"/>
    <w:rsid w:val="001556F5"/>
    <w:rsid w:val="00155839"/>
    <w:rsid w:val="00166281"/>
    <w:rsid w:val="00177827"/>
    <w:rsid w:val="00182230"/>
    <w:rsid w:val="001837C7"/>
    <w:rsid w:val="00184504"/>
    <w:rsid w:val="0019235E"/>
    <w:rsid w:val="00192CAB"/>
    <w:rsid w:val="001B43CF"/>
    <w:rsid w:val="001C5FEF"/>
    <w:rsid w:val="001C7D7B"/>
    <w:rsid w:val="001E513F"/>
    <w:rsid w:val="001E6375"/>
    <w:rsid w:val="001E7FE6"/>
    <w:rsid w:val="001F3AD2"/>
    <w:rsid w:val="001F40D2"/>
    <w:rsid w:val="001F5BD9"/>
    <w:rsid w:val="001F7D84"/>
    <w:rsid w:val="00200B3A"/>
    <w:rsid w:val="00204C22"/>
    <w:rsid w:val="00205D84"/>
    <w:rsid w:val="00212281"/>
    <w:rsid w:val="00217F5A"/>
    <w:rsid w:val="00221592"/>
    <w:rsid w:val="002277A9"/>
    <w:rsid w:val="002326DC"/>
    <w:rsid w:val="00233BFA"/>
    <w:rsid w:val="00233C8D"/>
    <w:rsid w:val="00241455"/>
    <w:rsid w:val="00241756"/>
    <w:rsid w:val="002433B3"/>
    <w:rsid w:val="00247A0F"/>
    <w:rsid w:val="00257CB8"/>
    <w:rsid w:val="00265A57"/>
    <w:rsid w:val="00267C86"/>
    <w:rsid w:val="002714E7"/>
    <w:rsid w:val="00284FCB"/>
    <w:rsid w:val="0029088B"/>
    <w:rsid w:val="002920AA"/>
    <w:rsid w:val="00294AAE"/>
    <w:rsid w:val="002A4522"/>
    <w:rsid w:val="002A6E64"/>
    <w:rsid w:val="002B1D3B"/>
    <w:rsid w:val="002B51D8"/>
    <w:rsid w:val="002C542C"/>
    <w:rsid w:val="002C55E2"/>
    <w:rsid w:val="002C6037"/>
    <w:rsid w:val="002C610D"/>
    <w:rsid w:val="002D4B77"/>
    <w:rsid w:val="002E196B"/>
    <w:rsid w:val="002E300D"/>
    <w:rsid w:val="002F69A4"/>
    <w:rsid w:val="00301BDA"/>
    <w:rsid w:val="00304C0D"/>
    <w:rsid w:val="00310942"/>
    <w:rsid w:val="00314C91"/>
    <w:rsid w:val="003243D0"/>
    <w:rsid w:val="00330B88"/>
    <w:rsid w:val="00331667"/>
    <w:rsid w:val="003316BA"/>
    <w:rsid w:val="00331A66"/>
    <w:rsid w:val="00334CE3"/>
    <w:rsid w:val="00337D2E"/>
    <w:rsid w:val="00340B4D"/>
    <w:rsid w:val="00341DAF"/>
    <w:rsid w:val="0035165C"/>
    <w:rsid w:val="003539E3"/>
    <w:rsid w:val="00361EC9"/>
    <w:rsid w:val="00363693"/>
    <w:rsid w:val="003641E8"/>
    <w:rsid w:val="003749D4"/>
    <w:rsid w:val="00380266"/>
    <w:rsid w:val="00386E80"/>
    <w:rsid w:val="003939A2"/>
    <w:rsid w:val="003946DD"/>
    <w:rsid w:val="00395402"/>
    <w:rsid w:val="003B16DA"/>
    <w:rsid w:val="003B1B94"/>
    <w:rsid w:val="003B483E"/>
    <w:rsid w:val="003C3B4A"/>
    <w:rsid w:val="003D41A0"/>
    <w:rsid w:val="003E0197"/>
    <w:rsid w:val="003E5C34"/>
    <w:rsid w:val="003E67CB"/>
    <w:rsid w:val="003F5986"/>
    <w:rsid w:val="004019B2"/>
    <w:rsid w:val="00404108"/>
    <w:rsid w:val="00412735"/>
    <w:rsid w:val="0041532B"/>
    <w:rsid w:val="004200F3"/>
    <w:rsid w:val="004278E4"/>
    <w:rsid w:val="0044036C"/>
    <w:rsid w:val="00440910"/>
    <w:rsid w:val="0044161A"/>
    <w:rsid w:val="00446DB7"/>
    <w:rsid w:val="004608F9"/>
    <w:rsid w:val="00466ED7"/>
    <w:rsid w:val="004703AD"/>
    <w:rsid w:val="00470ABC"/>
    <w:rsid w:val="00477B7D"/>
    <w:rsid w:val="004837B4"/>
    <w:rsid w:val="00483DF5"/>
    <w:rsid w:val="00485C93"/>
    <w:rsid w:val="0048643A"/>
    <w:rsid w:val="004903FE"/>
    <w:rsid w:val="0049453B"/>
    <w:rsid w:val="00494E7C"/>
    <w:rsid w:val="004972FC"/>
    <w:rsid w:val="004B2CA4"/>
    <w:rsid w:val="004B7C72"/>
    <w:rsid w:val="004B7EA8"/>
    <w:rsid w:val="004C4063"/>
    <w:rsid w:val="004D186E"/>
    <w:rsid w:val="004D1D8A"/>
    <w:rsid w:val="004D4802"/>
    <w:rsid w:val="004D6777"/>
    <w:rsid w:val="004E3A30"/>
    <w:rsid w:val="004E7227"/>
    <w:rsid w:val="004F05B4"/>
    <w:rsid w:val="004F2890"/>
    <w:rsid w:val="004F46EA"/>
    <w:rsid w:val="00502B92"/>
    <w:rsid w:val="00504ABE"/>
    <w:rsid w:val="00510F51"/>
    <w:rsid w:val="005110A1"/>
    <w:rsid w:val="005169F7"/>
    <w:rsid w:val="00520315"/>
    <w:rsid w:val="00520328"/>
    <w:rsid w:val="005209A0"/>
    <w:rsid w:val="0052276C"/>
    <w:rsid w:val="00522CF6"/>
    <w:rsid w:val="005234E8"/>
    <w:rsid w:val="00531E89"/>
    <w:rsid w:val="00537F09"/>
    <w:rsid w:val="00540891"/>
    <w:rsid w:val="00542EE9"/>
    <w:rsid w:val="00543466"/>
    <w:rsid w:val="00546366"/>
    <w:rsid w:val="005513C2"/>
    <w:rsid w:val="005523A0"/>
    <w:rsid w:val="00556687"/>
    <w:rsid w:val="00570758"/>
    <w:rsid w:val="00572455"/>
    <w:rsid w:val="0057420A"/>
    <w:rsid w:val="00577067"/>
    <w:rsid w:val="00577F25"/>
    <w:rsid w:val="00581227"/>
    <w:rsid w:val="00581546"/>
    <w:rsid w:val="00583BFD"/>
    <w:rsid w:val="005877E7"/>
    <w:rsid w:val="0059070A"/>
    <w:rsid w:val="005937B4"/>
    <w:rsid w:val="005A459A"/>
    <w:rsid w:val="005A51A8"/>
    <w:rsid w:val="005A6BFD"/>
    <w:rsid w:val="005B357D"/>
    <w:rsid w:val="005C1B6C"/>
    <w:rsid w:val="005C277E"/>
    <w:rsid w:val="005C41DB"/>
    <w:rsid w:val="005C495B"/>
    <w:rsid w:val="005C61F8"/>
    <w:rsid w:val="005D42BF"/>
    <w:rsid w:val="005E0650"/>
    <w:rsid w:val="005E4764"/>
    <w:rsid w:val="005F2FD5"/>
    <w:rsid w:val="005F49F6"/>
    <w:rsid w:val="005F5C92"/>
    <w:rsid w:val="00602C74"/>
    <w:rsid w:val="0060317F"/>
    <w:rsid w:val="006139D0"/>
    <w:rsid w:val="006169C2"/>
    <w:rsid w:val="006260FE"/>
    <w:rsid w:val="006261CE"/>
    <w:rsid w:val="006265AA"/>
    <w:rsid w:val="00634991"/>
    <w:rsid w:val="00635A5F"/>
    <w:rsid w:val="00652973"/>
    <w:rsid w:val="00654C0F"/>
    <w:rsid w:val="00654CD1"/>
    <w:rsid w:val="00656679"/>
    <w:rsid w:val="00656A2D"/>
    <w:rsid w:val="00660857"/>
    <w:rsid w:val="00663949"/>
    <w:rsid w:val="00665B31"/>
    <w:rsid w:val="00666640"/>
    <w:rsid w:val="006668AC"/>
    <w:rsid w:val="0067712D"/>
    <w:rsid w:val="00677806"/>
    <w:rsid w:val="00683C78"/>
    <w:rsid w:val="00683DA0"/>
    <w:rsid w:val="0068580A"/>
    <w:rsid w:val="006954E6"/>
    <w:rsid w:val="00696A48"/>
    <w:rsid w:val="00696F66"/>
    <w:rsid w:val="006A07D6"/>
    <w:rsid w:val="006A219E"/>
    <w:rsid w:val="006A2B21"/>
    <w:rsid w:val="006A4D88"/>
    <w:rsid w:val="006A5C63"/>
    <w:rsid w:val="006A702B"/>
    <w:rsid w:val="006A738C"/>
    <w:rsid w:val="006B368F"/>
    <w:rsid w:val="006B46B7"/>
    <w:rsid w:val="006C511E"/>
    <w:rsid w:val="006C5DA9"/>
    <w:rsid w:val="006C601C"/>
    <w:rsid w:val="006C6E63"/>
    <w:rsid w:val="006C7167"/>
    <w:rsid w:val="006E4409"/>
    <w:rsid w:val="007014DE"/>
    <w:rsid w:val="007037A4"/>
    <w:rsid w:val="00703F25"/>
    <w:rsid w:val="00706C08"/>
    <w:rsid w:val="00706D4A"/>
    <w:rsid w:val="00707420"/>
    <w:rsid w:val="00707512"/>
    <w:rsid w:val="007132BD"/>
    <w:rsid w:val="00715C6A"/>
    <w:rsid w:val="00717247"/>
    <w:rsid w:val="007207DC"/>
    <w:rsid w:val="00721F1E"/>
    <w:rsid w:val="00724290"/>
    <w:rsid w:val="00731EC8"/>
    <w:rsid w:val="007406FD"/>
    <w:rsid w:val="00742FEA"/>
    <w:rsid w:val="00755E5C"/>
    <w:rsid w:val="007608F8"/>
    <w:rsid w:val="00762D79"/>
    <w:rsid w:val="0078060F"/>
    <w:rsid w:val="00783F44"/>
    <w:rsid w:val="00790572"/>
    <w:rsid w:val="00791602"/>
    <w:rsid w:val="007A2079"/>
    <w:rsid w:val="007A34B1"/>
    <w:rsid w:val="007A44C5"/>
    <w:rsid w:val="007A7AE5"/>
    <w:rsid w:val="007B102F"/>
    <w:rsid w:val="007C0C25"/>
    <w:rsid w:val="007C3281"/>
    <w:rsid w:val="007C50A7"/>
    <w:rsid w:val="007C7D3F"/>
    <w:rsid w:val="007D515C"/>
    <w:rsid w:val="007D79E4"/>
    <w:rsid w:val="007E2D8C"/>
    <w:rsid w:val="007E6456"/>
    <w:rsid w:val="00800A2B"/>
    <w:rsid w:val="00806C1C"/>
    <w:rsid w:val="0080716B"/>
    <w:rsid w:val="008072BD"/>
    <w:rsid w:val="00812B3B"/>
    <w:rsid w:val="008207A6"/>
    <w:rsid w:val="008212F6"/>
    <w:rsid w:val="0082240C"/>
    <w:rsid w:val="00822A3A"/>
    <w:rsid w:val="008258F5"/>
    <w:rsid w:val="00826757"/>
    <w:rsid w:val="00837B30"/>
    <w:rsid w:val="00837D17"/>
    <w:rsid w:val="00847265"/>
    <w:rsid w:val="0084786D"/>
    <w:rsid w:val="008506E5"/>
    <w:rsid w:val="008524FB"/>
    <w:rsid w:val="00862AD4"/>
    <w:rsid w:val="00870DD2"/>
    <w:rsid w:val="008736F7"/>
    <w:rsid w:val="00874794"/>
    <w:rsid w:val="00874DA5"/>
    <w:rsid w:val="00890098"/>
    <w:rsid w:val="008923B6"/>
    <w:rsid w:val="00894271"/>
    <w:rsid w:val="00896141"/>
    <w:rsid w:val="0089757D"/>
    <w:rsid w:val="008978AB"/>
    <w:rsid w:val="008A250E"/>
    <w:rsid w:val="008A4343"/>
    <w:rsid w:val="008A5CEC"/>
    <w:rsid w:val="008A66CA"/>
    <w:rsid w:val="008B4F47"/>
    <w:rsid w:val="008B5B01"/>
    <w:rsid w:val="008C0A74"/>
    <w:rsid w:val="008C14F2"/>
    <w:rsid w:val="008C22A4"/>
    <w:rsid w:val="008C4970"/>
    <w:rsid w:val="008D137F"/>
    <w:rsid w:val="008D5612"/>
    <w:rsid w:val="008E08F1"/>
    <w:rsid w:val="008E2176"/>
    <w:rsid w:val="008E489D"/>
    <w:rsid w:val="008E61E6"/>
    <w:rsid w:val="008E6A21"/>
    <w:rsid w:val="008F20BA"/>
    <w:rsid w:val="008F2924"/>
    <w:rsid w:val="008F3401"/>
    <w:rsid w:val="008F52C8"/>
    <w:rsid w:val="008F624F"/>
    <w:rsid w:val="008F628D"/>
    <w:rsid w:val="008F7215"/>
    <w:rsid w:val="008F781D"/>
    <w:rsid w:val="008F7B3D"/>
    <w:rsid w:val="00900A8D"/>
    <w:rsid w:val="00903D4D"/>
    <w:rsid w:val="009058B5"/>
    <w:rsid w:val="0091220C"/>
    <w:rsid w:val="009135F3"/>
    <w:rsid w:val="00914E89"/>
    <w:rsid w:val="009329EA"/>
    <w:rsid w:val="00933317"/>
    <w:rsid w:val="00934DCD"/>
    <w:rsid w:val="00937731"/>
    <w:rsid w:val="00937DA6"/>
    <w:rsid w:val="00940830"/>
    <w:rsid w:val="00943902"/>
    <w:rsid w:val="00943998"/>
    <w:rsid w:val="009461ED"/>
    <w:rsid w:val="009508D4"/>
    <w:rsid w:val="009538E6"/>
    <w:rsid w:val="0095469A"/>
    <w:rsid w:val="009704E4"/>
    <w:rsid w:val="00970617"/>
    <w:rsid w:val="00971434"/>
    <w:rsid w:val="009727E9"/>
    <w:rsid w:val="009758C4"/>
    <w:rsid w:val="009775C7"/>
    <w:rsid w:val="009833B0"/>
    <w:rsid w:val="009932F1"/>
    <w:rsid w:val="009A5154"/>
    <w:rsid w:val="009A5308"/>
    <w:rsid w:val="009A6DF2"/>
    <w:rsid w:val="009B1950"/>
    <w:rsid w:val="009B515C"/>
    <w:rsid w:val="009C0B58"/>
    <w:rsid w:val="009C0D37"/>
    <w:rsid w:val="009C22BE"/>
    <w:rsid w:val="009D2318"/>
    <w:rsid w:val="009D2353"/>
    <w:rsid w:val="009D7857"/>
    <w:rsid w:val="009D7FB9"/>
    <w:rsid w:val="009E17EF"/>
    <w:rsid w:val="009E18C7"/>
    <w:rsid w:val="009E231A"/>
    <w:rsid w:val="009E283F"/>
    <w:rsid w:val="009E2F64"/>
    <w:rsid w:val="009E7152"/>
    <w:rsid w:val="009F00F0"/>
    <w:rsid w:val="009F018A"/>
    <w:rsid w:val="009F03AF"/>
    <w:rsid w:val="009F1205"/>
    <w:rsid w:val="009F4930"/>
    <w:rsid w:val="009F497B"/>
    <w:rsid w:val="009F5BBF"/>
    <w:rsid w:val="009F733E"/>
    <w:rsid w:val="00A06A35"/>
    <w:rsid w:val="00A1059F"/>
    <w:rsid w:val="00A10A6B"/>
    <w:rsid w:val="00A10E2B"/>
    <w:rsid w:val="00A140A8"/>
    <w:rsid w:val="00A16831"/>
    <w:rsid w:val="00A30084"/>
    <w:rsid w:val="00A32601"/>
    <w:rsid w:val="00A43EE8"/>
    <w:rsid w:val="00A45E60"/>
    <w:rsid w:val="00A50895"/>
    <w:rsid w:val="00A54DAF"/>
    <w:rsid w:val="00A566CC"/>
    <w:rsid w:val="00A615FA"/>
    <w:rsid w:val="00A61E9C"/>
    <w:rsid w:val="00A62DD8"/>
    <w:rsid w:val="00A6736F"/>
    <w:rsid w:val="00A7200C"/>
    <w:rsid w:val="00A73318"/>
    <w:rsid w:val="00A77917"/>
    <w:rsid w:val="00A816A8"/>
    <w:rsid w:val="00A84511"/>
    <w:rsid w:val="00A85869"/>
    <w:rsid w:val="00A92401"/>
    <w:rsid w:val="00A9308F"/>
    <w:rsid w:val="00A9334E"/>
    <w:rsid w:val="00A93867"/>
    <w:rsid w:val="00A9443A"/>
    <w:rsid w:val="00A96F47"/>
    <w:rsid w:val="00AA03EB"/>
    <w:rsid w:val="00AA16A2"/>
    <w:rsid w:val="00AA44D4"/>
    <w:rsid w:val="00AA57E3"/>
    <w:rsid w:val="00AA740F"/>
    <w:rsid w:val="00AB720D"/>
    <w:rsid w:val="00AD102E"/>
    <w:rsid w:val="00AD2D39"/>
    <w:rsid w:val="00AD4123"/>
    <w:rsid w:val="00AD4184"/>
    <w:rsid w:val="00AD6DB3"/>
    <w:rsid w:val="00AD75F7"/>
    <w:rsid w:val="00AE371D"/>
    <w:rsid w:val="00AF1005"/>
    <w:rsid w:val="00B03184"/>
    <w:rsid w:val="00B05F5C"/>
    <w:rsid w:val="00B0759C"/>
    <w:rsid w:val="00B13B6A"/>
    <w:rsid w:val="00B1572B"/>
    <w:rsid w:val="00B17A90"/>
    <w:rsid w:val="00B23981"/>
    <w:rsid w:val="00B24D35"/>
    <w:rsid w:val="00B41272"/>
    <w:rsid w:val="00B426FE"/>
    <w:rsid w:val="00B472B1"/>
    <w:rsid w:val="00B476FD"/>
    <w:rsid w:val="00B47E68"/>
    <w:rsid w:val="00B53405"/>
    <w:rsid w:val="00B53A2D"/>
    <w:rsid w:val="00B53C59"/>
    <w:rsid w:val="00B5417A"/>
    <w:rsid w:val="00B57CC9"/>
    <w:rsid w:val="00B6101A"/>
    <w:rsid w:val="00B71E4F"/>
    <w:rsid w:val="00B725C6"/>
    <w:rsid w:val="00B77043"/>
    <w:rsid w:val="00B80F46"/>
    <w:rsid w:val="00B840E0"/>
    <w:rsid w:val="00B86D06"/>
    <w:rsid w:val="00BB113D"/>
    <w:rsid w:val="00BB2C7D"/>
    <w:rsid w:val="00BB7236"/>
    <w:rsid w:val="00BB7429"/>
    <w:rsid w:val="00BB78DB"/>
    <w:rsid w:val="00BC0F67"/>
    <w:rsid w:val="00BC265D"/>
    <w:rsid w:val="00BC717F"/>
    <w:rsid w:val="00BC770A"/>
    <w:rsid w:val="00BC77E2"/>
    <w:rsid w:val="00BC7C47"/>
    <w:rsid w:val="00BD00B7"/>
    <w:rsid w:val="00BD0564"/>
    <w:rsid w:val="00BD0979"/>
    <w:rsid w:val="00BE6EE0"/>
    <w:rsid w:val="00BF49A8"/>
    <w:rsid w:val="00BF690E"/>
    <w:rsid w:val="00C0017E"/>
    <w:rsid w:val="00C00F6D"/>
    <w:rsid w:val="00C053D5"/>
    <w:rsid w:val="00C13AE7"/>
    <w:rsid w:val="00C2279B"/>
    <w:rsid w:val="00C23B19"/>
    <w:rsid w:val="00C33F84"/>
    <w:rsid w:val="00C34199"/>
    <w:rsid w:val="00C401A9"/>
    <w:rsid w:val="00C51A16"/>
    <w:rsid w:val="00C54125"/>
    <w:rsid w:val="00C61B3A"/>
    <w:rsid w:val="00C63294"/>
    <w:rsid w:val="00C6630D"/>
    <w:rsid w:val="00C6632B"/>
    <w:rsid w:val="00C70ED6"/>
    <w:rsid w:val="00C714E6"/>
    <w:rsid w:val="00C74EE4"/>
    <w:rsid w:val="00C77DC6"/>
    <w:rsid w:val="00C801DA"/>
    <w:rsid w:val="00C808AA"/>
    <w:rsid w:val="00C81F97"/>
    <w:rsid w:val="00C82176"/>
    <w:rsid w:val="00C8228B"/>
    <w:rsid w:val="00C841EC"/>
    <w:rsid w:val="00C84554"/>
    <w:rsid w:val="00C84903"/>
    <w:rsid w:val="00C9052F"/>
    <w:rsid w:val="00C926F0"/>
    <w:rsid w:val="00C96152"/>
    <w:rsid w:val="00C9656D"/>
    <w:rsid w:val="00C96827"/>
    <w:rsid w:val="00C96E60"/>
    <w:rsid w:val="00CA4AFC"/>
    <w:rsid w:val="00CB431E"/>
    <w:rsid w:val="00CC0CB6"/>
    <w:rsid w:val="00CC238E"/>
    <w:rsid w:val="00CC3FED"/>
    <w:rsid w:val="00CC5E6E"/>
    <w:rsid w:val="00CD0BFB"/>
    <w:rsid w:val="00CD2CC0"/>
    <w:rsid w:val="00CD3ED9"/>
    <w:rsid w:val="00CD5F32"/>
    <w:rsid w:val="00CE1D80"/>
    <w:rsid w:val="00CF5A4E"/>
    <w:rsid w:val="00CF7AEE"/>
    <w:rsid w:val="00D01582"/>
    <w:rsid w:val="00D0418F"/>
    <w:rsid w:val="00D076F0"/>
    <w:rsid w:val="00D1122F"/>
    <w:rsid w:val="00D17EED"/>
    <w:rsid w:val="00D22A2C"/>
    <w:rsid w:val="00D26645"/>
    <w:rsid w:val="00D269B4"/>
    <w:rsid w:val="00D372D0"/>
    <w:rsid w:val="00D42087"/>
    <w:rsid w:val="00D43B5F"/>
    <w:rsid w:val="00D45A84"/>
    <w:rsid w:val="00D46E57"/>
    <w:rsid w:val="00D564EA"/>
    <w:rsid w:val="00D601DD"/>
    <w:rsid w:val="00D67377"/>
    <w:rsid w:val="00D77CB2"/>
    <w:rsid w:val="00D8188C"/>
    <w:rsid w:val="00D84958"/>
    <w:rsid w:val="00D9318D"/>
    <w:rsid w:val="00DA061B"/>
    <w:rsid w:val="00DA19B6"/>
    <w:rsid w:val="00DA6BCA"/>
    <w:rsid w:val="00DB2DB5"/>
    <w:rsid w:val="00DB599C"/>
    <w:rsid w:val="00DC2E71"/>
    <w:rsid w:val="00DC5F5C"/>
    <w:rsid w:val="00DC68A4"/>
    <w:rsid w:val="00DC7A49"/>
    <w:rsid w:val="00DD634A"/>
    <w:rsid w:val="00DD779E"/>
    <w:rsid w:val="00DE082E"/>
    <w:rsid w:val="00DE1A4E"/>
    <w:rsid w:val="00DE1F0C"/>
    <w:rsid w:val="00DE5554"/>
    <w:rsid w:val="00DE5930"/>
    <w:rsid w:val="00DE728D"/>
    <w:rsid w:val="00DE7DBA"/>
    <w:rsid w:val="00DF478B"/>
    <w:rsid w:val="00E01AA4"/>
    <w:rsid w:val="00E0272C"/>
    <w:rsid w:val="00E02A97"/>
    <w:rsid w:val="00E0372B"/>
    <w:rsid w:val="00E06B95"/>
    <w:rsid w:val="00E07DC4"/>
    <w:rsid w:val="00E123CB"/>
    <w:rsid w:val="00E14FA9"/>
    <w:rsid w:val="00E16CA7"/>
    <w:rsid w:val="00E236D0"/>
    <w:rsid w:val="00E262F1"/>
    <w:rsid w:val="00E35BDD"/>
    <w:rsid w:val="00E365F8"/>
    <w:rsid w:val="00E42C2C"/>
    <w:rsid w:val="00E45296"/>
    <w:rsid w:val="00E52313"/>
    <w:rsid w:val="00E54F06"/>
    <w:rsid w:val="00E56EC1"/>
    <w:rsid w:val="00E60F89"/>
    <w:rsid w:val="00E629DF"/>
    <w:rsid w:val="00E63F2A"/>
    <w:rsid w:val="00E71A74"/>
    <w:rsid w:val="00E72BAC"/>
    <w:rsid w:val="00E742FD"/>
    <w:rsid w:val="00E77C52"/>
    <w:rsid w:val="00E81A91"/>
    <w:rsid w:val="00E81B38"/>
    <w:rsid w:val="00E91741"/>
    <w:rsid w:val="00E92B8B"/>
    <w:rsid w:val="00E93C14"/>
    <w:rsid w:val="00E95812"/>
    <w:rsid w:val="00E95948"/>
    <w:rsid w:val="00E97246"/>
    <w:rsid w:val="00EB7058"/>
    <w:rsid w:val="00EC173A"/>
    <w:rsid w:val="00EC22DE"/>
    <w:rsid w:val="00EC31B8"/>
    <w:rsid w:val="00EC3768"/>
    <w:rsid w:val="00EC5391"/>
    <w:rsid w:val="00EC570F"/>
    <w:rsid w:val="00ED2592"/>
    <w:rsid w:val="00ED3374"/>
    <w:rsid w:val="00ED4D6D"/>
    <w:rsid w:val="00ED7344"/>
    <w:rsid w:val="00EE058E"/>
    <w:rsid w:val="00EE218E"/>
    <w:rsid w:val="00EE42D9"/>
    <w:rsid w:val="00EE58A6"/>
    <w:rsid w:val="00EE5E49"/>
    <w:rsid w:val="00EE67B3"/>
    <w:rsid w:val="00EF149B"/>
    <w:rsid w:val="00EF1FF0"/>
    <w:rsid w:val="00EF5D0A"/>
    <w:rsid w:val="00EF62D8"/>
    <w:rsid w:val="00EF732C"/>
    <w:rsid w:val="00F0503E"/>
    <w:rsid w:val="00F0563B"/>
    <w:rsid w:val="00F10286"/>
    <w:rsid w:val="00F11E96"/>
    <w:rsid w:val="00F24CE1"/>
    <w:rsid w:val="00F25C7F"/>
    <w:rsid w:val="00F322F3"/>
    <w:rsid w:val="00F42FFD"/>
    <w:rsid w:val="00F50B38"/>
    <w:rsid w:val="00F62FCB"/>
    <w:rsid w:val="00F7041D"/>
    <w:rsid w:val="00F75AE5"/>
    <w:rsid w:val="00F85159"/>
    <w:rsid w:val="00F878F5"/>
    <w:rsid w:val="00F87BF1"/>
    <w:rsid w:val="00F92F06"/>
    <w:rsid w:val="00F93048"/>
    <w:rsid w:val="00F94117"/>
    <w:rsid w:val="00F94C38"/>
    <w:rsid w:val="00FA2B91"/>
    <w:rsid w:val="00FA2E37"/>
    <w:rsid w:val="00FA79F7"/>
    <w:rsid w:val="00FB58E4"/>
    <w:rsid w:val="00FB7679"/>
    <w:rsid w:val="00FC03E9"/>
    <w:rsid w:val="00FD646C"/>
    <w:rsid w:val="00FE3F74"/>
    <w:rsid w:val="00FE4A2D"/>
    <w:rsid w:val="00FE5133"/>
    <w:rsid w:val="00FF23D7"/>
    <w:rsid w:val="00FF3167"/>
    <w:rsid w:val="00FF593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0F9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iPriority="0"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890098"/>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890098"/>
    <w:pPr>
      <w:keepNext/>
      <w:spacing w:before="360"/>
      <w:ind w:right="-369"/>
      <w:outlineLvl w:val="1"/>
    </w:pPr>
    <w:rPr>
      <w:rFonts w:ascii="Arial" w:hAnsi="Arial" w:cs="Tahoma"/>
      <w:sz w:val="28"/>
      <w:lang w:val="en-AU"/>
    </w:rPr>
  </w:style>
  <w:style w:type="paragraph" w:styleId="Heading3">
    <w:name w:val="heading 3"/>
    <w:next w:val="Text"/>
    <w:link w:val="Heading3Char"/>
    <w:qFormat/>
    <w:rsid w:val="00890098"/>
    <w:pPr>
      <w:spacing w:before="280" w:line="320" w:lineRule="exact"/>
      <w:outlineLvl w:val="2"/>
    </w:pPr>
    <w:rPr>
      <w:rFonts w:ascii="Arial" w:hAnsi="Arial"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890098"/>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890098"/>
  </w:style>
  <w:style w:type="paragraph" w:customStyle="1" w:styleId="Dotpoint1">
    <w:name w:val="Dotpoint1"/>
    <w:rsid w:val="0048643A"/>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890098"/>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90098"/>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890098"/>
    <w:pPr>
      <w:ind w:left="2552" w:right="-1"/>
    </w:pPr>
    <w:rPr>
      <w:rFonts w:ascii="Arial" w:hAnsi="Arial" w:cs="Tahoma"/>
      <w:sz w:val="28"/>
      <w:lang w:val="en-AU"/>
    </w:rPr>
  </w:style>
  <w:style w:type="paragraph" w:customStyle="1" w:styleId="Contents">
    <w:name w:val="Contents"/>
    <w:qFormat/>
    <w:rsid w:val="00890098"/>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FootnoteReference">
    <w:name w:val="footnote reference"/>
    <w:basedOn w:val="DefaultParagraphFont"/>
    <w:uiPriority w:val="99"/>
    <w:semiHidden/>
    <w:rsid w:val="009135F3"/>
    <w:rPr>
      <w:vertAlign w:val="superscript"/>
    </w:rPr>
  </w:style>
  <w:style w:type="character" w:styleId="Emphasis">
    <w:name w:val="Emphasis"/>
    <w:basedOn w:val="DefaultParagraphFont"/>
    <w:uiPriority w:val="20"/>
    <w:qFormat/>
    <w:rsid w:val="006954E6"/>
    <w:rPr>
      <w:i/>
      <w:iCs/>
    </w:rPr>
  </w:style>
  <w:style w:type="paragraph" w:customStyle="1" w:styleId="EndNoteBibliographyTitle">
    <w:name w:val="EndNote Bibliography Title"/>
    <w:basedOn w:val="Normal"/>
    <w:rsid w:val="00546366"/>
    <w:pPr>
      <w:jc w:val="center"/>
    </w:pPr>
    <w:rPr>
      <w:rFonts w:ascii="Tahoma" w:hAnsi="Tahoma" w:cs="Tahoma"/>
      <w:sz w:val="56"/>
      <w:lang w:val="en-US"/>
    </w:rPr>
  </w:style>
  <w:style w:type="paragraph" w:customStyle="1" w:styleId="EndNoteBibliography">
    <w:name w:val="EndNote Bibliography"/>
    <w:basedOn w:val="Normal"/>
    <w:rsid w:val="00546366"/>
    <w:pPr>
      <w:spacing w:line="240" w:lineRule="exact"/>
    </w:pPr>
    <w:rPr>
      <w:rFonts w:ascii="Tahoma" w:hAnsi="Tahoma" w:cs="Tahoma"/>
      <w:sz w:val="56"/>
      <w:lang w:val="en-US"/>
    </w:rPr>
  </w:style>
  <w:style w:type="character" w:customStyle="1" w:styleId="Heading2Char">
    <w:name w:val="Heading 2 Char"/>
    <w:basedOn w:val="DefaultParagraphFont"/>
    <w:link w:val="Heading2"/>
    <w:rsid w:val="00890098"/>
    <w:rPr>
      <w:rFonts w:ascii="Arial" w:hAnsi="Arial" w:cs="Tahoma"/>
      <w:sz w:val="28"/>
      <w:lang w:val="en-AU"/>
    </w:rPr>
  </w:style>
  <w:style w:type="character" w:styleId="CommentReference">
    <w:name w:val="annotation reference"/>
    <w:basedOn w:val="DefaultParagraphFont"/>
    <w:uiPriority w:val="99"/>
    <w:semiHidden/>
    <w:rsid w:val="005C41DB"/>
    <w:rPr>
      <w:sz w:val="16"/>
      <w:szCs w:val="16"/>
    </w:rPr>
  </w:style>
  <w:style w:type="paragraph" w:styleId="CommentText">
    <w:name w:val="annotation text"/>
    <w:basedOn w:val="Normal"/>
    <w:link w:val="CommentTextChar"/>
    <w:uiPriority w:val="99"/>
    <w:semiHidden/>
    <w:rsid w:val="005C41DB"/>
    <w:pPr>
      <w:spacing w:line="240" w:lineRule="auto"/>
    </w:pPr>
    <w:rPr>
      <w:sz w:val="20"/>
    </w:rPr>
  </w:style>
  <w:style w:type="character" w:customStyle="1" w:styleId="CommentTextChar">
    <w:name w:val="Comment Text Char"/>
    <w:basedOn w:val="DefaultParagraphFont"/>
    <w:link w:val="CommentText"/>
    <w:uiPriority w:val="99"/>
    <w:semiHidden/>
    <w:rsid w:val="005C41DB"/>
    <w:rPr>
      <w:rFonts w:ascii="Trebuchet MS" w:hAnsi="Trebuchet MS"/>
      <w:lang w:val="en-AU"/>
    </w:rPr>
  </w:style>
  <w:style w:type="paragraph" w:styleId="CommentSubject">
    <w:name w:val="annotation subject"/>
    <w:basedOn w:val="CommentText"/>
    <w:next w:val="CommentText"/>
    <w:link w:val="CommentSubjectChar"/>
    <w:uiPriority w:val="99"/>
    <w:semiHidden/>
    <w:rsid w:val="005C41DB"/>
    <w:rPr>
      <w:b/>
      <w:bCs/>
    </w:rPr>
  </w:style>
  <w:style w:type="character" w:customStyle="1" w:styleId="CommentSubjectChar">
    <w:name w:val="Comment Subject Char"/>
    <w:basedOn w:val="CommentTextChar"/>
    <w:link w:val="CommentSubject"/>
    <w:uiPriority w:val="99"/>
    <w:semiHidden/>
    <w:rsid w:val="005C41DB"/>
    <w:rPr>
      <w:rFonts w:ascii="Trebuchet MS" w:hAnsi="Trebuchet MS"/>
      <w:b/>
      <w:bCs/>
      <w:lang w:val="en-AU"/>
    </w:rPr>
  </w:style>
  <w:style w:type="paragraph" w:customStyle="1" w:styleId="StyleTahoma28ptBlackBefore0ptKernat14ptLinespac">
    <w:name w:val="Style Tahoma 28 pt Black Before:  0 pt Kern at 14 pt Line spac..."/>
    <w:basedOn w:val="Normal"/>
    <w:rsid w:val="00890098"/>
    <w:pPr>
      <w:spacing w:before="0" w:line="240" w:lineRule="auto"/>
    </w:pPr>
    <w:rPr>
      <w:rFonts w:ascii="Arial" w:hAnsi="Arial"/>
      <w:color w:val="000000"/>
      <w:kern w:val="28"/>
      <w:sz w:val="56"/>
    </w:rPr>
  </w:style>
  <w:style w:type="paragraph" w:customStyle="1" w:styleId="StyleFiguretitleLeft0cmFirstline0cm">
    <w:name w:val="Style Figuretitle + Left:  0 cm First line:  0 cm"/>
    <w:basedOn w:val="Figuretitle"/>
    <w:rsid w:val="00890098"/>
    <w:pPr>
      <w:ind w:left="0" w:firstLine="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iPriority="0"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890098"/>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890098"/>
    <w:pPr>
      <w:keepNext/>
      <w:spacing w:before="360"/>
      <w:ind w:right="-369"/>
      <w:outlineLvl w:val="1"/>
    </w:pPr>
    <w:rPr>
      <w:rFonts w:ascii="Arial" w:hAnsi="Arial" w:cs="Tahoma"/>
      <w:sz w:val="28"/>
      <w:lang w:val="en-AU"/>
    </w:rPr>
  </w:style>
  <w:style w:type="paragraph" w:styleId="Heading3">
    <w:name w:val="heading 3"/>
    <w:next w:val="Text"/>
    <w:link w:val="Heading3Char"/>
    <w:qFormat/>
    <w:rsid w:val="00890098"/>
    <w:pPr>
      <w:spacing w:before="280" w:line="320" w:lineRule="exact"/>
      <w:outlineLvl w:val="2"/>
    </w:pPr>
    <w:rPr>
      <w:rFonts w:ascii="Arial" w:hAnsi="Arial"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890098"/>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890098"/>
  </w:style>
  <w:style w:type="paragraph" w:customStyle="1" w:styleId="Dotpoint1">
    <w:name w:val="Dotpoint1"/>
    <w:rsid w:val="0048643A"/>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890098"/>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90098"/>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890098"/>
    <w:pPr>
      <w:ind w:left="2552" w:right="-1"/>
    </w:pPr>
    <w:rPr>
      <w:rFonts w:ascii="Arial" w:hAnsi="Arial" w:cs="Tahoma"/>
      <w:sz w:val="28"/>
      <w:lang w:val="en-AU"/>
    </w:rPr>
  </w:style>
  <w:style w:type="paragraph" w:customStyle="1" w:styleId="Contents">
    <w:name w:val="Contents"/>
    <w:qFormat/>
    <w:rsid w:val="00890098"/>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FootnoteReference">
    <w:name w:val="footnote reference"/>
    <w:basedOn w:val="DefaultParagraphFont"/>
    <w:uiPriority w:val="99"/>
    <w:semiHidden/>
    <w:rsid w:val="009135F3"/>
    <w:rPr>
      <w:vertAlign w:val="superscript"/>
    </w:rPr>
  </w:style>
  <w:style w:type="character" w:styleId="Emphasis">
    <w:name w:val="Emphasis"/>
    <w:basedOn w:val="DefaultParagraphFont"/>
    <w:uiPriority w:val="20"/>
    <w:qFormat/>
    <w:rsid w:val="006954E6"/>
    <w:rPr>
      <w:i/>
      <w:iCs/>
    </w:rPr>
  </w:style>
  <w:style w:type="paragraph" w:customStyle="1" w:styleId="EndNoteBibliographyTitle">
    <w:name w:val="EndNote Bibliography Title"/>
    <w:basedOn w:val="Normal"/>
    <w:rsid w:val="00546366"/>
    <w:pPr>
      <w:jc w:val="center"/>
    </w:pPr>
    <w:rPr>
      <w:rFonts w:ascii="Tahoma" w:hAnsi="Tahoma" w:cs="Tahoma"/>
      <w:sz w:val="56"/>
      <w:lang w:val="en-US"/>
    </w:rPr>
  </w:style>
  <w:style w:type="paragraph" w:customStyle="1" w:styleId="EndNoteBibliography">
    <w:name w:val="EndNote Bibliography"/>
    <w:basedOn w:val="Normal"/>
    <w:rsid w:val="00546366"/>
    <w:pPr>
      <w:spacing w:line="240" w:lineRule="exact"/>
    </w:pPr>
    <w:rPr>
      <w:rFonts w:ascii="Tahoma" w:hAnsi="Tahoma" w:cs="Tahoma"/>
      <w:sz w:val="56"/>
      <w:lang w:val="en-US"/>
    </w:rPr>
  </w:style>
  <w:style w:type="character" w:customStyle="1" w:styleId="Heading2Char">
    <w:name w:val="Heading 2 Char"/>
    <w:basedOn w:val="DefaultParagraphFont"/>
    <w:link w:val="Heading2"/>
    <w:rsid w:val="00890098"/>
    <w:rPr>
      <w:rFonts w:ascii="Arial" w:hAnsi="Arial" w:cs="Tahoma"/>
      <w:sz w:val="28"/>
      <w:lang w:val="en-AU"/>
    </w:rPr>
  </w:style>
  <w:style w:type="character" w:styleId="CommentReference">
    <w:name w:val="annotation reference"/>
    <w:basedOn w:val="DefaultParagraphFont"/>
    <w:uiPriority w:val="99"/>
    <w:semiHidden/>
    <w:rsid w:val="005C41DB"/>
    <w:rPr>
      <w:sz w:val="16"/>
      <w:szCs w:val="16"/>
    </w:rPr>
  </w:style>
  <w:style w:type="paragraph" w:styleId="CommentText">
    <w:name w:val="annotation text"/>
    <w:basedOn w:val="Normal"/>
    <w:link w:val="CommentTextChar"/>
    <w:uiPriority w:val="99"/>
    <w:semiHidden/>
    <w:rsid w:val="005C41DB"/>
    <w:pPr>
      <w:spacing w:line="240" w:lineRule="auto"/>
    </w:pPr>
    <w:rPr>
      <w:sz w:val="20"/>
    </w:rPr>
  </w:style>
  <w:style w:type="character" w:customStyle="1" w:styleId="CommentTextChar">
    <w:name w:val="Comment Text Char"/>
    <w:basedOn w:val="DefaultParagraphFont"/>
    <w:link w:val="CommentText"/>
    <w:uiPriority w:val="99"/>
    <w:semiHidden/>
    <w:rsid w:val="005C41DB"/>
    <w:rPr>
      <w:rFonts w:ascii="Trebuchet MS" w:hAnsi="Trebuchet MS"/>
      <w:lang w:val="en-AU"/>
    </w:rPr>
  </w:style>
  <w:style w:type="paragraph" w:styleId="CommentSubject">
    <w:name w:val="annotation subject"/>
    <w:basedOn w:val="CommentText"/>
    <w:next w:val="CommentText"/>
    <w:link w:val="CommentSubjectChar"/>
    <w:uiPriority w:val="99"/>
    <w:semiHidden/>
    <w:rsid w:val="005C41DB"/>
    <w:rPr>
      <w:b/>
      <w:bCs/>
    </w:rPr>
  </w:style>
  <w:style w:type="character" w:customStyle="1" w:styleId="CommentSubjectChar">
    <w:name w:val="Comment Subject Char"/>
    <w:basedOn w:val="CommentTextChar"/>
    <w:link w:val="CommentSubject"/>
    <w:uiPriority w:val="99"/>
    <w:semiHidden/>
    <w:rsid w:val="005C41DB"/>
    <w:rPr>
      <w:rFonts w:ascii="Trebuchet MS" w:hAnsi="Trebuchet MS"/>
      <w:b/>
      <w:bCs/>
      <w:lang w:val="en-AU"/>
    </w:rPr>
  </w:style>
  <w:style w:type="paragraph" w:customStyle="1" w:styleId="StyleTahoma28ptBlackBefore0ptKernat14ptLinespac">
    <w:name w:val="Style Tahoma 28 pt Black Before:  0 pt Kern at 14 pt Line spac..."/>
    <w:basedOn w:val="Normal"/>
    <w:rsid w:val="00890098"/>
    <w:pPr>
      <w:spacing w:before="0" w:line="240" w:lineRule="auto"/>
    </w:pPr>
    <w:rPr>
      <w:rFonts w:ascii="Arial" w:hAnsi="Arial"/>
      <w:color w:val="000000"/>
      <w:kern w:val="28"/>
      <w:sz w:val="56"/>
    </w:rPr>
  </w:style>
  <w:style w:type="paragraph" w:customStyle="1" w:styleId="StyleFiguretitleLeft0cmFirstline0cm">
    <w:name w:val="Style Figuretitle + Left:  0 cm First line:  0 cm"/>
    <w:basedOn w:val="Figuretitle"/>
    <w:rsid w:val="00890098"/>
    <w:pPr>
      <w:ind w:left="0" w:firstLin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374">
      <w:bodyDiv w:val="1"/>
      <w:marLeft w:val="0"/>
      <w:marRight w:val="0"/>
      <w:marTop w:val="0"/>
      <w:marBottom w:val="0"/>
      <w:divBdr>
        <w:top w:val="none" w:sz="0" w:space="0" w:color="auto"/>
        <w:left w:val="none" w:sz="0" w:space="0" w:color="auto"/>
        <w:bottom w:val="none" w:sz="0" w:space="0" w:color="auto"/>
        <w:right w:val="none" w:sz="0" w:space="0" w:color="auto"/>
      </w:divBdr>
    </w:div>
    <w:div w:id="23022384">
      <w:bodyDiv w:val="1"/>
      <w:marLeft w:val="0"/>
      <w:marRight w:val="0"/>
      <w:marTop w:val="0"/>
      <w:marBottom w:val="0"/>
      <w:divBdr>
        <w:top w:val="none" w:sz="0" w:space="0" w:color="auto"/>
        <w:left w:val="none" w:sz="0" w:space="0" w:color="auto"/>
        <w:bottom w:val="none" w:sz="0" w:space="0" w:color="auto"/>
        <w:right w:val="none" w:sz="0" w:space="0" w:color="auto"/>
      </w:divBdr>
    </w:div>
    <w:div w:id="31417500">
      <w:bodyDiv w:val="1"/>
      <w:marLeft w:val="0"/>
      <w:marRight w:val="0"/>
      <w:marTop w:val="0"/>
      <w:marBottom w:val="0"/>
      <w:divBdr>
        <w:top w:val="none" w:sz="0" w:space="0" w:color="auto"/>
        <w:left w:val="none" w:sz="0" w:space="0" w:color="auto"/>
        <w:bottom w:val="none" w:sz="0" w:space="0" w:color="auto"/>
        <w:right w:val="none" w:sz="0" w:space="0" w:color="auto"/>
      </w:divBdr>
    </w:div>
    <w:div w:id="39599165">
      <w:bodyDiv w:val="1"/>
      <w:marLeft w:val="0"/>
      <w:marRight w:val="0"/>
      <w:marTop w:val="0"/>
      <w:marBottom w:val="0"/>
      <w:divBdr>
        <w:top w:val="none" w:sz="0" w:space="0" w:color="auto"/>
        <w:left w:val="none" w:sz="0" w:space="0" w:color="auto"/>
        <w:bottom w:val="none" w:sz="0" w:space="0" w:color="auto"/>
        <w:right w:val="none" w:sz="0" w:space="0" w:color="auto"/>
      </w:divBdr>
    </w:div>
    <w:div w:id="53554218">
      <w:bodyDiv w:val="1"/>
      <w:marLeft w:val="0"/>
      <w:marRight w:val="0"/>
      <w:marTop w:val="0"/>
      <w:marBottom w:val="0"/>
      <w:divBdr>
        <w:top w:val="none" w:sz="0" w:space="0" w:color="auto"/>
        <w:left w:val="none" w:sz="0" w:space="0" w:color="auto"/>
        <w:bottom w:val="none" w:sz="0" w:space="0" w:color="auto"/>
        <w:right w:val="none" w:sz="0" w:space="0" w:color="auto"/>
      </w:divBdr>
    </w:div>
    <w:div w:id="96366226">
      <w:bodyDiv w:val="1"/>
      <w:marLeft w:val="0"/>
      <w:marRight w:val="0"/>
      <w:marTop w:val="0"/>
      <w:marBottom w:val="0"/>
      <w:divBdr>
        <w:top w:val="none" w:sz="0" w:space="0" w:color="auto"/>
        <w:left w:val="none" w:sz="0" w:space="0" w:color="auto"/>
        <w:bottom w:val="none" w:sz="0" w:space="0" w:color="auto"/>
        <w:right w:val="none" w:sz="0" w:space="0" w:color="auto"/>
      </w:divBdr>
    </w:div>
    <w:div w:id="150146671">
      <w:bodyDiv w:val="1"/>
      <w:marLeft w:val="0"/>
      <w:marRight w:val="0"/>
      <w:marTop w:val="0"/>
      <w:marBottom w:val="0"/>
      <w:divBdr>
        <w:top w:val="none" w:sz="0" w:space="0" w:color="auto"/>
        <w:left w:val="none" w:sz="0" w:space="0" w:color="auto"/>
        <w:bottom w:val="none" w:sz="0" w:space="0" w:color="auto"/>
        <w:right w:val="none" w:sz="0" w:space="0" w:color="auto"/>
      </w:divBdr>
    </w:div>
    <w:div w:id="203948874">
      <w:bodyDiv w:val="1"/>
      <w:marLeft w:val="0"/>
      <w:marRight w:val="0"/>
      <w:marTop w:val="0"/>
      <w:marBottom w:val="0"/>
      <w:divBdr>
        <w:top w:val="none" w:sz="0" w:space="0" w:color="auto"/>
        <w:left w:val="none" w:sz="0" w:space="0" w:color="auto"/>
        <w:bottom w:val="none" w:sz="0" w:space="0" w:color="auto"/>
        <w:right w:val="none" w:sz="0" w:space="0" w:color="auto"/>
      </w:divBdr>
    </w:div>
    <w:div w:id="205146226">
      <w:bodyDiv w:val="1"/>
      <w:marLeft w:val="0"/>
      <w:marRight w:val="0"/>
      <w:marTop w:val="0"/>
      <w:marBottom w:val="0"/>
      <w:divBdr>
        <w:top w:val="none" w:sz="0" w:space="0" w:color="auto"/>
        <w:left w:val="none" w:sz="0" w:space="0" w:color="auto"/>
        <w:bottom w:val="none" w:sz="0" w:space="0" w:color="auto"/>
        <w:right w:val="none" w:sz="0" w:space="0" w:color="auto"/>
      </w:divBdr>
    </w:div>
    <w:div w:id="229735219">
      <w:bodyDiv w:val="1"/>
      <w:marLeft w:val="0"/>
      <w:marRight w:val="0"/>
      <w:marTop w:val="0"/>
      <w:marBottom w:val="0"/>
      <w:divBdr>
        <w:top w:val="none" w:sz="0" w:space="0" w:color="auto"/>
        <w:left w:val="none" w:sz="0" w:space="0" w:color="auto"/>
        <w:bottom w:val="none" w:sz="0" w:space="0" w:color="auto"/>
        <w:right w:val="none" w:sz="0" w:space="0" w:color="auto"/>
      </w:divBdr>
    </w:div>
    <w:div w:id="296498157">
      <w:bodyDiv w:val="1"/>
      <w:marLeft w:val="0"/>
      <w:marRight w:val="0"/>
      <w:marTop w:val="0"/>
      <w:marBottom w:val="0"/>
      <w:divBdr>
        <w:top w:val="none" w:sz="0" w:space="0" w:color="auto"/>
        <w:left w:val="none" w:sz="0" w:space="0" w:color="auto"/>
        <w:bottom w:val="none" w:sz="0" w:space="0" w:color="auto"/>
        <w:right w:val="none" w:sz="0" w:space="0" w:color="auto"/>
      </w:divBdr>
    </w:div>
    <w:div w:id="329219246">
      <w:bodyDiv w:val="1"/>
      <w:marLeft w:val="0"/>
      <w:marRight w:val="0"/>
      <w:marTop w:val="0"/>
      <w:marBottom w:val="0"/>
      <w:divBdr>
        <w:top w:val="none" w:sz="0" w:space="0" w:color="auto"/>
        <w:left w:val="none" w:sz="0" w:space="0" w:color="auto"/>
        <w:bottom w:val="none" w:sz="0" w:space="0" w:color="auto"/>
        <w:right w:val="none" w:sz="0" w:space="0" w:color="auto"/>
      </w:divBdr>
    </w:div>
    <w:div w:id="332682073">
      <w:bodyDiv w:val="1"/>
      <w:marLeft w:val="0"/>
      <w:marRight w:val="0"/>
      <w:marTop w:val="0"/>
      <w:marBottom w:val="0"/>
      <w:divBdr>
        <w:top w:val="none" w:sz="0" w:space="0" w:color="auto"/>
        <w:left w:val="none" w:sz="0" w:space="0" w:color="auto"/>
        <w:bottom w:val="none" w:sz="0" w:space="0" w:color="auto"/>
        <w:right w:val="none" w:sz="0" w:space="0" w:color="auto"/>
      </w:divBdr>
    </w:div>
    <w:div w:id="360865453">
      <w:bodyDiv w:val="1"/>
      <w:marLeft w:val="0"/>
      <w:marRight w:val="0"/>
      <w:marTop w:val="0"/>
      <w:marBottom w:val="0"/>
      <w:divBdr>
        <w:top w:val="none" w:sz="0" w:space="0" w:color="auto"/>
        <w:left w:val="none" w:sz="0" w:space="0" w:color="auto"/>
        <w:bottom w:val="none" w:sz="0" w:space="0" w:color="auto"/>
        <w:right w:val="none" w:sz="0" w:space="0" w:color="auto"/>
      </w:divBdr>
    </w:div>
    <w:div w:id="460540705">
      <w:bodyDiv w:val="1"/>
      <w:marLeft w:val="0"/>
      <w:marRight w:val="0"/>
      <w:marTop w:val="0"/>
      <w:marBottom w:val="0"/>
      <w:divBdr>
        <w:top w:val="none" w:sz="0" w:space="0" w:color="auto"/>
        <w:left w:val="none" w:sz="0" w:space="0" w:color="auto"/>
        <w:bottom w:val="none" w:sz="0" w:space="0" w:color="auto"/>
        <w:right w:val="none" w:sz="0" w:space="0" w:color="auto"/>
      </w:divBdr>
    </w:div>
    <w:div w:id="546138329">
      <w:bodyDiv w:val="1"/>
      <w:marLeft w:val="0"/>
      <w:marRight w:val="0"/>
      <w:marTop w:val="0"/>
      <w:marBottom w:val="0"/>
      <w:divBdr>
        <w:top w:val="none" w:sz="0" w:space="0" w:color="auto"/>
        <w:left w:val="none" w:sz="0" w:space="0" w:color="auto"/>
        <w:bottom w:val="none" w:sz="0" w:space="0" w:color="auto"/>
        <w:right w:val="none" w:sz="0" w:space="0" w:color="auto"/>
      </w:divBdr>
    </w:div>
    <w:div w:id="589654944">
      <w:bodyDiv w:val="1"/>
      <w:marLeft w:val="0"/>
      <w:marRight w:val="0"/>
      <w:marTop w:val="0"/>
      <w:marBottom w:val="0"/>
      <w:divBdr>
        <w:top w:val="none" w:sz="0" w:space="0" w:color="auto"/>
        <w:left w:val="none" w:sz="0" w:space="0" w:color="auto"/>
        <w:bottom w:val="none" w:sz="0" w:space="0" w:color="auto"/>
        <w:right w:val="none" w:sz="0" w:space="0" w:color="auto"/>
      </w:divBdr>
    </w:div>
    <w:div w:id="641812668">
      <w:bodyDiv w:val="1"/>
      <w:marLeft w:val="0"/>
      <w:marRight w:val="0"/>
      <w:marTop w:val="0"/>
      <w:marBottom w:val="0"/>
      <w:divBdr>
        <w:top w:val="none" w:sz="0" w:space="0" w:color="auto"/>
        <w:left w:val="none" w:sz="0" w:space="0" w:color="auto"/>
        <w:bottom w:val="none" w:sz="0" w:space="0" w:color="auto"/>
        <w:right w:val="none" w:sz="0" w:space="0" w:color="auto"/>
      </w:divBdr>
    </w:div>
    <w:div w:id="730228622">
      <w:bodyDiv w:val="1"/>
      <w:marLeft w:val="0"/>
      <w:marRight w:val="0"/>
      <w:marTop w:val="0"/>
      <w:marBottom w:val="0"/>
      <w:divBdr>
        <w:top w:val="none" w:sz="0" w:space="0" w:color="auto"/>
        <w:left w:val="none" w:sz="0" w:space="0" w:color="auto"/>
        <w:bottom w:val="none" w:sz="0" w:space="0" w:color="auto"/>
        <w:right w:val="none" w:sz="0" w:space="0" w:color="auto"/>
      </w:divBdr>
    </w:div>
    <w:div w:id="734625210">
      <w:bodyDiv w:val="1"/>
      <w:marLeft w:val="0"/>
      <w:marRight w:val="0"/>
      <w:marTop w:val="0"/>
      <w:marBottom w:val="0"/>
      <w:divBdr>
        <w:top w:val="none" w:sz="0" w:space="0" w:color="auto"/>
        <w:left w:val="none" w:sz="0" w:space="0" w:color="auto"/>
        <w:bottom w:val="none" w:sz="0" w:space="0" w:color="auto"/>
        <w:right w:val="none" w:sz="0" w:space="0" w:color="auto"/>
      </w:divBdr>
    </w:div>
    <w:div w:id="799953830">
      <w:bodyDiv w:val="1"/>
      <w:marLeft w:val="0"/>
      <w:marRight w:val="0"/>
      <w:marTop w:val="0"/>
      <w:marBottom w:val="0"/>
      <w:divBdr>
        <w:top w:val="none" w:sz="0" w:space="0" w:color="auto"/>
        <w:left w:val="none" w:sz="0" w:space="0" w:color="auto"/>
        <w:bottom w:val="none" w:sz="0" w:space="0" w:color="auto"/>
        <w:right w:val="none" w:sz="0" w:space="0" w:color="auto"/>
      </w:divBdr>
    </w:div>
    <w:div w:id="870066908">
      <w:bodyDiv w:val="1"/>
      <w:marLeft w:val="0"/>
      <w:marRight w:val="0"/>
      <w:marTop w:val="0"/>
      <w:marBottom w:val="0"/>
      <w:divBdr>
        <w:top w:val="none" w:sz="0" w:space="0" w:color="auto"/>
        <w:left w:val="none" w:sz="0" w:space="0" w:color="auto"/>
        <w:bottom w:val="none" w:sz="0" w:space="0" w:color="auto"/>
        <w:right w:val="none" w:sz="0" w:space="0" w:color="auto"/>
      </w:divBdr>
    </w:div>
    <w:div w:id="935946247">
      <w:bodyDiv w:val="1"/>
      <w:marLeft w:val="0"/>
      <w:marRight w:val="0"/>
      <w:marTop w:val="0"/>
      <w:marBottom w:val="0"/>
      <w:divBdr>
        <w:top w:val="none" w:sz="0" w:space="0" w:color="auto"/>
        <w:left w:val="none" w:sz="0" w:space="0" w:color="auto"/>
        <w:bottom w:val="none" w:sz="0" w:space="0" w:color="auto"/>
        <w:right w:val="none" w:sz="0" w:space="0" w:color="auto"/>
      </w:divBdr>
    </w:div>
    <w:div w:id="957032235">
      <w:bodyDiv w:val="1"/>
      <w:marLeft w:val="0"/>
      <w:marRight w:val="0"/>
      <w:marTop w:val="0"/>
      <w:marBottom w:val="0"/>
      <w:divBdr>
        <w:top w:val="none" w:sz="0" w:space="0" w:color="auto"/>
        <w:left w:val="none" w:sz="0" w:space="0" w:color="auto"/>
        <w:bottom w:val="none" w:sz="0" w:space="0" w:color="auto"/>
        <w:right w:val="none" w:sz="0" w:space="0" w:color="auto"/>
      </w:divBdr>
    </w:div>
    <w:div w:id="958948704">
      <w:bodyDiv w:val="1"/>
      <w:marLeft w:val="0"/>
      <w:marRight w:val="0"/>
      <w:marTop w:val="0"/>
      <w:marBottom w:val="0"/>
      <w:divBdr>
        <w:top w:val="none" w:sz="0" w:space="0" w:color="auto"/>
        <w:left w:val="none" w:sz="0" w:space="0" w:color="auto"/>
        <w:bottom w:val="none" w:sz="0" w:space="0" w:color="auto"/>
        <w:right w:val="none" w:sz="0" w:space="0" w:color="auto"/>
      </w:divBdr>
    </w:div>
    <w:div w:id="997617754">
      <w:bodyDiv w:val="1"/>
      <w:marLeft w:val="0"/>
      <w:marRight w:val="0"/>
      <w:marTop w:val="0"/>
      <w:marBottom w:val="0"/>
      <w:divBdr>
        <w:top w:val="none" w:sz="0" w:space="0" w:color="auto"/>
        <w:left w:val="none" w:sz="0" w:space="0" w:color="auto"/>
        <w:bottom w:val="none" w:sz="0" w:space="0" w:color="auto"/>
        <w:right w:val="none" w:sz="0" w:space="0" w:color="auto"/>
      </w:divBdr>
      <w:divsChild>
        <w:div w:id="741030970">
          <w:marLeft w:val="547"/>
          <w:marRight w:val="0"/>
          <w:marTop w:val="134"/>
          <w:marBottom w:val="0"/>
          <w:divBdr>
            <w:top w:val="none" w:sz="0" w:space="0" w:color="auto"/>
            <w:left w:val="none" w:sz="0" w:space="0" w:color="auto"/>
            <w:bottom w:val="none" w:sz="0" w:space="0" w:color="auto"/>
            <w:right w:val="none" w:sz="0" w:space="0" w:color="auto"/>
          </w:divBdr>
        </w:div>
        <w:div w:id="1379668303">
          <w:marLeft w:val="547"/>
          <w:marRight w:val="0"/>
          <w:marTop w:val="134"/>
          <w:marBottom w:val="0"/>
          <w:divBdr>
            <w:top w:val="none" w:sz="0" w:space="0" w:color="auto"/>
            <w:left w:val="none" w:sz="0" w:space="0" w:color="auto"/>
            <w:bottom w:val="none" w:sz="0" w:space="0" w:color="auto"/>
            <w:right w:val="none" w:sz="0" w:space="0" w:color="auto"/>
          </w:divBdr>
        </w:div>
        <w:div w:id="1902785412">
          <w:marLeft w:val="547"/>
          <w:marRight w:val="0"/>
          <w:marTop w:val="134"/>
          <w:marBottom w:val="0"/>
          <w:divBdr>
            <w:top w:val="none" w:sz="0" w:space="0" w:color="auto"/>
            <w:left w:val="none" w:sz="0" w:space="0" w:color="auto"/>
            <w:bottom w:val="none" w:sz="0" w:space="0" w:color="auto"/>
            <w:right w:val="none" w:sz="0" w:space="0" w:color="auto"/>
          </w:divBdr>
        </w:div>
        <w:div w:id="2088721341">
          <w:marLeft w:val="547"/>
          <w:marRight w:val="0"/>
          <w:marTop w:val="134"/>
          <w:marBottom w:val="0"/>
          <w:divBdr>
            <w:top w:val="none" w:sz="0" w:space="0" w:color="auto"/>
            <w:left w:val="none" w:sz="0" w:space="0" w:color="auto"/>
            <w:bottom w:val="none" w:sz="0" w:space="0" w:color="auto"/>
            <w:right w:val="none" w:sz="0" w:space="0" w:color="auto"/>
          </w:divBdr>
        </w:div>
        <w:div w:id="974792279">
          <w:marLeft w:val="547"/>
          <w:marRight w:val="0"/>
          <w:marTop w:val="134"/>
          <w:marBottom w:val="0"/>
          <w:divBdr>
            <w:top w:val="none" w:sz="0" w:space="0" w:color="auto"/>
            <w:left w:val="none" w:sz="0" w:space="0" w:color="auto"/>
            <w:bottom w:val="none" w:sz="0" w:space="0" w:color="auto"/>
            <w:right w:val="none" w:sz="0" w:space="0" w:color="auto"/>
          </w:divBdr>
        </w:div>
        <w:div w:id="1825848559">
          <w:marLeft w:val="547"/>
          <w:marRight w:val="0"/>
          <w:marTop w:val="134"/>
          <w:marBottom w:val="0"/>
          <w:divBdr>
            <w:top w:val="none" w:sz="0" w:space="0" w:color="auto"/>
            <w:left w:val="none" w:sz="0" w:space="0" w:color="auto"/>
            <w:bottom w:val="none" w:sz="0" w:space="0" w:color="auto"/>
            <w:right w:val="none" w:sz="0" w:space="0" w:color="auto"/>
          </w:divBdr>
        </w:div>
        <w:div w:id="310915274">
          <w:marLeft w:val="547"/>
          <w:marRight w:val="0"/>
          <w:marTop w:val="134"/>
          <w:marBottom w:val="0"/>
          <w:divBdr>
            <w:top w:val="none" w:sz="0" w:space="0" w:color="auto"/>
            <w:left w:val="none" w:sz="0" w:space="0" w:color="auto"/>
            <w:bottom w:val="none" w:sz="0" w:space="0" w:color="auto"/>
            <w:right w:val="none" w:sz="0" w:space="0" w:color="auto"/>
          </w:divBdr>
        </w:div>
      </w:divsChild>
    </w:div>
    <w:div w:id="1101610143">
      <w:bodyDiv w:val="1"/>
      <w:marLeft w:val="0"/>
      <w:marRight w:val="0"/>
      <w:marTop w:val="0"/>
      <w:marBottom w:val="0"/>
      <w:divBdr>
        <w:top w:val="none" w:sz="0" w:space="0" w:color="auto"/>
        <w:left w:val="none" w:sz="0" w:space="0" w:color="auto"/>
        <w:bottom w:val="none" w:sz="0" w:space="0" w:color="auto"/>
        <w:right w:val="none" w:sz="0" w:space="0" w:color="auto"/>
      </w:divBdr>
    </w:div>
    <w:div w:id="1163743997">
      <w:bodyDiv w:val="1"/>
      <w:marLeft w:val="0"/>
      <w:marRight w:val="0"/>
      <w:marTop w:val="0"/>
      <w:marBottom w:val="0"/>
      <w:divBdr>
        <w:top w:val="none" w:sz="0" w:space="0" w:color="auto"/>
        <w:left w:val="none" w:sz="0" w:space="0" w:color="auto"/>
        <w:bottom w:val="none" w:sz="0" w:space="0" w:color="auto"/>
        <w:right w:val="none" w:sz="0" w:space="0" w:color="auto"/>
      </w:divBdr>
    </w:div>
    <w:div w:id="1164778833">
      <w:bodyDiv w:val="1"/>
      <w:marLeft w:val="0"/>
      <w:marRight w:val="0"/>
      <w:marTop w:val="0"/>
      <w:marBottom w:val="0"/>
      <w:divBdr>
        <w:top w:val="none" w:sz="0" w:space="0" w:color="auto"/>
        <w:left w:val="none" w:sz="0" w:space="0" w:color="auto"/>
        <w:bottom w:val="none" w:sz="0" w:space="0" w:color="auto"/>
        <w:right w:val="none" w:sz="0" w:space="0" w:color="auto"/>
      </w:divBdr>
    </w:div>
    <w:div w:id="1172642292">
      <w:bodyDiv w:val="1"/>
      <w:marLeft w:val="0"/>
      <w:marRight w:val="0"/>
      <w:marTop w:val="0"/>
      <w:marBottom w:val="0"/>
      <w:divBdr>
        <w:top w:val="none" w:sz="0" w:space="0" w:color="auto"/>
        <w:left w:val="none" w:sz="0" w:space="0" w:color="auto"/>
        <w:bottom w:val="none" w:sz="0" w:space="0" w:color="auto"/>
        <w:right w:val="none" w:sz="0" w:space="0" w:color="auto"/>
      </w:divBdr>
    </w:div>
    <w:div w:id="1201867655">
      <w:bodyDiv w:val="1"/>
      <w:marLeft w:val="0"/>
      <w:marRight w:val="0"/>
      <w:marTop w:val="0"/>
      <w:marBottom w:val="0"/>
      <w:divBdr>
        <w:top w:val="none" w:sz="0" w:space="0" w:color="auto"/>
        <w:left w:val="none" w:sz="0" w:space="0" w:color="auto"/>
        <w:bottom w:val="none" w:sz="0" w:space="0" w:color="auto"/>
        <w:right w:val="none" w:sz="0" w:space="0" w:color="auto"/>
      </w:divBdr>
      <w:divsChild>
        <w:div w:id="398285472">
          <w:marLeft w:val="547"/>
          <w:marRight w:val="0"/>
          <w:marTop w:val="134"/>
          <w:marBottom w:val="0"/>
          <w:divBdr>
            <w:top w:val="none" w:sz="0" w:space="0" w:color="auto"/>
            <w:left w:val="none" w:sz="0" w:space="0" w:color="auto"/>
            <w:bottom w:val="none" w:sz="0" w:space="0" w:color="auto"/>
            <w:right w:val="none" w:sz="0" w:space="0" w:color="auto"/>
          </w:divBdr>
        </w:div>
        <w:div w:id="69929919">
          <w:marLeft w:val="547"/>
          <w:marRight w:val="0"/>
          <w:marTop w:val="134"/>
          <w:marBottom w:val="0"/>
          <w:divBdr>
            <w:top w:val="none" w:sz="0" w:space="0" w:color="auto"/>
            <w:left w:val="none" w:sz="0" w:space="0" w:color="auto"/>
            <w:bottom w:val="none" w:sz="0" w:space="0" w:color="auto"/>
            <w:right w:val="none" w:sz="0" w:space="0" w:color="auto"/>
          </w:divBdr>
        </w:div>
        <w:div w:id="649482583">
          <w:marLeft w:val="547"/>
          <w:marRight w:val="0"/>
          <w:marTop w:val="134"/>
          <w:marBottom w:val="0"/>
          <w:divBdr>
            <w:top w:val="none" w:sz="0" w:space="0" w:color="auto"/>
            <w:left w:val="none" w:sz="0" w:space="0" w:color="auto"/>
            <w:bottom w:val="none" w:sz="0" w:space="0" w:color="auto"/>
            <w:right w:val="none" w:sz="0" w:space="0" w:color="auto"/>
          </w:divBdr>
        </w:div>
        <w:div w:id="1084836025">
          <w:marLeft w:val="547"/>
          <w:marRight w:val="0"/>
          <w:marTop w:val="134"/>
          <w:marBottom w:val="0"/>
          <w:divBdr>
            <w:top w:val="none" w:sz="0" w:space="0" w:color="auto"/>
            <w:left w:val="none" w:sz="0" w:space="0" w:color="auto"/>
            <w:bottom w:val="none" w:sz="0" w:space="0" w:color="auto"/>
            <w:right w:val="none" w:sz="0" w:space="0" w:color="auto"/>
          </w:divBdr>
        </w:div>
        <w:div w:id="1896546718">
          <w:marLeft w:val="547"/>
          <w:marRight w:val="0"/>
          <w:marTop w:val="134"/>
          <w:marBottom w:val="0"/>
          <w:divBdr>
            <w:top w:val="none" w:sz="0" w:space="0" w:color="auto"/>
            <w:left w:val="none" w:sz="0" w:space="0" w:color="auto"/>
            <w:bottom w:val="none" w:sz="0" w:space="0" w:color="auto"/>
            <w:right w:val="none" w:sz="0" w:space="0" w:color="auto"/>
          </w:divBdr>
        </w:div>
        <w:div w:id="1694767370">
          <w:marLeft w:val="547"/>
          <w:marRight w:val="0"/>
          <w:marTop w:val="134"/>
          <w:marBottom w:val="0"/>
          <w:divBdr>
            <w:top w:val="none" w:sz="0" w:space="0" w:color="auto"/>
            <w:left w:val="none" w:sz="0" w:space="0" w:color="auto"/>
            <w:bottom w:val="none" w:sz="0" w:space="0" w:color="auto"/>
            <w:right w:val="none" w:sz="0" w:space="0" w:color="auto"/>
          </w:divBdr>
        </w:div>
        <w:div w:id="473958756">
          <w:marLeft w:val="547"/>
          <w:marRight w:val="0"/>
          <w:marTop w:val="134"/>
          <w:marBottom w:val="0"/>
          <w:divBdr>
            <w:top w:val="none" w:sz="0" w:space="0" w:color="auto"/>
            <w:left w:val="none" w:sz="0" w:space="0" w:color="auto"/>
            <w:bottom w:val="none" w:sz="0" w:space="0" w:color="auto"/>
            <w:right w:val="none" w:sz="0" w:space="0" w:color="auto"/>
          </w:divBdr>
        </w:div>
      </w:divsChild>
    </w:div>
    <w:div w:id="1257786096">
      <w:bodyDiv w:val="1"/>
      <w:marLeft w:val="0"/>
      <w:marRight w:val="0"/>
      <w:marTop w:val="0"/>
      <w:marBottom w:val="0"/>
      <w:divBdr>
        <w:top w:val="none" w:sz="0" w:space="0" w:color="auto"/>
        <w:left w:val="none" w:sz="0" w:space="0" w:color="auto"/>
        <w:bottom w:val="none" w:sz="0" w:space="0" w:color="auto"/>
        <w:right w:val="none" w:sz="0" w:space="0" w:color="auto"/>
      </w:divBdr>
      <w:divsChild>
        <w:div w:id="1063409182">
          <w:marLeft w:val="547"/>
          <w:marRight w:val="0"/>
          <w:marTop w:val="154"/>
          <w:marBottom w:val="0"/>
          <w:divBdr>
            <w:top w:val="none" w:sz="0" w:space="0" w:color="auto"/>
            <w:left w:val="none" w:sz="0" w:space="0" w:color="auto"/>
            <w:bottom w:val="none" w:sz="0" w:space="0" w:color="auto"/>
            <w:right w:val="none" w:sz="0" w:space="0" w:color="auto"/>
          </w:divBdr>
        </w:div>
        <w:div w:id="1365129585">
          <w:marLeft w:val="1166"/>
          <w:marRight w:val="0"/>
          <w:marTop w:val="134"/>
          <w:marBottom w:val="0"/>
          <w:divBdr>
            <w:top w:val="none" w:sz="0" w:space="0" w:color="auto"/>
            <w:left w:val="none" w:sz="0" w:space="0" w:color="auto"/>
            <w:bottom w:val="none" w:sz="0" w:space="0" w:color="auto"/>
            <w:right w:val="none" w:sz="0" w:space="0" w:color="auto"/>
          </w:divBdr>
        </w:div>
        <w:div w:id="1014721868">
          <w:marLeft w:val="1166"/>
          <w:marRight w:val="0"/>
          <w:marTop w:val="134"/>
          <w:marBottom w:val="0"/>
          <w:divBdr>
            <w:top w:val="none" w:sz="0" w:space="0" w:color="auto"/>
            <w:left w:val="none" w:sz="0" w:space="0" w:color="auto"/>
            <w:bottom w:val="none" w:sz="0" w:space="0" w:color="auto"/>
            <w:right w:val="none" w:sz="0" w:space="0" w:color="auto"/>
          </w:divBdr>
        </w:div>
        <w:div w:id="583105939">
          <w:marLeft w:val="1166"/>
          <w:marRight w:val="0"/>
          <w:marTop w:val="134"/>
          <w:marBottom w:val="0"/>
          <w:divBdr>
            <w:top w:val="none" w:sz="0" w:space="0" w:color="auto"/>
            <w:left w:val="none" w:sz="0" w:space="0" w:color="auto"/>
            <w:bottom w:val="none" w:sz="0" w:space="0" w:color="auto"/>
            <w:right w:val="none" w:sz="0" w:space="0" w:color="auto"/>
          </w:divBdr>
        </w:div>
        <w:div w:id="861358033">
          <w:marLeft w:val="547"/>
          <w:marRight w:val="0"/>
          <w:marTop w:val="134"/>
          <w:marBottom w:val="0"/>
          <w:divBdr>
            <w:top w:val="none" w:sz="0" w:space="0" w:color="auto"/>
            <w:left w:val="none" w:sz="0" w:space="0" w:color="auto"/>
            <w:bottom w:val="none" w:sz="0" w:space="0" w:color="auto"/>
            <w:right w:val="none" w:sz="0" w:space="0" w:color="auto"/>
          </w:divBdr>
        </w:div>
      </w:divsChild>
    </w:div>
    <w:div w:id="1305044760">
      <w:bodyDiv w:val="1"/>
      <w:marLeft w:val="0"/>
      <w:marRight w:val="0"/>
      <w:marTop w:val="0"/>
      <w:marBottom w:val="0"/>
      <w:divBdr>
        <w:top w:val="none" w:sz="0" w:space="0" w:color="auto"/>
        <w:left w:val="none" w:sz="0" w:space="0" w:color="auto"/>
        <w:bottom w:val="none" w:sz="0" w:space="0" w:color="auto"/>
        <w:right w:val="none" w:sz="0" w:space="0" w:color="auto"/>
      </w:divBdr>
    </w:div>
    <w:div w:id="1349410919">
      <w:bodyDiv w:val="1"/>
      <w:marLeft w:val="0"/>
      <w:marRight w:val="0"/>
      <w:marTop w:val="0"/>
      <w:marBottom w:val="0"/>
      <w:divBdr>
        <w:top w:val="none" w:sz="0" w:space="0" w:color="auto"/>
        <w:left w:val="none" w:sz="0" w:space="0" w:color="auto"/>
        <w:bottom w:val="none" w:sz="0" w:space="0" w:color="auto"/>
        <w:right w:val="none" w:sz="0" w:space="0" w:color="auto"/>
      </w:divBdr>
    </w:div>
    <w:div w:id="1405759295">
      <w:bodyDiv w:val="1"/>
      <w:marLeft w:val="0"/>
      <w:marRight w:val="0"/>
      <w:marTop w:val="0"/>
      <w:marBottom w:val="0"/>
      <w:divBdr>
        <w:top w:val="none" w:sz="0" w:space="0" w:color="auto"/>
        <w:left w:val="none" w:sz="0" w:space="0" w:color="auto"/>
        <w:bottom w:val="none" w:sz="0" w:space="0" w:color="auto"/>
        <w:right w:val="none" w:sz="0" w:space="0" w:color="auto"/>
      </w:divBdr>
      <w:divsChild>
        <w:div w:id="260334257">
          <w:marLeft w:val="547"/>
          <w:marRight w:val="0"/>
          <w:marTop w:val="154"/>
          <w:marBottom w:val="0"/>
          <w:divBdr>
            <w:top w:val="none" w:sz="0" w:space="0" w:color="auto"/>
            <w:left w:val="none" w:sz="0" w:space="0" w:color="auto"/>
            <w:bottom w:val="none" w:sz="0" w:space="0" w:color="auto"/>
            <w:right w:val="none" w:sz="0" w:space="0" w:color="auto"/>
          </w:divBdr>
        </w:div>
        <w:div w:id="1872111255">
          <w:marLeft w:val="547"/>
          <w:marRight w:val="0"/>
          <w:marTop w:val="154"/>
          <w:marBottom w:val="0"/>
          <w:divBdr>
            <w:top w:val="none" w:sz="0" w:space="0" w:color="auto"/>
            <w:left w:val="none" w:sz="0" w:space="0" w:color="auto"/>
            <w:bottom w:val="none" w:sz="0" w:space="0" w:color="auto"/>
            <w:right w:val="none" w:sz="0" w:space="0" w:color="auto"/>
          </w:divBdr>
        </w:div>
        <w:div w:id="1876458952">
          <w:marLeft w:val="547"/>
          <w:marRight w:val="0"/>
          <w:marTop w:val="154"/>
          <w:marBottom w:val="0"/>
          <w:divBdr>
            <w:top w:val="none" w:sz="0" w:space="0" w:color="auto"/>
            <w:left w:val="none" w:sz="0" w:space="0" w:color="auto"/>
            <w:bottom w:val="none" w:sz="0" w:space="0" w:color="auto"/>
            <w:right w:val="none" w:sz="0" w:space="0" w:color="auto"/>
          </w:divBdr>
        </w:div>
        <w:div w:id="822283979">
          <w:marLeft w:val="547"/>
          <w:marRight w:val="0"/>
          <w:marTop w:val="154"/>
          <w:marBottom w:val="0"/>
          <w:divBdr>
            <w:top w:val="none" w:sz="0" w:space="0" w:color="auto"/>
            <w:left w:val="none" w:sz="0" w:space="0" w:color="auto"/>
            <w:bottom w:val="none" w:sz="0" w:space="0" w:color="auto"/>
            <w:right w:val="none" w:sz="0" w:space="0" w:color="auto"/>
          </w:divBdr>
        </w:div>
        <w:div w:id="1026757695">
          <w:marLeft w:val="547"/>
          <w:marRight w:val="0"/>
          <w:marTop w:val="154"/>
          <w:marBottom w:val="0"/>
          <w:divBdr>
            <w:top w:val="none" w:sz="0" w:space="0" w:color="auto"/>
            <w:left w:val="none" w:sz="0" w:space="0" w:color="auto"/>
            <w:bottom w:val="none" w:sz="0" w:space="0" w:color="auto"/>
            <w:right w:val="none" w:sz="0" w:space="0" w:color="auto"/>
          </w:divBdr>
        </w:div>
      </w:divsChild>
    </w:div>
    <w:div w:id="1423723336">
      <w:bodyDiv w:val="1"/>
      <w:marLeft w:val="0"/>
      <w:marRight w:val="0"/>
      <w:marTop w:val="0"/>
      <w:marBottom w:val="0"/>
      <w:divBdr>
        <w:top w:val="none" w:sz="0" w:space="0" w:color="auto"/>
        <w:left w:val="none" w:sz="0" w:space="0" w:color="auto"/>
        <w:bottom w:val="none" w:sz="0" w:space="0" w:color="auto"/>
        <w:right w:val="none" w:sz="0" w:space="0" w:color="auto"/>
      </w:divBdr>
    </w:div>
    <w:div w:id="1425616291">
      <w:bodyDiv w:val="1"/>
      <w:marLeft w:val="0"/>
      <w:marRight w:val="0"/>
      <w:marTop w:val="0"/>
      <w:marBottom w:val="0"/>
      <w:divBdr>
        <w:top w:val="none" w:sz="0" w:space="0" w:color="auto"/>
        <w:left w:val="none" w:sz="0" w:space="0" w:color="auto"/>
        <w:bottom w:val="none" w:sz="0" w:space="0" w:color="auto"/>
        <w:right w:val="none" w:sz="0" w:space="0" w:color="auto"/>
      </w:divBdr>
    </w:div>
    <w:div w:id="1425955074">
      <w:bodyDiv w:val="1"/>
      <w:marLeft w:val="0"/>
      <w:marRight w:val="0"/>
      <w:marTop w:val="0"/>
      <w:marBottom w:val="0"/>
      <w:divBdr>
        <w:top w:val="none" w:sz="0" w:space="0" w:color="auto"/>
        <w:left w:val="none" w:sz="0" w:space="0" w:color="auto"/>
        <w:bottom w:val="none" w:sz="0" w:space="0" w:color="auto"/>
        <w:right w:val="none" w:sz="0" w:space="0" w:color="auto"/>
      </w:divBdr>
    </w:div>
    <w:div w:id="1444689993">
      <w:bodyDiv w:val="1"/>
      <w:marLeft w:val="0"/>
      <w:marRight w:val="0"/>
      <w:marTop w:val="0"/>
      <w:marBottom w:val="0"/>
      <w:divBdr>
        <w:top w:val="none" w:sz="0" w:space="0" w:color="auto"/>
        <w:left w:val="none" w:sz="0" w:space="0" w:color="auto"/>
        <w:bottom w:val="none" w:sz="0" w:space="0" w:color="auto"/>
        <w:right w:val="none" w:sz="0" w:space="0" w:color="auto"/>
      </w:divBdr>
    </w:div>
    <w:div w:id="1455247830">
      <w:bodyDiv w:val="1"/>
      <w:marLeft w:val="0"/>
      <w:marRight w:val="0"/>
      <w:marTop w:val="0"/>
      <w:marBottom w:val="0"/>
      <w:divBdr>
        <w:top w:val="none" w:sz="0" w:space="0" w:color="auto"/>
        <w:left w:val="none" w:sz="0" w:space="0" w:color="auto"/>
        <w:bottom w:val="none" w:sz="0" w:space="0" w:color="auto"/>
        <w:right w:val="none" w:sz="0" w:space="0" w:color="auto"/>
      </w:divBdr>
    </w:div>
    <w:div w:id="1493449599">
      <w:bodyDiv w:val="1"/>
      <w:marLeft w:val="0"/>
      <w:marRight w:val="0"/>
      <w:marTop w:val="0"/>
      <w:marBottom w:val="0"/>
      <w:divBdr>
        <w:top w:val="none" w:sz="0" w:space="0" w:color="auto"/>
        <w:left w:val="none" w:sz="0" w:space="0" w:color="auto"/>
        <w:bottom w:val="none" w:sz="0" w:space="0" w:color="auto"/>
        <w:right w:val="none" w:sz="0" w:space="0" w:color="auto"/>
      </w:divBdr>
    </w:div>
    <w:div w:id="1540514343">
      <w:bodyDiv w:val="1"/>
      <w:marLeft w:val="0"/>
      <w:marRight w:val="0"/>
      <w:marTop w:val="0"/>
      <w:marBottom w:val="0"/>
      <w:divBdr>
        <w:top w:val="none" w:sz="0" w:space="0" w:color="auto"/>
        <w:left w:val="none" w:sz="0" w:space="0" w:color="auto"/>
        <w:bottom w:val="none" w:sz="0" w:space="0" w:color="auto"/>
        <w:right w:val="none" w:sz="0" w:space="0" w:color="auto"/>
      </w:divBdr>
    </w:div>
    <w:div w:id="1570767708">
      <w:bodyDiv w:val="1"/>
      <w:marLeft w:val="0"/>
      <w:marRight w:val="0"/>
      <w:marTop w:val="0"/>
      <w:marBottom w:val="0"/>
      <w:divBdr>
        <w:top w:val="none" w:sz="0" w:space="0" w:color="auto"/>
        <w:left w:val="none" w:sz="0" w:space="0" w:color="auto"/>
        <w:bottom w:val="none" w:sz="0" w:space="0" w:color="auto"/>
        <w:right w:val="none" w:sz="0" w:space="0" w:color="auto"/>
      </w:divBdr>
    </w:div>
    <w:div w:id="1594588533">
      <w:bodyDiv w:val="1"/>
      <w:marLeft w:val="0"/>
      <w:marRight w:val="0"/>
      <w:marTop w:val="0"/>
      <w:marBottom w:val="0"/>
      <w:divBdr>
        <w:top w:val="none" w:sz="0" w:space="0" w:color="auto"/>
        <w:left w:val="none" w:sz="0" w:space="0" w:color="auto"/>
        <w:bottom w:val="none" w:sz="0" w:space="0" w:color="auto"/>
        <w:right w:val="none" w:sz="0" w:space="0" w:color="auto"/>
      </w:divBdr>
    </w:div>
    <w:div w:id="1614942018">
      <w:bodyDiv w:val="1"/>
      <w:marLeft w:val="0"/>
      <w:marRight w:val="0"/>
      <w:marTop w:val="0"/>
      <w:marBottom w:val="0"/>
      <w:divBdr>
        <w:top w:val="none" w:sz="0" w:space="0" w:color="auto"/>
        <w:left w:val="none" w:sz="0" w:space="0" w:color="auto"/>
        <w:bottom w:val="none" w:sz="0" w:space="0" w:color="auto"/>
        <w:right w:val="none" w:sz="0" w:space="0" w:color="auto"/>
      </w:divBdr>
    </w:div>
    <w:div w:id="1631746216">
      <w:bodyDiv w:val="1"/>
      <w:marLeft w:val="0"/>
      <w:marRight w:val="0"/>
      <w:marTop w:val="0"/>
      <w:marBottom w:val="0"/>
      <w:divBdr>
        <w:top w:val="none" w:sz="0" w:space="0" w:color="auto"/>
        <w:left w:val="none" w:sz="0" w:space="0" w:color="auto"/>
        <w:bottom w:val="none" w:sz="0" w:space="0" w:color="auto"/>
        <w:right w:val="none" w:sz="0" w:space="0" w:color="auto"/>
      </w:divBdr>
    </w:div>
    <w:div w:id="1673990500">
      <w:bodyDiv w:val="1"/>
      <w:marLeft w:val="0"/>
      <w:marRight w:val="0"/>
      <w:marTop w:val="0"/>
      <w:marBottom w:val="0"/>
      <w:divBdr>
        <w:top w:val="none" w:sz="0" w:space="0" w:color="auto"/>
        <w:left w:val="none" w:sz="0" w:space="0" w:color="auto"/>
        <w:bottom w:val="none" w:sz="0" w:space="0" w:color="auto"/>
        <w:right w:val="none" w:sz="0" w:space="0" w:color="auto"/>
      </w:divBdr>
      <w:divsChild>
        <w:div w:id="904339077">
          <w:marLeft w:val="274"/>
          <w:marRight w:val="0"/>
          <w:marTop w:val="0"/>
          <w:marBottom w:val="0"/>
          <w:divBdr>
            <w:top w:val="none" w:sz="0" w:space="0" w:color="auto"/>
            <w:left w:val="none" w:sz="0" w:space="0" w:color="auto"/>
            <w:bottom w:val="none" w:sz="0" w:space="0" w:color="auto"/>
            <w:right w:val="none" w:sz="0" w:space="0" w:color="auto"/>
          </w:divBdr>
        </w:div>
        <w:div w:id="1396977788">
          <w:marLeft w:val="274"/>
          <w:marRight w:val="0"/>
          <w:marTop w:val="0"/>
          <w:marBottom w:val="0"/>
          <w:divBdr>
            <w:top w:val="none" w:sz="0" w:space="0" w:color="auto"/>
            <w:left w:val="none" w:sz="0" w:space="0" w:color="auto"/>
            <w:bottom w:val="none" w:sz="0" w:space="0" w:color="auto"/>
            <w:right w:val="none" w:sz="0" w:space="0" w:color="auto"/>
          </w:divBdr>
        </w:div>
        <w:div w:id="1781605034">
          <w:marLeft w:val="274"/>
          <w:marRight w:val="0"/>
          <w:marTop w:val="0"/>
          <w:marBottom w:val="0"/>
          <w:divBdr>
            <w:top w:val="none" w:sz="0" w:space="0" w:color="auto"/>
            <w:left w:val="none" w:sz="0" w:space="0" w:color="auto"/>
            <w:bottom w:val="none" w:sz="0" w:space="0" w:color="auto"/>
            <w:right w:val="none" w:sz="0" w:space="0" w:color="auto"/>
          </w:divBdr>
        </w:div>
        <w:div w:id="603146444">
          <w:marLeft w:val="994"/>
          <w:marRight w:val="0"/>
          <w:marTop w:val="0"/>
          <w:marBottom w:val="0"/>
          <w:divBdr>
            <w:top w:val="none" w:sz="0" w:space="0" w:color="auto"/>
            <w:left w:val="none" w:sz="0" w:space="0" w:color="auto"/>
            <w:bottom w:val="none" w:sz="0" w:space="0" w:color="auto"/>
            <w:right w:val="none" w:sz="0" w:space="0" w:color="auto"/>
          </w:divBdr>
        </w:div>
        <w:div w:id="250314587">
          <w:marLeft w:val="1714"/>
          <w:marRight w:val="0"/>
          <w:marTop w:val="0"/>
          <w:marBottom w:val="0"/>
          <w:divBdr>
            <w:top w:val="none" w:sz="0" w:space="0" w:color="auto"/>
            <w:left w:val="none" w:sz="0" w:space="0" w:color="auto"/>
            <w:bottom w:val="none" w:sz="0" w:space="0" w:color="auto"/>
            <w:right w:val="none" w:sz="0" w:space="0" w:color="auto"/>
          </w:divBdr>
        </w:div>
      </w:divsChild>
    </w:div>
    <w:div w:id="1694071293">
      <w:bodyDiv w:val="1"/>
      <w:marLeft w:val="0"/>
      <w:marRight w:val="0"/>
      <w:marTop w:val="0"/>
      <w:marBottom w:val="0"/>
      <w:divBdr>
        <w:top w:val="none" w:sz="0" w:space="0" w:color="auto"/>
        <w:left w:val="none" w:sz="0" w:space="0" w:color="auto"/>
        <w:bottom w:val="none" w:sz="0" w:space="0" w:color="auto"/>
        <w:right w:val="none" w:sz="0" w:space="0" w:color="auto"/>
      </w:divBdr>
    </w:div>
    <w:div w:id="1790080169">
      <w:bodyDiv w:val="1"/>
      <w:marLeft w:val="0"/>
      <w:marRight w:val="0"/>
      <w:marTop w:val="0"/>
      <w:marBottom w:val="0"/>
      <w:divBdr>
        <w:top w:val="none" w:sz="0" w:space="0" w:color="auto"/>
        <w:left w:val="none" w:sz="0" w:space="0" w:color="auto"/>
        <w:bottom w:val="none" w:sz="0" w:space="0" w:color="auto"/>
        <w:right w:val="none" w:sz="0" w:space="0" w:color="auto"/>
      </w:divBdr>
    </w:div>
    <w:div w:id="1957367882">
      <w:bodyDiv w:val="1"/>
      <w:marLeft w:val="0"/>
      <w:marRight w:val="0"/>
      <w:marTop w:val="0"/>
      <w:marBottom w:val="0"/>
      <w:divBdr>
        <w:top w:val="none" w:sz="0" w:space="0" w:color="auto"/>
        <w:left w:val="none" w:sz="0" w:space="0" w:color="auto"/>
        <w:bottom w:val="none" w:sz="0" w:space="0" w:color="auto"/>
        <w:right w:val="none" w:sz="0" w:space="0" w:color="auto"/>
      </w:divBdr>
    </w:div>
    <w:div w:id="1975407877">
      <w:bodyDiv w:val="1"/>
      <w:marLeft w:val="0"/>
      <w:marRight w:val="0"/>
      <w:marTop w:val="0"/>
      <w:marBottom w:val="0"/>
      <w:divBdr>
        <w:top w:val="none" w:sz="0" w:space="0" w:color="auto"/>
        <w:left w:val="none" w:sz="0" w:space="0" w:color="auto"/>
        <w:bottom w:val="none" w:sz="0" w:space="0" w:color="auto"/>
        <w:right w:val="none" w:sz="0" w:space="0" w:color="auto"/>
      </w:divBdr>
    </w:div>
    <w:div w:id="1982071784">
      <w:bodyDiv w:val="1"/>
      <w:marLeft w:val="0"/>
      <w:marRight w:val="0"/>
      <w:marTop w:val="0"/>
      <w:marBottom w:val="0"/>
      <w:divBdr>
        <w:top w:val="none" w:sz="0" w:space="0" w:color="auto"/>
        <w:left w:val="none" w:sz="0" w:space="0" w:color="auto"/>
        <w:bottom w:val="none" w:sz="0" w:space="0" w:color="auto"/>
        <w:right w:val="none" w:sz="0" w:space="0" w:color="auto"/>
      </w:divBdr>
    </w:div>
    <w:div w:id="208649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ncver.edu.au/resources/vocstats/intro.html" TargetMode="External"/><Relationship Id="rId26" Type="http://schemas.openxmlformats.org/officeDocument/2006/relationships/hyperlink" Target="http://www.ncver.edu.au/resources/vocstats/intro.html" TargetMode="External"/><Relationship Id="rId3" Type="http://schemas.openxmlformats.org/officeDocument/2006/relationships/styles" Target="styles.xml"/><Relationship Id="rId21" Type="http://schemas.openxmlformats.org/officeDocument/2006/relationships/hyperlink" Target="http://www.ncver.edu.au/resources/vocstats/intro.html" TargetMode="External"/><Relationship Id="rId34" Type="http://schemas.openxmlformats.org/officeDocument/2006/relationships/hyperlink" Target="http://www.telegraph.co.uk/finance/jobs/9767605/An-apprenticeship-will-soon-match-all-a-degree-has-to-offer.html"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hyperlink" Target="http://www.ncver.edu.au/resources/vocstats/intro.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ncver.edu.au/resources/vocstats/intro.html" TargetMode="External"/><Relationship Id="rId29" Type="http://schemas.openxmlformats.org/officeDocument/2006/relationships/hyperlink" Target="http://www.ncver.edu.au/resources/vocstats/intr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say.edu.au" TargetMode="External"/><Relationship Id="rId24" Type="http://schemas.openxmlformats.org/officeDocument/2006/relationships/hyperlink" Target="http://www.ncver.edu.au/resources/vocstats/intro.html" TargetMode="External"/><Relationship Id="rId32" Type="http://schemas.openxmlformats.org/officeDocument/2006/relationships/hyperlink" Target="http://www.ncver.edu.au/resources/vocstats/intro.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say.edu.au" TargetMode="External"/><Relationship Id="rId23" Type="http://schemas.openxmlformats.org/officeDocument/2006/relationships/hyperlink" Target="http://www.ncver.edu.au/resources/vocstats/intro.html"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ncver@ncver.edu.au" TargetMode="External"/><Relationship Id="rId19" Type="http://schemas.openxmlformats.org/officeDocument/2006/relationships/image" Target="media/image5.emf"/><Relationship Id="rId31"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ncver@ncver.edu.au" TargetMode="External"/><Relationship Id="rId22" Type="http://schemas.openxmlformats.org/officeDocument/2006/relationships/image" Target="media/image6.emf"/><Relationship Id="rId27" Type="http://schemas.openxmlformats.org/officeDocument/2006/relationships/footer" Target="footer2.xml"/><Relationship Id="rId30" Type="http://schemas.openxmlformats.org/officeDocument/2006/relationships/hyperlink" Target="http://www.ncver.edu.au/resources/vocstats/intro.html" TargetMode="External"/><Relationship Id="rId35" Type="http://schemas.openxmlformats.org/officeDocument/2006/relationships/hyperlink" Target="http://www.ncver.edu.au/publications/253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cver.edu.au/resources/vocstats/intro.html" TargetMode="External"/><Relationship Id="rId1" Type="http://schemas.openxmlformats.org/officeDocument/2006/relationships/hyperlink" Target="http://www.myagedcare.gov.au/accreditation-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B4FE-1532-4028-89AB-63229FCF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69</Pages>
  <Words>40629</Words>
  <Characters>231590</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Towards-a-new-approach-support</vt:lpstr>
    </vt:vector>
  </TitlesOfParts>
  <Company>UQ</Company>
  <LinksUpToDate>false</LinksUpToDate>
  <CharactersWithSpaces>271676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Towards-a-new-approach-support</dc:title>
  <dc:creator>Wheelahan et al.</dc:creator>
  <cp:lastModifiedBy>Katrina Matheos</cp:lastModifiedBy>
  <cp:revision>5</cp:revision>
  <cp:lastPrinted>2011-08-01T00:29:00Z</cp:lastPrinted>
  <dcterms:created xsi:type="dcterms:W3CDTF">2015-04-22T23:56:00Z</dcterms:created>
  <dcterms:modified xsi:type="dcterms:W3CDTF">2015-05-29T02:22:00Z</dcterms:modified>
</cp:coreProperties>
</file>