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26" w:rsidRDefault="00116D1E" w:rsidP="00940830">
      <w:pPr>
        <w:pStyle w:val="PublicationTitle"/>
      </w:pPr>
      <w:bookmarkStart w:id="0" w:name="_Toc296423677"/>
      <w:bookmarkStart w:id="1" w:name="_Toc296497508"/>
      <w:bookmarkStart w:id="2" w:name="_GoBack"/>
      <w:bookmarkEnd w:id="2"/>
      <w:r>
        <w:rPr>
          <w:noProof/>
          <w:lang w:eastAsia="en-AU"/>
        </w:rPr>
        <w:drawing>
          <wp:anchor distT="0" distB="0" distL="114300" distR="114300" simplePos="0" relativeHeight="251661312" behindDoc="0" locked="0" layoutInCell="1" allowOverlap="1" wp14:anchorId="6AD09AD8" wp14:editId="5FD1364B">
            <wp:simplePos x="0" y="0"/>
            <wp:positionH relativeFrom="column">
              <wp:posOffset>1737995</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rsidR="009E231A" w:rsidRPr="005C2FCF" w:rsidRDefault="00464E15" w:rsidP="00AB7E26">
      <w:pPr>
        <w:pStyle w:val="PublicationTitle"/>
        <w:spacing w:before="1600"/>
      </w:pPr>
      <w:r>
        <w:t>Identifying STEM occupations</w:t>
      </w:r>
      <w:r w:rsidR="00434840">
        <w:t>:</w:t>
      </w:r>
      <w:r>
        <w:t xml:space="preserve"> national and international approaches</w:t>
      </w:r>
    </w:p>
    <w:p w:rsidR="0096689A" w:rsidRDefault="0096689A" w:rsidP="00940830">
      <w:pPr>
        <w:pStyle w:val="Authors"/>
      </w:pPr>
      <w:bookmarkStart w:id="3" w:name="_Toc296423678"/>
      <w:bookmarkStart w:id="4" w:name="_Toc296497509"/>
      <w:r>
        <w:t>Support document 2</w:t>
      </w:r>
    </w:p>
    <w:p w:rsidR="0096689A" w:rsidRDefault="0096689A" w:rsidP="00940830">
      <w:pPr>
        <w:pStyle w:val="Authors"/>
      </w:pPr>
    </w:p>
    <w:p w:rsidR="00177827" w:rsidRDefault="00E623A5" w:rsidP="00940830">
      <w:pPr>
        <w:pStyle w:val="Authors"/>
      </w:pPr>
      <w:r>
        <w:t>Gitta Siekmann &amp; Patrick Korbel</w:t>
      </w:r>
    </w:p>
    <w:bookmarkEnd w:id="3"/>
    <w:bookmarkEnd w:id="4"/>
    <w:p w:rsidR="009E231A" w:rsidRDefault="00E623A5" w:rsidP="00940830">
      <w:pPr>
        <w:pStyle w:val="Organisation"/>
      </w:pPr>
      <w:r>
        <w:t>NCVER</w:t>
      </w:r>
    </w:p>
    <w:p w:rsidR="00166281" w:rsidRDefault="00166281" w:rsidP="00940830">
      <w:pPr>
        <w:pStyle w:val="Organisation"/>
      </w:pPr>
    </w:p>
    <w:p w:rsidR="000315D7" w:rsidRDefault="000315D7" w:rsidP="00940830">
      <w:pPr>
        <w:pStyle w:val="Organisation"/>
      </w:pPr>
    </w:p>
    <w:p w:rsidR="006C5DA9" w:rsidRPr="006C5DA9" w:rsidRDefault="00AD7A15" w:rsidP="00A9334E">
      <w:pPr>
        <w:pStyle w:val="Text"/>
        <w:ind w:left="2552"/>
      </w:pPr>
      <w:r>
        <w:rPr>
          <w:noProof/>
          <w:lang w:eastAsia="en-AU"/>
        </w:rPr>
        <mc:AlternateContent>
          <mc:Choice Requires="wps">
            <w:drawing>
              <wp:anchor distT="0" distB="0" distL="114300" distR="114300" simplePos="0" relativeHeight="251663360" behindDoc="0" locked="0" layoutInCell="1" allowOverlap="1" wp14:anchorId="21B0CC66" wp14:editId="169E359B">
                <wp:simplePos x="0" y="0"/>
                <wp:positionH relativeFrom="column">
                  <wp:posOffset>1564640</wp:posOffset>
                </wp:positionH>
                <wp:positionV relativeFrom="margin">
                  <wp:posOffset>5583555</wp:posOffset>
                </wp:positionV>
                <wp:extent cx="3825875" cy="266827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66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A15" w:rsidRDefault="00AD7A15" w:rsidP="00AD7A15">
                            <w:pPr>
                              <w:pStyle w:val="Imprint"/>
                            </w:pPr>
                          </w:p>
                          <w:p w:rsidR="00AD7A15" w:rsidRPr="00B57CC9" w:rsidRDefault="00AD7A15" w:rsidP="007A3BEB">
                            <w:pPr>
                              <w:pStyle w:val="Text"/>
                              <w:shd w:val="clear" w:color="auto" w:fill="000000" w:themeFill="text1"/>
                            </w:pPr>
                            <w:r w:rsidRPr="000C1642">
                              <w:t>This document was produced by the author(s) based on their research</w:t>
                            </w:r>
                            <w:r w:rsidRPr="00843E9B">
                              <w:rPr>
                                <w:color w:val="FFFFFF" w:themeColor="background1"/>
                              </w:rPr>
                              <w:t xml:space="preserve"> for the</w:t>
                            </w:r>
                            <w:r>
                              <w:rPr>
                                <w:color w:val="FFFFFF" w:themeColor="background1"/>
                              </w:rPr>
                              <w:t xml:space="preserve"> two</w:t>
                            </w:r>
                            <w:r w:rsidRPr="00843E9B">
                              <w:rPr>
                                <w:color w:val="FFFFFF" w:themeColor="background1"/>
                              </w:rPr>
                              <w:t xml:space="preserve"> </w:t>
                            </w:r>
                            <w:proofErr w:type="gramStart"/>
                            <w:r w:rsidRPr="00843E9B">
                              <w:rPr>
                                <w:i/>
                                <w:color w:val="FFFFFF" w:themeColor="background1"/>
                              </w:rPr>
                              <w:t>at a glance</w:t>
                            </w:r>
                            <w:r>
                              <w:rPr>
                                <w:color w:val="FFFFFF" w:themeColor="background1"/>
                              </w:rPr>
                              <w:t xml:space="preserve"> publications</w:t>
                            </w:r>
                            <w:proofErr w:type="gramEnd"/>
                            <w:r w:rsidRPr="00843E9B">
                              <w:rPr>
                                <w:color w:val="FFFFFF" w:themeColor="background1"/>
                              </w:rPr>
                              <w:t xml:space="preserve"> </w:t>
                            </w:r>
                            <w:r w:rsidR="007A3BEB" w:rsidRPr="007A3BEB">
                              <w:rPr>
                                <w:i/>
                                <w:color w:val="FFFFFF" w:themeColor="background1"/>
                              </w:rPr>
                              <w:t>What is STEM? The need for unpacking its definitions</w:t>
                            </w:r>
                            <w:r w:rsidR="007A3BEB">
                              <w:rPr>
                                <w:i/>
                                <w:color w:val="FFFFFF" w:themeColor="background1"/>
                              </w:rPr>
                              <w:t xml:space="preserve"> </w:t>
                            </w:r>
                            <w:r w:rsidR="007A3BEB" w:rsidRPr="007A3BEB">
                              <w:rPr>
                                <w:i/>
                                <w:color w:val="FFFFFF" w:themeColor="background1"/>
                              </w:rPr>
                              <w:t>and applications</w:t>
                            </w:r>
                            <w:r w:rsidRPr="00843E9B">
                              <w:rPr>
                                <w:i/>
                                <w:color w:val="FFFFFF" w:themeColor="background1"/>
                              </w:rPr>
                              <w:t xml:space="preserve"> </w:t>
                            </w:r>
                            <w:r w:rsidRPr="00843E9B">
                              <w:rPr>
                                <w:color w:val="FFFFFF" w:themeColor="background1"/>
                              </w:rPr>
                              <w:t>and</w:t>
                            </w:r>
                            <w:r w:rsidRPr="00843E9B">
                              <w:rPr>
                                <w:i/>
                                <w:color w:val="FFFFFF" w:themeColor="background1"/>
                              </w:rPr>
                              <w:t xml:space="preserve"> Measuring STEM in </w:t>
                            </w:r>
                            <w:r>
                              <w:rPr>
                                <w:i/>
                                <w:color w:val="FFFFFF" w:themeColor="background1"/>
                              </w:rPr>
                              <w:t>vocational education and training</w:t>
                            </w:r>
                            <w:r w:rsidRPr="00843E9B">
                              <w:rPr>
                                <w:color w:val="FFFFFF" w:themeColor="background1"/>
                              </w:rPr>
                              <w:t>,</w:t>
                            </w:r>
                            <w:r w:rsidRPr="000C1642">
                              <w:t xml:space="preserve"> and is an added resource for further information. The </w:t>
                            </w:r>
                            <w:r w:rsidR="00CA1227">
                              <w:t>publications are</w:t>
                            </w:r>
                            <w:r w:rsidRPr="000C1642">
                              <w:t xml:space="preserve"> available on NCVER’s </w:t>
                            </w:r>
                            <w:r>
                              <w:t>Portal: &lt;</w:t>
                            </w:r>
                            <w:hyperlink r:id="rId10" w:history="1">
                              <w:r w:rsidRPr="00241AFF">
                                <w:rPr>
                                  <w:rStyle w:val="Hyperlink"/>
                                </w:rPr>
                                <w:t>http://www.ncver.edu.au</w:t>
                              </w:r>
                            </w:hyperlink>
                            <w:r>
                              <w:t xml:space="preserve">&gt;.  </w:t>
                            </w:r>
                          </w:p>
                          <w:p w:rsidR="00AD7A15" w:rsidRDefault="00AD7A15" w:rsidP="00AD7A15">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2pt;margin-top:439.65pt;width:301.25pt;height:2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" filled="f" stroked="f">
                <v:textbox>
                  <w:txbxContent>
                    <w:p w:rsidR="00AD7A15" w:rsidRDefault="00AD7A15" w:rsidP="00AD7A15">
                      <w:pPr>
                        <w:pStyle w:val="Imprint"/>
                      </w:pPr>
                      <w:bookmarkStart w:id="5" w:name="_GoBack"/>
                    </w:p>
                    <w:p w:rsidR="00AD7A15" w:rsidRPr="00B57CC9" w:rsidRDefault="00AD7A15" w:rsidP="007A3BEB">
                      <w:pPr>
                        <w:pStyle w:val="Text"/>
                        <w:shd w:val="clear" w:color="auto" w:fill="000000" w:themeFill="text1"/>
                      </w:pPr>
                      <w:r w:rsidRPr="000C1642">
                        <w:t>This document was produced by the author(s) based on their research</w:t>
                      </w:r>
                      <w:r w:rsidRPr="00843E9B">
                        <w:rPr>
                          <w:color w:val="FFFFFF" w:themeColor="background1"/>
                        </w:rPr>
                        <w:t xml:space="preserve"> for the</w:t>
                      </w:r>
                      <w:r>
                        <w:rPr>
                          <w:color w:val="FFFFFF" w:themeColor="background1"/>
                        </w:rPr>
                        <w:t xml:space="preserve"> two</w:t>
                      </w:r>
                      <w:r w:rsidRPr="00843E9B">
                        <w:rPr>
                          <w:color w:val="FFFFFF" w:themeColor="background1"/>
                        </w:rPr>
                        <w:t xml:space="preserve"> </w:t>
                      </w:r>
                      <w:proofErr w:type="gramStart"/>
                      <w:r w:rsidRPr="00843E9B">
                        <w:rPr>
                          <w:i/>
                          <w:color w:val="FFFFFF" w:themeColor="background1"/>
                        </w:rPr>
                        <w:t>at a glance</w:t>
                      </w:r>
                      <w:r>
                        <w:rPr>
                          <w:color w:val="FFFFFF" w:themeColor="background1"/>
                        </w:rPr>
                        <w:t xml:space="preserve"> publications</w:t>
                      </w:r>
                      <w:proofErr w:type="gramEnd"/>
                      <w:r w:rsidRPr="00843E9B">
                        <w:rPr>
                          <w:color w:val="FFFFFF" w:themeColor="background1"/>
                        </w:rPr>
                        <w:t xml:space="preserve"> </w:t>
                      </w:r>
                      <w:r w:rsidR="007A3BEB" w:rsidRPr="007A3BEB">
                        <w:rPr>
                          <w:i/>
                          <w:color w:val="FFFFFF" w:themeColor="background1"/>
                        </w:rPr>
                        <w:t>What is STEM? The need for unpacking its definitions</w:t>
                      </w:r>
                      <w:r w:rsidR="007A3BEB">
                        <w:rPr>
                          <w:i/>
                          <w:color w:val="FFFFFF" w:themeColor="background1"/>
                        </w:rPr>
                        <w:t xml:space="preserve"> </w:t>
                      </w:r>
                      <w:r w:rsidR="007A3BEB" w:rsidRPr="007A3BEB">
                        <w:rPr>
                          <w:i/>
                          <w:color w:val="FFFFFF" w:themeColor="background1"/>
                        </w:rPr>
                        <w:t>and applications</w:t>
                      </w:r>
                      <w:r w:rsidRPr="00843E9B">
                        <w:rPr>
                          <w:i/>
                          <w:color w:val="FFFFFF" w:themeColor="background1"/>
                        </w:rPr>
                        <w:t xml:space="preserve"> </w:t>
                      </w:r>
                      <w:r w:rsidRPr="00843E9B">
                        <w:rPr>
                          <w:color w:val="FFFFFF" w:themeColor="background1"/>
                        </w:rPr>
                        <w:t>and</w:t>
                      </w:r>
                      <w:r w:rsidRPr="00843E9B">
                        <w:rPr>
                          <w:i/>
                          <w:color w:val="FFFFFF" w:themeColor="background1"/>
                        </w:rPr>
                        <w:t xml:space="preserve"> Measuring STEM in </w:t>
                      </w:r>
                      <w:r>
                        <w:rPr>
                          <w:i/>
                          <w:color w:val="FFFFFF" w:themeColor="background1"/>
                        </w:rPr>
                        <w:t>vocational education and training</w:t>
                      </w:r>
                      <w:r w:rsidRPr="00843E9B">
                        <w:rPr>
                          <w:color w:val="FFFFFF" w:themeColor="background1"/>
                        </w:rPr>
                        <w:t>,</w:t>
                      </w:r>
                      <w:r w:rsidRPr="000C1642">
                        <w:t xml:space="preserve"> and is an added resource for further information. The </w:t>
                      </w:r>
                      <w:r w:rsidR="00CA1227">
                        <w:t>publications are</w:t>
                      </w:r>
                      <w:r w:rsidRPr="000C1642">
                        <w:t xml:space="preserve"> available on NCVER’s </w:t>
                      </w:r>
                      <w:r>
                        <w:t>Portal: &lt;</w:t>
                      </w:r>
                      <w:hyperlink r:id="rId11" w:history="1">
                        <w:r w:rsidRPr="00241AFF">
                          <w:rPr>
                            <w:rStyle w:val="Hyperlink"/>
                          </w:rPr>
                          <w:t>http://www.ncver.edu.au</w:t>
                        </w:r>
                      </w:hyperlink>
                      <w:r>
                        <w:t xml:space="preserve">&gt;.  </w:t>
                      </w:r>
                    </w:p>
                    <w:p w:rsidR="00AD7A15" w:rsidRDefault="00AD7A15" w:rsidP="00AD7A15">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bookmarkEnd w:id="5"/>
                    </w:p>
                  </w:txbxContent>
                </v:textbox>
                <w10:wrap anchory="margin"/>
              </v:shape>
            </w:pict>
          </mc:Fallback>
        </mc:AlternateConten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AD7A15" w:rsidP="006A702B">
      <w:pPr>
        <w:pStyle w:val="Text"/>
      </w:pPr>
      <w:r w:rsidRPr="00843E9B">
        <w:rPr>
          <w:noProof/>
          <w:lang w:eastAsia="en-AU"/>
        </w:rPr>
        <mc:AlternateContent>
          <mc:Choice Requires="wps">
            <w:drawing>
              <wp:anchor distT="0" distB="0" distL="114300" distR="114300" simplePos="0" relativeHeight="251665408" behindDoc="0" locked="0" layoutInCell="1" allowOverlap="1" wp14:anchorId="25FAF90E" wp14:editId="28314D1A">
                <wp:simplePos x="0" y="0"/>
                <wp:positionH relativeFrom="column">
                  <wp:posOffset>-176530</wp:posOffset>
                </wp:positionH>
                <wp:positionV relativeFrom="paragraph">
                  <wp:posOffset>165735</wp:posOffset>
                </wp:positionV>
                <wp:extent cx="5596890" cy="57912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A15" w:rsidRDefault="00AD7A15" w:rsidP="00AD7A15">
                            <w:pPr>
                              <w:rPr>
                                <w:b/>
                              </w:rPr>
                            </w:pPr>
                          </w:p>
                          <w:p w:rsidR="00783B79" w:rsidRDefault="00783B79" w:rsidP="00783B79">
                            <w:pPr>
                              <w:rPr>
                                <w:b/>
                              </w:rPr>
                            </w:pPr>
                            <w:r w:rsidRPr="00BF78AB">
                              <w:rPr>
                                <w:b/>
                              </w:rPr>
                              <w:t xml:space="preserve">© </w:t>
                            </w:r>
                            <w:r>
                              <w:rPr>
                                <w:b/>
                              </w:rPr>
                              <w:t>Commonwealth of Australia,</w:t>
                            </w:r>
                            <w:r w:rsidRPr="00BF78AB">
                              <w:rPr>
                                <w:b/>
                              </w:rPr>
                              <w:t xml:space="preserve"> 2016</w:t>
                            </w:r>
                          </w:p>
                          <w:p w:rsidR="00AD7A15" w:rsidRDefault="00AD7A15" w:rsidP="00AD7A15">
                            <w:pPr>
                              <w:spacing w:before="0"/>
                              <w:rPr>
                                <w:b/>
                              </w:rPr>
                            </w:pPr>
                          </w:p>
                          <w:p w:rsidR="00AD7A15" w:rsidRDefault="00AD7A15" w:rsidP="00AD7A15">
                            <w:pPr>
                              <w:spacing w:before="100" w:beforeAutospacing="1"/>
                              <w:rPr>
                                <w:sz w:val="20"/>
                              </w:rPr>
                            </w:pPr>
                            <w:r>
                              <w:rPr>
                                <w:rFonts w:ascii="Times New Roman" w:hAnsi="Times New Roman"/>
                                <w:noProof/>
                                <w:sz w:val="20"/>
                                <w:lang w:eastAsia="en-AU"/>
                              </w:rPr>
                              <w:drawing>
                                <wp:inline distT="0" distB="0" distL="0" distR="0" wp14:anchorId="79204560" wp14:editId="66126A56">
                                  <wp:extent cx="847725" cy="304800"/>
                                  <wp:effectExtent l="0" t="0" r="9525" b="0"/>
                                  <wp:docPr id="9" name="Picture 9"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rsidR="00AD7A15" w:rsidRDefault="007A3BEB" w:rsidP="00AD7A15">
                            <w:pPr>
                              <w:pStyle w:val="Imprint"/>
                            </w:pPr>
                            <w:r>
                              <w:t>With the exception of the cover design, artwork, photographs, all logos and any material protected by a trade mark and where otherwise</w:t>
                            </w:r>
                            <w:r w:rsidR="00AD7A15">
                              <w:t xml:space="preserve"> noted all material presented in this document is provided under a Creative Commons Attribution 3.0 Australia &lt;http://creativecommons.org/licenses/by/3.0/au&gt; licence. </w:t>
                            </w:r>
                          </w:p>
                          <w:p w:rsidR="00AD7A15" w:rsidRDefault="00AD7A15" w:rsidP="00AD7A15">
                            <w:pPr>
                              <w:pStyle w:val="Imprint"/>
                            </w:pPr>
                            <w:r>
                              <w:t xml:space="preserve">The details of the relevant licence conditions are available on the Creative Commons website (accessible using the links provided) as is the full legal code for the CC BY 3.0 AU licence </w:t>
                            </w:r>
                            <w:r w:rsidR="007A3BEB">
                              <w:t>&lt;</w:t>
                            </w:r>
                            <w:r>
                              <w:t>http://creativecommons.org/licenses/by/3.0/legalcode&gt;.</w:t>
                            </w:r>
                          </w:p>
                          <w:p w:rsidR="00AD7A15" w:rsidRDefault="00AD7A15" w:rsidP="00AD7A15">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AD7A15" w:rsidRDefault="00AD7A15" w:rsidP="00AD7A15">
                            <w:pPr>
                              <w:pStyle w:val="Imprint"/>
                            </w:pPr>
                            <w:r>
                              <w:t xml:space="preserve">This document should be attributed as Siekmann, G &amp; Korbel, P 2016, </w:t>
                            </w:r>
                            <w:r w:rsidR="00434840">
                              <w:rPr>
                                <w:i/>
                              </w:rPr>
                              <w:t>Identifying STEM occupations:</w:t>
                            </w:r>
                            <w:r w:rsidR="00C63A57" w:rsidRPr="00C63A57">
                              <w:rPr>
                                <w:i/>
                              </w:rPr>
                              <w:t xml:space="preserve"> national and international approaches</w:t>
                            </w:r>
                            <w:r w:rsidR="00434840">
                              <w:rPr>
                                <w:i/>
                              </w:rPr>
                              <w:t xml:space="preserve"> — support document </w:t>
                            </w:r>
                            <w:r w:rsidR="00AB4010">
                              <w:rPr>
                                <w:i/>
                              </w:rPr>
                              <w:t>2</w:t>
                            </w:r>
                            <w:r w:rsidRPr="002275E4">
                              <w:t>,</w:t>
                            </w:r>
                            <w:r>
                              <w:t xml:space="preserve"> NCVER, Adelaide.</w:t>
                            </w:r>
                          </w:p>
                          <w:p w:rsidR="00AD7A15" w:rsidRDefault="00AD7A15" w:rsidP="00AD7A15">
                            <w:pPr>
                              <w:pStyle w:val="Imprint"/>
                              <w:rPr>
                                <w:color w:val="000000"/>
                              </w:rPr>
                            </w:pPr>
                            <w:r>
                              <w:rPr>
                                <w:color w:val="000000"/>
                              </w:rPr>
                              <w:t>Published by NCVER, ABN 87 007 967 311</w:t>
                            </w:r>
                          </w:p>
                          <w:p w:rsidR="00AD7A15" w:rsidRDefault="00AD7A15" w:rsidP="00AD7A15">
                            <w:pPr>
                              <w:pStyle w:val="Imprint"/>
                              <w:rPr>
                                <w:color w:val="000000"/>
                              </w:rPr>
                            </w:pPr>
                            <w:r>
                              <w:rPr>
                                <w:color w:val="000000"/>
                              </w:rPr>
                              <w:t>Level 11, 33 King William Street, Adelaide, SA 5000</w:t>
                            </w:r>
                            <w:r>
                              <w:rPr>
                                <w:color w:val="000000"/>
                              </w:rPr>
                              <w:br/>
                              <w:t>PO Box 8288 Station Arcade, Adelaide SA 5000, Australia</w:t>
                            </w:r>
                          </w:p>
                          <w:p w:rsidR="00AD7A15" w:rsidRDefault="00AD7A15" w:rsidP="00AD7A15">
                            <w:pPr>
                              <w:pStyle w:val="Imprint"/>
                              <w:tabs>
                                <w:tab w:val="left" w:pos="1134"/>
                              </w:tabs>
                            </w:pPr>
                            <w:r>
                              <w:rPr>
                                <w:b/>
                              </w:rPr>
                              <w:t>Phone</w:t>
                            </w:r>
                            <w:r>
                              <w:t xml:space="preserve"> +61 8 8230 8400    </w:t>
                            </w:r>
                            <w:r>
                              <w:rPr>
                                <w:b/>
                              </w:rPr>
                              <w:t>Fax</w:t>
                            </w:r>
                            <w:r>
                              <w:t xml:space="preserve"> +61 8 8212 3436</w:t>
                            </w:r>
                            <w:r>
                              <w:br/>
                            </w:r>
                            <w:r>
                              <w:rPr>
                                <w:b/>
                              </w:rPr>
                              <w:t>Email</w:t>
                            </w:r>
                            <w:r>
                              <w:t xml:space="preserve"> </w:t>
                            </w:r>
                            <w:hyperlink r:id="rId13" w:history="1">
                              <w:r w:rsidRPr="006C7A4F">
                                <w:t>ncver@ncver.edu.au</w:t>
                              </w:r>
                            </w:hyperlink>
                            <w:r>
                              <w:t xml:space="preserve">    </w:t>
                            </w:r>
                            <w:r>
                              <w:rPr>
                                <w:b/>
                              </w:rPr>
                              <w:t>Web</w:t>
                            </w:r>
                            <w:r>
                              <w:t xml:space="preserve"> &lt;http://www.ncver.edu.au&gt;</w:t>
                            </w:r>
                            <w:r w:rsidRPr="006C7A4F">
                              <w:t xml:space="preserve"> </w:t>
                            </w:r>
                            <w:r>
                              <w:t xml:space="preserve"> </w:t>
                            </w:r>
                            <w:r w:rsidRPr="006C7A4F">
                              <w:t xml:space="preserve"> &lt;</w:t>
                            </w:r>
                            <w:hyperlink r:id="rId14" w:history="1">
                              <w:r w:rsidRPr="006C7A4F">
                                <w:t>http://www.lsay.edu.au</w:t>
                              </w:r>
                            </w:hyperlink>
                            <w:r w:rsidRPr="006C7A4F">
                              <w:t>&gt;</w:t>
                            </w:r>
                            <w:r>
                              <w:br/>
                            </w:r>
                            <w:r>
                              <w:rPr>
                                <w:b/>
                              </w:rPr>
                              <w:t>Follow us:</w:t>
                            </w:r>
                            <w:r>
                              <w:tab/>
                              <w:t>&lt;http://twitter.com/ncver&gt;</w:t>
                            </w:r>
                            <w:r>
                              <w:tab/>
                              <w:t>&lt;http://www.linkedin.com/company/ncver&gt;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9pt;margin-top:13.05pt;width:440.7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itsgIAALk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" filled="f" stroked="f">
                <v:textbox inset="0,,0">
                  <w:txbxContent>
                    <w:p w:rsidR="00AD7A15" w:rsidRDefault="00AD7A15" w:rsidP="00AD7A15">
                      <w:pPr>
                        <w:rPr>
                          <w:b/>
                        </w:rPr>
                      </w:pPr>
                    </w:p>
                    <w:p w:rsidR="00783B79" w:rsidRDefault="00783B79" w:rsidP="00783B79">
                      <w:pPr>
                        <w:rPr>
                          <w:b/>
                        </w:rPr>
                      </w:pPr>
                      <w:r w:rsidRPr="00BF78AB">
                        <w:rPr>
                          <w:b/>
                        </w:rPr>
                        <w:t xml:space="preserve">© </w:t>
                      </w:r>
                      <w:r>
                        <w:rPr>
                          <w:b/>
                        </w:rPr>
                        <w:t>Commonwealth of Australia,</w:t>
                      </w:r>
                      <w:r w:rsidRPr="00BF78AB">
                        <w:rPr>
                          <w:b/>
                        </w:rPr>
                        <w:t xml:space="preserve"> 2016</w:t>
                      </w:r>
                    </w:p>
                    <w:p w:rsidR="00AD7A15" w:rsidRDefault="00AD7A15" w:rsidP="00AD7A15">
                      <w:pPr>
                        <w:spacing w:before="0"/>
                        <w:rPr>
                          <w:b/>
                        </w:rPr>
                      </w:pPr>
                      <w:bookmarkStart w:id="9" w:name="_GoBack"/>
                      <w:bookmarkEnd w:id="9"/>
                    </w:p>
                    <w:p w:rsidR="00AD7A15" w:rsidRDefault="00AD7A15" w:rsidP="00AD7A15">
                      <w:pPr>
                        <w:spacing w:before="100" w:beforeAutospacing="1"/>
                        <w:rPr>
                          <w:sz w:val="20"/>
                        </w:rPr>
                      </w:pPr>
                      <w:r>
                        <w:rPr>
                          <w:rFonts w:ascii="Times New Roman" w:hAnsi="Times New Roman"/>
                          <w:noProof/>
                          <w:sz w:val="20"/>
                          <w:lang w:eastAsia="en-AU"/>
                        </w:rPr>
                        <w:drawing>
                          <wp:inline distT="0" distB="0" distL="0" distR="0" wp14:anchorId="79204560" wp14:editId="66126A56">
                            <wp:extent cx="847725" cy="304800"/>
                            <wp:effectExtent l="0" t="0" r="9525" b="0"/>
                            <wp:docPr id="9" name="Picture 9"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rsidR="00AD7A15" w:rsidRDefault="007A3BEB" w:rsidP="00AD7A15">
                      <w:pPr>
                        <w:pStyle w:val="Imprint"/>
                      </w:pPr>
                      <w:r>
                        <w:t>With the exception of the cover design, artwork, photographs, all logos and any material protected by a trade mark and where otherwise</w:t>
                      </w:r>
                      <w:r w:rsidR="00AD7A15">
                        <w:t xml:space="preserve"> noted all material presented in this document is provided under a Creative Commons Attribution 3.0 Australia &lt;http://creativecommons.org/licenses/by/3.0/au&gt; licence. </w:t>
                      </w:r>
                    </w:p>
                    <w:p w:rsidR="00AD7A15" w:rsidRDefault="00AD7A15" w:rsidP="00AD7A15">
                      <w:pPr>
                        <w:pStyle w:val="Imprint"/>
                      </w:pPr>
                      <w:r>
                        <w:t xml:space="preserve">The details of the relevant licence conditions are available on the Creative Commons website (accessible using the links provided) as is the full legal code for the CC BY 3.0 AU licence </w:t>
                      </w:r>
                      <w:r w:rsidR="007A3BEB">
                        <w:t>&lt;</w:t>
                      </w:r>
                      <w:r>
                        <w:t>http://creativecommons.org/licenses/by/3.0/legalcode&gt;.</w:t>
                      </w:r>
                    </w:p>
                    <w:p w:rsidR="00AD7A15" w:rsidRDefault="00AD7A15" w:rsidP="00AD7A15">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AD7A15" w:rsidRDefault="00AD7A15" w:rsidP="00AD7A15">
                      <w:pPr>
                        <w:pStyle w:val="Imprint"/>
                      </w:pPr>
                      <w:r>
                        <w:t xml:space="preserve">This document should be attributed as Siekmann, G &amp; Korbel, P 2016, </w:t>
                      </w:r>
                      <w:r w:rsidR="00434840">
                        <w:rPr>
                          <w:i/>
                        </w:rPr>
                        <w:t>Identifying STEM occupations:</w:t>
                      </w:r>
                      <w:r w:rsidR="00C63A57" w:rsidRPr="00C63A57">
                        <w:rPr>
                          <w:i/>
                        </w:rPr>
                        <w:t xml:space="preserve"> national and international approaches</w:t>
                      </w:r>
                      <w:r w:rsidR="00434840">
                        <w:rPr>
                          <w:i/>
                        </w:rPr>
                        <w:t xml:space="preserve"> — support document </w:t>
                      </w:r>
                      <w:r w:rsidR="00AB4010">
                        <w:rPr>
                          <w:i/>
                        </w:rPr>
                        <w:t>2</w:t>
                      </w:r>
                      <w:r w:rsidRPr="002275E4">
                        <w:t>,</w:t>
                      </w:r>
                      <w:r>
                        <w:t xml:space="preserve"> NCVER, Adelaide.</w:t>
                      </w:r>
                    </w:p>
                    <w:p w:rsidR="00AD7A15" w:rsidRDefault="00AD7A15" w:rsidP="00AD7A15">
                      <w:pPr>
                        <w:pStyle w:val="Imprint"/>
                        <w:rPr>
                          <w:color w:val="000000"/>
                        </w:rPr>
                      </w:pPr>
                      <w:r>
                        <w:rPr>
                          <w:color w:val="000000"/>
                        </w:rPr>
                        <w:t>Published by NCVER, ABN 87 007 967 311</w:t>
                      </w:r>
                    </w:p>
                    <w:p w:rsidR="00AD7A15" w:rsidRDefault="00AD7A15" w:rsidP="00AD7A15">
                      <w:pPr>
                        <w:pStyle w:val="Imprint"/>
                        <w:rPr>
                          <w:color w:val="000000"/>
                        </w:rPr>
                      </w:pPr>
                      <w:r>
                        <w:rPr>
                          <w:color w:val="000000"/>
                        </w:rPr>
                        <w:t>Level 11, 33 King William Street, Adelaide, SA 5000</w:t>
                      </w:r>
                      <w:r>
                        <w:rPr>
                          <w:color w:val="000000"/>
                        </w:rPr>
                        <w:br/>
                        <w:t>PO Box 8288 Station Arcade, Adelaide SA 5000, Australia</w:t>
                      </w:r>
                    </w:p>
                    <w:p w:rsidR="00AD7A15" w:rsidRDefault="00AD7A15" w:rsidP="00AD7A15">
                      <w:pPr>
                        <w:pStyle w:val="Imprint"/>
                        <w:tabs>
                          <w:tab w:val="left" w:pos="1134"/>
                        </w:tabs>
                      </w:pPr>
                      <w:r>
                        <w:rPr>
                          <w:b/>
                        </w:rPr>
                        <w:t>Phone</w:t>
                      </w:r>
                      <w:r>
                        <w:t xml:space="preserve"> +61 8 8230 8400    </w:t>
                      </w:r>
                      <w:r>
                        <w:rPr>
                          <w:b/>
                        </w:rPr>
                        <w:t>Fax</w:t>
                      </w:r>
                      <w:r>
                        <w:t xml:space="preserve"> +61 8 8212 3436</w:t>
                      </w:r>
                      <w:r>
                        <w:br/>
                      </w:r>
                      <w:r>
                        <w:rPr>
                          <w:b/>
                        </w:rPr>
                        <w:t>Email</w:t>
                      </w:r>
                      <w:r>
                        <w:t xml:space="preserve"> </w:t>
                      </w:r>
                      <w:hyperlink r:id="rId16" w:history="1">
                        <w:r w:rsidRPr="006C7A4F">
                          <w:t>ncver@ncver.edu.au</w:t>
                        </w:r>
                      </w:hyperlink>
                      <w:r>
                        <w:t xml:space="preserve">    </w:t>
                      </w:r>
                      <w:r>
                        <w:rPr>
                          <w:b/>
                        </w:rPr>
                        <w:t>Web</w:t>
                      </w:r>
                      <w:r>
                        <w:t xml:space="preserve"> &lt;http://www.ncver.edu.au&gt;</w:t>
                      </w:r>
                      <w:r w:rsidRPr="006C7A4F">
                        <w:t xml:space="preserve"> </w:t>
                      </w:r>
                      <w:r>
                        <w:t xml:space="preserve"> </w:t>
                      </w:r>
                      <w:r w:rsidRPr="006C7A4F">
                        <w:t xml:space="preserve"> &lt;</w:t>
                      </w:r>
                      <w:hyperlink r:id="rId17" w:history="1">
                        <w:r w:rsidRPr="006C7A4F">
                          <w:t>http://www.lsay.edu.au</w:t>
                        </w:r>
                      </w:hyperlink>
                      <w:r w:rsidRPr="006C7A4F">
                        <w:t>&gt;</w:t>
                      </w:r>
                      <w:r>
                        <w:br/>
                      </w:r>
                      <w:r>
                        <w:rPr>
                          <w:b/>
                        </w:rPr>
                        <w:t>Follow us:</w:t>
                      </w:r>
                      <w:r>
                        <w:tab/>
                        <w:t>&lt;http://twitter.com/ncver&gt;</w:t>
                      </w:r>
                      <w:r>
                        <w:tab/>
                        <w:t>&lt;http://www.linkedin.com/company/ncver&gt;</w:t>
                      </w:r>
                    </w:p>
                  </w:txbxContent>
                </v:textbox>
              </v:shape>
            </w:pict>
          </mc:Fallback>
        </mc:AlternateConten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pPr>
    </w:p>
    <w:p w:rsidR="00D42A61" w:rsidRDefault="00D42A61" w:rsidP="00874DA5">
      <w:pPr>
        <w:pStyle w:val="Contents"/>
      </w:pPr>
    </w:p>
    <w:p w:rsidR="00D42A61" w:rsidRDefault="00AD7A15" w:rsidP="00874DA5">
      <w:pPr>
        <w:pStyle w:val="Contents"/>
        <w:sectPr w:rsidR="00D42A61" w:rsidSect="00177827">
          <w:footerReference w:type="default" r:id="rId18"/>
          <w:type w:val="continuous"/>
          <w:pgSz w:w="11907" w:h="16840" w:code="9"/>
          <w:pgMar w:top="1418" w:right="1701" w:bottom="1134" w:left="1418" w:header="709" w:footer="556" w:gutter="0"/>
          <w:cols w:space="708" w:equalWidth="0">
            <w:col w:w="8788"/>
          </w:cols>
          <w:docGrid w:linePitch="360"/>
        </w:sectPr>
      </w:pPr>
      <w:r w:rsidRPr="00AD7A15">
        <w:rPr>
          <w:noProof/>
          <w:lang w:eastAsia="en-AU"/>
        </w:rPr>
        <w:drawing>
          <wp:anchor distT="0" distB="0" distL="114300" distR="114300" simplePos="0" relativeHeight="251668480" behindDoc="0" locked="0" layoutInCell="1" allowOverlap="1" wp14:anchorId="7D7A55C8" wp14:editId="5939E625">
            <wp:simplePos x="0" y="0"/>
            <wp:positionH relativeFrom="column">
              <wp:posOffset>362214</wp:posOffset>
            </wp:positionH>
            <wp:positionV relativeFrom="paragraph">
              <wp:posOffset>2424430</wp:posOffset>
            </wp:positionV>
            <wp:extent cx="140970" cy="151765"/>
            <wp:effectExtent l="0" t="0" r="0" b="635"/>
            <wp:wrapNone/>
            <wp:docPr id="10" name="Picture 10" descr="Twitter_bla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blackbo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 cy="151765"/>
                    </a:xfrm>
                    <a:prstGeom prst="rect">
                      <a:avLst/>
                    </a:prstGeom>
                    <a:noFill/>
                  </pic:spPr>
                </pic:pic>
              </a:graphicData>
            </a:graphic>
            <wp14:sizeRelH relativeFrom="page">
              <wp14:pctWidth>0</wp14:pctWidth>
            </wp14:sizeRelH>
            <wp14:sizeRelV relativeFrom="page">
              <wp14:pctHeight>0</wp14:pctHeight>
            </wp14:sizeRelV>
          </wp:anchor>
        </w:drawing>
      </w:r>
      <w:r w:rsidRPr="00AD7A15">
        <w:rPr>
          <w:noProof/>
          <w:lang w:eastAsia="en-AU"/>
        </w:rPr>
        <w:drawing>
          <wp:anchor distT="0" distB="0" distL="114300" distR="114300" simplePos="0" relativeHeight="251667456" behindDoc="0" locked="0" layoutInCell="1" allowOverlap="1" wp14:anchorId="64E67AFF" wp14:editId="79098683">
            <wp:simplePos x="0" y="0"/>
            <wp:positionH relativeFrom="column">
              <wp:posOffset>1916694</wp:posOffset>
            </wp:positionH>
            <wp:positionV relativeFrom="paragraph">
              <wp:posOffset>2425065</wp:posOffset>
            </wp:positionV>
            <wp:extent cx="138430" cy="151765"/>
            <wp:effectExtent l="0" t="0" r="0" b="635"/>
            <wp:wrapNone/>
            <wp:docPr id="2" name="Picture 2" descr="InBug-16p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Bug-16px_0"/>
                    <pic:cNvPicPr>
                      <a:picLocks noChangeAspect="1" noChangeArrowheads="1"/>
                    </pic:cNvPicPr>
                  </pic:nvPicPr>
                  <pic:blipFill>
                    <a:blip r:embed="rId20">
                      <a:grayscl/>
                      <a:biLevel thresh="50000"/>
                      <a:extLst>
                        <a:ext uri="{28A0092B-C50C-407E-A947-70E740481C1C}">
                          <a14:useLocalDpi xmlns:a14="http://schemas.microsoft.com/office/drawing/2010/main" val="0"/>
                        </a:ext>
                      </a:extLst>
                    </a:blip>
                    <a:srcRect/>
                    <a:stretch>
                      <a:fillRect/>
                    </a:stretch>
                  </pic:blipFill>
                  <pic:spPr bwMode="auto">
                    <a:xfrm>
                      <a:off x="0" y="0"/>
                      <a:ext cx="138430" cy="151765"/>
                    </a:xfrm>
                    <a:prstGeom prst="rect">
                      <a:avLst/>
                    </a:prstGeom>
                    <a:noFill/>
                  </pic:spPr>
                </pic:pic>
              </a:graphicData>
            </a:graphic>
            <wp14:sizeRelH relativeFrom="page">
              <wp14:pctWidth>0</wp14:pctWidth>
            </wp14:sizeRelH>
            <wp14:sizeRelV relativeFrom="page">
              <wp14:pctHeight>0</wp14:pctHeight>
            </wp14:sizeRelV>
          </wp:anchor>
        </w:drawing>
      </w:r>
    </w:p>
    <w:p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rsidR="00E22725"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E22725">
        <w:t>Tables and figures</w:t>
      </w:r>
      <w:r w:rsidR="00E22725">
        <w:tab/>
      </w:r>
      <w:r w:rsidR="00E22725">
        <w:fldChar w:fldCharType="begin"/>
      </w:r>
      <w:r w:rsidR="00E22725">
        <w:instrText xml:space="preserve"> PAGEREF _Toc461188874 \h </w:instrText>
      </w:r>
      <w:r w:rsidR="00E22725">
        <w:fldChar w:fldCharType="separate"/>
      </w:r>
      <w:r w:rsidR="00783B79">
        <w:t>4</w:t>
      </w:r>
      <w:r w:rsidR="00E22725">
        <w:fldChar w:fldCharType="end"/>
      </w:r>
    </w:p>
    <w:p w:rsidR="00E22725" w:rsidRDefault="00E22725">
      <w:pPr>
        <w:pStyle w:val="TOC1"/>
        <w:rPr>
          <w:rFonts w:asciiTheme="minorHAnsi" w:eastAsiaTheme="minorEastAsia" w:hAnsiTheme="minorHAnsi" w:cstheme="minorBidi"/>
          <w:color w:val="auto"/>
          <w:sz w:val="22"/>
          <w:szCs w:val="22"/>
          <w:lang w:eastAsia="en-AU"/>
        </w:rPr>
      </w:pPr>
      <w:r>
        <w:t>What is a STEM occupation? National and international approaches</w:t>
      </w:r>
      <w:r>
        <w:tab/>
      </w:r>
      <w:r>
        <w:fldChar w:fldCharType="begin"/>
      </w:r>
      <w:r>
        <w:instrText xml:space="preserve"> PAGEREF _Toc461188876 \h </w:instrText>
      </w:r>
      <w:r>
        <w:fldChar w:fldCharType="separate"/>
      </w:r>
      <w:r w:rsidR="00783B79">
        <w:t>5</w:t>
      </w:r>
      <w:r>
        <w:fldChar w:fldCharType="end"/>
      </w:r>
    </w:p>
    <w:p w:rsidR="00E22725" w:rsidRDefault="00E22725">
      <w:pPr>
        <w:pStyle w:val="TOC2"/>
        <w:rPr>
          <w:rFonts w:asciiTheme="minorHAnsi" w:eastAsiaTheme="minorEastAsia" w:hAnsiTheme="minorHAnsi" w:cstheme="minorBidi"/>
          <w:color w:val="auto"/>
          <w:sz w:val="22"/>
          <w:szCs w:val="22"/>
          <w:lang w:eastAsia="en-AU"/>
        </w:rPr>
      </w:pPr>
      <w:r>
        <w:t>Case 1: US think tank 'Brookings Institute'</w:t>
      </w:r>
      <w:r>
        <w:tab/>
      </w:r>
      <w:r>
        <w:fldChar w:fldCharType="begin"/>
      </w:r>
      <w:r>
        <w:instrText xml:space="preserve"> PAGEREF _Toc461188877 \h </w:instrText>
      </w:r>
      <w:r>
        <w:fldChar w:fldCharType="separate"/>
      </w:r>
      <w:r w:rsidR="00783B79">
        <w:t>5</w:t>
      </w:r>
      <w:r>
        <w:fldChar w:fldCharType="end"/>
      </w:r>
    </w:p>
    <w:p w:rsidR="00E22725" w:rsidRDefault="00E22725">
      <w:pPr>
        <w:pStyle w:val="TOC2"/>
        <w:rPr>
          <w:rFonts w:asciiTheme="minorHAnsi" w:eastAsiaTheme="minorEastAsia" w:hAnsiTheme="minorHAnsi" w:cstheme="minorBidi"/>
          <w:color w:val="auto"/>
          <w:sz w:val="22"/>
          <w:szCs w:val="22"/>
          <w:lang w:eastAsia="en-AU"/>
        </w:rPr>
      </w:pPr>
      <w:r>
        <w:t>Case 2: UK Commission for Employment and Skills</w:t>
      </w:r>
      <w:r>
        <w:tab/>
      </w:r>
      <w:r>
        <w:fldChar w:fldCharType="begin"/>
      </w:r>
      <w:r>
        <w:instrText xml:space="preserve"> PAGEREF _Toc461188878 \h </w:instrText>
      </w:r>
      <w:r>
        <w:fldChar w:fldCharType="separate"/>
      </w:r>
      <w:r w:rsidR="00783B79">
        <w:t>7</w:t>
      </w:r>
      <w:r>
        <w:fldChar w:fldCharType="end"/>
      </w:r>
    </w:p>
    <w:p w:rsidR="00E22725" w:rsidRDefault="00E22725">
      <w:pPr>
        <w:pStyle w:val="TOC2"/>
        <w:rPr>
          <w:rFonts w:asciiTheme="minorHAnsi" w:eastAsiaTheme="minorEastAsia" w:hAnsiTheme="minorHAnsi" w:cstheme="minorBidi"/>
          <w:color w:val="auto"/>
          <w:sz w:val="22"/>
          <w:szCs w:val="22"/>
          <w:lang w:eastAsia="en-AU"/>
        </w:rPr>
      </w:pPr>
      <w:r>
        <w:t>Case 3: Elgin Economics (for the Government of Victoria)</w:t>
      </w:r>
      <w:r>
        <w:tab/>
      </w:r>
      <w:r>
        <w:fldChar w:fldCharType="begin"/>
      </w:r>
      <w:r>
        <w:instrText xml:space="preserve"> PAGEREF _Toc461188879 \h </w:instrText>
      </w:r>
      <w:r>
        <w:fldChar w:fldCharType="separate"/>
      </w:r>
      <w:r w:rsidR="00783B79">
        <w:t>8</w:t>
      </w:r>
      <w:r>
        <w:fldChar w:fldCharType="end"/>
      </w:r>
    </w:p>
    <w:p w:rsidR="00E22725" w:rsidRDefault="00E22725">
      <w:pPr>
        <w:pStyle w:val="TOC2"/>
        <w:rPr>
          <w:rFonts w:asciiTheme="minorHAnsi" w:eastAsiaTheme="minorEastAsia" w:hAnsiTheme="minorHAnsi" w:cstheme="minorBidi"/>
          <w:color w:val="auto"/>
          <w:sz w:val="22"/>
          <w:szCs w:val="22"/>
          <w:lang w:eastAsia="en-AU"/>
        </w:rPr>
      </w:pPr>
      <w:r>
        <w:t>Case 4: SA Department of State Development (education department)</w:t>
      </w:r>
      <w:r>
        <w:tab/>
      </w:r>
      <w:r>
        <w:fldChar w:fldCharType="begin"/>
      </w:r>
      <w:r>
        <w:instrText xml:space="preserve"> PAGEREF _Toc461188880 \h </w:instrText>
      </w:r>
      <w:r>
        <w:fldChar w:fldCharType="separate"/>
      </w:r>
      <w:r w:rsidR="00783B79">
        <w:t>9</w:t>
      </w:r>
      <w:r>
        <w:fldChar w:fldCharType="end"/>
      </w:r>
    </w:p>
    <w:p w:rsidR="00E22725" w:rsidRDefault="00E22725">
      <w:pPr>
        <w:pStyle w:val="TOC2"/>
        <w:rPr>
          <w:rFonts w:asciiTheme="minorHAnsi" w:eastAsiaTheme="minorEastAsia" w:hAnsiTheme="minorHAnsi" w:cstheme="minorBidi"/>
          <w:color w:val="auto"/>
          <w:sz w:val="22"/>
          <w:szCs w:val="22"/>
          <w:lang w:eastAsia="en-AU"/>
        </w:rPr>
      </w:pPr>
      <w:r>
        <w:t>Case 5: Australian Bureau of Statistics</w:t>
      </w:r>
      <w:r>
        <w:tab/>
      </w:r>
      <w:r>
        <w:fldChar w:fldCharType="begin"/>
      </w:r>
      <w:r>
        <w:instrText xml:space="preserve"> PAGEREF _Toc461188881 \h </w:instrText>
      </w:r>
      <w:r>
        <w:fldChar w:fldCharType="separate"/>
      </w:r>
      <w:r w:rsidR="00783B79">
        <w:t>10</w:t>
      </w:r>
      <w:r>
        <w:fldChar w:fldCharType="end"/>
      </w:r>
    </w:p>
    <w:p w:rsidR="00E22725" w:rsidRDefault="00E22725">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_Toc461188882 \h </w:instrText>
      </w:r>
      <w:r>
        <w:fldChar w:fldCharType="separate"/>
      </w:r>
      <w:r w:rsidR="00783B79">
        <w:t>12</w:t>
      </w:r>
      <w:r>
        <w:fldChar w:fldCharType="end"/>
      </w:r>
    </w:p>
    <w:p w:rsidR="004E7227" w:rsidRDefault="00E110EA"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12" w:name="_Toc461188874"/>
      <w:r>
        <w:lastRenderedPageBreak/>
        <w:t>Tables and figures</w:t>
      </w:r>
      <w:bookmarkEnd w:id="12"/>
    </w:p>
    <w:p w:rsidR="004E7227" w:rsidRDefault="004E7227" w:rsidP="004E7227">
      <w:pPr>
        <w:pStyle w:val="Heading2"/>
      </w:pPr>
      <w:bookmarkStart w:id="13" w:name="_Toc296497516"/>
      <w:bookmarkStart w:id="14" w:name="_Toc298162801"/>
      <w:bookmarkStart w:id="15" w:name="_Toc461188875"/>
      <w:r>
        <w:t>Tables</w:t>
      </w:r>
      <w:bookmarkEnd w:id="13"/>
      <w:bookmarkEnd w:id="14"/>
      <w:bookmarkEnd w:id="15"/>
    </w:p>
    <w:p w:rsidR="00D722F7" w:rsidRDefault="00E110EA" w:rsidP="00AD7A15">
      <w:pPr>
        <w:pStyle w:val="TableofFigures"/>
        <w:tabs>
          <w:tab w:val="clear" w:pos="6804"/>
          <w:tab w:val="right" w:pos="7655"/>
        </w:tabs>
        <w:ind w:left="284" w:right="1417" w:hanging="284"/>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AD7A15">
        <w:t>1</w:t>
      </w:r>
      <w:r w:rsidR="00AD7A15">
        <w:tab/>
      </w:r>
      <w:r w:rsidR="00D722F7">
        <w:t>Summary of occupations with a high degree of knowledge and skills in the scientific and technology related occupations in descending order (Rothwell 2013)</w:t>
      </w:r>
      <w:r w:rsidR="00D722F7">
        <w:tab/>
      </w:r>
      <w:r w:rsidR="00D722F7">
        <w:fldChar w:fldCharType="begin"/>
      </w:r>
      <w:r w:rsidR="00D722F7">
        <w:instrText xml:space="preserve"> PAGEREF _Toc461189263 \h </w:instrText>
      </w:r>
      <w:r w:rsidR="00D722F7">
        <w:fldChar w:fldCharType="separate"/>
      </w:r>
      <w:r w:rsidR="00783B79">
        <w:t>6</w:t>
      </w:r>
      <w:r w:rsidR="00D722F7">
        <w:fldChar w:fldCharType="end"/>
      </w:r>
    </w:p>
    <w:p w:rsidR="00D722F7" w:rsidRDefault="00AD7A15" w:rsidP="00AD7A15">
      <w:pPr>
        <w:pStyle w:val="TableofFigures"/>
        <w:tabs>
          <w:tab w:val="clear" w:pos="6804"/>
          <w:tab w:val="right" w:pos="7655"/>
        </w:tabs>
        <w:ind w:left="284" w:right="1417" w:hanging="284"/>
        <w:rPr>
          <w:rFonts w:asciiTheme="minorHAnsi" w:eastAsiaTheme="minorEastAsia" w:hAnsiTheme="minorHAnsi" w:cstheme="minorBidi"/>
          <w:color w:val="auto"/>
          <w:sz w:val="22"/>
          <w:szCs w:val="22"/>
          <w:lang w:eastAsia="en-AU"/>
        </w:rPr>
      </w:pPr>
      <w:r>
        <w:t>2</w:t>
      </w:r>
      <w:r>
        <w:tab/>
      </w:r>
      <w:r w:rsidR="00D722F7">
        <w:t>Ranking of major occupation groups according to various measures of STEM occupational parameters</w:t>
      </w:r>
      <w:r w:rsidR="00D722F7">
        <w:tab/>
      </w:r>
      <w:r w:rsidR="00D722F7">
        <w:fldChar w:fldCharType="begin"/>
      </w:r>
      <w:r w:rsidR="00D722F7">
        <w:instrText xml:space="preserve"> PAGEREF _Toc461189264 \h </w:instrText>
      </w:r>
      <w:r w:rsidR="00D722F7">
        <w:fldChar w:fldCharType="separate"/>
      </w:r>
      <w:r w:rsidR="00783B79">
        <w:t>6</w:t>
      </w:r>
      <w:r w:rsidR="00D722F7">
        <w:fldChar w:fldCharType="end"/>
      </w:r>
    </w:p>
    <w:p w:rsidR="00D722F7" w:rsidRDefault="00AD7A15" w:rsidP="00AD7A15">
      <w:pPr>
        <w:pStyle w:val="TableofFigures"/>
        <w:tabs>
          <w:tab w:val="clear" w:pos="6804"/>
          <w:tab w:val="left" w:pos="851"/>
          <w:tab w:val="right" w:pos="7655"/>
        </w:tabs>
        <w:ind w:left="851" w:right="1417" w:hanging="851"/>
        <w:rPr>
          <w:rFonts w:asciiTheme="minorHAnsi" w:eastAsiaTheme="minorEastAsia" w:hAnsiTheme="minorHAnsi" w:cstheme="minorBidi"/>
          <w:color w:val="auto"/>
          <w:sz w:val="22"/>
          <w:szCs w:val="22"/>
          <w:lang w:eastAsia="en-AU"/>
        </w:rPr>
      </w:pPr>
      <w:r>
        <w:t>3</w:t>
      </w:r>
      <w:r>
        <w:tab/>
      </w:r>
      <w:r w:rsidR="00D722F7">
        <w:t>Definition of STEM disciplines in the UKCES report</w:t>
      </w:r>
      <w:r w:rsidR="00D722F7">
        <w:tab/>
      </w:r>
      <w:r w:rsidR="00D722F7">
        <w:fldChar w:fldCharType="begin"/>
      </w:r>
      <w:r w:rsidR="00D722F7">
        <w:instrText xml:space="preserve"> PAGEREF _Toc461189265 \h </w:instrText>
      </w:r>
      <w:r w:rsidR="00D722F7">
        <w:fldChar w:fldCharType="separate"/>
      </w:r>
      <w:r w:rsidR="00783B79">
        <w:t>7</w:t>
      </w:r>
      <w:r w:rsidR="00D722F7">
        <w:fldChar w:fldCharType="end"/>
      </w:r>
    </w:p>
    <w:p w:rsidR="00D722F7" w:rsidRDefault="00AD7A15" w:rsidP="00AD7A15">
      <w:pPr>
        <w:pStyle w:val="TableofFigures"/>
        <w:tabs>
          <w:tab w:val="clear" w:pos="6804"/>
          <w:tab w:val="left" w:pos="851"/>
          <w:tab w:val="right" w:pos="7655"/>
        </w:tabs>
        <w:ind w:left="851" w:right="1417" w:hanging="851"/>
        <w:rPr>
          <w:rFonts w:asciiTheme="minorHAnsi" w:eastAsiaTheme="minorEastAsia" w:hAnsiTheme="minorHAnsi" w:cstheme="minorBidi"/>
          <w:color w:val="auto"/>
          <w:sz w:val="22"/>
          <w:szCs w:val="22"/>
          <w:lang w:eastAsia="en-AU"/>
        </w:rPr>
      </w:pPr>
      <w:r>
        <w:t>4</w:t>
      </w:r>
      <w:r>
        <w:tab/>
      </w:r>
      <w:r w:rsidR="00D722F7">
        <w:t>Top 15 ranked STEM occupations (out of 38 total)</w:t>
      </w:r>
      <w:r w:rsidR="00D722F7">
        <w:tab/>
      </w:r>
      <w:r w:rsidR="00D722F7">
        <w:fldChar w:fldCharType="begin"/>
      </w:r>
      <w:r w:rsidR="00D722F7">
        <w:instrText xml:space="preserve"> PAGEREF _Toc461189266 \h </w:instrText>
      </w:r>
      <w:r w:rsidR="00D722F7">
        <w:fldChar w:fldCharType="separate"/>
      </w:r>
      <w:r w:rsidR="00783B79">
        <w:t>8</w:t>
      </w:r>
      <w:r w:rsidR="00D722F7">
        <w:fldChar w:fldCharType="end"/>
      </w:r>
    </w:p>
    <w:p w:rsidR="00D722F7" w:rsidRDefault="00D722F7" w:rsidP="00AD7A15">
      <w:pPr>
        <w:pStyle w:val="TableofFigures"/>
        <w:tabs>
          <w:tab w:val="clear" w:pos="6804"/>
          <w:tab w:val="left" w:pos="851"/>
          <w:tab w:val="right" w:pos="7655"/>
        </w:tabs>
        <w:ind w:left="851" w:right="1417" w:hanging="851"/>
        <w:rPr>
          <w:rFonts w:asciiTheme="minorHAnsi" w:eastAsiaTheme="minorEastAsia" w:hAnsiTheme="minorHAnsi" w:cstheme="minorBidi"/>
          <w:color w:val="auto"/>
          <w:sz w:val="22"/>
          <w:szCs w:val="22"/>
          <w:lang w:eastAsia="en-AU"/>
        </w:rPr>
      </w:pPr>
      <w:r>
        <w:t>5</w:t>
      </w:r>
      <w:r w:rsidR="00AD7A15">
        <w:tab/>
      </w:r>
      <w:r>
        <w:t>Top 15 ranked occupation groupings according to the SM intensity index</w:t>
      </w:r>
      <w:r>
        <w:tab/>
      </w:r>
      <w:r>
        <w:fldChar w:fldCharType="begin"/>
      </w:r>
      <w:r>
        <w:instrText xml:space="preserve"> PAGEREF _Toc461189267 \h </w:instrText>
      </w:r>
      <w:r>
        <w:fldChar w:fldCharType="separate"/>
      </w:r>
      <w:r w:rsidR="00783B79">
        <w:t>9</w:t>
      </w:r>
      <w:r>
        <w:fldChar w:fldCharType="end"/>
      </w:r>
    </w:p>
    <w:p w:rsidR="00D722F7" w:rsidRDefault="00AD7A15" w:rsidP="00AD7A15">
      <w:pPr>
        <w:pStyle w:val="TableofFigures"/>
        <w:tabs>
          <w:tab w:val="clear" w:pos="6804"/>
          <w:tab w:val="left" w:pos="851"/>
          <w:tab w:val="right" w:pos="7655"/>
        </w:tabs>
        <w:ind w:left="851" w:right="1417" w:hanging="851"/>
        <w:rPr>
          <w:rFonts w:asciiTheme="minorHAnsi" w:eastAsiaTheme="minorEastAsia" w:hAnsiTheme="minorHAnsi" w:cstheme="minorBidi"/>
          <w:color w:val="auto"/>
          <w:sz w:val="22"/>
          <w:szCs w:val="22"/>
          <w:lang w:eastAsia="en-AU"/>
        </w:rPr>
      </w:pPr>
      <w:r>
        <w:t>6</w:t>
      </w:r>
      <w:r>
        <w:tab/>
      </w:r>
      <w:r w:rsidR="00D722F7">
        <w:t>People with STEM qualifications by common STEM occupation groups</w:t>
      </w:r>
      <w:r w:rsidR="00D722F7">
        <w:tab/>
      </w:r>
      <w:r w:rsidR="00D722F7">
        <w:fldChar w:fldCharType="begin"/>
      </w:r>
      <w:r w:rsidR="00D722F7">
        <w:instrText xml:space="preserve"> PAGEREF _Toc461189268 \h </w:instrText>
      </w:r>
      <w:r w:rsidR="00D722F7">
        <w:fldChar w:fldCharType="separate"/>
      </w:r>
      <w:r w:rsidR="00783B79">
        <w:t>11</w:t>
      </w:r>
      <w:r w:rsidR="00D722F7">
        <w:fldChar w:fldCharType="end"/>
      </w:r>
    </w:p>
    <w:p w:rsidR="006E1FA9" w:rsidRDefault="00E110EA" w:rsidP="00AD7A15">
      <w:pPr>
        <w:pStyle w:val="Heading2"/>
        <w:tabs>
          <w:tab w:val="left" w:pos="284"/>
          <w:tab w:val="left" w:pos="851"/>
        </w:tabs>
        <w:ind w:left="851" w:right="1133" w:hanging="851"/>
        <w:rPr>
          <w:b/>
        </w:rPr>
      </w:pPr>
      <w:r>
        <w:fldChar w:fldCharType="end"/>
      </w:r>
    </w:p>
    <w:p w:rsidR="000108B2" w:rsidRPr="00A93867" w:rsidRDefault="00E95812" w:rsidP="0048643A">
      <w:pPr>
        <w:pStyle w:val="Text"/>
        <w:rPr>
          <w:b/>
        </w:rPr>
      </w:pPr>
      <w:r>
        <w:rPr>
          <w:b/>
        </w:rPr>
        <w:t xml:space="preserve"> </w:t>
      </w:r>
    </w:p>
    <w:p w:rsidR="00A93867" w:rsidRPr="00A93867" w:rsidRDefault="00A93867">
      <w:pPr>
        <w:spacing w:before="0" w:line="240" w:lineRule="auto"/>
        <w:rPr>
          <w:rFonts w:ascii="Tahoma" w:hAnsi="Tahoma" w:cs="Tahoma"/>
          <w:b/>
          <w:color w:val="000000"/>
          <w:kern w:val="28"/>
          <w:sz w:val="56"/>
          <w:szCs w:val="56"/>
        </w:rPr>
      </w:pPr>
      <w:bookmarkStart w:id="16" w:name="_Toc298162803"/>
      <w:r w:rsidRPr="00A93867">
        <w:rPr>
          <w:b/>
        </w:rPr>
        <w:br w:type="page"/>
      </w:r>
    </w:p>
    <w:p w:rsidR="00E623A5" w:rsidRPr="00E623A5" w:rsidRDefault="00E623A5" w:rsidP="00AA170F">
      <w:pPr>
        <w:pStyle w:val="Heading1"/>
      </w:pPr>
      <w:bookmarkStart w:id="17" w:name="_Toc453947513"/>
      <w:bookmarkStart w:id="18" w:name="_Toc461188876"/>
      <w:bookmarkEnd w:id="16"/>
      <w:r w:rsidRPr="00E623A5">
        <w:lastRenderedPageBreak/>
        <w:t>What is a STEM occupation? National and international approaches</w:t>
      </w:r>
      <w:bookmarkEnd w:id="17"/>
      <w:bookmarkEnd w:id="18"/>
    </w:p>
    <w:p w:rsidR="00E623A5" w:rsidRPr="00E623A5" w:rsidRDefault="00E623A5" w:rsidP="00E623A5">
      <w:pPr>
        <w:spacing w:line="300" w:lineRule="exact"/>
        <w:ind w:right="-1"/>
      </w:pPr>
      <w:r w:rsidRPr="00E623A5">
        <w:t xml:space="preserve">In the following sections we explore the definition and selection of science and technology-related jobs in more depth. Examples from the US, UK and Australia will be described, with similarities and differences highlighted. </w:t>
      </w:r>
    </w:p>
    <w:p w:rsidR="00E623A5" w:rsidRPr="00E623A5" w:rsidRDefault="00E623A5" w:rsidP="00AA170F">
      <w:pPr>
        <w:pStyle w:val="Heading2"/>
      </w:pPr>
      <w:bookmarkStart w:id="19" w:name="_Toc461188877"/>
      <w:r w:rsidRPr="00E623A5">
        <w:t>Case 1: US think tank 'Brookings Institute'</w:t>
      </w:r>
      <w:bookmarkEnd w:id="19"/>
    </w:p>
    <w:p w:rsidR="00E623A5" w:rsidRPr="00E623A5" w:rsidRDefault="00E623A5" w:rsidP="00E623A5">
      <w:pPr>
        <w:spacing w:line="300" w:lineRule="exact"/>
        <w:ind w:right="-1"/>
      </w:pPr>
      <w:r w:rsidRPr="00306EC1">
        <w:t xml:space="preserve">Jonathon Rothwell (2013) from the Brookings Institute released a report, </w:t>
      </w:r>
      <w:r w:rsidRPr="00306EC1">
        <w:rPr>
          <w:i/>
        </w:rPr>
        <w:t>The hidden STEM economy</w:t>
      </w:r>
      <w:r w:rsidRPr="00306EC1">
        <w:t>, which argues that a large number</w:t>
      </w:r>
      <w:r w:rsidRPr="00E623A5">
        <w:t xml:space="preserve"> of STEM jobs go unnoticed due to the attention that researchers and the media pay to occupations requiring a bachelor’s degree or higher. The author suggests that a variety of jobs may require some degree of STEM knowledge and skills. </w:t>
      </w:r>
    </w:p>
    <w:p w:rsidR="006E66F2" w:rsidRDefault="00E623A5" w:rsidP="00E623A5">
      <w:pPr>
        <w:spacing w:line="300" w:lineRule="exact"/>
        <w:ind w:right="-1"/>
      </w:pPr>
      <w:r w:rsidRPr="00E623A5">
        <w:t xml:space="preserve">In response, a new method for classifying what constitutes a STEM job was proposed. </w:t>
      </w:r>
      <w:r w:rsidR="006E66F2" w:rsidRPr="00E623A5">
        <w:t xml:space="preserve">As part of </w:t>
      </w:r>
      <w:r w:rsidR="006E66F2" w:rsidRPr="006E66F2">
        <w:t>occupational data base</w:t>
      </w:r>
      <w:proofErr w:type="gramStart"/>
      <w:r w:rsidR="006E66F2" w:rsidRPr="006E66F2">
        <w:t>,  O</w:t>
      </w:r>
      <w:proofErr w:type="gramEnd"/>
      <w:r w:rsidR="006E66F2" w:rsidRPr="006E66F2">
        <w:t>*NET (Occupational Information Network Data Collectio</w:t>
      </w:r>
      <w:r w:rsidR="006E66F2">
        <w:t>n Program) (Rothwell 2013, p.4)</w:t>
      </w:r>
      <w:r w:rsidR="006E66F2" w:rsidRPr="00E623A5">
        <w:t xml:space="preserve">, workers in each occupation complete a self-report survey about training, education, experience and skill use. The report used the knowledge survey portion of the data to grade occupations according to their STEM skill requirements. </w:t>
      </w:r>
    </w:p>
    <w:p w:rsidR="006E66F2" w:rsidRDefault="00E623A5" w:rsidP="00E623A5">
      <w:pPr>
        <w:spacing w:line="300" w:lineRule="exact"/>
        <w:ind w:right="-1"/>
      </w:pPr>
      <w:r w:rsidRPr="00E623A5">
        <w:t xml:space="preserve">Using O*NET knowledge scores in biology, chemistry, physics, computers and electronics, engineering and technology, and mathematics, Rothwell (2013) calculated gradations of STEM knowledge in occupations, and subsequently classified STEM occupations </w:t>
      </w:r>
      <w:r w:rsidR="006E66F2">
        <w:t>as;</w:t>
      </w:r>
    </w:p>
    <w:p w:rsidR="006E66F2" w:rsidRDefault="006E66F2" w:rsidP="006E66F2">
      <w:pPr>
        <w:pStyle w:val="Dotpoint2"/>
      </w:pPr>
      <w:r w:rsidRPr="006E66F2">
        <w:rPr>
          <w:i/>
        </w:rPr>
        <w:t>High STEM</w:t>
      </w:r>
      <w:r>
        <w:t xml:space="preserve"> - If an occupation has one domain score at least 1.5 standard deviations above the average then it is classed as a ‘high-STEM’ occupation</w:t>
      </w:r>
    </w:p>
    <w:p w:rsidR="006E66F2" w:rsidRDefault="006E66F2" w:rsidP="006E66F2">
      <w:pPr>
        <w:pStyle w:val="Dotpoint2"/>
      </w:pPr>
      <w:r w:rsidRPr="006E66F2">
        <w:rPr>
          <w:i/>
        </w:rPr>
        <w:t>Super STEM</w:t>
      </w:r>
      <w:r>
        <w:t xml:space="preserve"> - If an occupation has a combined </w:t>
      </w:r>
      <w:r w:rsidRPr="001D0922">
        <w:rPr>
          <w:color w:val="C00000"/>
        </w:rPr>
        <w:t xml:space="preserve"> </w:t>
      </w:r>
      <w:r>
        <w:t xml:space="preserve">knowledge score at least 1.5 standard deviations above the average combined score then it is classed as a ‘super-STEM’ occupation </w:t>
      </w:r>
    </w:p>
    <w:p w:rsidR="00E623A5" w:rsidRPr="00E623A5" w:rsidRDefault="006E66F2" w:rsidP="00E623A5">
      <w:pPr>
        <w:spacing w:line="300" w:lineRule="exact"/>
        <w:ind w:right="-1"/>
      </w:pPr>
      <w:r>
        <w:t>The report justifies the use of both classifications by saying that education and training usually focus on one specific domain (hence the applicability of high-STEM) and workers with abilities in more than one field tend to receive higher pay (hence the relevance of super-</w:t>
      </w:r>
      <w:r w:rsidRPr="006E66F2">
        <w:t xml:space="preserve">STEM). </w:t>
      </w:r>
      <w:r>
        <w:t xml:space="preserve"> </w:t>
      </w:r>
    </w:p>
    <w:p w:rsidR="00E623A5" w:rsidRPr="00E623A5" w:rsidRDefault="00E623A5" w:rsidP="00E623A5">
      <w:pPr>
        <w:spacing w:line="300" w:lineRule="exact"/>
        <w:ind w:right="-1"/>
      </w:pPr>
      <w:r w:rsidRPr="00E623A5">
        <w:t>The premise is that workers can apply STEM skills in apparently non-STEM areas (for example, applying scientific reasoning and knowledge to improve agriculture, horticulture or aquaculture) and, conversely, might not apply STEM skills in apparently STEM areas (for example, corporate management of an engineering firm).</w:t>
      </w:r>
    </w:p>
    <w:p w:rsidR="00E623A5" w:rsidRPr="00E623A5" w:rsidRDefault="00564380" w:rsidP="00E623A5">
      <w:pPr>
        <w:spacing w:line="300" w:lineRule="exact"/>
        <w:ind w:right="-1"/>
      </w:pPr>
      <w:r>
        <w:t>Table 1</w:t>
      </w:r>
      <w:r w:rsidR="00E623A5" w:rsidRPr="00E623A5">
        <w:t xml:space="preserve"> provides a summary of occupations with a high degree of knowledge and skills in the scientific and technology-related occupations, based on all disciplinary STEM knowledge scores in descending order.</w:t>
      </w:r>
    </w:p>
    <w:p w:rsidR="00583E24" w:rsidRDefault="00583E24">
      <w:pPr>
        <w:spacing w:before="0" w:line="240" w:lineRule="auto"/>
        <w:rPr>
          <w:rFonts w:ascii="Tahoma" w:hAnsi="Tahoma"/>
          <w:b/>
          <w:sz w:val="17"/>
        </w:rPr>
      </w:pPr>
      <w:r>
        <w:rPr>
          <w:rFonts w:ascii="Tahoma" w:hAnsi="Tahoma"/>
          <w:b/>
          <w:sz w:val="17"/>
        </w:rPr>
        <w:br w:type="page"/>
      </w:r>
    </w:p>
    <w:p w:rsidR="006E1FA9" w:rsidRPr="006E1FA9" w:rsidRDefault="00564380" w:rsidP="006E1FA9">
      <w:pPr>
        <w:pStyle w:val="tabletitle"/>
      </w:pPr>
      <w:bookmarkStart w:id="20" w:name="_Toc461189263"/>
      <w:r w:rsidRPr="006E1FA9">
        <w:lastRenderedPageBreak/>
        <w:t>Table 1</w:t>
      </w:r>
      <w:r w:rsidR="00E623A5" w:rsidRPr="006E1FA9">
        <w:t xml:space="preserve"> </w:t>
      </w:r>
      <w:r w:rsidR="006E1FA9" w:rsidRPr="006E1FA9">
        <w:tab/>
      </w:r>
      <w:r w:rsidR="00E623A5" w:rsidRPr="006E1FA9">
        <w:t xml:space="preserve">Summary of occupations with a high degree of knowledge and skills </w:t>
      </w:r>
      <w:r w:rsidR="00C63A57">
        <w:br/>
      </w:r>
      <w:r w:rsidR="00E623A5" w:rsidRPr="006E1FA9">
        <w:t>in</w:t>
      </w:r>
      <w:r w:rsidR="00C63A57">
        <w:t xml:space="preserve"> </w:t>
      </w:r>
      <w:r w:rsidR="00E623A5" w:rsidRPr="006E1FA9">
        <w:t xml:space="preserve">the scientific and technology related occupations in descending </w:t>
      </w:r>
      <w:r w:rsidR="00C63A57">
        <w:br/>
      </w:r>
      <w:r w:rsidR="00E623A5" w:rsidRPr="00306EC1">
        <w:t>order (Rothwell 2013)</w:t>
      </w:r>
      <w:bookmarkEnd w:id="20"/>
    </w:p>
    <w:tbl>
      <w:tblPr>
        <w:tblStyle w:val="TableGrid"/>
        <w:tblW w:w="10314" w:type="dxa"/>
        <w:tblBorders>
          <w:insideH w:val="none" w:sz="0" w:space="0" w:color="auto"/>
        </w:tblBorders>
        <w:tblLook w:val="04A0" w:firstRow="1" w:lastRow="0" w:firstColumn="1" w:lastColumn="0" w:noHBand="0" w:noVBand="1"/>
      </w:tblPr>
      <w:tblGrid>
        <w:gridCol w:w="6629"/>
        <w:gridCol w:w="3685"/>
      </w:tblGrid>
      <w:tr w:rsidR="00E623A5" w:rsidRPr="00E623A5" w:rsidTr="00C63A57">
        <w:trPr>
          <w:gridAfter w:val="1"/>
          <w:wAfter w:w="3685" w:type="dxa"/>
        </w:trPr>
        <w:tc>
          <w:tcPr>
            <w:tcW w:w="6629" w:type="dxa"/>
            <w:tcBorders>
              <w:top w:val="single" w:sz="4" w:space="0" w:color="000000" w:themeColor="text1"/>
              <w:left w:val="nil"/>
              <w:bottom w:val="single" w:sz="4" w:space="0" w:color="auto"/>
              <w:right w:val="nil"/>
            </w:tcBorders>
          </w:tcPr>
          <w:p w:rsidR="00E623A5" w:rsidRPr="00E623A5" w:rsidRDefault="00E623A5" w:rsidP="00E623A5">
            <w:pPr>
              <w:spacing w:before="40" w:after="40" w:line="240" w:lineRule="auto"/>
              <w:rPr>
                <w:rFonts w:ascii="Tahoma" w:hAnsi="Tahoma"/>
                <w:b/>
                <w:sz w:val="16"/>
              </w:rPr>
            </w:pPr>
            <w:r w:rsidRPr="00E623A5">
              <w:rPr>
                <w:rFonts w:ascii="Tahoma" w:hAnsi="Tahoma"/>
                <w:b/>
                <w:sz w:val="16"/>
              </w:rPr>
              <w:t>Major group</w:t>
            </w:r>
            <w:r w:rsidR="00564380">
              <w:rPr>
                <w:rFonts w:ascii="Tahoma" w:hAnsi="Tahoma"/>
                <w:b/>
                <w:sz w:val="16"/>
              </w:rPr>
              <w:t xml:space="preserve"> occupational category</w:t>
            </w:r>
          </w:p>
        </w:tc>
      </w:tr>
      <w:tr w:rsidR="00E623A5" w:rsidRPr="00E623A5" w:rsidTr="00C63A57">
        <w:trPr>
          <w:gridAfter w:val="1"/>
          <w:wAfter w:w="3685" w:type="dxa"/>
        </w:trPr>
        <w:tc>
          <w:tcPr>
            <w:tcW w:w="6629" w:type="dxa"/>
            <w:tcBorders>
              <w:top w:val="single" w:sz="4" w:space="0" w:color="auto"/>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Architecture and engineering</w:t>
            </w:r>
          </w:p>
        </w:tc>
      </w:tr>
      <w:tr w:rsidR="00E623A5" w:rsidRPr="00E623A5" w:rsidTr="00C63A57">
        <w:tc>
          <w:tcPr>
            <w:tcW w:w="10314" w:type="dxa"/>
            <w:gridSpan w:val="2"/>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Life, physical and social science</w:t>
            </w:r>
          </w:p>
        </w:tc>
      </w:tr>
      <w:tr w:rsidR="00E623A5" w:rsidRPr="00E623A5" w:rsidTr="00C63A57">
        <w:trPr>
          <w:gridAfter w:val="1"/>
          <w:wAfter w:w="3685" w:type="dxa"/>
        </w:trPr>
        <w:tc>
          <w:tcPr>
            <w:tcW w:w="6629"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Healthcare practitioner and technical</w:t>
            </w:r>
          </w:p>
        </w:tc>
      </w:tr>
      <w:tr w:rsidR="00E623A5" w:rsidRPr="00E623A5" w:rsidTr="00C63A57">
        <w:trPr>
          <w:gridAfter w:val="1"/>
          <w:wAfter w:w="3685" w:type="dxa"/>
        </w:trPr>
        <w:tc>
          <w:tcPr>
            <w:tcW w:w="6629"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Computer and mathematical science</w:t>
            </w:r>
          </w:p>
        </w:tc>
      </w:tr>
      <w:tr w:rsidR="00E623A5" w:rsidRPr="00E623A5" w:rsidTr="00C63A57">
        <w:trPr>
          <w:gridAfter w:val="1"/>
          <w:wAfter w:w="3685" w:type="dxa"/>
        </w:trPr>
        <w:tc>
          <w:tcPr>
            <w:tcW w:w="6629"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Installation, maintenance and repair</w:t>
            </w:r>
          </w:p>
        </w:tc>
      </w:tr>
      <w:tr w:rsidR="00E623A5" w:rsidRPr="00E623A5" w:rsidTr="00C63A57">
        <w:trPr>
          <w:gridAfter w:val="1"/>
          <w:wAfter w:w="3685" w:type="dxa"/>
        </w:trPr>
        <w:tc>
          <w:tcPr>
            <w:tcW w:w="6629"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-Management</w:t>
            </w:r>
          </w:p>
        </w:tc>
      </w:tr>
      <w:tr w:rsidR="00E623A5" w:rsidRPr="00E623A5" w:rsidTr="00C63A57">
        <w:trPr>
          <w:gridAfter w:val="1"/>
          <w:wAfter w:w="3685" w:type="dxa"/>
        </w:trPr>
        <w:tc>
          <w:tcPr>
            <w:tcW w:w="6629" w:type="dxa"/>
            <w:tcBorders>
              <w:top w:val="nil"/>
              <w:left w:val="nil"/>
              <w:bottom w:val="single" w:sz="4" w:space="0" w:color="000000" w:themeColor="text1"/>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Construction and extraction</w:t>
            </w:r>
          </w:p>
        </w:tc>
      </w:tr>
    </w:tbl>
    <w:p w:rsidR="006E66F2" w:rsidRPr="00AE623A" w:rsidRDefault="006E66F2" w:rsidP="006E66F2">
      <w:pPr>
        <w:pStyle w:val="Heading3"/>
      </w:pPr>
      <w:r w:rsidRPr="00AE623A">
        <w:t>Occupational rankings</w:t>
      </w:r>
    </w:p>
    <w:p w:rsidR="006E66F2" w:rsidRDefault="006E66F2" w:rsidP="006E66F2">
      <w:pPr>
        <w:pStyle w:val="Text"/>
      </w:pPr>
      <w:r>
        <w:t>There is a high concentration of super-STEM jobs in architecture and engineering and sciences occupations – these are usually jobs that are associated with STEM in other reports like the UKCES report</w:t>
      </w:r>
      <w:r w:rsidR="00583E24">
        <w:t xml:space="preserve"> below</w:t>
      </w:r>
      <w:r>
        <w:t>. The table also reveals the specificity of some groups of occupations – like computer and mathematical science occupations which have a 100% share of high-STEM jobs, but only a 30% share of super-STEM jobs which suggests highly specific and narrow activities.</w:t>
      </w:r>
    </w:p>
    <w:p w:rsidR="006E66F2" w:rsidRDefault="00583E24" w:rsidP="006E1FA9">
      <w:pPr>
        <w:pStyle w:val="tabletitle"/>
      </w:pPr>
      <w:bookmarkStart w:id="21" w:name="_Toc461189264"/>
      <w:r>
        <w:t>Table 2</w:t>
      </w:r>
      <w:r w:rsidR="006E66F2">
        <w:t xml:space="preserve"> </w:t>
      </w:r>
      <w:r w:rsidR="006E1FA9">
        <w:tab/>
      </w:r>
      <w:r w:rsidR="006E66F2">
        <w:t>Ranking of major occupation groups according to various measures of STEM occupational parameters</w:t>
      </w:r>
      <w:bookmarkEnd w:id="21"/>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359"/>
        <w:gridCol w:w="1359"/>
        <w:gridCol w:w="1359"/>
        <w:gridCol w:w="1359"/>
        <w:gridCol w:w="1536"/>
      </w:tblGrid>
      <w:tr w:rsidR="006E66F2" w:rsidTr="00C63A57">
        <w:tc>
          <w:tcPr>
            <w:tcW w:w="1358" w:type="dxa"/>
            <w:tcBorders>
              <w:top w:val="single" w:sz="4" w:space="0" w:color="auto"/>
              <w:bottom w:val="single" w:sz="4" w:space="0" w:color="auto"/>
            </w:tcBorders>
          </w:tcPr>
          <w:p w:rsidR="006E66F2" w:rsidRDefault="006E66F2" w:rsidP="00F43A9B">
            <w:pPr>
              <w:pStyle w:val="Tablehead1"/>
            </w:pPr>
          </w:p>
        </w:tc>
        <w:tc>
          <w:tcPr>
            <w:tcW w:w="1359" w:type="dxa"/>
            <w:tcBorders>
              <w:top w:val="single" w:sz="4" w:space="0" w:color="auto"/>
              <w:bottom w:val="single" w:sz="4" w:space="0" w:color="auto"/>
            </w:tcBorders>
          </w:tcPr>
          <w:p w:rsidR="006E66F2" w:rsidRDefault="006E66F2" w:rsidP="00F43A9B">
            <w:pPr>
              <w:pStyle w:val="Tablehead1"/>
            </w:pPr>
            <w:r>
              <w:t>First</w:t>
            </w:r>
          </w:p>
        </w:tc>
        <w:tc>
          <w:tcPr>
            <w:tcW w:w="1359" w:type="dxa"/>
            <w:tcBorders>
              <w:top w:val="single" w:sz="4" w:space="0" w:color="auto"/>
              <w:bottom w:val="single" w:sz="4" w:space="0" w:color="auto"/>
            </w:tcBorders>
          </w:tcPr>
          <w:p w:rsidR="006E66F2" w:rsidRDefault="006E66F2" w:rsidP="00F43A9B">
            <w:pPr>
              <w:pStyle w:val="Tablehead1"/>
            </w:pPr>
            <w:r>
              <w:t>Second</w:t>
            </w:r>
          </w:p>
        </w:tc>
        <w:tc>
          <w:tcPr>
            <w:tcW w:w="1359" w:type="dxa"/>
            <w:tcBorders>
              <w:top w:val="single" w:sz="4" w:space="0" w:color="auto"/>
              <w:bottom w:val="single" w:sz="4" w:space="0" w:color="auto"/>
            </w:tcBorders>
          </w:tcPr>
          <w:p w:rsidR="006E66F2" w:rsidRDefault="006E66F2" w:rsidP="00F43A9B">
            <w:pPr>
              <w:pStyle w:val="Tablehead1"/>
            </w:pPr>
            <w:r>
              <w:t>Third</w:t>
            </w:r>
          </w:p>
        </w:tc>
        <w:tc>
          <w:tcPr>
            <w:tcW w:w="1359" w:type="dxa"/>
            <w:tcBorders>
              <w:top w:val="single" w:sz="4" w:space="0" w:color="auto"/>
              <w:bottom w:val="single" w:sz="4" w:space="0" w:color="auto"/>
            </w:tcBorders>
          </w:tcPr>
          <w:p w:rsidR="006E66F2" w:rsidRDefault="006E66F2" w:rsidP="00F43A9B">
            <w:pPr>
              <w:pStyle w:val="Tablehead1"/>
            </w:pPr>
            <w:r>
              <w:t>Fourth</w:t>
            </w:r>
          </w:p>
        </w:tc>
        <w:tc>
          <w:tcPr>
            <w:tcW w:w="1536" w:type="dxa"/>
            <w:tcBorders>
              <w:top w:val="single" w:sz="4" w:space="0" w:color="auto"/>
              <w:bottom w:val="single" w:sz="4" w:space="0" w:color="auto"/>
            </w:tcBorders>
          </w:tcPr>
          <w:p w:rsidR="006E66F2" w:rsidRDefault="006E66F2" w:rsidP="00F43A9B">
            <w:pPr>
              <w:pStyle w:val="Tablehead1"/>
            </w:pPr>
            <w:r>
              <w:t>Fifth</w:t>
            </w:r>
          </w:p>
        </w:tc>
      </w:tr>
      <w:tr w:rsidR="006E66F2" w:rsidTr="00C63A57">
        <w:tc>
          <w:tcPr>
            <w:tcW w:w="1358" w:type="dxa"/>
            <w:tcBorders>
              <w:top w:val="single" w:sz="4" w:space="0" w:color="auto"/>
            </w:tcBorders>
          </w:tcPr>
          <w:p w:rsidR="006E66F2" w:rsidRDefault="006E66F2" w:rsidP="00F43A9B">
            <w:pPr>
              <w:pStyle w:val="Tabletext"/>
            </w:pPr>
            <w:r>
              <w:t>STEM score</w:t>
            </w:r>
          </w:p>
        </w:tc>
        <w:tc>
          <w:tcPr>
            <w:tcW w:w="1359" w:type="dxa"/>
            <w:tcBorders>
              <w:top w:val="single" w:sz="4" w:space="0" w:color="auto"/>
            </w:tcBorders>
          </w:tcPr>
          <w:p w:rsidR="006E66F2" w:rsidRDefault="006E66F2" w:rsidP="00F43A9B">
            <w:pPr>
              <w:pStyle w:val="Tabletext"/>
            </w:pPr>
            <w:r>
              <w:t>Architecture and engineering</w:t>
            </w:r>
          </w:p>
        </w:tc>
        <w:tc>
          <w:tcPr>
            <w:tcW w:w="1359" w:type="dxa"/>
            <w:tcBorders>
              <w:top w:val="single" w:sz="4" w:space="0" w:color="auto"/>
            </w:tcBorders>
          </w:tcPr>
          <w:p w:rsidR="006E66F2" w:rsidRDefault="006E66F2" w:rsidP="00F43A9B">
            <w:pPr>
              <w:pStyle w:val="Tabletext"/>
            </w:pPr>
            <w:r>
              <w:t>Life, physical and social science</w:t>
            </w:r>
          </w:p>
        </w:tc>
        <w:tc>
          <w:tcPr>
            <w:tcW w:w="1359" w:type="dxa"/>
            <w:tcBorders>
              <w:top w:val="single" w:sz="4" w:space="0" w:color="auto"/>
            </w:tcBorders>
          </w:tcPr>
          <w:p w:rsidR="006E66F2" w:rsidRDefault="006E66F2" w:rsidP="00F43A9B">
            <w:pPr>
              <w:pStyle w:val="Tabletext"/>
            </w:pPr>
            <w:r>
              <w:t>Healthcare practitioner and technical</w:t>
            </w:r>
          </w:p>
        </w:tc>
        <w:tc>
          <w:tcPr>
            <w:tcW w:w="1359" w:type="dxa"/>
            <w:tcBorders>
              <w:top w:val="single" w:sz="4" w:space="0" w:color="auto"/>
            </w:tcBorders>
          </w:tcPr>
          <w:p w:rsidR="006E66F2" w:rsidRDefault="006E66F2" w:rsidP="00F43A9B">
            <w:pPr>
              <w:pStyle w:val="Tabletext"/>
            </w:pPr>
            <w:r>
              <w:t>Computer and mathematical science</w:t>
            </w:r>
          </w:p>
        </w:tc>
        <w:tc>
          <w:tcPr>
            <w:tcW w:w="1536" w:type="dxa"/>
            <w:tcBorders>
              <w:top w:val="single" w:sz="4" w:space="0" w:color="auto"/>
            </w:tcBorders>
          </w:tcPr>
          <w:p w:rsidR="006E66F2" w:rsidRDefault="006E66F2" w:rsidP="00F43A9B">
            <w:pPr>
              <w:pStyle w:val="Tabletext"/>
            </w:pPr>
            <w:r>
              <w:t>Installation, maintenance and repair</w:t>
            </w:r>
          </w:p>
        </w:tc>
      </w:tr>
      <w:tr w:rsidR="006E66F2" w:rsidTr="00C63A57">
        <w:tc>
          <w:tcPr>
            <w:tcW w:w="1358" w:type="dxa"/>
          </w:tcPr>
          <w:p w:rsidR="006E66F2" w:rsidRDefault="006E66F2" w:rsidP="00F43A9B">
            <w:pPr>
              <w:pStyle w:val="Tabletext"/>
            </w:pPr>
            <w:r>
              <w:t>High-STEM job share</w:t>
            </w:r>
          </w:p>
        </w:tc>
        <w:tc>
          <w:tcPr>
            <w:tcW w:w="2718" w:type="dxa"/>
            <w:gridSpan w:val="2"/>
          </w:tcPr>
          <w:p w:rsidR="006E66F2" w:rsidRDefault="006E66F2" w:rsidP="00F43A9B">
            <w:pPr>
              <w:pStyle w:val="Tabletext"/>
            </w:pPr>
            <w:r>
              <w:t>Architecture and engineering and computer and mathematical science</w:t>
            </w:r>
          </w:p>
        </w:tc>
        <w:tc>
          <w:tcPr>
            <w:tcW w:w="1359" w:type="dxa"/>
          </w:tcPr>
          <w:p w:rsidR="006E66F2" w:rsidRDefault="006E66F2" w:rsidP="00F43A9B">
            <w:pPr>
              <w:pStyle w:val="Tabletext"/>
            </w:pPr>
            <w:r>
              <w:t>Life, physical and social science</w:t>
            </w:r>
          </w:p>
        </w:tc>
        <w:tc>
          <w:tcPr>
            <w:tcW w:w="1359" w:type="dxa"/>
          </w:tcPr>
          <w:p w:rsidR="006E66F2" w:rsidRDefault="006E66F2" w:rsidP="00F43A9B">
            <w:pPr>
              <w:pStyle w:val="Tabletext"/>
            </w:pPr>
            <w:r>
              <w:t>Healthcare practitioner and technical</w:t>
            </w:r>
          </w:p>
        </w:tc>
        <w:tc>
          <w:tcPr>
            <w:tcW w:w="1536" w:type="dxa"/>
          </w:tcPr>
          <w:p w:rsidR="006E66F2" w:rsidRDefault="006E66F2" w:rsidP="00F43A9B">
            <w:pPr>
              <w:pStyle w:val="Tabletext"/>
            </w:pPr>
            <w:r>
              <w:t>Installation, maintenance and repair</w:t>
            </w:r>
          </w:p>
        </w:tc>
      </w:tr>
      <w:tr w:rsidR="006E66F2" w:rsidTr="00C63A57">
        <w:tc>
          <w:tcPr>
            <w:tcW w:w="1358" w:type="dxa"/>
          </w:tcPr>
          <w:p w:rsidR="006E66F2" w:rsidRDefault="006E66F2" w:rsidP="00F43A9B">
            <w:pPr>
              <w:pStyle w:val="Tabletext"/>
            </w:pPr>
            <w:r>
              <w:t>Super-STEM job share</w:t>
            </w:r>
          </w:p>
        </w:tc>
        <w:tc>
          <w:tcPr>
            <w:tcW w:w="1359" w:type="dxa"/>
          </w:tcPr>
          <w:p w:rsidR="006E66F2" w:rsidRDefault="006E66F2" w:rsidP="00F43A9B">
            <w:pPr>
              <w:pStyle w:val="Tabletext"/>
            </w:pPr>
            <w:r>
              <w:t>Architecture and engineering</w:t>
            </w:r>
          </w:p>
        </w:tc>
        <w:tc>
          <w:tcPr>
            <w:tcW w:w="1359" w:type="dxa"/>
          </w:tcPr>
          <w:p w:rsidR="006E66F2" w:rsidRDefault="006E66F2" w:rsidP="00F43A9B">
            <w:pPr>
              <w:pStyle w:val="Tabletext"/>
            </w:pPr>
            <w:r>
              <w:t>Life, physical and social science</w:t>
            </w:r>
          </w:p>
        </w:tc>
        <w:tc>
          <w:tcPr>
            <w:tcW w:w="1359" w:type="dxa"/>
          </w:tcPr>
          <w:p w:rsidR="006E66F2" w:rsidRDefault="006E66F2" w:rsidP="00F43A9B">
            <w:pPr>
              <w:pStyle w:val="Tabletext"/>
            </w:pPr>
            <w:r>
              <w:t>Installation, maintenance and repair</w:t>
            </w:r>
          </w:p>
        </w:tc>
        <w:tc>
          <w:tcPr>
            <w:tcW w:w="1359" w:type="dxa"/>
          </w:tcPr>
          <w:p w:rsidR="006E66F2" w:rsidRDefault="006E66F2" w:rsidP="00F43A9B">
            <w:pPr>
              <w:pStyle w:val="Tabletext"/>
            </w:pPr>
            <w:r>
              <w:t>Computer and mathematical science</w:t>
            </w:r>
          </w:p>
        </w:tc>
        <w:tc>
          <w:tcPr>
            <w:tcW w:w="1536" w:type="dxa"/>
          </w:tcPr>
          <w:p w:rsidR="006E66F2" w:rsidRDefault="006E66F2" w:rsidP="00F43A9B">
            <w:pPr>
              <w:pStyle w:val="Tabletext"/>
            </w:pPr>
            <w:r>
              <w:t>Healthcare practitioner and technical</w:t>
            </w:r>
          </w:p>
        </w:tc>
      </w:tr>
      <w:tr w:rsidR="006E66F2" w:rsidTr="00C63A57">
        <w:tc>
          <w:tcPr>
            <w:tcW w:w="1358" w:type="dxa"/>
          </w:tcPr>
          <w:p w:rsidR="006E66F2" w:rsidRDefault="006E66F2" w:rsidP="00F43A9B">
            <w:pPr>
              <w:pStyle w:val="Tabletext"/>
            </w:pPr>
            <w:r>
              <w:t>High- to super-STEM ratio</w:t>
            </w:r>
          </w:p>
        </w:tc>
        <w:tc>
          <w:tcPr>
            <w:tcW w:w="1359" w:type="dxa"/>
          </w:tcPr>
          <w:p w:rsidR="006E66F2" w:rsidRDefault="006E66F2" w:rsidP="00F43A9B">
            <w:pPr>
              <w:pStyle w:val="Tabletext"/>
            </w:pPr>
            <w:r>
              <w:t>Architecture and engineering</w:t>
            </w:r>
          </w:p>
        </w:tc>
        <w:tc>
          <w:tcPr>
            <w:tcW w:w="1359" w:type="dxa"/>
          </w:tcPr>
          <w:p w:rsidR="006E66F2" w:rsidRDefault="006E66F2" w:rsidP="00F43A9B">
            <w:pPr>
              <w:pStyle w:val="Tabletext"/>
            </w:pPr>
            <w:r>
              <w:t>Life, physical and social science</w:t>
            </w:r>
          </w:p>
        </w:tc>
        <w:tc>
          <w:tcPr>
            <w:tcW w:w="1359" w:type="dxa"/>
          </w:tcPr>
          <w:p w:rsidR="006E66F2" w:rsidRDefault="006E66F2" w:rsidP="00F43A9B">
            <w:pPr>
              <w:pStyle w:val="Tabletext"/>
            </w:pPr>
            <w:r>
              <w:t>Education, training and library</w:t>
            </w:r>
          </w:p>
        </w:tc>
        <w:tc>
          <w:tcPr>
            <w:tcW w:w="1359" w:type="dxa"/>
          </w:tcPr>
          <w:p w:rsidR="006E66F2" w:rsidRDefault="006E66F2" w:rsidP="00F43A9B">
            <w:pPr>
              <w:pStyle w:val="Tabletext"/>
            </w:pPr>
            <w:r>
              <w:t>Installation, maintenance and repair</w:t>
            </w:r>
          </w:p>
        </w:tc>
        <w:tc>
          <w:tcPr>
            <w:tcW w:w="1536" w:type="dxa"/>
          </w:tcPr>
          <w:p w:rsidR="006E66F2" w:rsidRDefault="006E66F2" w:rsidP="00F43A9B">
            <w:pPr>
              <w:pStyle w:val="Tabletext"/>
            </w:pPr>
            <w:r>
              <w:t>Management</w:t>
            </w:r>
          </w:p>
        </w:tc>
      </w:tr>
      <w:tr w:rsidR="006E66F2" w:rsidTr="00C63A57">
        <w:tc>
          <w:tcPr>
            <w:tcW w:w="1358" w:type="dxa"/>
          </w:tcPr>
          <w:p w:rsidR="006E66F2" w:rsidRDefault="006E66F2" w:rsidP="00F43A9B">
            <w:pPr>
              <w:pStyle w:val="Tabletext"/>
            </w:pPr>
            <w:r>
              <w:t>Share of all high-STEM jobs</w:t>
            </w:r>
          </w:p>
        </w:tc>
        <w:tc>
          <w:tcPr>
            <w:tcW w:w="1359" w:type="dxa"/>
          </w:tcPr>
          <w:p w:rsidR="006E66F2" w:rsidRDefault="006E66F2" w:rsidP="00F43A9B">
            <w:pPr>
              <w:pStyle w:val="Tabletext"/>
            </w:pPr>
            <w:r>
              <w:t>Healthcare practitioner and technical</w:t>
            </w:r>
          </w:p>
        </w:tc>
        <w:tc>
          <w:tcPr>
            <w:tcW w:w="1359" w:type="dxa"/>
          </w:tcPr>
          <w:p w:rsidR="006E66F2" w:rsidRDefault="006E66F2" w:rsidP="00F43A9B">
            <w:pPr>
              <w:pStyle w:val="Tabletext"/>
            </w:pPr>
            <w:r>
              <w:t>Computer and mathematical science</w:t>
            </w:r>
          </w:p>
        </w:tc>
        <w:tc>
          <w:tcPr>
            <w:tcW w:w="2718" w:type="dxa"/>
            <w:gridSpan w:val="2"/>
          </w:tcPr>
          <w:p w:rsidR="006E66F2" w:rsidRDefault="006E66F2" w:rsidP="00F43A9B">
            <w:pPr>
              <w:pStyle w:val="Tabletext"/>
            </w:pPr>
            <w:r>
              <w:t>Business and financial operations and installation, maintenance and repair</w:t>
            </w:r>
          </w:p>
        </w:tc>
        <w:tc>
          <w:tcPr>
            <w:tcW w:w="1536" w:type="dxa"/>
          </w:tcPr>
          <w:p w:rsidR="006E66F2" w:rsidRDefault="006E66F2" w:rsidP="00F43A9B">
            <w:pPr>
              <w:pStyle w:val="Tabletext"/>
            </w:pPr>
            <w:r>
              <w:t>Architecture and engineering</w:t>
            </w:r>
          </w:p>
        </w:tc>
      </w:tr>
      <w:tr w:rsidR="006E66F2" w:rsidTr="00C63A57">
        <w:tc>
          <w:tcPr>
            <w:tcW w:w="1358" w:type="dxa"/>
          </w:tcPr>
          <w:p w:rsidR="006E66F2" w:rsidRDefault="006E66F2" w:rsidP="00F43A9B">
            <w:pPr>
              <w:pStyle w:val="Tabletext"/>
            </w:pPr>
            <w:r>
              <w:t>Share of all super-STEM jobs</w:t>
            </w:r>
          </w:p>
        </w:tc>
        <w:tc>
          <w:tcPr>
            <w:tcW w:w="2718" w:type="dxa"/>
            <w:gridSpan w:val="2"/>
          </w:tcPr>
          <w:p w:rsidR="006E66F2" w:rsidRDefault="006E66F2" w:rsidP="00F43A9B">
            <w:pPr>
              <w:pStyle w:val="Tabletext"/>
            </w:pPr>
            <w:r>
              <w:t>Architecture and engineering and healthcare practitioner and technical</w:t>
            </w:r>
          </w:p>
        </w:tc>
        <w:tc>
          <w:tcPr>
            <w:tcW w:w="1359" w:type="dxa"/>
          </w:tcPr>
          <w:p w:rsidR="006E66F2" w:rsidRDefault="006E66F2" w:rsidP="00F43A9B">
            <w:pPr>
              <w:pStyle w:val="Tabletext"/>
            </w:pPr>
            <w:r>
              <w:t>Installation, maintenance and repair</w:t>
            </w:r>
          </w:p>
        </w:tc>
        <w:tc>
          <w:tcPr>
            <w:tcW w:w="1359" w:type="dxa"/>
          </w:tcPr>
          <w:p w:rsidR="006E66F2" w:rsidRDefault="006E66F2" w:rsidP="00F43A9B">
            <w:pPr>
              <w:pStyle w:val="Tabletext"/>
            </w:pPr>
            <w:r>
              <w:t>Computer and mathematical science</w:t>
            </w:r>
          </w:p>
        </w:tc>
        <w:tc>
          <w:tcPr>
            <w:tcW w:w="1536" w:type="dxa"/>
          </w:tcPr>
          <w:p w:rsidR="006E66F2" w:rsidRDefault="006E66F2" w:rsidP="00F43A9B">
            <w:pPr>
              <w:pStyle w:val="Tabletext"/>
            </w:pPr>
            <w:r>
              <w:t>Life, physical and social science and management</w:t>
            </w:r>
          </w:p>
        </w:tc>
      </w:tr>
    </w:tbl>
    <w:p w:rsidR="006E66F2" w:rsidRDefault="006E66F2" w:rsidP="006E66F2">
      <w:pPr>
        <w:pStyle w:val="Source"/>
      </w:pPr>
      <w:r>
        <w:t xml:space="preserve">Source: </w:t>
      </w:r>
      <w:r w:rsidR="00C63A57">
        <w:tab/>
      </w:r>
      <w:r w:rsidR="00C63A57">
        <w:tab/>
      </w:r>
      <w:r>
        <w:t>Rothwell 2013, p.10</w:t>
      </w:r>
    </w:p>
    <w:p w:rsidR="006E66F2" w:rsidRPr="00380A2B" w:rsidRDefault="006E66F2" w:rsidP="00C63A57">
      <w:pPr>
        <w:pStyle w:val="Source"/>
        <w:ind w:left="709" w:hanging="709"/>
      </w:pPr>
      <w:r>
        <w:t xml:space="preserve">Note: </w:t>
      </w:r>
      <w:r w:rsidR="00C63A57">
        <w:tab/>
      </w:r>
      <w:r w:rsidR="00C63A57">
        <w:tab/>
      </w:r>
      <w:r>
        <w:t>high- to super-STEM ratio is based on the authors’ calculation of the ratio between high-ST</w:t>
      </w:r>
      <w:r w:rsidR="00583E24">
        <w:t xml:space="preserve">EM job share and </w:t>
      </w:r>
      <w:r w:rsidR="00C63A57">
        <w:br/>
      </w:r>
      <w:r w:rsidR="00583E24">
        <w:t xml:space="preserve">super-STEM job </w:t>
      </w:r>
      <w:r>
        <w:t>share.</w:t>
      </w:r>
    </w:p>
    <w:p w:rsidR="0047778D" w:rsidRPr="00134055" w:rsidRDefault="0047778D" w:rsidP="0047778D">
      <w:pPr>
        <w:pStyle w:val="Heading3"/>
      </w:pPr>
      <w:r w:rsidRPr="00134055">
        <w:t>Geographical application</w:t>
      </w:r>
    </w:p>
    <w:p w:rsidR="0047778D" w:rsidRDefault="0047778D" w:rsidP="0047778D">
      <w:pPr>
        <w:pStyle w:val="Text"/>
      </w:pPr>
      <w:r>
        <w:t xml:space="preserve">The Brookings report also conducted a geographic analysis of the occupation data. Looking at the 100 largest metropolitan areas, it noted that the range of STEM job share for jobs that required less than a bachelor’s degree was narrower than those required a bachelor’s degree or higher. The share of non-bachelor’s degree jobs in metropolitan areas ranged from 7% to 13%, whereas the share of bachelor’s degree jobs ranged from 4% to 24%. </w:t>
      </w:r>
    </w:p>
    <w:p w:rsidR="0047778D" w:rsidRDefault="0047778D" w:rsidP="0047778D">
      <w:pPr>
        <w:pStyle w:val="Text"/>
      </w:pPr>
      <w:r>
        <w:t xml:space="preserve">The report explained this by suggesting that “mechanics and nurses” are needed wherever there is a large concentration of people, but “scientists, engineers and computer workers” tend to be servicing export markets and clustered in certain locations (Rothwell 2013, p.14). For example, people need </w:t>
      </w:r>
      <w:r>
        <w:lastRenderedPageBreak/>
        <w:t>access to healthcare near where they live, but technology focused enterprises often cluster together in places like Silicon Valley.</w:t>
      </w:r>
    </w:p>
    <w:p w:rsidR="00E623A5" w:rsidRPr="00E623A5" w:rsidRDefault="00E623A5" w:rsidP="00E623A5">
      <w:pPr>
        <w:keepNext/>
        <w:outlineLvl w:val="4"/>
        <w:rPr>
          <w:rFonts w:ascii="Tahoma" w:hAnsi="Tahoma"/>
          <w:b/>
        </w:rPr>
      </w:pPr>
    </w:p>
    <w:p w:rsidR="00E623A5" w:rsidRPr="00E623A5" w:rsidRDefault="00E623A5" w:rsidP="00AA170F">
      <w:pPr>
        <w:pStyle w:val="Heading2"/>
      </w:pPr>
      <w:bookmarkStart w:id="22" w:name="_Toc461188878"/>
      <w:r w:rsidRPr="00E623A5">
        <w:t>Case 2: UK Commission for Employment and Skills</w:t>
      </w:r>
      <w:bookmarkEnd w:id="22"/>
    </w:p>
    <w:p w:rsidR="00E623A5" w:rsidRPr="00E623A5" w:rsidRDefault="00E623A5" w:rsidP="00E623A5">
      <w:pPr>
        <w:spacing w:line="300" w:lineRule="exact"/>
        <w:ind w:right="-1"/>
      </w:pPr>
      <w:r w:rsidRPr="00E623A5">
        <w:t xml:space="preserve">A similar but more comprehensive approach was used by the UK Commission for Employment and </w:t>
      </w:r>
      <w:r w:rsidRPr="00EB6AB2">
        <w:t>Skills (UKCES) 2015),</w:t>
      </w:r>
      <w:r w:rsidRPr="00E623A5">
        <w:t xml:space="preserve"> which recently produced a report titled </w:t>
      </w:r>
      <w:r w:rsidRPr="00E623A5">
        <w:rPr>
          <w:i/>
        </w:rPr>
        <w:t>Reviewing the requirement for high level STEM skills</w:t>
      </w:r>
      <w:r w:rsidR="00166090">
        <w:t xml:space="preserve"> (table 3</w:t>
      </w:r>
      <w:r w:rsidRPr="00E623A5">
        <w:t xml:space="preserve">). </w:t>
      </w:r>
    </w:p>
    <w:p w:rsidR="00E623A5" w:rsidRPr="00E623A5" w:rsidRDefault="00564380" w:rsidP="006E1FA9">
      <w:pPr>
        <w:pStyle w:val="tabletitle"/>
      </w:pPr>
      <w:bookmarkStart w:id="23" w:name="_Toc461189265"/>
      <w:r>
        <w:t xml:space="preserve">Table </w:t>
      </w:r>
      <w:r w:rsidR="00166090">
        <w:t>3</w:t>
      </w:r>
      <w:r w:rsidR="00E623A5" w:rsidRPr="00E623A5">
        <w:t>:</w:t>
      </w:r>
      <w:r w:rsidR="00E623A5" w:rsidRPr="00E623A5">
        <w:tab/>
        <w:t>Definition of STEM disciplines in the UKCES report</w:t>
      </w:r>
      <w:bookmarkEnd w:id="23"/>
      <w:r w:rsidR="00E623A5" w:rsidRPr="00E623A5">
        <w:tab/>
      </w:r>
    </w:p>
    <w:tbl>
      <w:tblPr>
        <w:tblStyle w:val="TableGrid"/>
        <w:tblW w:w="0" w:type="auto"/>
        <w:tblLook w:val="04A0" w:firstRow="1" w:lastRow="0" w:firstColumn="1" w:lastColumn="0" w:noHBand="0" w:noVBand="1"/>
      </w:tblPr>
      <w:tblGrid>
        <w:gridCol w:w="4502"/>
        <w:gridCol w:w="4502"/>
      </w:tblGrid>
      <w:tr w:rsidR="00E623A5" w:rsidRPr="00E623A5" w:rsidTr="00C63A57">
        <w:tc>
          <w:tcPr>
            <w:tcW w:w="4502" w:type="dxa"/>
            <w:tcBorders>
              <w:left w:val="nil"/>
              <w:bottom w:val="single" w:sz="4" w:space="0" w:color="000000" w:themeColor="text1"/>
              <w:right w:val="nil"/>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STEM disciplines</w:t>
            </w:r>
          </w:p>
        </w:tc>
        <w:tc>
          <w:tcPr>
            <w:tcW w:w="4502" w:type="dxa"/>
            <w:tcBorders>
              <w:left w:val="nil"/>
              <w:bottom w:val="single" w:sz="4" w:space="0" w:color="000000" w:themeColor="text1"/>
              <w:right w:val="nil"/>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Non-STEM disciplines</w:t>
            </w:r>
          </w:p>
        </w:tc>
      </w:tr>
      <w:tr w:rsidR="00E623A5" w:rsidRPr="00E623A5" w:rsidTr="00C63A57">
        <w:tc>
          <w:tcPr>
            <w:tcW w:w="4502" w:type="dxa"/>
            <w:tcBorders>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Medicine and dentistry</w:t>
            </w:r>
          </w:p>
        </w:tc>
        <w:tc>
          <w:tcPr>
            <w:tcW w:w="4502" w:type="dxa"/>
            <w:tcBorders>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Social studies</w:t>
            </w:r>
          </w:p>
        </w:tc>
      </w:tr>
      <w:tr w:rsidR="00E623A5" w:rsidRPr="00E623A5" w:rsidTr="00C63A57">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Subjects allied to medicine</w:t>
            </w:r>
          </w:p>
        </w:tc>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Law</w:t>
            </w:r>
          </w:p>
        </w:tc>
      </w:tr>
      <w:tr w:rsidR="00E623A5" w:rsidRPr="00E623A5" w:rsidTr="00C63A57">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Biological sciences</w:t>
            </w:r>
          </w:p>
        </w:tc>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Business and administrative studies</w:t>
            </w:r>
          </w:p>
        </w:tc>
      </w:tr>
      <w:tr w:rsidR="00E623A5" w:rsidRPr="00E623A5" w:rsidTr="00C63A57">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Veterinary science, agriculture and related subjects</w:t>
            </w:r>
          </w:p>
        </w:tc>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Mass communication and documentation</w:t>
            </w:r>
          </w:p>
        </w:tc>
      </w:tr>
      <w:tr w:rsidR="00E623A5" w:rsidRPr="00E623A5" w:rsidTr="00C63A57">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Physical sciences</w:t>
            </w:r>
          </w:p>
        </w:tc>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Linguistics, classics and related subjects</w:t>
            </w:r>
          </w:p>
        </w:tc>
      </w:tr>
      <w:tr w:rsidR="00E623A5" w:rsidRPr="00E623A5" w:rsidTr="00C63A57">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Mathematical and computer sciences</w:t>
            </w:r>
          </w:p>
        </w:tc>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European language, literature and related subjects</w:t>
            </w:r>
          </w:p>
        </w:tc>
      </w:tr>
      <w:tr w:rsidR="00E623A5" w:rsidRPr="00E623A5" w:rsidTr="00C63A57">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Engineering</w:t>
            </w:r>
          </w:p>
        </w:tc>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East, Asiatic, African, American and Australian languages, literature</w:t>
            </w:r>
          </w:p>
        </w:tc>
      </w:tr>
      <w:tr w:rsidR="00E623A5" w:rsidRPr="00E623A5" w:rsidTr="00C63A57">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Technologies</w:t>
            </w:r>
          </w:p>
        </w:tc>
        <w:tc>
          <w:tcPr>
            <w:tcW w:w="45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Historical and philosophical studies</w:t>
            </w:r>
          </w:p>
        </w:tc>
      </w:tr>
      <w:tr w:rsidR="00E623A5" w:rsidRPr="00E623A5" w:rsidTr="00C63A57">
        <w:tc>
          <w:tcPr>
            <w:tcW w:w="4502" w:type="dxa"/>
            <w:tcBorders>
              <w:top w:val="nil"/>
              <w:left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Architecture, building and planning</w:t>
            </w:r>
          </w:p>
        </w:tc>
        <w:tc>
          <w:tcPr>
            <w:tcW w:w="4502" w:type="dxa"/>
            <w:tcBorders>
              <w:top w:val="nil"/>
              <w:left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Creative arts and design</w:t>
            </w:r>
          </w:p>
        </w:tc>
      </w:tr>
    </w:tbl>
    <w:p w:rsidR="00E623A5" w:rsidRPr="00E623A5" w:rsidRDefault="00E623A5" w:rsidP="00E623A5">
      <w:pPr>
        <w:tabs>
          <w:tab w:val="left" w:pos="1418"/>
        </w:tabs>
        <w:spacing w:before="0" w:line="220" w:lineRule="exact"/>
        <w:ind w:left="170" w:right="-1" w:hanging="170"/>
        <w:rPr>
          <w:sz w:val="16"/>
        </w:rPr>
      </w:pPr>
      <w:r w:rsidRPr="00E623A5">
        <w:rPr>
          <w:sz w:val="16"/>
        </w:rPr>
        <w:t>Note: Subject area of qualification is based on that used by the Office for National Statistics in the Labour Force Survey.</w:t>
      </w:r>
    </w:p>
    <w:p w:rsidR="00E623A5" w:rsidRPr="00E623A5" w:rsidRDefault="00E623A5" w:rsidP="00E623A5">
      <w:pPr>
        <w:tabs>
          <w:tab w:val="left" w:pos="1418"/>
        </w:tabs>
        <w:spacing w:before="0" w:line="220" w:lineRule="exact"/>
        <w:ind w:left="170" w:right="-1" w:hanging="170"/>
        <w:rPr>
          <w:sz w:val="16"/>
        </w:rPr>
      </w:pPr>
      <w:r w:rsidRPr="00E623A5">
        <w:rPr>
          <w:sz w:val="16"/>
        </w:rPr>
        <w:t>Source: UK Commission o</w:t>
      </w:r>
      <w:r w:rsidR="00AA170F">
        <w:rPr>
          <w:sz w:val="16"/>
        </w:rPr>
        <w:t>n Skills and Employment (2015).</w:t>
      </w:r>
    </w:p>
    <w:p w:rsidR="00E623A5" w:rsidRPr="00E623A5" w:rsidRDefault="00E623A5" w:rsidP="00E623A5">
      <w:pPr>
        <w:spacing w:line="300" w:lineRule="exact"/>
        <w:ind w:right="-1"/>
      </w:pPr>
      <w:r w:rsidRPr="00E623A5">
        <w:t>The Commission for Employment and Skills report recognised that the level of STEM-qualified people in an occupation is not necessarily directly linked to the specific STEM skills requirements of that occupation. In particular, it noted that if there are relatively high wages on offer capable workers who incidentally have STEM qualifications may be attracted (UK Commission for Employment and Skills 2015).</w:t>
      </w:r>
    </w:p>
    <w:p w:rsidR="00E623A5" w:rsidRPr="00E623A5" w:rsidRDefault="00E623A5" w:rsidP="00E623A5">
      <w:pPr>
        <w:spacing w:line="300" w:lineRule="exact"/>
        <w:ind w:right="-1"/>
      </w:pPr>
      <w:r w:rsidRPr="00E623A5">
        <w:t>The report identified STEM occupations by using data in two dimensions. One dimension was the proportion of workers in each occupation who had a STEM qualification (</w:t>
      </w:r>
      <w:r w:rsidR="00564380">
        <w:t>according to the list in table 2</w:t>
      </w:r>
      <w:r w:rsidRPr="00E623A5">
        <w:t xml:space="preserve">). The other dimension was an index for ‘Numeracy and problem-solving’ based on data from the UK Skills and Employment Survey to provide a measure of the use of additional STEM base skills in each </w:t>
      </w:r>
      <w:r w:rsidRPr="00EB6AB2">
        <w:t>occupation (UK Commission for Employment and Skills 2015).</w:t>
      </w:r>
    </w:p>
    <w:p w:rsidR="00E623A5" w:rsidRPr="00E623A5" w:rsidRDefault="00E623A5" w:rsidP="00E623A5">
      <w:pPr>
        <w:spacing w:line="300" w:lineRule="exact"/>
        <w:ind w:right="-1"/>
      </w:pPr>
      <w:r w:rsidRPr="00E623A5">
        <w:t xml:space="preserve">Using a cluster analysis, STEM and non-STEM clusters were identified and narrowed down by logic based filtering approach. </w:t>
      </w:r>
    </w:p>
    <w:p w:rsidR="00E623A5" w:rsidRPr="00E623A5" w:rsidRDefault="00E623A5" w:rsidP="00E623A5">
      <w:pPr>
        <w:spacing w:line="300" w:lineRule="exact"/>
        <w:ind w:right="-1"/>
      </w:pPr>
      <w:r w:rsidRPr="00E623A5">
        <w:t xml:space="preserve">The issues with this approach are firstly the assumption that people are in particular jobs because of their (highest) qualification, secondly the selection of occupations based on a dichotomous (STEM/non STEM) rather than continuous index (degree of STEM skills) and thirdly the initial pre-selection of the fields of education for investigation. </w:t>
      </w:r>
    </w:p>
    <w:p w:rsidR="00E623A5" w:rsidRPr="00E623A5" w:rsidRDefault="00E623A5" w:rsidP="00E623A5">
      <w:pPr>
        <w:spacing w:line="300" w:lineRule="exact"/>
        <w:ind w:right="-1"/>
      </w:pPr>
      <w:r w:rsidRPr="00E623A5">
        <w:t>The cluster analysis produces a binary classification of STEM and non-STEM occupations, which has the potential to create artificial boundaries between occupations and obscure the relative differences between occupations within those groups. The fields covering health, architecture and building, management and business and economics were not considered to be STEM fields so occupations in these areas are largely abse</w:t>
      </w:r>
      <w:r w:rsidR="00166090">
        <w:t>nt from the final list (table 4</w:t>
      </w:r>
      <w:r w:rsidRPr="00E623A5">
        <w:t>).</w:t>
      </w:r>
    </w:p>
    <w:p w:rsidR="00E623A5" w:rsidRPr="00E623A5" w:rsidRDefault="00E623A5" w:rsidP="006E1FA9">
      <w:pPr>
        <w:pStyle w:val="tabletitle"/>
      </w:pPr>
      <w:bookmarkStart w:id="24" w:name="_Toc461189266"/>
      <w:r w:rsidRPr="00E623A5">
        <w:lastRenderedPageBreak/>
        <w:t xml:space="preserve">Table </w:t>
      </w:r>
      <w:r w:rsidR="00166090">
        <w:t>4</w:t>
      </w:r>
      <w:r w:rsidRPr="00E623A5">
        <w:t xml:space="preserve"> </w:t>
      </w:r>
      <w:r w:rsidR="00C63A57">
        <w:tab/>
      </w:r>
      <w:r w:rsidRPr="00E623A5">
        <w:t xml:space="preserve">Top 15 ranked STEM occupations (out of 38 </w:t>
      </w:r>
      <w:proofErr w:type="gramStart"/>
      <w:r w:rsidRPr="00E623A5">
        <w:t>total</w:t>
      </w:r>
      <w:proofErr w:type="gramEnd"/>
      <w:r w:rsidRPr="00E623A5">
        <w:t>)</w:t>
      </w:r>
      <w:bookmarkEnd w:id="24"/>
      <w:r w:rsidRPr="00E623A5">
        <w:t xml:space="preserve"> </w:t>
      </w:r>
    </w:p>
    <w:tbl>
      <w:tblPr>
        <w:tblStyle w:val="TableGrid"/>
        <w:tblW w:w="0" w:type="auto"/>
        <w:tblLook w:val="04A0" w:firstRow="1" w:lastRow="0" w:firstColumn="1" w:lastColumn="0" w:noHBand="0" w:noVBand="1"/>
      </w:tblPr>
      <w:tblGrid>
        <w:gridCol w:w="4503"/>
        <w:gridCol w:w="1560"/>
      </w:tblGrid>
      <w:tr w:rsidR="00E623A5" w:rsidRPr="00E623A5" w:rsidTr="00C63A57">
        <w:tc>
          <w:tcPr>
            <w:tcW w:w="4503" w:type="dxa"/>
            <w:tcBorders>
              <w:left w:val="nil"/>
              <w:bottom w:val="single" w:sz="4" w:space="0" w:color="000000" w:themeColor="text1"/>
              <w:right w:val="nil"/>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Ranking</w:t>
            </w:r>
            <w:r w:rsidRPr="00E623A5">
              <w:rPr>
                <w:rFonts w:ascii="Arial" w:hAnsi="Arial"/>
                <w:b/>
                <w:sz w:val="17"/>
              </w:rPr>
              <w:tab/>
              <w:t>SOC unit groups (4-digit level)</w:t>
            </w:r>
          </w:p>
        </w:tc>
        <w:tc>
          <w:tcPr>
            <w:tcW w:w="1560" w:type="dxa"/>
            <w:tcBorders>
              <w:left w:val="nil"/>
              <w:bottom w:val="single" w:sz="4" w:space="0" w:color="000000" w:themeColor="text1"/>
              <w:right w:val="nil"/>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Composite score</w:t>
            </w:r>
          </w:p>
          <w:p w:rsidR="00E623A5" w:rsidRPr="00E623A5" w:rsidRDefault="00E623A5" w:rsidP="00E623A5">
            <w:pPr>
              <w:spacing w:before="80" w:after="80" w:line="240" w:lineRule="auto"/>
              <w:rPr>
                <w:rFonts w:ascii="Arial" w:hAnsi="Arial"/>
                <w:b/>
                <w:sz w:val="17"/>
              </w:rPr>
            </w:pPr>
          </w:p>
        </w:tc>
      </w:tr>
      <w:tr w:rsidR="00E623A5" w:rsidRPr="00E623A5" w:rsidTr="00C63A57">
        <w:tc>
          <w:tcPr>
            <w:tcW w:w="4503" w:type="dxa"/>
            <w:tcBorders>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Programmers and software development</w:t>
            </w:r>
          </w:p>
        </w:tc>
        <w:tc>
          <w:tcPr>
            <w:tcW w:w="1560" w:type="dxa"/>
            <w:tcBorders>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1.63</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Production managers and directors in manufacturing</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1.40</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Information technology specialist managers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1.30</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 xml:space="preserve">Information technology and telecommunications professionals </w:t>
            </w:r>
            <w:proofErr w:type="spellStart"/>
            <w:r w:rsidRPr="00E623A5">
              <w:rPr>
                <w:rFonts w:ascii="Tahoma" w:hAnsi="Tahoma"/>
                <w:sz w:val="16"/>
              </w:rPr>
              <w:t>nec</w:t>
            </w:r>
            <w:proofErr w:type="spellEnd"/>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0.99</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 xml:space="preserve">Engineering professionals </w:t>
            </w:r>
            <w:proofErr w:type="spellStart"/>
            <w:r w:rsidRPr="00E623A5">
              <w:rPr>
                <w:rFonts w:ascii="Tahoma" w:hAnsi="Tahoma"/>
                <w:sz w:val="16"/>
              </w:rPr>
              <w:t>nec</w:t>
            </w:r>
            <w:proofErr w:type="spellEnd"/>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0.71</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Mechanical engineers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0.71</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Information technology business analysts, architects and systems designers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0.54</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Design and development engineers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0.51</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Civil engineers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0.49</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Information technology project and programme managers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0.46</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Electrical engineers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0.43</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Production and process engineers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0.31</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Electronics engineers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0.25</w:t>
            </w:r>
          </w:p>
        </w:tc>
      </w:tr>
      <w:tr w:rsidR="00E623A5" w:rsidRPr="00E623A5" w:rsidTr="00C63A57">
        <w:tc>
          <w:tcPr>
            <w:tcW w:w="450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Information technology and telecommunications directors</w:t>
            </w:r>
          </w:p>
        </w:tc>
        <w:tc>
          <w:tcPr>
            <w:tcW w:w="1560"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0.21</w:t>
            </w:r>
          </w:p>
        </w:tc>
      </w:tr>
      <w:tr w:rsidR="00E623A5" w:rsidRPr="00E623A5" w:rsidTr="00C63A57">
        <w:tc>
          <w:tcPr>
            <w:tcW w:w="4503" w:type="dxa"/>
            <w:tcBorders>
              <w:top w:val="nil"/>
              <w:left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Quality assurance and regulatory professionals</w:t>
            </w:r>
          </w:p>
        </w:tc>
        <w:tc>
          <w:tcPr>
            <w:tcW w:w="1560" w:type="dxa"/>
            <w:tcBorders>
              <w:top w:val="nil"/>
              <w:left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0.05</w:t>
            </w:r>
          </w:p>
        </w:tc>
      </w:tr>
    </w:tbl>
    <w:p w:rsidR="00E623A5" w:rsidRPr="00E623A5" w:rsidRDefault="00E623A5" w:rsidP="00E623A5">
      <w:pPr>
        <w:spacing w:line="300" w:lineRule="exact"/>
        <w:ind w:right="-1"/>
      </w:pPr>
      <w:r w:rsidRPr="00E623A5">
        <w:t xml:space="preserve">Most of the occupations listed as STEM occupations in the Commission for Employment and Skills report usually require a degree-level qualification. </w:t>
      </w:r>
    </w:p>
    <w:p w:rsidR="00E623A5" w:rsidRPr="00E623A5" w:rsidRDefault="00E623A5" w:rsidP="00AA170F">
      <w:pPr>
        <w:pStyle w:val="Heading2"/>
      </w:pPr>
      <w:bookmarkStart w:id="25" w:name="_Toc461188879"/>
      <w:r w:rsidRPr="00E623A5">
        <w:t>Case 3: Elgin Economics (for the Government of Victoria)</w:t>
      </w:r>
      <w:bookmarkEnd w:id="25"/>
    </w:p>
    <w:p w:rsidR="00E623A5" w:rsidRPr="00E623A5" w:rsidRDefault="00E623A5" w:rsidP="00E623A5">
      <w:pPr>
        <w:spacing w:line="300" w:lineRule="exact"/>
        <w:ind w:right="-1"/>
      </w:pPr>
      <w:r w:rsidRPr="00E623A5">
        <w:t xml:space="preserve">Research commissioned by the Higher Education and Skills Group of the Victorian Department of Education and Early Childhood </w:t>
      </w:r>
      <w:r w:rsidRPr="00EB6AB2">
        <w:t>Development (Elgin Economics 2014) adopts</w:t>
      </w:r>
      <w:r w:rsidRPr="00E623A5">
        <w:t xml:space="preserve"> a broader approach to the coverage of fields of study that constitute science and mathematics (SM) capabilities. The traditional approach of focusing on STEM fields of study (science, technology, engineering and mathematics qualifications) has been found to be too narrow to capture the full extent of SM capabilities in the workforce.</w:t>
      </w:r>
    </w:p>
    <w:p w:rsidR="00E623A5" w:rsidRPr="00E623A5" w:rsidRDefault="00E623A5" w:rsidP="00E623A5">
      <w:pPr>
        <w:spacing w:line="300" w:lineRule="exact"/>
        <w:ind w:right="-1"/>
      </w:pPr>
      <w:r w:rsidRPr="00E623A5">
        <w:t>The authors included a wide range of broad and narrow fields of education (ASCED) as science and mathematics fields. The report selected 4-digit fields of education based on those used by the ABS, with the addition of fields to include areas such as commerce, business and economics. The justification for the additional fields was that they require an advanced level of numeracy and mathematics skills.</w:t>
      </w:r>
    </w:p>
    <w:p w:rsidR="00E623A5" w:rsidRPr="00E623A5" w:rsidRDefault="00E623A5" w:rsidP="00E623A5">
      <w:pPr>
        <w:spacing w:line="300" w:lineRule="exact"/>
        <w:ind w:right="-1"/>
      </w:pPr>
      <w:r w:rsidRPr="00E623A5">
        <w:t>Using Victorian data derived from the 2011 Census of Population and Housing, the authors ranked all 475 4-digit unit groups by their ‘SM intensity’. The intensity index for each unit group was calculated using the following formula:</w:t>
      </w:r>
    </w:p>
    <w:p w:rsidR="00E623A5" w:rsidRPr="00E623A5" w:rsidRDefault="00E623A5" w:rsidP="00E623A5">
      <w:pPr>
        <w:tabs>
          <w:tab w:val="right" w:pos="7853"/>
        </w:tabs>
        <w:spacing w:before="80" w:line="300" w:lineRule="exact"/>
        <w:ind w:left="567" w:right="652"/>
        <w:rPr>
          <w:sz w:val="17"/>
        </w:rPr>
      </w:pPr>
      <w:r w:rsidRPr="00E623A5">
        <w:rPr>
          <w:sz w:val="17"/>
        </w:rPr>
        <w:t>SM intensity of unit group = (number of employed people with an SM qualification/number of employed people) * 100</w:t>
      </w:r>
    </w:p>
    <w:p w:rsidR="00E623A5" w:rsidRPr="00E623A5" w:rsidRDefault="00E623A5" w:rsidP="00E623A5">
      <w:pPr>
        <w:spacing w:before="40" w:line="240" w:lineRule="auto"/>
        <w:ind w:left="567" w:hanging="567"/>
        <w:jc w:val="right"/>
        <w:rPr>
          <w:rFonts w:ascii="Arial" w:hAnsi="Arial"/>
          <w:sz w:val="15"/>
        </w:rPr>
      </w:pPr>
      <w:r w:rsidRPr="00E623A5">
        <w:rPr>
          <w:rFonts w:ascii="Arial" w:hAnsi="Arial"/>
          <w:sz w:val="15"/>
        </w:rPr>
        <w:t>(Elgin Economics 2014, p.15)</w:t>
      </w:r>
    </w:p>
    <w:p w:rsidR="00E623A5" w:rsidRPr="00E623A5" w:rsidRDefault="00E623A5" w:rsidP="00E623A5">
      <w:pPr>
        <w:spacing w:line="300" w:lineRule="exact"/>
        <w:ind w:right="-1"/>
      </w:pPr>
      <w:r w:rsidRPr="00E623A5">
        <w:t>Unit groups which had a higher proportion of employed people with a qualification in a S</w:t>
      </w:r>
      <w:r w:rsidR="00564380">
        <w:t>TEM field</w:t>
      </w:r>
      <w:r w:rsidRPr="00E623A5">
        <w:t xml:space="preserve"> had a higher level o</w:t>
      </w:r>
      <w:r w:rsidR="00564380">
        <w:t>f STEM intensity</w:t>
      </w:r>
      <w:r w:rsidRPr="00E623A5">
        <w:t xml:space="preserve">. In this way, occupations have been linked to field of education. </w:t>
      </w:r>
    </w:p>
    <w:p w:rsidR="00E623A5" w:rsidRPr="00E623A5" w:rsidRDefault="00E623A5" w:rsidP="00E623A5">
      <w:pPr>
        <w:spacing w:line="300" w:lineRule="exact"/>
        <w:ind w:right="-1"/>
      </w:pPr>
      <w:r w:rsidRPr="00E623A5">
        <w:t xml:space="preserve">The advantage of this approach is that calculating the intensity index is relatively straightforward and it only requires data on the qualifications and occupations of the population. While the report itself </w:t>
      </w:r>
      <w:r w:rsidRPr="00E623A5">
        <w:lastRenderedPageBreak/>
        <w:t>only used 4-digit occupation and field of education classifications, it could be extended to 6-digit classifications. This approach naturally lends itself to ranking the occupations and provides a continuous index, rather than a binary STEM or non-STEM classification. The index can be recalculated when new data become available and reproduced in new contexts (as long as some equivalence between fields of education can be assigned).</w:t>
      </w:r>
    </w:p>
    <w:p w:rsidR="00E623A5" w:rsidRPr="00E623A5" w:rsidRDefault="00E623A5" w:rsidP="00E623A5">
      <w:pPr>
        <w:spacing w:line="300" w:lineRule="exact"/>
        <w:ind w:right="-1"/>
      </w:pPr>
      <w:r w:rsidRPr="00E623A5">
        <w:t>It is startling however to see midwifery and nursing professionals as the top science and mathematical occupation and a science technician at po</w:t>
      </w:r>
      <w:r w:rsidR="00166090">
        <w:t>sition 113 in the list (table 5</w:t>
      </w:r>
      <w:r w:rsidRPr="00E623A5">
        <w:t xml:space="preserve">). There are a number caveats involved with this method, for example, recording highest level of qualification only, assuming that people are in a particular job because of their highest qualification and choosing very broad levels of occupational categories. </w:t>
      </w:r>
    </w:p>
    <w:p w:rsidR="00E623A5" w:rsidRPr="00E623A5" w:rsidRDefault="00865BBB" w:rsidP="006E1FA9">
      <w:pPr>
        <w:pStyle w:val="tabletitle"/>
      </w:pPr>
      <w:bookmarkStart w:id="26" w:name="_Toc461189267"/>
      <w:r>
        <w:t>Table</w:t>
      </w:r>
      <w:r w:rsidR="00166090">
        <w:t xml:space="preserve"> 5</w:t>
      </w:r>
      <w:r w:rsidR="00E623A5" w:rsidRPr="00E623A5">
        <w:tab/>
        <w:t>Top 15 ranked occupation groupings according to the SM intensity index</w:t>
      </w:r>
      <w:bookmarkEnd w:id="26"/>
      <w:r w:rsidR="00E623A5" w:rsidRPr="00E623A5">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6025"/>
        <w:gridCol w:w="1241"/>
      </w:tblGrid>
      <w:tr w:rsidR="00E623A5" w:rsidRPr="00E623A5" w:rsidTr="00E623A5">
        <w:tc>
          <w:tcPr>
            <w:tcW w:w="887" w:type="dxa"/>
            <w:tcBorders>
              <w:top w:val="single" w:sz="4" w:space="0" w:color="000000" w:themeColor="text1"/>
              <w:bottom w:val="single" w:sz="4" w:space="0" w:color="000000" w:themeColor="text1"/>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Ranking</w:t>
            </w:r>
          </w:p>
        </w:tc>
        <w:tc>
          <w:tcPr>
            <w:tcW w:w="6025" w:type="dxa"/>
            <w:tcBorders>
              <w:top w:val="single" w:sz="4" w:space="0" w:color="000000" w:themeColor="text1"/>
              <w:bottom w:val="single" w:sz="4" w:space="0" w:color="000000" w:themeColor="text1"/>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ANZSCO occupational unit group (4-digit level)</w:t>
            </w:r>
          </w:p>
        </w:tc>
        <w:tc>
          <w:tcPr>
            <w:tcW w:w="1241" w:type="dxa"/>
            <w:tcBorders>
              <w:top w:val="single" w:sz="4" w:space="0" w:color="000000" w:themeColor="text1"/>
              <w:bottom w:val="single" w:sz="4" w:space="0" w:color="000000" w:themeColor="text1"/>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SM intensity</w:t>
            </w:r>
          </w:p>
        </w:tc>
      </w:tr>
      <w:tr w:rsidR="00E623A5" w:rsidRPr="00E623A5" w:rsidTr="00E623A5">
        <w:tc>
          <w:tcPr>
            <w:tcW w:w="887" w:type="dxa"/>
            <w:tcBorders>
              <w:top w:val="single" w:sz="4" w:space="0" w:color="000000" w:themeColor="text1"/>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w:t>
            </w:r>
          </w:p>
        </w:tc>
        <w:tc>
          <w:tcPr>
            <w:tcW w:w="6025" w:type="dxa"/>
            <w:tcBorders>
              <w:top w:val="single" w:sz="4" w:space="0" w:color="000000" w:themeColor="text1"/>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 xml:space="preserve">Midwifery and nursing professionals </w:t>
            </w:r>
            <w:proofErr w:type="spellStart"/>
            <w:r w:rsidRPr="00E623A5">
              <w:rPr>
                <w:rFonts w:ascii="Tahoma" w:hAnsi="Tahoma"/>
                <w:sz w:val="16"/>
              </w:rPr>
              <w:t>nfd</w:t>
            </w:r>
            <w:proofErr w:type="spellEnd"/>
          </w:p>
        </w:tc>
        <w:tc>
          <w:tcPr>
            <w:tcW w:w="1241" w:type="dxa"/>
            <w:tcBorders>
              <w:top w:val="single" w:sz="4" w:space="0" w:color="000000" w:themeColor="text1"/>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100.00</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2.</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Anaesthetists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99.15</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3.</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Specialist physicians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99.09</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4.</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Surgeons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98.65</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5.</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Chiropractors and osteopaths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97.91</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6.</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Podiatrists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97.67</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7.</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 xml:space="preserve">Medical practitioners </w:t>
            </w:r>
            <w:proofErr w:type="spellStart"/>
            <w:r w:rsidRPr="00E623A5">
              <w:rPr>
                <w:rFonts w:ascii="Tahoma" w:hAnsi="Tahoma"/>
                <w:sz w:val="16"/>
              </w:rPr>
              <w:t>nfd</w:t>
            </w:r>
            <w:proofErr w:type="spellEnd"/>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97.66</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8.</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Generalist medical practitioners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97.49</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Optometrists and orthoptists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97.38</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10.</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Physiotherapists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97.37</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11.</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Veterinarians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97.30</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12.</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Psychiatrists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97.22</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13.</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Dental practitioners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97.18</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14.</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Midwives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96.19</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15.</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Geologists and geophysicists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95.9</w:t>
            </w:r>
          </w:p>
        </w:tc>
      </w:tr>
      <w:tr w:rsidR="00E623A5" w:rsidRPr="00E623A5" w:rsidTr="00E623A5">
        <w:trPr>
          <w:trHeight w:val="121"/>
        </w:trPr>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 :</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113.</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Science Technicians</w:t>
            </w: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64.5</w:t>
            </w:r>
          </w:p>
        </w:tc>
      </w:tr>
      <w:tr w:rsidR="00E623A5" w:rsidRPr="00E623A5" w:rsidTr="00E623A5">
        <w:tc>
          <w:tcPr>
            <w:tcW w:w="887" w:type="dxa"/>
            <w:tcBorders>
              <w:top w:val="nil"/>
              <w:bottom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 :</w:t>
            </w:r>
          </w:p>
        </w:tc>
        <w:tc>
          <w:tcPr>
            <w:tcW w:w="6025" w:type="dxa"/>
            <w:tcBorders>
              <w:top w:val="nil"/>
              <w:bottom w:val="nil"/>
            </w:tcBorders>
          </w:tcPr>
          <w:p w:rsidR="00E623A5" w:rsidRPr="00E623A5" w:rsidRDefault="00E623A5" w:rsidP="00E623A5">
            <w:pPr>
              <w:spacing w:before="40" w:after="40" w:line="240" w:lineRule="auto"/>
              <w:rPr>
                <w:rFonts w:ascii="Tahoma" w:hAnsi="Tahoma"/>
                <w:sz w:val="16"/>
              </w:rPr>
            </w:pPr>
          </w:p>
        </w:tc>
        <w:tc>
          <w:tcPr>
            <w:tcW w:w="1241" w:type="dxa"/>
            <w:tcBorders>
              <w:top w:val="nil"/>
              <w:bottom w:val="nil"/>
            </w:tcBorders>
          </w:tcPr>
          <w:p w:rsidR="00E623A5" w:rsidRPr="00E623A5" w:rsidRDefault="00E623A5" w:rsidP="00E623A5">
            <w:pPr>
              <w:spacing w:before="40" w:after="40" w:line="240" w:lineRule="auto"/>
              <w:rPr>
                <w:rFonts w:ascii="Tahoma" w:hAnsi="Tahoma"/>
                <w:sz w:val="16"/>
              </w:rPr>
            </w:pPr>
          </w:p>
        </w:tc>
      </w:tr>
      <w:tr w:rsidR="00E623A5" w:rsidRPr="00E623A5" w:rsidTr="00E623A5">
        <w:tc>
          <w:tcPr>
            <w:tcW w:w="887" w:type="dxa"/>
            <w:tcBorders>
              <w:top w:val="nil"/>
              <w:bottom w:val="single" w:sz="4" w:space="0" w:color="000000" w:themeColor="text1"/>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130.</w:t>
            </w:r>
          </w:p>
        </w:tc>
        <w:tc>
          <w:tcPr>
            <w:tcW w:w="6025" w:type="dxa"/>
            <w:tcBorders>
              <w:top w:val="nil"/>
              <w:bottom w:val="single" w:sz="4" w:space="0" w:color="000000" w:themeColor="text1"/>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Agricultural Technicians</w:t>
            </w:r>
          </w:p>
        </w:tc>
        <w:tc>
          <w:tcPr>
            <w:tcW w:w="1241" w:type="dxa"/>
            <w:tcBorders>
              <w:top w:val="nil"/>
              <w:bottom w:val="single" w:sz="4" w:space="0" w:color="000000" w:themeColor="text1"/>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61.4</w:t>
            </w:r>
          </w:p>
        </w:tc>
      </w:tr>
    </w:tbl>
    <w:p w:rsidR="00E623A5" w:rsidRPr="00E623A5" w:rsidRDefault="00E623A5" w:rsidP="00E623A5">
      <w:pPr>
        <w:spacing w:before="40" w:line="240" w:lineRule="auto"/>
        <w:ind w:left="567" w:hanging="567"/>
        <w:rPr>
          <w:rFonts w:ascii="Arial" w:hAnsi="Arial"/>
          <w:sz w:val="15"/>
        </w:rPr>
      </w:pPr>
      <w:r w:rsidRPr="00E623A5">
        <w:rPr>
          <w:rFonts w:ascii="Arial" w:hAnsi="Arial"/>
          <w:sz w:val="15"/>
        </w:rPr>
        <w:t>Source: Elgin Economics (2014, p.37).</w:t>
      </w:r>
    </w:p>
    <w:p w:rsidR="00E623A5" w:rsidRPr="00E623A5" w:rsidRDefault="00E623A5" w:rsidP="00E623A5">
      <w:pPr>
        <w:spacing w:before="40" w:line="240" w:lineRule="auto"/>
        <w:rPr>
          <w:rFonts w:ascii="Arial" w:hAnsi="Arial"/>
          <w:sz w:val="15"/>
        </w:rPr>
      </w:pPr>
    </w:p>
    <w:p w:rsidR="00E623A5" w:rsidRPr="00E623A5" w:rsidRDefault="00E623A5" w:rsidP="00E623A5">
      <w:pPr>
        <w:keepNext/>
        <w:ind w:left="2977"/>
        <w:outlineLvl w:val="5"/>
        <w:rPr>
          <w:rFonts w:ascii="Tahoma" w:hAnsi="Tahoma"/>
          <w:sz w:val="20"/>
        </w:rPr>
      </w:pPr>
    </w:p>
    <w:p w:rsidR="00E623A5" w:rsidRPr="00E623A5" w:rsidRDefault="00E623A5" w:rsidP="00AA170F">
      <w:pPr>
        <w:pStyle w:val="Heading2"/>
      </w:pPr>
      <w:bookmarkStart w:id="27" w:name="_Toc461188880"/>
      <w:r w:rsidRPr="00E623A5">
        <w:t>Case 4: SA Department of State Development</w:t>
      </w:r>
      <w:bookmarkEnd w:id="27"/>
      <w:r w:rsidRPr="00E623A5">
        <w:t xml:space="preserve"> </w:t>
      </w:r>
    </w:p>
    <w:p w:rsidR="00865BBB" w:rsidRDefault="00E623A5" w:rsidP="00E623A5">
      <w:pPr>
        <w:spacing w:line="300" w:lineRule="exact"/>
        <w:ind w:right="-1"/>
      </w:pPr>
      <w:r w:rsidRPr="00EB6AB2">
        <w:t>The methodology employed by the South Australian Department of State Development (DSD) resulted in a list of 58 STEM occupational unit groups</w:t>
      </w:r>
      <w:r w:rsidR="00865BBB" w:rsidRPr="00EB6AB2">
        <w:t xml:space="preserve"> (4-digit ANZSCO)</w:t>
      </w:r>
      <w:r w:rsidRPr="00EB6AB2">
        <w:t>, which were published on the department’s website as of 2014—15 (http://www.skills.sa.gov.au/careers-jobs). The list mainly includes</w:t>
      </w:r>
      <w:r w:rsidRPr="00E623A5">
        <w:t xml:space="preserve"> </w:t>
      </w:r>
    </w:p>
    <w:p w:rsidR="00865BBB" w:rsidRDefault="00E623A5" w:rsidP="00865BBB">
      <w:pPr>
        <w:pStyle w:val="Dotpoint2"/>
      </w:pPr>
      <w:r w:rsidRPr="00E623A5">
        <w:t xml:space="preserve">Design, engineering, science and transport professionals, </w:t>
      </w:r>
    </w:p>
    <w:p w:rsidR="00865BBB" w:rsidRDefault="00E623A5" w:rsidP="00865BBB">
      <w:pPr>
        <w:pStyle w:val="Dotpoint2"/>
      </w:pPr>
      <w:r w:rsidRPr="00E623A5">
        <w:t xml:space="preserve">ICT professionals, </w:t>
      </w:r>
    </w:p>
    <w:p w:rsidR="00865BBB" w:rsidRDefault="00865BBB" w:rsidP="00865BBB">
      <w:pPr>
        <w:pStyle w:val="Dotpoint2"/>
      </w:pPr>
      <w:r>
        <w:t>Health professionals</w:t>
      </w:r>
    </w:p>
    <w:p w:rsidR="00E623A5" w:rsidRPr="00E623A5" w:rsidRDefault="00E623A5" w:rsidP="00865BBB">
      <w:pPr>
        <w:pStyle w:val="Dotpoint2"/>
      </w:pPr>
      <w:r w:rsidRPr="00E623A5">
        <w:t xml:space="preserve">Technicians and Trades workers. </w:t>
      </w:r>
    </w:p>
    <w:p w:rsidR="00E623A5" w:rsidRPr="00E623A5" w:rsidRDefault="00E623A5" w:rsidP="00E623A5">
      <w:pPr>
        <w:spacing w:line="300" w:lineRule="exact"/>
        <w:ind w:right="-1"/>
      </w:pPr>
      <w:r w:rsidRPr="00E623A5">
        <w:lastRenderedPageBreak/>
        <w:t>The methodology is based on a cross-reference of each ANZSCO occupation title with a person’s highest achieved qualification, classified by field of education. The data are derived from the ABS 2011 Census of Population and Housing.</w:t>
      </w:r>
    </w:p>
    <w:p w:rsidR="00564380" w:rsidRDefault="00E623A5" w:rsidP="00E623A5">
      <w:pPr>
        <w:spacing w:line="300" w:lineRule="exact"/>
        <w:ind w:right="-1"/>
      </w:pPr>
      <w:r w:rsidRPr="00E623A5">
        <w:t xml:space="preserve">The following fields of education were selected as STEM: </w:t>
      </w:r>
    </w:p>
    <w:p w:rsidR="00564380" w:rsidRDefault="00564380" w:rsidP="00564380">
      <w:pPr>
        <w:pStyle w:val="Dotpoint1"/>
      </w:pPr>
      <w:r>
        <w:t>Natural and physical sciences</w:t>
      </w:r>
    </w:p>
    <w:p w:rsidR="00564380" w:rsidRDefault="00564380" w:rsidP="00564380">
      <w:pPr>
        <w:pStyle w:val="Dotpoint1"/>
      </w:pPr>
      <w:r>
        <w:t>Information technology</w:t>
      </w:r>
    </w:p>
    <w:p w:rsidR="00564380" w:rsidRDefault="00E623A5" w:rsidP="00564380">
      <w:pPr>
        <w:pStyle w:val="Dotpoint1"/>
      </w:pPr>
      <w:r w:rsidRPr="00E623A5">
        <w:t>Engine</w:t>
      </w:r>
      <w:r w:rsidR="00564380">
        <w:t>ering and related technologies</w:t>
      </w:r>
    </w:p>
    <w:p w:rsidR="00564380" w:rsidRDefault="00564380" w:rsidP="00564380">
      <w:pPr>
        <w:pStyle w:val="Dotpoint1"/>
      </w:pPr>
      <w:r>
        <w:t>Architecture and building</w:t>
      </w:r>
    </w:p>
    <w:p w:rsidR="00564380" w:rsidRDefault="00E623A5" w:rsidP="00564380">
      <w:pPr>
        <w:pStyle w:val="Dotpoint1"/>
      </w:pPr>
      <w:r w:rsidRPr="00E623A5">
        <w:t>Agricult</w:t>
      </w:r>
      <w:r w:rsidR="00564380">
        <w:t>ur</w:t>
      </w:r>
      <w:r w:rsidR="00865BBB">
        <w:t>e</w:t>
      </w:r>
      <w:r w:rsidR="00564380">
        <w:t xml:space="preserve">, </w:t>
      </w:r>
      <w:r w:rsidRPr="00E623A5">
        <w:t xml:space="preserve"> </w:t>
      </w:r>
      <w:r w:rsidR="00564380">
        <w:t>e</w:t>
      </w:r>
      <w:r w:rsidRPr="00E623A5">
        <w:t>nviron</w:t>
      </w:r>
      <w:r w:rsidR="00564380">
        <w:t>mental and related studies</w:t>
      </w:r>
    </w:p>
    <w:p w:rsidR="00564380" w:rsidRDefault="00E623A5" w:rsidP="00564380">
      <w:pPr>
        <w:pStyle w:val="Dotpoint1"/>
      </w:pPr>
      <w:r w:rsidRPr="00E623A5">
        <w:t xml:space="preserve">Health. </w:t>
      </w:r>
    </w:p>
    <w:p w:rsidR="00865BBB" w:rsidRDefault="00E623A5" w:rsidP="00E623A5">
      <w:pPr>
        <w:spacing w:line="300" w:lineRule="exact"/>
        <w:ind w:right="-1"/>
      </w:pPr>
      <w:r w:rsidRPr="00E623A5">
        <w:t xml:space="preserve">The cross-referencing enabled each ANZSCO occupation to be ranked according to the proportion of individuals possessing a qualification within one of the selected six fields of education at certificate IV level or above for Professionals, and certificate III and higher for Technicians and trade workers. </w:t>
      </w:r>
    </w:p>
    <w:p w:rsidR="00E623A5" w:rsidRPr="00E623A5" w:rsidRDefault="00E623A5" w:rsidP="00E623A5">
      <w:pPr>
        <w:spacing w:line="300" w:lineRule="exact"/>
        <w:ind w:right="-1"/>
      </w:pPr>
      <w:r w:rsidRPr="00E623A5">
        <w:t xml:space="preserve">Only those occupational groups with 50% or more individuals in that occupation with a STEM qualification were retained. Subsequent filters removed groupings based on a low skill level. </w:t>
      </w:r>
    </w:p>
    <w:p w:rsidR="00E623A5" w:rsidRPr="00E623A5" w:rsidRDefault="00E623A5" w:rsidP="00E623A5">
      <w:pPr>
        <w:spacing w:line="300" w:lineRule="exact"/>
        <w:ind w:right="-1"/>
      </w:pPr>
      <w:r w:rsidRPr="00E623A5">
        <w:t>This list will be used in South Australia for reporting, statistical analysis and assisting with the determination of the public value of courses for the SA Funded Training List.</w:t>
      </w:r>
    </w:p>
    <w:p w:rsidR="00E623A5" w:rsidRPr="00E623A5" w:rsidRDefault="00E623A5" w:rsidP="00AA170F">
      <w:pPr>
        <w:pStyle w:val="Heading2"/>
      </w:pPr>
      <w:bookmarkStart w:id="28" w:name="_Toc461188881"/>
      <w:r w:rsidRPr="00E623A5">
        <w:t>Case 5: Australian Bureau of Statistics</w:t>
      </w:r>
      <w:bookmarkEnd w:id="28"/>
    </w:p>
    <w:p w:rsidR="00AA170F" w:rsidRDefault="00E623A5" w:rsidP="00E623A5">
      <w:pPr>
        <w:spacing w:line="300" w:lineRule="exact"/>
        <w:ind w:right="-1"/>
      </w:pPr>
      <w:r w:rsidRPr="00E623A5">
        <w:t>The ABS</w:t>
      </w:r>
      <w:r w:rsidR="00EB6AB2">
        <w:t xml:space="preserve"> (2013)</w:t>
      </w:r>
      <w:r w:rsidRPr="00E623A5">
        <w:t xml:space="preserve"> preselected the following ASCED fields of education for further analysis: </w:t>
      </w:r>
    </w:p>
    <w:p w:rsidR="00AA170F" w:rsidRDefault="00E623A5" w:rsidP="00AA170F">
      <w:pPr>
        <w:pStyle w:val="Dotpoint1"/>
      </w:pPr>
      <w:r w:rsidRPr="00E623A5">
        <w:t>0</w:t>
      </w:r>
      <w:r w:rsidR="005021D6">
        <w:t>1 Natural sciences</w:t>
      </w:r>
      <w:r w:rsidRPr="00E623A5">
        <w:t xml:space="preserve"> </w:t>
      </w:r>
    </w:p>
    <w:p w:rsidR="00AA170F" w:rsidRDefault="00E623A5" w:rsidP="00AA170F">
      <w:pPr>
        <w:pStyle w:val="Dotpoint1"/>
      </w:pPr>
      <w:r w:rsidRPr="00E623A5">
        <w:t>02 Infor</w:t>
      </w:r>
      <w:r w:rsidR="005021D6">
        <w:t>mation technology</w:t>
      </w:r>
    </w:p>
    <w:p w:rsidR="00AA170F" w:rsidRDefault="005021D6" w:rsidP="00AA170F">
      <w:pPr>
        <w:pStyle w:val="Dotpoint1"/>
      </w:pPr>
      <w:r>
        <w:t>03 Engineering</w:t>
      </w:r>
      <w:r w:rsidR="00865BBB">
        <w:t xml:space="preserve"> </w:t>
      </w:r>
    </w:p>
    <w:p w:rsidR="00E623A5" w:rsidRPr="00E623A5" w:rsidRDefault="00865BBB" w:rsidP="00AA170F">
      <w:pPr>
        <w:pStyle w:val="Dotpoint1"/>
      </w:pPr>
      <w:r>
        <w:t>05 Agr</w:t>
      </w:r>
      <w:r w:rsidR="005021D6">
        <w:t>iculture, environmental studies</w:t>
      </w:r>
    </w:p>
    <w:p w:rsidR="00E623A5" w:rsidRPr="00E623A5" w:rsidRDefault="00E623A5" w:rsidP="00E623A5">
      <w:pPr>
        <w:spacing w:line="300" w:lineRule="exact"/>
        <w:ind w:right="-1"/>
      </w:pPr>
      <w:r w:rsidRPr="00E623A5">
        <w:t>STEM occupation groups were defined by the concentration of STEM-qualified people (based on field of education) per ANZSCO occupation group. This yielded 23 sub-major occupation groups (2-digit level) with at least 25 000 STEM-qualified people in each category. An intensity score based on the percentage of people with a STEM qualification working in a STEM-relevant job was identified. The following summary accounts for 64% of all working people wit</w:t>
      </w:r>
      <w:r w:rsidR="00166090">
        <w:t>h a STEM qualification (Table 6</w:t>
      </w:r>
      <w:r w:rsidRPr="00E623A5">
        <w:t xml:space="preserve">). </w:t>
      </w:r>
    </w:p>
    <w:p w:rsidR="00AA170F" w:rsidRDefault="00AA170F">
      <w:pPr>
        <w:spacing w:before="0" w:line="240" w:lineRule="auto"/>
        <w:rPr>
          <w:rFonts w:ascii="Tahoma" w:hAnsi="Tahoma"/>
          <w:b/>
          <w:sz w:val="17"/>
        </w:rPr>
      </w:pPr>
      <w:r>
        <w:rPr>
          <w:rFonts w:ascii="Tahoma" w:hAnsi="Tahoma"/>
          <w:b/>
          <w:sz w:val="17"/>
        </w:rPr>
        <w:br w:type="page"/>
      </w:r>
    </w:p>
    <w:p w:rsidR="00E623A5" w:rsidRPr="00E623A5" w:rsidRDefault="00166090" w:rsidP="006E1FA9">
      <w:pPr>
        <w:pStyle w:val="tabletitle"/>
      </w:pPr>
      <w:bookmarkStart w:id="29" w:name="_Toc461189268"/>
      <w:r>
        <w:lastRenderedPageBreak/>
        <w:t>Table 6</w:t>
      </w:r>
      <w:r w:rsidR="00E623A5" w:rsidRPr="00E623A5">
        <w:t xml:space="preserve"> </w:t>
      </w:r>
      <w:r w:rsidR="00C63A57">
        <w:tab/>
      </w:r>
      <w:r w:rsidR="00E623A5" w:rsidRPr="00E623A5">
        <w:t>People with STEM qualifications by common STEM occupation groups</w:t>
      </w:r>
      <w:bookmarkEnd w:id="29"/>
      <w:r w:rsidR="00E623A5" w:rsidRPr="00E623A5">
        <w:t xml:space="preserve"> </w:t>
      </w:r>
    </w:p>
    <w:tbl>
      <w:tblPr>
        <w:tblStyle w:val="TableGrid"/>
        <w:tblW w:w="0" w:type="auto"/>
        <w:tblLook w:val="04A0" w:firstRow="1" w:lastRow="0" w:firstColumn="1" w:lastColumn="0" w:noHBand="0" w:noVBand="1"/>
      </w:tblPr>
      <w:tblGrid>
        <w:gridCol w:w="2802"/>
        <w:gridCol w:w="1782"/>
        <w:gridCol w:w="1773"/>
        <w:gridCol w:w="1771"/>
      </w:tblGrid>
      <w:tr w:rsidR="00E623A5" w:rsidRPr="00E623A5" w:rsidTr="00C63A57">
        <w:tc>
          <w:tcPr>
            <w:tcW w:w="2802" w:type="dxa"/>
            <w:tcBorders>
              <w:left w:val="nil"/>
              <w:bottom w:val="single" w:sz="4" w:space="0" w:color="000000" w:themeColor="text1"/>
              <w:right w:val="nil"/>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 xml:space="preserve">Occupational category </w:t>
            </w:r>
          </w:p>
        </w:tc>
        <w:tc>
          <w:tcPr>
            <w:tcW w:w="1782" w:type="dxa"/>
            <w:tcBorders>
              <w:left w:val="nil"/>
              <w:bottom w:val="single" w:sz="4" w:space="0" w:color="000000" w:themeColor="text1"/>
              <w:right w:val="nil"/>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 working in job relevant to STEM qualification</w:t>
            </w:r>
          </w:p>
        </w:tc>
        <w:tc>
          <w:tcPr>
            <w:tcW w:w="1773" w:type="dxa"/>
            <w:tcBorders>
              <w:left w:val="nil"/>
              <w:bottom w:val="single" w:sz="4" w:space="0" w:color="000000" w:themeColor="text1"/>
              <w:right w:val="nil"/>
            </w:tcBorders>
          </w:tcPr>
          <w:p w:rsidR="00E623A5" w:rsidRPr="00AD7A15" w:rsidRDefault="00E623A5" w:rsidP="00E623A5">
            <w:pPr>
              <w:spacing w:before="80" w:after="80" w:line="240" w:lineRule="auto"/>
              <w:rPr>
                <w:rFonts w:ascii="Arial" w:hAnsi="Arial"/>
                <w:b/>
                <w:sz w:val="17"/>
              </w:rPr>
            </w:pPr>
            <w:r w:rsidRPr="00AD7A15">
              <w:rPr>
                <w:rFonts w:ascii="Arial" w:hAnsi="Arial"/>
                <w:b/>
                <w:sz w:val="17"/>
              </w:rPr>
              <w:t xml:space="preserve">% STEM-qualified of total employed </w:t>
            </w:r>
          </w:p>
        </w:tc>
        <w:tc>
          <w:tcPr>
            <w:tcW w:w="1771" w:type="dxa"/>
            <w:tcBorders>
              <w:left w:val="nil"/>
              <w:bottom w:val="single" w:sz="4" w:space="0" w:color="000000" w:themeColor="text1"/>
              <w:right w:val="nil"/>
            </w:tcBorders>
          </w:tcPr>
          <w:p w:rsidR="00E623A5" w:rsidRPr="00E623A5" w:rsidRDefault="00E623A5" w:rsidP="00E623A5">
            <w:pPr>
              <w:spacing w:before="80" w:after="80" w:line="240" w:lineRule="auto"/>
              <w:rPr>
                <w:rFonts w:ascii="Arial" w:hAnsi="Arial"/>
                <w:b/>
                <w:sz w:val="17"/>
              </w:rPr>
            </w:pPr>
            <w:r w:rsidRPr="00E623A5">
              <w:rPr>
                <w:rFonts w:ascii="Arial" w:hAnsi="Arial"/>
                <w:b/>
                <w:sz w:val="17"/>
              </w:rPr>
              <w:t>% of all STEM-qualified workers</w:t>
            </w:r>
          </w:p>
        </w:tc>
      </w:tr>
      <w:tr w:rsidR="00E623A5" w:rsidRPr="00E623A5" w:rsidTr="00C63A57">
        <w:tc>
          <w:tcPr>
            <w:tcW w:w="2802" w:type="dxa"/>
            <w:tcBorders>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 xml:space="preserve">Design, engineering, science and transport professionals </w:t>
            </w:r>
          </w:p>
        </w:tc>
        <w:tc>
          <w:tcPr>
            <w:tcW w:w="1782" w:type="dxa"/>
            <w:tcBorders>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97.0</w:t>
            </w:r>
          </w:p>
        </w:tc>
        <w:tc>
          <w:tcPr>
            <w:tcW w:w="1773" w:type="dxa"/>
            <w:tcBorders>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58.6</w:t>
            </w:r>
          </w:p>
        </w:tc>
        <w:tc>
          <w:tcPr>
            <w:tcW w:w="1771" w:type="dxa"/>
            <w:tcBorders>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10.4</w:t>
            </w:r>
          </w:p>
        </w:tc>
      </w:tr>
      <w:tr w:rsidR="00E623A5" w:rsidRPr="00E623A5" w:rsidTr="00C63A57">
        <w:tc>
          <w:tcPr>
            <w:tcW w:w="2802" w:type="dxa"/>
            <w:tcBorders>
              <w:top w:val="nil"/>
              <w:left w:val="nil"/>
              <w:bottom w:val="nil"/>
              <w:right w:val="nil"/>
            </w:tcBorders>
          </w:tcPr>
          <w:p w:rsidR="00E623A5" w:rsidRPr="00E623A5" w:rsidRDefault="005021D6" w:rsidP="00E623A5">
            <w:pPr>
              <w:spacing w:before="40" w:after="40" w:line="240" w:lineRule="auto"/>
              <w:rPr>
                <w:rFonts w:ascii="Tahoma" w:hAnsi="Tahoma"/>
                <w:sz w:val="16"/>
              </w:rPr>
            </w:pPr>
            <w:r>
              <w:rPr>
                <w:rFonts w:ascii="Tahoma" w:hAnsi="Tahoma"/>
                <w:sz w:val="16"/>
              </w:rPr>
              <w:t>ICT professionals</w:t>
            </w:r>
          </w:p>
        </w:tc>
        <w:tc>
          <w:tcPr>
            <w:tcW w:w="178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95.7</w:t>
            </w:r>
          </w:p>
        </w:tc>
        <w:tc>
          <w:tcPr>
            <w:tcW w:w="177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64.4</w:t>
            </w:r>
          </w:p>
        </w:tc>
        <w:tc>
          <w:tcPr>
            <w:tcW w:w="1771"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6.9</w:t>
            </w:r>
          </w:p>
        </w:tc>
      </w:tr>
      <w:tr w:rsidR="00E623A5" w:rsidRPr="00E623A5" w:rsidTr="00C63A57">
        <w:tc>
          <w:tcPr>
            <w:tcW w:w="28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Automotive and engineering trades workers</w:t>
            </w:r>
          </w:p>
        </w:tc>
        <w:tc>
          <w:tcPr>
            <w:tcW w:w="178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95.6</w:t>
            </w:r>
          </w:p>
        </w:tc>
        <w:tc>
          <w:tcPr>
            <w:tcW w:w="177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62.8</w:t>
            </w:r>
          </w:p>
        </w:tc>
        <w:tc>
          <w:tcPr>
            <w:tcW w:w="1771"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9.2</w:t>
            </w:r>
          </w:p>
        </w:tc>
      </w:tr>
      <w:tr w:rsidR="00E623A5" w:rsidRPr="00E623A5" w:rsidTr="00C63A57">
        <w:tc>
          <w:tcPr>
            <w:tcW w:w="28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Electro technology and telecommunications trades workers</w:t>
            </w:r>
          </w:p>
        </w:tc>
        <w:tc>
          <w:tcPr>
            <w:tcW w:w="178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94.4</w:t>
            </w:r>
          </w:p>
        </w:tc>
        <w:tc>
          <w:tcPr>
            <w:tcW w:w="177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62.7</w:t>
            </w:r>
          </w:p>
        </w:tc>
        <w:tc>
          <w:tcPr>
            <w:tcW w:w="1771"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8.1</w:t>
            </w:r>
          </w:p>
        </w:tc>
      </w:tr>
      <w:tr w:rsidR="00E623A5" w:rsidRPr="00E623A5" w:rsidTr="00C63A57">
        <w:tc>
          <w:tcPr>
            <w:tcW w:w="28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Education professionals</w:t>
            </w:r>
          </w:p>
        </w:tc>
        <w:tc>
          <w:tcPr>
            <w:tcW w:w="178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93.2</w:t>
            </w:r>
          </w:p>
        </w:tc>
        <w:tc>
          <w:tcPr>
            <w:tcW w:w="177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14.1</w:t>
            </w:r>
          </w:p>
        </w:tc>
        <w:tc>
          <w:tcPr>
            <w:tcW w:w="1771"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3.6</w:t>
            </w:r>
          </w:p>
        </w:tc>
      </w:tr>
      <w:tr w:rsidR="00E623A5" w:rsidRPr="00E623A5" w:rsidTr="00C63A57">
        <w:tc>
          <w:tcPr>
            <w:tcW w:w="28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Engineering, ICT and science technicians</w:t>
            </w:r>
          </w:p>
        </w:tc>
        <w:tc>
          <w:tcPr>
            <w:tcW w:w="178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88.6</w:t>
            </w:r>
          </w:p>
        </w:tc>
        <w:tc>
          <w:tcPr>
            <w:tcW w:w="177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54.4</w:t>
            </w:r>
          </w:p>
        </w:tc>
        <w:tc>
          <w:tcPr>
            <w:tcW w:w="1771"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6.4</w:t>
            </w:r>
          </w:p>
        </w:tc>
      </w:tr>
      <w:tr w:rsidR="00E623A5" w:rsidRPr="00E623A5" w:rsidTr="00C63A57">
        <w:tc>
          <w:tcPr>
            <w:tcW w:w="28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Specialist managers</w:t>
            </w:r>
          </w:p>
        </w:tc>
        <w:tc>
          <w:tcPr>
            <w:tcW w:w="178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81.3</w:t>
            </w:r>
          </w:p>
        </w:tc>
        <w:tc>
          <w:tcPr>
            <w:tcW w:w="177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28.1</w:t>
            </w:r>
          </w:p>
        </w:tc>
        <w:tc>
          <w:tcPr>
            <w:tcW w:w="1771"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9.8</w:t>
            </w:r>
          </w:p>
        </w:tc>
      </w:tr>
      <w:tr w:rsidR="00E623A5" w:rsidRPr="00E623A5" w:rsidTr="00C63A57">
        <w:tc>
          <w:tcPr>
            <w:tcW w:w="28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Business, human resource and marketing professionals</w:t>
            </w:r>
          </w:p>
        </w:tc>
        <w:tc>
          <w:tcPr>
            <w:tcW w:w="178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66.2</w:t>
            </w:r>
          </w:p>
        </w:tc>
        <w:tc>
          <w:tcPr>
            <w:tcW w:w="177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13.9</w:t>
            </w:r>
          </w:p>
        </w:tc>
        <w:tc>
          <w:tcPr>
            <w:tcW w:w="1771"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4.3</w:t>
            </w:r>
          </w:p>
        </w:tc>
      </w:tr>
      <w:tr w:rsidR="00E623A5" w:rsidRPr="00E623A5" w:rsidTr="00C63A57">
        <w:tc>
          <w:tcPr>
            <w:tcW w:w="280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Hospitality, retail and service managers</w:t>
            </w:r>
          </w:p>
        </w:tc>
        <w:tc>
          <w:tcPr>
            <w:tcW w:w="1782"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 xml:space="preserve"> 63.7</w:t>
            </w:r>
          </w:p>
        </w:tc>
        <w:tc>
          <w:tcPr>
            <w:tcW w:w="1773"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12.3</w:t>
            </w:r>
          </w:p>
        </w:tc>
        <w:tc>
          <w:tcPr>
            <w:tcW w:w="1771" w:type="dxa"/>
            <w:tcBorders>
              <w:top w:val="nil"/>
              <w:left w:val="nil"/>
              <w:bottom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2.8</w:t>
            </w:r>
          </w:p>
        </w:tc>
      </w:tr>
      <w:tr w:rsidR="00E623A5" w:rsidRPr="00E623A5" w:rsidTr="00C63A57">
        <w:tc>
          <w:tcPr>
            <w:tcW w:w="2802" w:type="dxa"/>
            <w:tcBorders>
              <w:top w:val="nil"/>
              <w:left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Road &amp; rail drivers</w:t>
            </w:r>
          </w:p>
        </w:tc>
        <w:tc>
          <w:tcPr>
            <w:tcW w:w="1782" w:type="dxa"/>
            <w:tcBorders>
              <w:top w:val="nil"/>
              <w:left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35.7</w:t>
            </w:r>
          </w:p>
        </w:tc>
        <w:tc>
          <w:tcPr>
            <w:tcW w:w="1773" w:type="dxa"/>
            <w:tcBorders>
              <w:top w:val="nil"/>
              <w:left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17.5</w:t>
            </w:r>
          </w:p>
        </w:tc>
        <w:tc>
          <w:tcPr>
            <w:tcW w:w="1771" w:type="dxa"/>
            <w:tcBorders>
              <w:top w:val="nil"/>
              <w:left w:val="nil"/>
              <w:right w:val="nil"/>
            </w:tcBorders>
          </w:tcPr>
          <w:p w:rsidR="00E623A5" w:rsidRPr="00E623A5" w:rsidRDefault="00E623A5" w:rsidP="00E623A5">
            <w:pPr>
              <w:spacing w:before="40" w:after="40" w:line="240" w:lineRule="auto"/>
              <w:rPr>
                <w:rFonts w:ascii="Tahoma" w:hAnsi="Tahoma"/>
                <w:sz w:val="16"/>
              </w:rPr>
            </w:pPr>
            <w:r w:rsidRPr="00E623A5">
              <w:rPr>
                <w:rFonts w:ascii="Tahoma" w:hAnsi="Tahoma"/>
                <w:sz w:val="16"/>
              </w:rPr>
              <w:t>2.6</w:t>
            </w:r>
          </w:p>
        </w:tc>
      </w:tr>
    </w:tbl>
    <w:p w:rsidR="00E623A5" w:rsidRDefault="00E623A5" w:rsidP="00E623A5">
      <w:pPr>
        <w:spacing w:line="300" w:lineRule="exact"/>
        <w:ind w:right="-1"/>
        <w:rPr>
          <w:rFonts w:ascii="Arial" w:hAnsi="Arial" w:cs="Tahoma"/>
          <w:color w:val="000000"/>
          <w:kern w:val="28"/>
          <w:sz w:val="56"/>
          <w:szCs w:val="56"/>
        </w:rPr>
      </w:pPr>
      <w:r w:rsidRPr="00E623A5">
        <w:t xml:space="preserve">The work on identifying occupations in the STEM disciplines demonstrates that jobs can come from a variety of educational pathways and education sectors and are not the exclusive property of university education. </w:t>
      </w:r>
      <w:r>
        <w:br w:type="page"/>
      </w:r>
    </w:p>
    <w:p w:rsidR="00A50895" w:rsidRPr="00AA170F" w:rsidRDefault="00A50895" w:rsidP="00AA170F">
      <w:pPr>
        <w:pStyle w:val="Heading1"/>
      </w:pPr>
      <w:bookmarkStart w:id="30" w:name="_Toc456000800"/>
      <w:bookmarkStart w:id="31" w:name="_Toc457122465"/>
      <w:bookmarkStart w:id="32" w:name="_Toc188077643"/>
      <w:bookmarkStart w:id="33" w:name="_Toc461188882"/>
      <w:r w:rsidRPr="00AA170F">
        <w:lastRenderedPageBreak/>
        <w:t>References</w:t>
      </w:r>
      <w:bookmarkEnd w:id="30"/>
      <w:bookmarkEnd w:id="31"/>
      <w:bookmarkEnd w:id="32"/>
      <w:bookmarkEnd w:id="33"/>
    </w:p>
    <w:bookmarkEnd w:id="5"/>
    <w:bookmarkEnd w:id="6"/>
    <w:bookmarkEnd w:id="7"/>
    <w:bookmarkEnd w:id="8"/>
    <w:p w:rsidR="00EB6AB2" w:rsidRDefault="00EB6AB2" w:rsidP="00EB6AB2">
      <w:pPr>
        <w:pStyle w:val="References"/>
      </w:pPr>
      <w:r>
        <w:t>ABS (Australian Bureau of Statistics) 2013, Perspectives on education and training: Australians with qualifications in science, technology, engineering and mathematics (STEM), 2010—11, cat.no.4250.0.55.005, ABS, Canberra, viewed 20 Mar 2015, &lt; http://www.abs.gov.au/ausstats%5Cabs@.nsf/0/54B42BD3902EB8A2CA257C86000EA59A?Opendocument&gt;</w:t>
      </w:r>
    </w:p>
    <w:p w:rsidR="00EB6AB2" w:rsidRDefault="00EB6AB2" w:rsidP="00EB6AB2">
      <w:pPr>
        <w:pStyle w:val="References"/>
      </w:pPr>
      <w:proofErr w:type="gramStart"/>
      <w:r>
        <w:t>Department of State Development (SA) 2015, STEM Occupations Methodology, DSD, Adelaide.</w:t>
      </w:r>
      <w:proofErr w:type="gramEnd"/>
    </w:p>
    <w:p w:rsidR="00EB6AB2" w:rsidRDefault="00EB6AB2" w:rsidP="00EB6AB2">
      <w:pPr>
        <w:pStyle w:val="References"/>
      </w:pPr>
      <w:r>
        <w:t>Elgin Economics 2014, Science and maths skills in the Victorian workforce: the evidence base, Melbourne, Elgin Economics.</w:t>
      </w:r>
    </w:p>
    <w:p w:rsidR="00EB6AB2" w:rsidRDefault="00EB6AB2" w:rsidP="00EB6AB2">
      <w:pPr>
        <w:pStyle w:val="References"/>
      </w:pPr>
      <w:r>
        <w:t xml:space="preserve">UK Commission for Employment and Skills 2015, </w:t>
      </w:r>
      <w:proofErr w:type="gramStart"/>
      <w:r>
        <w:t>Reviewing</w:t>
      </w:r>
      <w:proofErr w:type="gramEnd"/>
      <w:r>
        <w:t xml:space="preserve"> the requirement for high level STEM skills, UK Commission for Education and Skills, </w:t>
      </w:r>
      <w:proofErr w:type="spellStart"/>
      <w:r>
        <w:t>Wath</w:t>
      </w:r>
      <w:proofErr w:type="spellEnd"/>
      <w:r>
        <w:t>-upon-</w:t>
      </w:r>
      <w:proofErr w:type="spellStart"/>
      <w:r>
        <w:t>Dearne</w:t>
      </w:r>
      <w:proofErr w:type="spellEnd"/>
      <w:r>
        <w:t>, England.</w:t>
      </w:r>
    </w:p>
    <w:p w:rsidR="00150874" w:rsidRDefault="00EB6AB2" w:rsidP="00EB6AB2">
      <w:pPr>
        <w:pStyle w:val="References"/>
      </w:pPr>
      <w:r>
        <w:t>Rothwell, J 2013, The hidden STEM economy, Brookings Institution, Washington, DC, viewed 30 Mar 2015, &lt; http://www.brookings.edu/research/reports/2013/06/10-stem-economy-rothwell&gt;.</w:t>
      </w:r>
    </w:p>
    <w:sectPr w:rsidR="00150874" w:rsidSect="009775C7">
      <w:footerReference w:type="even" r:id="rId21"/>
      <w:footerReference w:type="default" r:id="rId22"/>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A5" w:rsidRDefault="00E623A5">
      <w:r>
        <w:separator/>
      </w:r>
    </w:p>
  </w:endnote>
  <w:endnote w:type="continuationSeparator" w:id="0">
    <w:p w:rsidR="00E623A5" w:rsidRDefault="00E6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A5" w:rsidRDefault="00E623A5">
    <w:pPr>
      <w:pStyle w:val="Footer"/>
    </w:pPr>
    <w:r>
      <w:rPr>
        <w:noProof/>
        <w:lang w:eastAsia="en-AU"/>
      </w:rPr>
      <mc:AlternateContent>
        <mc:Choice Requires="wps">
          <w:drawing>
            <wp:anchor distT="0" distB="0" distL="114300" distR="114300" simplePos="0" relativeHeight="251664384" behindDoc="0" locked="0" layoutInCell="1" allowOverlap="1" wp14:anchorId="29C8C8AA" wp14:editId="16C6D948">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3A5" w:rsidRPr="00A9334E" w:rsidRDefault="00E623A5"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E623A5" w:rsidRDefault="00E623A5"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rsidR="00E623A5" w:rsidRPr="00A9334E" w:rsidRDefault="00E623A5"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E623A5" w:rsidRDefault="00E623A5"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A5" w:rsidRPr="00AD7A15" w:rsidRDefault="00AD7A15" w:rsidP="00AD7A15">
    <w:pPr>
      <w:pStyle w:val="Footer"/>
      <w:tabs>
        <w:tab w:val="clear" w:pos="8505"/>
        <w:tab w:val="left" w:pos="543"/>
        <w:tab w:val="right" w:pos="8789"/>
      </w:tabs>
      <w:ind w:hanging="709"/>
      <w:rPr>
        <w:b/>
        <w:color w:val="000000" w:themeColor="text1"/>
      </w:rPr>
    </w:pPr>
    <w:r w:rsidRPr="00AD7A15">
      <w:rPr>
        <w:b/>
        <w:color w:val="000000" w:themeColor="text1"/>
      </w:rPr>
      <w:fldChar w:fldCharType="begin"/>
    </w:r>
    <w:r w:rsidRPr="00AD7A15">
      <w:rPr>
        <w:b/>
        <w:color w:val="000000" w:themeColor="text1"/>
      </w:rPr>
      <w:instrText xml:space="preserve"> PAGE </w:instrText>
    </w:r>
    <w:r w:rsidRPr="00AD7A15">
      <w:rPr>
        <w:b/>
        <w:color w:val="000000" w:themeColor="text1"/>
      </w:rPr>
      <w:fldChar w:fldCharType="separate"/>
    </w:r>
    <w:r w:rsidR="00D622B3">
      <w:rPr>
        <w:b/>
        <w:noProof/>
        <w:color w:val="000000" w:themeColor="text1"/>
      </w:rPr>
      <w:t>12</w:t>
    </w:r>
    <w:r w:rsidRPr="00AD7A15">
      <w:rPr>
        <w:b/>
        <w:color w:val="000000" w:themeColor="text1"/>
      </w:rPr>
      <w:fldChar w:fldCharType="end"/>
    </w:r>
    <w:r w:rsidRPr="00AD7A15">
      <w:rPr>
        <w:b/>
        <w:color w:val="000000" w:themeColor="text1"/>
      </w:rPr>
      <w:tab/>
    </w:r>
    <w:r w:rsidRPr="00AD7A15">
      <w:rPr>
        <w:b/>
        <w:color w:val="000000" w:themeColor="text1"/>
      </w:rPr>
      <w:tab/>
    </w:r>
    <w:r w:rsidRPr="00AD7A15">
      <w:rPr>
        <w:b/>
        <w:color w:val="000000" w:themeColor="text1"/>
      </w:rPr>
      <w:tab/>
      <w:t>Identifying STEM occupations – national and international approaches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15" w:rsidRPr="00AD7A15" w:rsidRDefault="00AD7A15" w:rsidP="00AD7A15">
    <w:pPr>
      <w:pStyle w:val="Footer"/>
      <w:tabs>
        <w:tab w:val="left" w:pos="9526"/>
        <w:tab w:val="right" w:pos="9923"/>
      </w:tabs>
      <w:rPr>
        <w:b/>
        <w:color w:val="000000" w:themeColor="text1"/>
      </w:rPr>
    </w:pPr>
  </w:p>
  <w:p w:rsidR="00E623A5" w:rsidRPr="00AD7A15" w:rsidRDefault="00AD7A15" w:rsidP="00AD7A15">
    <w:pPr>
      <w:pStyle w:val="Footer"/>
      <w:tabs>
        <w:tab w:val="left" w:pos="9526"/>
        <w:tab w:val="right" w:pos="9923"/>
      </w:tabs>
      <w:rPr>
        <w:b/>
        <w:color w:val="000000" w:themeColor="text1"/>
      </w:rPr>
    </w:pPr>
    <w:r w:rsidRPr="00AD7A15">
      <w:rPr>
        <w:b/>
        <w:color w:val="000000" w:themeColor="text1"/>
      </w:rPr>
      <w:t>Gitta Siekmann &amp; Patrick Korbel</w:t>
    </w:r>
    <w:r w:rsidRPr="00AD7A15">
      <w:rPr>
        <w:b/>
        <w:color w:val="000000" w:themeColor="text1"/>
      </w:rPr>
      <w:tab/>
    </w:r>
    <w:r w:rsidRPr="00AD7A15">
      <w:rPr>
        <w:b/>
        <w:color w:val="000000" w:themeColor="text1"/>
      </w:rPr>
      <w:tab/>
    </w:r>
    <w:r w:rsidRPr="00AD7A15">
      <w:rPr>
        <w:rStyle w:val="PageNumber"/>
        <w:b/>
        <w:color w:val="000000" w:themeColor="text1"/>
        <w:sz w:val="17"/>
      </w:rPr>
      <w:fldChar w:fldCharType="begin"/>
    </w:r>
    <w:r w:rsidRPr="00AD7A15">
      <w:rPr>
        <w:rStyle w:val="PageNumber"/>
        <w:b/>
        <w:color w:val="000000" w:themeColor="text1"/>
        <w:sz w:val="17"/>
      </w:rPr>
      <w:instrText xml:space="preserve"> PAGE </w:instrText>
    </w:r>
    <w:r w:rsidRPr="00AD7A15">
      <w:rPr>
        <w:rStyle w:val="PageNumber"/>
        <w:b/>
        <w:color w:val="000000" w:themeColor="text1"/>
        <w:sz w:val="17"/>
      </w:rPr>
      <w:fldChar w:fldCharType="separate"/>
    </w:r>
    <w:r w:rsidR="00D622B3">
      <w:rPr>
        <w:rStyle w:val="PageNumber"/>
        <w:b/>
        <w:noProof/>
        <w:color w:val="000000" w:themeColor="text1"/>
        <w:sz w:val="17"/>
      </w:rPr>
      <w:t>11</w:t>
    </w:r>
    <w:r w:rsidRPr="00AD7A15">
      <w:rPr>
        <w:rStyle w:val="PageNumber"/>
        <w:b/>
        <w:color w:val="000000" w:themeColor="text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A5" w:rsidRDefault="00E623A5">
      <w:r>
        <w:separator/>
      </w:r>
    </w:p>
  </w:footnote>
  <w:footnote w:type="continuationSeparator" w:id="0">
    <w:p w:rsidR="00E623A5" w:rsidRDefault="00E6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2901E8F"/>
    <w:multiLevelType w:val="hybridMultilevel"/>
    <w:tmpl w:val="FE7C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C7"/>
    <w:rsid w:val="000108B2"/>
    <w:rsid w:val="00013265"/>
    <w:rsid w:val="00022290"/>
    <w:rsid w:val="000315D7"/>
    <w:rsid w:val="0006125F"/>
    <w:rsid w:val="00074BD4"/>
    <w:rsid w:val="000C1642"/>
    <w:rsid w:val="000F641C"/>
    <w:rsid w:val="0010761A"/>
    <w:rsid w:val="00116D1E"/>
    <w:rsid w:val="00123B5C"/>
    <w:rsid w:val="00135C75"/>
    <w:rsid w:val="00150874"/>
    <w:rsid w:val="001509F3"/>
    <w:rsid w:val="00155839"/>
    <w:rsid w:val="00166090"/>
    <w:rsid w:val="00166281"/>
    <w:rsid w:val="00177827"/>
    <w:rsid w:val="00184504"/>
    <w:rsid w:val="001B43CF"/>
    <w:rsid w:val="001F7D84"/>
    <w:rsid w:val="002277A9"/>
    <w:rsid w:val="00233BFA"/>
    <w:rsid w:val="00233C8D"/>
    <w:rsid w:val="00284FCB"/>
    <w:rsid w:val="002E196B"/>
    <w:rsid w:val="00306EC1"/>
    <w:rsid w:val="00334CE3"/>
    <w:rsid w:val="00340B4D"/>
    <w:rsid w:val="003B16DA"/>
    <w:rsid w:val="003B483E"/>
    <w:rsid w:val="003E67CB"/>
    <w:rsid w:val="00405E3C"/>
    <w:rsid w:val="004269C7"/>
    <w:rsid w:val="00434840"/>
    <w:rsid w:val="00457C3A"/>
    <w:rsid w:val="00464E15"/>
    <w:rsid w:val="0047778D"/>
    <w:rsid w:val="0048643A"/>
    <w:rsid w:val="0049453B"/>
    <w:rsid w:val="00494E7C"/>
    <w:rsid w:val="004C4063"/>
    <w:rsid w:val="004D4802"/>
    <w:rsid w:val="004E7227"/>
    <w:rsid w:val="005021D6"/>
    <w:rsid w:val="00511B3F"/>
    <w:rsid w:val="00520315"/>
    <w:rsid w:val="0052276C"/>
    <w:rsid w:val="00560C71"/>
    <w:rsid w:val="00564380"/>
    <w:rsid w:val="00570758"/>
    <w:rsid w:val="00581546"/>
    <w:rsid w:val="00583E24"/>
    <w:rsid w:val="005C277E"/>
    <w:rsid w:val="005C61F8"/>
    <w:rsid w:val="005E4764"/>
    <w:rsid w:val="00652973"/>
    <w:rsid w:val="00656679"/>
    <w:rsid w:val="0067712D"/>
    <w:rsid w:val="00696A48"/>
    <w:rsid w:val="006A702B"/>
    <w:rsid w:val="006C5DA9"/>
    <w:rsid w:val="006E1FA9"/>
    <w:rsid w:val="006E66F2"/>
    <w:rsid w:val="007037A4"/>
    <w:rsid w:val="00731EC8"/>
    <w:rsid w:val="00783B79"/>
    <w:rsid w:val="00783F44"/>
    <w:rsid w:val="007A2079"/>
    <w:rsid w:val="007A3BEB"/>
    <w:rsid w:val="007C3281"/>
    <w:rsid w:val="007C50A7"/>
    <w:rsid w:val="007D79E4"/>
    <w:rsid w:val="007E2D8C"/>
    <w:rsid w:val="007E52E6"/>
    <w:rsid w:val="00800A2B"/>
    <w:rsid w:val="00806C1C"/>
    <w:rsid w:val="00826757"/>
    <w:rsid w:val="00832CF7"/>
    <w:rsid w:val="00865BBB"/>
    <w:rsid w:val="00874DA5"/>
    <w:rsid w:val="008923B6"/>
    <w:rsid w:val="00894271"/>
    <w:rsid w:val="008C0A74"/>
    <w:rsid w:val="008F20BA"/>
    <w:rsid w:val="009058B5"/>
    <w:rsid w:val="00933317"/>
    <w:rsid w:val="00940830"/>
    <w:rsid w:val="009461ED"/>
    <w:rsid w:val="009538E6"/>
    <w:rsid w:val="0096689A"/>
    <w:rsid w:val="009704E4"/>
    <w:rsid w:val="00973D64"/>
    <w:rsid w:val="009775C7"/>
    <w:rsid w:val="009A4845"/>
    <w:rsid w:val="009C22BE"/>
    <w:rsid w:val="009E17EF"/>
    <w:rsid w:val="009E231A"/>
    <w:rsid w:val="009E2F64"/>
    <w:rsid w:val="00A10A6B"/>
    <w:rsid w:val="00A10E2B"/>
    <w:rsid w:val="00A30084"/>
    <w:rsid w:val="00A50895"/>
    <w:rsid w:val="00A566CC"/>
    <w:rsid w:val="00A73318"/>
    <w:rsid w:val="00A9334E"/>
    <w:rsid w:val="00A93867"/>
    <w:rsid w:val="00AA170F"/>
    <w:rsid w:val="00AA44D4"/>
    <w:rsid w:val="00AB4010"/>
    <w:rsid w:val="00AB7E26"/>
    <w:rsid w:val="00AD7A15"/>
    <w:rsid w:val="00AF1005"/>
    <w:rsid w:val="00B05F5C"/>
    <w:rsid w:val="00B41272"/>
    <w:rsid w:val="00B426FE"/>
    <w:rsid w:val="00B57CC9"/>
    <w:rsid w:val="00B77043"/>
    <w:rsid w:val="00B86D06"/>
    <w:rsid w:val="00BB113D"/>
    <w:rsid w:val="00BC265D"/>
    <w:rsid w:val="00BC770A"/>
    <w:rsid w:val="00BC7C47"/>
    <w:rsid w:val="00BD00B7"/>
    <w:rsid w:val="00BF690E"/>
    <w:rsid w:val="00C053D5"/>
    <w:rsid w:val="00C23405"/>
    <w:rsid w:val="00C54125"/>
    <w:rsid w:val="00C63294"/>
    <w:rsid w:val="00C63A57"/>
    <w:rsid w:val="00C64A05"/>
    <w:rsid w:val="00C77DC6"/>
    <w:rsid w:val="00C801DA"/>
    <w:rsid w:val="00C926F0"/>
    <w:rsid w:val="00C9656D"/>
    <w:rsid w:val="00CA1227"/>
    <w:rsid w:val="00CA4AFC"/>
    <w:rsid w:val="00CD0BFB"/>
    <w:rsid w:val="00CD5F32"/>
    <w:rsid w:val="00D076F0"/>
    <w:rsid w:val="00D42A61"/>
    <w:rsid w:val="00D43B5F"/>
    <w:rsid w:val="00D622B3"/>
    <w:rsid w:val="00D722F7"/>
    <w:rsid w:val="00DB599C"/>
    <w:rsid w:val="00DC5F5C"/>
    <w:rsid w:val="00E06B95"/>
    <w:rsid w:val="00E110EA"/>
    <w:rsid w:val="00E123CB"/>
    <w:rsid w:val="00E14FA9"/>
    <w:rsid w:val="00E22725"/>
    <w:rsid w:val="00E236D0"/>
    <w:rsid w:val="00E365F8"/>
    <w:rsid w:val="00E42342"/>
    <w:rsid w:val="00E52313"/>
    <w:rsid w:val="00E56EC1"/>
    <w:rsid w:val="00E623A5"/>
    <w:rsid w:val="00E81A91"/>
    <w:rsid w:val="00E92B8B"/>
    <w:rsid w:val="00E95812"/>
    <w:rsid w:val="00E95948"/>
    <w:rsid w:val="00EB6AB2"/>
    <w:rsid w:val="00ED4D6D"/>
    <w:rsid w:val="00EE42D9"/>
    <w:rsid w:val="00EE67B3"/>
    <w:rsid w:val="00F01B10"/>
    <w:rsid w:val="00F93048"/>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Tabletitle0">
    <w:name w:val="Tabletitle"/>
    <w:next w:val="Text"/>
    <w:rsid w:val="006E66F2"/>
    <w:pPr>
      <w:spacing w:before="360" w:after="80"/>
      <w:ind w:left="851" w:hanging="851"/>
    </w:pPr>
    <w:rPr>
      <w:rFonts w:ascii="Tahoma" w:hAnsi="Tahoma"/>
      <w:b/>
      <w:sz w:val="17"/>
      <w:lang w:val="en-AU"/>
    </w:rPr>
  </w:style>
  <w:style w:type="character" w:customStyle="1" w:styleId="FooterChar">
    <w:name w:val="Footer Char"/>
    <w:link w:val="Footer"/>
    <w:uiPriority w:val="99"/>
    <w:rsid w:val="00AD7A15"/>
    <w:rPr>
      <w:rFonts w:ascii="Arial" w:hAnsi="Arial"/>
      <w:sz w:val="17"/>
      <w:szCs w:val="17"/>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Tabletitle0">
    <w:name w:val="Tabletitle"/>
    <w:next w:val="Text"/>
    <w:rsid w:val="006E66F2"/>
    <w:pPr>
      <w:spacing w:before="360" w:after="80"/>
      <w:ind w:left="851" w:hanging="851"/>
    </w:pPr>
    <w:rPr>
      <w:rFonts w:ascii="Tahoma" w:hAnsi="Tahoma"/>
      <w:b/>
      <w:sz w:val="17"/>
      <w:lang w:val="en-AU"/>
    </w:rPr>
  </w:style>
  <w:style w:type="character" w:customStyle="1" w:styleId="FooterChar">
    <w:name w:val="Footer Char"/>
    <w:link w:val="Footer"/>
    <w:uiPriority w:val="99"/>
    <w:rsid w:val="00AD7A15"/>
    <w:rPr>
      <w:rFonts w:ascii="Arial" w:hAnsi="Arial"/>
      <w:sz w:val="17"/>
      <w:szCs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lsay.edu.au" TargetMode="Externa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0.wmf"/><Relationship Id="rId23" Type="http://schemas.openxmlformats.org/officeDocument/2006/relationships/fontTable" Target="fontTable.xml"/><Relationship Id="rId10" Type="http://schemas.openxmlformats.org/officeDocument/2006/relationships/hyperlink" Target="http://www.ncver.edu.au"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lsay.edu.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ttasiekmann\Downloads\SupportDocument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47A1-F823-406E-81C3-C797712D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 (1).dotx</Template>
  <TotalTime>17</TotalTime>
  <Pages>12</Pages>
  <Words>2694</Words>
  <Characters>16088</Characters>
  <Application>Microsoft Office Word</Application>
  <DocSecurity>0</DocSecurity>
  <Lines>287</Lines>
  <Paragraphs>134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18648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STEM occupations - national and international approaches</dc:title>
  <dc:creator>GittaSiekmann@ncver.edu.au;PatrickKorbel@ncver.edu.au</dc:creator>
  <cp:lastModifiedBy>Elise Rivett</cp:lastModifiedBy>
  <cp:revision>11</cp:revision>
  <cp:lastPrinted>2016-09-21T02:26:00Z</cp:lastPrinted>
  <dcterms:created xsi:type="dcterms:W3CDTF">2016-09-14T02:53:00Z</dcterms:created>
  <dcterms:modified xsi:type="dcterms:W3CDTF">2016-09-30T02:11:00Z</dcterms:modified>
</cp:coreProperties>
</file>