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BA3" w:rsidRPr="009C5550" w:rsidRDefault="00D77BA3" w:rsidP="009C5550">
      <w:pPr>
        <w:pStyle w:val="Text"/>
        <w:pBdr>
          <w:top w:val="single" w:sz="4" w:space="1" w:color="auto"/>
          <w:left w:val="single" w:sz="4" w:space="4" w:color="auto"/>
          <w:bottom w:val="single" w:sz="4" w:space="1" w:color="auto"/>
          <w:right w:val="single" w:sz="4" w:space="4" w:color="auto"/>
        </w:pBdr>
        <w:rPr>
          <w:i/>
        </w:rPr>
      </w:pPr>
      <w:r>
        <w:t xml:space="preserve">This is an alternative text version of </w:t>
      </w:r>
      <w:proofErr w:type="gramStart"/>
      <w:r w:rsidR="00FF3C0C">
        <w:rPr>
          <w:i/>
        </w:rPr>
        <w:t>The</w:t>
      </w:r>
      <w:proofErr w:type="gramEnd"/>
      <w:r w:rsidR="00FF3C0C">
        <w:rPr>
          <w:i/>
        </w:rPr>
        <w:t xml:space="preserve"> changing nature of apprenticeships: 1996—2016: </w:t>
      </w:r>
      <w:r w:rsidR="00C24AEE">
        <w:rPr>
          <w:i/>
        </w:rPr>
        <w:t>infographic</w:t>
      </w:r>
      <w:r>
        <w:t xml:space="preserve">. It is designed to be read via a screen reader and consequently has had all visual elements removed. Please see the </w:t>
      </w:r>
      <w:r w:rsidR="00D94279">
        <w:t>online version</w:t>
      </w:r>
      <w:r>
        <w:t xml:space="preserve"> availab</w:t>
      </w:r>
      <w:r w:rsidR="00B8162F">
        <w:t>le at &lt;http://www.ncver.edu.au/</w:t>
      </w:r>
      <w:r>
        <w:t>infographics&gt; if you wish to view the full version.</w:t>
      </w:r>
    </w:p>
    <w:p w:rsidR="00D77BA3" w:rsidRDefault="00D77BA3" w:rsidP="00D77BA3">
      <w:pPr>
        <w:spacing w:after="0"/>
        <w:ind w:right="-23"/>
        <w:rPr>
          <w:rFonts w:ascii="Tahoma" w:hAnsi="Tahoma" w:cs="Tahoma"/>
          <w:b/>
          <w:sz w:val="24"/>
        </w:rPr>
      </w:pPr>
    </w:p>
    <w:p w:rsidR="00FF3C0C" w:rsidRDefault="00FF3C0C" w:rsidP="0079798C">
      <w:pPr>
        <w:pStyle w:val="Heading1"/>
      </w:pPr>
      <w:r>
        <w:t>The changing nature of apprenticeships: 1996–2016</w:t>
      </w:r>
    </w:p>
    <w:p w:rsidR="00D77BA3" w:rsidRPr="0079798C" w:rsidRDefault="00FF3C0C" w:rsidP="00FF3C0C">
      <w:pPr>
        <w:pStyle w:val="Heading2"/>
      </w:pPr>
      <w:r>
        <w:t>Infographic supporting the research summary</w:t>
      </w:r>
      <w:r w:rsidR="009C5550" w:rsidRPr="0079798C">
        <w:t xml:space="preserve"> </w:t>
      </w:r>
    </w:p>
    <w:p w:rsidR="002B6EE3" w:rsidRPr="002B6EE3" w:rsidRDefault="002B6EE3" w:rsidP="002B6EE3">
      <w:pPr>
        <w:rPr>
          <w:rFonts w:ascii="Trebuchet MS" w:hAnsi="Trebuchet MS" w:cs="Arial"/>
          <w:sz w:val="19"/>
          <w:szCs w:val="19"/>
        </w:rPr>
      </w:pPr>
      <w:r w:rsidRPr="002B6EE3">
        <w:rPr>
          <w:rFonts w:ascii="Trebuchet MS" w:hAnsi="Trebuchet MS" w:cs="Arial"/>
          <w:sz w:val="19"/>
          <w:szCs w:val="19"/>
        </w:rPr>
        <w:t xml:space="preserve">The purpose of the research summary, </w:t>
      </w:r>
      <w:hyperlink r:id="rId9" w:history="1">
        <w:r w:rsidRPr="002F6BD9">
          <w:rPr>
            <w:rStyle w:val="Hyperlink"/>
            <w:rFonts w:ascii="Trebuchet MS" w:hAnsi="Trebuchet MS" w:cs="Arial"/>
            <w:i/>
            <w:sz w:val="19"/>
            <w:szCs w:val="19"/>
          </w:rPr>
          <w:t xml:space="preserve">The changing </w:t>
        </w:r>
        <w:r w:rsidR="00BB4EB0" w:rsidRPr="002F6BD9">
          <w:rPr>
            <w:rStyle w:val="Hyperlink"/>
            <w:rFonts w:ascii="Trebuchet MS" w:hAnsi="Trebuchet MS" w:cs="Arial"/>
            <w:i/>
            <w:sz w:val="19"/>
            <w:szCs w:val="19"/>
          </w:rPr>
          <w:t>nature of apprenticeships: 1996—</w:t>
        </w:r>
        <w:r w:rsidRPr="002F6BD9">
          <w:rPr>
            <w:rStyle w:val="Hyperlink"/>
            <w:rFonts w:ascii="Trebuchet MS" w:hAnsi="Trebuchet MS" w:cs="Arial"/>
            <w:i/>
            <w:sz w:val="19"/>
            <w:szCs w:val="19"/>
          </w:rPr>
          <w:t>2016</w:t>
        </w:r>
      </w:hyperlink>
      <w:r w:rsidRPr="002B6EE3">
        <w:rPr>
          <w:rFonts w:ascii="Trebuchet MS" w:hAnsi="Trebuchet MS" w:cs="Arial"/>
          <w:sz w:val="19"/>
          <w:szCs w:val="19"/>
        </w:rPr>
        <w:t xml:space="preserve"> </w:t>
      </w:r>
      <w:r w:rsidR="002731EF">
        <w:rPr>
          <w:rFonts w:ascii="Trebuchet MS" w:hAnsi="Trebuchet MS" w:cs="Arial"/>
          <w:sz w:val="19"/>
          <w:szCs w:val="19"/>
        </w:rPr>
        <w:t>&lt;</w:t>
      </w:r>
      <w:r w:rsidR="002731EF" w:rsidRPr="002731EF">
        <w:rPr>
          <w:rFonts w:ascii="Trebuchet MS" w:hAnsi="Trebuchet MS" w:cs="Arial"/>
          <w:sz w:val="19"/>
          <w:szCs w:val="19"/>
        </w:rPr>
        <w:t>https://www.ncver.edu.au/publications/publications/all-publications/the-changing-nature-of-apprenticeships-1996-2016</w:t>
      </w:r>
      <w:r w:rsidR="002731EF">
        <w:rPr>
          <w:rFonts w:ascii="Trebuchet MS" w:hAnsi="Trebuchet MS" w:cs="Arial"/>
          <w:sz w:val="19"/>
          <w:szCs w:val="19"/>
        </w:rPr>
        <w:t xml:space="preserve">&gt; </w:t>
      </w:r>
      <w:r w:rsidRPr="002B6EE3">
        <w:rPr>
          <w:rFonts w:ascii="Trebuchet MS" w:hAnsi="Trebuchet MS" w:cs="Arial"/>
          <w:sz w:val="19"/>
          <w:szCs w:val="19"/>
        </w:rPr>
        <w:t>is to provide evidence of change in the apprenticeship system over a period of time. The focus is on measures facilitating more flexibility in the system, such as the growth of adult apprentices and alternative training models. </w:t>
      </w:r>
    </w:p>
    <w:p w:rsidR="002B6EE3" w:rsidRPr="002B6EE3" w:rsidRDefault="002B6EE3" w:rsidP="002B6EE3">
      <w:pPr>
        <w:rPr>
          <w:rFonts w:ascii="Trebuchet MS" w:hAnsi="Trebuchet MS" w:cs="Arial"/>
          <w:sz w:val="19"/>
          <w:szCs w:val="19"/>
        </w:rPr>
      </w:pPr>
      <w:r w:rsidRPr="002B6EE3">
        <w:rPr>
          <w:rFonts w:ascii="Trebuchet MS" w:hAnsi="Trebuchet MS" w:cs="Arial"/>
          <w:sz w:val="19"/>
          <w:szCs w:val="19"/>
        </w:rPr>
        <w:t>This infographic presents the data from the research summary in an interactive way, allowing for easier comparison between trade and non-trade apprentices by age groups (15</w:t>
      </w:r>
      <w:r w:rsidR="00FC5D4E">
        <w:rPr>
          <w:rFonts w:ascii="Trebuchet MS" w:hAnsi="Trebuchet MS" w:cs="Arial"/>
          <w:sz w:val="19"/>
          <w:szCs w:val="19"/>
        </w:rPr>
        <w:t>—</w:t>
      </w:r>
      <w:r w:rsidRPr="002B6EE3">
        <w:rPr>
          <w:rFonts w:ascii="Trebuchet MS" w:hAnsi="Trebuchet MS" w:cs="Arial"/>
          <w:sz w:val="19"/>
          <w:szCs w:val="19"/>
        </w:rPr>
        <w:t>24 years and 25</w:t>
      </w:r>
      <w:r w:rsidR="00FC5D4E">
        <w:rPr>
          <w:rFonts w:ascii="Trebuchet MS" w:hAnsi="Trebuchet MS" w:cs="Arial"/>
          <w:sz w:val="19"/>
          <w:szCs w:val="19"/>
        </w:rPr>
        <w:t>—</w:t>
      </w:r>
      <w:r w:rsidRPr="002B6EE3">
        <w:rPr>
          <w:rFonts w:ascii="Trebuchet MS" w:hAnsi="Trebuchet MS" w:cs="Arial"/>
          <w:sz w:val="19"/>
          <w:szCs w:val="19"/>
        </w:rPr>
        <w:t>64 years).</w:t>
      </w:r>
    </w:p>
    <w:p w:rsidR="002B6EE3" w:rsidRPr="002B6EE3" w:rsidRDefault="002B6EE3" w:rsidP="002B6EE3">
      <w:pPr>
        <w:rPr>
          <w:rFonts w:ascii="Trebuchet MS" w:hAnsi="Trebuchet MS" w:cs="Arial"/>
          <w:sz w:val="19"/>
          <w:szCs w:val="19"/>
        </w:rPr>
      </w:pPr>
      <w:r w:rsidRPr="002B6EE3">
        <w:rPr>
          <w:rFonts w:ascii="Trebuchet MS" w:hAnsi="Trebuchet MS" w:cs="Arial"/>
          <w:sz w:val="19"/>
          <w:szCs w:val="19"/>
        </w:rPr>
        <w:t>Explanations on trends can be found in the research summary. In addition a timeline of major policy changes affecting apprenticeships and traineeships in Australia from 1901 to 2016 is included at the bottom of the infographic. </w:t>
      </w:r>
    </w:p>
    <w:p w:rsidR="00F0260B" w:rsidRDefault="002B6EE3" w:rsidP="002B6EE3">
      <w:pPr>
        <w:rPr>
          <w:rFonts w:ascii="Trebuchet MS" w:hAnsi="Trebuchet MS" w:cs="Arial"/>
          <w:sz w:val="19"/>
          <w:szCs w:val="19"/>
        </w:rPr>
      </w:pPr>
      <w:r w:rsidRPr="002B6EE3">
        <w:rPr>
          <w:rFonts w:ascii="Trebuchet MS" w:hAnsi="Trebuchet MS" w:cs="Arial"/>
          <w:sz w:val="19"/>
          <w:szCs w:val="19"/>
        </w:rPr>
        <w:t>Readers may also be interested in: ‘</w:t>
      </w:r>
      <w:hyperlink r:id="rId10" w:tgtFrame="_blank" w:history="1">
        <w:r w:rsidRPr="002B6EE3">
          <w:rPr>
            <w:rStyle w:val="Hyperlink"/>
            <w:rFonts w:ascii="Trebuchet MS" w:hAnsi="Trebuchet MS" w:cs="Arial"/>
            <w:sz w:val="19"/>
            <w:szCs w:val="19"/>
          </w:rPr>
          <w:t>Historical time series of apprenticeships and traineeships in Australia</w:t>
        </w:r>
      </w:hyperlink>
      <w:r w:rsidRPr="002B6EE3">
        <w:rPr>
          <w:rFonts w:ascii="Trebuchet MS" w:hAnsi="Trebuchet MS" w:cs="Arial"/>
          <w:sz w:val="19"/>
          <w:szCs w:val="19"/>
        </w:rPr>
        <w:t>’</w:t>
      </w:r>
      <w:r w:rsidR="002C751B">
        <w:rPr>
          <w:rFonts w:ascii="Trebuchet MS" w:hAnsi="Trebuchet MS" w:cs="Arial"/>
          <w:sz w:val="19"/>
          <w:szCs w:val="19"/>
        </w:rPr>
        <w:t xml:space="preserve"> &lt;</w:t>
      </w:r>
      <w:r w:rsidR="002C751B" w:rsidRPr="002C751B">
        <w:rPr>
          <w:rFonts w:ascii="Trebuchet MS" w:hAnsi="Trebuchet MS" w:cs="Arial"/>
          <w:sz w:val="19"/>
          <w:szCs w:val="19"/>
        </w:rPr>
        <w:t>https://www.ncver.edu.au/data/data/infographics/historical-time-series-of-apprenticeships-and-traineeships-in-australia</w:t>
      </w:r>
      <w:r w:rsidR="002C751B">
        <w:rPr>
          <w:rFonts w:ascii="Trebuchet MS" w:hAnsi="Trebuchet MS" w:cs="Arial"/>
          <w:sz w:val="19"/>
          <w:szCs w:val="19"/>
        </w:rPr>
        <w:t>&gt;</w:t>
      </w:r>
      <w:r w:rsidRPr="002B6EE3">
        <w:rPr>
          <w:rFonts w:ascii="Trebuchet MS" w:hAnsi="Trebuchet MS" w:cs="Arial"/>
          <w:sz w:val="19"/>
          <w:szCs w:val="19"/>
        </w:rPr>
        <w:t>, which provides an interactive overview of the number of apprentice and trainee commencements and completions from 1963 to 2016, together with the specific economic and labour market contexts and the number of trade and non-trade commencements and completions from 1995 to 2016. </w:t>
      </w:r>
    </w:p>
    <w:p w:rsidR="00D41B27" w:rsidRDefault="00F0260B">
      <w:pPr>
        <w:rPr>
          <w:rFonts w:ascii="Trebuchet MS" w:hAnsi="Trebuchet MS" w:cs="Arial"/>
          <w:sz w:val="19"/>
          <w:szCs w:val="19"/>
        </w:rPr>
      </w:pPr>
      <w:r>
        <w:rPr>
          <w:rFonts w:ascii="Trebuchet MS" w:hAnsi="Trebuchet MS" w:cs="Arial"/>
          <w:sz w:val="19"/>
          <w:szCs w:val="19"/>
        </w:rPr>
        <w:fldChar w:fldCharType="begin"/>
      </w:r>
      <w:r>
        <w:rPr>
          <w:rFonts w:ascii="Trebuchet MS" w:hAnsi="Trebuchet MS" w:cs="Arial"/>
          <w:sz w:val="19"/>
          <w:szCs w:val="19"/>
        </w:rPr>
        <w:instrText xml:space="preserve"> TOC \h \z \c "Table" </w:instrText>
      </w:r>
      <w:r>
        <w:rPr>
          <w:rFonts w:ascii="Trebuchet MS" w:hAnsi="Trebuchet MS" w:cs="Arial"/>
          <w:sz w:val="19"/>
          <w:szCs w:val="19"/>
        </w:rPr>
        <w:fldChar w:fldCharType="end"/>
      </w:r>
      <w:r w:rsidR="00D41B27">
        <w:rPr>
          <w:rFonts w:ascii="Trebuchet MS" w:hAnsi="Trebuchet MS" w:cs="Arial"/>
          <w:sz w:val="19"/>
          <w:szCs w:val="19"/>
        </w:rPr>
        <w:br w:type="page"/>
      </w:r>
    </w:p>
    <w:p w:rsidR="00094C37" w:rsidRDefault="00094C37" w:rsidP="000636AF">
      <w:pPr>
        <w:rPr>
          <w:rFonts w:ascii="Trebuchet MS" w:hAnsi="Trebuchet MS" w:cs="Arial"/>
          <w:sz w:val="19"/>
          <w:szCs w:val="19"/>
        </w:rPr>
      </w:pPr>
    </w:p>
    <w:p w:rsidR="009C5550" w:rsidRDefault="00184575" w:rsidP="000636AF">
      <w:pPr>
        <w:pStyle w:val="Heading2"/>
      </w:pPr>
      <w:r w:rsidRPr="00184575">
        <w:t>Apprenticeship and traineeship commencement rates by trade/non-trade occupations for 15 to 24-year-olds, 1996–2016 (%)</w:t>
      </w:r>
      <w:r w:rsidR="00D77BA3" w:rsidRPr="0079798C">
        <w:t xml:space="preserve"> </w:t>
      </w:r>
    </w:p>
    <w:tbl>
      <w:tblPr>
        <w:tblStyle w:val="TableGrid"/>
        <w:tblW w:w="4786" w:type="dxa"/>
        <w:tblLayout w:type="fixed"/>
        <w:tblLook w:val="04A0" w:firstRow="1" w:lastRow="0" w:firstColumn="1" w:lastColumn="0" w:noHBand="0" w:noVBand="1"/>
        <w:tblCaption w:val="Apprenticeship and traineeship commencement rates by trade/non-trade occupations for 15 to 24-year-olds, 1996–2016 (%)"/>
        <w:tblDescription w:val="Table of Apprenticeship and traineeship commencement rates by trade/non-trade occupations for 15 to 24-year-olds, 1996–2016 (%)"/>
      </w:tblPr>
      <w:tblGrid>
        <w:gridCol w:w="1101"/>
        <w:gridCol w:w="1842"/>
        <w:gridCol w:w="1843"/>
      </w:tblGrid>
      <w:tr w:rsidR="00A04899" w:rsidRPr="0079798C" w:rsidTr="005E760D">
        <w:tc>
          <w:tcPr>
            <w:tcW w:w="1101" w:type="dxa"/>
            <w:tcBorders>
              <w:top w:val="single" w:sz="4" w:space="0" w:color="auto"/>
              <w:left w:val="nil"/>
              <w:bottom w:val="single" w:sz="4" w:space="0" w:color="auto"/>
              <w:right w:val="nil"/>
            </w:tcBorders>
          </w:tcPr>
          <w:p w:rsidR="00A04899" w:rsidRPr="004C4A6A" w:rsidRDefault="004659C7" w:rsidP="00C25921">
            <w:pPr>
              <w:pStyle w:val="Tableheader1"/>
            </w:pPr>
            <w:r>
              <w:t xml:space="preserve">  Year</w:t>
            </w:r>
          </w:p>
        </w:tc>
        <w:tc>
          <w:tcPr>
            <w:tcW w:w="1842" w:type="dxa"/>
            <w:tcBorders>
              <w:top w:val="single" w:sz="4" w:space="0" w:color="auto"/>
              <w:left w:val="nil"/>
              <w:bottom w:val="single" w:sz="4" w:space="0" w:color="auto"/>
              <w:right w:val="nil"/>
            </w:tcBorders>
          </w:tcPr>
          <w:p w:rsidR="00A04899" w:rsidRPr="00F0260B" w:rsidRDefault="00184575" w:rsidP="00C25921">
            <w:pPr>
              <w:pStyle w:val="Tableheader1"/>
              <w:rPr>
                <w:sz w:val="18"/>
              </w:rPr>
            </w:pPr>
            <w:r>
              <w:rPr>
                <w:sz w:val="18"/>
              </w:rPr>
              <w:t>15–24 years Trades</w:t>
            </w:r>
          </w:p>
        </w:tc>
        <w:tc>
          <w:tcPr>
            <w:tcW w:w="1843" w:type="dxa"/>
            <w:tcBorders>
              <w:top w:val="single" w:sz="4" w:space="0" w:color="auto"/>
              <w:left w:val="nil"/>
              <w:bottom w:val="single" w:sz="4" w:space="0" w:color="auto"/>
              <w:right w:val="nil"/>
            </w:tcBorders>
          </w:tcPr>
          <w:p w:rsidR="00A04899" w:rsidRDefault="00184575" w:rsidP="0071490A">
            <w:pPr>
              <w:pStyle w:val="Tableheader1"/>
            </w:pPr>
            <w:r>
              <w:t>15</w:t>
            </w:r>
            <w:r>
              <w:softHyphen/>
              <w:t>–24 years</w:t>
            </w:r>
            <w:r w:rsidR="0071490A">
              <w:br/>
            </w:r>
            <w:r>
              <w:t>Non-trades</w:t>
            </w:r>
          </w:p>
        </w:tc>
      </w:tr>
    </w:tbl>
    <w:tbl>
      <w:tblPr>
        <w:tblW w:w="4693" w:type="dxa"/>
        <w:tblInd w:w="93" w:type="dxa"/>
        <w:tblLayout w:type="fixed"/>
        <w:tblLook w:val="04A0" w:firstRow="1" w:lastRow="0" w:firstColumn="1" w:lastColumn="0" w:noHBand="0" w:noVBand="1"/>
      </w:tblPr>
      <w:tblGrid>
        <w:gridCol w:w="960"/>
        <w:gridCol w:w="1866"/>
        <w:gridCol w:w="1867"/>
      </w:tblGrid>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1996</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1.4</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1997</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2.1</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2.1</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1998</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2.3</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2.8</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1999</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2.6</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4.1</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2000</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2.7</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4.2</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2001</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2.3</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4.6</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2002</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2.5</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5.2</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2003</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2.7</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5.5</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2004</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3.1</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4.7</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2005</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3.1</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4.6</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2006</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3.2</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4.6</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2007</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3.3</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4.5</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2008</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3.5</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4.6</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2009</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2.8</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4.3</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2010</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3.2</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4.5</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2011</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3.3</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5.0</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2012</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3.0</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5.4</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2013</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2.8</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3.6</w:t>
            </w:r>
          </w:p>
        </w:tc>
      </w:tr>
      <w:tr w:rsidR="00184575" w:rsidRPr="00184575" w:rsidTr="005E760D">
        <w:trPr>
          <w:trHeight w:val="300"/>
        </w:trPr>
        <w:tc>
          <w:tcPr>
            <w:tcW w:w="960"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2014</w:t>
            </w:r>
          </w:p>
        </w:tc>
        <w:tc>
          <w:tcPr>
            <w:tcW w:w="1866"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2.7</w:t>
            </w:r>
          </w:p>
        </w:tc>
        <w:tc>
          <w:tcPr>
            <w:tcW w:w="1867" w:type="dxa"/>
            <w:tcBorders>
              <w:top w:val="nil"/>
              <w:left w:val="nil"/>
              <w:bottom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3.2</w:t>
            </w:r>
          </w:p>
        </w:tc>
      </w:tr>
      <w:tr w:rsidR="00184575" w:rsidRPr="00184575" w:rsidTr="005E760D">
        <w:trPr>
          <w:trHeight w:val="300"/>
        </w:trPr>
        <w:tc>
          <w:tcPr>
            <w:tcW w:w="960" w:type="dxa"/>
            <w:tcBorders>
              <w:top w:val="nil"/>
              <w:left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2015</w:t>
            </w:r>
          </w:p>
        </w:tc>
        <w:tc>
          <w:tcPr>
            <w:tcW w:w="1866" w:type="dxa"/>
            <w:tcBorders>
              <w:top w:val="nil"/>
              <w:left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2.8</w:t>
            </w:r>
          </w:p>
        </w:tc>
        <w:tc>
          <w:tcPr>
            <w:tcW w:w="1867" w:type="dxa"/>
            <w:tcBorders>
              <w:top w:val="nil"/>
              <w:left w:val="nil"/>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2.7</w:t>
            </w:r>
          </w:p>
        </w:tc>
      </w:tr>
      <w:tr w:rsidR="00184575" w:rsidRPr="00184575" w:rsidTr="005E760D">
        <w:trPr>
          <w:trHeight w:val="300"/>
        </w:trPr>
        <w:tc>
          <w:tcPr>
            <w:tcW w:w="960" w:type="dxa"/>
            <w:tcBorders>
              <w:top w:val="nil"/>
              <w:left w:val="nil"/>
              <w:bottom w:val="single" w:sz="4" w:space="0" w:color="auto"/>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2016</w:t>
            </w:r>
          </w:p>
        </w:tc>
        <w:tc>
          <w:tcPr>
            <w:tcW w:w="1866" w:type="dxa"/>
            <w:tcBorders>
              <w:top w:val="nil"/>
              <w:left w:val="nil"/>
              <w:bottom w:val="single" w:sz="4" w:space="0" w:color="auto"/>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2.6</w:t>
            </w:r>
          </w:p>
        </w:tc>
        <w:tc>
          <w:tcPr>
            <w:tcW w:w="1867" w:type="dxa"/>
            <w:tcBorders>
              <w:top w:val="nil"/>
              <w:left w:val="nil"/>
              <w:bottom w:val="single" w:sz="4" w:space="0" w:color="auto"/>
              <w:right w:val="nil"/>
            </w:tcBorders>
            <w:shd w:val="clear" w:color="auto" w:fill="auto"/>
            <w:noWrap/>
            <w:vAlign w:val="bottom"/>
            <w:hideMark/>
          </w:tcPr>
          <w:p w:rsidR="00184575" w:rsidRPr="005E760D" w:rsidRDefault="00184575" w:rsidP="003E4549">
            <w:pPr>
              <w:pStyle w:val="Tabletext"/>
              <w:rPr>
                <w:lang w:eastAsia="en-AU"/>
              </w:rPr>
            </w:pPr>
            <w:r w:rsidRPr="005E760D">
              <w:rPr>
                <w:lang w:eastAsia="en-AU"/>
              </w:rPr>
              <w:t>2.6</w:t>
            </w:r>
          </w:p>
        </w:tc>
      </w:tr>
    </w:tbl>
    <w:p w:rsidR="00D41B27" w:rsidRPr="005E5FBB" w:rsidRDefault="002645A5" w:rsidP="00E07712">
      <w:pPr>
        <w:pStyle w:val="Noteandsource"/>
      </w:pPr>
      <w:r w:rsidRPr="005E5FBB">
        <w:rPr>
          <w:shd w:val="clear" w:color="auto" w:fill="FFFFFF"/>
        </w:rPr>
        <w:t xml:space="preserve">Note: </w:t>
      </w:r>
      <w:r w:rsidR="00E91685" w:rsidRPr="00E91685">
        <w:rPr>
          <w:shd w:val="clear" w:color="auto" w:fill="FFFFFF"/>
        </w:rPr>
        <w:t xml:space="preserve">Commencements are based on financial year starting from July 1995 </w:t>
      </w:r>
      <w:r w:rsidR="007E581B">
        <w:rPr>
          <w:shd w:val="clear" w:color="auto" w:fill="FFFFFF"/>
        </w:rPr>
        <w:t>—</w:t>
      </w:r>
      <w:r w:rsidR="00E91685" w:rsidRPr="00E91685">
        <w:rPr>
          <w:shd w:val="clear" w:color="auto" w:fill="FFFFFF"/>
        </w:rPr>
        <w:t xml:space="preserve"> June 1996 and ending with July 2015 </w:t>
      </w:r>
      <w:r w:rsidR="007E581B">
        <w:rPr>
          <w:shd w:val="clear" w:color="auto" w:fill="FFFFFF"/>
        </w:rPr>
        <w:t>—</w:t>
      </w:r>
      <w:r w:rsidR="00E91685" w:rsidRPr="00E91685">
        <w:rPr>
          <w:shd w:val="clear" w:color="auto" w:fill="FFFFFF"/>
        </w:rPr>
        <w:t xml:space="preserve"> June 2016. The rate is expressed as commencements as a proportion of the 15 to 24-year-old labour force.</w:t>
      </w:r>
    </w:p>
    <w:p w:rsidR="00D41B27" w:rsidRDefault="00D41B27">
      <w:r>
        <w:br w:type="page"/>
      </w:r>
    </w:p>
    <w:p w:rsidR="00D41B27" w:rsidRDefault="00E91685" w:rsidP="00D41B27">
      <w:pPr>
        <w:pStyle w:val="Heading2"/>
      </w:pPr>
      <w:r w:rsidRPr="00E91685">
        <w:lastRenderedPageBreak/>
        <w:t>Apprenticeship and traineeship commencement rates by trade/non-trade occupations for 25 to 64-year-olds, 1996–2016 (%)</w:t>
      </w:r>
    </w:p>
    <w:tbl>
      <w:tblPr>
        <w:tblW w:w="28975" w:type="dxa"/>
        <w:tblInd w:w="93" w:type="dxa"/>
        <w:tblLook w:val="04A0" w:firstRow="1" w:lastRow="0" w:firstColumn="1" w:lastColumn="0" w:noHBand="0" w:noVBand="1"/>
      </w:tblPr>
      <w:tblGrid>
        <w:gridCol w:w="9680"/>
        <w:gridCol w:w="898"/>
        <w:gridCol w:w="18397"/>
      </w:tblGrid>
      <w:tr w:rsidR="001A7DE2" w:rsidRPr="001A7DE2" w:rsidTr="00204140">
        <w:trPr>
          <w:trHeight w:val="300"/>
        </w:trPr>
        <w:tc>
          <w:tcPr>
            <w:tcW w:w="9680" w:type="dxa"/>
            <w:tcBorders>
              <w:top w:val="nil"/>
              <w:left w:val="nil"/>
              <w:bottom w:val="nil"/>
              <w:right w:val="nil"/>
            </w:tcBorders>
            <w:shd w:val="clear" w:color="auto" w:fill="auto"/>
            <w:noWrap/>
            <w:vAlign w:val="bottom"/>
          </w:tcPr>
          <w:tbl>
            <w:tblPr>
              <w:tblStyle w:val="TableGrid"/>
              <w:tblW w:w="5011" w:type="dxa"/>
              <w:tblLook w:val="04A0" w:firstRow="1" w:lastRow="0" w:firstColumn="1" w:lastColumn="0" w:noHBand="0" w:noVBand="1"/>
              <w:tblCaption w:val="Apprenticeship and traineeship commencement rates by trade/non-trade occupations for 25 to 64-year-olds, 1996–2016 (%)"/>
              <w:tblDescription w:val="Table of Apprenticeship and traineeship commencement rates by trade/non-trade occupations for 25 to 64-year-olds, 1996–2016 (%)"/>
            </w:tblPr>
            <w:tblGrid>
              <w:gridCol w:w="1325"/>
              <w:gridCol w:w="1701"/>
              <w:gridCol w:w="1985"/>
            </w:tblGrid>
            <w:tr w:rsidR="00204140" w:rsidRPr="00D153AC" w:rsidTr="0071490A">
              <w:tc>
                <w:tcPr>
                  <w:tcW w:w="1325" w:type="dxa"/>
                  <w:tcBorders>
                    <w:top w:val="single" w:sz="4" w:space="0" w:color="auto"/>
                    <w:left w:val="nil"/>
                    <w:bottom w:val="single" w:sz="4" w:space="0" w:color="auto"/>
                    <w:right w:val="nil"/>
                  </w:tcBorders>
                </w:tcPr>
                <w:p w:rsidR="00204140" w:rsidRPr="004659C7" w:rsidRDefault="004659C7" w:rsidP="003E4549">
                  <w:pPr>
                    <w:pStyle w:val="Tableheader1"/>
                  </w:pPr>
                  <w:r>
                    <w:t>Year</w:t>
                  </w:r>
                </w:p>
              </w:tc>
              <w:tc>
                <w:tcPr>
                  <w:tcW w:w="1701" w:type="dxa"/>
                  <w:tcBorders>
                    <w:top w:val="single" w:sz="4" w:space="0" w:color="auto"/>
                    <w:left w:val="nil"/>
                    <w:bottom w:val="single" w:sz="4" w:space="0" w:color="auto"/>
                    <w:right w:val="nil"/>
                  </w:tcBorders>
                </w:tcPr>
                <w:p w:rsidR="00204140" w:rsidRPr="00F0260B" w:rsidRDefault="005963A6" w:rsidP="003E4549">
                  <w:pPr>
                    <w:pStyle w:val="Tableheader1"/>
                    <w:rPr>
                      <w:sz w:val="18"/>
                    </w:rPr>
                  </w:pPr>
                  <w:r>
                    <w:rPr>
                      <w:sz w:val="18"/>
                    </w:rPr>
                    <w:t>25–64 years Trades</w:t>
                  </w:r>
                </w:p>
              </w:tc>
              <w:tc>
                <w:tcPr>
                  <w:tcW w:w="1985" w:type="dxa"/>
                  <w:tcBorders>
                    <w:top w:val="single" w:sz="4" w:space="0" w:color="auto"/>
                    <w:left w:val="nil"/>
                    <w:bottom w:val="single" w:sz="4" w:space="0" w:color="auto"/>
                    <w:right w:val="nil"/>
                  </w:tcBorders>
                </w:tcPr>
                <w:p w:rsidR="00204140" w:rsidRPr="004659C7" w:rsidRDefault="0071490A" w:rsidP="0071490A">
                  <w:pPr>
                    <w:pStyle w:val="Tableheader1"/>
                    <w:jc w:val="left"/>
                  </w:pPr>
                  <w:r>
                    <w:t>25–64 years</w:t>
                  </w:r>
                  <w:r>
                    <w:br/>
                  </w:r>
                  <w:r w:rsidR="005963A6">
                    <w:t>Non-trades</w:t>
                  </w:r>
                </w:p>
              </w:tc>
            </w:tr>
          </w:tbl>
          <w:tbl>
            <w:tblPr>
              <w:tblW w:w="4783" w:type="dxa"/>
              <w:tblLook w:val="04A0" w:firstRow="1" w:lastRow="0" w:firstColumn="1" w:lastColumn="0" w:noHBand="0" w:noVBand="1"/>
            </w:tblPr>
            <w:tblGrid>
              <w:gridCol w:w="959"/>
              <w:gridCol w:w="1840"/>
              <w:gridCol w:w="2280"/>
            </w:tblGrid>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1996</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w:t>
                  </w:r>
                  <w:r w:rsidRPr="00E17EC4">
                    <w:rPr>
                      <w:lang w:eastAsia="en-AU"/>
                    </w:rPr>
                    <w:t>.0</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0.1</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1997</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1998</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0.4</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1999</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w:t>
                  </w:r>
                  <w:r w:rsidRPr="00E17EC4">
                    <w:rPr>
                      <w:lang w:eastAsia="en-AU"/>
                    </w:rPr>
                    <w:t>.0</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2000</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0.9</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2001</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1.1</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2002</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2003</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0.2</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1.5</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2004</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2005</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2006</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0.1</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2007</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0.2</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1.1</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2008</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0.2</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2009</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0.2</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1.1</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2010</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0.3</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1.2</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2011</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0.3</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1.3</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2012</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0.4</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1.7</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2013</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0.3</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0.7</w:t>
                  </w:r>
                </w:p>
              </w:tc>
            </w:tr>
            <w:tr w:rsidR="00CD19A6" w:rsidRPr="00E91685" w:rsidTr="00CD19A6">
              <w:trPr>
                <w:trHeight w:val="300"/>
              </w:trPr>
              <w:tc>
                <w:tcPr>
                  <w:tcW w:w="663"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2014</w:t>
                  </w:r>
                </w:p>
              </w:tc>
              <w:tc>
                <w:tcPr>
                  <w:tcW w:w="1840" w:type="dxa"/>
                  <w:tcBorders>
                    <w:top w:val="nil"/>
                    <w:left w:val="nil"/>
                    <w:bottom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0.4</w:t>
                  </w:r>
                </w:p>
              </w:tc>
              <w:tc>
                <w:tcPr>
                  <w:tcW w:w="2280" w:type="dxa"/>
                  <w:tcBorders>
                    <w:top w:val="nil"/>
                    <w:left w:val="nil"/>
                    <w:bottom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0.6</w:t>
                  </w:r>
                </w:p>
              </w:tc>
            </w:tr>
            <w:tr w:rsidR="00CD19A6" w:rsidRPr="00E91685" w:rsidTr="00CD19A6">
              <w:trPr>
                <w:trHeight w:val="300"/>
              </w:trPr>
              <w:tc>
                <w:tcPr>
                  <w:tcW w:w="663" w:type="dxa"/>
                  <w:tcBorders>
                    <w:top w:val="nil"/>
                    <w:left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2015</w:t>
                  </w:r>
                </w:p>
              </w:tc>
              <w:tc>
                <w:tcPr>
                  <w:tcW w:w="1840" w:type="dxa"/>
                  <w:tcBorders>
                    <w:top w:val="nil"/>
                    <w:left w:val="nil"/>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0.3</w:t>
                  </w:r>
                </w:p>
              </w:tc>
              <w:tc>
                <w:tcPr>
                  <w:tcW w:w="2280" w:type="dxa"/>
                  <w:tcBorders>
                    <w:top w:val="nil"/>
                    <w:left w:val="nil"/>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0.4</w:t>
                  </w:r>
                </w:p>
              </w:tc>
            </w:tr>
            <w:tr w:rsidR="00CD19A6" w:rsidRPr="00E91685" w:rsidTr="00CD19A6">
              <w:trPr>
                <w:trHeight w:val="300"/>
              </w:trPr>
              <w:tc>
                <w:tcPr>
                  <w:tcW w:w="663" w:type="dxa"/>
                  <w:tcBorders>
                    <w:top w:val="nil"/>
                    <w:left w:val="nil"/>
                    <w:bottom w:val="single" w:sz="4" w:space="0" w:color="auto"/>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2016</w:t>
                  </w:r>
                </w:p>
              </w:tc>
              <w:tc>
                <w:tcPr>
                  <w:tcW w:w="1840" w:type="dxa"/>
                  <w:tcBorders>
                    <w:top w:val="nil"/>
                    <w:left w:val="nil"/>
                    <w:bottom w:val="single" w:sz="4" w:space="0" w:color="auto"/>
                    <w:right w:val="nil"/>
                  </w:tcBorders>
                  <w:shd w:val="clear" w:color="auto" w:fill="auto"/>
                  <w:noWrap/>
                  <w:vAlign w:val="bottom"/>
                  <w:hideMark/>
                </w:tcPr>
                <w:p w:rsidR="00CD19A6" w:rsidRPr="00E91685" w:rsidRDefault="00CD19A6" w:rsidP="0071490A">
                  <w:pPr>
                    <w:pStyle w:val="Tabletext"/>
                    <w:tabs>
                      <w:tab w:val="clear" w:pos="743"/>
                      <w:tab w:val="decimal" w:pos="1108"/>
                    </w:tabs>
                    <w:rPr>
                      <w:lang w:eastAsia="en-AU"/>
                    </w:rPr>
                  </w:pPr>
                  <w:r w:rsidRPr="00E91685">
                    <w:rPr>
                      <w:lang w:eastAsia="en-AU"/>
                    </w:rPr>
                    <w:t>0.2</w:t>
                  </w:r>
                </w:p>
              </w:tc>
              <w:tc>
                <w:tcPr>
                  <w:tcW w:w="2280" w:type="dxa"/>
                  <w:tcBorders>
                    <w:top w:val="nil"/>
                    <w:left w:val="nil"/>
                    <w:bottom w:val="single" w:sz="4" w:space="0" w:color="auto"/>
                    <w:right w:val="nil"/>
                  </w:tcBorders>
                  <w:shd w:val="clear" w:color="auto" w:fill="auto"/>
                  <w:noWrap/>
                  <w:vAlign w:val="bottom"/>
                  <w:hideMark/>
                </w:tcPr>
                <w:p w:rsidR="00CD19A6" w:rsidRPr="00E91685" w:rsidRDefault="00CD19A6" w:rsidP="003E4549">
                  <w:pPr>
                    <w:pStyle w:val="Tabletext"/>
                    <w:rPr>
                      <w:lang w:eastAsia="en-AU"/>
                    </w:rPr>
                  </w:pPr>
                  <w:r w:rsidRPr="00E91685">
                    <w:rPr>
                      <w:lang w:eastAsia="en-AU"/>
                    </w:rPr>
                    <w:t>0.4</w:t>
                  </w:r>
                </w:p>
              </w:tc>
            </w:tr>
          </w:tbl>
          <w:p w:rsidR="001A7DE2" w:rsidRPr="001A7DE2" w:rsidRDefault="001A7DE2" w:rsidP="001A7DE2">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1A7DE2" w:rsidRPr="001A7DE2" w:rsidRDefault="001A7DE2" w:rsidP="001A7DE2">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1A7DE2" w:rsidRPr="001A7DE2" w:rsidRDefault="001A7DE2" w:rsidP="00204140">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2645A5" w:rsidRPr="005E5FBB" w:rsidRDefault="002645A5" w:rsidP="00E07712">
      <w:pPr>
        <w:pStyle w:val="Noteandsource"/>
        <w:rPr>
          <w:color w:val="1C1C1C"/>
          <w:sz w:val="18"/>
          <w:szCs w:val="18"/>
          <w:shd w:val="clear" w:color="auto" w:fill="FFFFFF"/>
        </w:rPr>
      </w:pPr>
      <w:r w:rsidRPr="00E07712">
        <w:rPr>
          <w:shd w:val="clear" w:color="auto" w:fill="FFFFFF"/>
        </w:rPr>
        <w:t xml:space="preserve">Note: </w:t>
      </w:r>
      <w:r w:rsidR="008A6E07" w:rsidRPr="00E07712">
        <w:rPr>
          <w:shd w:val="clear" w:color="auto" w:fill="FFFFFF"/>
        </w:rPr>
        <w:t>Commencements are based on financial year starting from July 1995 to June 1996 and ending with July 2015 to June 2016. The rate is expressed as commencements as a</w:t>
      </w:r>
      <w:r w:rsidR="0036689E">
        <w:rPr>
          <w:shd w:val="clear" w:color="auto" w:fill="FFFFFF"/>
        </w:rPr>
        <w:t xml:space="preserve"> proportion of the 2</w:t>
      </w:r>
      <w:r w:rsidR="008A6E07" w:rsidRPr="00E07712">
        <w:rPr>
          <w:shd w:val="clear" w:color="auto" w:fill="FFFFFF"/>
        </w:rPr>
        <w:t>5 to 64-year-old labour force.</w:t>
      </w:r>
      <w:r w:rsidRPr="00E07712">
        <w:rPr>
          <w:shd w:val="clear" w:color="auto" w:fill="FFFFFF"/>
        </w:rPr>
        <w:t> </w:t>
      </w:r>
    </w:p>
    <w:p w:rsidR="00CD19A6" w:rsidRDefault="00CD19A6">
      <w:pPr>
        <w:rPr>
          <w:rFonts w:ascii="Arial" w:hAnsi="Arial" w:cs="Arial"/>
          <w:color w:val="1C1C1C"/>
          <w:sz w:val="18"/>
          <w:szCs w:val="18"/>
          <w:shd w:val="clear" w:color="auto" w:fill="FFFFFF"/>
        </w:rPr>
      </w:pPr>
    </w:p>
    <w:p w:rsidR="0079014D" w:rsidRDefault="0079014D" w:rsidP="0079014D">
      <w:pPr>
        <w:pStyle w:val="Heading2"/>
      </w:pPr>
      <w:r w:rsidRPr="0079014D">
        <w:t>Selected characteristics of in-training trades apprentices by age, March quarter 2016 (%)</w:t>
      </w:r>
    </w:p>
    <w:tbl>
      <w:tblPr>
        <w:tblW w:w="28975" w:type="dxa"/>
        <w:tblInd w:w="93" w:type="dxa"/>
        <w:tblLook w:val="04A0" w:firstRow="1" w:lastRow="0" w:firstColumn="1" w:lastColumn="0" w:noHBand="0" w:noVBand="1"/>
      </w:tblPr>
      <w:tblGrid>
        <w:gridCol w:w="9680"/>
        <w:gridCol w:w="898"/>
        <w:gridCol w:w="18397"/>
      </w:tblGrid>
      <w:tr w:rsidR="0079014D" w:rsidRPr="001A7DE2" w:rsidTr="00663185">
        <w:trPr>
          <w:trHeight w:val="300"/>
        </w:trPr>
        <w:tc>
          <w:tcPr>
            <w:tcW w:w="9680" w:type="dxa"/>
            <w:tcBorders>
              <w:top w:val="nil"/>
              <w:left w:val="nil"/>
              <w:bottom w:val="nil"/>
              <w:right w:val="nil"/>
            </w:tcBorders>
            <w:shd w:val="clear" w:color="auto" w:fill="auto"/>
            <w:noWrap/>
            <w:vAlign w:val="bottom"/>
          </w:tcPr>
          <w:tbl>
            <w:tblPr>
              <w:tblStyle w:val="TableGrid"/>
              <w:tblW w:w="8271" w:type="dxa"/>
              <w:tblLook w:val="04A0" w:firstRow="1" w:lastRow="0" w:firstColumn="1" w:lastColumn="0" w:noHBand="0" w:noVBand="1"/>
              <w:tblCaption w:val="Selected characteristics of in-training trades apprentices by age, March quarter 2016 (%)"/>
              <w:tblDescription w:val="Table of Selected characteristics of in-training trades apprentices by age, March quarter 2016 (%)"/>
            </w:tblPr>
            <w:tblGrid>
              <w:gridCol w:w="4727"/>
              <w:gridCol w:w="1417"/>
              <w:gridCol w:w="1843"/>
              <w:gridCol w:w="284"/>
            </w:tblGrid>
            <w:tr w:rsidR="00196300" w:rsidRPr="00D153AC" w:rsidTr="00196300">
              <w:tc>
                <w:tcPr>
                  <w:tcW w:w="4727" w:type="dxa"/>
                  <w:tcBorders>
                    <w:top w:val="single" w:sz="4" w:space="0" w:color="auto"/>
                    <w:left w:val="nil"/>
                    <w:bottom w:val="single" w:sz="4" w:space="0" w:color="auto"/>
                    <w:right w:val="nil"/>
                  </w:tcBorders>
                </w:tcPr>
                <w:p w:rsidR="00196300" w:rsidRPr="004659C7" w:rsidRDefault="00196300" w:rsidP="00663185">
                  <w:pPr>
                    <w:pStyle w:val="Tableheader1"/>
                  </w:pPr>
                </w:p>
              </w:tc>
              <w:tc>
                <w:tcPr>
                  <w:tcW w:w="1417" w:type="dxa"/>
                  <w:tcBorders>
                    <w:top w:val="single" w:sz="4" w:space="0" w:color="auto"/>
                    <w:left w:val="nil"/>
                    <w:bottom w:val="single" w:sz="4" w:space="0" w:color="auto"/>
                    <w:right w:val="nil"/>
                  </w:tcBorders>
                </w:tcPr>
                <w:p w:rsidR="00196300" w:rsidRPr="00F0260B" w:rsidRDefault="00196300" w:rsidP="00196300">
                  <w:pPr>
                    <w:pStyle w:val="Tableheader1"/>
                    <w:jc w:val="left"/>
                  </w:pPr>
                  <w:r>
                    <w:t>15–24 years</w:t>
                  </w:r>
                </w:p>
              </w:tc>
              <w:tc>
                <w:tcPr>
                  <w:tcW w:w="1843" w:type="dxa"/>
                  <w:tcBorders>
                    <w:top w:val="single" w:sz="4" w:space="0" w:color="auto"/>
                    <w:left w:val="nil"/>
                    <w:bottom w:val="single" w:sz="4" w:space="0" w:color="auto"/>
                    <w:right w:val="nil"/>
                  </w:tcBorders>
                </w:tcPr>
                <w:p w:rsidR="00196300" w:rsidRPr="004659C7" w:rsidRDefault="00196300" w:rsidP="00196300">
                  <w:pPr>
                    <w:pStyle w:val="Tableheader1"/>
                  </w:pPr>
                  <w:r>
                    <w:t>25–64 years</w:t>
                  </w:r>
                </w:p>
              </w:tc>
              <w:tc>
                <w:tcPr>
                  <w:tcW w:w="284" w:type="dxa"/>
                  <w:tcBorders>
                    <w:top w:val="single" w:sz="4" w:space="0" w:color="auto"/>
                    <w:left w:val="nil"/>
                    <w:bottom w:val="single" w:sz="4" w:space="0" w:color="auto"/>
                    <w:right w:val="nil"/>
                  </w:tcBorders>
                </w:tcPr>
                <w:p w:rsidR="00196300" w:rsidRDefault="00196300" w:rsidP="00196300">
                  <w:pPr>
                    <w:pStyle w:val="Tableheader1"/>
                  </w:pPr>
                </w:p>
              </w:tc>
            </w:tr>
          </w:tbl>
          <w:tbl>
            <w:tblPr>
              <w:tblW w:w="8268" w:type="dxa"/>
              <w:tblLook w:val="04A0" w:firstRow="1" w:lastRow="0" w:firstColumn="1" w:lastColumn="0" w:noHBand="0" w:noVBand="1"/>
            </w:tblPr>
            <w:tblGrid>
              <w:gridCol w:w="4579"/>
              <w:gridCol w:w="1565"/>
              <w:gridCol w:w="1110"/>
              <w:gridCol w:w="1014"/>
            </w:tblGrid>
            <w:tr w:rsidR="00CD19A6" w:rsidRPr="0079014D" w:rsidTr="00196300">
              <w:trPr>
                <w:trHeight w:val="300"/>
              </w:trPr>
              <w:tc>
                <w:tcPr>
                  <w:tcW w:w="4579" w:type="dxa"/>
                  <w:tcBorders>
                    <w:top w:val="nil"/>
                    <w:left w:val="nil"/>
                    <w:bottom w:val="nil"/>
                    <w:right w:val="nil"/>
                  </w:tcBorders>
                  <w:shd w:val="clear" w:color="auto" w:fill="auto"/>
                  <w:noWrap/>
                  <w:vAlign w:val="bottom"/>
                  <w:hideMark/>
                </w:tcPr>
                <w:p w:rsidR="00CD19A6" w:rsidRPr="0079014D" w:rsidRDefault="00C40044" w:rsidP="003E4549">
                  <w:pPr>
                    <w:pStyle w:val="Tabletext"/>
                    <w:tabs>
                      <w:tab w:val="clear" w:pos="743"/>
                    </w:tabs>
                    <w:rPr>
                      <w:lang w:eastAsia="en-AU"/>
                    </w:rPr>
                  </w:pPr>
                  <w:r>
                    <w:rPr>
                      <w:lang w:eastAsia="en-AU"/>
                    </w:rPr>
                    <w:t>F</w:t>
                  </w:r>
                  <w:r w:rsidR="00CD19A6" w:rsidRPr="0079014D">
                    <w:rPr>
                      <w:lang w:eastAsia="en-AU"/>
                    </w:rPr>
                    <w:t>emale</w:t>
                  </w:r>
                </w:p>
              </w:tc>
              <w:tc>
                <w:tcPr>
                  <w:tcW w:w="1565"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10.4</w:t>
                  </w:r>
                </w:p>
              </w:tc>
              <w:tc>
                <w:tcPr>
                  <w:tcW w:w="1009"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12.5</w:t>
                  </w:r>
                </w:p>
              </w:tc>
              <w:tc>
                <w:tcPr>
                  <w:tcW w:w="1115" w:type="dxa"/>
                  <w:tcBorders>
                    <w:top w:val="nil"/>
                    <w:left w:val="nil"/>
                    <w:bottom w:val="nil"/>
                    <w:right w:val="nil"/>
                  </w:tcBorders>
                </w:tcPr>
                <w:p w:rsidR="00CD19A6" w:rsidRPr="0079014D" w:rsidRDefault="00CD19A6" w:rsidP="007E52D0">
                  <w:pPr>
                    <w:tabs>
                      <w:tab w:val="decimal" w:pos="1080"/>
                    </w:tabs>
                    <w:spacing w:after="0" w:line="240" w:lineRule="auto"/>
                    <w:jc w:val="center"/>
                    <w:rPr>
                      <w:rFonts w:ascii="Calibri" w:eastAsia="Times New Roman" w:hAnsi="Calibri" w:cs="Times New Roman"/>
                      <w:color w:val="000000"/>
                      <w:lang w:eastAsia="en-AU"/>
                    </w:rPr>
                  </w:pPr>
                </w:p>
              </w:tc>
            </w:tr>
            <w:tr w:rsidR="00CD19A6" w:rsidRPr="0079014D" w:rsidTr="00196300">
              <w:trPr>
                <w:trHeight w:val="300"/>
              </w:trPr>
              <w:tc>
                <w:tcPr>
                  <w:tcW w:w="4579" w:type="dxa"/>
                  <w:tcBorders>
                    <w:top w:val="nil"/>
                    <w:left w:val="nil"/>
                    <w:bottom w:val="nil"/>
                    <w:right w:val="nil"/>
                  </w:tcBorders>
                  <w:shd w:val="clear" w:color="auto" w:fill="auto"/>
                  <w:noWrap/>
                  <w:vAlign w:val="bottom"/>
                  <w:hideMark/>
                </w:tcPr>
                <w:p w:rsidR="00CD19A6" w:rsidRPr="0079014D" w:rsidRDefault="00C40044" w:rsidP="003E4549">
                  <w:pPr>
                    <w:pStyle w:val="Tabletext"/>
                    <w:rPr>
                      <w:lang w:eastAsia="en-AU"/>
                    </w:rPr>
                  </w:pPr>
                  <w:r>
                    <w:rPr>
                      <w:lang w:eastAsia="en-AU"/>
                    </w:rPr>
                    <w:t>E</w:t>
                  </w:r>
                  <w:r w:rsidR="00CD19A6" w:rsidRPr="0079014D">
                    <w:rPr>
                      <w:lang w:eastAsia="en-AU"/>
                    </w:rPr>
                    <w:t>xisting worker</w:t>
                  </w:r>
                </w:p>
              </w:tc>
              <w:tc>
                <w:tcPr>
                  <w:tcW w:w="1565"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4.7</w:t>
                  </w:r>
                </w:p>
              </w:tc>
              <w:tc>
                <w:tcPr>
                  <w:tcW w:w="1009"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36</w:t>
                  </w:r>
                  <w:r w:rsidR="00663185">
                    <w:rPr>
                      <w:lang w:eastAsia="en-AU"/>
                    </w:rPr>
                    <w:t>.0</w:t>
                  </w:r>
                </w:p>
              </w:tc>
              <w:tc>
                <w:tcPr>
                  <w:tcW w:w="1115" w:type="dxa"/>
                  <w:tcBorders>
                    <w:top w:val="nil"/>
                    <w:left w:val="nil"/>
                    <w:bottom w:val="nil"/>
                    <w:right w:val="nil"/>
                  </w:tcBorders>
                </w:tcPr>
                <w:p w:rsidR="00CD19A6" w:rsidRPr="0079014D" w:rsidRDefault="00CD19A6" w:rsidP="007E52D0">
                  <w:pPr>
                    <w:tabs>
                      <w:tab w:val="decimal" w:pos="1080"/>
                    </w:tabs>
                    <w:spacing w:after="0" w:line="240" w:lineRule="auto"/>
                    <w:jc w:val="center"/>
                    <w:rPr>
                      <w:rFonts w:ascii="Calibri" w:eastAsia="Times New Roman" w:hAnsi="Calibri" w:cs="Times New Roman"/>
                      <w:color w:val="000000"/>
                      <w:lang w:eastAsia="en-AU"/>
                    </w:rPr>
                  </w:pPr>
                </w:p>
              </w:tc>
            </w:tr>
            <w:tr w:rsidR="00CD19A6" w:rsidRPr="0079014D" w:rsidTr="00196300">
              <w:trPr>
                <w:trHeight w:val="300"/>
              </w:trPr>
              <w:tc>
                <w:tcPr>
                  <w:tcW w:w="4579" w:type="dxa"/>
                  <w:tcBorders>
                    <w:top w:val="nil"/>
                    <w:left w:val="nil"/>
                    <w:right w:val="nil"/>
                  </w:tcBorders>
                  <w:shd w:val="clear" w:color="auto" w:fill="auto"/>
                  <w:noWrap/>
                  <w:vAlign w:val="bottom"/>
                  <w:hideMark/>
                </w:tcPr>
                <w:p w:rsidR="00CD19A6" w:rsidRPr="0079014D" w:rsidRDefault="00C40044" w:rsidP="003E4549">
                  <w:pPr>
                    <w:pStyle w:val="Tabletext"/>
                    <w:rPr>
                      <w:lang w:eastAsia="en-AU"/>
                    </w:rPr>
                  </w:pPr>
                  <w:r>
                    <w:rPr>
                      <w:lang w:eastAsia="en-AU"/>
                    </w:rPr>
                    <w:t>H</w:t>
                  </w:r>
                  <w:r w:rsidR="00CD19A6" w:rsidRPr="0079014D">
                    <w:rPr>
                      <w:lang w:eastAsia="en-AU"/>
                    </w:rPr>
                    <w:t>ighest previous qual</w:t>
                  </w:r>
                  <w:r w:rsidR="00C67223">
                    <w:rPr>
                      <w:lang w:eastAsia="en-AU"/>
                    </w:rPr>
                    <w:t>.</w:t>
                  </w:r>
                  <w:r w:rsidR="00CD19A6" w:rsidRPr="0079014D">
                    <w:rPr>
                      <w:lang w:eastAsia="en-AU"/>
                    </w:rPr>
                    <w:t xml:space="preserve"> (cert</w:t>
                  </w:r>
                  <w:r w:rsidR="00C67223">
                    <w:rPr>
                      <w:lang w:eastAsia="en-AU"/>
                    </w:rPr>
                    <w:t>.</w:t>
                  </w:r>
                  <w:r w:rsidR="00CD19A6" w:rsidRPr="0079014D">
                    <w:rPr>
                      <w:lang w:eastAsia="en-AU"/>
                    </w:rPr>
                    <w:t xml:space="preserve"> III and above)</w:t>
                  </w:r>
                </w:p>
              </w:tc>
              <w:tc>
                <w:tcPr>
                  <w:tcW w:w="1565" w:type="dxa"/>
                  <w:tcBorders>
                    <w:top w:val="nil"/>
                    <w:left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10.1</w:t>
                  </w:r>
                </w:p>
              </w:tc>
              <w:tc>
                <w:tcPr>
                  <w:tcW w:w="1009" w:type="dxa"/>
                  <w:tcBorders>
                    <w:top w:val="nil"/>
                    <w:left w:val="nil"/>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44.7</w:t>
                  </w:r>
                </w:p>
              </w:tc>
              <w:tc>
                <w:tcPr>
                  <w:tcW w:w="1115" w:type="dxa"/>
                  <w:tcBorders>
                    <w:top w:val="nil"/>
                    <w:left w:val="nil"/>
                    <w:right w:val="nil"/>
                  </w:tcBorders>
                </w:tcPr>
                <w:p w:rsidR="00CD19A6" w:rsidRPr="0079014D" w:rsidRDefault="00CD19A6" w:rsidP="007E52D0">
                  <w:pPr>
                    <w:tabs>
                      <w:tab w:val="decimal" w:pos="1080"/>
                    </w:tabs>
                    <w:spacing w:after="0" w:line="240" w:lineRule="auto"/>
                    <w:jc w:val="center"/>
                    <w:rPr>
                      <w:rFonts w:ascii="Calibri" w:eastAsia="Times New Roman" w:hAnsi="Calibri" w:cs="Times New Roman"/>
                      <w:color w:val="000000"/>
                      <w:lang w:eastAsia="en-AU"/>
                    </w:rPr>
                  </w:pPr>
                </w:p>
              </w:tc>
            </w:tr>
            <w:tr w:rsidR="00CD19A6" w:rsidRPr="0079014D" w:rsidTr="00196300">
              <w:trPr>
                <w:trHeight w:val="300"/>
              </w:trPr>
              <w:tc>
                <w:tcPr>
                  <w:tcW w:w="4579" w:type="dxa"/>
                  <w:tcBorders>
                    <w:top w:val="nil"/>
                    <w:left w:val="nil"/>
                    <w:bottom w:val="single" w:sz="4" w:space="0" w:color="auto"/>
                    <w:right w:val="nil"/>
                  </w:tcBorders>
                  <w:shd w:val="clear" w:color="auto" w:fill="auto"/>
                  <w:noWrap/>
                  <w:vAlign w:val="bottom"/>
                  <w:hideMark/>
                </w:tcPr>
                <w:p w:rsidR="00CD19A6" w:rsidRPr="0079014D" w:rsidRDefault="00C40044" w:rsidP="003E4549">
                  <w:pPr>
                    <w:pStyle w:val="Tabletext"/>
                    <w:rPr>
                      <w:lang w:eastAsia="en-AU"/>
                    </w:rPr>
                  </w:pPr>
                  <w:r>
                    <w:rPr>
                      <w:lang w:eastAsia="en-AU"/>
                    </w:rPr>
                    <w:t>C</w:t>
                  </w:r>
                  <w:r w:rsidR="00CD19A6" w:rsidRPr="0079014D">
                    <w:rPr>
                      <w:lang w:eastAsia="en-AU"/>
                    </w:rPr>
                    <w:t>urrent qual</w:t>
                  </w:r>
                  <w:r w:rsidR="00C67223">
                    <w:rPr>
                      <w:lang w:eastAsia="en-AU"/>
                    </w:rPr>
                    <w:t>.</w:t>
                  </w:r>
                  <w:r w:rsidR="00CD19A6" w:rsidRPr="0079014D">
                    <w:rPr>
                      <w:lang w:eastAsia="en-AU"/>
                    </w:rPr>
                    <w:t xml:space="preserve"> (cert</w:t>
                  </w:r>
                  <w:r w:rsidR="00C67223">
                    <w:rPr>
                      <w:lang w:eastAsia="en-AU"/>
                    </w:rPr>
                    <w:t>.</w:t>
                  </w:r>
                  <w:r w:rsidR="00CD19A6" w:rsidRPr="0079014D">
                    <w:rPr>
                      <w:lang w:eastAsia="en-AU"/>
                    </w:rPr>
                    <w:t xml:space="preserve"> IV or higher)</w:t>
                  </w:r>
                </w:p>
              </w:tc>
              <w:tc>
                <w:tcPr>
                  <w:tcW w:w="1565" w:type="dxa"/>
                  <w:tcBorders>
                    <w:top w:val="nil"/>
                    <w:left w:val="nil"/>
                    <w:bottom w:val="single" w:sz="4" w:space="0" w:color="auto"/>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1.9</w:t>
                  </w:r>
                </w:p>
              </w:tc>
              <w:tc>
                <w:tcPr>
                  <w:tcW w:w="1009" w:type="dxa"/>
                  <w:tcBorders>
                    <w:top w:val="nil"/>
                    <w:left w:val="nil"/>
                    <w:bottom w:val="single" w:sz="4" w:space="0" w:color="auto"/>
                    <w:right w:val="nil"/>
                  </w:tcBorders>
                  <w:shd w:val="clear" w:color="auto" w:fill="auto"/>
                  <w:noWrap/>
                  <w:vAlign w:val="bottom"/>
                  <w:hideMark/>
                </w:tcPr>
                <w:p w:rsidR="00CD19A6" w:rsidRPr="0079014D" w:rsidRDefault="00CD19A6" w:rsidP="003E4549">
                  <w:pPr>
                    <w:pStyle w:val="Tabletext"/>
                    <w:rPr>
                      <w:lang w:eastAsia="en-AU"/>
                    </w:rPr>
                  </w:pPr>
                  <w:r w:rsidRPr="0079014D">
                    <w:rPr>
                      <w:lang w:eastAsia="en-AU"/>
                    </w:rPr>
                    <w:t>13.9</w:t>
                  </w:r>
                </w:p>
              </w:tc>
              <w:tc>
                <w:tcPr>
                  <w:tcW w:w="1115" w:type="dxa"/>
                  <w:tcBorders>
                    <w:top w:val="nil"/>
                    <w:left w:val="nil"/>
                    <w:bottom w:val="single" w:sz="4" w:space="0" w:color="auto"/>
                    <w:right w:val="nil"/>
                  </w:tcBorders>
                </w:tcPr>
                <w:p w:rsidR="00CD19A6" w:rsidRPr="0079014D" w:rsidRDefault="00CD19A6" w:rsidP="007E52D0">
                  <w:pPr>
                    <w:tabs>
                      <w:tab w:val="decimal" w:pos="1080"/>
                    </w:tabs>
                    <w:spacing w:after="0" w:line="240" w:lineRule="auto"/>
                    <w:jc w:val="center"/>
                    <w:rPr>
                      <w:rFonts w:ascii="Calibri" w:eastAsia="Times New Roman" w:hAnsi="Calibri" w:cs="Times New Roman"/>
                      <w:color w:val="000000"/>
                      <w:lang w:eastAsia="en-AU"/>
                    </w:rPr>
                  </w:pPr>
                </w:p>
              </w:tc>
            </w:tr>
          </w:tbl>
          <w:p w:rsidR="0079014D" w:rsidRPr="001A7DE2" w:rsidRDefault="0079014D" w:rsidP="00663185">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79014D" w:rsidRPr="001A7DE2" w:rsidRDefault="0079014D" w:rsidP="00663185">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79014D" w:rsidRPr="001A7DE2" w:rsidRDefault="0079014D"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942467" w:rsidRDefault="0079014D" w:rsidP="00E07712">
      <w:pPr>
        <w:pStyle w:val="Noteandsource"/>
        <w:rPr>
          <w:color w:val="1C1C1C"/>
          <w:sz w:val="18"/>
          <w:szCs w:val="18"/>
          <w:shd w:val="clear" w:color="auto" w:fill="FFFFFF"/>
        </w:rPr>
      </w:pPr>
      <w:r w:rsidRPr="00E07712">
        <w:rPr>
          <w:shd w:val="clear" w:color="auto" w:fill="FFFFFF"/>
        </w:rPr>
        <w:t>Note: Commencements are based on financial year starting from July 1995 to June 1996 and ending with July 2015 to June 2016. The rate is expressed as commencements as a proportion of the 15 to 64-year-old labour force.</w:t>
      </w:r>
    </w:p>
    <w:p w:rsidR="00942467" w:rsidRDefault="00942467" w:rsidP="00942467">
      <w:pPr>
        <w:pStyle w:val="Heading2"/>
      </w:pPr>
    </w:p>
    <w:p w:rsidR="00CD19A6" w:rsidRPr="00CD19A6" w:rsidRDefault="00CD19A6" w:rsidP="00CD19A6"/>
    <w:p w:rsidR="00CD19A6" w:rsidRDefault="00CD19A6">
      <w:pPr>
        <w:rPr>
          <w:rFonts w:ascii="Arial" w:hAnsi="Arial" w:cs="Arial"/>
          <w:b/>
          <w:sz w:val="24"/>
          <w:szCs w:val="24"/>
        </w:rPr>
      </w:pPr>
      <w:r>
        <w:br w:type="page"/>
      </w:r>
    </w:p>
    <w:p w:rsidR="00942467" w:rsidRDefault="0085253E" w:rsidP="00942467">
      <w:pPr>
        <w:pStyle w:val="Heading2"/>
      </w:pPr>
      <w:r w:rsidRPr="0085253E">
        <w:lastRenderedPageBreak/>
        <w:t>Selected characteristics of in-training non-trade apprentices by age, March quarter 2016 (%)</w:t>
      </w:r>
    </w:p>
    <w:tbl>
      <w:tblPr>
        <w:tblW w:w="28975" w:type="dxa"/>
        <w:tblInd w:w="93" w:type="dxa"/>
        <w:tblLook w:val="04A0" w:firstRow="1" w:lastRow="0" w:firstColumn="1" w:lastColumn="0" w:noHBand="0" w:noVBand="1"/>
      </w:tblPr>
      <w:tblGrid>
        <w:gridCol w:w="9680"/>
        <w:gridCol w:w="898"/>
        <w:gridCol w:w="18397"/>
      </w:tblGrid>
      <w:tr w:rsidR="00942467" w:rsidRPr="001A7DE2" w:rsidTr="00663185">
        <w:trPr>
          <w:trHeight w:val="300"/>
        </w:trPr>
        <w:tc>
          <w:tcPr>
            <w:tcW w:w="9680" w:type="dxa"/>
            <w:tcBorders>
              <w:top w:val="nil"/>
              <w:left w:val="nil"/>
              <w:bottom w:val="nil"/>
              <w:right w:val="nil"/>
            </w:tcBorders>
            <w:shd w:val="clear" w:color="auto" w:fill="auto"/>
            <w:noWrap/>
            <w:vAlign w:val="bottom"/>
          </w:tcPr>
          <w:tbl>
            <w:tblPr>
              <w:tblStyle w:val="TableGrid"/>
              <w:tblW w:w="7420" w:type="dxa"/>
              <w:tblLook w:val="04A0" w:firstRow="1" w:lastRow="0" w:firstColumn="1" w:lastColumn="0" w:noHBand="0" w:noVBand="1"/>
              <w:tblCaption w:val="Selected characteristics of in-training non-trade apprentices by age, March quarter 2016 (%)"/>
              <w:tblDescription w:val="Table of Selected characteristics of in-training non-trade apprentices by age, March quarter 2016 (%)"/>
            </w:tblPr>
            <w:tblGrid>
              <w:gridCol w:w="3876"/>
              <w:gridCol w:w="1418"/>
              <w:gridCol w:w="2126"/>
            </w:tblGrid>
            <w:tr w:rsidR="00942467" w:rsidRPr="00D153AC" w:rsidTr="00196300">
              <w:tc>
                <w:tcPr>
                  <w:tcW w:w="3876" w:type="dxa"/>
                  <w:tcBorders>
                    <w:top w:val="single" w:sz="4" w:space="0" w:color="auto"/>
                    <w:left w:val="nil"/>
                    <w:bottom w:val="single" w:sz="4" w:space="0" w:color="auto"/>
                    <w:right w:val="nil"/>
                  </w:tcBorders>
                </w:tcPr>
                <w:p w:rsidR="00942467" w:rsidRPr="004659C7" w:rsidRDefault="00942467" w:rsidP="00663185">
                  <w:pPr>
                    <w:pStyle w:val="Tableheader1"/>
                  </w:pPr>
                </w:p>
              </w:tc>
              <w:tc>
                <w:tcPr>
                  <w:tcW w:w="1418" w:type="dxa"/>
                  <w:tcBorders>
                    <w:top w:val="single" w:sz="4" w:space="0" w:color="auto"/>
                    <w:left w:val="nil"/>
                    <w:bottom w:val="single" w:sz="4" w:space="0" w:color="auto"/>
                    <w:right w:val="nil"/>
                  </w:tcBorders>
                </w:tcPr>
                <w:p w:rsidR="00942467" w:rsidRPr="00F0260B" w:rsidRDefault="00942467" w:rsidP="00196300">
                  <w:pPr>
                    <w:pStyle w:val="Tableheader1"/>
                  </w:pPr>
                  <w:r>
                    <w:t>15–24 years</w:t>
                  </w:r>
                </w:p>
              </w:tc>
              <w:tc>
                <w:tcPr>
                  <w:tcW w:w="2126" w:type="dxa"/>
                  <w:tcBorders>
                    <w:top w:val="single" w:sz="4" w:space="0" w:color="auto"/>
                    <w:left w:val="nil"/>
                    <w:bottom w:val="single" w:sz="4" w:space="0" w:color="auto"/>
                    <w:right w:val="nil"/>
                  </w:tcBorders>
                </w:tcPr>
                <w:p w:rsidR="00942467" w:rsidRPr="004659C7" w:rsidRDefault="00942467" w:rsidP="00196300">
                  <w:pPr>
                    <w:pStyle w:val="Tableheader1"/>
                    <w:jc w:val="left"/>
                  </w:pPr>
                  <w:r>
                    <w:t>25–64 years</w:t>
                  </w:r>
                </w:p>
              </w:tc>
            </w:tr>
          </w:tbl>
          <w:tbl>
            <w:tblPr>
              <w:tblW w:w="7420" w:type="dxa"/>
              <w:tblLook w:val="04A0" w:firstRow="1" w:lastRow="0" w:firstColumn="1" w:lastColumn="0" w:noHBand="0" w:noVBand="1"/>
            </w:tblPr>
            <w:tblGrid>
              <w:gridCol w:w="3735"/>
              <w:gridCol w:w="1417"/>
              <w:gridCol w:w="2001"/>
              <w:gridCol w:w="267"/>
            </w:tblGrid>
            <w:tr w:rsidR="00CD19A6" w:rsidRPr="0079014D" w:rsidTr="00196300">
              <w:trPr>
                <w:trHeight w:val="300"/>
              </w:trPr>
              <w:tc>
                <w:tcPr>
                  <w:tcW w:w="3735" w:type="dxa"/>
                  <w:tcBorders>
                    <w:top w:val="nil"/>
                    <w:left w:val="nil"/>
                    <w:bottom w:val="nil"/>
                    <w:right w:val="nil"/>
                  </w:tcBorders>
                  <w:shd w:val="clear" w:color="auto" w:fill="auto"/>
                  <w:noWrap/>
                  <w:vAlign w:val="bottom"/>
                  <w:hideMark/>
                </w:tcPr>
                <w:p w:rsidR="00CD19A6" w:rsidRPr="0079014D" w:rsidRDefault="00C40044" w:rsidP="003E4549">
                  <w:pPr>
                    <w:pStyle w:val="Tabletext"/>
                    <w:tabs>
                      <w:tab w:val="clear" w:pos="743"/>
                    </w:tabs>
                    <w:rPr>
                      <w:lang w:eastAsia="en-AU"/>
                    </w:rPr>
                  </w:pPr>
                  <w:r>
                    <w:rPr>
                      <w:lang w:eastAsia="en-AU"/>
                    </w:rPr>
                    <w:t>F</w:t>
                  </w:r>
                  <w:r w:rsidR="00CD19A6" w:rsidRPr="0079014D">
                    <w:rPr>
                      <w:lang w:eastAsia="en-AU"/>
                    </w:rPr>
                    <w:t>emale</w:t>
                  </w:r>
                </w:p>
              </w:tc>
              <w:tc>
                <w:tcPr>
                  <w:tcW w:w="1417"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60.9</w:t>
                  </w:r>
                </w:p>
              </w:tc>
              <w:tc>
                <w:tcPr>
                  <w:tcW w:w="2001"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47.2</w:t>
                  </w:r>
                </w:p>
              </w:tc>
              <w:tc>
                <w:tcPr>
                  <w:tcW w:w="267" w:type="dxa"/>
                  <w:tcBorders>
                    <w:top w:val="nil"/>
                    <w:left w:val="nil"/>
                    <w:bottom w:val="nil"/>
                    <w:right w:val="nil"/>
                  </w:tcBorders>
                </w:tcPr>
                <w:p w:rsidR="00CD19A6" w:rsidRPr="00E17EC4" w:rsidRDefault="00CD19A6" w:rsidP="00663185">
                  <w:pPr>
                    <w:tabs>
                      <w:tab w:val="decimal" w:pos="1080"/>
                    </w:tabs>
                    <w:spacing w:after="0" w:line="240" w:lineRule="auto"/>
                    <w:jc w:val="center"/>
                    <w:rPr>
                      <w:rFonts w:ascii="Arial" w:eastAsia="Times New Roman" w:hAnsi="Arial" w:cs="Arial"/>
                      <w:color w:val="000000"/>
                      <w:sz w:val="18"/>
                      <w:lang w:eastAsia="en-AU"/>
                    </w:rPr>
                  </w:pPr>
                </w:p>
              </w:tc>
            </w:tr>
            <w:tr w:rsidR="00CD19A6" w:rsidRPr="0079014D" w:rsidTr="00196300">
              <w:trPr>
                <w:trHeight w:val="300"/>
              </w:trPr>
              <w:tc>
                <w:tcPr>
                  <w:tcW w:w="3735" w:type="dxa"/>
                  <w:tcBorders>
                    <w:top w:val="nil"/>
                    <w:left w:val="nil"/>
                    <w:bottom w:val="nil"/>
                    <w:right w:val="nil"/>
                  </w:tcBorders>
                  <w:shd w:val="clear" w:color="auto" w:fill="auto"/>
                  <w:noWrap/>
                  <w:vAlign w:val="bottom"/>
                  <w:hideMark/>
                </w:tcPr>
                <w:p w:rsidR="00CD19A6" w:rsidRPr="0079014D" w:rsidRDefault="00C40044" w:rsidP="003E4549">
                  <w:pPr>
                    <w:pStyle w:val="Tabletext"/>
                    <w:rPr>
                      <w:lang w:eastAsia="en-AU"/>
                    </w:rPr>
                  </w:pPr>
                  <w:r>
                    <w:rPr>
                      <w:lang w:eastAsia="en-AU"/>
                    </w:rPr>
                    <w:t>E</w:t>
                  </w:r>
                  <w:r w:rsidR="00CD19A6" w:rsidRPr="0079014D">
                    <w:rPr>
                      <w:lang w:eastAsia="en-AU"/>
                    </w:rPr>
                    <w:t>xisting worker</w:t>
                  </w:r>
                </w:p>
              </w:tc>
              <w:tc>
                <w:tcPr>
                  <w:tcW w:w="1417"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8.0</w:t>
                  </w:r>
                </w:p>
              </w:tc>
              <w:tc>
                <w:tcPr>
                  <w:tcW w:w="2001" w:type="dxa"/>
                  <w:tcBorders>
                    <w:top w:val="nil"/>
                    <w:left w:val="nil"/>
                    <w:bottom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36.2</w:t>
                  </w:r>
                </w:p>
              </w:tc>
              <w:tc>
                <w:tcPr>
                  <w:tcW w:w="267" w:type="dxa"/>
                  <w:tcBorders>
                    <w:top w:val="nil"/>
                    <w:left w:val="nil"/>
                    <w:bottom w:val="nil"/>
                    <w:right w:val="nil"/>
                  </w:tcBorders>
                </w:tcPr>
                <w:p w:rsidR="00CD19A6" w:rsidRPr="00E17EC4" w:rsidRDefault="00CD19A6" w:rsidP="00663185">
                  <w:pPr>
                    <w:tabs>
                      <w:tab w:val="decimal" w:pos="1080"/>
                    </w:tabs>
                    <w:spacing w:after="0" w:line="240" w:lineRule="auto"/>
                    <w:jc w:val="center"/>
                    <w:rPr>
                      <w:rFonts w:ascii="Arial" w:eastAsia="Times New Roman" w:hAnsi="Arial" w:cs="Arial"/>
                      <w:color w:val="000000"/>
                      <w:sz w:val="18"/>
                      <w:lang w:eastAsia="en-AU"/>
                    </w:rPr>
                  </w:pPr>
                </w:p>
              </w:tc>
            </w:tr>
            <w:tr w:rsidR="00CD19A6" w:rsidRPr="0079014D" w:rsidTr="00196300">
              <w:trPr>
                <w:trHeight w:val="300"/>
              </w:trPr>
              <w:tc>
                <w:tcPr>
                  <w:tcW w:w="3735" w:type="dxa"/>
                  <w:tcBorders>
                    <w:top w:val="nil"/>
                    <w:left w:val="nil"/>
                    <w:right w:val="nil"/>
                  </w:tcBorders>
                  <w:shd w:val="clear" w:color="auto" w:fill="auto"/>
                  <w:noWrap/>
                  <w:vAlign w:val="bottom"/>
                  <w:hideMark/>
                </w:tcPr>
                <w:p w:rsidR="00CD19A6" w:rsidRPr="0079014D" w:rsidRDefault="00C40044" w:rsidP="003E4549">
                  <w:pPr>
                    <w:pStyle w:val="Tabletext"/>
                    <w:rPr>
                      <w:lang w:eastAsia="en-AU"/>
                    </w:rPr>
                  </w:pPr>
                  <w:r>
                    <w:rPr>
                      <w:lang w:eastAsia="en-AU"/>
                    </w:rPr>
                    <w:t>H</w:t>
                  </w:r>
                  <w:r w:rsidR="00CD19A6" w:rsidRPr="0079014D">
                    <w:rPr>
                      <w:lang w:eastAsia="en-AU"/>
                    </w:rPr>
                    <w:t>ighest previous qual</w:t>
                  </w:r>
                  <w:r w:rsidR="00C67223">
                    <w:rPr>
                      <w:lang w:eastAsia="en-AU"/>
                    </w:rPr>
                    <w:t>.</w:t>
                  </w:r>
                  <w:r w:rsidR="00CD19A6" w:rsidRPr="0079014D">
                    <w:rPr>
                      <w:lang w:eastAsia="en-AU"/>
                    </w:rPr>
                    <w:t xml:space="preserve"> (cert</w:t>
                  </w:r>
                  <w:r w:rsidR="00C67223">
                    <w:rPr>
                      <w:lang w:eastAsia="en-AU"/>
                    </w:rPr>
                    <w:t>.</w:t>
                  </w:r>
                  <w:r w:rsidR="00CD19A6" w:rsidRPr="0079014D">
                    <w:rPr>
                      <w:lang w:eastAsia="en-AU"/>
                    </w:rPr>
                    <w:t xml:space="preserve"> III and above)</w:t>
                  </w:r>
                </w:p>
              </w:tc>
              <w:tc>
                <w:tcPr>
                  <w:tcW w:w="1417" w:type="dxa"/>
                  <w:tcBorders>
                    <w:top w:val="nil"/>
                    <w:left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19.8</w:t>
                  </w:r>
                </w:p>
              </w:tc>
              <w:tc>
                <w:tcPr>
                  <w:tcW w:w="2001" w:type="dxa"/>
                  <w:tcBorders>
                    <w:top w:val="nil"/>
                    <w:left w:val="nil"/>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45.0</w:t>
                  </w:r>
                </w:p>
              </w:tc>
              <w:tc>
                <w:tcPr>
                  <w:tcW w:w="267" w:type="dxa"/>
                  <w:tcBorders>
                    <w:top w:val="nil"/>
                    <w:left w:val="nil"/>
                    <w:right w:val="nil"/>
                  </w:tcBorders>
                </w:tcPr>
                <w:p w:rsidR="00CD19A6" w:rsidRPr="00E17EC4" w:rsidRDefault="00CD19A6" w:rsidP="00663185">
                  <w:pPr>
                    <w:tabs>
                      <w:tab w:val="decimal" w:pos="1080"/>
                    </w:tabs>
                    <w:spacing w:after="0" w:line="240" w:lineRule="auto"/>
                    <w:jc w:val="center"/>
                    <w:rPr>
                      <w:rFonts w:ascii="Arial" w:eastAsia="Times New Roman" w:hAnsi="Arial" w:cs="Arial"/>
                      <w:color w:val="000000"/>
                      <w:sz w:val="18"/>
                      <w:lang w:eastAsia="en-AU"/>
                    </w:rPr>
                  </w:pPr>
                </w:p>
              </w:tc>
            </w:tr>
            <w:tr w:rsidR="00CD19A6" w:rsidRPr="0079014D" w:rsidTr="00196300">
              <w:trPr>
                <w:trHeight w:val="300"/>
              </w:trPr>
              <w:tc>
                <w:tcPr>
                  <w:tcW w:w="3735" w:type="dxa"/>
                  <w:tcBorders>
                    <w:top w:val="nil"/>
                    <w:left w:val="nil"/>
                    <w:bottom w:val="single" w:sz="4" w:space="0" w:color="auto"/>
                    <w:right w:val="nil"/>
                  </w:tcBorders>
                  <w:shd w:val="clear" w:color="auto" w:fill="auto"/>
                  <w:noWrap/>
                  <w:vAlign w:val="bottom"/>
                  <w:hideMark/>
                </w:tcPr>
                <w:p w:rsidR="00CD19A6" w:rsidRPr="0079014D" w:rsidRDefault="00C40044" w:rsidP="003E4549">
                  <w:pPr>
                    <w:pStyle w:val="Tabletext"/>
                    <w:rPr>
                      <w:lang w:eastAsia="en-AU"/>
                    </w:rPr>
                  </w:pPr>
                  <w:r>
                    <w:rPr>
                      <w:lang w:eastAsia="en-AU"/>
                    </w:rPr>
                    <w:t>C</w:t>
                  </w:r>
                  <w:r w:rsidR="00CD19A6" w:rsidRPr="0079014D">
                    <w:rPr>
                      <w:lang w:eastAsia="en-AU"/>
                    </w:rPr>
                    <w:t>urrent qual</w:t>
                  </w:r>
                  <w:r w:rsidR="00C67223">
                    <w:rPr>
                      <w:lang w:eastAsia="en-AU"/>
                    </w:rPr>
                    <w:t>.</w:t>
                  </w:r>
                  <w:r w:rsidR="00CD19A6" w:rsidRPr="0079014D">
                    <w:rPr>
                      <w:lang w:eastAsia="en-AU"/>
                    </w:rPr>
                    <w:t xml:space="preserve"> (cert</w:t>
                  </w:r>
                  <w:r w:rsidR="00C67223">
                    <w:rPr>
                      <w:lang w:eastAsia="en-AU"/>
                    </w:rPr>
                    <w:t>.</w:t>
                  </w:r>
                  <w:r w:rsidR="00CD19A6" w:rsidRPr="0079014D">
                    <w:rPr>
                      <w:lang w:eastAsia="en-AU"/>
                    </w:rPr>
                    <w:t xml:space="preserve"> IV or higher)</w:t>
                  </w:r>
                </w:p>
              </w:tc>
              <w:tc>
                <w:tcPr>
                  <w:tcW w:w="1417" w:type="dxa"/>
                  <w:tcBorders>
                    <w:top w:val="nil"/>
                    <w:left w:val="nil"/>
                    <w:bottom w:val="single" w:sz="4" w:space="0" w:color="auto"/>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15.7</w:t>
                  </w:r>
                </w:p>
              </w:tc>
              <w:tc>
                <w:tcPr>
                  <w:tcW w:w="2001" w:type="dxa"/>
                  <w:tcBorders>
                    <w:top w:val="nil"/>
                    <w:left w:val="nil"/>
                    <w:bottom w:val="single" w:sz="4" w:space="0" w:color="auto"/>
                    <w:right w:val="nil"/>
                  </w:tcBorders>
                  <w:shd w:val="clear" w:color="auto" w:fill="auto"/>
                  <w:noWrap/>
                  <w:vAlign w:val="bottom"/>
                  <w:hideMark/>
                </w:tcPr>
                <w:p w:rsidR="00CD19A6" w:rsidRPr="0079014D" w:rsidRDefault="00CD19A6" w:rsidP="003E4549">
                  <w:pPr>
                    <w:pStyle w:val="Tabletext"/>
                    <w:rPr>
                      <w:lang w:eastAsia="en-AU"/>
                    </w:rPr>
                  </w:pPr>
                  <w:r w:rsidRPr="00E17EC4">
                    <w:rPr>
                      <w:lang w:eastAsia="en-AU"/>
                    </w:rPr>
                    <w:t>36.9</w:t>
                  </w:r>
                </w:p>
              </w:tc>
              <w:tc>
                <w:tcPr>
                  <w:tcW w:w="267" w:type="dxa"/>
                  <w:tcBorders>
                    <w:top w:val="nil"/>
                    <w:left w:val="nil"/>
                    <w:bottom w:val="single" w:sz="4" w:space="0" w:color="auto"/>
                    <w:right w:val="nil"/>
                  </w:tcBorders>
                </w:tcPr>
                <w:p w:rsidR="00CD19A6" w:rsidRPr="00E17EC4" w:rsidRDefault="00CD19A6" w:rsidP="00663185">
                  <w:pPr>
                    <w:tabs>
                      <w:tab w:val="decimal" w:pos="1080"/>
                    </w:tabs>
                    <w:spacing w:after="0" w:line="240" w:lineRule="auto"/>
                    <w:jc w:val="center"/>
                    <w:rPr>
                      <w:rFonts w:ascii="Arial" w:eastAsia="Times New Roman" w:hAnsi="Arial" w:cs="Arial"/>
                      <w:color w:val="000000"/>
                      <w:sz w:val="18"/>
                      <w:lang w:eastAsia="en-AU"/>
                    </w:rPr>
                  </w:pPr>
                </w:p>
              </w:tc>
            </w:tr>
          </w:tbl>
          <w:p w:rsidR="00942467" w:rsidRPr="001A7DE2" w:rsidRDefault="00942467" w:rsidP="00663185">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942467" w:rsidRPr="001A7DE2" w:rsidRDefault="00942467" w:rsidP="00663185">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942467" w:rsidRPr="001A7DE2" w:rsidRDefault="00942467"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1E6B45" w:rsidRDefault="00942467" w:rsidP="001E6B45">
      <w:pPr>
        <w:pStyle w:val="Noteandsource"/>
        <w:rPr>
          <w:shd w:val="clear" w:color="auto" w:fill="FFFFFF"/>
        </w:rPr>
      </w:pPr>
      <w:r w:rsidRPr="00E07712">
        <w:rPr>
          <w:shd w:val="clear" w:color="auto" w:fill="FFFFFF"/>
        </w:rPr>
        <w:t>Note: Commencements are based on financial year starting from July 1995 to June 1996 and ending with July 2015 to June 2016. The rate is expressed as commencements as a proportion of the 15 to 64-year-old labour force.</w:t>
      </w:r>
    </w:p>
    <w:p w:rsidR="00CD19A6" w:rsidRDefault="0079014D" w:rsidP="001E6B45">
      <w:pPr>
        <w:pStyle w:val="Noteandsource"/>
        <w:rPr>
          <w:color w:val="1C1C1C"/>
          <w:sz w:val="18"/>
          <w:szCs w:val="18"/>
          <w:shd w:val="clear" w:color="auto" w:fill="FFFFFF"/>
        </w:rPr>
      </w:pPr>
      <w:r w:rsidRPr="005E5FBB">
        <w:rPr>
          <w:color w:val="1C1C1C"/>
          <w:sz w:val="18"/>
          <w:szCs w:val="18"/>
          <w:shd w:val="clear" w:color="auto" w:fill="FFFFFF"/>
        </w:rPr>
        <w:t> </w:t>
      </w:r>
    </w:p>
    <w:p w:rsidR="00DE2E74" w:rsidRDefault="00DE2E74" w:rsidP="00DE2E74">
      <w:pPr>
        <w:pStyle w:val="Heading2"/>
      </w:pPr>
      <w:r w:rsidRPr="00E91685">
        <w:t>Apprenticeship and traineeship commencement rates by trade/non-trade occupations for 25 to 64-year-olds, 1996–2016 (%)</w:t>
      </w:r>
    </w:p>
    <w:tbl>
      <w:tblPr>
        <w:tblW w:w="28975" w:type="dxa"/>
        <w:tblInd w:w="93" w:type="dxa"/>
        <w:tblLayout w:type="fixed"/>
        <w:tblLook w:val="04A0" w:firstRow="1" w:lastRow="0" w:firstColumn="1" w:lastColumn="0" w:noHBand="0" w:noVBand="1"/>
      </w:tblPr>
      <w:tblGrid>
        <w:gridCol w:w="9658"/>
        <w:gridCol w:w="9658"/>
        <w:gridCol w:w="9659"/>
      </w:tblGrid>
      <w:tr w:rsidR="00DE2E74" w:rsidRPr="001A7DE2" w:rsidTr="00F9678B">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9E5D12" w:rsidTr="00196300">
              <w:trPr>
                <w:trHeight w:val="300"/>
              </w:trPr>
              <w:tc>
                <w:tcPr>
                  <w:tcW w:w="2742" w:type="dxa"/>
                  <w:tcBorders>
                    <w:top w:val="single" w:sz="4" w:space="0" w:color="auto"/>
                    <w:left w:val="nil"/>
                    <w:bottom w:val="single" w:sz="4" w:space="0" w:color="auto"/>
                    <w:right w:val="nil"/>
                  </w:tcBorders>
                  <w:shd w:val="clear" w:color="auto" w:fill="auto"/>
                  <w:noWrap/>
                  <w:vAlign w:val="bottom"/>
                </w:tcPr>
                <w:p w:rsidR="009E5D12" w:rsidRDefault="009E5D12" w:rsidP="003E4549">
                  <w:pPr>
                    <w:pStyle w:val="Tableheader1"/>
                    <w:rPr>
                      <w:rFonts w:ascii="Calibri" w:hAnsi="Calibri"/>
                      <w:color w:val="000000"/>
                    </w:rPr>
                  </w:pPr>
                  <w:r w:rsidRPr="009E5D12">
                    <w:t>Year</w:t>
                  </w:r>
                </w:p>
              </w:tc>
              <w:tc>
                <w:tcPr>
                  <w:tcW w:w="1382" w:type="dxa"/>
                  <w:tcBorders>
                    <w:top w:val="single" w:sz="4" w:space="0" w:color="auto"/>
                    <w:left w:val="nil"/>
                    <w:bottom w:val="single" w:sz="4" w:space="0" w:color="auto"/>
                    <w:right w:val="nil"/>
                  </w:tcBorders>
                  <w:shd w:val="clear" w:color="auto" w:fill="auto"/>
                  <w:noWrap/>
                  <w:vAlign w:val="bottom"/>
                </w:tcPr>
                <w:p w:rsidR="009E5D12" w:rsidRPr="009E5D12" w:rsidRDefault="009E5D12" w:rsidP="003E4549">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9E5D12" w:rsidRPr="009E5D12" w:rsidRDefault="009E5D12" w:rsidP="003E4549">
                  <w:pPr>
                    <w:pStyle w:val="Tableheader1"/>
                  </w:pPr>
                  <w:r w:rsidRPr="009E5D12">
                    <w:t>25–64 years Trades</w:t>
                  </w:r>
                </w:p>
              </w:tc>
              <w:tc>
                <w:tcPr>
                  <w:tcW w:w="1524" w:type="dxa"/>
                  <w:tcBorders>
                    <w:top w:val="single" w:sz="4" w:space="0" w:color="auto"/>
                    <w:left w:val="nil"/>
                    <w:bottom w:val="single" w:sz="4" w:space="0" w:color="auto"/>
                    <w:right w:val="nil"/>
                  </w:tcBorders>
                </w:tcPr>
                <w:p w:rsidR="009E5D12" w:rsidRPr="009E5D12" w:rsidRDefault="009E5D12" w:rsidP="003E4549">
                  <w:pPr>
                    <w:pStyle w:val="Tableheader1"/>
                  </w:pPr>
                  <w:r w:rsidRPr="009E5D12">
                    <w:t>15–24 years Non-trades</w:t>
                  </w:r>
                </w:p>
              </w:tc>
              <w:tc>
                <w:tcPr>
                  <w:tcW w:w="1524" w:type="dxa"/>
                  <w:tcBorders>
                    <w:top w:val="single" w:sz="4" w:space="0" w:color="auto"/>
                    <w:left w:val="nil"/>
                    <w:bottom w:val="single" w:sz="4" w:space="0" w:color="auto"/>
                    <w:right w:val="nil"/>
                  </w:tcBorders>
                </w:tcPr>
                <w:p w:rsidR="009E5D12" w:rsidRPr="009E5D12" w:rsidRDefault="009E5D12" w:rsidP="003E4549">
                  <w:pPr>
                    <w:pStyle w:val="Tableheader1"/>
                  </w:pPr>
                  <w:r w:rsidRPr="009E5D12">
                    <w:t>25–64 years Non-trades</w:t>
                  </w:r>
                </w:p>
              </w:tc>
            </w:tr>
            <w:tr w:rsidR="009E5D12" w:rsidTr="00196300">
              <w:trPr>
                <w:trHeight w:val="300"/>
              </w:trPr>
              <w:tc>
                <w:tcPr>
                  <w:tcW w:w="2742" w:type="dxa"/>
                  <w:tcBorders>
                    <w:top w:val="single" w:sz="4" w:space="0" w:color="auto"/>
                    <w:left w:val="nil"/>
                    <w:bottom w:val="nil"/>
                    <w:right w:val="nil"/>
                  </w:tcBorders>
                  <w:shd w:val="clear" w:color="auto" w:fill="auto"/>
                  <w:noWrap/>
                  <w:vAlign w:val="bottom"/>
                  <w:hideMark/>
                </w:tcPr>
                <w:p w:rsidR="009E5D12" w:rsidRPr="00E17EC4" w:rsidRDefault="009E5D12" w:rsidP="0071490A">
                  <w:pPr>
                    <w:pStyle w:val="Tabletext"/>
                  </w:pPr>
                  <w:r w:rsidRPr="00E17EC4">
                    <w:t>Employment related</w:t>
                  </w:r>
                  <w:r w:rsidR="0071490A">
                    <w:br/>
                  </w:r>
                  <w:r w:rsidRPr="00E17EC4">
                    <w:t xml:space="preserve">– </w:t>
                  </w:r>
                  <w:r w:rsidR="00EF1A15" w:rsidRPr="00E17EC4">
                    <w:t xml:space="preserve"> </w:t>
                  </w:r>
                  <w:r w:rsidRPr="00E17EC4">
                    <w:t>get a job</w:t>
                  </w:r>
                </w:p>
              </w:tc>
              <w:tc>
                <w:tcPr>
                  <w:tcW w:w="1382" w:type="dxa"/>
                  <w:tcBorders>
                    <w:top w:val="single" w:sz="4" w:space="0" w:color="auto"/>
                    <w:left w:val="nil"/>
                    <w:bottom w:val="nil"/>
                    <w:right w:val="nil"/>
                  </w:tcBorders>
                  <w:shd w:val="clear" w:color="auto" w:fill="auto"/>
                  <w:noWrap/>
                  <w:vAlign w:val="bottom"/>
                  <w:hideMark/>
                </w:tcPr>
                <w:p w:rsidR="009E5D12" w:rsidRPr="00E17EC4" w:rsidRDefault="009E5D12" w:rsidP="003E4549">
                  <w:pPr>
                    <w:pStyle w:val="Tabletext"/>
                  </w:pPr>
                  <w:r w:rsidRPr="00E17EC4">
                    <w:t>28.3</w:t>
                  </w:r>
                </w:p>
              </w:tc>
              <w:tc>
                <w:tcPr>
                  <w:tcW w:w="1524" w:type="dxa"/>
                  <w:tcBorders>
                    <w:top w:val="single" w:sz="4" w:space="0" w:color="auto"/>
                    <w:left w:val="nil"/>
                    <w:bottom w:val="nil"/>
                    <w:right w:val="nil"/>
                  </w:tcBorders>
                  <w:shd w:val="clear" w:color="auto" w:fill="auto"/>
                  <w:noWrap/>
                  <w:vAlign w:val="bottom"/>
                  <w:hideMark/>
                </w:tcPr>
                <w:p w:rsidR="009E5D12" w:rsidRPr="00E17EC4" w:rsidRDefault="009E5D12" w:rsidP="003E4549">
                  <w:pPr>
                    <w:pStyle w:val="Tabletext"/>
                  </w:pPr>
                  <w:r w:rsidRPr="00E17EC4">
                    <w:t>14.1</w:t>
                  </w:r>
                </w:p>
              </w:tc>
              <w:tc>
                <w:tcPr>
                  <w:tcW w:w="1524" w:type="dxa"/>
                  <w:tcBorders>
                    <w:top w:val="single" w:sz="4" w:space="0" w:color="auto"/>
                    <w:left w:val="nil"/>
                    <w:bottom w:val="nil"/>
                    <w:right w:val="nil"/>
                  </w:tcBorders>
                  <w:vAlign w:val="bottom"/>
                </w:tcPr>
                <w:p w:rsidR="009E5D12" w:rsidRPr="00E17EC4" w:rsidRDefault="009E5D12" w:rsidP="003E4549">
                  <w:pPr>
                    <w:pStyle w:val="Tabletext"/>
                  </w:pPr>
                  <w:r w:rsidRPr="00E17EC4">
                    <w:t>26.1</w:t>
                  </w:r>
                </w:p>
              </w:tc>
              <w:tc>
                <w:tcPr>
                  <w:tcW w:w="1524" w:type="dxa"/>
                  <w:tcBorders>
                    <w:top w:val="single" w:sz="4" w:space="0" w:color="auto"/>
                    <w:left w:val="nil"/>
                    <w:bottom w:val="nil"/>
                    <w:right w:val="nil"/>
                  </w:tcBorders>
                  <w:vAlign w:val="bottom"/>
                </w:tcPr>
                <w:p w:rsidR="009E5D12" w:rsidRPr="00E17EC4" w:rsidRDefault="009E5D12" w:rsidP="003E4549">
                  <w:pPr>
                    <w:pStyle w:val="Tabletext"/>
                  </w:pPr>
                  <w:r w:rsidRPr="00E17EC4">
                    <w:t>23.5</w:t>
                  </w:r>
                </w:p>
              </w:tc>
            </w:tr>
            <w:tr w:rsidR="009E5D12" w:rsidTr="00196300">
              <w:trPr>
                <w:trHeight w:val="300"/>
              </w:trPr>
              <w:tc>
                <w:tcPr>
                  <w:tcW w:w="274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 Requirement of my job</w:t>
                  </w:r>
                </w:p>
              </w:tc>
              <w:tc>
                <w:tcPr>
                  <w:tcW w:w="138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44.6</w:t>
                  </w:r>
                </w:p>
              </w:tc>
              <w:tc>
                <w:tcPr>
                  <w:tcW w:w="1524"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29.0</w:t>
                  </w:r>
                </w:p>
              </w:tc>
              <w:tc>
                <w:tcPr>
                  <w:tcW w:w="1524" w:type="dxa"/>
                  <w:tcBorders>
                    <w:top w:val="nil"/>
                    <w:left w:val="nil"/>
                    <w:bottom w:val="nil"/>
                    <w:right w:val="nil"/>
                  </w:tcBorders>
                  <w:vAlign w:val="bottom"/>
                </w:tcPr>
                <w:p w:rsidR="009E5D12" w:rsidRPr="00E17EC4" w:rsidRDefault="009E5D12" w:rsidP="003E4549">
                  <w:pPr>
                    <w:pStyle w:val="Tabletext"/>
                  </w:pPr>
                  <w:r w:rsidRPr="00E17EC4">
                    <w:t>23.2</w:t>
                  </w:r>
                </w:p>
              </w:tc>
              <w:tc>
                <w:tcPr>
                  <w:tcW w:w="1524" w:type="dxa"/>
                  <w:tcBorders>
                    <w:top w:val="nil"/>
                    <w:left w:val="nil"/>
                    <w:bottom w:val="nil"/>
                    <w:right w:val="nil"/>
                  </w:tcBorders>
                  <w:vAlign w:val="bottom"/>
                </w:tcPr>
                <w:p w:rsidR="009E5D12" w:rsidRPr="00E17EC4" w:rsidRDefault="009E5D12" w:rsidP="003E4549">
                  <w:pPr>
                    <w:pStyle w:val="Tabletext"/>
                  </w:pPr>
                  <w:r w:rsidRPr="00E17EC4">
                    <w:t>23.1</w:t>
                  </w:r>
                </w:p>
              </w:tc>
            </w:tr>
            <w:tr w:rsidR="009E5D12" w:rsidTr="00196300">
              <w:trPr>
                <w:trHeight w:val="300"/>
              </w:trPr>
              <w:tc>
                <w:tcPr>
                  <w:tcW w:w="274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 Gain extra skills for my job</w:t>
                  </w:r>
                </w:p>
              </w:tc>
              <w:tc>
                <w:tcPr>
                  <w:tcW w:w="138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6.8</w:t>
                  </w:r>
                </w:p>
              </w:tc>
              <w:tc>
                <w:tcPr>
                  <w:tcW w:w="1524"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21.5</w:t>
                  </w:r>
                </w:p>
              </w:tc>
              <w:tc>
                <w:tcPr>
                  <w:tcW w:w="1524" w:type="dxa"/>
                  <w:tcBorders>
                    <w:top w:val="nil"/>
                    <w:left w:val="nil"/>
                    <w:bottom w:val="nil"/>
                    <w:right w:val="nil"/>
                  </w:tcBorders>
                  <w:vAlign w:val="bottom"/>
                </w:tcPr>
                <w:p w:rsidR="009E5D12" w:rsidRPr="00E17EC4" w:rsidRDefault="009E5D12" w:rsidP="003E4549">
                  <w:pPr>
                    <w:pStyle w:val="Tabletext"/>
                  </w:pPr>
                  <w:r w:rsidRPr="00E17EC4">
                    <w:t>21.7</w:t>
                  </w:r>
                </w:p>
              </w:tc>
              <w:tc>
                <w:tcPr>
                  <w:tcW w:w="1524" w:type="dxa"/>
                  <w:tcBorders>
                    <w:top w:val="nil"/>
                    <w:left w:val="nil"/>
                    <w:bottom w:val="nil"/>
                    <w:right w:val="nil"/>
                  </w:tcBorders>
                  <w:vAlign w:val="bottom"/>
                </w:tcPr>
                <w:p w:rsidR="009E5D12" w:rsidRPr="00E17EC4" w:rsidRDefault="009E5D12" w:rsidP="003E4549">
                  <w:pPr>
                    <w:pStyle w:val="Tabletext"/>
                  </w:pPr>
                  <w:r w:rsidRPr="00E17EC4">
                    <w:t>22.6</w:t>
                  </w:r>
                </w:p>
              </w:tc>
            </w:tr>
            <w:tr w:rsidR="009E5D12" w:rsidTr="00196300">
              <w:trPr>
                <w:trHeight w:val="300"/>
              </w:trPr>
              <w:tc>
                <w:tcPr>
                  <w:tcW w:w="274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 Other</w:t>
                  </w:r>
                </w:p>
              </w:tc>
              <w:tc>
                <w:tcPr>
                  <w:tcW w:w="1382"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13.9</w:t>
                  </w:r>
                </w:p>
              </w:tc>
              <w:tc>
                <w:tcPr>
                  <w:tcW w:w="1524" w:type="dxa"/>
                  <w:tcBorders>
                    <w:top w:val="nil"/>
                    <w:left w:val="nil"/>
                    <w:bottom w:val="nil"/>
                    <w:right w:val="nil"/>
                  </w:tcBorders>
                  <w:shd w:val="clear" w:color="auto" w:fill="auto"/>
                  <w:noWrap/>
                  <w:vAlign w:val="bottom"/>
                  <w:hideMark/>
                </w:tcPr>
                <w:p w:rsidR="009E5D12" w:rsidRPr="00E17EC4" w:rsidRDefault="009E5D12" w:rsidP="003E4549">
                  <w:pPr>
                    <w:pStyle w:val="Tabletext"/>
                  </w:pPr>
                  <w:r w:rsidRPr="00E17EC4">
                    <w:t>28.4</w:t>
                  </w:r>
                </w:p>
              </w:tc>
              <w:tc>
                <w:tcPr>
                  <w:tcW w:w="1524" w:type="dxa"/>
                  <w:tcBorders>
                    <w:top w:val="nil"/>
                    <w:left w:val="nil"/>
                    <w:bottom w:val="nil"/>
                    <w:right w:val="nil"/>
                  </w:tcBorders>
                  <w:vAlign w:val="bottom"/>
                </w:tcPr>
                <w:p w:rsidR="009E5D12" w:rsidRPr="00E17EC4" w:rsidRDefault="009E5D12" w:rsidP="003E4549">
                  <w:pPr>
                    <w:pStyle w:val="Tabletext"/>
                  </w:pPr>
                  <w:r w:rsidRPr="00E17EC4">
                    <w:t>13.6</w:t>
                  </w:r>
                </w:p>
              </w:tc>
              <w:tc>
                <w:tcPr>
                  <w:tcW w:w="1524" w:type="dxa"/>
                  <w:tcBorders>
                    <w:top w:val="nil"/>
                    <w:left w:val="nil"/>
                    <w:bottom w:val="nil"/>
                    <w:right w:val="nil"/>
                  </w:tcBorders>
                  <w:vAlign w:val="bottom"/>
                </w:tcPr>
                <w:p w:rsidR="009E5D12" w:rsidRPr="00E17EC4" w:rsidRDefault="009E5D12" w:rsidP="003E4549">
                  <w:pPr>
                    <w:pStyle w:val="Tabletext"/>
                  </w:pPr>
                  <w:r w:rsidRPr="00E17EC4">
                    <w:t>19.6</w:t>
                  </w:r>
                </w:p>
              </w:tc>
            </w:tr>
            <w:tr w:rsidR="009E5D12" w:rsidTr="00196300">
              <w:trPr>
                <w:trHeight w:val="300"/>
              </w:trPr>
              <w:tc>
                <w:tcPr>
                  <w:tcW w:w="2742" w:type="dxa"/>
                  <w:tcBorders>
                    <w:top w:val="nil"/>
                    <w:left w:val="nil"/>
                    <w:right w:val="nil"/>
                  </w:tcBorders>
                  <w:shd w:val="clear" w:color="auto" w:fill="auto"/>
                  <w:noWrap/>
                  <w:vAlign w:val="bottom"/>
                  <w:hideMark/>
                </w:tcPr>
                <w:p w:rsidR="009E5D12" w:rsidRPr="00E17EC4" w:rsidRDefault="009E5D12" w:rsidP="003E4549">
                  <w:pPr>
                    <w:pStyle w:val="Tabletext"/>
                  </w:pPr>
                  <w:r w:rsidRPr="00E17EC4">
                    <w:t>Further study</w:t>
                  </w:r>
                </w:p>
              </w:tc>
              <w:tc>
                <w:tcPr>
                  <w:tcW w:w="1382" w:type="dxa"/>
                  <w:tcBorders>
                    <w:top w:val="nil"/>
                    <w:left w:val="nil"/>
                    <w:right w:val="nil"/>
                  </w:tcBorders>
                  <w:shd w:val="clear" w:color="auto" w:fill="auto"/>
                  <w:noWrap/>
                  <w:vAlign w:val="bottom"/>
                  <w:hideMark/>
                </w:tcPr>
                <w:p w:rsidR="009E5D12" w:rsidRPr="00E17EC4" w:rsidRDefault="009E5D12" w:rsidP="003E4549">
                  <w:pPr>
                    <w:pStyle w:val="Tabletext"/>
                  </w:pPr>
                  <w:r w:rsidRPr="00E17EC4">
                    <w:t>1.2</w:t>
                  </w:r>
                </w:p>
              </w:tc>
              <w:tc>
                <w:tcPr>
                  <w:tcW w:w="1524" w:type="dxa"/>
                  <w:tcBorders>
                    <w:top w:val="nil"/>
                    <w:left w:val="nil"/>
                    <w:right w:val="nil"/>
                  </w:tcBorders>
                  <w:shd w:val="clear" w:color="auto" w:fill="auto"/>
                  <w:noWrap/>
                  <w:vAlign w:val="bottom"/>
                  <w:hideMark/>
                </w:tcPr>
                <w:p w:rsidR="009E5D12" w:rsidRPr="00E17EC4" w:rsidRDefault="009E5D12" w:rsidP="003E4549">
                  <w:pPr>
                    <w:pStyle w:val="Tabletext"/>
                  </w:pPr>
                  <w:r w:rsidRPr="00E17EC4">
                    <w:t>0.8</w:t>
                  </w:r>
                </w:p>
              </w:tc>
              <w:tc>
                <w:tcPr>
                  <w:tcW w:w="1524" w:type="dxa"/>
                  <w:tcBorders>
                    <w:top w:val="nil"/>
                    <w:left w:val="nil"/>
                    <w:right w:val="nil"/>
                  </w:tcBorders>
                  <w:vAlign w:val="bottom"/>
                </w:tcPr>
                <w:p w:rsidR="009E5D12" w:rsidRPr="00E17EC4" w:rsidRDefault="009E5D12" w:rsidP="003E4549">
                  <w:pPr>
                    <w:pStyle w:val="Tabletext"/>
                  </w:pPr>
                  <w:r w:rsidRPr="00E17EC4">
                    <w:t>3.1</w:t>
                  </w:r>
                </w:p>
              </w:tc>
              <w:tc>
                <w:tcPr>
                  <w:tcW w:w="1524" w:type="dxa"/>
                  <w:tcBorders>
                    <w:top w:val="nil"/>
                    <w:left w:val="nil"/>
                    <w:right w:val="nil"/>
                  </w:tcBorders>
                  <w:vAlign w:val="bottom"/>
                </w:tcPr>
                <w:p w:rsidR="009E5D12" w:rsidRPr="00E17EC4" w:rsidRDefault="009E5D12" w:rsidP="003E4549">
                  <w:pPr>
                    <w:pStyle w:val="Tabletext"/>
                  </w:pPr>
                  <w:r w:rsidRPr="00E17EC4">
                    <w:t>2.7</w:t>
                  </w:r>
                </w:p>
              </w:tc>
            </w:tr>
            <w:tr w:rsidR="009E5D12" w:rsidTr="00196300">
              <w:trPr>
                <w:trHeight w:val="300"/>
              </w:trPr>
              <w:tc>
                <w:tcPr>
                  <w:tcW w:w="2742" w:type="dxa"/>
                  <w:tcBorders>
                    <w:top w:val="nil"/>
                    <w:left w:val="nil"/>
                    <w:bottom w:val="single" w:sz="4" w:space="0" w:color="auto"/>
                    <w:right w:val="nil"/>
                  </w:tcBorders>
                  <w:shd w:val="clear" w:color="auto" w:fill="auto"/>
                  <w:noWrap/>
                  <w:vAlign w:val="bottom"/>
                  <w:hideMark/>
                </w:tcPr>
                <w:p w:rsidR="009E5D12" w:rsidRPr="00E17EC4" w:rsidRDefault="009E5D12" w:rsidP="003E4549">
                  <w:pPr>
                    <w:pStyle w:val="Tabletext"/>
                  </w:pPr>
                  <w:r w:rsidRPr="00E17EC4">
                    <w:t>Personal development</w:t>
                  </w:r>
                </w:p>
              </w:tc>
              <w:tc>
                <w:tcPr>
                  <w:tcW w:w="1382" w:type="dxa"/>
                  <w:tcBorders>
                    <w:top w:val="nil"/>
                    <w:left w:val="nil"/>
                    <w:bottom w:val="single" w:sz="4" w:space="0" w:color="auto"/>
                    <w:right w:val="nil"/>
                  </w:tcBorders>
                  <w:shd w:val="clear" w:color="auto" w:fill="auto"/>
                  <w:noWrap/>
                  <w:vAlign w:val="bottom"/>
                  <w:hideMark/>
                </w:tcPr>
                <w:p w:rsidR="009E5D12" w:rsidRPr="00E17EC4" w:rsidRDefault="009E5D12" w:rsidP="003E4549">
                  <w:pPr>
                    <w:pStyle w:val="Tabletext"/>
                  </w:pPr>
                  <w:r w:rsidRPr="00E17EC4">
                    <w:t>5.2</w:t>
                  </w:r>
                </w:p>
              </w:tc>
              <w:tc>
                <w:tcPr>
                  <w:tcW w:w="1524" w:type="dxa"/>
                  <w:tcBorders>
                    <w:top w:val="nil"/>
                    <w:left w:val="nil"/>
                    <w:bottom w:val="single" w:sz="4" w:space="0" w:color="auto"/>
                    <w:right w:val="nil"/>
                  </w:tcBorders>
                  <w:shd w:val="clear" w:color="auto" w:fill="auto"/>
                  <w:noWrap/>
                  <w:vAlign w:val="bottom"/>
                  <w:hideMark/>
                </w:tcPr>
                <w:p w:rsidR="009E5D12" w:rsidRPr="00E17EC4" w:rsidRDefault="009E5D12" w:rsidP="003E4549">
                  <w:pPr>
                    <w:pStyle w:val="Tabletext"/>
                  </w:pPr>
                  <w:r w:rsidRPr="00E17EC4">
                    <w:t>6.3</w:t>
                  </w:r>
                </w:p>
              </w:tc>
              <w:tc>
                <w:tcPr>
                  <w:tcW w:w="1524" w:type="dxa"/>
                  <w:tcBorders>
                    <w:top w:val="nil"/>
                    <w:left w:val="nil"/>
                    <w:bottom w:val="single" w:sz="4" w:space="0" w:color="auto"/>
                    <w:right w:val="nil"/>
                  </w:tcBorders>
                  <w:vAlign w:val="bottom"/>
                </w:tcPr>
                <w:p w:rsidR="009E5D12" w:rsidRPr="00E17EC4" w:rsidRDefault="009E5D12" w:rsidP="003E4549">
                  <w:pPr>
                    <w:pStyle w:val="Tabletext"/>
                  </w:pPr>
                  <w:r w:rsidRPr="00E17EC4">
                    <w:t>12.4</w:t>
                  </w:r>
                </w:p>
              </w:tc>
              <w:tc>
                <w:tcPr>
                  <w:tcW w:w="1524" w:type="dxa"/>
                  <w:tcBorders>
                    <w:top w:val="nil"/>
                    <w:left w:val="nil"/>
                    <w:bottom w:val="single" w:sz="4" w:space="0" w:color="auto"/>
                    <w:right w:val="nil"/>
                  </w:tcBorders>
                  <w:vAlign w:val="bottom"/>
                </w:tcPr>
                <w:p w:rsidR="009E5D12" w:rsidRPr="00E17EC4" w:rsidRDefault="009E5D12" w:rsidP="003E4549">
                  <w:pPr>
                    <w:pStyle w:val="Tabletext"/>
                  </w:pPr>
                  <w:r w:rsidRPr="00E17EC4">
                    <w:t>8.5</w:t>
                  </w:r>
                </w:p>
              </w:tc>
            </w:tr>
          </w:tbl>
          <w:p w:rsidR="00DE2E74" w:rsidRPr="001A7DE2" w:rsidRDefault="00DE2E74"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DE2E74" w:rsidRPr="001A7DE2" w:rsidRDefault="00DE2E74"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DE2E74" w:rsidRPr="001A7DE2" w:rsidRDefault="00DE2E74"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DE2E74" w:rsidRDefault="00DE2E74" w:rsidP="00E07712">
      <w:pPr>
        <w:pStyle w:val="Noteandsource"/>
        <w:rPr>
          <w:color w:val="1C1C1C"/>
          <w:sz w:val="18"/>
          <w:szCs w:val="18"/>
          <w:shd w:val="clear" w:color="auto" w:fill="FFFFFF"/>
        </w:rPr>
      </w:pPr>
      <w:r w:rsidRPr="00E07712">
        <w:rPr>
          <w:shd w:val="clear" w:color="auto" w:fill="FFFFFF"/>
        </w:rPr>
        <w:t>Note: Commencements are based on financial year starting from July 1995 to June 1996 and ending with July 2015 to June 2016. The rate is expressed as commencements as a proportion of the 15 to 64-year-old labour force.</w:t>
      </w:r>
      <w:r w:rsidRPr="005E5FBB">
        <w:rPr>
          <w:color w:val="1C1C1C"/>
          <w:sz w:val="18"/>
          <w:szCs w:val="18"/>
          <w:shd w:val="clear" w:color="auto" w:fill="FFFFFF"/>
        </w:rPr>
        <w:t> </w:t>
      </w:r>
    </w:p>
    <w:p w:rsidR="00CD19A6" w:rsidRDefault="00CD19A6" w:rsidP="007876A3">
      <w:pPr>
        <w:pStyle w:val="Heading2"/>
      </w:pPr>
    </w:p>
    <w:p w:rsidR="007876A3" w:rsidRDefault="007876A3" w:rsidP="007876A3">
      <w:pPr>
        <w:pStyle w:val="Heading2"/>
      </w:pPr>
      <w:r w:rsidRPr="007876A3">
        <w:t>Proportion of subject results where recognition of prior learning or recognition of current competency was granted for trades apprentices, by age, 2007–15</w:t>
      </w:r>
    </w:p>
    <w:tbl>
      <w:tblPr>
        <w:tblW w:w="28975" w:type="dxa"/>
        <w:tblInd w:w="93" w:type="dxa"/>
        <w:tblLayout w:type="fixed"/>
        <w:tblLook w:val="04A0" w:firstRow="1" w:lastRow="0" w:firstColumn="1" w:lastColumn="0" w:noHBand="0" w:noVBand="1"/>
      </w:tblPr>
      <w:tblGrid>
        <w:gridCol w:w="9680"/>
        <w:gridCol w:w="898"/>
        <w:gridCol w:w="18397"/>
      </w:tblGrid>
      <w:tr w:rsidR="007876A3" w:rsidRPr="001A7DE2" w:rsidTr="007876A3">
        <w:trPr>
          <w:trHeight w:val="300"/>
        </w:trPr>
        <w:tc>
          <w:tcPr>
            <w:tcW w:w="9680" w:type="dxa"/>
            <w:tcBorders>
              <w:top w:val="nil"/>
              <w:left w:val="nil"/>
              <w:bottom w:val="nil"/>
              <w:right w:val="nil"/>
            </w:tcBorders>
            <w:shd w:val="clear" w:color="auto" w:fill="auto"/>
            <w:noWrap/>
            <w:vAlign w:val="bottom"/>
          </w:tcPr>
          <w:tbl>
            <w:tblPr>
              <w:tblW w:w="4727" w:type="dxa"/>
              <w:tblLayout w:type="fixed"/>
              <w:tblLook w:val="04A0" w:firstRow="1" w:lastRow="0" w:firstColumn="1" w:lastColumn="0" w:noHBand="0" w:noVBand="1"/>
            </w:tblPr>
            <w:tblGrid>
              <w:gridCol w:w="960"/>
              <w:gridCol w:w="1883"/>
              <w:gridCol w:w="1884"/>
            </w:tblGrid>
            <w:tr w:rsidR="007876A3" w:rsidRPr="007876A3" w:rsidTr="007876A3">
              <w:trPr>
                <w:trHeight w:val="300"/>
              </w:trPr>
              <w:tc>
                <w:tcPr>
                  <w:tcW w:w="960" w:type="dxa"/>
                  <w:tcBorders>
                    <w:top w:val="single" w:sz="4" w:space="0" w:color="auto"/>
                    <w:left w:val="nil"/>
                    <w:bottom w:val="single" w:sz="4" w:space="0" w:color="auto"/>
                    <w:right w:val="nil"/>
                  </w:tcBorders>
                  <w:shd w:val="clear" w:color="auto" w:fill="auto"/>
                  <w:noWrap/>
                  <w:vAlign w:val="bottom"/>
                </w:tcPr>
                <w:p w:rsidR="007876A3" w:rsidRPr="007876A3" w:rsidRDefault="007876A3" w:rsidP="003E4549">
                  <w:pPr>
                    <w:pStyle w:val="Tableheader1"/>
                    <w:rPr>
                      <w:lang w:eastAsia="en-AU"/>
                    </w:rPr>
                  </w:pPr>
                  <w:r>
                    <w:rPr>
                      <w:lang w:eastAsia="en-AU"/>
                    </w:rPr>
                    <w:t>Years</w:t>
                  </w:r>
                </w:p>
              </w:tc>
              <w:tc>
                <w:tcPr>
                  <w:tcW w:w="1883" w:type="dxa"/>
                  <w:tcBorders>
                    <w:top w:val="single" w:sz="4" w:space="0" w:color="auto"/>
                    <w:left w:val="nil"/>
                    <w:bottom w:val="single" w:sz="4" w:space="0" w:color="auto"/>
                    <w:right w:val="nil"/>
                  </w:tcBorders>
                  <w:shd w:val="clear" w:color="auto" w:fill="auto"/>
                  <w:noWrap/>
                  <w:vAlign w:val="bottom"/>
                </w:tcPr>
                <w:p w:rsidR="007876A3" w:rsidRPr="007876A3" w:rsidRDefault="007876A3" w:rsidP="003E4549">
                  <w:pPr>
                    <w:pStyle w:val="Tableheader1"/>
                    <w:rPr>
                      <w:lang w:eastAsia="en-AU"/>
                    </w:rPr>
                  </w:pPr>
                  <w:r>
                    <w:rPr>
                      <w:lang w:eastAsia="en-AU"/>
                    </w:rPr>
                    <w:t>15–24 years</w:t>
                  </w:r>
                </w:p>
              </w:tc>
              <w:tc>
                <w:tcPr>
                  <w:tcW w:w="1884" w:type="dxa"/>
                  <w:tcBorders>
                    <w:top w:val="single" w:sz="4" w:space="0" w:color="auto"/>
                    <w:left w:val="nil"/>
                    <w:bottom w:val="single" w:sz="4" w:space="0" w:color="auto"/>
                    <w:right w:val="nil"/>
                  </w:tcBorders>
                  <w:shd w:val="clear" w:color="auto" w:fill="auto"/>
                  <w:noWrap/>
                  <w:vAlign w:val="bottom"/>
                </w:tcPr>
                <w:p w:rsidR="007876A3" w:rsidRPr="007876A3" w:rsidRDefault="007876A3" w:rsidP="003E4549">
                  <w:pPr>
                    <w:pStyle w:val="Tableheader1"/>
                    <w:rPr>
                      <w:lang w:eastAsia="en-AU"/>
                    </w:rPr>
                  </w:pPr>
                  <w:r>
                    <w:rPr>
                      <w:lang w:eastAsia="en-AU"/>
                    </w:rPr>
                    <w:t>25–64 years</w:t>
                  </w:r>
                </w:p>
              </w:tc>
            </w:tr>
            <w:tr w:rsidR="007876A3" w:rsidRPr="007876A3" w:rsidTr="007876A3">
              <w:trPr>
                <w:trHeight w:val="300"/>
              </w:trPr>
              <w:tc>
                <w:tcPr>
                  <w:tcW w:w="960" w:type="dxa"/>
                  <w:tcBorders>
                    <w:top w:val="single" w:sz="4" w:space="0" w:color="auto"/>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2007</w:t>
                  </w:r>
                </w:p>
              </w:tc>
              <w:tc>
                <w:tcPr>
                  <w:tcW w:w="1883" w:type="dxa"/>
                  <w:tcBorders>
                    <w:top w:val="single" w:sz="4" w:space="0" w:color="auto"/>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w:t>
                  </w:r>
                  <w:r w:rsidRPr="00491F13">
                    <w:rPr>
                      <w:lang w:eastAsia="en-AU"/>
                    </w:rPr>
                    <w:t>.0</w:t>
                  </w:r>
                </w:p>
              </w:tc>
              <w:tc>
                <w:tcPr>
                  <w:tcW w:w="1884" w:type="dxa"/>
                  <w:tcBorders>
                    <w:top w:val="single" w:sz="4" w:space="0" w:color="auto"/>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4.4</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2008</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1.1</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4.3</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2009</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1.3</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6.2</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2010</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1.3</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7</w:t>
                  </w:r>
                  <w:r w:rsidRPr="00491F13">
                    <w:rPr>
                      <w:lang w:eastAsia="en-AU"/>
                    </w:rPr>
                    <w:t>.0</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2011</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1.7</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9.6</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2012</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w:t>
                  </w:r>
                  <w:r w:rsidRPr="00491F13">
                    <w:rPr>
                      <w:lang w:eastAsia="en-AU"/>
                    </w:rPr>
                    <w:t>.0</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11.1</w:t>
                  </w:r>
                </w:p>
              </w:tc>
            </w:tr>
            <w:tr w:rsidR="007876A3" w:rsidRPr="007876A3" w:rsidTr="007876A3">
              <w:trPr>
                <w:trHeight w:val="300"/>
              </w:trPr>
              <w:tc>
                <w:tcPr>
                  <w:tcW w:w="960"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2013</w:t>
                  </w:r>
                </w:p>
              </w:tc>
              <w:tc>
                <w:tcPr>
                  <w:tcW w:w="1883"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4</w:t>
                  </w:r>
                  <w:r w:rsidRPr="00491F13">
                    <w:rPr>
                      <w:lang w:eastAsia="en-AU"/>
                    </w:rPr>
                    <w:t>.0</w:t>
                  </w:r>
                </w:p>
              </w:tc>
              <w:tc>
                <w:tcPr>
                  <w:tcW w:w="1884" w:type="dxa"/>
                  <w:tcBorders>
                    <w:top w:val="nil"/>
                    <w:left w:val="nil"/>
                    <w:bottom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14.9</w:t>
                  </w:r>
                </w:p>
              </w:tc>
            </w:tr>
            <w:tr w:rsidR="007876A3" w:rsidRPr="007876A3" w:rsidTr="00CD19A6">
              <w:trPr>
                <w:trHeight w:val="300"/>
              </w:trPr>
              <w:tc>
                <w:tcPr>
                  <w:tcW w:w="960" w:type="dxa"/>
                  <w:tcBorders>
                    <w:top w:val="nil"/>
                    <w:left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2014</w:t>
                  </w:r>
                </w:p>
              </w:tc>
              <w:tc>
                <w:tcPr>
                  <w:tcW w:w="1883" w:type="dxa"/>
                  <w:tcBorders>
                    <w:top w:val="nil"/>
                    <w:left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6</w:t>
                  </w:r>
                  <w:r w:rsidRPr="00491F13">
                    <w:rPr>
                      <w:lang w:eastAsia="en-AU"/>
                    </w:rPr>
                    <w:t>.0</w:t>
                  </w:r>
                </w:p>
              </w:tc>
              <w:tc>
                <w:tcPr>
                  <w:tcW w:w="1884" w:type="dxa"/>
                  <w:tcBorders>
                    <w:top w:val="nil"/>
                    <w:left w:val="nil"/>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12.9</w:t>
                  </w:r>
                </w:p>
              </w:tc>
            </w:tr>
            <w:tr w:rsidR="007876A3" w:rsidRPr="007876A3" w:rsidTr="00CD19A6">
              <w:trPr>
                <w:trHeight w:val="300"/>
              </w:trPr>
              <w:tc>
                <w:tcPr>
                  <w:tcW w:w="960" w:type="dxa"/>
                  <w:tcBorders>
                    <w:top w:val="nil"/>
                    <w:left w:val="nil"/>
                    <w:bottom w:val="single" w:sz="4" w:space="0" w:color="auto"/>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2015</w:t>
                  </w:r>
                </w:p>
              </w:tc>
              <w:tc>
                <w:tcPr>
                  <w:tcW w:w="1883" w:type="dxa"/>
                  <w:tcBorders>
                    <w:top w:val="nil"/>
                    <w:left w:val="nil"/>
                    <w:bottom w:val="single" w:sz="4" w:space="0" w:color="auto"/>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2.6</w:t>
                  </w:r>
                </w:p>
              </w:tc>
              <w:tc>
                <w:tcPr>
                  <w:tcW w:w="1884" w:type="dxa"/>
                  <w:tcBorders>
                    <w:top w:val="nil"/>
                    <w:left w:val="nil"/>
                    <w:bottom w:val="single" w:sz="4" w:space="0" w:color="auto"/>
                    <w:right w:val="nil"/>
                  </w:tcBorders>
                  <w:shd w:val="clear" w:color="auto" w:fill="auto"/>
                  <w:noWrap/>
                  <w:vAlign w:val="bottom"/>
                  <w:hideMark/>
                </w:tcPr>
                <w:p w:rsidR="007876A3" w:rsidRPr="007876A3" w:rsidRDefault="007876A3" w:rsidP="003E4549">
                  <w:pPr>
                    <w:pStyle w:val="Tabletext"/>
                    <w:rPr>
                      <w:lang w:eastAsia="en-AU"/>
                    </w:rPr>
                  </w:pPr>
                  <w:r w:rsidRPr="007876A3">
                    <w:rPr>
                      <w:lang w:eastAsia="en-AU"/>
                    </w:rPr>
                    <w:t>10.2</w:t>
                  </w:r>
                </w:p>
              </w:tc>
            </w:tr>
          </w:tbl>
          <w:p w:rsidR="007876A3" w:rsidRPr="001A7DE2" w:rsidRDefault="007876A3" w:rsidP="00663185">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7876A3" w:rsidRPr="001A7DE2" w:rsidRDefault="007876A3" w:rsidP="00663185">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7876A3" w:rsidRPr="001A7DE2" w:rsidRDefault="007876A3"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E155EE" w:rsidRDefault="00E155EE">
      <w:pPr>
        <w:rPr>
          <w:rFonts w:ascii="Trebuchet MS" w:hAnsi="Trebuchet MS" w:cs="Arial"/>
          <w:color w:val="1C1C1C"/>
          <w:sz w:val="18"/>
          <w:szCs w:val="18"/>
          <w:shd w:val="clear" w:color="auto" w:fill="FFFFFF"/>
        </w:rPr>
      </w:pPr>
    </w:p>
    <w:p w:rsidR="00750459" w:rsidRDefault="00750459">
      <w:pPr>
        <w:rPr>
          <w:rFonts w:ascii="Trebuchet MS" w:hAnsi="Trebuchet MS" w:cs="Arial"/>
          <w:color w:val="1C1C1C"/>
          <w:sz w:val="18"/>
          <w:szCs w:val="18"/>
          <w:shd w:val="clear" w:color="auto" w:fill="FFFFFF"/>
        </w:rPr>
      </w:pPr>
      <w:r>
        <w:rPr>
          <w:rFonts w:ascii="Trebuchet MS" w:hAnsi="Trebuchet MS" w:cs="Arial"/>
          <w:color w:val="1C1C1C"/>
          <w:sz w:val="18"/>
          <w:szCs w:val="18"/>
          <w:shd w:val="clear" w:color="auto" w:fill="FFFFFF"/>
        </w:rPr>
        <w:br w:type="page"/>
      </w:r>
    </w:p>
    <w:p w:rsidR="00E155EE" w:rsidRDefault="00E155EE" w:rsidP="00E155EE">
      <w:pPr>
        <w:pStyle w:val="Heading2"/>
      </w:pPr>
      <w:r w:rsidRPr="00E155EE">
        <w:lastRenderedPageBreak/>
        <w:t xml:space="preserve">Recognition of prior learning </w:t>
      </w:r>
      <w:r w:rsidR="00B51530">
        <w:t xml:space="preserve">outcomes </w:t>
      </w:r>
      <w:r w:rsidRPr="00E155EE">
        <w:t>for adult and young graduates</w:t>
      </w:r>
      <w:r w:rsidR="00B51530">
        <w:t xml:space="preserve"> with prior experience and skills</w:t>
      </w:r>
      <w:r w:rsidRPr="00E155EE">
        <w:t>, by trade or non-trade apprenticeship, 2015 (%)</w:t>
      </w:r>
    </w:p>
    <w:tbl>
      <w:tblPr>
        <w:tblW w:w="28975" w:type="dxa"/>
        <w:tblInd w:w="93" w:type="dxa"/>
        <w:tblLayout w:type="fixed"/>
        <w:tblLook w:val="04A0" w:firstRow="1" w:lastRow="0" w:firstColumn="1" w:lastColumn="0" w:noHBand="0" w:noVBand="1"/>
      </w:tblPr>
      <w:tblGrid>
        <w:gridCol w:w="9658"/>
        <w:gridCol w:w="9658"/>
        <w:gridCol w:w="9659"/>
      </w:tblGrid>
      <w:tr w:rsidR="00E155EE" w:rsidRPr="001A7DE2" w:rsidTr="00663185">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E155EE" w:rsidTr="00663185">
              <w:trPr>
                <w:trHeight w:val="300"/>
              </w:trPr>
              <w:tc>
                <w:tcPr>
                  <w:tcW w:w="2742" w:type="dxa"/>
                  <w:tcBorders>
                    <w:top w:val="single" w:sz="4" w:space="0" w:color="auto"/>
                    <w:left w:val="nil"/>
                    <w:bottom w:val="single" w:sz="4" w:space="0" w:color="auto"/>
                    <w:right w:val="nil"/>
                  </w:tcBorders>
                  <w:shd w:val="clear" w:color="auto" w:fill="auto"/>
                  <w:noWrap/>
                  <w:vAlign w:val="bottom"/>
                </w:tcPr>
                <w:p w:rsidR="00E155EE" w:rsidRDefault="00E155EE" w:rsidP="00663185">
                  <w:pPr>
                    <w:spacing w:after="0"/>
                    <w:rPr>
                      <w:rFonts w:ascii="Calibri" w:hAnsi="Calibri"/>
                      <w:color w:val="000000"/>
                    </w:rPr>
                  </w:pPr>
                </w:p>
              </w:tc>
              <w:tc>
                <w:tcPr>
                  <w:tcW w:w="1382" w:type="dxa"/>
                  <w:tcBorders>
                    <w:top w:val="single" w:sz="4" w:space="0" w:color="auto"/>
                    <w:left w:val="nil"/>
                    <w:bottom w:val="single" w:sz="4" w:space="0" w:color="auto"/>
                    <w:right w:val="nil"/>
                  </w:tcBorders>
                  <w:shd w:val="clear" w:color="auto" w:fill="auto"/>
                  <w:noWrap/>
                  <w:vAlign w:val="bottom"/>
                </w:tcPr>
                <w:p w:rsidR="00E155EE" w:rsidRPr="009E5D12" w:rsidRDefault="00E155EE" w:rsidP="00196300">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E155EE" w:rsidRPr="009E5D12" w:rsidRDefault="00E155EE" w:rsidP="00196300">
                  <w:pPr>
                    <w:pStyle w:val="Tableheader1"/>
                  </w:pPr>
                  <w:r w:rsidRPr="009E5D12">
                    <w:t>25–64 years Trades</w:t>
                  </w:r>
                </w:p>
              </w:tc>
              <w:tc>
                <w:tcPr>
                  <w:tcW w:w="1524" w:type="dxa"/>
                  <w:tcBorders>
                    <w:top w:val="single" w:sz="4" w:space="0" w:color="auto"/>
                    <w:left w:val="nil"/>
                    <w:bottom w:val="single" w:sz="4" w:space="0" w:color="auto"/>
                    <w:right w:val="nil"/>
                  </w:tcBorders>
                </w:tcPr>
                <w:p w:rsidR="00E155EE" w:rsidRPr="009E5D12" w:rsidRDefault="00E155EE" w:rsidP="00196300">
                  <w:pPr>
                    <w:pStyle w:val="Tableheader1"/>
                  </w:pPr>
                  <w:r w:rsidRPr="009E5D12">
                    <w:t>15–24 years Non-trades</w:t>
                  </w:r>
                </w:p>
              </w:tc>
              <w:tc>
                <w:tcPr>
                  <w:tcW w:w="1524" w:type="dxa"/>
                  <w:tcBorders>
                    <w:top w:val="single" w:sz="4" w:space="0" w:color="auto"/>
                    <w:left w:val="nil"/>
                    <w:bottom w:val="single" w:sz="4" w:space="0" w:color="auto"/>
                    <w:right w:val="nil"/>
                  </w:tcBorders>
                </w:tcPr>
                <w:p w:rsidR="00E155EE" w:rsidRPr="009E5D12" w:rsidRDefault="00E155EE" w:rsidP="00196300">
                  <w:pPr>
                    <w:pStyle w:val="Tableheader1"/>
                  </w:pPr>
                  <w:r w:rsidRPr="009E5D12">
                    <w:t>25–64 years Non-trades</w:t>
                  </w:r>
                </w:p>
              </w:tc>
            </w:tr>
            <w:tr w:rsidR="00E155EE" w:rsidRPr="00E155EE" w:rsidTr="006319F1">
              <w:trPr>
                <w:trHeight w:val="300"/>
              </w:trPr>
              <w:tc>
                <w:tcPr>
                  <w:tcW w:w="2742" w:type="dxa"/>
                  <w:tcBorders>
                    <w:left w:val="nil"/>
                    <w:right w:val="nil"/>
                  </w:tcBorders>
                  <w:shd w:val="clear" w:color="auto" w:fill="auto"/>
                  <w:noWrap/>
                  <w:vAlign w:val="bottom"/>
                </w:tcPr>
                <w:p w:rsidR="00E155EE" w:rsidRPr="00E155EE" w:rsidRDefault="00E155EE" w:rsidP="00196300">
                  <w:pPr>
                    <w:pStyle w:val="Tabletext"/>
                  </w:pPr>
                  <w:r w:rsidRPr="00E155EE">
                    <w:t xml:space="preserve">Training shortened </w:t>
                  </w:r>
                  <w:r w:rsidR="008D40A5" w:rsidRPr="00491F13">
                    <w:t>–</w:t>
                  </w:r>
                  <w:r w:rsidRPr="00E155EE">
                    <w:t xml:space="preserve"> with prior experience and skills</w:t>
                  </w:r>
                </w:p>
              </w:tc>
              <w:tc>
                <w:tcPr>
                  <w:tcW w:w="1382" w:type="dxa"/>
                  <w:tcBorders>
                    <w:left w:val="nil"/>
                    <w:right w:val="nil"/>
                  </w:tcBorders>
                  <w:shd w:val="clear" w:color="auto" w:fill="auto"/>
                  <w:noWrap/>
                  <w:vAlign w:val="bottom"/>
                </w:tcPr>
                <w:p w:rsidR="00E155EE" w:rsidRPr="00E155EE" w:rsidRDefault="00E155EE" w:rsidP="00196300">
                  <w:pPr>
                    <w:pStyle w:val="Tabletext"/>
                  </w:pPr>
                  <w:r w:rsidRPr="00E155EE">
                    <w:t>24</w:t>
                  </w:r>
                </w:p>
              </w:tc>
              <w:tc>
                <w:tcPr>
                  <w:tcW w:w="1524" w:type="dxa"/>
                  <w:tcBorders>
                    <w:left w:val="nil"/>
                    <w:right w:val="nil"/>
                  </w:tcBorders>
                  <w:shd w:val="clear" w:color="auto" w:fill="auto"/>
                  <w:noWrap/>
                  <w:vAlign w:val="bottom"/>
                </w:tcPr>
                <w:p w:rsidR="00E155EE" w:rsidRPr="00E155EE" w:rsidRDefault="00E155EE" w:rsidP="00196300">
                  <w:pPr>
                    <w:pStyle w:val="Tabletext"/>
                  </w:pPr>
                  <w:r w:rsidRPr="00E155EE">
                    <w:t>40</w:t>
                  </w:r>
                </w:p>
              </w:tc>
              <w:tc>
                <w:tcPr>
                  <w:tcW w:w="1524" w:type="dxa"/>
                  <w:tcBorders>
                    <w:left w:val="nil"/>
                    <w:right w:val="nil"/>
                  </w:tcBorders>
                  <w:shd w:val="clear" w:color="auto" w:fill="auto"/>
                  <w:vAlign w:val="bottom"/>
                </w:tcPr>
                <w:p w:rsidR="00E155EE" w:rsidRPr="00E155EE" w:rsidRDefault="00E155EE" w:rsidP="00196300">
                  <w:pPr>
                    <w:pStyle w:val="Tabletext"/>
                  </w:pPr>
                  <w:r w:rsidRPr="00E155EE">
                    <w:t>26</w:t>
                  </w:r>
                </w:p>
              </w:tc>
              <w:tc>
                <w:tcPr>
                  <w:tcW w:w="1524" w:type="dxa"/>
                  <w:tcBorders>
                    <w:left w:val="nil"/>
                    <w:right w:val="nil"/>
                  </w:tcBorders>
                  <w:shd w:val="clear" w:color="auto" w:fill="auto"/>
                  <w:vAlign w:val="bottom"/>
                </w:tcPr>
                <w:p w:rsidR="00E155EE" w:rsidRPr="00E155EE" w:rsidRDefault="00E155EE" w:rsidP="00196300">
                  <w:pPr>
                    <w:pStyle w:val="Tabletext"/>
                  </w:pPr>
                  <w:r w:rsidRPr="00E155EE">
                    <w:t>28</w:t>
                  </w:r>
                </w:p>
              </w:tc>
            </w:tr>
            <w:tr w:rsidR="00E155EE" w:rsidRPr="00E155EE" w:rsidTr="006319F1">
              <w:trPr>
                <w:trHeight w:val="300"/>
              </w:trPr>
              <w:tc>
                <w:tcPr>
                  <w:tcW w:w="2742" w:type="dxa"/>
                  <w:tcBorders>
                    <w:left w:val="nil"/>
                    <w:bottom w:val="single" w:sz="4" w:space="0" w:color="auto"/>
                    <w:right w:val="nil"/>
                  </w:tcBorders>
                  <w:shd w:val="clear" w:color="auto" w:fill="auto"/>
                  <w:noWrap/>
                  <w:vAlign w:val="bottom"/>
                </w:tcPr>
                <w:p w:rsidR="00E155EE" w:rsidRPr="00E155EE" w:rsidRDefault="00E155EE" w:rsidP="00196300">
                  <w:pPr>
                    <w:pStyle w:val="Tabletext"/>
                  </w:pPr>
                  <w:r w:rsidRPr="00E155EE">
                    <w:t xml:space="preserve">Training not shortened </w:t>
                  </w:r>
                  <w:r w:rsidR="008D40A5" w:rsidRPr="00491F13">
                    <w:t>–</w:t>
                  </w:r>
                  <w:r w:rsidRPr="00E155EE">
                    <w:t xml:space="preserve"> with prior experience and skills</w:t>
                  </w:r>
                </w:p>
              </w:tc>
              <w:tc>
                <w:tcPr>
                  <w:tcW w:w="1382" w:type="dxa"/>
                  <w:tcBorders>
                    <w:left w:val="nil"/>
                    <w:bottom w:val="single" w:sz="4" w:space="0" w:color="auto"/>
                    <w:right w:val="nil"/>
                  </w:tcBorders>
                  <w:shd w:val="clear" w:color="auto" w:fill="auto"/>
                  <w:noWrap/>
                  <w:vAlign w:val="bottom"/>
                </w:tcPr>
                <w:p w:rsidR="00E155EE" w:rsidRPr="00E155EE" w:rsidRDefault="00E155EE" w:rsidP="00196300">
                  <w:pPr>
                    <w:pStyle w:val="Tabletext"/>
                  </w:pPr>
                  <w:r w:rsidRPr="00E155EE">
                    <w:t>30</w:t>
                  </w:r>
                </w:p>
              </w:tc>
              <w:tc>
                <w:tcPr>
                  <w:tcW w:w="1524" w:type="dxa"/>
                  <w:tcBorders>
                    <w:left w:val="nil"/>
                    <w:bottom w:val="single" w:sz="4" w:space="0" w:color="auto"/>
                    <w:right w:val="nil"/>
                  </w:tcBorders>
                  <w:shd w:val="clear" w:color="auto" w:fill="auto"/>
                  <w:noWrap/>
                  <w:vAlign w:val="bottom"/>
                </w:tcPr>
                <w:p w:rsidR="00E155EE" w:rsidRPr="00E155EE" w:rsidRDefault="00E155EE" w:rsidP="00196300">
                  <w:pPr>
                    <w:pStyle w:val="Tabletext"/>
                  </w:pPr>
                  <w:r w:rsidRPr="00E155EE">
                    <w:t>31</w:t>
                  </w:r>
                </w:p>
              </w:tc>
              <w:tc>
                <w:tcPr>
                  <w:tcW w:w="1524" w:type="dxa"/>
                  <w:tcBorders>
                    <w:left w:val="nil"/>
                    <w:bottom w:val="single" w:sz="4" w:space="0" w:color="auto"/>
                    <w:right w:val="nil"/>
                  </w:tcBorders>
                  <w:shd w:val="clear" w:color="auto" w:fill="auto"/>
                  <w:vAlign w:val="bottom"/>
                </w:tcPr>
                <w:p w:rsidR="00E155EE" w:rsidRPr="00E155EE" w:rsidRDefault="00E155EE" w:rsidP="00196300">
                  <w:pPr>
                    <w:pStyle w:val="Tabletext"/>
                  </w:pPr>
                  <w:r w:rsidRPr="00E155EE">
                    <w:t>31</w:t>
                  </w:r>
                </w:p>
              </w:tc>
              <w:tc>
                <w:tcPr>
                  <w:tcW w:w="1524" w:type="dxa"/>
                  <w:tcBorders>
                    <w:left w:val="nil"/>
                    <w:bottom w:val="single" w:sz="4" w:space="0" w:color="auto"/>
                    <w:right w:val="nil"/>
                  </w:tcBorders>
                  <w:shd w:val="clear" w:color="auto" w:fill="auto"/>
                  <w:vAlign w:val="bottom"/>
                </w:tcPr>
                <w:p w:rsidR="00E155EE" w:rsidRPr="00E155EE" w:rsidRDefault="00E155EE" w:rsidP="00196300">
                  <w:pPr>
                    <w:pStyle w:val="Tabletext"/>
                  </w:pPr>
                  <w:r w:rsidRPr="00E155EE">
                    <w:t>33</w:t>
                  </w:r>
                </w:p>
              </w:tc>
            </w:tr>
          </w:tbl>
          <w:p w:rsidR="00E155EE" w:rsidRPr="001A7DE2" w:rsidRDefault="00E155EE"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E155EE" w:rsidRPr="001A7DE2" w:rsidRDefault="00E155EE"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E155EE" w:rsidRPr="001A7DE2" w:rsidRDefault="00E155EE"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7876A3" w:rsidRDefault="00E155EE" w:rsidP="00E07712">
      <w:pPr>
        <w:pStyle w:val="Noteandsource"/>
        <w:rPr>
          <w:color w:val="1C1C1C"/>
          <w:sz w:val="18"/>
          <w:szCs w:val="18"/>
          <w:shd w:val="clear" w:color="auto" w:fill="FFFFFF"/>
        </w:rPr>
      </w:pPr>
      <w:r w:rsidRPr="00E07712">
        <w:rPr>
          <w:shd w:val="clear" w:color="auto" w:fill="FFFFFF"/>
        </w:rPr>
        <w:t>Note: Commencements are based on financial year starting from July 1995 to June 1996 and ending with July 2015 to June 2016. The rate is expressed as commencements as a proportion of the 15 to 64-year-old labour force. </w:t>
      </w:r>
    </w:p>
    <w:p w:rsidR="00E1381A" w:rsidRDefault="00E1381A" w:rsidP="00DE2E74">
      <w:pPr>
        <w:spacing w:before="240"/>
        <w:rPr>
          <w:rFonts w:ascii="Trebuchet MS" w:hAnsi="Trebuchet MS" w:cs="Arial"/>
          <w:color w:val="1C1C1C"/>
          <w:sz w:val="18"/>
          <w:szCs w:val="18"/>
          <w:shd w:val="clear" w:color="auto" w:fill="FFFFFF"/>
        </w:rPr>
      </w:pPr>
    </w:p>
    <w:p w:rsidR="00E1381A" w:rsidRDefault="00E66057" w:rsidP="00E1381A">
      <w:pPr>
        <w:pStyle w:val="Heading2"/>
      </w:pPr>
      <w:r w:rsidRPr="00E66057">
        <w:t>Trade apprenticeship completions of duration of two years or fewer, by age, 1996–2016 (proportion of all)</w:t>
      </w:r>
    </w:p>
    <w:tbl>
      <w:tblPr>
        <w:tblW w:w="28975" w:type="dxa"/>
        <w:tblInd w:w="93" w:type="dxa"/>
        <w:tblLayout w:type="fixed"/>
        <w:tblLook w:val="04A0" w:firstRow="1" w:lastRow="0" w:firstColumn="1" w:lastColumn="0" w:noHBand="0" w:noVBand="1"/>
      </w:tblPr>
      <w:tblGrid>
        <w:gridCol w:w="9680"/>
        <w:gridCol w:w="898"/>
        <w:gridCol w:w="18397"/>
      </w:tblGrid>
      <w:tr w:rsidR="00E1381A" w:rsidRPr="001A7DE2" w:rsidTr="00663185">
        <w:trPr>
          <w:trHeight w:val="300"/>
        </w:trPr>
        <w:tc>
          <w:tcPr>
            <w:tcW w:w="9680" w:type="dxa"/>
            <w:tcBorders>
              <w:top w:val="nil"/>
              <w:left w:val="nil"/>
              <w:bottom w:val="nil"/>
              <w:right w:val="nil"/>
            </w:tcBorders>
            <w:shd w:val="clear" w:color="auto" w:fill="auto"/>
            <w:noWrap/>
            <w:vAlign w:val="bottom"/>
          </w:tcPr>
          <w:tbl>
            <w:tblPr>
              <w:tblW w:w="4727" w:type="dxa"/>
              <w:tblLayout w:type="fixed"/>
              <w:tblLook w:val="04A0" w:firstRow="1" w:lastRow="0" w:firstColumn="1" w:lastColumn="0" w:noHBand="0" w:noVBand="1"/>
            </w:tblPr>
            <w:tblGrid>
              <w:gridCol w:w="960"/>
              <w:gridCol w:w="1883"/>
              <w:gridCol w:w="1884"/>
            </w:tblGrid>
            <w:tr w:rsidR="00E1381A" w:rsidRPr="007876A3" w:rsidTr="00663185">
              <w:trPr>
                <w:trHeight w:val="300"/>
              </w:trPr>
              <w:tc>
                <w:tcPr>
                  <w:tcW w:w="960" w:type="dxa"/>
                  <w:tcBorders>
                    <w:top w:val="single" w:sz="4" w:space="0" w:color="auto"/>
                    <w:left w:val="nil"/>
                    <w:bottom w:val="single" w:sz="4" w:space="0" w:color="auto"/>
                    <w:right w:val="nil"/>
                  </w:tcBorders>
                  <w:shd w:val="clear" w:color="auto" w:fill="auto"/>
                  <w:noWrap/>
                  <w:vAlign w:val="bottom"/>
                </w:tcPr>
                <w:p w:rsidR="00E1381A" w:rsidRPr="00E1381A" w:rsidRDefault="00196300" w:rsidP="00196300">
                  <w:pPr>
                    <w:pStyle w:val="Tableheader1"/>
                  </w:pPr>
                  <w:r>
                    <w:t xml:space="preserve">    </w:t>
                  </w:r>
                  <w:r w:rsidR="00E1381A" w:rsidRPr="00E1381A">
                    <w:t>Years</w:t>
                  </w:r>
                </w:p>
              </w:tc>
              <w:tc>
                <w:tcPr>
                  <w:tcW w:w="1883" w:type="dxa"/>
                  <w:tcBorders>
                    <w:top w:val="single" w:sz="4" w:space="0" w:color="auto"/>
                    <w:left w:val="nil"/>
                    <w:bottom w:val="single" w:sz="4" w:space="0" w:color="auto"/>
                    <w:right w:val="nil"/>
                  </w:tcBorders>
                  <w:shd w:val="clear" w:color="auto" w:fill="auto"/>
                  <w:noWrap/>
                  <w:vAlign w:val="bottom"/>
                </w:tcPr>
                <w:p w:rsidR="00E1381A" w:rsidRPr="00E1381A" w:rsidRDefault="00E1381A" w:rsidP="00196300">
                  <w:pPr>
                    <w:pStyle w:val="Tableheader1"/>
                  </w:pPr>
                  <w:r w:rsidRPr="00E1381A">
                    <w:t>15–24 years</w:t>
                  </w:r>
                </w:p>
              </w:tc>
              <w:tc>
                <w:tcPr>
                  <w:tcW w:w="1884" w:type="dxa"/>
                  <w:tcBorders>
                    <w:top w:val="single" w:sz="4" w:space="0" w:color="auto"/>
                    <w:left w:val="nil"/>
                    <w:bottom w:val="single" w:sz="4" w:space="0" w:color="auto"/>
                    <w:right w:val="nil"/>
                  </w:tcBorders>
                  <w:shd w:val="clear" w:color="auto" w:fill="auto"/>
                  <w:noWrap/>
                  <w:vAlign w:val="bottom"/>
                </w:tcPr>
                <w:p w:rsidR="00E1381A" w:rsidRPr="00E1381A" w:rsidRDefault="00E1381A" w:rsidP="00196300">
                  <w:pPr>
                    <w:pStyle w:val="Tableheader1"/>
                  </w:pPr>
                  <w:r w:rsidRPr="00E1381A">
                    <w:t>25–64 years</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1996</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22.5</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27.7</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1997</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19.5</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33.4</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1998</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18.8</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31.8</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1999</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18.7</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29.8</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2000</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38.3</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2001</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21.4</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37</w:t>
                  </w:r>
                  <w:r w:rsidRPr="00491F13">
                    <w:rPr>
                      <w:lang w:eastAsia="en-AU"/>
                    </w:rPr>
                    <w:t>.0</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2002</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22.3</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39.4</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2003</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23.7</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48.7</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2004</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24.1</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47.5</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2005</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25.3</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43.3</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2006</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24.8</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40.4</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2007</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23.7</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44.1</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2008</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22.9</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39</w:t>
                  </w:r>
                  <w:r w:rsidRPr="00491F13">
                    <w:rPr>
                      <w:lang w:eastAsia="en-AU"/>
                    </w:rPr>
                    <w:t>.0</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2009</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23.7</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41.5</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2010</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23.3</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46.5</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2011</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24.9</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50.3</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2012</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27.1</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54.8</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2013</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30.2</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60.5</w:t>
                  </w:r>
                </w:p>
              </w:tc>
            </w:tr>
            <w:tr w:rsidR="00E1381A" w:rsidRPr="00E1381A" w:rsidTr="00E1381A">
              <w:trPr>
                <w:trHeight w:val="300"/>
              </w:trPr>
              <w:tc>
                <w:tcPr>
                  <w:tcW w:w="960"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2014</w:t>
                  </w:r>
                </w:p>
              </w:tc>
              <w:tc>
                <w:tcPr>
                  <w:tcW w:w="1883"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30.5</w:t>
                  </w:r>
                </w:p>
              </w:tc>
              <w:tc>
                <w:tcPr>
                  <w:tcW w:w="1884" w:type="dxa"/>
                  <w:tcBorders>
                    <w:left w:val="nil"/>
                    <w:bottom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65.7</w:t>
                  </w:r>
                </w:p>
              </w:tc>
            </w:tr>
            <w:tr w:rsidR="00E1381A" w:rsidRPr="00E1381A" w:rsidTr="00CD19A6">
              <w:trPr>
                <w:trHeight w:val="300"/>
              </w:trPr>
              <w:tc>
                <w:tcPr>
                  <w:tcW w:w="960" w:type="dxa"/>
                  <w:tcBorders>
                    <w:left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2015</w:t>
                  </w:r>
                </w:p>
              </w:tc>
              <w:tc>
                <w:tcPr>
                  <w:tcW w:w="1883" w:type="dxa"/>
                  <w:tcBorders>
                    <w:left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30.1</w:t>
                  </w:r>
                </w:p>
              </w:tc>
              <w:tc>
                <w:tcPr>
                  <w:tcW w:w="1884" w:type="dxa"/>
                  <w:tcBorders>
                    <w:left w:val="nil"/>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59.9</w:t>
                  </w:r>
                </w:p>
              </w:tc>
            </w:tr>
            <w:tr w:rsidR="00E1381A" w:rsidRPr="00E1381A" w:rsidTr="00CD19A6">
              <w:trPr>
                <w:trHeight w:val="300"/>
              </w:trPr>
              <w:tc>
                <w:tcPr>
                  <w:tcW w:w="960" w:type="dxa"/>
                  <w:tcBorders>
                    <w:left w:val="nil"/>
                    <w:bottom w:val="single" w:sz="4" w:space="0" w:color="auto"/>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2016</w:t>
                  </w:r>
                </w:p>
              </w:tc>
              <w:tc>
                <w:tcPr>
                  <w:tcW w:w="1883" w:type="dxa"/>
                  <w:tcBorders>
                    <w:left w:val="nil"/>
                    <w:bottom w:val="single" w:sz="4" w:space="0" w:color="auto"/>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30.5</w:t>
                  </w:r>
                </w:p>
              </w:tc>
              <w:tc>
                <w:tcPr>
                  <w:tcW w:w="1884" w:type="dxa"/>
                  <w:tcBorders>
                    <w:left w:val="nil"/>
                    <w:bottom w:val="single" w:sz="4" w:space="0" w:color="auto"/>
                    <w:right w:val="nil"/>
                  </w:tcBorders>
                  <w:shd w:val="clear" w:color="auto" w:fill="auto"/>
                  <w:noWrap/>
                  <w:vAlign w:val="bottom"/>
                </w:tcPr>
                <w:p w:rsidR="00E1381A" w:rsidRPr="00E1381A" w:rsidRDefault="00E1381A" w:rsidP="00196300">
                  <w:pPr>
                    <w:pStyle w:val="Tabletext"/>
                    <w:rPr>
                      <w:lang w:eastAsia="en-AU"/>
                    </w:rPr>
                  </w:pPr>
                  <w:r w:rsidRPr="00E1381A">
                    <w:rPr>
                      <w:lang w:eastAsia="en-AU"/>
                    </w:rPr>
                    <w:t>51</w:t>
                  </w:r>
                  <w:r w:rsidRPr="00491F13">
                    <w:rPr>
                      <w:lang w:eastAsia="en-AU"/>
                    </w:rPr>
                    <w:t>.0</w:t>
                  </w:r>
                </w:p>
              </w:tc>
            </w:tr>
            <w:tr w:rsidR="00E1381A" w:rsidRPr="007876A3" w:rsidTr="00CD19A6">
              <w:trPr>
                <w:trHeight w:val="300"/>
              </w:trPr>
              <w:tc>
                <w:tcPr>
                  <w:tcW w:w="960" w:type="dxa"/>
                  <w:tcBorders>
                    <w:top w:val="single" w:sz="4" w:space="0" w:color="auto"/>
                    <w:left w:val="nil"/>
                    <w:bottom w:val="nil"/>
                    <w:right w:val="nil"/>
                  </w:tcBorders>
                  <w:shd w:val="clear" w:color="auto" w:fill="auto"/>
                  <w:noWrap/>
                  <w:vAlign w:val="bottom"/>
                </w:tcPr>
                <w:p w:rsidR="00E1381A" w:rsidRPr="007876A3" w:rsidRDefault="00E1381A" w:rsidP="00663185">
                  <w:pPr>
                    <w:spacing w:after="0" w:line="240" w:lineRule="auto"/>
                    <w:jc w:val="right"/>
                    <w:rPr>
                      <w:rFonts w:ascii="Calibri" w:eastAsia="Times New Roman" w:hAnsi="Calibri" w:cs="Times New Roman"/>
                      <w:color w:val="000000"/>
                      <w:lang w:eastAsia="en-AU"/>
                    </w:rPr>
                  </w:pPr>
                </w:p>
              </w:tc>
              <w:tc>
                <w:tcPr>
                  <w:tcW w:w="1883" w:type="dxa"/>
                  <w:tcBorders>
                    <w:top w:val="single" w:sz="4" w:space="0" w:color="auto"/>
                    <w:left w:val="nil"/>
                    <w:bottom w:val="nil"/>
                    <w:right w:val="nil"/>
                  </w:tcBorders>
                  <w:shd w:val="clear" w:color="auto" w:fill="auto"/>
                  <w:noWrap/>
                  <w:vAlign w:val="bottom"/>
                </w:tcPr>
                <w:p w:rsidR="00E1381A" w:rsidRPr="007876A3" w:rsidRDefault="00E1381A" w:rsidP="00663185">
                  <w:pPr>
                    <w:tabs>
                      <w:tab w:val="decimal" w:pos="257"/>
                    </w:tabs>
                    <w:spacing w:after="0" w:line="240" w:lineRule="auto"/>
                    <w:jc w:val="center"/>
                    <w:rPr>
                      <w:rFonts w:ascii="Calibri" w:eastAsia="Times New Roman" w:hAnsi="Calibri" w:cs="Times New Roman"/>
                      <w:color w:val="000000"/>
                      <w:lang w:eastAsia="en-AU"/>
                    </w:rPr>
                  </w:pPr>
                </w:p>
              </w:tc>
              <w:tc>
                <w:tcPr>
                  <w:tcW w:w="1884" w:type="dxa"/>
                  <w:tcBorders>
                    <w:top w:val="single" w:sz="4" w:space="0" w:color="auto"/>
                    <w:left w:val="nil"/>
                    <w:bottom w:val="nil"/>
                    <w:right w:val="nil"/>
                  </w:tcBorders>
                  <w:shd w:val="clear" w:color="auto" w:fill="auto"/>
                  <w:noWrap/>
                  <w:vAlign w:val="bottom"/>
                </w:tcPr>
                <w:p w:rsidR="00E1381A" w:rsidRPr="007876A3" w:rsidRDefault="00E1381A" w:rsidP="00663185">
                  <w:pPr>
                    <w:tabs>
                      <w:tab w:val="decimal" w:pos="147"/>
                    </w:tabs>
                    <w:spacing w:after="0" w:line="240" w:lineRule="auto"/>
                    <w:jc w:val="center"/>
                    <w:rPr>
                      <w:rFonts w:ascii="Calibri" w:eastAsia="Times New Roman" w:hAnsi="Calibri" w:cs="Times New Roman"/>
                      <w:color w:val="000000"/>
                      <w:lang w:eastAsia="en-AU"/>
                    </w:rPr>
                  </w:pPr>
                </w:p>
              </w:tc>
            </w:tr>
          </w:tbl>
          <w:p w:rsidR="00E1381A" w:rsidRPr="001A7DE2" w:rsidRDefault="00E1381A" w:rsidP="00663185">
            <w:pPr>
              <w:spacing w:after="0" w:line="240" w:lineRule="auto"/>
              <w:jc w:val="right"/>
              <w:rPr>
                <w:rFonts w:ascii="Arial" w:eastAsia="Times New Roman" w:hAnsi="Arial" w:cs="Arial"/>
                <w:i/>
                <w:color w:val="000000"/>
                <w:sz w:val="18"/>
                <w:szCs w:val="18"/>
                <w:lang w:eastAsia="en-AU"/>
              </w:rPr>
            </w:pPr>
          </w:p>
        </w:tc>
        <w:tc>
          <w:tcPr>
            <w:tcW w:w="898" w:type="dxa"/>
            <w:tcBorders>
              <w:top w:val="nil"/>
              <w:left w:val="nil"/>
              <w:bottom w:val="nil"/>
              <w:right w:val="nil"/>
            </w:tcBorders>
            <w:shd w:val="clear" w:color="auto" w:fill="auto"/>
            <w:noWrap/>
            <w:vAlign w:val="bottom"/>
          </w:tcPr>
          <w:p w:rsidR="00E1381A" w:rsidRPr="001A7DE2" w:rsidRDefault="00E1381A" w:rsidP="00663185">
            <w:pPr>
              <w:spacing w:after="0" w:line="240" w:lineRule="auto"/>
              <w:jc w:val="right"/>
              <w:rPr>
                <w:rFonts w:ascii="Arial" w:eastAsia="Times New Roman" w:hAnsi="Arial" w:cs="Arial"/>
                <w:color w:val="000000"/>
                <w:sz w:val="18"/>
                <w:szCs w:val="18"/>
                <w:lang w:eastAsia="en-AU"/>
              </w:rPr>
            </w:pPr>
          </w:p>
        </w:tc>
        <w:tc>
          <w:tcPr>
            <w:tcW w:w="18397" w:type="dxa"/>
            <w:tcBorders>
              <w:top w:val="nil"/>
              <w:left w:val="nil"/>
              <w:bottom w:val="nil"/>
              <w:right w:val="nil"/>
            </w:tcBorders>
            <w:shd w:val="clear" w:color="auto" w:fill="auto"/>
            <w:noWrap/>
            <w:vAlign w:val="bottom"/>
          </w:tcPr>
          <w:p w:rsidR="00E1381A" w:rsidRPr="001A7DE2" w:rsidRDefault="00E1381A"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16114E" w:rsidRDefault="0016114E" w:rsidP="00DE2E74">
      <w:pPr>
        <w:spacing w:before="240"/>
        <w:rPr>
          <w:rFonts w:ascii="Trebuchet MS" w:hAnsi="Trebuchet MS" w:cs="Arial"/>
          <w:color w:val="1C1C1C"/>
          <w:sz w:val="18"/>
          <w:szCs w:val="18"/>
          <w:shd w:val="clear" w:color="auto" w:fill="FFFFFF"/>
        </w:rPr>
      </w:pPr>
    </w:p>
    <w:p w:rsidR="0016114E" w:rsidRDefault="0016114E">
      <w:pPr>
        <w:rPr>
          <w:rFonts w:ascii="Trebuchet MS" w:hAnsi="Trebuchet MS" w:cs="Arial"/>
          <w:color w:val="1C1C1C"/>
          <w:sz w:val="18"/>
          <w:szCs w:val="18"/>
          <w:shd w:val="clear" w:color="auto" w:fill="FFFFFF"/>
        </w:rPr>
      </w:pPr>
      <w:r>
        <w:rPr>
          <w:rFonts w:ascii="Trebuchet MS" w:hAnsi="Trebuchet MS" w:cs="Arial"/>
          <w:color w:val="1C1C1C"/>
          <w:sz w:val="18"/>
          <w:szCs w:val="18"/>
          <w:shd w:val="clear" w:color="auto" w:fill="FFFFFF"/>
        </w:rPr>
        <w:br w:type="page"/>
      </w:r>
    </w:p>
    <w:p w:rsidR="0016114E" w:rsidRDefault="0016114E" w:rsidP="0016114E">
      <w:pPr>
        <w:pStyle w:val="Heading2"/>
      </w:pPr>
      <w:r w:rsidRPr="0016114E">
        <w:lastRenderedPageBreak/>
        <w:t xml:space="preserve">Completion rates for apprentices and trainees by trade/non-trade and age, </w:t>
      </w:r>
      <w:r w:rsidR="00EB4EA5">
        <w:t xml:space="preserve">   </w:t>
      </w:r>
      <w:r w:rsidRPr="0016114E">
        <w:t>2006–12 (%)</w:t>
      </w:r>
    </w:p>
    <w:tbl>
      <w:tblPr>
        <w:tblW w:w="28975" w:type="dxa"/>
        <w:tblInd w:w="93" w:type="dxa"/>
        <w:tblLayout w:type="fixed"/>
        <w:tblLook w:val="04A0" w:firstRow="1" w:lastRow="0" w:firstColumn="1" w:lastColumn="0" w:noHBand="0" w:noVBand="1"/>
      </w:tblPr>
      <w:tblGrid>
        <w:gridCol w:w="9658"/>
        <w:gridCol w:w="9658"/>
        <w:gridCol w:w="9659"/>
      </w:tblGrid>
      <w:tr w:rsidR="0016114E" w:rsidRPr="001A7DE2" w:rsidTr="00663185">
        <w:trPr>
          <w:trHeight w:val="300"/>
        </w:trPr>
        <w:tc>
          <w:tcPr>
            <w:tcW w:w="9658" w:type="dxa"/>
            <w:tcBorders>
              <w:top w:val="nil"/>
              <w:left w:val="nil"/>
              <w:bottom w:val="nil"/>
              <w:right w:val="nil"/>
            </w:tcBorders>
            <w:shd w:val="clear" w:color="auto" w:fill="auto"/>
            <w:noWrap/>
            <w:vAlign w:val="bottom"/>
          </w:tcPr>
          <w:tbl>
            <w:tblPr>
              <w:tblW w:w="7371" w:type="dxa"/>
              <w:tblLayout w:type="fixed"/>
              <w:tblLook w:val="04A0" w:firstRow="1" w:lastRow="0" w:firstColumn="1" w:lastColumn="0" w:noHBand="0" w:noVBand="1"/>
            </w:tblPr>
            <w:tblGrid>
              <w:gridCol w:w="900"/>
              <w:gridCol w:w="1617"/>
              <w:gridCol w:w="1618"/>
              <w:gridCol w:w="1618"/>
              <w:gridCol w:w="1618"/>
            </w:tblGrid>
            <w:tr w:rsidR="0016114E" w:rsidTr="0016114E">
              <w:trPr>
                <w:trHeight w:val="300"/>
              </w:trPr>
              <w:tc>
                <w:tcPr>
                  <w:tcW w:w="900" w:type="dxa"/>
                  <w:tcBorders>
                    <w:top w:val="single" w:sz="4" w:space="0" w:color="auto"/>
                    <w:left w:val="nil"/>
                    <w:bottom w:val="single" w:sz="4" w:space="0" w:color="auto"/>
                    <w:right w:val="nil"/>
                  </w:tcBorders>
                  <w:shd w:val="clear" w:color="auto" w:fill="auto"/>
                  <w:noWrap/>
                  <w:vAlign w:val="bottom"/>
                </w:tcPr>
                <w:p w:rsidR="0016114E" w:rsidRDefault="00196300" w:rsidP="00196300">
                  <w:pPr>
                    <w:pStyle w:val="Tableheader1"/>
                    <w:rPr>
                      <w:rFonts w:ascii="Calibri" w:hAnsi="Calibri"/>
                      <w:color w:val="000000"/>
                    </w:rPr>
                  </w:pPr>
                  <w:r>
                    <w:t xml:space="preserve">     </w:t>
                  </w:r>
                  <w:r w:rsidR="0016114E" w:rsidRPr="0016114E">
                    <w:t>Year</w:t>
                  </w:r>
                </w:p>
              </w:tc>
              <w:tc>
                <w:tcPr>
                  <w:tcW w:w="1617" w:type="dxa"/>
                  <w:tcBorders>
                    <w:top w:val="single" w:sz="4" w:space="0" w:color="auto"/>
                    <w:left w:val="nil"/>
                    <w:bottom w:val="single" w:sz="4" w:space="0" w:color="auto"/>
                    <w:right w:val="nil"/>
                  </w:tcBorders>
                  <w:shd w:val="clear" w:color="auto" w:fill="auto"/>
                  <w:noWrap/>
                  <w:vAlign w:val="bottom"/>
                </w:tcPr>
                <w:p w:rsidR="0016114E" w:rsidRPr="009E5D12" w:rsidRDefault="0016114E" w:rsidP="00196300">
                  <w:pPr>
                    <w:pStyle w:val="Tableheader1"/>
                  </w:pPr>
                  <w:r w:rsidRPr="009E5D12">
                    <w:t>15–24 years Trades</w:t>
                  </w:r>
                </w:p>
              </w:tc>
              <w:tc>
                <w:tcPr>
                  <w:tcW w:w="1618" w:type="dxa"/>
                  <w:tcBorders>
                    <w:top w:val="single" w:sz="4" w:space="0" w:color="auto"/>
                    <w:left w:val="nil"/>
                    <w:bottom w:val="single" w:sz="4" w:space="0" w:color="auto"/>
                    <w:right w:val="nil"/>
                  </w:tcBorders>
                  <w:shd w:val="clear" w:color="auto" w:fill="auto"/>
                  <w:noWrap/>
                  <w:vAlign w:val="bottom"/>
                </w:tcPr>
                <w:p w:rsidR="0016114E" w:rsidRPr="009E5D12" w:rsidRDefault="0016114E" w:rsidP="00196300">
                  <w:pPr>
                    <w:pStyle w:val="Tableheader1"/>
                  </w:pPr>
                  <w:r w:rsidRPr="009E5D12">
                    <w:t>25–64 years Trades</w:t>
                  </w:r>
                </w:p>
              </w:tc>
              <w:tc>
                <w:tcPr>
                  <w:tcW w:w="1618" w:type="dxa"/>
                  <w:tcBorders>
                    <w:top w:val="single" w:sz="4" w:space="0" w:color="auto"/>
                    <w:left w:val="nil"/>
                    <w:bottom w:val="single" w:sz="4" w:space="0" w:color="auto"/>
                    <w:right w:val="nil"/>
                  </w:tcBorders>
                </w:tcPr>
                <w:p w:rsidR="0016114E" w:rsidRPr="009E5D12" w:rsidRDefault="0016114E" w:rsidP="00196300">
                  <w:pPr>
                    <w:pStyle w:val="Tableheader1"/>
                  </w:pPr>
                  <w:r w:rsidRPr="009E5D12">
                    <w:t>15–24 years Non-trades</w:t>
                  </w:r>
                </w:p>
              </w:tc>
              <w:tc>
                <w:tcPr>
                  <w:tcW w:w="1618" w:type="dxa"/>
                  <w:tcBorders>
                    <w:top w:val="single" w:sz="4" w:space="0" w:color="auto"/>
                    <w:left w:val="nil"/>
                    <w:bottom w:val="single" w:sz="4" w:space="0" w:color="auto"/>
                    <w:right w:val="nil"/>
                  </w:tcBorders>
                </w:tcPr>
                <w:p w:rsidR="0016114E" w:rsidRPr="009E5D12" w:rsidRDefault="0016114E" w:rsidP="00196300">
                  <w:pPr>
                    <w:pStyle w:val="Tableheader1"/>
                  </w:pPr>
                  <w:r w:rsidRPr="009E5D12">
                    <w:t>25–64 years Non-trades</w:t>
                  </w:r>
                </w:p>
              </w:tc>
              <w:bookmarkStart w:id="0" w:name="_GoBack"/>
              <w:bookmarkEnd w:id="0"/>
            </w:tr>
            <w:tr w:rsidR="0016114E" w:rsidRPr="0016114E" w:rsidTr="0016114E">
              <w:trPr>
                <w:trHeight w:val="300"/>
              </w:trPr>
              <w:tc>
                <w:tcPr>
                  <w:tcW w:w="900" w:type="dxa"/>
                  <w:tcBorders>
                    <w:left w:val="nil"/>
                    <w:bottom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2006</w:t>
                  </w:r>
                </w:p>
              </w:tc>
              <w:tc>
                <w:tcPr>
                  <w:tcW w:w="1617"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45.7</w:t>
                  </w:r>
                </w:p>
              </w:tc>
              <w:tc>
                <w:tcPr>
                  <w:tcW w:w="1618"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50.5</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48.2</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56.7</w:t>
                  </w:r>
                </w:p>
              </w:tc>
            </w:tr>
            <w:tr w:rsidR="0016114E" w:rsidRPr="0016114E" w:rsidTr="0016114E">
              <w:trPr>
                <w:trHeight w:val="300"/>
              </w:trPr>
              <w:tc>
                <w:tcPr>
                  <w:tcW w:w="900" w:type="dxa"/>
                  <w:tcBorders>
                    <w:left w:val="nil"/>
                    <w:bottom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2007</w:t>
                  </w:r>
                </w:p>
              </w:tc>
              <w:tc>
                <w:tcPr>
                  <w:tcW w:w="1617"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44.7</w:t>
                  </w:r>
                </w:p>
              </w:tc>
              <w:tc>
                <w:tcPr>
                  <w:tcW w:w="1618"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50.7</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49.6</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57.5</w:t>
                  </w:r>
                </w:p>
              </w:tc>
            </w:tr>
            <w:tr w:rsidR="0016114E" w:rsidRPr="0016114E" w:rsidTr="0016114E">
              <w:trPr>
                <w:trHeight w:val="300"/>
              </w:trPr>
              <w:tc>
                <w:tcPr>
                  <w:tcW w:w="900" w:type="dxa"/>
                  <w:tcBorders>
                    <w:left w:val="nil"/>
                    <w:bottom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2008</w:t>
                  </w:r>
                </w:p>
              </w:tc>
              <w:tc>
                <w:tcPr>
                  <w:tcW w:w="1617"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44.2</w:t>
                  </w:r>
                </w:p>
              </w:tc>
              <w:tc>
                <w:tcPr>
                  <w:tcW w:w="1618"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54.2</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51.9</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58.9</w:t>
                  </w:r>
                </w:p>
              </w:tc>
            </w:tr>
            <w:tr w:rsidR="0016114E" w:rsidRPr="0016114E" w:rsidTr="0016114E">
              <w:trPr>
                <w:trHeight w:val="300"/>
              </w:trPr>
              <w:tc>
                <w:tcPr>
                  <w:tcW w:w="900" w:type="dxa"/>
                  <w:tcBorders>
                    <w:left w:val="nil"/>
                    <w:bottom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2009</w:t>
                  </w:r>
                </w:p>
              </w:tc>
              <w:tc>
                <w:tcPr>
                  <w:tcW w:w="1617"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44.7</w:t>
                  </w:r>
                </w:p>
              </w:tc>
              <w:tc>
                <w:tcPr>
                  <w:tcW w:w="1618"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57.2</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54</w:t>
                  </w:r>
                  <w:r w:rsidR="00E27278" w:rsidRPr="00491F13">
                    <w:rPr>
                      <w:lang w:eastAsia="en-AU"/>
                    </w:rPr>
                    <w:t>.0</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58.2</w:t>
                  </w:r>
                </w:p>
              </w:tc>
            </w:tr>
            <w:tr w:rsidR="0016114E" w:rsidRPr="0016114E" w:rsidTr="0016114E">
              <w:trPr>
                <w:trHeight w:val="300"/>
              </w:trPr>
              <w:tc>
                <w:tcPr>
                  <w:tcW w:w="900" w:type="dxa"/>
                  <w:tcBorders>
                    <w:left w:val="nil"/>
                    <w:bottom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2010</w:t>
                  </w:r>
                </w:p>
              </w:tc>
              <w:tc>
                <w:tcPr>
                  <w:tcW w:w="1617"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43.2</w:t>
                  </w:r>
                </w:p>
              </w:tc>
              <w:tc>
                <w:tcPr>
                  <w:tcW w:w="1618" w:type="dxa"/>
                  <w:tcBorders>
                    <w:left w:val="nil"/>
                    <w:bottom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56.7</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54.9</w:t>
                  </w:r>
                </w:p>
              </w:tc>
              <w:tc>
                <w:tcPr>
                  <w:tcW w:w="1618" w:type="dxa"/>
                  <w:tcBorders>
                    <w:left w:val="nil"/>
                    <w:bottom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56.7</w:t>
                  </w:r>
                </w:p>
              </w:tc>
            </w:tr>
            <w:tr w:rsidR="0016114E" w:rsidRPr="0016114E" w:rsidTr="00CD19A6">
              <w:trPr>
                <w:trHeight w:val="300"/>
              </w:trPr>
              <w:tc>
                <w:tcPr>
                  <w:tcW w:w="900" w:type="dxa"/>
                  <w:tcBorders>
                    <w:left w:val="nil"/>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2011</w:t>
                  </w:r>
                </w:p>
              </w:tc>
              <w:tc>
                <w:tcPr>
                  <w:tcW w:w="1617" w:type="dxa"/>
                  <w:tcBorders>
                    <w:left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43.2</w:t>
                  </w:r>
                </w:p>
              </w:tc>
              <w:tc>
                <w:tcPr>
                  <w:tcW w:w="1618" w:type="dxa"/>
                  <w:tcBorders>
                    <w:left w:val="nil"/>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56.1</w:t>
                  </w:r>
                </w:p>
              </w:tc>
              <w:tc>
                <w:tcPr>
                  <w:tcW w:w="1618" w:type="dxa"/>
                  <w:tcBorders>
                    <w:left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55.5</w:t>
                  </w:r>
                </w:p>
              </w:tc>
              <w:tc>
                <w:tcPr>
                  <w:tcW w:w="1618" w:type="dxa"/>
                  <w:tcBorders>
                    <w:left w:val="nil"/>
                    <w:right w:val="nil"/>
                  </w:tcBorders>
                  <w:shd w:val="clear" w:color="auto" w:fill="auto"/>
                  <w:vAlign w:val="center"/>
                </w:tcPr>
                <w:p w:rsidR="0016114E" w:rsidRPr="0016114E" w:rsidRDefault="0016114E" w:rsidP="00196300">
                  <w:pPr>
                    <w:pStyle w:val="Tabletext"/>
                    <w:rPr>
                      <w:lang w:eastAsia="en-AU"/>
                    </w:rPr>
                  </w:pPr>
                  <w:r w:rsidRPr="0016114E">
                    <w:rPr>
                      <w:lang w:eastAsia="en-AU"/>
                    </w:rPr>
                    <w:t>57.1</w:t>
                  </w:r>
                </w:p>
              </w:tc>
            </w:tr>
            <w:tr w:rsidR="0016114E" w:rsidRPr="0016114E" w:rsidTr="00CD19A6">
              <w:trPr>
                <w:trHeight w:val="300"/>
              </w:trPr>
              <w:tc>
                <w:tcPr>
                  <w:tcW w:w="900" w:type="dxa"/>
                  <w:tcBorders>
                    <w:left w:val="nil"/>
                    <w:bottom w:val="single" w:sz="4" w:space="0" w:color="auto"/>
                    <w:right w:val="nil"/>
                  </w:tcBorders>
                  <w:shd w:val="clear" w:color="auto" w:fill="auto"/>
                  <w:noWrap/>
                  <w:vAlign w:val="bottom"/>
                </w:tcPr>
                <w:p w:rsidR="0016114E" w:rsidRPr="0016114E" w:rsidRDefault="0016114E" w:rsidP="00196300">
                  <w:pPr>
                    <w:pStyle w:val="Tabletext"/>
                    <w:rPr>
                      <w:lang w:eastAsia="en-AU"/>
                    </w:rPr>
                  </w:pPr>
                  <w:r w:rsidRPr="0016114E">
                    <w:rPr>
                      <w:lang w:eastAsia="en-AU"/>
                    </w:rPr>
                    <w:t>2012</w:t>
                  </w:r>
                </w:p>
              </w:tc>
              <w:tc>
                <w:tcPr>
                  <w:tcW w:w="1617" w:type="dxa"/>
                  <w:tcBorders>
                    <w:left w:val="nil"/>
                    <w:bottom w:val="single" w:sz="4" w:space="0" w:color="auto"/>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42.5</w:t>
                  </w:r>
                </w:p>
              </w:tc>
              <w:tc>
                <w:tcPr>
                  <w:tcW w:w="1618" w:type="dxa"/>
                  <w:tcBorders>
                    <w:left w:val="nil"/>
                    <w:bottom w:val="single" w:sz="4" w:space="0" w:color="auto"/>
                    <w:right w:val="nil"/>
                  </w:tcBorders>
                  <w:shd w:val="clear" w:color="auto" w:fill="auto"/>
                  <w:noWrap/>
                  <w:vAlign w:val="center"/>
                </w:tcPr>
                <w:p w:rsidR="0016114E" w:rsidRPr="0016114E" w:rsidRDefault="0016114E" w:rsidP="00196300">
                  <w:pPr>
                    <w:pStyle w:val="Tabletext"/>
                    <w:rPr>
                      <w:lang w:eastAsia="en-AU"/>
                    </w:rPr>
                  </w:pPr>
                  <w:r w:rsidRPr="0016114E">
                    <w:rPr>
                      <w:lang w:eastAsia="en-AU"/>
                    </w:rPr>
                    <w:t>57.9</w:t>
                  </w:r>
                </w:p>
              </w:tc>
              <w:tc>
                <w:tcPr>
                  <w:tcW w:w="1618" w:type="dxa"/>
                  <w:tcBorders>
                    <w:left w:val="nil"/>
                    <w:bottom w:val="single" w:sz="4" w:space="0" w:color="auto"/>
                    <w:right w:val="nil"/>
                  </w:tcBorders>
                  <w:shd w:val="clear" w:color="auto" w:fill="auto"/>
                  <w:vAlign w:val="center"/>
                </w:tcPr>
                <w:p w:rsidR="0016114E" w:rsidRPr="0016114E" w:rsidRDefault="0016114E" w:rsidP="00196300">
                  <w:pPr>
                    <w:pStyle w:val="Tabletext"/>
                    <w:rPr>
                      <w:lang w:eastAsia="en-AU"/>
                    </w:rPr>
                  </w:pPr>
                  <w:r w:rsidRPr="0016114E">
                    <w:rPr>
                      <w:lang w:eastAsia="en-AU"/>
                    </w:rPr>
                    <w:t>57</w:t>
                  </w:r>
                  <w:r w:rsidR="00E27278" w:rsidRPr="00491F13">
                    <w:rPr>
                      <w:lang w:eastAsia="en-AU"/>
                    </w:rPr>
                    <w:t>.0</w:t>
                  </w:r>
                </w:p>
              </w:tc>
              <w:tc>
                <w:tcPr>
                  <w:tcW w:w="1618" w:type="dxa"/>
                  <w:tcBorders>
                    <w:left w:val="nil"/>
                    <w:bottom w:val="single" w:sz="4" w:space="0" w:color="auto"/>
                    <w:right w:val="nil"/>
                  </w:tcBorders>
                  <w:shd w:val="clear" w:color="auto" w:fill="auto"/>
                  <w:vAlign w:val="center"/>
                </w:tcPr>
                <w:p w:rsidR="0016114E" w:rsidRPr="0016114E" w:rsidRDefault="0016114E" w:rsidP="00196300">
                  <w:pPr>
                    <w:pStyle w:val="Tabletext"/>
                    <w:rPr>
                      <w:lang w:eastAsia="en-AU"/>
                    </w:rPr>
                  </w:pPr>
                  <w:r w:rsidRPr="0016114E">
                    <w:rPr>
                      <w:lang w:eastAsia="en-AU"/>
                    </w:rPr>
                    <w:t>59.9</w:t>
                  </w:r>
                </w:p>
              </w:tc>
            </w:tr>
          </w:tbl>
          <w:p w:rsidR="0016114E" w:rsidRPr="001A7DE2" w:rsidRDefault="0016114E"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16114E" w:rsidRPr="001A7DE2" w:rsidRDefault="0016114E"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16114E" w:rsidRPr="001A7DE2" w:rsidRDefault="0016114E"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E1381A" w:rsidRPr="00E07712" w:rsidRDefault="0016114E" w:rsidP="00E07712">
      <w:pPr>
        <w:pStyle w:val="Noteandsource"/>
        <w:rPr>
          <w:shd w:val="clear" w:color="auto" w:fill="FFFFFF"/>
        </w:rPr>
      </w:pPr>
      <w:r w:rsidRPr="00E07712">
        <w:rPr>
          <w:shd w:val="clear" w:color="auto" w:fill="FFFFFF"/>
        </w:rPr>
        <w:t xml:space="preserve">Note: </w:t>
      </w:r>
      <w:r w:rsidR="00CA026C" w:rsidRPr="00E07712">
        <w:rPr>
          <w:shd w:val="clear" w:color="auto" w:fill="FFFFFF"/>
        </w:rPr>
        <w:t>These are completion rates for apprentices and trainees who commenced in the year indicated on the chart. For example, the completion rates shown for 2012 are for apprentices and trainees who commenced training in that year. Completion rates for apprentices and trainees who commenced after 2012 are not included due to the high numbers still in training, mainly for those in the trades.</w:t>
      </w:r>
      <w:r w:rsidRPr="00E07712">
        <w:rPr>
          <w:shd w:val="clear" w:color="auto" w:fill="FFFFFF"/>
        </w:rPr>
        <w:t> </w:t>
      </w:r>
    </w:p>
    <w:p w:rsidR="00CA026C" w:rsidRDefault="00CA026C" w:rsidP="00DE2E74">
      <w:pPr>
        <w:spacing w:before="240"/>
        <w:rPr>
          <w:rFonts w:ascii="Trebuchet MS" w:hAnsi="Trebuchet MS" w:cs="Arial"/>
          <w:color w:val="1C1C1C"/>
          <w:sz w:val="18"/>
          <w:szCs w:val="18"/>
          <w:shd w:val="clear" w:color="auto" w:fill="FFFFFF"/>
        </w:rPr>
      </w:pPr>
    </w:p>
    <w:p w:rsidR="00CA026C" w:rsidRDefault="00CA026C" w:rsidP="00CA026C">
      <w:pPr>
        <w:pStyle w:val="Heading2"/>
      </w:pPr>
      <w:r w:rsidRPr="00CA026C">
        <w:t>Reasons for not completing training, by trade apprenticeship and age, 2013–16 aggregated (%)</w:t>
      </w:r>
    </w:p>
    <w:tbl>
      <w:tblPr>
        <w:tblW w:w="28975" w:type="dxa"/>
        <w:tblInd w:w="93" w:type="dxa"/>
        <w:tblLayout w:type="fixed"/>
        <w:tblLook w:val="04A0" w:firstRow="1" w:lastRow="0" w:firstColumn="1" w:lastColumn="0" w:noHBand="0" w:noVBand="1"/>
      </w:tblPr>
      <w:tblGrid>
        <w:gridCol w:w="9658"/>
        <w:gridCol w:w="9658"/>
        <w:gridCol w:w="9659"/>
      </w:tblGrid>
      <w:tr w:rsidR="00CA026C" w:rsidRPr="001A7DE2" w:rsidTr="00663185">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CA026C" w:rsidTr="00663185">
              <w:trPr>
                <w:trHeight w:val="300"/>
              </w:trPr>
              <w:tc>
                <w:tcPr>
                  <w:tcW w:w="2742" w:type="dxa"/>
                  <w:tcBorders>
                    <w:top w:val="single" w:sz="4" w:space="0" w:color="auto"/>
                    <w:left w:val="nil"/>
                    <w:bottom w:val="single" w:sz="4" w:space="0" w:color="auto"/>
                    <w:right w:val="nil"/>
                  </w:tcBorders>
                  <w:shd w:val="clear" w:color="auto" w:fill="auto"/>
                  <w:noWrap/>
                  <w:vAlign w:val="bottom"/>
                </w:tcPr>
                <w:p w:rsidR="00CA026C" w:rsidRDefault="00CA026C" w:rsidP="00663185">
                  <w:pPr>
                    <w:spacing w:after="0"/>
                    <w:rPr>
                      <w:rFonts w:ascii="Calibri" w:hAnsi="Calibri"/>
                      <w:color w:val="000000"/>
                    </w:rPr>
                  </w:pPr>
                </w:p>
              </w:tc>
              <w:tc>
                <w:tcPr>
                  <w:tcW w:w="1382" w:type="dxa"/>
                  <w:tcBorders>
                    <w:top w:val="single" w:sz="4" w:space="0" w:color="auto"/>
                    <w:left w:val="nil"/>
                    <w:bottom w:val="single" w:sz="4" w:space="0" w:color="auto"/>
                    <w:right w:val="nil"/>
                  </w:tcBorders>
                  <w:shd w:val="clear" w:color="auto" w:fill="auto"/>
                  <w:noWrap/>
                  <w:vAlign w:val="bottom"/>
                </w:tcPr>
                <w:p w:rsidR="00CA026C" w:rsidRPr="009E5D12" w:rsidRDefault="00CA026C" w:rsidP="00C53C4F">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CA026C" w:rsidRPr="009E5D12" w:rsidRDefault="00CA026C" w:rsidP="00C53C4F">
                  <w:pPr>
                    <w:pStyle w:val="Tableheader1"/>
                  </w:pPr>
                  <w:r w:rsidRPr="009E5D12">
                    <w:t>25–64 years Trades</w:t>
                  </w:r>
                </w:p>
              </w:tc>
              <w:tc>
                <w:tcPr>
                  <w:tcW w:w="1524" w:type="dxa"/>
                  <w:tcBorders>
                    <w:top w:val="single" w:sz="4" w:space="0" w:color="auto"/>
                    <w:left w:val="nil"/>
                    <w:bottom w:val="single" w:sz="4" w:space="0" w:color="auto"/>
                    <w:right w:val="nil"/>
                  </w:tcBorders>
                </w:tcPr>
                <w:p w:rsidR="00CA026C" w:rsidRPr="009E5D12" w:rsidRDefault="00CA026C" w:rsidP="00C53C4F">
                  <w:pPr>
                    <w:pStyle w:val="Tableheader1"/>
                  </w:pPr>
                  <w:r w:rsidRPr="009E5D12">
                    <w:t>15–24 years Non-trades</w:t>
                  </w:r>
                </w:p>
              </w:tc>
              <w:tc>
                <w:tcPr>
                  <w:tcW w:w="1524" w:type="dxa"/>
                  <w:tcBorders>
                    <w:top w:val="single" w:sz="4" w:space="0" w:color="auto"/>
                    <w:left w:val="nil"/>
                    <w:bottom w:val="single" w:sz="4" w:space="0" w:color="auto"/>
                    <w:right w:val="nil"/>
                  </w:tcBorders>
                </w:tcPr>
                <w:p w:rsidR="00CA026C" w:rsidRPr="009E5D12" w:rsidRDefault="00CA026C" w:rsidP="00C53C4F">
                  <w:pPr>
                    <w:pStyle w:val="Tableheader1"/>
                  </w:pPr>
                  <w:r w:rsidRPr="009E5D12">
                    <w:t>25–64 years Non-trades</w:t>
                  </w:r>
                </w:p>
              </w:tc>
            </w:tr>
            <w:tr w:rsidR="00CA026C" w:rsidRPr="00CA026C" w:rsidTr="006319F1">
              <w:trPr>
                <w:trHeight w:val="300"/>
              </w:trPr>
              <w:tc>
                <w:tcPr>
                  <w:tcW w:w="2742" w:type="dxa"/>
                  <w:tcBorders>
                    <w:left w:val="nil"/>
                    <w:bottom w:val="nil"/>
                    <w:right w:val="nil"/>
                  </w:tcBorders>
                  <w:shd w:val="clear" w:color="auto" w:fill="auto"/>
                  <w:noWrap/>
                  <w:vAlign w:val="bottom"/>
                </w:tcPr>
                <w:p w:rsidR="00CA026C" w:rsidRPr="00CA026C" w:rsidRDefault="00CA026C" w:rsidP="00C53C4F">
                  <w:pPr>
                    <w:pStyle w:val="Tabletext"/>
                  </w:pPr>
                  <w:r w:rsidRPr="00CA026C">
                    <w:t>Got what they wanted from training</w:t>
                  </w:r>
                </w:p>
              </w:tc>
              <w:tc>
                <w:tcPr>
                  <w:tcW w:w="1382" w:type="dxa"/>
                  <w:tcBorders>
                    <w:left w:val="nil"/>
                    <w:bottom w:val="nil"/>
                    <w:right w:val="nil"/>
                  </w:tcBorders>
                  <w:shd w:val="clear" w:color="auto" w:fill="auto"/>
                  <w:noWrap/>
                  <w:vAlign w:val="bottom"/>
                </w:tcPr>
                <w:p w:rsidR="00CA026C" w:rsidRPr="00CA026C" w:rsidRDefault="00CA026C" w:rsidP="00C53C4F">
                  <w:pPr>
                    <w:pStyle w:val="Tabletext"/>
                  </w:pPr>
                  <w:r w:rsidRPr="00CA026C">
                    <w:t>7</w:t>
                  </w:r>
                  <w:r w:rsidRPr="00491F13">
                    <w:t>.0</w:t>
                  </w:r>
                </w:p>
              </w:tc>
              <w:tc>
                <w:tcPr>
                  <w:tcW w:w="1524" w:type="dxa"/>
                  <w:tcBorders>
                    <w:left w:val="nil"/>
                    <w:bottom w:val="nil"/>
                    <w:right w:val="nil"/>
                  </w:tcBorders>
                  <w:shd w:val="clear" w:color="auto" w:fill="auto"/>
                  <w:noWrap/>
                  <w:vAlign w:val="bottom"/>
                </w:tcPr>
                <w:p w:rsidR="00CA026C" w:rsidRPr="00CA026C" w:rsidRDefault="00CA026C" w:rsidP="00C53C4F">
                  <w:pPr>
                    <w:pStyle w:val="Tabletext"/>
                  </w:pPr>
                  <w:r w:rsidRPr="00CA026C">
                    <w:t>7</w:t>
                  </w:r>
                  <w:r w:rsidRPr="00491F13">
                    <w:t>.0</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7.7</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8.1</w:t>
                  </w:r>
                </w:p>
              </w:tc>
            </w:tr>
            <w:tr w:rsidR="00CA026C" w:rsidRPr="00CA026C" w:rsidTr="006319F1">
              <w:trPr>
                <w:trHeight w:val="300"/>
              </w:trPr>
              <w:tc>
                <w:tcPr>
                  <w:tcW w:w="2742" w:type="dxa"/>
                  <w:tcBorders>
                    <w:left w:val="nil"/>
                    <w:bottom w:val="nil"/>
                    <w:right w:val="nil"/>
                  </w:tcBorders>
                  <w:shd w:val="clear" w:color="auto" w:fill="auto"/>
                  <w:noWrap/>
                  <w:vAlign w:val="bottom"/>
                </w:tcPr>
                <w:p w:rsidR="00CA026C" w:rsidRPr="00CA026C" w:rsidRDefault="00CA026C" w:rsidP="00C53C4F">
                  <w:pPr>
                    <w:pStyle w:val="Tabletext"/>
                  </w:pPr>
                  <w:r w:rsidRPr="00CA026C">
                    <w:t>Change in job situation</w:t>
                  </w:r>
                </w:p>
              </w:tc>
              <w:tc>
                <w:tcPr>
                  <w:tcW w:w="1382" w:type="dxa"/>
                  <w:tcBorders>
                    <w:left w:val="nil"/>
                    <w:bottom w:val="nil"/>
                    <w:right w:val="nil"/>
                  </w:tcBorders>
                  <w:shd w:val="clear" w:color="auto" w:fill="auto"/>
                  <w:noWrap/>
                  <w:vAlign w:val="bottom"/>
                </w:tcPr>
                <w:p w:rsidR="00CA026C" w:rsidRPr="00CA026C" w:rsidRDefault="00CA026C" w:rsidP="00C53C4F">
                  <w:pPr>
                    <w:pStyle w:val="Tabletext"/>
                  </w:pPr>
                  <w:r w:rsidRPr="00CA026C">
                    <w:t>42.5</w:t>
                  </w:r>
                </w:p>
              </w:tc>
              <w:tc>
                <w:tcPr>
                  <w:tcW w:w="1524" w:type="dxa"/>
                  <w:tcBorders>
                    <w:left w:val="nil"/>
                    <w:bottom w:val="nil"/>
                    <w:right w:val="nil"/>
                  </w:tcBorders>
                  <w:shd w:val="clear" w:color="auto" w:fill="auto"/>
                  <w:noWrap/>
                  <w:vAlign w:val="bottom"/>
                </w:tcPr>
                <w:p w:rsidR="00CA026C" w:rsidRPr="00CA026C" w:rsidRDefault="00CA026C" w:rsidP="00C53C4F">
                  <w:pPr>
                    <w:pStyle w:val="Tabletext"/>
                  </w:pPr>
                  <w:r w:rsidRPr="00CA026C">
                    <w:t>26.1</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43.3</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30.3</w:t>
                  </w:r>
                </w:p>
              </w:tc>
            </w:tr>
            <w:tr w:rsidR="00CA026C" w:rsidRPr="00CA026C" w:rsidTr="006319F1">
              <w:trPr>
                <w:trHeight w:val="300"/>
              </w:trPr>
              <w:tc>
                <w:tcPr>
                  <w:tcW w:w="2742" w:type="dxa"/>
                  <w:tcBorders>
                    <w:left w:val="nil"/>
                    <w:bottom w:val="nil"/>
                    <w:right w:val="nil"/>
                  </w:tcBorders>
                  <w:shd w:val="clear" w:color="auto" w:fill="auto"/>
                  <w:noWrap/>
                  <w:vAlign w:val="bottom"/>
                </w:tcPr>
                <w:p w:rsidR="00CA026C" w:rsidRPr="00CA026C" w:rsidRDefault="00CA026C" w:rsidP="00C53C4F">
                  <w:pPr>
                    <w:pStyle w:val="Tabletext"/>
                  </w:pPr>
                  <w:r w:rsidRPr="00CA026C">
                    <w:t>Training-related reasons</w:t>
                  </w:r>
                </w:p>
              </w:tc>
              <w:tc>
                <w:tcPr>
                  <w:tcW w:w="1382" w:type="dxa"/>
                  <w:tcBorders>
                    <w:left w:val="nil"/>
                    <w:bottom w:val="nil"/>
                    <w:right w:val="nil"/>
                  </w:tcBorders>
                  <w:shd w:val="clear" w:color="auto" w:fill="auto"/>
                  <w:noWrap/>
                  <w:vAlign w:val="bottom"/>
                </w:tcPr>
                <w:p w:rsidR="00CA026C" w:rsidRPr="00CA026C" w:rsidRDefault="00CA026C" w:rsidP="00C53C4F">
                  <w:pPr>
                    <w:pStyle w:val="Tabletext"/>
                  </w:pPr>
                  <w:r w:rsidRPr="00CA026C">
                    <w:t>19.5</w:t>
                  </w:r>
                </w:p>
              </w:tc>
              <w:tc>
                <w:tcPr>
                  <w:tcW w:w="1524" w:type="dxa"/>
                  <w:tcBorders>
                    <w:left w:val="nil"/>
                    <w:bottom w:val="nil"/>
                    <w:right w:val="nil"/>
                  </w:tcBorders>
                  <w:shd w:val="clear" w:color="auto" w:fill="auto"/>
                  <w:noWrap/>
                  <w:vAlign w:val="bottom"/>
                </w:tcPr>
                <w:p w:rsidR="00CA026C" w:rsidRPr="00CA026C" w:rsidRDefault="00CA026C" w:rsidP="00C53C4F">
                  <w:pPr>
                    <w:pStyle w:val="Tabletext"/>
                  </w:pPr>
                  <w:r w:rsidRPr="00CA026C">
                    <w:t>13.5</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22</w:t>
                  </w:r>
                  <w:r w:rsidRPr="00491F13">
                    <w:t>.0</w:t>
                  </w:r>
                </w:p>
              </w:tc>
              <w:tc>
                <w:tcPr>
                  <w:tcW w:w="1524" w:type="dxa"/>
                  <w:tcBorders>
                    <w:left w:val="nil"/>
                    <w:bottom w:val="nil"/>
                    <w:right w:val="nil"/>
                  </w:tcBorders>
                  <w:shd w:val="clear" w:color="auto" w:fill="auto"/>
                  <w:vAlign w:val="bottom"/>
                </w:tcPr>
                <w:p w:rsidR="00CA026C" w:rsidRPr="00CA026C" w:rsidRDefault="00CA026C" w:rsidP="00C53C4F">
                  <w:pPr>
                    <w:pStyle w:val="Tabletext"/>
                  </w:pPr>
                  <w:r w:rsidRPr="00CA026C">
                    <w:t>15.2</w:t>
                  </w:r>
                </w:p>
              </w:tc>
            </w:tr>
            <w:tr w:rsidR="00CA026C" w:rsidRPr="00CA026C" w:rsidTr="006319F1">
              <w:trPr>
                <w:trHeight w:val="300"/>
              </w:trPr>
              <w:tc>
                <w:tcPr>
                  <w:tcW w:w="2742" w:type="dxa"/>
                  <w:tcBorders>
                    <w:left w:val="nil"/>
                    <w:right w:val="nil"/>
                  </w:tcBorders>
                  <w:shd w:val="clear" w:color="auto" w:fill="auto"/>
                  <w:noWrap/>
                  <w:vAlign w:val="bottom"/>
                </w:tcPr>
                <w:p w:rsidR="00CA026C" w:rsidRPr="00CA026C" w:rsidRDefault="00CA026C" w:rsidP="00C53C4F">
                  <w:pPr>
                    <w:pStyle w:val="Tabletext"/>
                  </w:pPr>
                  <w:r w:rsidRPr="00CA026C">
                    <w:t>Family or personal reasons</w:t>
                  </w:r>
                </w:p>
              </w:tc>
              <w:tc>
                <w:tcPr>
                  <w:tcW w:w="1382" w:type="dxa"/>
                  <w:tcBorders>
                    <w:left w:val="nil"/>
                    <w:right w:val="nil"/>
                  </w:tcBorders>
                  <w:shd w:val="clear" w:color="auto" w:fill="auto"/>
                  <w:noWrap/>
                  <w:vAlign w:val="bottom"/>
                </w:tcPr>
                <w:p w:rsidR="00CA026C" w:rsidRPr="00CA026C" w:rsidRDefault="00CA026C" w:rsidP="00C53C4F">
                  <w:pPr>
                    <w:pStyle w:val="Tabletext"/>
                  </w:pPr>
                  <w:r w:rsidRPr="00CA026C">
                    <w:t>19.5</w:t>
                  </w:r>
                </w:p>
              </w:tc>
              <w:tc>
                <w:tcPr>
                  <w:tcW w:w="1524" w:type="dxa"/>
                  <w:tcBorders>
                    <w:left w:val="nil"/>
                    <w:right w:val="nil"/>
                  </w:tcBorders>
                  <w:shd w:val="clear" w:color="auto" w:fill="auto"/>
                  <w:noWrap/>
                  <w:vAlign w:val="bottom"/>
                </w:tcPr>
                <w:p w:rsidR="00CA026C" w:rsidRPr="00CA026C" w:rsidRDefault="00CA026C" w:rsidP="00C53C4F">
                  <w:pPr>
                    <w:pStyle w:val="Tabletext"/>
                  </w:pPr>
                  <w:r w:rsidRPr="00CA026C">
                    <w:t>35.5</w:t>
                  </w:r>
                </w:p>
              </w:tc>
              <w:tc>
                <w:tcPr>
                  <w:tcW w:w="1524" w:type="dxa"/>
                  <w:tcBorders>
                    <w:left w:val="nil"/>
                    <w:right w:val="nil"/>
                  </w:tcBorders>
                  <w:shd w:val="clear" w:color="auto" w:fill="auto"/>
                  <w:vAlign w:val="bottom"/>
                </w:tcPr>
                <w:p w:rsidR="00CA026C" w:rsidRPr="00CA026C" w:rsidRDefault="00CA026C" w:rsidP="00C53C4F">
                  <w:pPr>
                    <w:pStyle w:val="Tabletext"/>
                  </w:pPr>
                  <w:r w:rsidRPr="00CA026C">
                    <w:t>22.6</w:t>
                  </w:r>
                </w:p>
              </w:tc>
              <w:tc>
                <w:tcPr>
                  <w:tcW w:w="1524" w:type="dxa"/>
                  <w:tcBorders>
                    <w:left w:val="nil"/>
                    <w:right w:val="nil"/>
                  </w:tcBorders>
                  <w:shd w:val="clear" w:color="auto" w:fill="auto"/>
                  <w:vAlign w:val="bottom"/>
                </w:tcPr>
                <w:p w:rsidR="00CA026C" w:rsidRPr="00CA026C" w:rsidRDefault="00CA026C" w:rsidP="00C53C4F">
                  <w:pPr>
                    <w:pStyle w:val="Tabletext"/>
                  </w:pPr>
                  <w:r w:rsidRPr="00CA026C">
                    <w:t>37.6</w:t>
                  </w:r>
                </w:p>
              </w:tc>
            </w:tr>
            <w:tr w:rsidR="00CA026C" w:rsidRPr="00CA026C" w:rsidTr="006319F1">
              <w:trPr>
                <w:trHeight w:val="300"/>
              </w:trPr>
              <w:tc>
                <w:tcPr>
                  <w:tcW w:w="2742" w:type="dxa"/>
                  <w:tcBorders>
                    <w:left w:val="nil"/>
                    <w:bottom w:val="single" w:sz="4" w:space="0" w:color="auto"/>
                    <w:right w:val="nil"/>
                  </w:tcBorders>
                  <w:shd w:val="clear" w:color="auto" w:fill="auto"/>
                  <w:noWrap/>
                  <w:vAlign w:val="bottom"/>
                </w:tcPr>
                <w:p w:rsidR="00CA026C" w:rsidRPr="00CA026C" w:rsidRDefault="00CA026C" w:rsidP="00C53C4F">
                  <w:pPr>
                    <w:pStyle w:val="Tabletext"/>
                  </w:pPr>
                  <w:r w:rsidRPr="00CA026C">
                    <w:t>Other reasons</w:t>
                  </w:r>
                </w:p>
              </w:tc>
              <w:tc>
                <w:tcPr>
                  <w:tcW w:w="1382" w:type="dxa"/>
                  <w:tcBorders>
                    <w:left w:val="nil"/>
                    <w:bottom w:val="single" w:sz="4" w:space="0" w:color="auto"/>
                    <w:right w:val="nil"/>
                  </w:tcBorders>
                  <w:shd w:val="clear" w:color="auto" w:fill="auto"/>
                  <w:noWrap/>
                  <w:vAlign w:val="bottom"/>
                </w:tcPr>
                <w:p w:rsidR="00CA026C" w:rsidRPr="00CA026C" w:rsidRDefault="00CA026C" w:rsidP="00C53C4F">
                  <w:pPr>
                    <w:pStyle w:val="Tabletext"/>
                  </w:pPr>
                  <w:r w:rsidRPr="00CA026C">
                    <w:t>11.6</w:t>
                  </w:r>
                </w:p>
              </w:tc>
              <w:tc>
                <w:tcPr>
                  <w:tcW w:w="1524" w:type="dxa"/>
                  <w:tcBorders>
                    <w:left w:val="nil"/>
                    <w:bottom w:val="single" w:sz="4" w:space="0" w:color="auto"/>
                    <w:right w:val="nil"/>
                  </w:tcBorders>
                  <w:shd w:val="clear" w:color="auto" w:fill="auto"/>
                  <w:noWrap/>
                  <w:vAlign w:val="bottom"/>
                </w:tcPr>
                <w:p w:rsidR="00CA026C" w:rsidRPr="00CA026C" w:rsidRDefault="00CA026C" w:rsidP="00C53C4F">
                  <w:pPr>
                    <w:pStyle w:val="Tabletext"/>
                  </w:pPr>
                  <w:r w:rsidRPr="00CA026C">
                    <w:t>18</w:t>
                  </w:r>
                  <w:r w:rsidRPr="00491F13">
                    <w:t>.0</w:t>
                  </w:r>
                </w:p>
              </w:tc>
              <w:tc>
                <w:tcPr>
                  <w:tcW w:w="1524" w:type="dxa"/>
                  <w:tcBorders>
                    <w:left w:val="nil"/>
                    <w:bottom w:val="single" w:sz="4" w:space="0" w:color="auto"/>
                    <w:right w:val="nil"/>
                  </w:tcBorders>
                  <w:shd w:val="clear" w:color="auto" w:fill="auto"/>
                  <w:vAlign w:val="bottom"/>
                </w:tcPr>
                <w:p w:rsidR="00CA026C" w:rsidRPr="00CA026C" w:rsidRDefault="00CA026C" w:rsidP="00C53C4F">
                  <w:pPr>
                    <w:pStyle w:val="Tabletext"/>
                  </w:pPr>
                  <w:r w:rsidRPr="00CA026C">
                    <w:t>4.3</w:t>
                  </w:r>
                </w:p>
              </w:tc>
              <w:tc>
                <w:tcPr>
                  <w:tcW w:w="1524" w:type="dxa"/>
                  <w:tcBorders>
                    <w:left w:val="nil"/>
                    <w:bottom w:val="single" w:sz="4" w:space="0" w:color="auto"/>
                    <w:right w:val="nil"/>
                  </w:tcBorders>
                  <w:shd w:val="clear" w:color="auto" w:fill="auto"/>
                  <w:vAlign w:val="bottom"/>
                </w:tcPr>
                <w:p w:rsidR="00CA026C" w:rsidRPr="00CA026C" w:rsidRDefault="00CA026C" w:rsidP="00C53C4F">
                  <w:pPr>
                    <w:pStyle w:val="Tabletext"/>
                  </w:pPr>
                  <w:r w:rsidRPr="00CA026C">
                    <w:t>8.9</w:t>
                  </w:r>
                </w:p>
              </w:tc>
            </w:tr>
          </w:tbl>
          <w:p w:rsidR="00CA026C" w:rsidRPr="001A7DE2" w:rsidRDefault="00CA026C"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CA026C" w:rsidRPr="001A7DE2" w:rsidRDefault="00CA026C"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CA026C" w:rsidRPr="001A7DE2" w:rsidRDefault="00CA026C"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CA026C" w:rsidRPr="00E07712" w:rsidRDefault="00CA026C" w:rsidP="00E07712">
      <w:pPr>
        <w:pStyle w:val="Noteandsource"/>
        <w:rPr>
          <w:shd w:val="clear" w:color="auto" w:fill="FFFFFF"/>
        </w:rPr>
      </w:pPr>
      <w:r w:rsidRPr="00E07712">
        <w:rPr>
          <w:shd w:val="clear" w:color="auto" w:fill="FFFFFF"/>
        </w:rPr>
        <w:t>Note: Reasons for not completing are only applicable to subject completers, not to graduates. Because of relatively low numbers each year, the data spanning 2013</w:t>
      </w:r>
      <w:r w:rsidR="00750459" w:rsidRPr="00E07712">
        <w:rPr>
          <w:shd w:val="clear" w:color="auto" w:fill="FFFFFF"/>
        </w:rPr>
        <w:t>—</w:t>
      </w:r>
      <w:r w:rsidRPr="00E07712">
        <w:rPr>
          <w:shd w:val="clear" w:color="auto" w:fill="FFFFFF"/>
        </w:rPr>
        <w:t xml:space="preserve">16 are aggregated. The proportions of </w:t>
      </w:r>
      <w:proofErr w:type="gramStart"/>
      <w:r w:rsidRPr="00E07712">
        <w:rPr>
          <w:shd w:val="clear" w:color="auto" w:fill="FFFFFF"/>
        </w:rPr>
        <w:t>trades</w:t>
      </w:r>
      <w:proofErr w:type="gramEnd"/>
      <w:r w:rsidRPr="00E07712">
        <w:rPr>
          <w:shd w:val="clear" w:color="auto" w:fill="FFFFFF"/>
        </w:rPr>
        <w:t xml:space="preserve"> subject completers aged 25</w:t>
      </w:r>
      <w:r w:rsidR="00750459" w:rsidRPr="00E07712">
        <w:rPr>
          <w:shd w:val="clear" w:color="auto" w:fill="FFFFFF"/>
        </w:rPr>
        <w:t>—</w:t>
      </w:r>
      <w:r w:rsidRPr="00E07712">
        <w:rPr>
          <w:shd w:val="clear" w:color="auto" w:fill="FFFFFF"/>
        </w:rPr>
        <w:t>64 saying they got what they wanted from the training and the proportions of non-trade subject completers of both ages saying other reasons should be treated with caution as they have a relative standard error of greater than 25%. </w:t>
      </w:r>
    </w:p>
    <w:p w:rsidR="00CF73ED" w:rsidRDefault="00CF73ED">
      <w:pPr>
        <w:rPr>
          <w:rFonts w:ascii="Trebuchet MS" w:hAnsi="Trebuchet MS" w:cs="Arial"/>
          <w:color w:val="1C1C1C"/>
          <w:sz w:val="18"/>
          <w:szCs w:val="18"/>
          <w:shd w:val="clear" w:color="auto" w:fill="FFFFFF"/>
        </w:rPr>
      </w:pPr>
      <w:r>
        <w:rPr>
          <w:rFonts w:ascii="Trebuchet MS" w:hAnsi="Trebuchet MS" w:cs="Arial"/>
          <w:color w:val="1C1C1C"/>
          <w:sz w:val="18"/>
          <w:szCs w:val="18"/>
          <w:shd w:val="clear" w:color="auto" w:fill="FFFFFF"/>
        </w:rPr>
        <w:br w:type="page"/>
      </w:r>
    </w:p>
    <w:p w:rsidR="00CF73ED" w:rsidRDefault="009C51F2" w:rsidP="00CF73ED">
      <w:pPr>
        <w:pStyle w:val="Heading2"/>
      </w:pPr>
      <w:r w:rsidRPr="009C51F2">
        <w:lastRenderedPageBreak/>
        <w:t>Employment outcomes of training, trade and non-trade graduates, by age, 2016 (%)</w:t>
      </w:r>
    </w:p>
    <w:tbl>
      <w:tblPr>
        <w:tblW w:w="28975" w:type="dxa"/>
        <w:tblInd w:w="93" w:type="dxa"/>
        <w:tblLayout w:type="fixed"/>
        <w:tblLook w:val="04A0" w:firstRow="1" w:lastRow="0" w:firstColumn="1" w:lastColumn="0" w:noHBand="0" w:noVBand="1"/>
      </w:tblPr>
      <w:tblGrid>
        <w:gridCol w:w="9658"/>
        <w:gridCol w:w="9658"/>
        <w:gridCol w:w="9659"/>
      </w:tblGrid>
      <w:tr w:rsidR="00CF73ED" w:rsidRPr="001A7DE2" w:rsidTr="00663185">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CF73ED" w:rsidTr="00663185">
              <w:trPr>
                <w:trHeight w:val="300"/>
              </w:trPr>
              <w:tc>
                <w:tcPr>
                  <w:tcW w:w="2742" w:type="dxa"/>
                  <w:tcBorders>
                    <w:top w:val="single" w:sz="4" w:space="0" w:color="auto"/>
                    <w:left w:val="nil"/>
                    <w:bottom w:val="single" w:sz="4" w:space="0" w:color="auto"/>
                    <w:right w:val="nil"/>
                  </w:tcBorders>
                  <w:shd w:val="clear" w:color="auto" w:fill="auto"/>
                  <w:noWrap/>
                  <w:vAlign w:val="bottom"/>
                </w:tcPr>
                <w:p w:rsidR="00CF73ED" w:rsidRDefault="00CF73ED" w:rsidP="00663185">
                  <w:pPr>
                    <w:spacing w:after="0"/>
                    <w:rPr>
                      <w:rFonts w:ascii="Calibri" w:hAnsi="Calibri"/>
                      <w:color w:val="000000"/>
                    </w:rPr>
                  </w:pPr>
                </w:p>
              </w:tc>
              <w:tc>
                <w:tcPr>
                  <w:tcW w:w="1382" w:type="dxa"/>
                  <w:tcBorders>
                    <w:top w:val="single" w:sz="4" w:space="0" w:color="auto"/>
                    <w:left w:val="nil"/>
                    <w:bottom w:val="single" w:sz="4" w:space="0" w:color="auto"/>
                    <w:right w:val="nil"/>
                  </w:tcBorders>
                  <w:shd w:val="clear" w:color="auto" w:fill="auto"/>
                  <w:noWrap/>
                  <w:vAlign w:val="bottom"/>
                </w:tcPr>
                <w:p w:rsidR="00CF73ED" w:rsidRPr="009E5D12" w:rsidRDefault="00CF73ED" w:rsidP="00C53C4F">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CF73ED" w:rsidRPr="009E5D12" w:rsidRDefault="00CF73ED" w:rsidP="00C53C4F">
                  <w:pPr>
                    <w:pStyle w:val="Tableheader1"/>
                  </w:pPr>
                  <w:r w:rsidRPr="009E5D12">
                    <w:t>25–64 years Trades</w:t>
                  </w:r>
                </w:p>
              </w:tc>
              <w:tc>
                <w:tcPr>
                  <w:tcW w:w="1524" w:type="dxa"/>
                  <w:tcBorders>
                    <w:top w:val="single" w:sz="4" w:space="0" w:color="auto"/>
                    <w:left w:val="nil"/>
                    <w:bottom w:val="single" w:sz="4" w:space="0" w:color="auto"/>
                    <w:right w:val="nil"/>
                  </w:tcBorders>
                </w:tcPr>
                <w:p w:rsidR="00CF73ED" w:rsidRPr="009E5D12" w:rsidRDefault="00CF73ED" w:rsidP="00C53C4F">
                  <w:pPr>
                    <w:pStyle w:val="Tableheader1"/>
                  </w:pPr>
                  <w:r w:rsidRPr="009E5D12">
                    <w:t>15–24 years Non-trades</w:t>
                  </w:r>
                </w:p>
              </w:tc>
              <w:tc>
                <w:tcPr>
                  <w:tcW w:w="1524" w:type="dxa"/>
                  <w:tcBorders>
                    <w:top w:val="single" w:sz="4" w:space="0" w:color="auto"/>
                    <w:left w:val="nil"/>
                    <w:bottom w:val="single" w:sz="4" w:space="0" w:color="auto"/>
                    <w:right w:val="nil"/>
                  </w:tcBorders>
                </w:tcPr>
                <w:p w:rsidR="00CF73ED" w:rsidRPr="009E5D12" w:rsidRDefault="00CF73ED" w:rsidP="00C53C4F">
                  <w:pPr>
                    <w:pStyle w:val="Tableheader1"/>
                  </w:pPr>
                  <w:r w:rsidRPr="009E5D12">
                    <w:t>25–64 years Non-trades</w:t>
                  </w:r>
                </w:p>
              </w:tc>
            </w:tr>
            <w:tr w:rsidR="00CF73ED" w:rsidRPr="00491F13" w:rsidTr="006319F1">
              <w:trPr>
                <w:trHeight w:val="300"/>
              </w:trPr>
              <w:tc>
                <w:tcPr>
                  <w:tcW w:w="2742" w:type="dxa"/>
                  <w:tcBorders>
                    <w:left w:val="nil"/>
                    <w:bottom w:val="nil"/>
                    <w:right w:val="nil"/>
                  </w:tcBorders>
                  <w:shd w:val="clear" w:color="auto" w:fill="auto"/>
                  <w:noWrap/>
                  <w:vAlign w:val="bottom"/>
                </w:tcPr>
                <w:p w:rsidR="00CF73ED" w:rsidRPr="00CF73ED" w:rsidRDefault="00CF73ED" w:rsidP="00C53C4F">
                  <w:pPr>
                    <w:pStyle w:val="Tabletext"/>
                    <w:tabs>
                      <w:tab w:val="clear" w:pos="743"/>
                    </w:tabs>
                  </w:pPr>
                  <w:r w:rsidRPr="00CF73ED">
                    <w:t>Percentage employed after training</w:t>
                  </w:r>
                </w:p>
              </w:tc>
              <w:tc>
                <w:tcPr>
                  <w:tcW w:w="1382" w:type="dxa"/>
                  <w:tcBorders>
                    <w:left w:val="nil"/>
                    <w:bottom w:val="nil"/>
                    <w:right w:val="nil"/>
                  </w:tcBorders>
                  <w:shd w:val="clear" w:color="auto" w:fill="auto"/>
                  <w:noWrap/>
                  <w:vAlign w:val="bottom"/>
                </w:tcPr>
                <w:p w:rsidR="00CF73ED" w:rsidRPr="00CF73ED" w:rsidRDefault="00CF73ED" w:rsidP="00C53C4F">
                  <w:pPr>
                    <w:pStyle w:val="Tabletext"/>
                  </w:pPr>
                  <w:r w:rsidRPr="00CF73ED">
                    <w:t>92.1</w:t>
                  </w:r>
                </w:p>
              </w:tc>
              <w:tc>
                <w:tcPr>
                  <w:tcW w:w="1524" w:type="dxa"/>
                  <w:tcBorders>
                    <w:left w:val="nil"/>
                    <w:bottom w:val="nil"/>
                    <w:right w:val="nil"/>
                  </w:tcBorders>
                  <w:shd w:val="clear" w:color="auto" w:fill="auto"/>
                  <w:noWrap/>
                  <w:vAlign w:val="bottom"/>
                </w:tcPr>
                <w:p w:rsidR="00CF73ED" w:rsidRPr="00CF73ED" w:rsidRDefault="00CF73ED" w:rsidP="00C53C4F">
                  <w:pPr>
                    <w:pStyle w:val="Tabletext"/>
                  </w:pPr>
                  <w:r w:rsidRPr="00CF73ED">
                    <w:t>91</w:t>
                  </w:r>
                </w:p>
              </w:tc>
              <w:tc>
                <w:tcPr>
                  <w:tcW w:w="1524" w:type="dxa"/>
                  <w:tcBorders>
                    <w:left w:val="nil"/>
                    <w:bottom w:val="nil"/>
                    <w:right w:val="nil"/>
                  </w:tcBorders>
                  <w:shd w:val="clear" w:color="auto" w:fill="auto"/>
                  <w:vAlign w:val="bottom"/>
                </w:tcPr>
                <w:p w:rsidR="00CF73ED" w:rsidRPr="00CF73ED" w:rsidRDefault="00CF73ED" w:rsidP="00C53C4F">
                  <w:pPr>
                    <w:pStyle w:val="Tabletext"/>
                  </w:pPr>
                  <w:r w:rsidRPr="00CF73ED">
                    <w:t>79.7</w:t>
                  </w:r>
                </w:p>
              </w:tc>
              <w:tc>
                <w:tcPr>
                  <w:tcW w:w="1524" w:type="dxa"/>
                  <w:tcBorders>
                    <w:left w:val="nil"/>
                    <w:bottom w:val="nil"/>
                    <w:right w:val="nil"/>
                  </w:tcBorders>
                  <w:shd w:val="clear" w:color="auto" w:fill="auto"/>
                  <w:vAlign w:val="bottom"/>
                </w:tcPr>
                <w:p w:rsidR="00CF73ED" w:rsidRPr="00CF73ED" w:rsidRDefault="00CF73ED" w:rsidP="00C53C4F">
                  <w:pPr>
                    <w:pStyle w:val="Tabletext"/>
                  </w:pPr>
                  <w:r w:rsidRPr="00CF73ED">
                    <w:t>78.4</w:t>
                  </w:r>
                </w:p>
              </w:tc>
            </w:tr>
            <w:tr w:rsidR="00CF73ED" w:rsidRPr="00491F13" w:rsidTr="006319F1">
              <w:trPr>
                <w:trHeight w:val="300"/>
              </w:trPr>
              <w:tc>
                <w:tcPr>
                  <w:tcW w:w="2742" w:type="dxa"/>
                  <w:tcBorders>
                    <w:left w:val="nil"/>
                    <w:right w:val="nil"/>
                  </w:tcBorders>
                  <w:shd w:val="clear" w:color="auto" w:fill="auto"/>
                  <w:noWrap/>
                  <w:vAlign w:val="bottom"/>
                </w:tcPr>
                <w:p w:rsidR="00CF73ED" w:rsidRPr="00CF73ED" w:rsidRDefault="00CF73ED" w:rsidP="00C53C4F">
                  <w:pPr>
                    <w:pStyle w:val="Tabletext"/>
                  </w:pPr>
                  <w:r w:rsidRPr="00CF73ED">
                    <w:t>Percentage point difference in employment from before to after training</w:t>
                  </w:r>
                </w:p>
              </w:tc>
              <w:tc>
                <w:tcPr>
                  <w:tcW w:w="1382" w:type="dxa"/>
                  <w:tcBorders>
                    <w:left w:val="nil"/>
                    <w:right w:val="nil"/>
                  </w:tcBorders>
                  <w:shd w:val="clear" w:color="auto" w:fill="auto"/>
                  <w:noWrap/>
                  <w:vAlign w:val="bottom"/>
                </w:tcPr>
                <w:p w:rsidR="00CF73ED" w:rsidRPr="00CF73ED" w:rsidRDefault="00CF73ED" w:rsidP="00C53C4F">
                  <w:pPr>
                    <w:pStyle w:val="Tabletext"/>
                  </w:pPr>
                  <w:r w:rsidRPr="00CF73ED">
                    <w:t>17.7</w:t>
                  </w:r>
                </w:p>
              </w:tc>
              <w:tc>
                <w:tcPr>
                  <w:tcW w:w="1524" w:type="dxa"/>
                  <w:tcBorders>
                    <w:left w:val="nil"/>
                    <w:right w:val="nil"/>
                  </w:tcBorders>
                  <w:shd w:val="clear" w:color="auto" w:fill="auto"/>
                  <w:noWrap/>
                  <w:vAlign w:val="bottom"/>
                </w:tcPr>
                <w:p w:rsidR="00CF73ED" w:rsidRPr="00CF73ED" w:rsidRDefault="00CF73ED" w:rsidP="00C53C4F">
                  <w:pPr>
                    <w:pStyle w:val="Tabletext"/>
                  </w:pPr>
                  <w:r w:rsidRPr="00CF73ED">
                    <w:t>0.9</w:t>
                  </w:r>
                </w:p>
              </w:tc>
              <w:tc>
                <w:tcPr>
                  <w:tcW w:w="1524" w:type="dxa"/>
                  <w:tcBorders>
                    <w:left w:val="nil"/>
                    <w:right w:val="nil"/>
                  </w:tcBorders>
                  <w:shd w:val="clear" w:color="auto" w:fill="auto"/>
                  <w:vAlign w:val="bottom"/>
                </w:tcPr>
                <w:p w:rsidR="00CF73ED" w:rsidRPr="00CF73ED" w:rsidRDefault="00CF73ED" w:rsidP="00C53C4F">
                  <w:pPr>
                    <w:pStyle w:val="Tabletext"/>
                  </w:pPr>
                  <w:r w:rsidRPr="00CF73ED">
                    <w:t>6.8</w:t>
                  </w:r>
                </w:p>
              </w:tc>
              <w:tc>
                <w:tcPr>
                  <w:tcW w:w="1524" w:type="dxa"/>
                  <w:tcBorders>
                    <w:left w:val="nil"/>
                    <w:right w:val="nil"/>
                  </w:tcBorders>
                  <w:shd w:val="clear" w:color="auto" w:fill="auto"/>
                  <w:vAlign w:val="bottom"/>
                </w:tcPr>
                <w:p w:rsidR="00CF73ED" w:rsidRPr="00CF73ED" w:rsidRDefault="00CF73ED" w:rsidP="00C53C4F">
                  <w:pPr>
                    <w:pStyle w:val="Tabletext"/>
                  </w:pPr>
                  <w:r w:rsidRPr="00CF73ED">
                    <w:t>7.9</w:t>
                  </w:r>
                </w:p>
              </w:tc>
            </w:tr>
            <w:tr w:rsidR="00CF73ED" w:rsidRPr="00491F13" w:rsidTr="006319F1">
              <w:trPr>
                <w:trHeight w:val="300"/>
              </w:trPr>
              <w:tc>
                <w:tcPr>
                  <w:tcW w:w="2742" w:type="dxa"/>
                  <w:tcBorders>
                    <w:left w:val="nil"/>
                    <w:bottom w:val="single" w:sz="4" w:space="0" w:color="auto"/>
                    <w:right w:val="nil"/>
                  </w:tcBorders>
                  <w:shd w:val="clear" w:color="auto" w:fill="auto"/>
                  <w:noWrap/>
                  <w:vAlign w:val="bottom"/>
                </w:tcPr>
                <w:p w:rsidR="00CF73ED" w:rsidRPr="00CF73ED" w:rsidRDefault="00CF73ED" w:rsidP="00C53C4F">
                  <w:pPr>
                    <w:pStyle w:val="Tabletext"/>
                  </w:pPr>
                  <w:r w:rsidRPr="00CF73ED">
                    <w:t>Percentage employed after training of those not employed before training</w:t>
                  </w:r>
                </w:p>
              </w:tc>
              <w:tc>
                <w:tcPr>
                  <w:tcW w:w="1382" w:type="dxa"/>
                  <w:tcBorders>
                    <w:left w:val="nil"/>
                    <w:bottom w:val="single" w:sz="4" w:space="0" w:color="auto"/>
                    <w:right w:val="nil"/>
                  </w:tcBorders>
                  <w:shd w:val="clear" w:color="auto" w:fill="auto"/>
                  <w:noWrap/>
                  <w:vAlign w:val="bottom"/>
                </w:tcPr>
                <w:p w:rsidR="00CF73ED" w:rsidRPr="00CF73ED" w:rsidRDefault="00CF73ED" w:rsidP="00C53C4F">
                  <w:pPr>
                    <w:pStyle w:val="Tabletext"/>
                  </w:pPr>
                  <w:r w:rsidRPr="00CF73ED">
                    <w:t>83.6</w:t>
                  </w:r>
                </w:p>
              </w:tc>
              <w:tc>
                <w:tcPr>
                  <w:tcW w:w="1524" w:type="dxa"/>
                  <w:tcBorders>
                    <w:left w:val="nil"/>
                    <w:bottom w:val="single" w:sz="4" w:space="0" w:color="auto"/>
                    <w:right w:val="nil"/>
                  </w:tcBorders>
                  <w:shd w:val="clear" w:color="auto" w:fill="auto"/>
                  <w:noWrap/>
                  <w:vAlign w:val="bottom"/>
                </w:tcPr>
                <w:p w:rsidR="00CF73ED" w:rsidRPr="00CF73ED" w:rsidRDefault="00CF73ED" w:rsidP="00C53C4F">
                  <w:pPr>
                    <w:pStyle w:val="Tabletext"/>
                  </w:pPr>
                  <w:r w:rsidRPr="00CF73ED">
                    <w:t>66.3</w:t>
                  </w:r>
                </w:p>
              </w:tc>
              <w:tc>
                <w:tcPr>
                  <w:tcW w:w="1524" w:type="dxa"/>
                  <w:tcBorders>
                    <w:left w:val="nil"/>
                    <w:bottom w:val="single" w:sz="4" w:space="0" w:color="auto"/>
                    <w:right w:val="nil"/>
                  </w:tcBorders>
                  <w:shd w:val="clear" w:color="auto" w:fill="auto"/>
                  <w:vAlign w:val="bottom"/>
                </w:tcPr>
                <w:p w:rsidR="00CF73ED" w:rsidRPr="00CF73ED" w:rsidRDefault="00CF73ED" w:rsidP="00C53C4F">
                  <w:pPr>
                    <w:pStyle w:val="Tabletext"/>
                  </w:pPr>
                  <w:r w:rsidRPr="00CF73ED">
                    <w:t>50.5</w:t>
                  </w:r>
                </w:p>
              </w:tc>
              <w:tc>
                <w:tcPr>
                  <w:tcW w:w="1524" w:type="dxa"/>
                  <w:tcBorders>
                    <w:left w:val="nil"/>
                    <w:bottom w:val="single" w:sz="4" w:space="0" w:color="auto"/>
                    <w:right w:val="nil"/>
                  </w:tcBorders>
                  <w:shd w:val="clear" w:color="auto" w:fill="auto"/>
                  <w:vAlign w:val="bottom"/>
                </w:tcPr>
                <w:p w:rsidR="00CF73ED" w:rsidRPr="00CF73ED" w:rsidRDefault="00CF73ED" w:rsidP="00C53C4F">
                  <w:pPr>
                    <w:pStyle w:val="Tabletext"/>
                  </w:pPr>
                  <w:r w:rsidRPr="00CF73ED">
                    <w:t>53.3</w:t>
                  </w:r>
                </w:p>
              </w:tc>
            </w:tr>
          </w:tbl>
          <w:p w:rsidR="00CF73ED" w:rsidRPr="001A7DE2" w:rsidRDefault="00CF73ED"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CF73ED" w:rsidRPr="001A7DE2" w:rsidRDefault="00CF73ED"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CF73ED" w:rsidRPr="001A7DE2" w:rsidRDefault="00CF73ED"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CF73ED" w:rsidRPr="00E07712" w:rsidRDefault="00CF73ED" w:rsidP="00E07712">
      <w:pPr>
        <w:pStyle w:val="Noteandsource"/>
        <w:rPr>
          <w:shd w:val="clear" w:color="auto" w:fill="FFFFFF"/>
        </w:rPr>
      </w:pPr>
      <w:r w:rsidRPr="00E07712">
        <w:rPr>
          <w:shd w:val="clear" w:color="auto" w:fill="FFFFFF"/>
        </w:rPr>
        <w:t xml:space="preserve">Note: </w:t>
      </w:r>
      <w:r w:rsidR="00F67AAE" w:rsidRPr="00E07712">
        <w:rPr>
          <w:shd w:val="clear" w:color="auto" w:fill="FFFFFF"/>
        </w:rPr>
        <w:t>Employment status before training refers to whether the participant was in paid employment in the six months before they started their training. Employment status after training is whether they were in paid employment approximately six months after the training finished. Note that confidence intervals were not calculated for the percentage-point difference employed before and after training.</w:t>
      </w:r>
      <w:r w:rsidRPr="00E07712">
        <w:rPr>
          <w:shd w:val="clear" w:color="auto" w:fill="FFFFFF"/>
        </w:rPr>
        <w:t> </w:t>
      </w:r>
    </w:p>
    <w:p w:rsidR="00CF73ED" w:rsidRDefault="00CF73ED" w:rsidP="00CA026C">
      <w:pPr>
        <w:spacing w:before="240"/>
        <w:rPr>
          <w:rFonts w:ascii="Trebuchet MS" w:hAnsi="Trebuchet MS" w:cs="Arial"/>
          <w:color w:val="1C1C1C"/>
          <w:sz w:val="18"/>
          <w:szCs w:val="18"/>
          <w:shd w:val="clear" w:color="auto" w:fill="FFFFFF"/>
        </w:rPr>
      </w:pPr>
    </w:p>
    <w:p w:rsidR="009C51F2" w:rsidRDefault="009C51F2" w:rsidP="009C51F2">
      <w:pPr>
        <w:pStyle w:val="Heading2"/>
      </w:pPr>
      <w:r w:rsidRPr="009C51F2">
        <w:t>Job-related benefits of training, graduates by trade or non-trade, by age, 2016 (%)</w:t>
      </w:r>
    </w:p>
    <w:tbl>
      <w:tblPr>
        <w:tblW w:w="28975" w:type="dxa"/>
        <w:tblInd w:w="93" w:type="dxa"/>
        <w:tblLayout w:type="fixed"/>
        <w:tblLook w:val="04A0" w:firstRow="1" w:lastRow="0" w:firstColumn="1" w:lastColumn="0" w:noHBand="0" w:noVBand="1"/>
      </w:tblPr>
      <w:tblGrid>
        <w:gridCol w:w="9658"/>
        <w:gridCol w:w="9658"/>
        <w:gridCol w:w="9659"/>
      </w:tblGrid>
      <w:tr w:rsidR="009C51F2" w:rsidRPr="001A7DE2" w:rsidTr="00663185">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9C51F2" w:rsidTr="00663185">
              <w:trPr>
                <w:trHeight w:val="300"/>
              </w:trPr>
              <w:tc>
                <w:tcPr>
                  <w:tcW w:w="2742" w:type="dxa"/>
                  <w:tcBorders>
                    <w:top w:val="single" w:sz="4" w:space="0" w:color="auto"/>
                    <w:left w:val="nil"/>
                    <w:bottom w:val="single" w:sz="4" w:space="0" w:color="auto"/>
                    <w:right w:val="nil"/>
                  </w:tcBorders>
                  <w:shd w:val="clear" w:color="auto" w:fill="auto"/>
                  <w:noWrap/>
                  <w:vAlign w:val="bottom"/>
                </w:tcPr>
                <w:p w:rsidR="009C51F2" w:rsidRDefault="009C51F2" w:rsidP="00663185">
                  <w:pPr>
                    <w:spacing w:after="0"/>
                    <w:rPr>
                      <w:rFonts w:ascii="Calibri" w:hAnsi="Calibri"/>
                      <w:color w:val="000000"/>
                    </w:rPr>
                  </w:pPr>
                </w:p>
              </w:tc>
              <w:tc>
                <w:tcPr>
                  <w:tcW w:w="1382" w:type="dxa"/>
                  <w:tcBorders>
                    <w:top w:val="single" w:sz="4" w:space="0" w:color="auto"/>
                    <w:left w:val="nil"/>
                    <w:bottom w:val="single" w:sz="4" w:space="0" w:color="auto"/>
                    <w:right w:val="nil"/>
                  </w:tcBorders>
                  <w:shd w:val="clear" w:color="auto" w:fill="auto"/>
                  <w:noWrap/>
                  <w:vAlign w:val="bottom"/>
                </w:tcPr>
                <w:p w:rsidR="009C51F2" w:rsidRPr="009E5D12" w:rsidRDefault="009C51F2" w:rsidP="00C53C4F">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9C51F2" w:rsidRPr="009E5D12" w:rsidRDefault="009C51F2" w:rsidP="00C53C4F">
                  <w:pPr>
                    <w:pStyle w:val="Tableheader1"/>
                  </w:pPr>
                  <w:r w:rsidRPr="009E5D12">
                    <w:t>25–64 years Trades</w:t>
                  </w:r>
                </w:p>
              </w:tc>
              <w:tc>
                <w:tcPr>
                  <w:tcW w:w="1524" w:type="dxa"/>
                  <w:tcBorders>
                    <w:top w:val="single" w:sz="4" w:space="0" w:color="auto"/>
                    <w:left w:val="nil"/>
                    <w:bottom w:val="single" w:sz="4" w:space="0" w:color="auto"/>
                    <w:right w:val="nil"/>
                  </w:tcBorders>
                </w:tcPr>
                <w:p w:rsidR="009C51F2" w:rsidRPr="009E5D12" w:rsidRDefault="009C51F2" w:rsidP="00C53C4F">
                  <w:pPr>
                    <w:pStyle w:val="Tableheader1"/>
                  </w:pPr>
                  <w:r w:rsidRPr="009E5D12">
                    <w:t>15–24 years Non-trades</w:t>
                  </w:r>
                </w:p>
              </w:tc>
              <w:tc>
                <w:tcPr>
                  <w:tcW w:w="1524" w:type="dxa"/>
                  <w:tcBorders>
                    <w:top w:val="single" w:sz="4" w:space="0" w:color="auto"/>
                    <w:left w:val="nil"/>
                    <w:bottom w:val="single" w:sz="4" w:space="0" w:color="auto"/>
                    <w:right w:val="nil"/>
                  </w:tcBorders>
                </w:tcPr>
                <w:p w:rsidR="009C51F2" w:rsidRPr="009E5D12" w:rsidRDefault="009C51F2" w:rsidP="00C53C4F">
                  <w:pPr>
                    <w:pStyle w:val="Tableheader1"/>
                  </w:pPr>
                  <w:r w:rsidRPr="009E5D12">
                    <w:t>25–64 years Non-trades</w:t>
                  </w:r>
                </w:p>
              </w:tc>
            </w:tr>
            <w:tr w:rsidR="009C51F2" w:rsidRPr="009C51F2" w:rsidTr="006319F1">
              <w:trPr>
                <w:trHeight w:val="300"/>
              </w:trPr>
              <w:tc>
                <w:tcPr>
                  <w:tcW w:w="2742" w:type="dxa"/>
                  <w:tcBorders>
                    <w:left w:val="nil"/>
                    <w:bottom w:val="nil"/>
                    <w:right w:val="nil"/>
                  </w:tcBorders>
                  <w:shd w:val="clear" w:color="auto" w:fill="auto"/>
                  <w:noWrap/>
                  <w:vAlign w:val="bottom"/>
                </w:tcPr>
                <w:p w:rsidR="009C51F2" w:rsidRPr="009C51F2" w:rsidRDefault="009C51F2" w:rsidP="00C53C4F">
                  <w:pPr>
                    <w:pStyle w:val="Tabletext"/>
                  </w:pPr>
                  <w:r w:rsidRPr="009C51F2">
                    <w:t>Got a job</w:t>
                  </w:r>
                </w:p>
              </w:tc>
              <w:tc>
                <w:tcPr>
                  <w:tcW w:w="1382" w:type="dxa"/>
                  <w:tcBorders>
                    <w:left w:val="nil"/>
                    <w:bottom w:val="nil"/>
                    <w:right w:val="nil"/>
                  </w:tcBorders>
                  <w:shd w:val="clear" w:color="auto" w:fill="auto"/>
                  <w:noWrap/>
                  <w:vAlign w:val="bottom"/>
                </w:tcPr>
                <w:p w:rsidR="009C51F2" w:rsidRPr="009C51F2" w:rsidRDefault="009C51F2" w:rsidP="00C53C4F">
                  <w:pPr>
                    <w:pStyle w:val="Tabletext"/>
                  </w:pPr>
                  <w:r w:rsidRPr="009C51F2">
                    <w:t>47.6</w:t>
                  </w:r>
                </w:p>
              </w:tc>
              <w:tc>
                <w:tcPr>
                  <w:tcW w:w="1524" w:type="dxa"/>
                  <w:tcBorders>
                    <w:left w:val="nil"/>
                    <w:bottom w:val="nil"/>
                    <w:right w:val="nil"/>
                  </w:tcBorders>
                  <w:shd w:val="clear" w:color="auto" w:fill="auto"/>
                  <w:noWrap/>
                  <w:vAlign w:val="bottom"/>
                </w:tcPr>
                <w:p w:rsidR="009C51F2" w:rsidRPr="009C51F2" w:rsidRDefault="009C51F2" w:rsidP="00C53C4F">
                  <w:pPr>
                    <w:pStyle w:val="Tabletext"/>
                  </w:pPr>
                  <w:r w:rsidRPr="009C51F2">
                    <w:t>26.9</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37.6</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28</w:t>
                  </w:r>
                  <w:r w:rsidRPr="00491F13">
                    <w:t>.0</w:t>
                  </w:r>
                </w:p>
              </w:tc>
            </w:tr>
            <w:tr w:rsidR="009C51F2" w:rsidRPr="009C51F2" w:rsidTr="006319F1">
              <w:trPr>
                <w:trHeight w:val="300"/>
              </w:trPr>
              <w:tc>
                <w:tcPr>
                  <w:tcW w:w="2742" w:type="dxa"/>
                  <w:tcBorders>
                    <w:left w:val="nil"/>
                    <w:bottom w:val="nil"/>
                    <w:right w:val="nil"/>
                  </w:tcBorders>
                  <w:shd w:val="clear" w:color="auto" w:fill="auto"/>
                  <w:noWrap/>
                  <w:vAlign w:val="bottom"/>
                </w:tcPr>
                <w:p w:rsidR="009C51F2" w:rsidRPr="009C51F2" w:rsidRDefault="009C51F2" w:rsidP="00C53C4F">
                  <w:pPr>
                    <w:pStyle w:val="Tabletext"/>
                  </w:pPr>
                  <w:r w:rsidRPr="009C51F2">
                    <w:t>Got a new job / Change of Job</w:t>
                  </w:r>
                </w:p>
              </w:tc>
              <w:tc>
                <w:tcPr>
                  <w:tcW w:w="1382" w:type="dxa"/>
                  <w:tcBorders>
                    <w:left w:val="nil"/>
                    <w:bottom w:val="nil"/>
                    <w:right w:val="nil"/>
                  </w:tcBorders>
                  <w:shd w:val="clear" w:color="auto" w:fill="auto"/>
                  <w:noWrap/>
                  <w:vAlign w:val="bottom"/>
                </w:tcPr>
                <w:p w:rsidR="009C51F2" w:rsidRPr="009C51F2" w:rsidRDefault="009C51F2" w:rsidP="00C53C4F">
                  <w:pPr>
                    <w:pStyle w:val="Tabletext"/>
                  </w:pPr>
                  <w:r w:rsidRPr="009C51F2">
                    <w:t>23.4</w:t>
                  </w:r>
                </w:p>
              </w:tc>
              <w:tc>
                <w:tcPr>
                  <w:tcW w:w="1524" w:type="dxa"/>
                  <w:tcBorders>
                    <w:left w:val="nil"/>
                    <w:bottom w:val="nil"/>
                    <w:right w:val="nil"/>
                  </w:tcBorders>
                  <w:shd w:val="clear" w:color="auto" w:fill="auto"/>
                  <w:noWrap/>
                  <w:vAlign w:val="bottom"/>
                </w:tcPr>
                <w:p w:rsidR="009C51F2" w:rsidRPr="009C51F2" w:rsidRDefault="009C51F2" w:rsidP="00C53C4F">
                  <w:pPr>
                    <w:pStyle w:val="Tabletext"/>
                  </w:pPr>
                  <w:r w:rsidRPr="009C51F2">
                    <w:t>22</w:t>
                  </w:r>
                  <w:r w:rsidRPr="00491F13">
                    <w:t>.0</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23.6</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18.1</w:t>
                  </w:r>
                </w:p>
              </w:tc>
            </w:tr>
            <w:tr w:rsidR="009C51F2" w:rsidRPr="009C51F2" w:rsidTr="006319F1">
              <w:trPr>
                <w:trHeight w:val="300"/>
              </w:trPr>
              <w:tc>
                <w:tcPr>
                  <w:tcW w:w="2742" w:type="dxa"/>
                  <w:tcBorders>
                    <w:left w:val="nil"/>
                    <w:bottom w:val="nil"/>
                    <w:right w:val="nil"/>
                  </w:tcBorders>
                  <w:shd w:val="clear" w:color="auto" w:fill="auto"/>
                  <w:noWrap/>
                  <w:vAlign w:val="bottom"/>
                </w:tcPr>
                <w:p w:rsidR="009C51F2" w:rsidRPr="009C51F2" w:rsidRDefault="009C51F2" w:rsidP="00C53C4F">
                  <w:pPr>
                    <w:pStyle w:val="Tabletext"/>
                  </w:pPr>
                  <w:r w:rsidRPr="009C51F2">
                    <w:t>A promotion (or increased status at work)</w:t>
                  </w:r>
                </w:p>
              </w:tc>
              <w:tc>
                <w:tcPr>
                  <w:tcW w:w="1382" w:type="dxa"/>
                  <w:tcBorders>
                    <w:left w:val="nil"/>
                    <w:bottom w:val="nil"/>
                    <w:right w:val="nil"/>
                  </w:tcBorders>
                  <w:shd w:val="clear" w:color="auto" w:fill="auto"/>
                  <w:noWrap/>
                  <w:vAlign w:val="bottom"/>
                </w:tcPr>
                <w:p w:rsidR="009C51F2" w:rsidRPr="009C51F2" w:rsidRDefault="009C51F2" w:rsidP="00C53C4F">
                  <w:pPr>
                    <w:pStyle w:val="Tabletext"/>
                  </w:pPr>
                  <w:r w:rsidRPr="009C51F2">
                    <w:t>38.4</w:t>
                  </w:r>
                </w:p>
              </w:tc>
              <w:tc>
                <w:tcPr>
                  <w:tcW w:w="1524" w:type="dxa"/>
                  <w:tcBorders>
                    <w:left w:val="nil"/>
                    <w:bottom w:val="nil"/>
                    <w:right w:val="nil"/>
                  </w:tcBorders>
                  <w:shd w:val="clear" w:color="auto" w:fill="auto"/>
                  <w:noWrap/>
                  <w:vAlign w:val="bottom"/>
                </w:tcPr>
                <w:p w:rsidR="009C51F2" w:rsidRPr="009C51F2" w:rsidRDefault="009C51F2" w:rsidP="00C53C4F">
                  <w:pPr>
                    <w:pStyle w:val="Tabletext"/>
                  </w:pPr>
                  <w:r w:rsidRPr="009C51F2">
                    <w:t>35</w:t>
                  </w:r>
                  <w:r w:rsidRPr="00491F13">
                    <w:t>.0</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30.6</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26.8</w:t>
                  </w:r>
                </w:p>
              </w:tc>
            </w:tr>
            <w:tr w:rsidR="009C51F2" w:rsidRPr="009C51F2" w:rsidTr="006319F1">
              <w:trPr>
                <w:trHeight w:val="300"/>
              </w:trPr>
              <w:tc>
                <w:tcPr>
                  <w:tcW w:w="2742" w:type="dxa"/>
                  <w:tcBorders>
                    <w:left w:val="nil"/>
                    <w:bottom w:val="nil"/>
                    <w:right w:val="nil"/>
                  </w:tcBorders>
                  <w:shd w:val="clear" w:color="auto" w:fill="auto"/>
                  <w:noWrap/>
                  <w:vAlign w:val="bottom"/>
                </w:tcPr>
                <w:p w:rsidR="009C51F2" w:rsidRPr="009C51F2" w:rsidRDefault="009C51F2" w:rsidP="00C53C4F">
                  <w:pPr>
                    <w:pStyle w:val="Tabletext"/>
                  </w:pPr>
                  <w:r w:rsidRPr="009C51F2">
                    <w:t>An increase in earnings</w:t>
                  </w:r>
                </w:p>
              </w:tc>
              <w:tc>
                <w:tcPr>
                  <w:tcW w:w="1382" w:type="dxa"/>
                  <w:tcBorders>
                    <w:left w:val="nil"/>
                    <w:bottom w:val="nil"/>
                    <w:right w:val="nil"/>
                  </w:tcBorders>
                  <w:shd w:val="clear" w:color="auto" w:fill="auto"/>
                  <w:noWrap/>
                  <w:vAlign w:val="bottom"/>
                </w:tcPr>
                <w:p w:rsidR="009C51F2" w:rsidRPr="009C51F2" w:rsidRDefault="009C51F2" w:rsidP="00C53C4F">
                  <w:pPr>
                    <w:pStyle w:val="Tabletext"/>
                  </w:pPr>
                  <w:r w:rsidRPr="009C51F2">
                    <w:t>55.9</w:t>
                  </w:r>
                </w:p>
              </w:tc>
              <w:tc>
                <w:tcPr>
                  <w:tcW w:w="1524" w:type="dxa"/>
                  <w:tcBorders>
                    <w:left w:val="nil"/>
                    <w:bottom w:val="nil"/>
                    <w:right w:val="nil"/>
                  </w:tcBorders>
                  <w:shd w:val="clear" w:color="auto" w:fill="auto"/>
                  <w:noWrap/>
                  <w:vAlign w:val="bottom"/>
                </w:tcPr>
                <w:p w:rsidR="009C51F2" w:rsidRPr="009C51F2" w:rsidRDefault="009C51F2" w:rsidP="00C53C4F">
                  <w:pPr>
                    <w:pStyle w:val="Tabletext"/>
                  </w:pPr>
                  <w:r w:rsidRPr="009C51F2">
                    <w:t>37</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34.6</w:t>
                  </w:r>
                </w:p>
              </w:tc>
              <w:tc>
                <w:tcPr>
                  <w:tcW w:w="1524" w:type="dxa"/>
                  <w:tcBorders>
                    <w:left w:val="nil"/>
                    <w:bottom w:val="nil"/>
                    <w:right w:val="nil"/>
                  </w:tcBorders>
                  <w:shd w:val="clear" w:color="auto" w:fill="auto"/>
                  <w:vAlign w:val="bottom"/>
                </w:tcPr>
                <w:p w:rsidR="009C51F2" w:rsidRPr="009C51F2" w:rsidRDefault="009C51F2" w:rsidP="00C53C4F">
                  <w:pPr>
                    <w:pStyle w:val="Tabletext"/>
                  </w:pPr>
                  <w:r w:rsidRPr="009C51F2">
                    <w:t>19.7</w:t>
                  </w:r>
                </w:p>
              </w:tc>
            </w:tr>
            <w:tr w:rsidR="009C51F2" w:rsidRPr="009C51F2" w:rsidTr="006319F1">
              <w:trPr>
                <w:trHeight w:val="300"/>
              </w:trPr>
              <w:tc>
                <w:tcPr>
                  <w:tcW w:w="2742" w:type="dxa"/>
                  <w:tcBorders>
                    <w:left w:val="nil"/>
                    <w:right w:val="nil"/>
                  </w:tcBorders>
                  <w:shd w:val="clear" w:color="auto" w:fill="auto"/>
                  <w:noWrap/>
                  <w:vAlign w:val="bottom"/>
                </w:tcPr>
                <w:p w:rsidR="009C51F2" w:rsidRPr="009C51F2" w:rsidRDefault="009C51F2" w:rsidP="00C53C4F">
                  <w:pPr>
                    <w:pStyle w:val="Tabletext"/>
                  </w:pPr>
                  <w:r w:rsidRPr="009C51F2">
                    <w:t>Other categories</w:t>
                  </w:r>
                </w:p>
              </w:tc>
              <w:tc>
                <w:tcPr>
                  <w:tcW w:w="1382" w:type="dxa"/>
                  <w:tcBorders>
                    <w:left w:val="nil"/>
                    <w:right w:val="nil"/>
                  </w:tcBorders>
                  <w:shd w:val="clear" w:color="auto" w:fill="auto"/>
                  <w:noWrap/>
                  <w:vAlign w:val="bottom"/>
                </w:tcPr>
                <w:p w:rsidR="009C51F2" w:rsidRPr="009C51F2" w:rsidRDefault="009C51F2" w:rsidP="00C53C4F">
                  <w:pPr>
                    <w:pStyle w:val="Tabletext"/>
                  </w:pPr>
                  <w:r w:rsidRPr="009C51F2">
                    <w:t>12.1</w:t>
                  </w:r>
                </w:p>
              </w:tc>
              <w:tc>
                <w:tcPr>
                  <w:tcW w:w="1524" w:type="dxa"/>
                  <w:tcBorders>
                    <w:left w:val="nil"/>
                    <w:right w:val="nil"/>
                  </w:tcBorders>
                  <w:shd w:val="clear" w:color="auto" w:fill="auto"/>
                  <w:noWrap/>
                  <w:vAlign w:val="bottom"/>
                </w:tcPr>
                <w:p w:rsidR="009C51F2" w:rsidRPr="009C51F2" w:rsidRDefault="009C51F2" w:rsidP="00C53C4F">
                  <w:pPr>
                    <w:pStyle w:val="Tabletext"/>
                  </w:pPr>
                  <w:r w:rsidRPr="009C51F2">
                    <w:t>10.7</w:t>
                  </w:r>
                </w:p>
              </w:tc>
              <w:tc>
                <w:tcPr>
                  <w:tcW w:w="1524" w:type="dxa"/>
                  <w:tcBorders>
                    <w:left w:val="nil"/>
                    <w:right w:val="nil"/>
                  </w:tcBorders>
                  <w:shd w:val="clear" w:color="auto" w:fill="auto"/>
                  <w:vAlign w:val="bottom"/>
                </w:tcPr>
                <w:p w:rsidR="009C51F2" w:rsidRPr="009C51F2" w:rsidRDefault="009C51F2" w:rsidP="00C53C4F">
                  <w:pPr>
                    <w:pStyle w:val="Tabletext"/>
                  </w:pPr>
                  <w:r w:rsidRPr="009C51F2">
                    <w:t>3.6</w:t>
                  </w:r>
                </w:p>
              </w:tc>
              <w:tc>
                <w:tcPr>
                  <w:tcW w:w="1524" w:type="dxa"/>
                  <w:tcBorders>
                    <w:left w:val="nil"/>
                    <w:right w:val="nil"/>
                  </w:tcBorders>
                  <w:shd w:val="clear" w:color="auto" w:fill="auto"/>
                  <w:vAlign w:val="bottom"/>
                </w:tcPr>
                <w:p w:rsidR="009C51F2" w:rsidRPr="009C51F2" w:rsidRDefault="009C51F2" w:rsidP="00C53C4F">
                  <w:pPr>
                    <w:pStyle w:val="Tabletext"/>
                  </w:pPr>
                  <w:r w:rsidRPr="009C51F2">
                    <w:t>6.6</w:t>
                  </w:r>
                </w:p>
              </w:tc>
            </w:tr>
            <w:tr w:rsidR="009C51F2" w:rsidRPr="009C51F2" w:rsidTr="006319F1">
              <w:trPr>
                <w:trHeight w:val="300"/>
              </w:trPr>
              <w:tc>
                <w:tcPr>
                  <w:tcW w:w="2742" w:type="dxa"/>
                  <w:tcBorders>
                    <w:left w:val="nil"/>
                    <w:bottom w:val="single" w:sz="4" w:space="0" w:color="auto"/>
                    <w:right w:val="nil"/>
                  </w:tcBorders>
                  <w:shd w:val="clear" w:color="auto" w:fill="auto"/>
                  <w:noWrap/>
                  <w:vAlign w:val="bottom"/>
                </w:tcPr>
                <w:p w:rsidR="009C51F2" w:rsidRPr="009C51F2" w:rsidRDefault="009C51F2" w:rsidP="00C53C4F">
                  <w:pPr>
                    <w:pStyle w:val="Tabletext"/>
                    <w:tabs>
                      <w:tab w:val="clear" w:pos="743"/>
                    </w:tabs>
                  </w:pPr>
                  <w:r w:rsidRPr="009C51F2">
                    <w:t>None</w:t>
                  </w:r>
                </w:p>
              </w:tc>
              <w:tc>
                <w:tcPr>
                  <w:tcW w:w="1382" w:type="dxa"/>
                  <w:tcBorders>
                    <w:left w:val="nil"/>
                    <w:bottom w:val="single" w:sz="4" w:space="0" w:color="auto"/>
                    <w:right w:val="nil"/>
                  </w:tcBorders>
                  <w:shd w:val="clear" w:color="auto" w:fill="auto"/>
                  <w:noWrap/>
                  <w:vAlign w:val="bottom"/>
                </w:tcPr>
                <w:p w:rsidR="009C51F2" w:rsidRPr="009C51F2" w:rsidRDefault="009C51F2" w:rsidP="00C53C4F">
                  <w:pPr>
                    <w:pStyle w:val="Tabletext"/>
                  </w:pPr>
                  <w:r w:rsidRPr="009C51F2">
                    <w:t>8</w:t>
                  </w:r>
                  <w:r w:rsidRPr="00491F13">
                    <w:t>.0</w:t>
                  </w:r>
                </w:p>
              </w:tc>
              <w:tc>
                <w:tcPr>
                  <w:tcW w:w="1524" w:type="dxa"/>
                  <w:tcBorders>
                    <w:left w:val="nil"/>
                    <w:bottom w:val="single" w:sz="4" w:space="0" w:color="auto"/>
                    <w:right w:val="nil"/>
                  </w:tcBorders>
                  <w:shd w:val="clear" w:color="auto" w:fill="auto"/>
                  <w:noWrap/>
                  <w:vAlign w:val="bottom"/>
                </w:tcPr>
                <w:p w:rsidR="009C51F2" w:rsidRPr="009C51F2" w:rsidRDefault="009C51F2" w:rsidP="00C53C4F">
                  <w:pPr>
                    <w:pStyle w:val="Tabletext"/>
                  </w:pPr>
                  <w:r w:rsidRPr="009C51F2">
                    <w:t>19.3</w:t>
                  </w:r>
                </w:p>
              </w:tc>
              <w:tc>
                <w:tcPr>
                  <w:tcW w:w="1524" w:type="dxa"/>
                  <w:tcBorders>
                    <w:left w:val="nil"/>
                    <w:bottom w:val="single" w:sz="4" w:space="0" w:color="auto"/>
                    <w:right w:val="nil"/>
                  </w:tcBorders>
                  <w:shd w:val="clear" w:color="auto" w:fill="auto"/>
                  <w:vAlign w:val="bottom"/>
                </w:tcPr>
                <w:p w:rsidR="009C51F2" w:rsidRPr="009C51F2" w:rsidRDefault="009C51F2" w:rsidP="00C53C4F">
                  <w:pPr>
                    <w:pStyle w:val="Tabletext"/>
                  </w:pPr>
                  <w:r w:rsidRPr="009C51F2">
                    <w:t>20.9</w:t>
                  </w:r>
                </w:p>
              </w:tc>
              <w:tc>
                <w:tcPr>
                  <w:tcW w:w="1524" w:type="dxa"/>
                  <w:tcBorders>
                    <w:left w:val="nil"/>
                    <w:bottom w:val="single" w:sz="4" w:space="0" w:color="auto"/>
                    <w:right w:val="nil"/>
                  </w:tcBorders>
                  <w:shd w:val="clear" w:color="auto" w:fill="auto"/>
                  <w:vAlign w:val="bottom"/>
                </w:tcPr>
                <w:p w:rsidR="009C51F2" w:rsidRPr="009C51F2" w:rsidRDefault="009C51F2" w:rsidP="00C53C4F">
                  <w:pPr>
                    <w:pStyle w:val="Tabletext"/>
                  </w:pPr>
                  <w:r w:rsidRPr="009C51F2">
                    <w:t>23.3</w:t>
                  </w:r>
                </w:p>
              </w:tc>
            </w:tr>
          </w:tbl>
          <w:p w:rsidR="009C51F2" w:rsidRPr="001A7DE2" w:rsidRDefault="009C51F2"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9C51F2" w:rsidRPr="001A7DE2" w:rsidRDefault="009C51F2"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9C51F2" w:rsidRPr="001A7DE2" w:rsidRDefault="009C51F2"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9C51F2" w:rsidRPr="00E07712" w:rsidRDefault="009C51F2" w:rsidP="00E07712">
      <w:pPr>
        <w:pStyle w:val="Noteandsource"/>
        <w:rPr>
          <w:shd w:val="clear" w:color="auto" w:fill="FFFFFF"/>
        </w:rPr>
      </w:pPr>
      <w:r w:rsidRPr="00E07712">
        <w:rPr>
          <w:shd w:val="clear" w:color="auto" w:fill="FFFFFF"/>
        </w:rPr>
        <w:t>Note: Only participants who reported being employed after training were asked this question. This was a multiple response question, so survey respondents could say yes to more than one category of benefit. Only the top four specific benefits are shown. In addition the ‘Other categories’ combines the following benefits: was able to set up/expand own business, continued/keep present job, and other. The proportion of respondents who reported no benefits is also shown. </w:t>
      </w:r>
    </w:p>
    <w:p w:rsidR="00CD19A6" w:rsidRDefault="00CD19A6" w:rsidP="00A3456A">
      <w:pPr>
        <w:pStyle w:val="Heading2"/>
      </w:pPr>
    </w:p>
    <w:p w:rsidR="00A3456A" w:rsidRDefault="00A3456A" w:rsidP="00A3456A">
      <w:pPr>
        <w:pStyle w:val="Heading2"/>
      </w:pPr>
      <w:r w:rsidRPr="00A3456A">
        <w:t>Employed in the same occupation as training, for trade and non-trade apprentices, by age, 2016 (%)</w:t>
      </w:r>
    </w:p>
    <w:tbl>
      <w:tblPr>
        <w:tblW w:w="28975" w:type="dxa"/>
        <w:tblInd w:w="93" w:type="dxa"/>
        <w:tblLayout w:type="fixed"/>
        <w:tblLook w:val="04A0" w:firstRow="1" w:lastRow="0" w:firstColumn="1" w:lastColumn="0" w:noHBand="0" w:noVBand="1"/>
      </w:tblPr>
      <w:tblGrid>
        <w:gridCol w:w="9658"/>
        <w:gridCol w:w="9658"/>
        <w:gridCol w:w="9659"/>
      </w:tblGrid>
      <w:tr w:rsidR="00A3456A" w:rsidRPr="001A7DE2" w:rsidTr="00663185">
        <w:trPr>
          <w:trHeight w:val="300"/>
        </w:trPr>
        <w:tc>
          <w:tcPr>
            <w:tcW w:w="9658" w:type="dxa"/>
            <w:tcBorders>
              <w:top w:val="nil"/>
              <w:left w:val="nil"/>
              <w:bottom w:val="nil"/>
              <w:right w:val="nil"/>
            </w:tcBorders>
            <w:shd w:val="clear" w:color="auto" w:fill="auto"/>
            <w:noWrap/>
            <w:vAlign w:val="bottom"/>
          </w:tcPr>
          <w:tbl>
            <w:tblPr>
              <w:tblW w:w="8696" w:type="dxa"/>
              <w:tblLayout w:type="fixed"/>
              <w:tblLook w:val="04A0" w:firstRow="1" w:lastRow="0" w:firstColumn="1" w:lastColumn="0" w:noHBand="0" w:noVBand="1"/>
            </w:tblPr>
            <w:tblGrid>
              <w:gridCol w:w="2742"/>
              <w:gridCol w:w="1382"/>
              <w:gridCol w:w="1524"/>
              <w:gridCol w:w="1524"/>
              <w:gridCol w:w="1524"/>
            </w:tblGrid>
            <w:tr w:rsidR="00A3456A" w:rsidTr="00663185">
              <w:trPr>
                <w:trHeight w:val="300"/>
              </w:trPr>
              <w:tc>
                <w:tcPr>
                  <w:tcW w:w="2742" w:type="dxa"/>
                  <w:tcBorders>
                    <w:top w:val="single" w:sz="4" w:space="0" w:color="auto"/>
                    <w:left w:val="nil"/>
                    <w:bottom w:val="single" w:sz="4" w:space="0" w:color="auto"/>
                    <w:right w:val="nil"/>
                  </w:tcBorders>
                  <w:shd w:val="clear" w:color="auto" w:fill="auto"/>
                  <w:noWrap/>
                  <w:vAlign w:val="bottom"/>
                </w:tcPr>
                <w:p w:rsidR="00A3456A" w:rsidRDefault="00A3456A" w:rsidP="00663185">
                  <w:pPr>
                    <w:spacing w:after="0"/>
                    <w:rPr>
                      <w:rFonts w:ascii="Calibri" w:hAnsi="Calibri"/>
                      <w:color w:val="000000"/>
                    </w:rPr>
                  </w:pPr>
                </w:p>
              </w:tc>
              <w:tc>
                <w:tcPr>
                  <w:tcW w:w="1382" w:type="dxa"/>
                  <w:tcBorders>
                    <w:top w:val="single" w:sz="4" w:space="0" w:color="auto"/>
                    <w:left w:val="nil"/>
                    <w:bottom w:val="single" w:sz="4" w:space="0" w:color="auto"/>
                    <w:right w:val="nil"/>
                  </w:tcBorders>
                  <w:shd w:val="clear" w:color="auto" w:fill="auto"/>
                  <w:noWrap/>
                  <w:vAlign w:val="bottom"/>
                </w:tcPr>
                <w:p w:rsidR="00A3456A" w:rsidRPr="009E5D12" w:rsidRDefault="00A3456A" w:rsidP="00C53C4F">
                  <w:pPr>
                    <w:pStyle w:val="Tableheader1"/>
                  </w:pPr>
                  <w:r w:rsidRPr="009E5D12">
                    <w:t>15–24 years Trades</w:t>
                  </w:r>
                </w:p>
              </w:tc>
              <w:tc>
                <w:tcPr>
                  <w:tcW w:w="1524" w:type="dxa"/>
                  <w:tcBorders>
                    <w:top w:val="single" w:sz="4" w:space="0" w:color="auto"/>
                    <w:left w:val="nil"/>
                    <w:bottom w:val="single" w:sz="4" w:space="0" w:color="auto"/>
                    <w:right w:val="nil"/>
                  </w:tcBorders>
                  <w:shd w:val="clear" w:color="auto" w:fill="auto"/>
                  <w:noWrap/>
                  <w:vAlign w:val="bottom"/>
                </w:tcPr>
                <w:p w:rsidR="00A3456A" w:rsidRPr="009E5D12" w:rsidRDefault="00A3456A" w:rsidP="00C53C4F">
                  <w:pPr>
                    <w:pStyle w:val="Tableheader1"/>
                  </w:pPr>
                  <w:r w:rsidRPr="009E5D12">
                    <w:t>25–64 years Trades</w:t>
                  </w:r>
                </w:p>
              </w:tc>
              <w:tc>
                <w:tcPr>
                  <w:tcW w:w="1524" w:type="dxa"/>
                  <w:tcBorders>
                    <w:top w:val="single" w:sz="4" w:space="0" w:color="auto"/>
                    <w:left w:val="nil"/>
                    <w:bottom w:val="single" w:sz="4" w:space="0" w:color="auto"/>
                    <w:right w:val="nil"/>
                  </w:tcBorders>
                </w:tcPr>
                <w:p w:rsidR="00A3456A" w:rsidRPr="009E5D12" w:rsidRDefault="00A3456A" w:rsidP="00C53C4F">
                  <w:pPr>
                    <w:pStyle w:val="Tableheader1"/>
                  </w:pPr>
                  <w:r w:rsidRPr="009E5D12">
                    <w:t>15–24 years Non-trades</w:t>
                  </w:r>
                </w:p>
              </w:tc>
              <w:tc>
                <w:tcPr>
                  <w:tcW w:w="1524" w:type="dxa"/>
                  <w:tcBorders>
                    <w:top w:val="single" w:sz="4" w:space="0" w:color="auto"/>
                    <w:left w:val="nil"/>
                    <w:bottom w:val="single" w:sz="4" w:space="0" w:color="auto"/>
                    <w:right w:val="nil"/>
                  </w:tcBorders>
                </w:tcPr>
                <w:p w:rsidR="00A3456A" w:rsidRPr="009E5D12" w:rsidRDefault="00A3456A" w:rsidP="00C53C4F">
                  <w:pPr>
                    <w:pStyle w:val="Tableheader1"/>
                  </w:pPr>
                  <w:r w:rsidRPr="009E5D12">
                    <w:t>25–64 years Non-trades</w:t>
                  </w:r>
                </w:p>
              </w:tc>
            </w:tr>
            <w:tr w:rsidR="00A3456A" w:rsidRPr="00A3456A" w:rsidTr="006319F1">
              <w:trPr>
                <w:trHeight w:val="300"/>
              </w:trPr>
              <w:tc>
                <w:tcPr>
                  <w:tcW w:w="2742" w:type="dxa"/>
                  <w:tcBorders>
                    <w:left w:val="nil"/>
                    <w:right w:val="nil"/>
                  </w:tcBorders>
                  <w:shd w:val="clear" w:color="auto" w:fill="auto"/>
                  <w:noWrap/>
                  <w:vAlign w:val="bottom"/>
                </w:tcPr>
                <w:p w:rsidR="00A3456A" w:rsidRPr="00A3456A" w:rsidRDefault="00A3456A" w:rsidP="00C53C4F">
                  <w:pPr>
                    <w:pStyle w:val="Tabletext"/>
                    <w:tabs>
                      <w:tab w:val="clear" w:pos="743"/>
                    </w:tabs>
                  </w:pPr>
                  <w:r w:rsidRPr="00A3456A">
                    <w:t>In same occupation as training course</w:t>
                  </w:r>
                </w:p>
              </w:tc>
              <w:tc>
                <w:tcPr>
                  <w:tcW w:w="1382" w:type="dxa"/>
                  <w:tcBorders>
                    <w:left w:val="nil"/>
                    <w:right w:val="nil"/>
                  </w:tcBorders>
                  <w:shd w:val="clear" w:color="auto" w:fill="auto"/>
                  <w:noWrap/>
                  <w:vAlign w:val="bottom"/>
                </w:tcPr>
                <w:p w:rsidR="00A3456A" w:rsidRPr="00A3456A" w:rsidRDefault="00A3456A" w:rsidP="00C53C4F">
                  <w:pPr>
                    <w:pStyle w:val="Tabletext"/>
                  </w:pPr>
                  <w:r w:rsidRPr="00A3456A">
                    <w:t>83.6</w:t>
                  </w:r>
                </w:p>
              </w:tc>
              <w:tc>
                <w:tcPr>
                  <w:tcW w:w="1524" w:type="dxa"/>
                  <w:tcBorders>
                    <w:left w:val="nil"/>
                    <w:right w:val="nil"/>
                  </w:tcBorders>
                  <w:shd w:val="clear" w:color="auto" w:fill="auto"/>
                  <w:noWrap/>
                  <w:vAlign w:val="bottom"/>
                </w:tcPr>
                <w:p w:rsidR="00A3456A" w:rsidRPr="00A3456A" w:rsidRDefault="00A3456A" w:rsidP="00C53C4F">
                  <w:pPr>
                    <w:pStyle w:val="Tabletext"/>
                  </w:pPr>
                  <w:r w:rsidRPr="00A3456A">
                    <w:t>70.3</w:t>
                  </w:r>
                </w:p>
              </w:tc>
              <w:tc>
                <w:tcPr>
                  <w:tcW w:w="1524" w:type="dxa"/>
                  <w:tcBorders>
                    <w:left w:val="nil"/>
                    <w:right w:val="nil"/>
                  </w:tcBorders>
                  <w:shd w:val="clear" w:color="auto" w:fill="auto"/>
                  <w:vAlign w:val="bottom"/>
                </w:tcPr>
                <w:p w:rsidR="00A3456A" w:rsidRPr="00A3456A" w:rsidRDefault="00A3456A" w:rsidP="00C53C4F">
                  <w:pPr>
                    <w:pStyle w:val="Tabletext"/>
                  </w:pPr>
                  <w:r w:rsidRPr="00A3456A">
                    <w:t>44.5</w:t>
                  </w:r>
                </w:p>
              </w:tc>
              <w:tc>
                <w:tcPr>
                  <w:tcW w:w="1524" w:type="dxa"/>
                  <w:tcBorders>
                    <w:left w:val="nil"/>
                    <w:right w:val="nil"/>
                  </w:tcBorders>
                  <w:shd w:val="clear" w:color="auto" w:fill="auto"/>
                  <w:vAlign w:val="bottom"/>
                </w:tcPr>
                <w:p w:rsidR="00A3456A" w:rsidRPr="00A3456A" w:rsidRDefault="00A3456A" w:rsidP="00C53C4F">
                  <w:pPr>
                    <w:pStyle w:val="Tabletext"/>
                  </w:pPr>
                  <w:r w:rsidRPr="00A3456A">
                    <w:t>51.4</w:t>
                  </w:r>
                </w:p>
              </w:tc>
            </w:tr>
            <w:tr w:rsidR="00A3456A" w:rsidRPr="00A3456A" w:rsidTr="006319F1">
              <w:trPr>
                <w:trHeight w:val="300"/>
              </w:trPr>
              <w:tc>
                <w:tcPr>
                  <w:tcW w:w="2742" w:type="dxa"/>
                  <w:tcBorders>
                    <w:left w:val="nil"/>
                    <w:bottom w:val="single" w:sz="4" w:space="0" w:color="auto"/>
                    <w:right w:val="nil"/>
                  </w:tcBorders>
                  <w:shd w:val="clear" w:color="auto" w:fill="auto"/>
                  <w:noWrap/>
                  <w:vAlign w:val="bottom"/>
                </w:tcPr>
                <w:p w:rsidR="00A3456A" w:rsidRPr="00A3456A" w:rsidRDefault="00A3456A" w:rsidP="00C53C4F">
                  <w:pPr>
                    <w:pStyle w:val="Tabletext"/>
                  </w:pPr>
                  <w:r w:rsidRPr="00A3456A">
                    <w:t xml:space="preserve">In different occupation as training course </w:t>
                  </w:r>
                  <w:r w:rsidR="000C780F">
                    <w:t>–</w:t>
                  </w:r>
                  <w:r w:rsidRPr="00A3456A">
                    <w:t xml:space="preserve"> occupation after training</w:t>
                  </w:r>
                </w:p>
              </w:tc>
              <w:tc>
                <w:tcPr>
                  <w:tcW w:w="1382" w:type="dxa"/>
                  <w:tcBorders>
                    <w:left w:val="nil"/>
                    <w:bottom w:val="single" w:sz="4" w:space="0" w:color="auto"/>
                    <w:right w:val="nil"/>
                  </w:tcBorders>
                  <w:shd w:val="clear" w:color="auto" w:fill="auto"/>
                  <w:noWrap/>
                  <w:vAlign w:val="bottom"/>
                </w:tcPr>
                <w:p w:rsidR="00A3456A" w:rsidRPr="00A3456A" w:rsidRDefault="00A3456A" w:rsidP="00C53C4F">
                  <w:pPr>
                    <w:pStyle w:val="Tabletext"/>
                  </w:pPr>
                  <w:r w:rsidRPr="00A3456A">
                    <w:t>16.4</w:t>
                  </w:r>
                </w:p>
              </w:tc>
              <w:tc>
                <w:tcPr>
                  <w:tcW w:w="1524" w:type="dxa"/>
                  <w:tcBorders>
                    <w:left w:val="nil"/>
                    <w:bottom w:val="single" w:sz="4" w:space="0" w:color="auto"/>
                    <w:right w:val="nil"/>
                  </w:tcBorders>
                  <w:shd w:val="clear" w:color="auto" w:fill="auto"/>
                  <w:noWrap/>
                  <w:vAlign w:val="bottom"/>
                </w:tcPr>
                <w:p w:rsidR="00A3456A" w:rsidRPr="00A3456A" w:rsidRDefault="00A3456A" w:rsidP="00C53C4F">
                  <w:pPr>
                    <w:pStyle w:val="Tabletext"/>
                  </w:pPr>
                  <w:r w:rsidRPr="00A3456A">
                    <w:t>29.7</w:t>
                  </w:r>
                </w:p>
              </w:tc>
              <w:tc>
                <w:tcPr>
                  <w:tcW w:w="1524" w:type="dxa"/>
                  <w:tcBorders>
                    <w:left w:val="nil"/>
                    <w:bottom w:val="single" w:sz="4" w:space="0" w:color="auto"/>
                    <w:right w:val="nil"/>
                  </w:tcBorders>
                  <w:shd w:val="clear" w:color="auto" w:fill="auto"/>
                  <w:vAlign w:val="bottom"/>
                </w:tcPr>
                <w:p w:rsidR="00A3456A" w:rsidRPr="00A3456A" w:rsidRDefault="00A3456A" w:rsidP="00C53C4F">
                  <w:pPr>
                    <w:pStyle w:val="Tabletext"/>
                  </w:pPr>
                  <w:r w:rsidRPr="00A3456A">
                    <w:t>55.5</w:t>
                  </w:r>
                </w:p>
              </w:tc>
              <w:tc>
                <w:tcPr>
                  <w:tcW w:w="1524" w:type="dxa"/>
                  <w:tcBorders>
                    <w:left w:val="nil"/>
                    <w:bottom w:val="single" w:sz="4" w:space="0" w:color="auto"/>
                    <w:right w:val="nil"/>
                  </w:tcBorders>
                  <w:shd w:val="clear" w:color="auto" w:fill="auto"/>
                  <w:vAlign w:val="bottom"/>
                </w:tcPr>
                <w:p w:rsidR="00A3456A" w:rsidRPr="00A3456A" w:rsidRDefault="00A3456A" w:rsidP="00C53C4F">
                  <w:pPr>
                    <w:pStyle w:val="Tabletext"/>
                  </w:pPr>
                  <w:r w:rsidRPr="00A3456A">
                    <w:t>48.6</w:t>
                  </w:r>
                </w:p>
              </w:tc>
            </w:tr>
          </w:tbl>
          <w:p w:rsidR="00A3456A" w:rsidRPr="001A7DE2" w:rsidRDefault="00A3456A" w:rsidP="00663185">
            <w:pPr>
              <w:spacing w:after="0" w:line="240" w:lineRule="auto"/>
              <w:jc w:val="right"/>
              <w:rPr>
                <w:rFonts w:ascii="Arial" w:eastAsia="Times New Roman" w:hAnsi="Arial" w:cs="Arial"/>
                <w:i/>
                <w:color w:val="000000"/>
                <w:sz w:val="18"/>
                <w:szCs w:val="18"/>
                <w:lang w:eastAsia="en-AU"/>
              </w:rPr>
            </w:pPr>
          </w:p>
        </w:tc>
        <w:tc>
          <w:tcPr>
            <w:tcW w:w="9658" w:type="dxa"/>
            <w:tcBorders>
              <w:top w:val="nil"/>
              <w:left w:val="nil"/>
              <w:bottom w:val="nil"/>
              <w:right w:val="nil"/>
            </w:tcBorders>
            <w:shd w:val="clear" w:color="auto" w:fill="auto"/>
            <w:noWrap/>
            <w:vAlign w:val="bottom"/>
          </w:tcPr>
          <w:p w:rsidR="00A3456A" w:rsidRPr="001A7DE2" w:rsidRDefault="00A3456A" w:rsidP="00663185">
            <w:pPr>
              <w:spacing w:after="0" w:line="240" w:lineRule="auto"/>
              <w:jc w:val="right"/>
              <w:rPr>
                <w:rFonts w:ascii="Arial" w:eastAsia="Times New Roman" w:hAnsi="Arial" w:cs="Arial"/>
                <w:color w:val="000000"/>
                <w:sz w:val="18"/>
                <w:szCs w:val="18"/>
                <w:lang w:eastAsia="en-AU"/>
              </w:rPr>
            </w:pPr>
          </w:p>
        </w:tc>
        <w:tc>
          <w:tcPr>
            <w:tcW w:w="9659" w:type="dxa"/>
            <w:tcBorders>
              <w:top w:val="nil"/>
              <w:left w:val="nil"/>
              <w:bottom w:val="nil"/>
              <w:right w:val="nil"/>
            </w:tcBorders>
            <w:shd w:val="clear" w:color="auto" w:fill="auto"/>
            <w:noWrap/>
            <w:vAlign w:val="bottom"/>
          </w:tcPr>
          <w:p w:rsidR="00A3456A" w:rsidRPr="001A7DE2" w:rsidRDefault="00A3456A" w:rsidP="00663185">
            <w:pPr>
              <w:tabs>
                <w:tab w:val="left" w:pos="6136"/>
                <w:tab w:val="left" w:pos="7161"/>
                <w:tab w:val="right" w:pos="7311"/>
              </w:tabs>
              <w:spacing w:after="0" w:line="240" w:lineRule="auto"/>
              <w:ind w:right="11060"/>
              <w:rPr>
                <w:rFonts w:ascii="Arial" w:eastAsia="Times New Roman" w:hAnsi="Arial" w:cs="Arial"/>
                <w:color w:val="000000"/>
                <w:sz w:val="18"/>
                <w:szCs w:val="18"/>
                <w:lang w:eastAsia="en-AU"/>
              </w:rPr>
            </w:pPr>
          </w:p>
        </w:tc>
      </w:tr>
    </w:tbl>
    <w:p w:rsidR="0079014D" w:rsidRPr="005E5FBB" w:rsidRDefault="0079014D" w:rsidP="0079014D">
      <w:pPr>
        <w:spacing w:before="240"/>
        <w:rPr>
          <w:rFonts w:ascii="Trebuchet MS" w:hAnsi="Trebuchet MS" w:cs="Arial"/>
          <w:color w:val="1C1C1C"/>
          <w:sz w:val="18"/>
          <w:szCs w:val="18"/>
          <w:shd w:val="clear" w:color="auto" w:fill="FFFFFF"/>
        </w:rPr>
      </w:pPr>
    </w:p>
    <w:p w:rsidR="0079014D" w:rsidRDefault="0079014D">
      <w:pPr>
        <w:rPr>
          <w:rFonts w:ascii="Arial" w:hAnsi="Arial" w:cs="Arial"/>
          <w:bCs/>
          <w:color w:val="2A2A2A"/>
          <w:sz w:val="42"/>
          <w:szCs w:val="42"/>
          <w:bdr w:val="none" w:sz="0" w:space="0" w:color="auto" w:frame="1"/>
          <w:shd w:val="clear" w:color="auto" w:fill="FFFFFF"/>
        </w:rPr>
      </w:pPr>
      <w:r>
        <w:rPr>
          <w:b/>
          <w:bCs/>
          <w:color w:val="2A2A2A"/>
          <w:sz w:val="42"/>
          <w:szCs w:val="42"/>
          <w:bdr w:val="none" w:sz="0" w:space="0" w:color="auto" w:frame="1"/>
          <w:shd w:val="clear" w:color="auto" w:fill="FFFFFF"/>
        </w:rPr>
        <w:br w:type="page"/>
      </w:r>
    </w:p>
    <w:p w:rsidR="002238EE" w:rsidRPr="00F0260B" w:rsidRDefault="002238EE" w:rsidP="0047153E">
      <w:pPr>
        <w:pStyle w:val="Heading2"/>
      </w:pPr>
      <w:r w:rsidRPr="00F0260B">
        <w:lastRenderedPageBreak/>
        <w:t>Timeline: A brief history of apprenticeships and traineeships in Australia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imeline: A brief history of apprenticeships and traineeships in Australia"/>
        <w:tblDescription w:val="A timeline containing a brief history of apprenticeships and traineeships in Australia"/>
      </w:tblPr>
      <w:tblGrid>
        <w:gridCol w:w="959"/>
        <w:gridCol w:w="8080"/>
      </w:tblGrid>
      <w:tr w:rsidR="00D54147" w:rsidRPr="00D54147" w:rsidTr="00C25921">
        <w:trPr>
          <w:trHeight w:val="1836"/>
        </w:trPr>
        <w:tc>
          <w:tcPr>
            <w:tcW w:w="959" w:type="dxa"/>
            <w:tcBorders>
              <w:top w:val="single" w:sz="4" w:space="0" w:color="auto"/>
            </w:tcBorders>
            <w:noWrap/>
            <w:hideMark/>
          </w:tcPr>
          <w:p w:rsidR="00D54147" w:rsidRPr="00D54147" w:rsidRDefault="00D54147" w:rsidP="00C53C4F">
            <w:pPr>
              <w:pStyle w:val="Tabletext"/>
              <w:rPr>
                <w:lang w:eastAsia="en-AU"/>
              </w:rPr>
            </w:pPr>
            <w:r w:rsidRPr="00D54147">
              <w:rPr>
                <w:lang w:eastAsia="en-AU"/>
              </w:rPr>
              <w:t>2016</w:t>
            </w:r>
          </w:p>
        </w:tc>
        <w:tc>
          <w:tcPr>
            <w:tcW w:w="8080" w:type="dxa"/>
            <w:tcBorders>
              <w:top w:val="single" w:sz="4" w:space="0" w:color="auto"/>
            </w:tcBorders>
            <w:hideMark/>
          </w:tcPr>
          <w:p w:rsidR="00D54147" w:rsidRDefault="00D54147" w:rsidP="00C53C4F">
            <w:pPr>
              <w:pStyle w:val="Tabletext"/>
              <w:rPr>
                <w:lang w:eastAsia="en-AU"/>
              </w:rPr>
            </w:pPr>
            <w:r w:rsidRPr="00D54147">
              <w:rPr>
                <w:lang w:eastAsia="en-AU"/>
              </w:rPr>
              <w:t xml:space="preserve">Youth Jobs </w:t>
            </w:r>
            <w:proofErr w:type="spellStart"/>
            <w:r w:rsidRPr="00D54147">
              <w:rPr>
                <w:lang w:eastAsia="en-AU"/>
              </w:rPr>
              <w:t>PaTH</w:t>
            </w:r>
            <w:proofErr w:type="spellEnd"/>
            <w:r w:rsidRPr="00D54147">
              <w:rPr>
                <w:lang w:eastAsia="en-AU"/>
              </w:rPr>
              <w:t xml:space="preserve"> (Prepare-Trial-Hire) program announced, combining pre-employment skills training with internship placements in businesses for job seekers aged </w:t>
            </w:r>
            <w:proofErr w:type="gramStart"/>
            <w:r w:rsidRPr="00D54147">
              <w:rPr>
                <w:lang w:eastAsia="en-AU"/>
              </w:rPr>
              <w:t>under</w:t>
            </w:r>
            <w:proofErr w:type="gramEnd"/>
            <w:r w:rsidRPr="00D54147">
              <w:rPr>
                <w:lang w:eastAsia="en-AU"/>
              </w:rPr>
              <w:t xml:space="preserve"> 25 years. Employers who then hire an eligible job seeker as an apprentice may benefit up to $10 000 under the Youth Bonus Wage Subsidy.</w:t>
            </w:r>
            <w:r w:rsidRPr="00D54147">
              <w:rPr>
                <w:lang w:eastAsia="en-AU"/>
              </w:rPr>
              <w:br/>
            </w:r>
            <w:r w:rsidRPr="00D54147">
              <w:rPr>
                <w:lang w:eastAsia="en-AU"/>
              </w:rPr>
              <w:br/>
              <w:t xml:space="preserve">Apprenticeship Training </w:t>
            </w:r>
            <w:r w:rsidR="006E347F">
              <w:rPr>
                <w:lang w:eastAsia="en-AU"/>
              </w:rPr>
              <w:t>–</w:t>
            </w:r>
            <w:r w:rsidRPr="00D54147">
              <w:rPr>
                <w:lang w:eastAsia="en-AU"/>
              </w:rPr>
              <w:t xml:space="preserve"> Alternative Delivery Pilots establish five industry-led pilots to trial the adoption of alternative approaches of delivering apprenticeship training outside of the traditional trade training models.</w:t>
            </w:r>
          </w:p>
          <w:p w:rsidR="00C60EC7" w:rsidRPr="00D54147" w:rsidRDefault="00C60EC7" w:rsidP="00C53C4F">
            <w:pPr>
              <w:pStyle w:val="Tabletext"/>
              <w:rPr>
                <w:lang w:eastAsia="en-AU"/>
              </w:rPr>
            </w:pPr>
          </w:p>
        </w:tc>
      </w:tr>
      <w:tr w:rsidR="00D54147" w:rsidRPr="00D54147" w:rsidTr="00C25921">
        <w:trPr>
          <w:trHeight w:val="5378"/>
        </w:trPr>
        <w:tc>
          <w:tcPr>
            <w:tcW w:w="959" w:type="dxa"/>
            <w:noWrap/>
            <w:hideMark/>
          </w:tcPr>
          <w:p w:rsidR="00D54147" w:rsidRPr="00D54147" w:rsidRDefault="00D54147" w:rsidP="00C53C4F">
            <w:pPr>
              <w:pStyle w:val="Tabletext"/>
              <w:rPr>
                <w:lang w:eastAsia="en-AU"/>
              </w:rPr>
            </w:pPr>
            <w:r w:rsidRPr="00D54147">
              <w:rPr>
                <w:lang w:eastAsia="en-AU"/>
              </w:rPr>
              <w:t>2015</w:t>
            </w:r>
          </w:p>
        </w:tc>
        <w:tc>
          <w:tcPr>
            <w:tcW w:w="8080" w:type="dxa"/>
            <w:hideMark/>
          </w:tcPr>
          <w:p w:rsidR="00300E3F" w:rsidRDefault="00D54147" w:rsidP="00C53C4F">
            <w:pPr>
              <w:pStyle w:val="Tabletext"/>
              <w:rPr>
                <w:lang w:eastAsia="en-AU"/>
              </w:rPr>
            </w:pPr>
            <w:r w:rsidRPr="00D54147">
              <w:rPr>
                <w:lang w:eastAsia="en-AU"/>
              </w:rPr>
              <w:t>The New South</w:t>
            </w:r>
            <w:r w:rsidR="00300E3F">
              <w:rPr>
                <w:lang w:eastAsia="en-AU"/>
              </w:rPr>
              <w:t xml:space="preserve"> Wales Government announced:</w:t>
            </w:r>
          </w:p>
          <w:p w:rsidR="00300E3F" w:rsidRDefault="00300E3F" w:rsidP="00C53C4F">
            <w:pPr>
              <w:pStyle w:val="Tabletext"/>
              <w:rPr>
                <w:lang w:eastAsia="en-AU"/>
              </w:rPr>
            </w:pPr>
            <w:r w:rsidRPr="00D54147">
              <w:rPr>
                <w:lang w:eastAsia="en-AU"/>
              </w:rPr>
              <w:t>$100 million will be invested to increase training options for employers, which will support over 46 000 training places for apprentices and trainees.</w:t>
            </w:r>
          </w:p>
          <w:p w:rsidR="00300E3F" w:rsidRDefault="00300E3F" w:rsidP="00C53C4F">
            <w:pPr>
              <w:pStyle w:val="Tabletext"/>
              <w:rPr>
                <w:lang w:eastAsia="en-AU"/>
              </w:rPr>
            </w:pPr>
          </w:p>
          <w:p w:rsidR="00300E3F" w:rsidRPr="00300E3F" w:rsidRDefault="00D54147" w:rsidP="00C53C4F">
            <w:pPr>
              <w:pStyle w:val="Tabletext"/>
              <w:rPr>
                <w:lang w:eastAsia="en-AU"/>
              </w:rPr>
            </w:pPr>
            <w:r w:rsidRPr="00300E3F">
              <w:rPr>
                <w:lang w:eastAsia="en-AU"/>
              </w:rPr>
              <w:t>In the 2015</w:t>
            </w:r>
            <w:r w:rsidR="006E347F">
              <w:rPr>
                <w:lang w:eastAsia="en-AU"/>
              </w:rPr>
              <w:t>–</w:t>
            </w:r>
            <w:r w:rsidRPr="00300E3F">
              <w:rPr>
                <w:lang w:eastAsia="en-AU"/>
              </w:rPr>
              <w:t xml:space="preserve">16 budget, Victorian Government announced: </w:t>
            </w:r>
          </w:p>
          <w:p w:rsidR="00300E3F" w:rsidRDefault="00300E3F" w:rsidP="00C53C4F">
            <w:pPr>
              <w:pStyle w:val="Tabletext"/>
              <w:rPr>
                <w:lang w:eastAsia="en-AU"/>
              </w:rPr>
            </w:pPr>
            <w:r w:rsidRPr="00D54147">
              <w:rPr>
                <w:lang w:eastAsia="en-AU"/>
              </w:rPr>
              <w:t>Back to Work Fund (a capped two year $100m fund) which includes $50 million to help more Victorians start an apprenticeship of traineeship, from 1 July 2015.</w:t>
            </w:r>
          </w:p>
          <w:p w:rsidR="00300E3F" w:rsidRPr="00300E3F" w:rsidRDefault="00300E3F" w:rsidP="00C53C4F">
            <w:pPr>
              <w:pStyle w:val="Tabletext"/>
              <w:rPr>
                <w:lang w:eastAsia="en-AU"/>
              </w:rPr>
            </w:pPr>
            <w:r w:rsidRPr="00D54147">
              <w:rPr>
                <w:lang w:eastAsia="en-AU"/>
              </w:rPr>
              <w:t xml:space="preserve">$3.5 million investment funding to continue support and </w:t>
            </w:r>
            <w:r w:rsidR="00BA271E">
              <w:rPr>
                <w:lang w:eastAsia="en-AU"/>
              </w:rPr>
              <w:t>guidance to apprentices aged 15–</w:t>
            </w:r>
            <w:r w:rsidRPr="00D54147">
              <w:rPr>
                <w:lang w:eastAsia="en-AU"/>
              </w:rPr>
              <w:t>24 in their first year of apprenticeships for another 12 months (to 30 June 2016).</w:t>
            </w:r>
          </w:p>
          <w:p w:rsidR="00300E3F" w:rsidRPr="00300E3F" w:rsidRDefault="00300E3F" w:rsidP="00C53C4F">
            <w:pPr>
              <w:pStyle w:val="Tabletext"/>
              <w:rPr>
                <w:lang w:eastAsia="en-AU"/>
              </w:rPr>
            </w:pPr>
          </w:p>
          <w:p w:rsidR="00300E3F" w:rsidRPr="00300E3F" w:rsidRDefault="00D54147" w:rsidP="00C53C4F">
            <w:pPr>
              <w:pStyle w:val="Tabletext"/>
              <w:rPr>
                <w:lang w:eastAsia="en-AU"/>
              </w:rPr>
            </w:pPr>
            <w:r w:rsidRPr="00300E3F">
              <w:rPr>
                <w:lang w:eastAsia="en-AU"/>
              </w:rPr>
              <w:t>In the 2015</w:t>
            </w:r>
            <w:r w:rsidR="006E347F">
              <w:rPr>
                <w:lang w:eastAsia="en-AU"/>
              </w:rPr>
              <w:t>–</w:t>
            </w:r>
            <w:r w:rsidRPr="00300E3F">
              <w:rPr>
                <w:lang w:eastAsia="en-AU"/>
              </w:rPr>
              <w:t>16 budget, Queensland Government announced, from 1</w:t>
            </w:r>
            <w:r w:rsidR="00300E3F" w:rsidRPr="00300E3F">
              <w:rPr>
                <w:lang w:eastAsia="en-AU"/>
              </w:rPr>
              <w:t xml:space="preserve"> July 2015: </w:t>
            </w:r>
            <w:r w:rsidRPr="00300E3F">
              <w:rPr>
                <w:lang w:eastAsia="en-AU"/>
              </w:rPr>
              <w:t xml:space="preserve"> </w:t>
            </w:r>
          </w:p>
          <w:p w:rsidR="00300E3F" w:rsidRDefault="00300E3F" w:rsidP="00C53C4F">
            <w:pPr>
              <w:pStyle w:val="Tabletext"/>
              <w:rPr>
                <w:lang w:eastAsia="en-AU"/>
              </w:rPr>
            </w:pPr>
            <w:r w:rsidRPr="00D54147">
              <w:rPr>
                <w:lang w:eastAsia="en-AU"/>
              </w:rPr>
              <w:t xml:space="preserve">New </w:t>
            </w:r>
            <w:proofErr w:type="spellStart"/>
            <w:r w:rsidRPr="00D54147">
              <w:rPr>
                <w:lang w:eastAsia="en-AU"/>
              </w:rPr>
              <w:t>payrol</w:t>
            </w:r>
            <w:proofErr w:type="spellEnd"/>
            <w:r w:rsidRPr="00D54147">
              <w:rPr>
                <w:lang w:eastAsia="en-AU"/>
              </w:rPr>
              <w:t xml:space="preserve"> tax rebate to employers who hire new apprentices or trainees.</w:t>
            </w:r>
          </w:p>
          <w:p w:rsidR="00300E3F" w:rsidRDefault="00300E3F" w:rsidP="00C53C4F">
            <w:pPr>
              <w:pStyle w:val="Tabletext"/>
              <w:rPr>
                <w:lang w:eastAsia="en-AU"/>
              </w:rPr>
            </w:pPr>
            <w:r w:rsidRPr="00D54147">
              <w:rPr>
                <w:lang w:eastAsia="en-AU"/>
              </w:rPr>
              <w:t>$243 million for apprenticeships and trainees under User Choice. The program supports up to 70 000 apprentices trainees across the state.</w:t>
            </w:r>
          </w:p>
          <w:p w:rsidR="00C55A9F" w:rsidRDefault="00C55A9F" w:rsidP="00C53C4F">
            <w:pPr>
              <w:pStyle w:val="Tabletext"/>
              <w:rPr>
                <w:lang w:eastAsia="en-AU"/>
              </w:rPr>
            </w:pPr>
          </w:p>
          <w:p w:rsidR="00300E3F" w:rsidRDefault="00D54147" w:rsidP="00C53C4F">
            <w:pPr>
              <w:pStyle w:val="Tabletext"/>
              <w:rPr>
                <w:lang w:eastAsia="en-AU"/>
              </w:rPr>
            </w:pPr>
            <w:r w:rsidRPr="00300E3F">
              <w:rPr>
                <w:lang w:eastAsia="en-AU"/>
              </w:rPr>
              <w:t xml:space="preserve">Northern Territory announced an </w:t>
            </w:r>
            <w:proofErr w:type="spellStart"/>
            <w:r w:rsidRPr="00300E3F">
              <w:rPr>
                <w:lang w:eastAsia="en-AU"/>
              </w:rPr>
              <w:t>additonal</w:t>
            </w:r>
            <w:proofErr w:type="spellEnd"/>
            <w:r w:rsidRPr="00300E3F">
              <w:rPr>
                <w:lang w:eastAsia="en-AU"/>
              </w:rPr>
              <w:t xml:space="preserve"> $4.4 million for the 'Training for the Future </w:t>
            </w:r>
            <w:r w:rsidR="006E347F">
              <w:rPr>
                <w:lang w:eastAsia="en-AU"/>
              </w:rPr>
              <w:t>–</w:t>
            </w:r>
            <w:r w:rsidRPr="00300E3F">
              <w:rPr>
                <w:lang w:eastAsia="en-AU"/>
              </w:rPr>
              <w:t xml:space="preserve"> Employer Support Scheme (commenced July 2015). The Scheme will comprise of three grants for employers which are as follows: </w:t>
            </w:r>
          </w:p>
          <w:p w:rsidR="00300E3F" w:rsidRDefault="00300E3F" w:rsidP="00C53C4F">
            <w:pPr>
              <w:pStyle w:val="Tabletext"/>
              <w:rPr>
                <w:lang w:eastAsia="en-AU"/>
              </w:rPr>
            </w:pPr>
            <w:r w:rsidRPr="00300E3F">
              <w:rPr>
                <w:lang w:eastAsia="en-AU"/>
              </w:rPr>
              <w:t>A commencement grant of $1000 paid when an apprenticeship/traineeship contract is recorded within the Department of Business apprenticeship database.</w:t>
            </w:r>
          </w:p>
          <w:p w:rsidR="00300E3F" w:rsidRDefault="00300E3F" w:rsidP="00C53C4F">
            <w:pPr>
              <w:pStyle w:val="Tabletext"/>
              <w:rPr>
                <w:lang w:eastAsia="en-AU"/>
              </w:rPr>
            </w:pPr>
            <w:r w:rsidRPr="00300E3F">
              <w:rPr>
                <w:lang w:eastAsia="en-AU"/>
              </w:rPr>
              <w:t>A completion grant of $2000 paid when the apprentice or trainee’s training record has been classified as completed in the database.</w:t>
            </w:r>
          </w:p>
          <w:p w:rsidR="00300E3F" w:rsidRPr="00300E3F" w:rsidRDefault="00300E3F" w:rsidP="00C53C4F">
            <w:pPr>
              <w:pStyle w:val="Tabletext"/>
              <w:rPr>
                <w:lang w:eastAsia="en-AU"/>
              </w:rPr>
            </w:pPr>
            <w:r w:rsidRPr="00300E3F">
              <w:rPr>
                <w:lang w:eastAsia="en-AU"/>
              </w:rPr>
              <w:t>A recommencement grant of $500 paid to an employer who employs an apprentice or trainee at some other point during their training, e.g. an apprentice who leaves the employment of a previous employer.</w:t>
            </w:r>
          </w:p>
          <w:p w:rsidR="00D54147" w:rsidRPr="00300E3F" w:rsidRDefault="00D54147" w:rsidP="00C53C4F">
            <w:pPr>
              <w:pStyle w:val="Tabletext"/>
              <w:rPr>
                <w:lang w:eastAsia="en-AU"/>
              </w:rPr>
            </w:pPr>
          </w:p>
        </w:tc>
      </w:tr>
      <w:tr w:rsidR="00D54147" w:rsidRPr="00D54147" w:rsidTr="00C25921">
        <w:trPr>
          <w:trHeight w:val="4103"/>
        </w:trPr>
        <w:tc>
          <w:tcPr>
            <w:tcW w:w="959" w:type="dxa"/>
            <w:noWrap/>
            <w:hideMark/>
          </w:tcPr>
          <w:p w:rsidR="00D54147" w:rsidRPr="00D54147" w:rsidRDefault="00D54147" w:rsidP="00C53C4F">
            <w:pPr>
              <w:pStyle w:val="Tabletext"/>
              <w:rPr>
                <w:lang w:eastAsia="en-AU"/>
              </w:rPr>
            </w:pPr>
            <w:r w:rsidRPr="00D54147">
              <w:rPr>
                <w:lang w:eastAsia="en-AU"/>
              </w:rPr>
              <w:t>2014</w:t>
            </w:r>
          </w:p>
        </w:tc>
        <w:tc>
          <w:tcPr>
            <w:tcW w:w="8080" w:type="dxa"/>
            <w:hideMark/>
          </w:tcPr>
          <w:p w:rsidR="00C55A9F" w:rsidRDefault="00D54147" w:rsidP="00C53C4F">
            <w:pPr>
              <w:pStyle w:val="Tabletext"/>
              <w:rPr>
                <w:lang w:eastAsia="en-AU"/>
              </w:rPr>
            </w:pPr>
            <w:r w:rsidRPr="00D54147">
              <w:rPr>
                <w:lang w:eastAsia="en-AU"/>
              </w:rPr>
              <w:t xml:space="preserve">Announcement of Trade Support Loans of up to $20 000 over four years to apprentices undertaking a certificate III or IV qualification leading to occupations on the NSNL. </w:t>
            </w:r>
            <w:r w:rsidRPr="00D54147">
              <w:rPr>
                <w:lang w:eastAsia="en-AU"/>
              </w:rPr>
              <w:br/>
            </w:r>
            <w:r w:rsidRPr="00D54147">
              <w:rPr>
                <w:lang w:eastAsia="en-AU"/>
              </w:rPr>
              <w:br/>
              <w:t>Announcement of intention to cease the following ski</w:t>
            </w:r>
            <w:r w:rsidR="00C55A9F">
              <w:rPr>
                <w:lang w:eastAsia="en-AU"/>
              </w:rPr>
              <w:t>lls and training programmes:</w:t>
            </w:r>
          </w:p>
          <w:p w:rsidR="00C55A9F" w:rsidRDefault="00C55A9F" w:rsidP="00C53C4F">
            <w:pPr>
              <w:pStyle w:val="Tabletext"/>
              <w:rPr>
                <w:lang w:eastAsia="en-AU"/>
              </w:rPr>
            </w:pPr>
            <w:r w:rsidRPr="00D54147">
              <w:rPr>
                <w:lang w:eastAsia="en-AU"/>
              </w:rPr>
              <w:t>Tools for Your Trade Payment</w:t>
            </w:r>
          </w:p>
          <w:p w:rsidR="00C55A9F" w:rsidRDefault="00C55A9F" w:rsidP="00C53C4F">
            <w:pPr>
              <w:pStyle w:val="Tabletext"/>
              <w:rPr>
                <w:lang w:eastAsia="en-AU"/>
              </w:rPr>
            </w:pPr>
            <w:r w:rsidRPr="00D54147">
              <w:rPr>
                <w:lang w:eastAsia="en-AU"/>
              </w:rPr>
              <w:t>National Partnership Agreement on Training Places for Single Parents</w:t>
            </w:r>
          </w:p>
          <w:p w:rsidR="00C55A9F" w:rsidRDefault="00C55A9F" w:rsidP="00C53C4F">
            <w:pPr>
              <w:pStyle w:val="Tabletext"/>
              <w:rPr>
                <w:lang w:eastAsia="en-AU"/>
              </w:rPr>
            </w:pPr>
            <w:r w:rsidRPr="00D54147">
              <w:rPr>
                <w:lang w:eastAsia="en-AU"/>
              </w:rPr>
              <w:t>Accelerated Australian Apprenticeships Programme</w:t>
            </w:r>
          </w:p>
          <w:p w:rsidR="00C55A9F" w:rsidRDefault="00C55A9F" w:rsidP="00C53C4F">
            <w:pPr>
              <w:pStyle w:val="Tabletext"/>
              <w:rPr>
                <w:lang w:eastAsia="en-AU"/>
              </w:rPr>
            </w:pPr>
            <w:r w:rsidRPr="00D54147">
              <w:rPr>
                <w:lang w:eastAsia="en-AU"/>
              </w:rPr>
              <w:t>Australian Apprenticeships Mentoring Programme</w:t>
            </w:r>
          </w:p>
          <w:p w:rsidR="00C55A9F" w:rsidRDefault="00C55A9F" w:rsidP="00C53C4F">
            <w:pPr>
              <w:pStyle w:val="Tabletext"/>
              <w:rPr>
                <w:lang w:eastAsia="en-AU"/>
              </w:rPr>
            </w:pPr>
            <w:r w:rsidRPr="00D54147">
              <w:rPr>
                <w:lang w:eastAsia="en-AU"/>
              </w:rPr>
              <w:t>National Workforce Development Fund</w:t>
            </w:r>
          </w:p>
          <w:p w:rsidR="00C55A9F" w:rsidRDefault="00C55A9F" w:rsidP="00C53C4F">
            <w:pPr>
              <w:pStyle w:val="Tabletext"/>
              <w:rPr>
                <w:lang w:eastAsia="en-AU"/>
              </w:rPr>
            </w:pPr>
            <w:r w:rsidRPr="00D54147">
              <w:rPr>
                <w:lang w:eastAsia="en-AU"/>
              </w:rPr>
              <w:t>Workplace English Language and Literacy Programme</w:t>
            </w:r>
          </w:p>
          <w:p w:rsidR="00C55A9F" w:rsidRDefault="00C55A9F" w:rsidP="00C53C4F">
            <w:pPr>
              <w:pStyle w:val="Tabletext"/>
              <w:rPr>
                <w:lang w:eastAsia="en-AU"/>
              </w:rPr>
            </w:pPr>
            <w:r w:rsidRPr="00D54147">
              <w:rPr>
                <w:lang w:eastAsia="en-AU"/>
              </w:rPr>
              <w:t>Alternative Pathways Programme</w:t>
            </w:r>
          </w:p>
          <w:p w:rsidR="00C55A9F" w:rsidRDefault="00C55A9F" w:rsidP="00C53C4F">
            <w:pPr>
              <w:pStyle w:val="Tabletext"/>
              <w:rPr>
                <w:lang w:eastAsia="en-AU"/>
              </w:rPr>
            </w:pPr>
            <w:r w:rsidRPr="00D54147">
              <w:rPr>
                <w:lang w:eastAsia="en-AU"/>
              </w:rPr>
              <w:t>Apprenticeship to Business Owner Programme</w:t>
            </w:r>
          </w:p>
          <w:p w:rsidR="00C55A9F" w:rsidRDefault="00C55A9F" w:rsidP="00C53C4F">
            <w:pPr>
              <w:pStyle w:val="Tabletext"/>
              <w:rPr>
                <w:lang w:eastAsia="en-AU"/>
              </w:rPr>
            </w:pPr>
            <w:r w:rsidRPr="00D54147">
              <w:rPr>
                <w:lang w:eastAsia="en-AU"/>
              </w:rPr>
              <w:t>Productive Ageing through Community Education</w:t>
            </w:r>
          </w:p>
          <w:p w:rsidR="00C55A9F" w:rsidRDefault="00C55A9F" w:rsidP="00C53C4F">
            <w:pPr>
              <w:pStyle w:val="Tabletext"/>
              <w:rPr>
                <w:lang w:eastAsia="en-AU"/>
              </w:rPr>
            </w:pPr>
            <w:r w:rsidRPr="00D54147">
              <w:rPr>
                <w:lang w:eastAsia="en-AU"/>
              </w:rPr>
              <w:t>Australian Apprenticeships Access Programme</w:t>
            </w:r>
          </w:p>
          <w:p w:rsidR="00C55A9F" w:rsidRDefault="00C55A9F" w:rsidP="00C53C4F">
            <w:pPr>
              <w:pStyle w:val="Tabletext"/>
              <w:rPr>
                <w:lang w:eastAsia="en-AU"/>
              </w:rPr>
            </w:pPr>
            <w:r w:rsidRPr="00C55A9F">
              <w:rPr>
                <w:lang w:eastAsia="en-AU"/>
              </w:rPr>
              <w:t>Step Into Skills Programme.</w:t>
            </w:r>
            <w:r w:rsidR="00D54147" w:rsidRPr="00C55A9F">
              <w:rPr>
                <w:lang w:eastAsia="en-AU"/>
              </w:rPr>
              <w:br/>
            </w:r>
          </w:p>
          <w:p w:rsidR="00D54147" w:rsidRDefault="00D54147" w:rsidP="00C53C4F">
            <w:pPr>
              <w:pStyle w:val="Tabletext"/>
              <w:rPr>
                <w:lang w:eastAsia="en-AU"/>
              </w:rPr>
            </w:pPr>
            <w:r w:rsidRPr="00C55A9F">
              <w:rPr>
                <w:lang w:eastAsia="en-AU"/>
              </w:rPr>
              <w:t xml:space="preserve">Announcement of Australian Apprenticeship Support Network to replace Australian Apprenticeship Centres from 1 July 2015 with the aim to increase completion rates through targeted support to apprentices and employers. </w:t>
            </w:r>
          </w:p>
          <w:p w:rsidR="00F86ADB" w:rsidRPr="00C55A9F" w:rsidRDefault="00F86ADB" w:rsidP="00C53C4F">
            <w:pPr>
              <w:pStyle w:val="Tabletext"/>
              <w:rPr>
                <w:lang w:eastAsia="en-AU"/>
              </w:rPr>
            </w:pPr>
          </w:p>
        </w:tc>
      </w:tr>
      <w:tr w:rsidR="00F86ADB" w:rsidRPr="00D54147" w:rsidTr="00C25921">
        <w:trPr>
          <w:trHeight w:val="1278"/>
        </w:trPr>
        <w:tc>
          <w:tcPr>
            <w:tcW w:w="959" w:type="dxa"/>
            <w:noWrap/>
          </w:tcPr>
          <w:p w:rsidR="00F86ADB" w:rsidRPr="00D54147" w:rsidRDefault="00F86ADB" w:rsidP="00C53C4F">
            <w:pPr>
              <w:pStyle w:val="Tabletext"/>
              <w:rPr>
                <w:lang w:eastAsia="en-AU"/>
              </w:rPr>
            </w:pPr>
            <w:r>
              <w:rPr>
                <w:lang w:eastAsia="en-AU"/>
              </w:rPr>
              <w:t>2013</w:t>
            </w:r>
          </w:p>
        </w:tc>
        <w:tc>
          <w:tcPr>
            <w:tcW w:w="8080" w:type="dxa"/>
          </w:tcPr>
          <w:p w:rsidR="00F86ADB" w:rsidRDefault="00F86ADB" w:rsidP="00C53C4F">
            <w:pPr>
              <w:pStyle w:val="Tabletext"/>
              <w:rPr>
                <w:lang w:eastAsia="en-AU"/>
              </w:rPr>
            </w:pPr>
            <w:r w:rsidRPr="00D54147">
              <w:rPr>
                <w:lang w:eastAsia="en-AU"/>
              </w:rPr>
              <w:t>Alternative Pathways for the Trades Program announced to develop an alternative approach to the traditional trade apprenticeship model. Program to trial an initial period of full-time training at a recognised training provider, followed by structured on-the-job training with an employer.</w:t>
            </w:r>
          </w:p>
          <w:p w:rsidR="00F86ADB" w:rsidRDefault="00F86ADB" w:rsidP="00C53C4F">
            <w:pPr>
              <w:pStyle w:val="Tabletext"/>
              <w:rPr>
                <w:lang w:eastAsia="en-AU"/>
              </w:rPr>
            </w:pPr>
          </w:p>
          <w:p w:rsidR="00F86ADB" w:rsidRDefault="00F86ADB" w:rsidP="00C53C4F">
            <w:pPr>
              <w:pStyle w:val="Tabletext"/>
              <w:rPr>
                <w:lang w:eastAsia="en-AU"/>
              </w:rPr>
            </w:pPr>
            <w:r w:rsidRPr="00D54147">
              <w:rPr>
                <w:lang w:eastAsia="en-AU"/>
              </w:rPr>
              <w:t>Further Commonwealth changes to incentive payments for apprenticeships and traineeships:</w:t>
            </w:r>
          </w:p>
          <w:p w:rsidR="00F86ADB" w:rsidRPr="00F86ADB" w:rsidRDefault="00F86ADB" w:rsidP="00C53C4F">
            <w:pPr>
              <w:pStyle w:val="Tabletext"/>
              <w:rPr>
                <w:lang w:eastAsia="en-AU"/>
              </w:rPr>
            </w:pPr>
            <w:r w:rsidRPr="00F86ADB">
              <w:rPr>
                <w:lang w:eastAsia="en-AU"/>
              </w:rPr>
              <w:t>Completion incentives for existing worker apprenticeships and traineeships not on the NSNL removed from 3 August 2013 (priority occupations such as aged care, childcare, disability care and enrolled nurses exempt from the change).</w:t>
            </w:r>
          </w:p>
        </w:tc>
      </w:tr>
      <w:tr w:rsidR="00D54147" w:rsidRPr="00D54147" w:rsidTr="00C25921">
        <w:trPr>
          <w:trHeight w:val="1845"/>
        </w:trPr>
        <w:tc>
          <w:tcPr>
            <w:tcW w:w="959" w:type="dxa"/>
            <w:noWrap/>
            <w:hideMark/>
          </w:tcPr>
          <w:p w:rsidR="00D54147" w:rsidRPr="00D54147" w:rsidRDefault="00D54147" w:rsidP="00C53C4F">
            <w:pPr>
              <w:pStyle w:val="Tabletext"/>
              <w:rPr>
                <w:lang w:eastAsia="en-AU"/>
              </w:rPr>
            </w:pPr>
          </w:p>
        </w:tc>
        <w:tc>
          <w:tcPr>
            <w:tcW w:w="8080" w:type="dxa"/>
            <w:hideMark/>
          </w:tcPr>
          <w:p w:rsidR="00BC4B29" w:rsidRDefault="00D54147" w:rsidP="00C53C4F">
            <w:pPr>
              <w:pStyle w:val="Tabletext"/>
              <w:rPr>
                <w:lang w:eastAsia="en-AU"/>
              </w:rPr>
            </w:pPr>
            <w:r w:rsidRPr="00D54147">
              <w:rPr>
                <w:lang w:eastAsia="en-AU"/>
              </w:rPr>
              <w:t>Fair Work Commission announced in August 2013 to increase apprentice pay rates under a number of modern awards. The new rates of pay will apply to apprenticeships commencing from 1 January 2014. The main changes to modern awards will include:</w:t>
            </w:r>
          </w:p>
          <w:p w:rsidR="00BC4B29" w:rsidRDefault="00BC4B29" w:rsidP="00C53C4F">
            <w:pPr>
              <w:pStyle w:val="Tabletext"/>
              <w:rPr>
                <w:lang w:eastAsia="en-AU"/>
              </w:rPr>
            </w:pPr>
            <w:r w:rsidRPr="00D54147">
              <w:rPr>
                <w:lang w:eastAsia="en-AU"/>
              </w:rPr>
              <w:t>Rates for apprentices will be increased.</w:t>
            </w:r>
          </w:p>
          <w:p w:rsidR="00BC4B29" w:rsidRDefault="00BC4B29" w:rsidP="00C53C4F">
            <w:pPr>
              <w:pStyle w:val="Tabletext"/>
              <w:rPr>
                <w:lang w:eastAsia="en-AU"/>
              </w:rPr>
            </w:pPr>
            <w:r w:rsidRPr="00D54147">
              <w:rPr>
                <w:lang w:eastAsia="en-AU"/>
              </w:rPr>
              <w:t>Adult apprentice rates will be introduced into a number of awards which do not currently contain them</w:t>
            </w:r>
          </w:p>
          <w:p w:rsidR="00BC4B29" w:rsidRPr="00BC4B29" w:rsidRDefault="00BC4B29" w:rsidP="00C53C4F">
            <w:pPr>
              <w:pStyle w:val="Tabletext"/>
              <w:rPr>
                <w:lang w:eastAsia="en-AU"/>
              </w:rPr>
            </w:pPr>
            <w:r w:rsidRPr="00D54147">
              <w:rPr>
                <w:lang w:eastAsia="en-AU"/>
              </w:rPr>
              <w:t>Minimum award rates for adult apprentices will be increased.</w:t>
            </w:r>
          </w:p>
          <w:p w:rsidR="00BC4B29" w:rsidRPr="00D54147" w:rsidRDefault="00BC4B29" w:rsidP="00C53C4F">
            <w:pPr>
              <w:pStyle w:val="Tabletext"/>
              <w:rPr>
                <w:lang w:eastAsia="en-AU"/>
              </w:rPr>
            </w:pPr>
          </w:p>
        </w:tc>
      </w:tr>
      <w:tr w:rsidR="00D54147" w:rsidRPr="00D54147" w:rsidTr="00C25921">
        <w:trPr>
          <w:trHeight w:val="2681"/>
        </w:trPr>
        <w:tc>
          <w:tcPr>
            <w:tcW w:w="959" w:type="dxa"/>
            <w:noWrap/>
            <w:hideMark/>
          </w:tcPr>
          <w:p w:rsidR="00D54147" w:rsidRPr="00D54147" w:rsidRDefault="00D54147" w:rsidP="00C53C4F">
            <w:pPr>
              <w:pStyle w:val="Tabletext"/>
              <w:rPr>
                <w:lang w:eastAsia="en-AU"/>
              </w:rPr>
            </w:pPr>
            <w:r w:rsidRPr="00D54147">
              <w:rPr>
                <w:lang w:eastAsia="en-AU"/>
              </w:rPr>
              <w:t>2012</w:t>
            </w:r>
          </w:p>
        </w:tc>
        <w:tc>
          <w:tcPr>
            <w:tcW w:w="8080" w:type="dxa"/>
            <w:hideMark/>
          </w:tcPr>
          <w:p w:rsidR="00BC4B29" w:rsidRDefault="00D54147" w:rsidP="00C53C4F">
            <w:pPr>
              <w:pStyle w:val="Tabletext"/>
              <w:rPr>
                <w:lang w:eastAsia="en-AU"/>
              </w:rPr>
            </w:pPr>
            <w:r w:rsidRPr="00D54147">
              <w:rPr>
                <w:lang w:eastAsia="en-AU"/>
              </w:rPr>
              <w:t>Further Commonwealth changes to incentive payments for apprenticeships and traineeships:</w:t>
            </w:r>
          </w:p>
          <w:p w:rsidR="00BC4B29" w:rsidRDefault="00BC4B29" w:rsidP="00C53C4F">
            <w:pPr>
              <w:pStyle w:val="Tabletext"/>
              <w:rPr>
                <w:lang w:eastAsia="en-AU"/>
              </w:rPr>
            </w:pPr>
            <w:r w:rsidRPr="00D54147">
              <w:rPr>
                <w:lang w:eastAsia="en-AU"/>
              </w:rPr>
              <w:t>Commencement incentives for existing worker apprenticeships and traineeships not on the National Skills Needs List (NSNL) removed from 1 July 2012.</w:t>
            </w:r>
          </w:p>
          <w:p w:rsidR="00BC4B29" w:rsidRDefault="00BC4B29" w:rsidP="00C53C4F">
            <w:pPr>
              <w:pStyle w:val="Tabletext"/>
              <w:rPr>
                <w:lang w:eastAsia="en-AU"/>
              </w:rPr>
            </w:pPr>
            <w:r w:rsidRPr="00D54147">
              <w:rPr>
                <w:lang w:eastAsia="en-AU"/>
              </w:rPr>
              <w:t>Commencement and completion incentives for diploma and advanced diploma qualifications not leading to aged care, child care or enrolled nursing removed from 23 October 2012.</w:t>
            </w:r>
          </w:p>
          <w:p w:rsidR="00BC4B29" w:rsidRPr="00BC4B29" w:rsidRDefault="00BC4B29" w:rsidP="00C53C4F">
            <w:pPr>
              <w:pStyle w:val="Tabletext"/>
              <w:rPr>
                <w:lang w:eastAsia="en-AU"/>
              </w:rPr>
            </w:pPr>
            <w:r w:rsidRPr="00BC4B29">
              <w:rPr>
                <w:lang w:eastAsia="en-AU"/>
              </w:rPr>
              <w:t>Commencement incentives for part-time apprenticeships and traineeships removed from 23 October 2012. The following cohorts unaffected: part-time, certificate III/IV qualifications on NSNL, school-based apprenticeships and traineeships, and part-time diploma and advanced diploma qualifications leading to aged care, child care or enrolled nursing.</w:t>
            </w:r>
          </w:p>
          <w:p w:rsidR="00D54147" w:rsidRDefault="00BC4B29" w:rsidP="00C53C4F">
            <w:pPr>
              <w:pStyle w:val="Tabletext"/>
              <w:rPr>
                <w:lang w:eastAsia="en-AU"/>
              </w:rPr>
            </w:pPr>
            <w:r>
              <w:rPr>
                <w:lang w:eastAsia="en-AU"/>
              </w:rPr>
              <w:br/>
            </w:r>
            <w:r w:rsidR="00D54147" w:rsidRPr="00D54147">
              <w:rPr>
                <w:lang w:eastAsia="en-AU"/>
              </w:rPr>
              <w:t>Victoria introduces new fee and funding rates effective from 1 July 2012 for a</w:t>
            </w:r>
            <w:r w:rsidR="00D75B81">
              <w:rPr>
                <w:lang w:eastAsia="en-AU"/>
              </w:rPr>
              <w:t>ll new course commencements (‘</w:t>
            </w:r>
            <w:r w:rsidR="00D54147" w:rsidRPr="00D54147">
              <w:rPr>
                <w:lang w:eastAsia="en-AU"/>
              </w:rPr>
              <w:t xml:space="preserve">Refocusing </w:t>
            </w:r>
            <w:r w:rsidR="00D75B81">
              <w:rPr>
                <w:lang w:eastAsia="en-AU"/>
              </w:rPr>
              <w:t>Vocational Training in Victoria’</w:t>
            </w:r>
            <w:r w:rsidR="00D54147" w:rsidRPr="00D54147">
              <w:rPr>
                <w:lang w:eastAsia="en-AU"/>
              </w:rPr>
              <w:t>).</w:t>
            </w:r>
          </w:p>
          <w:p w:rsidR="00BC4B29" w:rsidRPr="00D54147" w:rsidRDefault="00BC4B29" w:rsidP="00C53C4F">
            <w:pPr>
              <w:pStyle w:val="Tabletext"/>
              <w:rPr>
                <w:lang w:eastAsia="en-AU"/>
              </w:rPr>
            </w:pPr>
          </w:p>
        </w:tc>
      </w:tr>
      <w:tr w:rsidR="00D54147" w:rsidRPr="00D54147" w:rsidTr="00C25921">
        <w:trPr>
          <w:trHeight w:val="1840"/>
        </w:trPr>
        <w:tc>
          <w:tcPr>
            <w:tcW w:w="959" w:type="dxa"/>
            <w:noWrap/>
            <w:hideMark/>
          </w:tcPr>
          <w:p w:rsidR="00D54147" w:rsidRPr="00D54147" w:rsidRDefault="00D54147" w:rsidP="00C53C4F">
            <w:pPr>
              <w:pStyle w:val="Tabletext"/>
              <w:rPr>
                <w:lang w:eastAsia="en-AU"/>
              </w:rPr>
            </w:pPr>
            <w:r w:rsidRPr="00D54147">
              <w:rPr>
                <w:lang w:eastAsia="en-AU"/>
              </w:rPr>
              <w:t>2011</w:t>
            </w:r>
          </w:p>
        </w:tc>
        <w:tc>
          <w:tcPr>
            <w:tcW w:w="8080" w:type="dxa"/>
            <w:hideMark/>
          </w:tcPr>
          <w:p w:rsidR="00D54147" w:rsidRPr="00D54147" w:rsidRDefault="00D54147" w:rsidP="00C53C4F">
            <w:pPr>
              <w:pStyle w:val="Tabletext"/>
              <w:rPr>
                <w:lang w:eastAsia="en-AU"/>
              </w:rPr>
            </w:pPr>
            <w:r w:rsidRPr="00D54147">
              <w:rPr>
                <w:lang w:eastAsia="en-AU"/>
              </w:rPr>
              <w:t xml:space="preserve">Accelerated Australian Apprenticeships initiative announced with the aim of allowing apprentices and trainees to progress through training as they demonstrate required competencies, rather than on a time served basis. </w:t>
            </w:r>
            <w:r w:rsidRPr="00D54147">
              <w:rPr>
                <w:lang w:eastAsia="en-AU"/>
              </w:rPr>
              <w:br/>
            </w:r>
            <w:r w:rsidRPr="00D54147">
              <w:rPr>
                <w:lang w:eastAsia="en-AU"/>
              </w:rPr>
              <w:br/>
              <w:t xml:space="preserve">Universal access to commencement and completion incentives for certificate II apprenticeships and traineeships removed, with access to the standard commencement and the Group Training Organisations completion incentive only available to Indigenous Australians, people with a disability, the mature aged, those in rural or regional areas, and those in other equity groups. </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2009</w:t>
            </w:r>
          </w:p>
        </w:tc>
        <w:tc>
          <w:tcPr>
            <w:tcW w:w="8080" w:type="dxa"/>
            <w:noWrap/>
            <w:hideMark/>
          </w:tcPr>
          <w:p w:rsidR="00D54147" w:rsidRDefault="00D54147" w:rsidP="00C53C4F">
            <w:pPr>
              <w:pStyle w:val="Tabletext"/>
              <w:rPr>
                <w:lang w:eastAsia="en-AU"/>
              </w:rPr>
            </w:pPr>
            <w:r w:rsidRPr="00D54147">
              <w:rPr>
                <w:lang w:eastAsia="en-AU"/>
              </w:rPr>
              <w:t>Apprentice Kickstart initiative introduced December 2009 until November 2010. This initiative was designed to maintain the increase in commencements of young people in skills shortage traditional trade apprenticeships as the Australian economy recovered from the impact of the global recession.</w:t>
            </w:r>
          </w:p>
          <w:p w:rsidR="00BC4B29" w:rsidRPr="00D54147" w:rsidRDefault="00BC4B29" w:rsidP="00C53C4F">
            <w:pPr>
              <w:pStyle w:val="Tabletext"/>
              <w:rPr>
                <w:lang w:eastAsia="en-AU"/>
              </w:rPr>
            </w:pPr>
          </w:p>
        </w:tc>
      </w:tr>
      <w:tr w:rsidR="00D54147" w:rsidRPr="00D54147" w:rsidTr="00C25921">
        <w:trPr>
          <w:trHeight w:val="1693"/>
        </w:trPr>
        <w:tc>
          <w:tcPr>
            <w:tcW w:w="959" w:type="dxa"/>
            <w:noWrap/>
            <w:hideMark/>
          </w:tcPr>
          <w:p w:rsidR="00D54147" w:rsidRPr="00D54147" w:rsidRDefault="00D54147" w:rsidP="00C53C4F">
            <w:pPr>
              <w:pStyle w:val="Tabletext"/>
              <w:rPr>
                <w:lang w:eastAsia="en-AU"/>
              </w:rPr>
            </w:pPr>
            <w:r w:rsidRPr="00D54147">
              <w:rPr>
                <w:lang w:eastAsia="en-AU"/>
              </w:rPr>
              <w:t>2008</w:t>
            </w:r>
          </w:p>
        </w:tc>
        <w:tc>
          <w:tcPr>
            <w:tcW w:w="8080" w:type="dxa"/>
            <w:hideMark/>
          </w:tcPr>
          <w:p w:rsidR="00D54147" w:rsidRPr="00D54147" w:rsidRDefault="00D54147" w:rsidP="00C53C4F">
            <w:pPr>
              <w:pStyle w:val="Tabletext"/>
              <w:rPr>
                <w:lang w:eastAsia="en-AU"/>
              </w:rPr>
            </w:pPr>
            <w:r w:rsidRPr="00D54147">
              <w:rPr>
                <w:lang w:eastAsia="en-AU"/>
              </w:rPr>
              <w:t xml:space="preserve">Council of Australian Governments (COAG) initiates major reforms to increase participation in vocational education and training in Australia, particularly higher-level VET. </w:t>
            </w:r>
            <w:r w:rsidRPr="00D54147">
              <w:rPr>
                <w:lang w:eastAsia="en-AU"/>
              </w:rPr>
              <w:br/>
            </w:r>
            <w:r w:rsidRPr="00D54147">
              <w:rPr>
                <w:lang w:eastAsia="en-AU"/>
              </w:rPr>
              <w:br/>
              <w:t xml:space="preserve">Productivity Places Program (PPP) provides funding of training places to job seekers and existing workers in identified areas of skills shortages. </w:t>
            </w:r>
            <w:r w:rsidRPr="00D54147">
              <w:rPr>
                <w:lang w:eastAsia="en-AU"/>
              </w:rPr>
              <w:br/>
            </w:r>
            <w:r w:rsidRPr="00D54147">
              <w:rPr>
                <w:lang w:eastAsia="en-AU"/>
              </w:rPr>
              <w:br/>
              <w:t>State and territory government employers become ineligible to attract employer incentives.</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2007</w:t>
            </w:r>
          </w:p>
        </w:tc>
        <w:tc>
          <w:tcPr>
            <w:tcW w:w="8080" w:type="dxa"/>
            <w:noWrap/>
            <w:hideMark/>
          </w:tcPr>
          <w:p w:rsidR="00D54147" w:rsidRDefault="00D54147" w:rsidP="00C53C4F">
            <w:pPr>
              <w:pStyle w:val="Tabletext"/>
              <w:rPr>
                <w:lang w:eastAsia="en-AU"/>
              </w:rPr>
            </w:pPr>
            <w:r w:rsidRPr="00D54147">
              <w:rPr>
                <w:lang w:eastAsia="en-AU"/>
              </w:rPr>
              <w:t xml:space="preserve">Change to the management of Australian Technical Colleges announced, with colleges to be wound back into the state and territory education systems after 2009. </w:t>
            </w:r>
          </w:p>
          <w:p w:rsidR="00BC4B29" w:rsidRPr="00D54147" w:rsidRDefault="00BC4B29" w:rsidP="00C53C4F">
            <w:pPr>
              <w:pStyle w:val="Tabletext"/>
              <w:rPr>
                <w:lang w:eastAsia="en-AU"/>
              </w:rPr>
            </w:pPr>
          </w:p>
        </w:tc>
      </w:tr>
      <w:tr w:rsidR="00D54147" w:rsidRPr="00D54147" w:rsidTr="00C25921">
        <w:trPr>
          <w:trHeight w:val="1419"/>
        </w:trPr>
        <w:tc>
          <w:tcPr>
            <w:tcW w:w="959" w:type="dxa"/>
            <w:noWrap/>
            <w:hideMark/>
          </w:tcPr>
          <w:p w:rsidR="00D54147" w:rsidRPr="00D54147" w:rsidRDefault="00D54147" w:rsidP="00C53C4F">
            <w:pPr>
              <w:pStyle w:val="Tabletext"/>
              <w:rPr>
                <w:lang w:eastAsia="en-AU"/>
              </w:rPr>
            </w:pPr>
            <w:r w:rsidRPr="00D54147">
              <w:rPr>
                <w:lang w:eastAsia="en-AU"/>
              </w:rPr>
              <w:t>2006</w:t>
            </w:r>
          </w:p>
        </w:tc>
        <w:tc>
          <w:tcPr>
            <w:tcW w:w="8080" w:type="dxa"/>
            <w:hideMark/>
          </w:tcPr>
          <w:p w:rsidR="00D54147" w:rsidRPr="00D54147" w:rsidRDefault="00D54147" w:rsidP="00C53C4F">
            <w:pPr>
              <w:pStyle w:val="Tabletext"/>
              <w:rPr>
                <w:lang w:eastAsia="en-AU"/>
              </w:rPr>
            </w:pPr>
            <w:r w:rsidRPr="00D54147">
              <w:rPr>
                <w:lang w:eastAsia="en-AU"/>
              </w:rPr>
              <w:t xml:space="preserve">New Apprenticeships re-launched as Australian Apprenticeships, including Australian School-based Apprenticeships. </w:t>
            </w:r>
            <w:r w:rsidRPr="00D54147">
              <w:rPr>
                <w:lang w:eastAsia="en-AU"/>
              </w:rPr>
              <w:br/>
            </w:r>
            <w:r w:rsidRPr="00D54147">
              <w:rPr>
                <w:lang w:eastAsia="en-AU"/>
              </w:rPr>
              <w:br/>
              <w:t>Australian Technical Colleges established, catering for Years 11 and 12 students wishing to combine study for a secondary school certificate and a school-based apprenticeship in a traditional trade.</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2004</w:t>
            </w:r>
          </w:p>
        </w:tc>
        <w:tc>
          <w:tcPr>
            <w:tcW w:w="8080" w:type="dxa"/>
            <w:noWrap/>
            <w:hideMark/>
          </w:tcPr>
          <w:p w:rsidR="00D54147" w:rsidRDefault="00D54147" w:rsidP="00C53C4F">
            <w:pPr>
              <w:pStyle w:val="Tabletext"/>
              <w:rPr>
                <w:lang w:eastAsia="en-AU"/>
              </w:rPr>
            </w:pPr>
            <w:r w:rsidRPr="00D54147">
              <w:rPr>
                <w:lang w:eastAsia="en-AU"/>
              </w:rPr>
              <w:t>Announcement of the abolishment of ANTA, with its functions brought into the Department of Education, Science and Technology (DEST) from 1 July 2005.</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2003</w:t>
            </w:r>
          </w:p>
        </w:tc>
        <w:tc>
          <w:tcPr>
            <w:tcW w:w="8080" w:type="dxa"/>
            <w:noWrap/>
            <w:hideMark/>
          </w:tcPr>
          <w:p w:rsidR="00D54147" w:rsidRDefault="00D54147" w:rsidP="00C53C4F">
            <w:pPr>
              <w:pStyle w:val="Tabletext"/>
              <w:rPr>
                <w:lang w:eastAsia="en-AU"/>
              </w:rPr>
            </w:pPr>
            <w:r w:rsidRPr="00D54147">
              <w:rPr>
                <w:lang w:eastAsia="en-AU"/>
              </w:rPr>
              <w:t>Industry skills councils established to replace existing industry advisory bodies.</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2001</w:t>
            </w:r>
          </w:p>
        </w:tc>
        <w:tc>
          <w:tcPr>
            <w:tcW w:w="8080" w:type="dxa"/>
            <w:noWrap/>
            <w:hideMark/>
          </w:tcPr>
          <w:p w:rsidR="00D54147" w:rsidRDefault="00D54147" w:rsidP="00C53C4F">
            <w:pPr>
              <w:pStyle w:val="Tabletext"/>
              <w:rPr>
                <w:lang w:eastAsia="en-AU"/>
              </w:rPr>
            </w:pPr>
            <w:r w:rsidRPr="00D54147">
              <w:rPr>
                <w:lang w:eastAsia="en-AU"/>
              </w:rPr>
              <w:t>ARF arrangements reviewed and replaced by the Australian Quality Training Framework (AQTF).</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1999</w:t>
            </w:r>
          </w:p>
        </w:tc>
        <w:tc>
          <w:tcPr>
            <w:tcW w:w="8080" w:type="dxa"/>
            <w:noWrap/>
            <w:hideMark/>
          </w:tcPr>
          <w:p w:rsidR="00D54147" w:rsidRDefault="00D54147" w:rsidP="00C53C4F">
            <w:pPr>
              <w:pStyle w:val="Tabletext"/>
              <w:rPr>
                <w:lang w:eastAsia="en-AU"/>
              </w:rPr>
            </w:pPr>
            <w:r w:rsidRPr="00D54147">
              <w:rPr>
                <w:lang w:eastAsia="en-AU"/>
              </w:rPr>
              <w:t>First wave of training packages implemented.</w:t>
            </w:r>
          </w:p>
          <w:p w:rsidR="00BC4B29" w:rsidRPr="00D54147" w:rsidRDefault="00BC4B29" w:rsidP="00C53C4F">
            <w:pPr>
              <w:pStyle w:val="Tabletext"/>
              <w:rPr>
                <w:lang w:eastAsia="en-AU"/>
              </w:rPr>
            </w:pPr>
          </w:p>
        </w:tc>
      </w:tr>
      <w:tr w:rsidR="00D54147" w:rsidRPr="00D54147" w:rsidTr="00C25921">
        <w:trPr>
          <w:trHeight w:val="2030"/>
        </w:trPr>
        <w:tc>
          <w:tcPr>
            <w:tcW w:w="959" w:type="dxa"/>
            <w:noWrap/>
            <w:hideMark/>
          </w:tcPr>
          <w:p w:rsidR="00D54147" w:rsidRPr="00D54147" w:rsidRDefault="00D54147" w:rsidP="00C53C4F">
            <w:pPr>
              <w:pStyle w:val="Tabletext"/>
              <w:rPr>
                <w:lang w:eastAsia="en-AU"/>
              </w:rPr>
            </w:pPr>
            <w:r w:rsidRPr="00D54147">
              <w:rPr>
                <w:lang w:eastAsia="en-AU"/>
              </w:rPr>
              <w:t>1998</w:t>
            </w:r>
          </w:p>
        </w:tc>
        <w:tc>
          <w:tcPr>
            <w:tcW w:w="8080" w:type="dxa"/>
            <w:hideMark/>
          </w:tcPr>
          <w:p w:rsidR="00D54147" w:rsidRPr="00D54147" w:rsidRDefault="00D54147" w:rsidP="00C53C4F">
            <w:pPr>
              <w:pStyle w:val="Tabletext"/>
              <w:rPr>
                <w:lang w:eastAsia="en-AU"/>
              </w:rPr>
            </w:pPr>
            <w:r w:rsidRPr="00D54147">
              <w:rPr>
                <w:lang w:eastAsia="en-AU"/>
              </w:rPr>
              <w:t xml:space="preserve">New Apprenticeship System introduced, merging traditional (trades) apprenticeships and traineeships in other occupation areas, and articulating apprenticeship and traineeship qualifications within the AQF. </w:t>
            </w:r>
            <w:r w:rsidRPr="00D54147">
              <w:rPr>
                <w:lang w:eastAsia="en-AU"/>
              </w:rPr>
              <w:br/>
            </w:r>
            <w:r w:rsidRPr="00D54147">
              <w:rPr>
                <w:lang w:eastAsia="en-AU"/>
              </w:rPr>
              <w:br/>
              <w:t xml:space="preserve">Australian Recognition Framework (ARF) established, introducing a new set of nationally agreed registration requirements for training providers. </w:t>
            </w:r>
            <w:r w:rsidRPr="00D54147">
              <w:rPr>
                <w:lang w:eastAsia="en-AU"/>
              </w:rPr>
              <w:br/>
            </w:r>
            <w:r w:rsidRPr="00D54147">
              <w:rPr>
                <w:lang w:eastAsia="en-AU"/>
              </w:rPr>
              <w:br/>
              <w:t>User choice principles, designed among other things to open up the training market to allow private providers to access public funds, introduced.</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lastRenderedPageBreak/>
              <w:t>1996</w:t>
            </w:r>
          </w:p>
        </w:tc>
        <w:tc>
          <w:tcPr>
            <w:tcW w:w="8080" w:type="dxa"/>
            <w:noWrap/>
            <w:hideMark/>
          </w:tcPr>
          <w:p w:rsidR="00D54147" w:rsidRDefault="00D54147" w:rsidP="00C53C4F">
            <w:pPr>
              <w:pStyle w:val="Tabletext"/>
              <w:rPr>
                <w:lang w:eastAsia="en-AU"/>
              </w:rPr>
            </w:pPr>
            <w:r w:rsidRPr="00D54147">
              <w:rPr>
                <w:lang w:eastAsia="en-AU"/>
              </w:rPr>
              <w:t>Decision made to develop and introduce national training packages across a wide range of industries and occupations.</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1995</w:t>
            </w:r>
          </w:p>
        </w:tc>
        <w:tc>
          <w:tcPr>
            <w:tcW w:w="8080" w:type="dxa"/>
            <w:noWrap/>
            <w:hideMark/>
          </w:tcPr>
          <w:p w:rsidR="00D54147" w:rsidRDefault="00D54147" w:rsidP="00C53C4F">
            <w:pPr>
              <w:pStyle w:val="Tabletext"/>
              <w:rPr>
                <w:lang w:eastAsia="en-AU"/>
              </w:rPr>
            </w:pPr>
            <w:r w:rsidRPr="00D54147">
              <w:rPr>
                <w:lang w:eastAsia="en-AU"/>
              </w:rPr>
              <w:t>Australian Qualifications Framework (AQF) established to bring all post-compulsory education and training qualifications into the one national system of qualifications.</w:t>
            </w:r>
          </w:p>
          <w:p w:rsidR="00BC4B29" w:rsidRPr="00D54147" w:rsidRDefault="00BC4B29" w:rsidP="00C53C4F">
            <w:pPr>
              <w:pStyle w:val="Tabletext"/>
              <w:rPr>
                <w:lang w:eastAsia="en-AU"/>
              </w:rPr>
            </w:pPr>
          </w:p>
        </w:tc>
      </w:tr>
      <w:tr w:rsidR="00D54147" w:rsidRPr="00D54147" w:rsidTr="00C25921">
        <w:trPr>
          <w:trHeight w:val="2270"/>
        </w:trPr>
        <w:tc>
          <w:tcPr>
            <w:tcW w:w="959" w:type="dxa"/>
            <w:noWrap/>
            <w:hideMark/>
          </w:tcPr>
          <w:p w:rsidR="00D54147" w:rsidRPr="00D54147" w:rsidRDefault="00D54147" w:rsidP="00C53C4F">
            <w:pPr>
              <w:pStyle w:val="Tabletext"/>
              <w:rPr>
                <w:lang w:eastAsia="en-AU"/>
              </w:rPr>
            </w:pPr>
            <w:r w:rsidRPr="00D54147">
              <w:rPr>
                <w:lang w:eastAsia="en-AU"/>
              </w:rPr>
              <w:t>1994</w:t>
            </w:r>
          </w:p>
        </w:tc>
        <w:tc>
          <w:tcPr>
            <w:tcW w:w="8080" w:type="dxa"/>
            <w:hideMark/>
          </w:tcPr>
          <w:p w:rsidR="00D54147" w:rsidRPr="00D54147" w:rsidRDefault="00D54147" w:rsidP="00C53C4F">
            <w:pPr>
              <w:pStyle w:val="Tabletext"/>
              <w:rPr>
                <w:lang w:eastAsia="en-AU"/>
              </w:rPr>
            </w:pPr>
            <w:r w:rsidRPr="00D54147">
              <w:rPr>
                <w:lang w:eastAsia="en-AU"/>
              </w:rPr>
              <w:t xml:space="preserve">Australian Vocational Education and Training Management Information Statistical Standard (AVETMISS) introduced to provide a nationally consistent standard for the collection and analysis of VET information. </w:t>
            </w:r>
            <w:r w:rsidRPr="00D54147">
              <w:rPr>
                <w:lang w:eastAsia="en-AU"/>
              </w:rPr>
              <w:br/>
            </w:r>
            <w:r w:rsidRPr="00D54147">
              <w:rPr>
                <w:lang w:eastAsia="en-AU"/>
              </w:rPr>
              <w:br/>
              <w:t xml:space="preserve">National Employment and Training Taskforce (NETTFORCE) established to encourage employer take-up of traineeships. NETTFORCE resulted in the extension of traineeships beyond basic certificate levels to higher certificate and diploma levels and the introduction of the National Training Wage (NTW). </w:t>
            </w:r>
            <w:r w:rsidRPr="00D54147">
              <w:rPr>
                <w:lang w:eastAsia="en-AU"/>
              </w:rPr>
              <w:br/>
            </w:r>
            <w:r w:rsidRPr="00D54147">
              <w:rPr>
                <w:lang w:eastAsia="en-AU"/>
              </w:rPr>
              <w:br/>
              <w:t>Remaining age restrictions to traineeships removed.</w:t>
            </w:r>
          </w:p>
        </w:tc>
      </w:tr>
      <w:tr w:rsidR="00D54147" w:rsidRPr="00D54147" w:rsidTr="00C25921">
        <w:trPr>
          <w:trHeight w:val="1834"/>
        </w:trPr>
        <w:tc>
          <w:tcPr>
            <w:tcW w:w="959" w:type="dxa"/>
            <w:noWrap/>
            <w:hideMark/>
          </w:tcPr>
          <w:p w:rsidR="00D54147" w:rsidRPr="00D54147" w:rsidRDefault="00D54147" w:rsidP="00C53C4F">
            <w:pPr>
              <w:pStyle w:val="Tabletext"/>
              <w:rPr>
                <w:lang w:eastAsia="en-AU"/>
              </w:rPr>
            </w:pPr>
            <w:r w:rsidRPr="00D54147">
              <w:rPr>
                <w:lang w:eastAsia="en-AU"/>
              </w:rPr>
              <w:t>1992</w:t>
            </w:r>
          </w:p>
        </w:tc>
        <w:tc>
          <w:tcPr>
            <w:tcW w:w="8080" w:type="dxa"/>
            <w:hideMark/>
          </w:tcPr>
          <w:p w:rsidR="00D54147" w:rsidRPr="00D54147" w:rsidRDefault="00D54147" w:rsidP="00C53C4F">
            <w:pPr>
              <w:pStyle w:val="Tabletext"/>
              <w:rPr>
                <w:lang w:eastAsia="en-AU"/>
              </w:rPr>
            </w:pPr>
            <w:r w:rsidRPr="00D54147">
              <w:rPr>
                <w:lang w:eastAsia="en-AU"/>
              </w:rPr>
              <w:t xml:space="preserve">Australian National Training Authority (ANTA) Act establishes an independent statutory body charged with formulating, developing and implementing vocational education and training policy.  </w:t>
            </w:r>
            <w:r w:rsidRPr="00D54147">
              <w:rPr>
                <w:lang w:eastAsia="en-AU"/>
              </w:rPr>
              <w:br/>
            </w:r>
            <w:r w:rsidRPr="00D54147">
              <w:rPr>
                <w:lang w:eastAsia="en-AU"/>
              </w:rPr>
              <w:br/>
              <w:t xml:space="preserve">'One Nation Economic Statement' measures introduced to address the decline in apprenticeship and traineeship commencements. </w:t>
            </w:r>
            <w:r w:rsidRPr="00D54147">
              <w:rPr>
                <w:lang w:eastAsia="en-AU"/>
              </w:rPr>
              <w:br/>
            </w:r>
            <w:r w:rsidRPr="00D54147">
              <w:rPr>
                <w:lang w:eastAsia="en-AU"/>
              </w:rPr>
              <w:br/>
              <w:t>Age restrictions removed from apprenticeships, providing new pathways for adults and career changers.</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1991</w:t>
            </w:r>
          </w:p>
        </w:tc>
        <w:tc>
          <w:tcPr>
            <w:tcW w:w="8080" w:type="dxa"/>
            <w:noWrap/>
            <w:hideMark/>
          </w:tcPr>
          <w:p w:rsidR="00D54147" w:rsidRDefault="00D54147" w:rsidP="00C53C4F">
            <w:pPr>
              <w:pStyle w:val="Tabletext"/>
              <w:rPr>
                <w:lang w:eastAsia="en-AU"/>
              </w:rPr>
            </w:pPr>
            <w:r w:rsidRPr="00D54147">
              <w:rPr>
                <w:lang w:eastAsia="en-AU"/>
              </w:rPr>
              <w:t xml:space="preserve">Pre-vocational Places Program introduced to provide preliminary skills prior to training in apprenticeships or traineeships. </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1988</w:t>
            </w:r>
          </w:p>
        </w:tc>
        <w:tc>
          <w:tcPr>
            <w:tcW w:w="8080" w:type="dxa"/>
            <w:noWrap/>
            <w:hideMark/>
          </w:tcPr>
          <w:p w:rsidR="00D54147" w:rsidRDefault="00D54147" w:rsidP="00C53C4F">
            <w:pPr>
              <w:pStyle w:val="Tabletext"/>
              <w:rPr>
                <w:lang w:eastAsia="en-AU"/>
              </w:rPr>
            </w:pPr>
            <w:r w:rsidRPr="00D54147">
              <w:rPr>
                <w:lang w:eastAsia="en-AU"/>
              </w:rPr>
              <w:t xml:space="preserve">The </w:t>
            </w:r>
            <w:proofErr w:type="spellStart"/>
            <w:r w:rsidRPr="00D54147">
              <w:rPr>
                <w:lang w:eastAsia="en-AU"/>
              </w:rPr>
              <w:t>Dusseldorp</w:t>
            </w:r>
            <w:proofErr w:type="spellEnd"/>
            <w:r w:rsidRPr="00D54147">
              <w:rPr>
                <w:lang w:eastAsia="en-AU"/>
              </w:rPr>
              <w:t xml:space="preserve"> Skills Forum (DSF) established to address school-to-work transitions of young people.</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1987</w:t>
            </w:r>
          </w:p>
        </w:tc>
        <w:tc>
          <w:tcPr>
            <w:tcW w:w="8080" w:type="dxa"/>
            <w:noWrap/>
            <w:hideMark/>
          </w:tcPr>
          <w:p w:rsidR="00D54147" w:rsidRDefault="00D54147" w:rsidP="00C53C4F">
            <w:pPr>
              <w:pStyle w:val="Tabletext"/>
              <w:rPr>
                <w:lang w:eastAsia="en-AU"/>
              </w:rPr>
            </w:pPr>
            <w:r w:rsidRPr="00D54147">
              <w:rPr>
                <w:lang w:eastAsia="en-AU"/>
              </w:rPr>
              <w:t>Skills for Australia policy introduced, focusing on improving training quality and youth employment opportunities.</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1985</w:t>
            </w:r>
          </w:p>
        </w:tc>
        <w:tc>
          <w:tcPr>
            <w:tcW w:w="8080" w:type="dxa"/>
            <w:noWrap/>
            <w:hideMark/>
          </w:tcPr>
          <w:p w:rsidR="00D54147" w:rsidRDefault="00D54147" w:rsidP="00C53C4F">
            <w:pPr>
              <w:pStyle w:val="Tabletext"/>
              <w:rPr>
                <w:lang w:eastAsia="en-AU"/>
              </w:rPr>
            </w:pPr>
            <w:r w:rsidRPr="00D54147">
              <w:rPr>
                <w:lang w:eastAsia="en-AU"/>
              </w:rPr>
              <w:t>Australian Traineeship System (ATS) established.</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1984</w:t>
            </w:r>
          </w:p>
        </w:tc>
        <w:tc>
          <w:tcPr>
            <w:tcW w:w="8080" w:type="dxa"/>
            <w:noWrap/>
            <w:hideMark/>
          </w:tcPr>
          <w:p w:rsidR="00D54147" w:rsidRDefault="00D54147" w:rsidP="00C53C4F">
            <w:pPr>
              <w:pStyle w:val="Tabletext"/>
              <w:rPr>
                <w:lang w:eastAsia="en-AU"/>
              </w:rPr>
            </w:pPr>
            <w:r w:rsidRPr="00D54147">
              <w:rPr>
                <w:lang w:eastAsia="en-AU"/>
              </w:rPr>
              <w:t>Committee of Inquiry into Labour Market Programs, chaired by Peter Kirby, held to address education and employment issues. The Kirby Inquiry resulted in the establishment of youth traineeships and other forms of work-based training.</w:t>
            </w:r>
          </w:p>
          <w:p w:rsidR="00BC4B29" w:rsidRPr="00D54147" w:rsidRDefault="00BC4B29" w:rsidP="00C53C4F">
            <w:pPr>
              <w:pStyle w:val="Tabletext"/>
              <w:rPr>
                <w:lang w:eastAsia="en-AU"/>
              </w:rPr>
            </w:pPr>
          </w:p>
        </w:tc>
      </w:tr>
      <w:tr w:rsidR="00D54147" w:rsidRPr="00D54147" w:rsidTr="00C25921">
        <w:trPr>
          <w:trHeight w:val="1042"/>
        </w:trPr>
        <w:tc>
          <w:tcPr>
            <w:tcW w:w="959" w:type="dxa"/>
            <w:noWrap/>
            <w:hideMark/>
          </w:tcPr>
          <w:p w:rsidR="00D54147" w:rsidRPr="00D54147" w:rsidRDefault="00D54147" w:rsidP="00C53C4F">
            <w:pPr>
              <w:pStyle w:val="Tabletext"/>
              <w:rPr>
                <w:lang w:eastAsia="en-AU"/>
              </w:rPr>
            </w:pPr>
            <w:r w:rsidRPr="00D54147">
              <w:rPr>
                <w:lang w:eastAsia="en-AU"/>
              </w:rPr>
              <w:t>1977</w:t>
            </w:r>
          </w:p>
        </w:tc>
        <w:tc>
          <w:tcPr>
            <w:tcW w:w="8080" w:type="dxa"/>
            <w:hideMark/>
          </w:tcPr>
          <w:p w:rsidR="00D54147" w:rsidRPr="00D54147" w:rsidRDefault="00D54147" w:rsidP="00C53C4F">
            <w:pPr>
              <w:pStyle w:val="Tabletext"/>
              <w:rPr>
                <w:lang w:eastAsia="en-AU"/>
              </w:rPr>
            </w:pPr>
            <w:r w:rsidRPr="00D54147">
              <w:rPr>
                <w:lang w:eastAsia="en-AU"/>
              </w:rPr>
              <w:t xml:space="preserve">Commonwealth/State Training Advisory Committee (COSTAC) established to develop a national approach to apprenticeships, replacing the AAAC established in 1957. </w:t>
            </w:r>
            <w:r w:rsidRPr="00D54147">
              <w:rPr>
                <w:lang w:eastAsia="en-AU"/>
              </w:rPr>
              <w:br/>
            </w:r>
            <w:r w:rsidRPr="00D54147">
              <w:rPr>
                <w:lang w:eastAsia="en-AU"/>
              </w:rPr>
              <w:br/>
              <w:t>Commonwealth Rebate for Apprentice Full-time Training (CRAFT) introduced.</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1973</w:t>
            </w:r>
          </w:p>
        </w:tc>
        <w:tc>
          <w:tcPr>
            <w:tcW w:w="8080" w:type="dxa"/>
            <w:noWrap/>
            <w:hideMark/>
          </w:tcPr>
          <w:p w:rsidR="00D54147" w:rsidRDefault="00D54147" w:rsidP="00C53C4F">
            <w:pPr>
              <w:pStyle w:val="Tabletext"/>
              <w:rPr>
                <w:lang w:eastAsia="en-AU"/>
              </w:rPr>
            </w:pPr>
            <w:r w:rsidRPr="00D54147">
              <w:rPr>
                <w:lang w:eastAsia="en-AU"/>
              </w:rPr>
              <w:t>Employer subsidies extended under the National Apprentice Assistance Scheme (NAAS).</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1962</w:t>
            </w:r>
          </w:p>
        </w:tc>
        <w:tc>
          <w:tcPr>
            <w:tcW w:w="8080" w:type="dxa"/>
            <w:noWrap/>
            <w:hideMark/>
          </w:tcPr>
          <w:p w:rsidR="00D54147" w:rsidRDefault="00D54147" w:rsidP="00C53C4F">
            <w:pPr>
              <w:pStyle w:val="Tabletext"/>
              <w:rPr>
                <w:lang w:eastAsia="en-AU"/>
              </w:rPr>
            </w:pPr>
            <w:r w:rsidRPr="00D54147">
              <w:rPr>
                <w:lang w:eastAsia="en-AU"/>
              </w:rPr>
              <w:t xml:space="preserve">Country Apprenticeship Scheme (CAS) </w:t>
            </w:r>
            <w:proofErr w:type="gramStart"/>
            <w:r w:rsidRPr="00D54147">
              <w:rPr>
                <w:lang w:eastAsia="en-AU"/>
              </w:rPr>
              <w:t>established,</w:t>
            </w:r>
            <w:proofErr w:type="gramEnd"/>
            <w:r w:rsidRPr="00D54147">
              <w:rPr>
                <w:lang w:eastAsia="en-AU"/>
              </w:rPr>
              <w:t xml:space="preserve"> the first national scheme for financial support of apprenticeships.</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1957</w:t>
            </w:r>
          </w:p>
        </w:tc>
        <w:tc>
          <w:tcPr>
            <w:tcW w:w="8080" w:type="dxa"/>
            <w:noWrap/>
            <w:hideMark/>
          </w:tcPr>
          <w:p w:rsidR="00D54147" w:rsidRDefault="00D54147" w:rsidP="00C53C4F">
            <w:pPr>
              <w:pStyle w:val="Tabletext"/>
              <w:rPr>
                <w:lang w:eastAsia="en-AU"/>
              </w:rPr>
            </w:pPr>
            <w:r w:rsidRPr="00D54147">
              <w:rPr>
                <w:lang w:eastAsia="en-AU"/>
              </w:rPr>
              <w:t>Australian Apprenticeship Advisory Committee (AAAC) established.</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1952</w:t>
            </w:r>
          </w:p>
        </w:tc>
        <w:tc>
          <w:tcPr>
            <w:tcW w:w="8080" w:type="dxa"/>
            <w:noWrap/>
            <w:hideMark/>
          </w:tcPr>
          <w:p w:rsidR="00D54147" w:rsidRDefault="00D54147" w:rsidP="00C53C4F">
            <w:pPr>
              <w:pStyle w:val="Tabletext"/>
              <w:rPr>
                <w:lang w:eastAsia="en-AU"/>
              </w:rPr>
            </w:pPr>
            <w:r w:rsidRPr="00D54147">
              <w:rPr>
                <w:lang w:eastAsia="en-AU"/>
              </w:rPr>
              <w:t>National inquiry into apprenticeships held by Justice Wright. Following the inquiry, the standard duration of apprenticeships was reduced to four years and more flexible training arrangements were established.</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1946</w:t>
            </w:r>
          </w:p>
        </w:tc>
        <w:tc>
          <w:tcPr>
            <w:tcW w:w="8080" w:type="dxa"/>
            <w:noWrap/>
            <w:hideMark/>
          </w:tcPr>
          <w:p w:rsidR="00D54147" w:rsidRPr="00D54147" w:rsidRDefault="00D54147" w:rsidP="00C53C4F">
            <w:pPr>
              <w:pStyle w:val="Tabletext"/>
              <w:rPr>
                <w:lang w:eastAsia="en-AU"/>
              </w:rPr>
            </w:pPr>
            <w:r w:rsidRPr="00D54147">
              <w:rPr>
                <w:lang w:eastAsia="en-AU"/>
              </w:rPr>
              <w:t>Tradesman's Rights Regulation passed to protect the rights of pre-war tradesmen returned from service in the Second World War from 'dilutees' and unqualified migrants arriving in Australia.</w:t>
            </w: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1944</w:t>
            </w:r>
          </w:p>
        </w:tc>
        <w:tc>
          <w:tcPr>
            <w:tcW w:w="8080" w:type="dxa"/>
            <w:noWrap/>
            <w:hideMark/>
          </w:tcPr>
          <w:p w:rsidR="00D54147" w:rsidRDefault="00D54147" w:rsidP="00C53C4F">
            <w:pPr>
              <w:pStyle w:val="Tabletext"/>
              <w:rPr>
                <w:lang w:eastAsia="en-AU"/>
              </w:rPr>
            </w:pPr>
            <w:r w:rsidRPr="00D54147">
              <w:rPr>
                <w:lang w:eastAsia="en-AU"/>
              </w:rPr>
              <w:t xml:space="preserve">Commonwealth Reconstruction and Training Scheme (CRTS) established to quickly retrain returning service personnel. </w:t>
            </w:r>
          </w:p>
          <w:p w:rsidR="00BC4B29" w:rsidRPr="00D54147" w:rsidRDefault="00BC4B29" w:rsidP="00C53C4F">
            <w:pPr>
              <w:pStyle w:val="Tabletext"/>
              <w:rPr>
                <w:lang w:eastAsia="en-AU"/>
              </w:rPr>
            </w:pPr>
          </w:p>
        </w:tc>
      </w:tr>
      <w:tr w:rsidR="00D54147" w:rsidRPr="00D54147" w:rsidTr="00C25921">
        <w:trPr>
          <w:trHeight w:val="300"/>
        </w:trPr>
        <w:tc>
          <w:tcPr>
            <w:tcW w:w="959" w:type="dxa"/>
            <w:noWrap/>
            <w:hideMark/>
          </w:tcPr>
          <w:p w:rsidR="00D54147" w:rsidRPr="00D54147" w:rsidRDefault="00D54147" w:rsidP="00C53C4F">
            <w:pPr>
              <w:pStyle w:val="Tabletext"/>
              <w:rPr>
                <w:lang w:eastAsia="en-AU"/>
              </w:rPr>
            </w:pPr>
            <w:r w:rsidRPr="00D54147">
              <w:rPr>
                <w:lang w:eastAsia="en-AU"/>
              </w:rPr>
              <w:t>1939</w:t>
            </w:r>
          </w:p>
        </w:tc>
        <w:tc>
          <w:tcPr>
            <w:tcW w:w="8080" w:type="dxa"/>
            <w:noWrap/>
            <w:hideMark/>
          </w:tcPr>
          <w:p w:rsidR="00D54147" w:rsidRDefault="00D54147" w:rsidP="00C53C4F">
            <w:pPr>
              <w:pStyle w:val="Tabletext"/>
              <w:rPr>
                <w:lang w:eastAsia="en-AU"/>
              </w:rPr>
            </w:pPr>
            <w:r w:rsidRPr="00D54147">
              <w:rPr>
                <w:lang w:eastAsia="en-AU"/>
              </w:rPr>
              <w:t>Dilutees' introduced to industry during the Second World War to make up for the loss of skilled tradesmen serving in the armed services; 'dilutees' had limited or no previous technical experience and most were women.</w:t>
            </w:r>
          </w:p>
          <w:p w:rsidR="00BC4B29" w:rsidRPr="00D54147" w:rsidRDefault="00BC4B29" w:rsidP="00C53C4F">
            <w:pPr>
              <w:pStyle w:val="Tabletext"/>
              <w:rPr>
                <w:lang w:eastAsia="en-AU"/>
              </w:rPr>
            </w:pPr>
          </w:p>
        </w:tc>
      </w:tr>
      <w:tr w:rsidR="00D54147" w:rsidRPr="00D54147" w:rsidTr="00C25921">
        <w:trPr>
          <w:trHeight w:val="300"/>
        </w:trPr>
        <w:tc>
          <w:tcPr>
            <w:tcW w:w="959" w:type="dxa"/>
            <w:tcBorders>
              <w:bottom w:val="single" w:sz="4" w:space="0" w:color="auto"/>
            </w:tcBorders>
            <w:noWrap/>
            <w:hideMark/>
          </w:tcPr>
          <w:p w:rsidR="00D54147" w:rsidRPr="00D54147" w:rsidRDefault="00D54147" w:rsidP="00C53C4F">
            <w:pPr>
              <w:pStyle w:val="Tabletext"/>
              <w:rPr>
                <w:lang w:eastAsia="en-AU"/>
              </w:rPr>
            </w:pPr>
            <w:r w:rsidRPr="00D54147">
              <w:rPr>
                <w:lang w:eastAsia="en-AU"/>
              </w:rPr>
              <w:t>1901</w:t>
            </w:r>
          </w:p>
        </w:tc>
        <w:tc>
          <w:tcPr>
            <w:tcW w:w="8080" w:type="dxa"/>
            <w:tcBorders>
              <w:bottom w:val="single" w:sz="4" w:space="0" w:color="auto"/>
            </w:tcBorders>
            <w:noWrap/>
            <w:hideMark/>
          </w:tcPr>
          <w:p w:rsidR="00D54147" w:rsidRPr="00D54147" w:rsidRDefault="00D54147" w:rsidP="00C53C4F">
            <w:pPr>
              <w:pStyle w:val="Tabletext"/>
              <w:rPr>
                <w:lang w:eastAsia="en-AU"/>
              </w:rPr>
            </w:pPr>
            <w:r w:rsidRPr="00D54147">
              <w:rPr>
                <w:lang w:eastAsia="en-AU"/>
              </w:rPr>
              <w:t>NSW Apprentices Act 1901 enacted, setting new regulatory arrangements later followed in the other states of the newly created Australian federation; the new regulatory arrangements included raising the minimum age for apprentices from 12 to 14 years, introducing the model form of indenture, and setting the maximum term of apprenticeships to seven years.</w:t>
            </w:r>
          </w:p>
        </w:tc>
      </w:tr>
    </w:tbl>
    <w:p w:rsidR="002238EE" w:rsidRDefault="002238EE">
      <w:pPr>
        <w:rPr>
          <w:rFonts w:ascii="inherit" w:hAnsi="inherit" w:cs="Arial"/>
          <w:b/>
          <w:bCs/>
          <w:color w:val="2A2A2A"/>
          <w:sz w:val="42"/>
          <w:szCs w:val="42"/>
          <w:bdr w:val="none" w:sz="0" w:space="0" w:color="auto" w:frame="1"/>
          <w:shd w:val="clear" w:color="auto" w:fill="FFFFFF"/>
        </w:rPr>
      </w:pPr>
    </w:p>
    <w:p w:rsidR="001D03DB" w:rsidRDefault="001D03DB">
      <w:pPr>
        <w:rPr>
          <w:rFonts w:ascii="Arial" w:hAnsi="Arial" w:cs="Arial"/>
          <w:b/>
          <w:sz w:val="24"/>
          <w:szCs w:val="24"/>
        </w:rPr>
      </w:pPr>
      <w:r>
        <w:rPr>
          <w:rFonts w:ascii="Arial" w:hAnsi="Arial" w:cs="Arial"/>
          <w:b/>
          <w:sz w:val="24"/>
          <w:szCs w:val="24"/>
        </w:rPr>
        <w:lastRenderedPageBreak/>
        <w:t>Data notes</w:t>
      </w:r>
    </w:p>
    <w:p w:rsidR="001D03DB" w:rsidRDefault="001D03DB" w:rsidP="001D03DB">
      <w:pPr>
        <w:rPr>
          <w:rFonts w:ascii="Arial" w:eastAsia="Times New Roman" w:hAnsi="Arial" w:cs="Arial"/>
          <w:b/>
          <w:bCs/>
          <w:color w:val="000000"/>
          <w:sz w:val="18"/>
          <w:szCs w:val="18"/>
          <w:lang w:eastAsia="en-AU"/>
        </w:rPr>
      </w:pPr>
      <w:r w:rsidRPr="001D03DB">
        <w:rPr>
          <w:rFonts w:ascii="Arial" w:eastAsia="Times New Roman" w:hAnsi="Arial" w:cs="Arial"/>
          <w:b/>
          <w:bCs/>
          <w:color w:val="000000"/>
          <w:sz w:val="18"/>
          <w:szCs w:val="18"/>
          <w:lang w:eastAsia="en-AU"/>
        </w:rPr>
        <w:t>Definitions</w:t>
      </w:r>
    </w:p>
    <w:p w:rsidR="001D03DB" w:rsidRPr="001447FA" w:rsidRDefault="001D03DB" w:rsidP="001D03DB">
      <w:pPr>
        <w:rPr>
          <w:rFonts w:ascii="Trebuchet MS" w:eastAsia="Times New Roman" w:hAnsi="Trebuchet MS" w:cs="Arial"/>
          <w:color w:val="000000"/>
          <w:sz w:val="18"/>
          <w:szCs w:val="18"/>
          <w:lang w:eastAsia="en-AU"/>
        </w:rPr>
      </w:pPr>
      <w:r w:rsidRPr="001447FA">
        <w:rPr>
          <w:rFonts w:ascii="Trebuchet MS" w:eastAsia="Times New Roman" w:hAnsi="Trebuchet MS" w:cs="Arial"/>
          <w:color w:val="000000"/>
          <w:sz w:val="18"/>
          <w:szCs w:val="18"/>
          <w:lang w:eastAsia="en-AU"/>
        </w:rPr>
        <w:t>The classification of trade and non-trade apprentices and trainees are derived from the Australian and New Zealand Standard Classification of Occupations (ANZSCO). In particular, trades apprentices and trainees are coded as the major occupational grouping of ‘Technicians and trades workers’, while non-trade apprentices and trainees are coded according to the other seven major occupational groupings.</w:t>
      </w:r>
    </w:p>
    <w:p w:rsidR="001D03DB" w:rsidRPr="001D03DB" w:rsidRDefault="001D03DB" w:rsidP="001D03DB">
      <w:pPr>
        <w:rPr>
          <w:rFonts w:ascii="Arial" w:eastAsia="Times New Roman" w:hAnsi="Arial" w:cs="Arial"/>
          <w:color w:val="000000"/>
          <w:sz w:val="18"/>
          <w:szCs w:val="18"/>
          <w:lang w:eastAsia="en-AU"/>
        </w:rPr>
      </w:pPr>
      <w:r w:rsidRPr="001D03DB">
        <w:rPr>
          <w:rFonts w:ascii="Arial" w:eastAsia="Times New Roman" w:hAnsi="Arial" w:cs="Arial"/>
          <w:b/>
          <w:bCs/>
          <w:color w:val="000000"/>
          <w:sz w:val="18"/>
          <w:szCs w:val="18"/>
          <w:lang w:eastAsia="en-AU"/>
        </w:rPr>
        <w:t>Student Outcomes Survey</w:t>
      </w:r>
    </w:p>
    <w:p w:rsidR="001D03DB" w:rsidRPr="001447FA" w:rsidRDefault="001D03DB" w:rsidP="001D03DB">
      <w:pPr>
        <w:rPr>
          <w:rFonts w:ascii="Trebuchet MS" w:eastAsia="Times New Roman" w:hAnsi="Trebuchet MS" w:cs="Arial"/>
          <w:color w:val="000000"/>
          <w:sz w:val="18"/>
          <w:szCs w:val="18"/>
          <w:lang w:eastAsia="en-AU"/>
        </w:rPr>
      </w:pPr>
      <w:r w:rsidRPr="001447FA">
        <w:rPr>
          <w:rFonts w:ascii="Trebuchet MS" w:eastAsia="Times New Roman" w:hAnsi="Trebuchet MS" w:cs="Arial"/>
          <w:color w:val="000000"/>
          <w:sz w:val="18"/>
          <w:szCs w:val="18"/>
          <w:lang w:eastAsia="en-AU"/>
        </w:rPr>
        <w:t>Data derived from NCVER’s Student Outcomes Survey (SOS) is presented for graduates only (that is, those who completed their training), unless otherwise specified. Confidence intervals are shown for all cohorts derived from the Students Outcomes Survey.</w:t>
      </w:r>
    </w:p>
    <w:p w:rsidR="001D03DB" w:rsidRPr="001D03DB" w:rsidRDefault="001D03DB" w:rsidP="001D03DB">
      <w:pPr>
        <w:rPr>
          <w:rFonts w:ascii="Arial" w:eastAsia="Times New Roman" w:hAnsi="Arial" w:cs="Arial"/>
          <w:color w:val="000000"/>
          <w:sz w:val="18"/>
          <w:szCs w:val="18"/>
          <w:lang w:eastAsia="en-AU"/>
        </w:rPr>
      </w:pPr>
      <w:r w:rsidRPr="001D03DB">
        <w:rPr>
          <w:rFonts w:ascii="Arial" w:eastAsia="Times New Roman" w:hAnsi="Arial" w:cs="Arial"/>
          <w:b/>
          <w:bCs/>
          <w:color w:val="000000"/>
          <w:sz w:val="18"/>
          <w:szCs w:val="18"/>
          <w:lang w:eastAsia="en-AU"/>
        </w:rPr>
        <w:t>Confidence intervals</w:t>
      </w:r>
    </w:p>
    <w:p w:rsidR="001D03DB" w:rsidRPr="001D03DB" w:rsidRDefault="001D03DB" w:rsidP="001D03DB">
      <w:pPr>
        <w:rPr>
          <w:rFonts w:ascii="Arial" w:eastAsia="Times New Roman" w:hAnsi="Arial" w:cs="Arial"/>
          <w:color w:val="000000"/>
          <w:sz w:val="18"/>
          <w:szCs w:val="18"/>
          <w:lang w:eastAsia="en-AU"/>
        </w:rPr>
      </w:pPr>
      <w:r w:rsidRPr="001447FA">
        <w:rPr>
          <w:rFonts w:ascii="Trebuchet MS" w:eastAsia="Times New Roman" w:hAnsi="Trebuchet MS" w:cs="Arial"/>
          <w:color w:val="000000"/>
          <w:sz w:val="18"/>
          <w:szCs w:val="18"/>
          <w:lang w:eastAsia="en-AU"/>
        </w:rPr>
        <w:t xml:space="preserve">Confidence intervals allow data users to determine the amount of certainty (or error) in a reported measure when comparing groups. For 95% confidence intervals on any of the above </w:t>
      </w:r>
      <w:proofErr w:type="gramStart"/>
      <w:r w:rsidRPr="001447FA">
        <w:rPr>
          <w:rFonts w:ascii="Trebuchet MS" w:eastAsia="Times New Roman" w:hAnsi="Trebuchet MS" w:cs="Arial"/>
          <w:color w:val="000000"/>
          <w:sz w:val="18"/>
          <w:szCs w:val="18"/>
          <w:lang w:eastAsia="en-AU"/>
        </w:rPr>
        <w:t>data,</w:t>
      </w:r>
      <w:proofErr w:type="gramEnd"/>
      <w:r w:rsidRPr="001447FA">
        <w:rPr>
          <w:rFonts w:ascii="Trebuchet MS" w:eastAsia="Times New Roman" w:hAnsi="Trebuchet MS" w:cs="Arial"/>
          <w:color w:val="000000"/>
          <w:sz w:val="18"/>
          <w:szCs w:val="18"/>
          <w:lang w:eastAsia="en-AU"/>
        </w:rPr>
        <w:t xml:space="preserve"> please refer to NCVER’s Student Outcomes Survey</w:t>
      </w:r>
      <w:r w:rsidR="001447FA">
        <w:rPr>
          <w:rFonts w:ascii="Trebuchet MS" w:eastAsia="Times New Roman" w:hAnsi="Trebuchet MS" w:cs="Arial"/>
          <w:color w:val="000000"/>
          <w:sz w:val="18"/>
          <w:szCs w:val="18"/>
          <w:lang w:eastAsia="en-AU"/>
        </w:rPr>
        <w:t>.</w:t>
      </w:r>
      <w:r w:rsidRPr="001447FA">
        <w:rPr>
          <w:rFonts w:ascii="Trebuchet MS" w:eastAsia="Times New Roman" w:hAnsi="Trebuchet MS" w:cs="Arial"/>
          <w:color w:val="000000"/>
          <w:sz w:val="18"/>
          <w:szCs w:val="18"/>
          <w:lang w:eastAsia="en-AU"/>
        </w:rPr>
        <w:t> </w:t>
      </w:r>
    </w:p>
    <w:p w:rsidR="001D03DB" w:rsidRPr="001D03DB" w:rsidRDefault="001D03DB" w:rsidP="001D03DB">
      <w:pPr>
        <w:rPr>
          <w:rFonts w:ascii="Arial" w:eastAsia="Times New Roman" w:hAnsi="Arial" w:cs="Arial"/>
          <w:color w:val="000000"/>
          <w:sz w:val="18"/>
          <w:szCs w:val="18"/>
          <w:lang w:eastAsia="en-AU"/>
        </w:rPr>
      </w:pPr>
      <w:r w:rsidRPr="001D03DB">
        <w:rPr>
          <w:rFonts w:ascii="Arial" w:eastAsia="Times New Roman" w:hAnsi="Arial" w:cs="Arial"/>
          <w:b/>
          <w:bCs/>
          <w:color w:val="000000"/>
          <w:sz w:val="18"/>
          <w:szCs w:val="18"/>
          <w:lang w:eastAsia="en-AU"/>
        </w:rPr>
        <w:t>Data availability and time trends</w:t>
      </w:r>
    </w:p>
    <w:p w:rsidR="001D03DB" w:rsidRPr="001D03DB" w:rsidRDefault="001D03DB" w:rsidP="001D03DB">
      <w:pPr>
        <w:rPr>
          <w:rFonts w:ascii="Arial" w:eastAsia="Times New Roman" w:hAnsi="Arial" w:cs="Arial"/>
          <w:color w:val="000000"/>
          <w:sz w:val="18"/>
          <w:szCs w:val="18"/>
          <w:lang w:eastAsia="en-AU"/>
        </w:rPr>
      </w:pPr>
      <w:r w:rsidRPr="001447FA">
        <w:rPr>
          <w:rFonts w:ascii="Trebuchet MS" w:eastAsia="Times New Roman" w:hAnsi="Trebuchet MS" w:cs="Arial"/>
          <w:color w:val="000000"/>
          <w:sz w:val="18"/>
          <w:szCs w:val="18"/>
          <w:lang w:eastAsia="en-AU"/>
        </w:rPr>
        <w:t>In some instances it has not been possible to present data as trends over time because the time periods of available data differ or are not available. In other cases it has been sufficient to present a snapshot in time. In addition, in some instances the latest data available and used have been from 2015, as 2016 data may not yet be available or the data are, from 2016, no longer being collected.</w:t>
      </w:r>
    </w:p>
    <w:p w:rsidR="001D03DB" w:rsidRPr="001D03DB" w:rsidRDefault="001D03DB" w:rsidP="001D03DB">
      <w:pPr>
        <w:rPr>
          <w:rFonts w:ascii="Arial" w:eastAsia="Times New Roman" w:hAnsi="Arial" w:cs="Arial"/>
          <w:color w:val="000000"/>
          <w:sz w:val="18"/>
          <w:szCs w:val="18"/>
          <w:lang w:eastAsia="en-AU"/>
        </w:rPr>
      </w:pPr>
      <w:r w:rsidRPr="001D03DB">
        <w:rPr>
          <w:rFonts w:ascii="Arial" w:eastAsia="Times New Roman" w:hAnsi="Arial" w:cs="Arial"/>
          <w:b/>
          <w:bCs/>
          <w:color w:val="000000"/>
          <w:sz w:val="18"/>
          <w:szCs w:val="18"/>
          <w:lang w:eastAsia="en-AU"/>
        </w:rPr>
        <w:t>Age range</w:t>
      </w:r>
    </w:p>
    <w:p w:rsidR="001D03DB" w:rsidRPr="001447FA" w:rsidRDefault="001D03DB" w:rsidP="001D03DB">
      <w:pPr>
        <w:rPr>
          <w:rFonts w:ascii="Trebuchet MS" w:eastAsia="Times New Roman" w:hAnsi="Trebuchet MS" w:cs="Arial"/>
          <w:color w:val="000000"/>
          <w:sz w:val="18"/>
          <w:szCs w:val="18"/>
          <w:lang w:eastAsia="en-AU"/>
        </w:rPr>
      </w:pPr>
      <w:r w:rsidRPr="001447FA">
        <w:rPr>
          <w:rFonts w:ascii="Trebuchet MS" w:eastAsia="Times New Roman" w:hAnsi="Trebuchet MS" w:cs="Arial"/>
          <w:color w:val="000000"/>
          <w:sz w:val="18"/>
          <w:szCs w:val="18"/>
          <w:lang w:eastAsia="en-AU"/>
        </w:rPr>
        <w:t>In this report, ‘younger apprentices’ refers to those aged 15—24 years, while ‘adult apprentices’ refers to those aged 25 years and over. The age range 15—24 years is used as the statistical defi</w:t>
      </w:r>
      <w:r w:rsidR="006E347F">
        <w:rPr>
          <w:rFonts w:ascii="Trebuchet MS" w:eastAsia="Times New Roman" w:hAnsi="Trebuchet MS" w:cs="Arial"/>
          <w:color w:val="000000"/>
          <w:sz w:val="18"/>
          <w:szCs w:val="18"/>
          <w:lang w:eastAsia="en-AU"/>
        </w:rPr>
        <w:t>nition of youth internationally</w:t>
      </w:r>
      <w:r w:rsidRPr="001447FA">
        <w:rPr>
          <w:rFonts w:ascii="Trebuchet MS" w:eastAsia="Times New Roman" w:hAnsi="Trebuchet MS" w:cs="Arial"/>
          <w:color w:val="000000"/>
          <w:sz w:val="18"/>
          <w:szCs w:val="18"/>
          <w:lang w:eastAsia="en-AU"/>
        </w:rPr>
        <w:t xml:space="preserve"> (with some variations). It is noted, however, that in Modern Awards in Australia, an adult apprentice or trainee is someone who is aged 21 years or over. </w:t>
      </w:r>
    </w:p>
    <w:p w:rsidR="001D03DB" w:rsidRPr="001D03DB" w:rsidRDefault="001D03DB" w:rsidP="001D03DB">
      <w:pPr>
        <w:rPr>
          <w:rFonts w:ascii="Arial" w:eastAsia="Times New Roman" w:hAnsi="Arial" w:cs="Arial"/>
          <w:color w:val="000000"/>
          <w:sz w:val="18"/>
          <w:szCs w:val="18"/>
          <w:lang w:eastAsia="en-AU"/>
        </w:rPr>
      </w:pPr>
    </w:p>
    <w:p w:rsidR="002238EE" w:rsidRPr="0047153E" w:rsidRDefault="002238EE" w:rsidP="001D03DB">
      <w:pPr>
        <w:rPr>
          <w:rFonts w:ascii="Arial" w:hAnsi="Arial" w:cs="Arial"/>
          <w:b/>
          <w:sz w:val="24"/>
          <w:szCs w:val="24"/>
        </w:rPr>
      </w:pPr>
      <w:r w:rsidRPr="0047153E">
        <w:rPr>
          <w:rFonts w:ascii="Arial" w:hAnsi="Arial" w:cs="Arial"/>
          <w:b/>
          <w:sz w:val="24"/>
          <w:szCs w:val="24"/>
        </w:rPr>
        <w:t>Data sources</w:t>
      </w:r>
    </w:p>
    <w:p w:rsidR="001D03DB" w:rsidRPr="001447FA" w:rsidRDefault="00C25921" w:rsidP="001D03DB">
      <w:pPr>
        <w:pStyle w:val="NormalWeb"/>
        <w:rPr>
          <w:rFonts w:ascii="Trebuchet MS" w:hAnsi="Trebuchet MS" w:cs="Arial"/>
          <w:sz w:val="18"/>
          <w:szCs w:val="18"/>
        </w:rPr>
      </w:pPr>
      <w:hyperlink r:id="rId11" w:tgtFrame="_blank" w:history="1">
        <w:proofErr w:type="gramStart"/>
        <w:r w:rsidR="001D03DB" w:rsidRPr="001447FA">
          <w:rPr>
            <w:rStyle w:val="Hyperlink"/>
            <w:rFonts w:ascii="Trebuchet MS" w:hAnsi="Trebuchet MS" w:cs="Arial"/>
            <w:sz w:val="18"/>
            <w:szCs w:val="18"/>
          </w:rPr>
          <w:t>NCVER </w:t>
        </w:r>
        <w:r w:rsidR="001D03DB" w:rsidRPr="00A372E5">
          <w:rPr>
            <w:rStyle w:val="Hyperlink"/>
            <w:rFonts w:ascii="Trebuchet MS" w:hAnsi="Trebuchet MS" w:cs="Arial"/>
            <w:iCs/>
            <w:sz w:val="18"/>
            <w:szCs w:val="18"/>
          </w:rPr>
          <w:t>National Apprentice and Trainee Collection</w:t>
        </w:r>
        <w:r w:rsidR="001D03DB" w:rsidRPr="001447FA">
          <w:rPr>
            <w:rStyle w:val="Hyperlink"/>
            <w:rFonts w:ascii="Trebuchet MS" w:hAnsi="Trebuchet MS" w:cs="Arial"/>
            <w:sz w:val="18"/>
            <w:szCs w:val="18"/>
          </w:rPr>
          <w:t>, March and September quarters 2016</w:t>
        </w:r>
      </w:hyperlink>
      <w:r w:rsidR="00352A05" w:rsidRPr="001447FA">
        <w:rPr>
          <w:rFonts w:ascii="Trebuchet MS" w:hAnsi="Trebuchet MS" w:cs="Arial"/>
          <w:sz w:val="18"/>
          <w:szCs w:val="18"/>
        </w:rPr>
        <w:t>.</w:t>
      </w:r>
      <w:proofErr w:type="gramEnd"/>
    </w:p>
    <w:p w:rsidR="001D03DB" w:rsidRPr="001447FA" w:rsidRDefault="00C25921" w:rsidP="001D03DB">
      <w:pPr>
        <w:pStyle w:val="NormalWeb"/>
        <w:rPr>
          <w:rFonts w:ascii="Trebuchet MS" w:hAnsi="Trebuchet MS" w:cs="Arial"/>
          <w:sz w:val="18"/>
          <w:szCs w:val="18"/>
        </w:rPr>
      </w:pPr>
      <w:hyperlink r:id="rId12" w:tgtFrame="_blank" w:history="1">
        <w:r w:rsidR="001D03DB" w:rsidRPr="001447FA">
          <w:rPr>
            <w:rStyle w:val="Hyperlink"/>
            <w:rFonts w:ascii="Trebuchet MS" w:hAnsi="Trebuchet MS" w:cs="Arial"/>
            <w:sz w:val="18"/>
            <w:szCs w:val="18"/>
          </w:rPr>
          <w:t>ABS 2016, </w:t>
        </w:r>
        <w:r w:rsidR="001D03DB" w:rsidRPr="00A372E5">
          <w:rPr>
            <w:rStyle w:val="Hyperlink"/>
            <w:rFonts w:ascii="Trebuchet MS" w:hAnsi="Trebuchet MS" w:cs="Arial"/>
            <w:i/>
            <w:iCs/>
            <w:sz w:val="18"/>
            <w:szCs w:val="18"/>
          </w:rPr>
          <w:t xml:space="preserve">Labour </w:t>
        </w:r>
        <w:proofErr w:type="gramStart"/>
        <w:r w:rsidR="001D03DB" w:rsidRPr="00A372E5">
          <w:rPr>
            <w:rStyle w:val="Hyperlink"/>
            <w:rFonts w:ascii="Trebuchet MS" w:hAnsi="Trebuchet MS" w:cs="Arial"/>
            <w:i/>
            <w:iCs/>
            <w:sz w:val="18"/>
            <w:szCs w:val="18"/>
          </w:rPr>
          <w:t>force</w:t>
        </w:r>
        <w:proofErr w:type="gramEnd"/>
        <w:r w:rsidR="001D03DB" w:rsidRPr="00A372E5">
          <w:rPr>
            <w:rStyle w:val="Hyperlink"/>
            <w:rFonts w:ascii="Trebuchet MS" w:hAnsi="Trebuchet MS" w:cs="Arial"/>
            <w:i/>
            <w:iCs/>
            <w:sz w:val="18"/>
            <w:szCs w:val="18"/>
          </w:rPr>
          <w:t xml:space="preserve"> Australia</w:t>
        </w:r>
        <w:r w:rsidR="001D03DB" w:rsidRPr="001447FA">
          <w:rPr>
            <w:rStyle w:val="Hyperlink"/>
            <w:rFonts w:ascii="Trebuchet MS" w:hAnsi="Trebuchet MS" w:cs="Arial"/>
            <w:sz w:val="18"/>
            <w:szCs w:val="18"/>
          </w:rPr>
          <w:t>, cat. 6291.0.55.001, cube LM1, ABS Canberra</w:t>
        </w:r>
        <w:r w:rsidR="00352A05" w:rsidRPr="001447FA">
          <w:rPr>
            <w:rStyle w:val="Hyperlink"/>
            <w:rFonts w:ascii="Trebuchet MS" w:hAnsi="Trebuchet MS" w:cs="Arial"/>
            <w:sz w:val="18"/>
            <w:szCs w:val="18"/>
          </w:rPr>
          <w:t>.</w:t>
        </w:r>
        <w:r w:rsidR="001D03DB" w:rsidRPr="001447FA">
          <w:rPr>
            <w:rStyle w:val="Hyperlink"/>
            <w:rFonts w:ascii="Trebuchet MS" w:hAnsi="Trebuchet MS" w:cs="Arial"/>
            <w:sz w:val="18"/>
            <w:szCs w:val="18"/>
          </w:rPr>
          <w:t> </w:t>
        </w:r>
      </w:hyperlink>
    </w:p>
    <w:p w:rsidR="001D03DB" w:rsidRPr="001447FA" w:rsidRDefault="00C25921" w:rsidP="001D03DB">
      <w:pPr>
        <w:pStyle w:val="NormalWeb"/>
        <w:rPr>
          <w:rFonts w:ascii="Trebuchet MS" w:hAnsi="Trebuchet MS" w:cs="Arial"/>
          <w:sz w:val="18"/>
          <w:szCs w:val="18"/>
        </w:rPr>
      </w:pPr>
      <w:hyperlink r:id="rId13" w:tgtFrame="_blank" w:history="1">
        <w:proofErr w:type="gramStart"/>
        <w:r w:rsidR="001D03DB" w:rsidRPr="00A372E5">
          <w:rPr>
            <w:rStyle w:val="Hyperlink"/>
            <w:rFonts w:ascii="Trebuchet MS" w:hAnsi="Trebuchet MS" w:cs="Arial"/>
            <w:sz w:val="18"/>
            <w:szCs w:val="18"/>
          </w:rPr>
          <w:t>NCVER </w:t>
        </w:r>
        <w:r w:rsidR="00A372E5" w:rsidRPr="00A372E5">
          <w:rPr>
            <w:rStyle w:val="Hyperlink"/>
            <w:rFonts w:ascii="Trebuchet MS" w:hAnsi="Trebuchet MS" w:cs="Arial"/>
            <w:sz w:val="18"/>
            <w:szCs w:val="18"/>
          </w:rPr>
          <w:t xml:space="preserve">2016, </w:t>
        </w:r>
        <w:r w:rsidR="001D03DB" w:rsidRPr="00A372E5">
          <w:rPr>
            <w:rStyle w:val="Hyperlink"/>
            <w:rFonts w:ascii="Trebuchet MS" w:hAnsi="Trebuchet MS" w:cs="Arial"/>
            <w:i/>
            <w:iCs/>
            <w:sz w:val="18"/>
            <w:szCs w:val="18"/>
          </w:rPr>
          <w:t>Government-</w:t>
        </w:r>
        <w:r w:rsidR="00A372E5" w:rsidRPr="00A372E5">
          <w:rPr>
            <w:rStyle w:val="Hyperlink"/>
            <w:rFonts w:ascii="Trebuchet MS" w:hAnsi="Trebuchet MS" w:cs="Arial"/>
            <w:i/>
            <w:iCs/>
            <w:sz w:val="18"/>
            <w:szCs w:val="18"/>
          </w:rPr>
          <w:t>f</w:t>
        </w:r>
        <w:r w:rsidR="001D03DB" w:rsidRPr="00A372E5">
          <w:rPr>
            <w:rStyle w:val="Hyperlink"/>
            <w:rFonts w:ascii="Trebuchet MS" w:hAnsi="Trebuchet MS" w:cs="Arial"/>
            <w:i/>
            <w:iCs/>
            <w:sz w:val="18"/>
            <w:szCs w:val="18"/>
          </w:rPr>
          <w:t xml:space="preserve">unded </w:t>
        </w:r>
        <w:r w:rsidR="00A372E5" w:rsidRPr="00A372E5">
          <w:rPr>
            <w:rStyle w:val="Hyperlink"/>
            <w:rFonts w:ascii="Trebuchet MS" w:hAnsi="Trebuchet MS" w:cs="Arial"/>
            <w:i/>
            <w:iCs/>
            <w:sz w:val="18"/>
            <w:szCs w:val="18"/>
          </w:rPr>
          <w:t>s</w:t>
        </w:r>
        <w:r w:rsidR="001D03DB" w:rsidRPr="00A372E5">
          <w:rPr>
            <w:rStyle w:val="Hyperlink"/>
            <w:rFonts w:ascii="Trebuchet MS" w:hAnsi="Trebuchet MS" w:cs="Arial"/>
            <w:i/>
            <w:iCs/>
            <w:sz w:val="18"/>
            <w:szCs w:val="18"/>
          </w:rPr>
          <w:t xml:space="preserve">tudent </w:t>
        </w:r>
        <w:r w:rsidR="00A372E5" w:rsidRPr="00A372E5">
          <w:rPr>
            <w:rStyle w:val="Hyperlink"/>
            <w:rFonts w:ascii="Trebuchet MS" w:hAnsi="Trebuchet MS" w:cs="Arial"/>
            <w:i/>
            <w:iCs/>
            <w:sz w:val="18"/>
            <w:szCs w:val="18"/>
          </w:rPr>
          <w:t>o</w:t>
        </w:r>
        <w:r w:rsidR="001D03DB" w:rsidRPr="00A372E5">
          <w:rPr>
            <w:rStyle w:val="Hyperlink"/>
            <w:rFonts w:ascii="Trebuchet MS" w:hAnsi="Trebuchet MS" w:cs="Arial"/>
            <w:i/>
            <w:iCs/>
            <w:sz w:val="18"/>
            <w:szCs w:val="18"/>
          </w:rPr>
          <w:t>utcomes</w:t>
        </w:r>
        <w:r w:rsidR="001D03DB" w:rsidRPr="00A372E5">
          <w:rPr>
            <w:rStyle w:val="Hyperlink"/>
            <w:rFonts w:ascii="Trebuchet MS" w:hAnsi="Trebuchet MS" w:cs="Arial"/>
            <w:sz w:val="18"/>
            <w:szCs w:val="18"/>
          </w:rPr>
          <w:t xml:space="preserve"> </w:t>
        </w:r>
        <w:r w:rsidR="001D03DB" w:rsidRPr="00A372E5">
          <w:rPr>
            <w:rStyle w:val="Hyperlink"/>
            <w:rFonts w:ascii="Trebuchet MS" w:hAnsi="Trebuchet MS" w:cs="Arial"/>
            <w:i/>
            <w:sz w:val="18"/>
            <w:szCs w:val="18"/>
          </w:rPr>
          <w:t>2016</w:t>
        </w:r>
        <w:r w:rsidR="00A372E5" w:rsidRPr="00A372E5">
          <w:rPr>
            <w:rStyle w:val="Hyperlink"/>
            <w:rFonts w:ascii="Trebuchet MS" w:hAnsi="Trebuchet MS" w:cs="Arial"/>
            <w:sz w:val="18"/>
            <w:szCs w:val="18"/>
          </w:rPr>
          <w:t>, NCVER, Adelaide.</w:t>
        </w:r>
        <w:proofErr w:type="gramEnd"/>
      </w:hyperlink>
    </w:p>
    <w:p w:rsidR="00113863" w:rsidRPr="001447FA" w:rsidRDefault="00C25921" w:rsidP="00410829">
      <w:pPr>
        <w:pStyle w:val="NormalWeb"/>
        <w:rPr>
          <w:rFonts w:ascii="Trebuchet MS" w:hAnsi="Trebuchet MS"/>
        </w:rPr>
      </w:pPr>
      <w:hyperlink r:id="rId14" w:history="1">
        <w:proofErr w:type="gramStart"/>
        <w:r w:rsidR="00A372E5" w:rsidRPr="00A372E5">
          <w:rPr>
            <w:rStyle w:val="Hyperlink"/>
            <w:rFonts w:ascii="Trebuchet MS" w:hAnsi="Trebuchet MS" w:cs="Arial"/>
            <w:sz w:val="18"/>
            <w:szCs w:val="18"/>
          </w:rPr>
          <w:t xml:space="preserve">NCVER </w:t>
        </w:r>
        <w:r w:rsidR="001D03DB" w:rsidRPr="00A372E5">
          <w:rPr>
            <w:rStyle w:val="Hyperlink"/>
            <w:rFonts w:ascii="Trebuchet MS" w:hAnsi="Trebuchet MS" w:cs="Arial"/>
            <w:sz w:val="18"/>
            <w:szCs w:val="18"/>
          </w:rPr>
          <w:t>Nation</w:t>
        </w:r>
        <w:r w:rsidR="00A372E5" w:rsidRPr="00A372E5">
          <w:rPr>
            <w:rStyle w:val="Hyperlink"/>
            <w:rFonts w:ascii="Trebuchet MS" w:hAnsi="Trebuchet MS" w:cs="Arial"/>
            <w:sz w:val="18"/>
            <w:szCs w:val="18"/>
          </w:rPr>
          <w:t>al VET Provider Collection 2007—</w:t>
        </w:r>
        <w:r w:rsidR="001D03DB" w:rsidRPr="00A372E5">
          <w:rPr>
            <w:rStyle w:val="Hyperlink"/>
            <w:rFonts w:ascii="Trebuchet MS" w:hAnsi="Trebuchet MS" w:cs="Arial"/>
            <w:sz w:val="18"/>
            <w:szCs w:val="18"/>
          </w:rPr>
          <w:t>15.</w:t>
        </w:r>
        <w:proofErr w:type="gramEnd"/>
      </w:hyperlink>
    </w:p>
    <w:p w:rsidR="00113863" w:rsidRDefault="00113863" w:rsidP="00327B74"/>
    <w:p w:rsidR="00113863" w:rsidRDefault="00113863" w:rsidP="00327B74"/>
    <w:p w:rsidR="00113863" w:rsidRDefault="00113863" w:rsidP="00327B74"/>
    <w:p w:rsidR="001D03DB" w:rsidRDefault="001D03DB" w:rsidP="001D03DB">
      <w:pPr>
        <w:rPr>
          <w:rFonts w:ascii="Trebuchet MS" w:hAnsi="Trebuchet MS" w:cs="Arial"/>
          <w:sz w:val="19"/>
          <w:szCs w:val="19"/>
        </w:rPr>
      </w:pPr>
      <w:r w:rsidRPr="001D03DB">
        <w:rPr>
          <w:rFonts w:ascii="Trebuchet MS" w:hAnsi="Trebuchet MS" w:cs="Arial"/>
          <w:sz w:val="19"/>
          <w:szCs w:val="19"/>
        </w:rPr>
        <w:t>© Commonwealth of Australia, 2017</w:t>
      </w:r>
    </w:p>
    <w:p w:rsidR="009C0ECB" w:rsidRPr="001D03DB" w:rsidRDefault="009C0ECB" w:rsidP="001D03DB">
      <w:pPr>
        <w:rPr>
          <w:rFonts w:ascii="Trebuchet MS" w:hAnsi="Trebuchet MS" w:cs="Arial"/>
          <w:sz w:val="19"/>
          <w:szCs w:val="19"/>
        </w:rPr>
      </w:pPr>
      <w:r w:rsidRPr="00B8162F">
        <w:rPr>
          <w:rFonts w:ascii="Trebuchet MS" w:hAnsi="Trebuchet MS" w:cs="Arial"/>
          <w:noProof/>
          <w:sz w:val="19"/>
          <w:szCs w:val="19"/>
          <w:lang w:eastAsia="en-AU"/>
        </w:rPr>
        <w:drawing>
          <wp:anchor distT="0" distB="0" distL="114300" distR="114300" simplePos="0" relativeHeight="251659264" behindDoc="1" locked="0" layoutInCell="1" allowOverlap="1" wp14:anchorId="5EE7D7E3" wp14:editId="7F5201C4">
            <wp:simplePos x="0" y="0"/>
            <wp:positionH relativeFrom="column">
              <wp:posOffset>-1905</wp:posOffset>
            </wp:positionH>
            <wp:positionV relativeFrom="paragraph">
              <wp:posOffset>88265</wp:posOffset>
            </wp:positionV>
            <wp:extent cx="850900" cy="304800"/>
            <wp:effectExtent l="0" t="0" r="6350" b="0"/>
            <wp:wrapTight wrapText="bothSides">
              <wp:wrapPolygon edited="0">
                <wp:start x="0" y="0"/>
                <wp:lineTo x="0" y="20250"/>
                <wp:lineTo x="21278" y="20250"/>
                <wp:lineTo x="21278" y="0"/>
                <wp:lineTo x="0" y="0"/>
              </wp:wrapPolygon>
            </wp:wrapTight>
            <wp:docPr id="1" name="Picture 1" descr="Creative commons - CC By" title="Creative common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pub_prod\PublicationComponents\logos\Creativecommons\CC BY logo.e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09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ECB" w:rsidRDefault="009C0ECB" w:rsidP="001D03DB">
      <w:pPr>
        <w:rPr>
          <w:rFonts w:ascii="Trebuchet MS" w:hAnsi="Trebuchet MS" w:cs="Arial"/>
          <w:sz w:val="19"/>
          <w:szCs w:val="19"/>
        </w:rPr>
      </w:pPr>
    </w:p>
    <w:p w:rsidR="001D03DB" w:rsidRPr="001D03DB" w:rsidRDefault="001D03DB" w:rsidP="001D03DB">
      <w:pPr>
        <w:rPr>
          <w:rFonts w:ascii="Trebuchet MS" w:hAnsi="Trebuchet MS" w:cs="Arial"/>
          <w:sz w:val="19"/>
          <w:szCs w:val="19"/>
        </w:rPr>
      </w:pPr>
      <w:r w:rsidRPr="001D03DB">
        <w:rPr>
          <w:rFonts w:ascii="Trebuchet MS" w:hAnsi="Trebuchet MS" w:cs="Arial"/>
          <w:sz w:val="19"/>
          <w:szCs w:val="19"/>
        </w:rPr>
        <w:t>For details and exceptions visit the NCVER Portal.</w:t>
      </w:r>
    </w:p>
    <w:p w:rsidR="00496E75" w:rsidRDefault="001D03DB" w:rsidP="001D03DB">
      <w:pPr>
        <w:rPr>
          <w:rFonts w:ascii="Trebuchet MS" w:hAnsi="Trebuchet MS" w:cs="Arial"/>
          <w:sz w:val="19"/>
          <w:szCs w:val="19"/>
        </w:rPr>
      </w:pPr>
      <w:r w:rsidRPr="001D03DB">
        <w:rPr>
          <w:rFonts w:ascii="Trebuchet MS" w:hAnsi="Trebuchet MS" w:cs="Arial"/>
          <w:sz w:val="19"/>
          <w:szCs w:val="19"/>
        </w:rPr>
        <w:t>This work has been produced by NCVER on behalf of the Australian Government and state and territory governments, with funding provided through the Australian Government Department of Education and Training.</w:t>
      </w:r>
    </w:p>
    <w:sectPr w:rsidR="00496E75" w:rsidSect="00204140">
      <w:pgSz w:w="11907" w:h="16839" w:code="9"/>
      <w:pgMar w:top="851" w:right="1133"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921" w:rsidRDefault="00C25921" w:rsidP="00281344">
      <w:pPr>
        <w:spacing w:after="0" w:line="240" w:lineRule="auto"/>
      </w:pPr>
      <w:r>
        <w:separator/>
      </w:r>
    </w:p>
  </w:endnote>
  <w:endnote w:type="continuationSeparator" w:id="0">
    <w:p w:rsidR="00C25921" w:rsidRDefault="00C25921" w:rsidP="0028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921" w:rsidRDefault="00C25921" w:rsidP="00281344">
      <w:pPr>
        <w:spacing w:after="0" w:line="240" w:lineRule="auto"/>
      </w:pPr>
      <w:r>
        <w:separator/>
      </w:r>
    </w:p>
  </w:footnote>
  <w:footnote w:type="continuationSeparator" w:id="0">
    <w:p w:rsidR="00C25921" w:rsidRDefault="00C25921" w:rsidP="002813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2E8F"/>
    <w:multiLevelType w:val="hybridMultilevel"/>
    <w:tmpl w:val="B4E40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89417C"/>
    <w:multiLevelType w:val="hybridMultilevel"/>
    <w:tmpl w:val="F488C4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EF45C38"/>
    <w:multiLevelType w:val="multilevel"/>
    <w:tmpl w:val="36106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9CB46C5"/>
    <w:multiLevelType w:val="hybridMultilevel"/>
    <w:tmpl w:val="3D66BD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FFB25FC"/>
    <w:multiLevelType w:val="hybridMultilevel"/>
    <w:tmpl w:val="D3ECB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06567FA"/>
    <w:multiLevelType w:val="hybridMultilevel"/>
    <w:tmpl w:val="692AC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1434AA"/>
    <w:multiLevelType w:val="multilevel"/>
    <w:tmpl w:val="2AB4A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887721"/>
    <w:multiLevelType w:val="hybridMultilevel"/>
    <w:tmpl w:val="5D002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E535E3B"/>
    <w:multiLevelType w:val="hybridMultilevel"/>
    <w:tmpl w:val="420C2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80565A8"/>
    <w:multiLevelType w:val="hybridMultilevel"/>
    <w:tmpl w:val="5FAE0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715D5F8E"/>
    <w:multiLevelType w:val="hybridMultilevel"/>
    <w:tmpl w:val="091A7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3537A5C"/>
    <w:multiLevelType w:val="hybridMultilevel"/>
    <w:tmpl w:val="DB62C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CDD0D08"/>
    <w:multiLevelType w:val="hybridMultilevel"/>
    <w:tmpl w:val="088EACFE"/>
    <w:lvl w:ilvl="0" w:tplc="1830347E">
      <w:start w:val="1"/>
      <w:numFmt w:val="bullet"/>
      <w:pStyle w:val="Bulleted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F13527F"/>
    <w:multiLevelType w:val="hybridMultilevel"/>
    <w:tmpl w:val="FE12A0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10"/>
  </w:num>
  <w:num w:numId="5">
    <w:abstractNumId w:val="2"/>
  </w:num>
  <w:num w:numId="6">
    <w:abstractNumId w:val="12"/>
  </w:num>
  <w:num w:numId="7">
    <w:abstractNumId w:val="6"/>
  </w:num>
  <w:num w:numId="8">
    <w:abstractNumId w:val="8"/>
  </w:num>
  <w:num w:numId="9">
    <w:abstractNumId w:val="5"/>
  </w:num>
  <w:num w:numId="10">
    <w:abstractNumId w:val="3"/>
  </w:num>
  <w:num w:numId="11">
    <w:abstractNumId w:val="13"/>
  </w:num>
  <w:num w:numId="12">
    <w:abstractNumId w:val="7"/>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BA3"/>
    <w:rsid w:val="0000697D"/>
    <w:rsid w:val="0001025A"/>
    <w:rsid w:val="00020977"/>
    <w:rsid w:val="000636AF"/>
    <w:rsid w:val="00094C37"/>
    <w:rsid w:val="00097B7E"/>
    <w:rsid w:val="000A57D4"/>
    <w:rsid w:val="000B27BF"/>
    <w:rsid w:val="000B467F"/>
    <w:rsid w:val="000B7C7E"/>
    <w:rsid w:val="000C2877"/>
    <w:rsid w:val="000C780F"/>
    <w:rsid w:val="00113863"/>
    <w:rsid w:val="00123DBB"/>
    <w:rsid w:val="001447FA"/>
    <w:rsid w:val="0016114E"/>
    <w:rsid w:val="00184575"/>
    <w:rsid w:val="00196300"/>
    <w:rsid w:val="001A7DE2"/>
    <w:rsid w:val="001C6534"/>
    <w:rsid w:val="001D03DB"/>
    <w:rsid w:val="001E6B45"/>
    <w:rsid w:val="002003B2"/>
    <w:rsid w:val="00204140"/>
    <w:rsid w:val="002238EE"/>
    <w:rsid w:val="00241F5E"/>
    <w:rsid w:val="002645A5"/>
    <w:rsid w:val="002731EF"/>
    <w:rsid w:val="00281344"/>
    <w:rsid w:val="00285799"/>
    <w:rsid w:val="002B6D51"/>
    <w:rsid w:val="002B6EE3"/>
    <w:rsid w:val="002C751B"/>
    <w:rsid w:val="002F6BD9"/>
    <w:rsid w:val="00300E3F"/>
    <w:rsid w:val="00327B74"/>
    <w:rsid w:val="00352A05"/>
    <w:rsid w:val="00364682"/>
    <w:rsid w:val="0036689E"/>
    <w:rsid w:val="00381645"/>
    <w:rsid w:val="003B0B40"/>
    <w:rsid w:val="003C0DD8"/>
    <w:rsid w:val="003E4549"/>
    <w:rsid w:val="00410829"/>
    <w:rsid w:val="00434C90"/>
    <w:rsid w:val="00452A9B"/>
    <w:rsid w:val="004659C7"/>
    <w:rsid w:val="0047153E"/>
    <w:rsid w:val="00490659"/>
    <w:rsid w:val="00491F13"/>
    <w:rsid w:val="00496E75"/>
    <w:rsid w:val="004C4A6A"/>
    <w:rsid w:val="004C5874"/>
    <w:rsid w:val="004F4514"/>
    <w:rsid w:val="005053BC"/>
    <w:rsid w:val="005315FB"/>
    <w:rsid w:val="005963A6"/>
    <w:rsid w:val="005A1AC1"/>
    <w:rsid w:val="005E24EC"/>
    <w:rsid w:val="005E5FBB"/>
    <w:rsid w:val="005E760D"/>
    <w:rsid w:val="005F5589"/>
    <w:rsid w:val="00606644"/>
    <w:rsid w:val="006319F1"/>
    <w:rsid w:val="006547D7"/>
    <w:rsid w:val="00663185"/>
    <w:rsid w:val="006833D3"/>
    <w:rsid w:val="00686759"/>
    <w:rsid w:val="006A0586"/>
    <w:rsid w:val="006C59FC"/>
    <w:rsid w:val="006E03BE"/>
    <w:rsid w:val="006E347F"/>
    <w:rsid w:val="0071490A"/>
    <w:rsid w:val="00750459"/>
    <w:rsid w:val="00765CAF"/>
    <w:rsid w:val="00773302"/>
    <w:rsid w:val="00775287"/>
    <w:rsid w:val="007810C2"/>
    <w:rsid w:val="00786C2F"/>
    <w:rsid w:val="00786ECF"/>
    <w:rsid w:val="007876A3"/>
    <w:rsid w:val="0079014D"/>
    <w:rsid w:val="0079798C"/>
    <w:rsid w:val="007B1CF6"/>
    <w:rsid w:val="007B24E0"/>
    <w:rsid w:val="007E52D0"/>
    <w:rsid w:val="007E581B"/>
    <w:rsid w:val="0085253E"/>
    <w:rsid w:val="00870340"/>
    <w:rsid w:val="008A6E07"/>
    <w:rsid w:val="008B0339"/>
    <w:rsid w:val="008C6A99"/>
    <w:rsid w:val="008D40A5"/>
    <w:rsid w:val="008F3222"/>
    <w:rsid w:val="008F491B"/>
    <w:rsid w:val="00942467"/>
    <w:rsid w:val="009A5E4A"/>
    <w:rsid w:val="009C0ECB"/>
    <w:rsid w:val="009C44BB"/>
    <w:rsid w:val="009C51F2"/>
    <w:rsid w:val="009C5550"/>
    <w:rsid w:val="009C6070"/>
    <w:rsid w:val="009C6A20"/>
    <w:rsid w:val="009E07E0"/>
    <w:rsid w:val="009E5656"/>
    <w:rsid w:val="009E5D12"/>
    <w:rsid w:val="009F4A55"/>
    <w:rsid w:val="00A04899"/>
    <w:rsid w:val="00A07DCB"/>
    <w:rsid w:val="00A3456A"/>
    <w:rsid w:val="00A372E5"/>
    <w:rsid w:val="00A55038"/>
    <w:rsid w:val="00A60A05"/>
    <w:rsid w:val="00A83FF9"/>
    <w:rsid w:val="00A90726"/>
    <w:rsid w:val="00A91EA8"/>
    <w:rsid w:val="00AD1EF7"/>
    <w:rsid w:val="00AD2834"/>
    <w:rsid w:val="00AE7B49"/>
    <w:rsid w:val="00B51530"/>
    <w:rsid w:val="00B80048"/>
    <w:rsid w:val="00B8162F"/>
    <w:rsid w:val="00BA271E"/>
    <w:rsid w:val="00BA419C"/>
    <w:rsid w:val="00BB44D3"/>
    <w:rsid w:val="00BB4EB0"/>
    <w:rsid w:val="00BC4B29"/>
    <w:rsid w:val="00BD062A"/>
    <w:rsid w:val="00BD098A"/>
    <w:rsid w:val="00BE0C82"/>
    <w:rsid w:val="00C24AEE"/>
    <w:rsid w:val="00C25921"/>
    <w:rsid w:val="00C317D2"/>
    <w:rsid w:val="00C40044"/>
    <w:rsid w:val="00C41FA7"/>
    <w:rsid w:val="00C53C4F"/>
    <w:rsid w:val="00C55A9F"/>
    <w:rsid w:val="00C60611"/>
    <w:rsid w:val="00C60EC7"/>
    <w:rsid w:val="00C67223"/>
    <w:rsid w:val="00C84334"/>
    <w:rsid w:val="00C8564C"/>
    <w:rsid w:val="00C8652E"/>
    <w:rsid w:val="00CA026C"/>
    <w:rsid w:val="00CD19A6"/>
    <w:rsid w:val="00CE6293"/>
    <w:rsid w:val="00CF73ED"/>
    <w:rsid w:val="00D153AC"/>
    <w:rsid w:val="00D41B27"/>
    <w:rsid w:val="00D52DBE"/>
    <w:rsid w:val="00D54147"/>
    <w:rsid w:val="00D54CE0"/>
    <w:rsid w:val="00D67B21"/>
    <w:rsid w:val="00D75B81"/>
    <w:rsid w:val="00D77BA3"/>
    <w:rsid w:val="00D94279"/>
    <w:rsid w:val="00DA1A50"/>
    <w:rsid w:val="00DA55F1"/>
    <w:rsid w:val="00DD6A17"/>
    <w:rsid w:val="00DD6B43"/>
    <w:rsid w:val="00DE2E74"/>
    <w:rsid w:val="00E07712"/>
    <w:rsid w:val="00E1381A"/>
    <w:rsid w:val="00E155EE"/>
    <w:rsid w:val="00E17EC4"/>
    <w:rsid w:val="00E266D3"/>
    <w:rsid w:val="00E27069"/>
    <w:rsid w:val="00E27278"/>
    <w:rsid w:val="00E66057"/>
    <w:rsid w:val="00E67D8D"/>
    <w:rsid w:val="00E91685"/>
    <w:rsid w:val="00EB0CA9"/>
    <w:rsid w:val="00EB4EA5"/>
    <w:rsid w:val="00EF1A15"/>
    <w:rsid w:val="00F0260B"/>
    <w:rsid w:val="00F2306D"/>
    <w:rsid w:val="00F37575"/>
    <w:rsid w:val="00F67AAE"/>
    <w:rsid w:val="00F86ADB"/>
    <w:rsid w:val="00F9678B"/>
    <w:rsid w:val="00FC5D4E"/>
    <w:rsid w:val="00FF3C0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49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534"/>
  </w:style>
  <w:style w:type="paragraph" w:styleId="Heading1">
    <w:name w:val="heading 1"/>
    <w:basedOn w:val="Normal"/>
    <w:next w:val="Normal"/>
    <w:link w:val="Heading1Char"/>
    <w:uiPriority w:val="9"/>
    <w:qFormat/>
    <w:rsid w:val="0079798C"/>
    <w:pPr>
      <w:outlineLvl w:val="0"/>
    </w:pPr>
    <w:rPr>
      <w:rFonts w:ascii="Arial" w:hAnsi="Arial" w:cs="Arial"/>
      <w:b/>
      <w:sz w:val="36"/>
      <w:szCs w:val="36"/>
    </w:rPr>
  </w:style>
  <w:style w:type="paragraph" w:styleId="Heading2">
    <w:name w:val="heading 2"/>
    <w:basedOn w:val="Normal"/>
    <w:next w:val="Normal"/>
    <w:link w:val="Heading2Char"/>
    <w:uiPriority w:val="9"/>
    <w:unhideWhenUsed/>
    <w:qFormat/>
    <w:rsid w:val="0079798C"/>
    <w:pPr>
      <w:outlineLvl w:val="1"/>
    </w:pPr>
    <w:rPr>
      <w:rFonts w:ascii="Arial" w:hAnsi="Arial" w:cs="Arial"/>
      <w:b/>
      <w:sz w:val="24"/>
      <w:szCs w:val="24"/>
    </w:rPr>
  </w:style>
  <w:style w:type="paragraph" w:styleId="Heading3">
    <w:name w:val="heading 3"/>
    <w:basedOn w:val="Normal"/>
    <w:next w:val="Normal"/>
    <w:link w:val="Heading3Char"/>
    <w:uiPriority w:val="9"/>
    <w:unhideWhenUsed/>
    <w:qFormat/>
    <w:rsid w:val="00765C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BA3"/>
    <w:pPr>
      <w:ind w:left="720"/>
      <w:contextualSpacing/>
    </w:pPr>
  </w:style>
  <w:style w:type="character" w:styleId="Hyperlink">
    <w:name w:val="Hyperlink"/>
    <w:basedOn w:val="DefaultParagraphFont"/>
    <w:uiPriority w:val="99"/>
    <w:unhideWhenUsed/>
    <w:rsid w:val="00097B7E"/>
    <w:rPr>
      <w:color w:val="0000FF" w:themeColor="hyperlink"/>
      <w:u w:val="single"/>
    </w:rPr>
  </w:style>
  <w:style w:type="paragraph" w:customStyle="1" w:styleId="Text">
    <w:name w:val="Text"/>
    <w:link w:val="TextChar"/>
    <w:rsid w:val="00D77BA3"/>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D77BA3"/>
    <w:rPr>
      <w:rFonts w:ascii="Trebuchet MS" w:eastAsia="Times New Roman" w:hAnsi="Trebuchet MS" w:cs="Times New Roman"/>
      <w:sz w:val="19"/>
      <w:szCs w:val="20"/>
    </w:rPr>
  </w:style>
  <w:style w:type="character" w:styleId="FollowedHyperlink">
    <w:name w:val="FollowedHyperlink"/>
    <w:basedOn w:val="DefaultParagraphFont"/>
    <w:uiPriority w:val="99"/>
    <w:semiHidden/>
    <w:unhideWhenUsed/>
    <w:rsid w:val="00B8162F"/>
    <w:rPr>
      <w:color w:val="800080" w:themeColor="followedHyperlink"/>
      <w:u w:val="single"/>
    </w:rPr>
  </w:style>
  <w:style w:type="character" w:customStyle="1" w:styleId="apple-converted-space">
    <w:name w:val="apple-converted-space"/>
    <w:basedOn w:val="DefaultParagraphFont"/>
    <w:rsid w:val="00123DBB"/>
  </w:style>
  <w:style w:type="paragraph" w:styleId="Header">
    <w:name w:val="header"/>
    <w:basedOn w:val="Normal"/>
    <w:link w:val="HeaderChar"/>
    <w:uiPriority w:val="99"/>
    <w:unhideWhenUsed/>
    <w:rsid w:val="002813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44"/>
  </w:style>
  <w:style w:type="paragraph" w:styleId="Footer">
    <w:name w:val="footer"/>
    <w:basedOn w:val="Normal"/>
    <w:link w:val="FooterChar"/>
    <w:uiPriority w:val="99"/>
    <w:unhideWhenUsed/>
    <w:rsid w:val="002813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44"/>
  </w:style>
  <w:style w:type="table" w:styleId="TableGrid">
    <w:name w:val="Table Grid"/>
    <w:basedOn w:val="TableNormal"/>
    <w:uiPriority w:val="59"/>
    <w:rsid w:val="004C4A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097B7E"/>
    <w:pPr>
      <w:tabs>
        <w:tab w:val="decimal" w:pos="743"/>
      </w:tabs>
      <w:spacing w:after="20" w:line="240" w:lineRule="auto"/>
    </w:pPr>
    <w:rPr>
      <w:rFonts w:ascii="Arial" w:hAnsi="Arial" w:cs="Arial"/>
      <w:sz w:val="18"/>
      <w:szCs w:val="18"/>
    </w:rPr>
  </w:style>
  <w:style w:type="paragraph" w:customStyle="1" w:styleId="Tableheader1">
    <w:name w:val="Table header 1"/>
    <w:basedOn w:val="Normal"/>
    <w:qFormat/>
    <w:rsid w:val="0079798C"/>
    <w:pPr>
      <w:spacing w:after="0" w:line="240" w:lineRule="auto"/>
      <w:jc w:val="center"/>
    </w:pPr>
    <w:rPr>
      <w:rFonts w:ascii="Arial" w:hAnsi="Arial" w:cs="Arial"/>
      <w:b/>
      <w:sz w:val="19"/>
      <w:szCs w:val="19"/>
    </w:rPr>
  </w:style>
  <w:style w:type="paragraph" w:customStyle="1" w:styleId="Tabletitle">
    <w:name w:val="Table title"/>
    <w:basedOn w:val="Normal"/>
    <w:qFormat/>
    <w:rsid w:val="00097B7E"/>
    <w:pPr>
      <w:spacing w:after="80"/>
    </w:pPr>
    <w:rPr>
      <w:rFonts w:ascii="Arial" w:hAnsi="Arial" w:cs="Arial"/>
      <w:b/>
      <w:sz w:val="19"/>
      <w:szCs w:val="19"/>
    </w:rPr>
  </w:style>
  <w:style w:type="paragraph" w:customStyle="1" w:styleId="Noteandsource">
    <w:name w:val="Note and source"/>
    <w:basedOn w:val="Normal"/>
    <w:qFormat/>
    <w:rsid w:val="00097B7E"/>
    <w:pPr>
      <w:spacing w:before="120"/>
    </w:pPr>
    <w:rPr>
      <w:rFonts w:ascii="Trebuchet MS" w:hAnsi="Trebuchet MS" w:cs="Arial"/>
      <w:sz w:val="16"/>
      <w:szCs w:val="16"/>
    </w:rPr>
  </w:style>
  <w:style w:type="paragraph" w:customStyle="1" w:styleId="Tableheader2">
    <w:name w:val="Table header 2"/>
    <w:basedOn w:val="Tableheader1"/>
    <w:qFormat/>
    <w:rsid w:val="0079798C"/>
    <w:rPr>
      <w:b w:val="0"/>
      <w:i/>
    </w:rPr>
  </w:style>
  <w:style w:type="character" w:customStyle="1" w:styleId="Heading2Char">
    <w:name w:val="Heading 2 Char"/>
    <w:basedOn w:val="DefaultParagraphFont"/>
    <w:link w:val="Heading2"/>
    <w:uiPriority w:val="9"/>
    <w:rsid w:val="0079798C"/>
    <w:rPr>
      <w:rFonts w:ascii="Arial" w:hAnsi="Arial" w:cs="Arial"/>
      <w:b/>
      <w:sz w:val="24"/>
      <w:szCs w:val="24"/>
    </w:rPr>
  </w:style>
  <w:style w:type="character" w:customStyle="1" w:styleId="Heading1Char">
    <w:name w:val="Heading 1 Char"/>
    <w:basedOn w:val="DefaultParagraphFont"/>
    <w:link w:val="Heading1"/>
    <w:uiPriority w:val="9"/>
    <w:rsid w:val="0079798C"/>
    <w:rPr>
      <w:rFonts w:ascii="Arial" w:hAnsi="Arial" w:cs="Arial"/>
      <w:b/>
      <w:sz w:val="36"/>
      <w:szCs w:val="36"/>
    </w:rPr>
  </w:style>
  <w:style w:type="paragraph" w:styleId="NormalWeb">
    <w:name w:val="Normal (Web)"/>
    <w:basedOn w:val="Normal"/>
    <w:uiPriority w:val="99"/>
    <w:unhideWhenUsed/>
    <w:rsid w:val="00097B7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edlist">
    <w:name w:val="Bulleted list"/>
    <w:basedOn w:val="Text"/>
    <w:qFormat/>
    <w:rsid w:val="00B80048"/>
    <w:pPr>
      <w:numPr>
        <w:numId w:val="6"/>
      </w:numPr>
    </w:pPr>
    <w:rPr>
      <w:bdr w:val="none" w:sz="0" w:space="0" w:color="auto" w:frame="1"/>
    </w:rPr>
  </w:style>
  <w:style w:type="character" w:customStyle="1" w:styleId="Heading3Char">
    <w:name w:val="Heading 3 Char"/>
    <w:basedOn w:val="DefaultParagraphFont"/>
    <w:link w:val="Heading3"/>
    <w:uiPriority w:val="9"/>
    <w:rsid w:val="00765CAF"/>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semiHidden/>
    <w:unhideWhenUsed/>
    <w:rsid w:val="00F0260B"/>
    <w:pPr>
      <w:spacing w:after="100"/>
    </w:pPr>
  </w:style>
  <w:style w:type="paragraph" w:styleId="BalloonText">
    <w:name w:val="Balloon Text"/>
    <w:basedOn w:val="Normal"/>
    <w:link w:val="BalloonTextChar"/>
    <w:uiPriority w:val="99"/>
    <w:semiHidden/>
    <w:unhideWhenUsed/>
    <w:rsid w:val="00490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6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85998">
      <w:bodyDiv w:val="1"/>
      <w:marLeft w:val="0"/>
      <w:marRight w:val="0"/>
      <w:marTop w:val="0"/>
      <w:marBottom w:val="0"/>
      <w:divBdr>
        <w:top w:val="none" w:sz="0" w:space="0" w:color="auto"/>
        <w:left w:val="none" w:sz="0" w:space="0" w:color="auto"/>
        <w:bottom w:val="none" w:sz="0" w:space="0" w:color="auto"/>
        <w:right w:val="none" w:sz="0" w:space="0" w:color="auto"/>
      </w:divBdr>
    </w:div>
    <w:div w:id="177811737">
      <w:bodyDiv w:val="1"/>
      <w:marLeft w:val="0"/>
      <w:marRight w:val="0"/>
      <w:marTop w:val="0"/>
      <w:marBottom w:val="0"/>
      <w:divBdr>
        <w:top w:val="none" w:sz="0" w:space="0" w:color="auto"/>
        <w:left w:val="none" w:sz="0" w:space="0" w:color="auto"/>
        <w:bottom w:val="none" w:sz="0" w:space="0" w:color="auto"/>
        <w:right w:val="none" w:sz="0" w:space="0" w:color="auto"/>
      </w:divBdr>
    </w:div>
    <w:div w:id="257714704">
      <w:bodyDiv w:val="1"/>
      <w:marLeft w:val="0"/>
      <w:marRight w:val="0"/>
      <w:marTop w:val="0"/>
      <w:marBottom w:val="0"/>
      <w:divBdr>
        <w:top w:val="none" w:sz="0" w:space="0" w:color="auto"/>
        <w:left w:val="none" w:sz="0" w:space="0" w:color="auto"/>
        <w:bottom w:val="none" w:sz="0" w:space="0" w:color="auto"/>
        <w:right w:val="none" w:sz="0" w:space="0" w:color="auto"/>
      </w:divBdr>
    </w:div>
    <w:div w:id="291716444">
      <w:bodyDiv w:val="1"/>
      <w:marLeft w:val="0"/>
      <w:marRight w:val="0"/>
      <w:marTop w:val="0"/>
      <w:marBottom w:val="0"/>
      <w:divBdr>
        <w:top w:val="none" w:sz="0" w:space="0" w:color="auto"/>
        <w:left w:val="none" w:sz="0" w:space="0" w:color="auto"/>
        <w:bottom w:val="none" w:sz="0" w:space="0" w:color="auto"/>
        <w:right w:val="none" w:sz="0" w:space="0" w:color="auto"/>
      </w:divBdr>
    </w:div>
    <w:div w:id="365718619">
      <w:bodyDiv w:val="1"/>
      <w:marLeft w:val="0"/>
      <w:marRight w:val="0"/>
      <w:marTop w:val="0"/>
      <w:marBottom w:val="0"/>
      <w:divBdr>
        <w:top w:val="none" w:sz="0" w:space="0" w:color="auto"/>
        <w:left w:val="none" w:sz="0" w:space="0" w:color="auto"/>
        <w:bottom w:val="none" w:sz="0" w:space="0" w:color="auto"/>
        <w:right w:val="none" w:sz="0" w:space="0" w:color="auto"/>
      </w:divBdr>
    </w:div>
    <w:div w:id="407920785">
      <w:bodyDiv w:val="1"/>
      <w:marLeft w:val="0"/>
      <w:marRight w:val="0"/>
      <w:marTop w:val="0"/>
      <w:marBottom w:val="0"/>
      <w:divBdr>
        <w:top w:val="none" w:sz="0" w:space="0" w:color="auto"/>
        <w:left w:val="none" w:sz="0" w:space="0" w:color="auto"/>
        <w:bottom w:val="none" w:sz="0" w:space="0" w:color="auto"/>
        <w:right w:val="none" w:sz="0" w:space="0" w:color="auto"/>
      </w:divBdr>
    </w:div>
    <w:div w:id="471020002">
      <w:bodyDiv w:val="1"/>
      <w:marLeft w:val="0"/>
      <w:marRight w:val="0"/>
      <w:marTop w:val="0"/>
      <w:marBottom w:val="0"/>
      <w:divBdr>
        <w:top w:val="none" w:sz="0" w:space="0" w:color="auto"/>
        <w:left w:val="none" w:sz="0" w:space="0" w:color="auto"/>
        <w:bottom w:val="none" w:sz="0" w:space="0" w:color="auto"/>
        <w:right w:val="none" w:sz="0" w:space="0" w:color="auto"/>
      </w:divBdr>
    </w:div>
    <w:div w:id="667907812">
      <w:bodyDiv w:val="1"/>
      <w:marLeft w:val="0"/>
      <w:marRight w:val="0"/>
      <w:marTop w:val="0"/>
      <w:marBottom w:val="0"/>
      <w:divBdr>
        <w:top w:val="none" w:sz="0" w:space="0" w:color="auto"/>
        <w:left w:val="none" w:sz="0" w:space="0" w:color="auto"/>
        <w:bottom w:val="none" w:sz="0" w:space="0" w:color="auto"/>
        <w:right w:val="none" w:sz="0" w:space="0" w:color="auto"/>
      </w:divBdr>
    </w:div>
    <w:div w:id="700400354">
      <w:bodyDiv w:val="1"/>
      <w:marLeft w:val="0"/>
      <w:marRight w:val="0"/>
      <w:marTop w:val="0"/>
      <w:marBottom w:val="0"/>
      <w:divBdr>
        <w:top w:val="none" w:sz="0" w:space="0" w:color="auto"/>
        <w:left w:val="none" w:sz="0" w:space="0" w:color="auto"/>
        <w:bottom w:val="none" w:sz="0" w:space="0" w:color="auto"/>
        <w:right w:val="none" w:sz="0" w:space="0" w:color="auto"/>
      </w:divBdr>
    </w:div>
    <w:div w:id="713428387">
      <w:bodyDiv w:val="1"/>
      <w:marLeft w:val="0"/>
      <w:marRight w:val="0"/>
      <w:marTop w:val="0"/>
      <w:marBottom w:val="0"/>
      <w:divBdr>
        <w:top w:val="none" w:sz="0" w:space="0" w:color="auto"/>
        <w:left w:val="none" w:sz="0" w:space="0" w:color="auto"/>
        <w:bottom w:val="none" w:sz="0" w:space="0" w:color="auto"/>
        <w:right w:val="none" w:sz="0" w:space="0" w:color="auto"/>
      </w:divBdr>
    </w:div>
    <w:div w:id="714501024">
      <w:bodyDiv w:val="1"/>
      <w:marLeft w:val="0"/>
      <w:marRight w:val="0"/>
      <w:marTop w:val="0"/>
      <w:marBottom w:val="0"/>
      <w:divBdr>
        <w:top w:val="none" w:sz="0" w:space="0" w:color="auto"/>
        <w:left w:val="none" w:sz="0" w:space="0" w:color="auto"/>
        <w:bottom w:val="none" w:sz="0" w:space="0" w:color="auto"/>
        <w:right w:val="none" w:sz="0" w:space="0" w:color="auto"/>
      </w:divBdr>
    </w:div>
    <w:div w:id="819925851">
      <w:bodyDiv w:val="1"/>
      <w:marLeft w:val="0"/>
      <w:marRight w:val="0"/>
      <w:marTop w:val="0"/>
      <w:marBottom w:val="0"/>
      <w:divBdr>
        <w:top w:val="none" w:sz="0" w:space="0" w:color="auto"/>
        <w:left w:val="none" w:sz="0" w:space="0" w:color="auto"/>
        <w:bottom w:val="none" w:sz="0" w:space="0" w:color="auto"/>
        <w:right w:val="none" w:sz="0" w:space="0" w:color="auto"/>
      </w:divBdr>
    </w:div>
    <w:div w:id="828445006">
      <w:bodyDiv w:val="1"/>
      <w:marLeft w:val="0"/>
      <w:marRight w:val="0"/>
      <w:marTop w:val="0"/>
      <w:marBottom w:val="0"/>
      <w:divBdr>
        <w:top w:val="none" w:sz="0" w:space="0" w:color="auto"/>
        <w:left w:val="none" w:sz="0" w:space="0" w:color="auto"/>
        <w:bottom w:val="none" w:sz="0" w:space="0" w:color="auto"/>
        <w:right w:val="none" w:sz="0" w:space="0" w:color="auto"/>
      </w:divBdr>
    </w:div>
    <w:div w:id="853107592">
      <w:bodyDiv w:val="1"/>
      <w:marLeft w:val="0"/>
      <w:marRight w:val="0"/>
      <w:marTop w:val="0"/>
      <w:marBottom w:val="0"/>
      <w:divBdr>
        <w:top w:val="none" w:sz="0" w:space="0" w:color="auto"/>
        <w:left w:val="none" w:sz="0" w:space="0" w:color="auto"/>
        <w:bottom w:val="none" w:sz="0" w:space="0" w:color="auto"/>
        <w:right w:val="none" w:sz="0" w:space="0" w:color="auto"/>
      </w:divBdr>
    </w:div>
    <w:div w:id="945890492">
      <w:bodyDiv w:val="1"/>
      <w:marLeft w:val="0"/>
      <w:marRight w:val="0"/>
      <w:marTop w:val="0"/>
      <w:marBottom w:val="0"/>
      <w:divBdr>
        <w:top w:val="none" w:sz="0" w:space="0" w:color="auto"/>
        <w:left w:val="none" w:sz="0" w:space="0" w:color="auto"/>
        <w:bottom w:val="none" w:sz="0" w:space="0" w:color="auto"/>
        <w:right w:val="none" w:sz="0" w:space="0" w:color="auto"/>
      </w:divBdr>
    </w:div>
    <w:div w:id="997536614">
      <w:bodyDiv w:val="1"/>
      <w:marLeft w:val="0"/>
      <w:marRight w:val="0"/>
      <w:marTop w:val="0"/>
      <w:marBottom w:val="0"/>
      <w:divBdr>
        <w:top w:val="none" w:sz="0" w:space="0" w:color="auto"/>
        <w:left w:val="none" w:sz="0" w:space="0" w:color="auto"/>
        <w:bottom w:val="none" w:sz="0" w:space="0" w:color="auto"/>
        <w:right w:val="none" w:sz="0" w:space="0" w:color="auto"/>
      </w:divBdr>
    </w:div>
    <w:div w:id="1045907510">
      <w:bodyDiv w:val="1"/>
      <w:marLeft w:val="0"/>
      <w:marRight w:val="0"/>
      <w:marTop w:val="0"/>
      <w:marBottom w:val="0"/>
      <w:divBdr>
        <w:top w:val="none" w:sz="0" w:space="0" w:color="auto"/>
        <w:left w:val="none" w:sz="0" w:space="0" w:color="auto"/>
        <w:bottom w:val="none" w:sz="0" w:space="0" w:color="auto"/>
        <w:right w:val="none" w:sz="0" w:space="0" w:color="auto"/>
      </w:divBdr>
    </w:div>
    <w:div w:id="1062173334">
      <w:bodyDiv w:val="1"/>
      <w:marLeft w:val="0"/>
      <w:marRight w:val="0"/>
      <w:marTop w:val="0"/>
      <w:marBottom w:val="0"/>
      <w:divBdr>
        <w:top w:val="none" w:sz="0" w:space="0" w:color="auto"/>
        <w:left w:val="none" w:sz="0" w:space="0" w:color="auto"/>
        <w:bottom w:val="none" w:sz="0" w:space="0" w:color="auto"/>
        <w:right w:val="none" w:sz="0" w:space="0" w:color="auto"/>
      </w:divBdr>
    </w:div>
    <w:div w:id="1070883253">
      <w:bodyDiv w:val="1"/>
      <w:marLeft w:val="0"/>
      <w:marRight w:val="0"/>
      <w:marTop w:val="0"/>
      <w:marBottom w:val="0"/>
      <w:divBdr>
        <w:top w:val="none" w:sz="0" w:space="0" w:color="auto"/>
        <w:left w:val="none" w:sz="0" w:space="0" w:color="auto"/>
        <w:bottom w:val="none" w:sz="0" w:space="0" w:color="auto"/>
        <w:right w:val="none" w:sz="0" w:space="0" w:color="auto"/>
      </w:divBdr>
    </w:div>
    <w:div w:id="1079403626">
      <w:bodyDiv w:val="1"/>
      <w:marLeft w:val="0"/>
      <w:marRight w:val="0"/>
      <w:marTop w:val="0"/>
      <w:marBottom w:val="0"/>
      <w:divBdr>
        <w:top w:val="none" w:sz="0" w:space="0" w:color="auto"/>
        <w:left w:val="none" w:sz="0" w:space="0" w:color="auto"/>
        <w:bottom w:val="none" w:sz="0" w:space="0" w:color="auto"/>
        <w:right w:val="none" w:sz="0" w:space="0" w:color="auto"/>
      </w:divBdr>
    </w:div>
    <w:div w:id="1121191636">
      <w:bodyDiv w:val="1"/>
      <w:marLeft w:val="0"/>
      <w:marRight w:val="0"/>
      <w:marTop w:val="0"/>
      <w:marBottom w:val="0"/>
      <w:divBdr>
        <w:top w:val="none" w:sz="0" w:space="0" w:color="auto"/>
        <w:left w:val="none" w:sz="0" w:space="0" w:color="auto"/>
        <w:bottom w:val="none" w:sz="0" w:space="0" w:color="auto"/>
        <w:right w:val="none" w:sz="0" w:space="0" w:color="auto"/>
      </w:divBdr>
    </w:div>
    <w:div w:id="1175418307">
      <w:bodyDiv w:val="1"/>
      <w:marLeft w:val="0"/>
      <w:marRight w:val="0"/>
      <w:marTop w:val="0"/>
      <w:marBottom w:val="0"/>
      <w:divBdr>
        <w:top w:val="none" w:sz="0" w:space="0" w:color="auto"/>
        <w:left w:val="none" w:sz="0" w:space="0" w:color="auto"/>
        <w:bottom w:val="none" w:sz="0" w:space="0" w:color="auto"/>
        <w:right w:val="none" w:sz="0" w:space="0" w:color="auto"/>
      </w:divBdr>
    </w:div>
    <w:div w:id="1294798166">
      <w:bodyDiv w:val="1"/>
      <w:marLeft w:val="0"/>
      <w:marRight w:val="0"/>
      <w:marTop w:val="0"/>
      <w:marBottom w:val="0"/>
      <w:divBdr>
        <w:top w:val="none" w:sz="0" w:space="0" w:color="auto"/>
        <w:left w:val="none" w:sz="0" w:space="0" w:color="auto"/>
        <w:bottom w:val="none" w:sz="0" w:space="0" w:color="auto"/>
        <w:right w:val="none" w:sz="0" w:space="0" w:color="auto"/>
      </w:divBdr>
    </w:div>
    <w:div w:id="1295212964">
      <w:bodyDiv w:val="1"/>
      <w:marLeft w:val="0"/>
      <w:marRight w:val="0"/>
      <w:marTop w:val="0"/>
      <w:marBottom w:val="0"/>
      <w:divBdr>
        <w:top w:val="none" w:sz="0" w:space="0" w:color="auto"/>
        <w:left w:val="none" w:sz="0" w:space="0" w:color="auto"/>
        <w:bottom w:val="none" w:sz="0" w:space="0" w:color="auto"/>
        <w:right w:val="none" w:sz="0" w:space="0" w:color="auto"/>
      </w:divBdr>
    </w:div>
    <w:div w:id="1303391327">
      <w:bodyDiv w:val="1"/>
      <w:marLeft w:val="0"/>
      <w:marRight w:val="0"/>
      <w:marTop w:val="0"/>
      <w:marBottom w:val="0"/>
      <w:divBdr>
        <w:top w:val="none" w:sz="0" w:space="0" w:color="auto"/>
        <w:left w:val="none" w:sz="0" w:space="0" w:color="auto"/>
        <w:bottom w:val="none" w:sz="0" w:space="0" w:color="auto"/>
        <w:right w:val="none" w:sz="0" w:space="0" w:color="auto"/>
      </w:divBdr>
    </w:div>
    <w:div w:id="1350986995">
      <w:bodyDiv w:val="1"/>
      <w:marLeft w:val="0"/>
      <w:marRight w:val="0"/>
      <w:marTop w:val="0"/>
      <w:marBottom w:val="0"/>
      <w:divBdr>
        <w:top w:val="none" w:sz="0" w:space="0" w:color="auto"/>
        <w:left w:val="none" w:sz="0" w:space="0" w:color="auto"/>
        <w:bottom w:val="none" w:sz="0" w:space="0" w:color="auto"/>
        <w:right w:val="none" w:sz="0" w:space="0" w:color="auto"/>
      </w:divBdr>
    </w:div>
    <w:div w:id="1470711425">
      <w:bodyDiv w:val="1"/>
      <w:marLeft w:val="0"/>
      <w:marRight w:val="0"/>
      <w:marTop w:val="0"/>
      <w:marBottom w:val="0"/>
      <w:divBdr>
        <w:top w:val="none" w:sz="0" w:space="0" w:color="auto"/>
        <w:left w:val="none" w:sz="0" w:space="0" w:color="auto"/>
        <w:bottom w:val="none" w:sz="0" w:space="0" w:color="auto"/>
        <w:right w:val="none" w:sz="0" w:space="0" w:color="auto"/>
      </w:divBdr>
    </w:div>
    <w:div w:id="1483504421">
      <w:bodyDiv w:val="1"/>
      <w:marLeft w:val="0"/>
      <w:marRight w:val="0"/>
      <w:marTop w:val="0"/>
      <w:marBottom w:val="0"/>
      <w:divBdr>
        <w:top w:val="none" w:sz="0" w:space="0" w:color="auto"/>
        <w:left w:val="none" w:sz="0" w:space="0" w:color="auto"/>
        <w:bottom w:val="none" w:sz="0" w:space="0" w:color="auto"/>
        <w:right w:val="none" w:sz="0" w:space="0" w:color="auto"/>
      </w:divBdr>
    </w:div>
    <w:div w:id="1590196521">
      <w:bodyDiv w:val="1"/>
      <w:marLeft w:val="0"/>
      <w:marRight w:val="0"/>
      <w:marTop w:val="0"/>
      <w:marBottom w:val="0"/>
      <w:divBdr>
        <w:top w:val="none" w:sz="0" w:space="0" w:color="auto"/>
        <w:left w:val="none" w:sz="0" w:space="0" w:color="auto"/>
        <w:bottom w:val="none" w:sz="0" w:space="0" w:color="auto"/>
        <w:right w:val="none" w:sz="0" w:space="0" w:color="auto"/>
      </w:divBdr>
    </w:div>
    <w:div w:id="1596553116">
      <w:bodyDiv w:val="1"/>
      <w:marLeft w:val="0"/>
      <w:marRight w:val="0"/>
      <w:marTop w:val="0"/>
      <w:marBottom w:val="0"/>
      <w:divBdr>
        <w:top w:val="none" w:sz="0" w:space="0" w:color="auto"/>
        <w:left w:val="none" w:sz="0" w:space="0" w:color="auto"/>
        <w:bottom w:val="none" w:sz="0" w:space="0" w:color="auto"/>
        <w:right w:val="none" w:sz="0" w:space="0" w:color="auto"/>
      </w:divBdr>
    </w:div>
    <w:div w:id="1610161505">
      <w:bodyDiv w:val="1"/>
      <w:marLeft w:val="0"/>
      <w:marRight w:val="0"/>
      <w:marTop w:val="0"/>
      <w:marBottom w:val="0"/>
      <w:divBdr>
        <w:top w:val="none" w:sz="0" w:space="0" w:color="auto"/>
        <w:left w:val="none" w:sz="0" w:space="0" w:color="auto"/>
        <w:bottom w:val="none" w:sz="0" w:space="0" w:color="auto"/>
        <w:right w:val="none" w:sz="0" w:space="0" w:color="auto"/>
      </w:divBdr>
    </w:div>
    <w:div w:id="1623030835">
      <w:bodyDiv w:val="1"/>
      <w:marLeft w:val="0"/>
      <w:marRight w:val="0"/>
      <w:marTop w:val="0"/>
      <w:marBottom w:val="0"/>
      <w:divBdr>
        <w:top w:val="none" w:sz="0" w:space="0" w:color="auto"/>
        <w:left w:val="none" w:sz="0" w:space="0" w:color="auto"/>
        <w:bottom w:val="none" w:sz="0" w:space="0" w:color="auto"/>
        <w:right w:val="none" w:sz="0" w:space="0" w:color="auto"/>
      </w:divBdr>
    </w:div>
    <w:div w:id="1655571264">
      <w:bodyDiv w:val="1"/>
      <w:marLeft w:val="0"/>
      <w:marRight w:val="0"/>
      <w:marTop w:val="0"/>
      <w:marBottom w:val="0"/>
      <w:divBdr>
        <w:top w:val="none" w:sz="0" w:space="0" w:color="auto"/>
        <w:left w:val="none" w:sz="0" w:space="0" w:color="auto"/>
        <w:bottom w:val="none" w:sz="0" w:space="0" w:color="auto"/>
        <w:right w:val="none" w:sz="0" w:space="0" w:color="auto"/>
      </w:divBdr>
    </w:div>
    <w:div w:id="1658538077">
      <w:bodyDiv w:val="1"/>
      <w:marLeft w:val="0"/>
      <w:marRight w:val="0"/>
      <w:marTop w:val="0"/>
      <w:marBottom w:val="0"/>
      <w:divBdr>
        <w:top w:val="none" w:sz="0" w:space="0" w:color="auto"/>
        <w:left w:val="none" w:sz="0" w:space="0" w:color="auto"/>
        <w:bottom w:val="none" w:sz="0" w:space="0" w:color="auto"/>
        <w:right w:val="none" w:sz="0" w:space="0" w:color="auto"/>
      </w:divBdr>
    </w:div>
    <w:div w:id="1671057985">
      <w:bodyDiv w:val="1"/>
      <w:marLeft w:val="0"/>
      <w:marRight w:val="0"/>
      <w:marTop w:val="0"/>
      <w:marBottom w:val="0"/>
      <w:divBdr>
        <w:top w:val="none" w:sz="0" w:space="0" w:color="auto"/>
        <w:left w:val="none" w:sz="0" w:space="0" w:color="auto"/>
        <w:bottom w:val="none" w:sz="0" w:space="0" w:color="auto"/>
        <w:right w:val="none" w:sz="0" w:space="0" w:color="auto"/>
      </w:divBdr>
    </w:div>
    <w:div w:id="1703939954">
      <w:bodyDiv w:val="1"/>
      <w:marLeft w:val="0"/>
      <w:marRight w:val="0"/>
      <w:marTop w:val="0"/>
      <w:marBottom w:val="0"/>
      <w:divBdr>
        <w:top w:val="none" w:sz="0" w:space="0" w:color="auto"/>
        <w:left w:val="none" w:sz="0" w:space="0" w:color="auto"/>
        <w:bottom w:val="none" w:sz="0" w:space="0" w:color="auto"/>
        <w:right w:val="none" w:sz="0" w:space="0" w:color="auto"/>
      </w:divBdr>
    </w:div>
    <w:div w:id="1737050396">
      <w:bodyDiv w:val="1"/>
      <w:marLeft w:val="0"/>
      <w:marRight w:val="0"/>
      <w:marTop w:val="0"/>
      <w:marBottom w:val="0"/>
      <w:divBdr>
        <w:top w:val="none" w:sz="0" w:space="0" w:color="auto"/>
        <w:left w:val="none" w:sz="0" w:space="0" w:color="auto"/>
        <w:bottom w:val="none" w:sz="0" w:space="0" w:color="auto"/>
        <w:right w:val="none" w:sz="0" w:space="0" w:color="auto"/>
      </w:divBdr>
    </w:div>
    <w:div w:id="1764495861">
      <w:bodyDiv w:val="1"/>
      <w:marLeft w:val="0"/>
      <w:marRight w:val="0"/>
      <w:marTop w:val="0"/>
      <w:marBottom w:val="0"/>
      <w:divBdr>
        <w:top w:val="none" w:sz="0" w:space="0" w:color="auto"/>
        <w:left w:val="none" w:sz="0" w:space="0" w:color="auto"/>
        <w:bottom w:val="none" w:sz="0" w:space="0" w:color="auto"/>
        <w:right w:val="none" w:sz="0" w:space="0" w:color="auto"/>
      </w:divBdr>
    </w:div>
    <w:div w:id="1792742066">
      <w:bodyDiv w:val="1"/>
      <w:marLeft w:val="0"/>
      <w:marRight w:val="0"/>
      <w:marTop w:val="0"/>
      <w:marBottom w:val="0"/>
      <w:divBdr>
        <w:top w:val="none" w:sz="0" w:space="0" w:color="auto"/>
        <w:left w:val="none" w:sz="0" w:space="0" w:color="auto"/>
        <w:bottom w:val="none" w:sz="0" w:space="0" w:color="auto"/>
        <w:right w:val="none" w:sz="0" w:space="0" w:color="auto"/>
      </w:divBdr>
    </w:div>
    <w:div w:id="1804930029">
      <w:bodyDiv w:val="1"/>
      <w:marLeft w:val="0"/>
      <w:marRight w:val="0"/>
      <w:marTop w:val="0"/>
      <w:marBottom w:val="0"/>
      <w:divBdr>
        <w:top w:val="none" w:sz="0" w:space="0" w:color="auto"/>
        <w:left w:val="none" w:sz="0" w:space="0" w:color="auto"/>
        <w:bottom w:val="none" w:sz="0" w:space="0" w:color="auto"/>
        <w:right w:val="none" w:sz="0" w:space="0" w:color="auto"/>
      </w:divBdr>
    </w:div>
    <w:div w:id="1880972740">
      <w:bodyDiv w:val="1"/>
      <w:marLeft w:val="0"/>
      <w:marRight w:val="0"/>
      <w:marTop w:val="0"/>
      <w:marBottom w:val="0"/>
      <w:divBdr>
        <w:top w:val="none" w:sz="0" w:space="0" w:color="auto"/>
        <w:left w:val="none" w:sz="0" w:space="0" w:color="auto"/>
        <w:bottom w:val="none" w:sz="0" w:space="0" w:color="auto"/>
        <w:right w:val="none" w:sz="0" w:space="0" w:color="auto"/>
      </w:divBdr>
    </w:div>
    <w:div w:id="1943996654">
      <w:bodyDiv w:val="1"/>
      <w:marLeft w:val="0"/>
      <w:marRight w:val="0"/>
      <w:marTop w:val="0"/>
      <w:marBottom w:val="0"/>
      <w:divBdr>
        <w:top w:val="none" w:sz="0" w:space="0" w:color="auto"/>
        <w:left w:val="none" w:sz="0" w:space="0" w:color="auto"/>
        <w:bottom w:val="none" w:sz="0" w:space="0" w:color="auto"/>
        <w:right w:val="none" w:sz="0" w:space="0" w:color="auto"/>
      </w:divBdr>
    </w:div>
    <w:div w:id="2088920744">
      <w:bodyDiv w:val="1"/>
      <w:marLeft w:val="0"/>
      <w:marRight w:val="0"/>
      <w:marTop w:val="0"/>
      <w:marBottom w:val="0"/>
      <w:divBdr>
        <w:top w:val="none" w:sz="0" w:space="0" w:color="auto"/>
        <w:left w:val="none" w:sz="0" w:space="0" w:color="auto"/>
        <w:bottom w:val="none" w:sz="0" w:space="0" w:color="auto"/>
        <w:right w:val="none" w:sz="0" w:space="0" w:color="auto"/>
      </w:divBdr>
    </w:div>
    <w:div w:id="2119058105">
      <w:bodyDiv w:val="1"/>
      <w:marLeft w:val="0"/>
      <w:marRight w:val="0"/>
      <w:marTop w:val="0"/>
      <w:marBottom w:val="0"/>
      <w:divBdr>
        <w:top w:val="none" w:sz="0" w:space="0" w:color="auto"/>
        <w:left w:val="none" w:sz="0" w:space="0" w:color="auto"/>
        <w:bottom w:val="none" w:sz="0" w:space="0" w:color="auto"/>
        <w:right w:val="none" w:sz="0" w:space="0" w:color="auto"/>
      </w:divBdr>
    </w:div>
    <w:div w:id="214022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ver.edu.au/publications/publications/all-publications/government-funded-student-outcomes-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bs.gov.au/ausstats/abs@.nsf/mf/6291.0.55.00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cver.edu.au/data/collection/apprentices-and-trainees-collection" TargetMode="External"/><Relationship Id="rId5" Type="http://schemas.openxmlformats.org/officeDocument/2006/relationships/settings" Target="settings.xml"/><Relationship Id="rId15" Type="http://schemas.openxmlformats.org/officeDocument/2006/relationships/image" Target="media/image1.wmf"/><Relationship Id="rId10" Type="http://schemas.openxmlformats.org/officeDocument/2006/relationships/hyperlink" Target="https://www.ncver.edu.au/data/data/infographics/historical-time-series-of-apprenticeships-and-traineeships-in-australia" TargetMode="External"/><Relationship Id="rId4" Type="http://schemas.microsoft.com/office/2007/relationships/stylesWithEffects" Target="stylesWithEffects.xml"/><Relationship Id="rId9" Type="http://schemas.openxmlformats.org/officeDocument/2006/relationships/hyperlink" Target="https://www.ncver.edu.au/publications/publications/all-publications/the-changing-nature-of-apprenticeships-1996-2016" TargetMode="External"/><Relationship Id="rId14" Type="http://schemas.openxmlformats.org/officeDocument/2006/relationships/hyperlink" Target="https://www.ncver.edu.au/data/collection/students-and-cour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4471D-CA6F-4A83-A74A-A51FC4EEE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11</Pages>
  <Words>3798</Words>
  <Characters>20663</Characters>
  <Application>Microsoft Office Word</Application>
  <DocSecurity>0</DocSecurity>
  <Lines>712</Lines>
  <Paragraphs>520</Paragraphs>
  <ScaleCrop>false</ScaleCrop>
  <HeadingPairs>
    <vt:vector size="2" baseType="variant">
      <vt:variant>
        <vt:lpstr>Title</vt:lpstr>
      </vt:variant>
      <vt:variant>
        <vt:i4>1</vt:i4>
      </vt:variant>
    </vt:vector>
  </HeadingPairs>
  <TitlesOfParts>
    <vt:vector size="1" baseType="lpstr">
      <vt:lpstr/>
    </vt:vector>
  </TitlesOfParts>
  <Company>NCVER</Company>
  <LinksUpToDate>false</LinksUpToDate>
  <CharactersWithSpaces>23941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Matheos</dc:creator>
  <cp:lastModifiedBy>Shaun Williams</cp:lastModifiedBy>
  <cp:revision>17</cp:revision>
  <cp:lastPrinted>2017-03-29T06:24:00Z</cp:lastPrinted>
  <dcterms:created xsi:type="dcterms:W3CDTF">2017-03-29T23:24:00Z</dcterms:created>
  <dcterms:modified xsi:type="dcterms:W3CDTF">2017-04-03T03:17:00Z</dcterms:modified>
</cp:coreProperties>
</file>