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7E7745" w:rsidRDefault="00503208" w:rsidP="00AC6E16">
      <w:pPr>
        <w:rPr>
          <w:b/>
        </w:rPr>
        <w:sectPr w:rsidR="00EB0AD7" w:rsidRPr="007E7745"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b/>
          <w:noProof/>
          <w:lang w:eastAsia="en-AU"/>
        </w:rPr>
        <w:drawing>
          <wp:anchor distT="0" distB="0" distL="114300" distR="114300" simplePos="0" relativeHeight="252003328" behindDoc="1" locked="0" layoutInCell="1" allowOverlap="1" wp14:anchorId="337045C0" wp14:editId="7530A0ED">
            <wp:simplePos x="0" y="0"/>
            <wp:positionH relativeFrom="column">
              <wp:posOffset>-605155</wp:posOffset>
            </wp:positionH>
            <wp:positionV relativeFrom="paragraph">
              <wp:posOffset>2804795</wp:posOffset>
            </wp:positionV>
            <wp:extent cx="7010400" cy="6429375"/>
            <wp:effectExtent l="0" t="0" r="0" b="0"/>
            <wp:wrapTight wrapText="bothSides">
              <wp:wrapPolygon edited="0">
                <wp:start x="0" y="0"/>
                <wp:lineTo x="0" y="21568"/>
                <wp:lineTo x="21541" y="21568"/>
                <wp:lineTo x="21541" y="0"/>
                <wp:lineTo x="0" y="0"/>
              </wp:wrapPolygon>
            </wp:wrapTight>
            <wp:docPr id="3" name="Picture 3" descr="P:\WorkInProgress\Christie'sPubs\Trends in VET_DP_GA\building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Christie'sPubs\Trends in VET_DP_GA\buildingblock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88" r="7960"/>
                    <a:stretch/>
                  </pic:blipFill>
                  <pic:spPr bwMode="auto">
                    <a:xfrm>
                      <a:off x="0" y="0"/>
                      <a:ext cx="7010400" cy="642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01">
        <w:rPr>
          <w:b/>
          <w:noProof/>
          <w:lang w:eastAsia="en-AU"/>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378" w:rsidRPr="0088361A" w:rsidRDefault="00B2537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" filled="f" stroked="f" strokeweight=".5pt">
                <v:path arrowok="t"/>
                <v:textbox inset="1mm,0,1mm,0">
                  <w:txbxContent>
                    <w:p w:rsidR="00B25378" w:rsidRPr="0088361A" w:rsidRDefault="00B2537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3C7D01">
        <w:rPr>
          <w:b/>
          <w:noProof/>
          <w:lang w:eastAsia="en-AU"/>
        </w:rPr>
        <mc:AlternateContent>
          <mc:Choice Requires="wps">
            <w:drawing>
              <wp:anchor distT="0" distB="0" distL="114300" distR="114300" simplePos="0" relativeHeight="251760640" behindDoc="0" locked="0" layoutInCell="1" allowOverlap="1">
                <wp:simplePos x="0" y="0"/>
                <wp:positionH relativeFrom="column">
                  <wp:posOffset>-681355</wp:posOffset>
                </wp:positionH>
                <wp:positionV relativeFrom="paragraph">
                  <wp:posOffset>633095</wp:posOffset>
                </wp:positionV>
                <wp:extent cx="6257925" cy="2933700"/>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378" w:rsidRPr="00704F86" w:rsidRDefault="00B25378" w:rsidP="00621FAA">
                            <w:pPr>
                              <w:pStyle w:val="Titlepage"/>
                              <w:spacing w:after="0"/>
                              <w:ind w:left="0"/>
                              <w:rPr>
                                <w:b/>
                                <w:color w:val="0081C6"/>
                              </w:rPr>
                            </w:pPr>
                            <w:r>
                              <w:rPr>
                                <w:b/>
                                <w:color w:val="0081C6"/>
                              </w:rPr>
                              <w:t xml:space="preserve">Trends in </w:t>
                            </w:r>
                            <w:r w:rsidRPr="0046269B">
                              <w:rPr>
                                <w:b/>
                                <w:color w:val="0081C6"/>
                              </w:rPr>
                              <w:t>VET</w:t>
                            </w:r>
                            <w:r>
                              <w:rPr>
                                <w:b/>
                                <w:color w:val="0081C6"/>
                              </w:rPr>
                              <w:t xml:space="preserve">: policy and participation </w:t>
                            </w:r>
                          </w:p>
                          <w:p w:rsidR="00B25378" w:rsidRPr="00753998" w:rsidRDefault="00B25378" w:rsidP="004F66CE">
                            <w:pPr>
                              <w:pStyle w:val="Titlepage"/>
                              <w:spacing w:before="720" w:after="0"/>
                              <w:ind w:left="0"/>
                              <w:rPr>
                                <w:b/>
                                <w:color w:val="595959" w:themeColor="text1" w:themeTint="A6"/>
                                <w:sz w:val="27"/>
                                <w:szCs w:val="27"/>
                              </w:rPr>
                            </w:pPr>
                            <w:r>
                              <w:rPr>
                                <w:b/>
                                <w:color w:val="595959" w:themeColor="text1" w:themeTint="A6"/>
                                <w:sz w:val="27"/>
                                <w:szCs w:val="27"/>
                              </w:rPr>
                              <w:t>Georgina Atkinson</w:t>
                            </w:r>
                            <w:r>
                              <w:rPr>
                                <w:b/>
                                <w:color w:val="595959" w:themeColor="text1" w:themeTint="A6"/>
                                <w:sz w:val="27"/>
                                <w:szCs w:val="27"/>
                              </w:rPr>
                              <w:br/>
                              <w:t>John Stanwick</w:t>
                            </w:r>
                          </w:p>
                          <w:p w:rsidR="00B25378" w:rsidRDefault="00B25378"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 (NCVER)</w:t>
                            </w:r>
                          </w:p>
                          <w:p w:rsidR="00B25378" w:rsidRPr="00360FAD" w:rsidRDefault="00B25378"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3.65pt;margin-top:49.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FkQIAAIEFAAAOAAAAZHJzL2Uyb0RvYy54bWysVN9P2zAQfp+0/8Hy+0gbW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" filled="f" stroked="f" strokeweight=".5pt">
                <v:path arrowok="t"/>
                <v:textbox inset=",,,0">
                  <w:txbxContent>
                    <w:p w:rsidR="00B25378" w:rsidRPr="00704F86" w:rsidRDefault="00B25378" w:rsidP="00621FAA">
                      <w:pPr>
                        <w:pStyle w:val="Titlepage"/>
                        <w:spacing w:after="0"/>
                        <w:ind w:left="0"/>
                        <w:rPr>
                          <w:b/>
                          <w:color w:val="0081C6"/>
                        </w:rPr>
                      </w:pPr>
                      <w:r>
                        <w:rPr>
                          <w:b/>
                          <w:color w:val="0081C6"/>
                        </w:rPr>
                        <w:t xml:space="preserve">Trends in </w:t>
                      </w:r>
                      <w:r w:rsidRPr="0046269B">
                        <w:rPr>
                          <w:b/>
                          <w:color w:val="0081C6"/>
                        </w:rPr>
                        <w:t>VET</w:t>
                      </w:r>
                      <w:r>
                        <w:rPr>
                          <w:b/>
                          <w:color w:val="0081C6"/>
                        </w:rPr>
                        <w:t xml:space="preserve">: policy and participation </w:t>
                      </w:r>
                    </w:p>
                    <w:p w:rsidR="00B25378" w:rsidRPr="00753998" w:rsidRDefault="00B25378" w:rsidP="004F66CE">
                      <w:pPr>
                        <w:pStyle w:val="Titlepage"/>
                        <w:spacing w:before="720" w:after="0"/>
                        <w:ind w:left="0"/>
                        <w:rPr>
                          <w:b/>
                          <w:color w:val="595959" w:themeColor="text1" w:themeTint="A6"/>
                          <w:sz w:val="27"/>
                          <w:szCs w:val="27"/>
                        </w:rPr>
                      </w:pPr>
                      <w:r>
                        <w:rPr>
                          <w:b/>
                          <w:color w:val="595959" w:themeColor="text1" w:themeTint="A6"/>
                          <w:sz w:val="27"/>
                          <w:szCs w:val="27"/>
                        </w:rPr>
                        <w:t>Georgina Atkinson</w:t>
                      </w:r>
                      <w:r>
                        <w:rPr>
                          <w:b/>
                          <w:color w:val="595959" w:themeColor="text1" w:themeTint="A6"/>
                          <w:sz w:val="27"/>
                          <w:szCs w:val="27"/>
                        </w:rPr>
                        <w:br/>
                        <w:t>John Stanwick</w:t>
                      </w:r>
                    </w:p>
                    <w:p w:rsidR="00B25378" w:rsidRDefault="00B25378"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 (NCVER)</w:t>
                      </w:r>
                    </w:p>
                    <w:p w:rsidR="00B25378" w:rsidRPr="00360FAD" w:rsidRDefault="00B25378" w:rsidP="004E1A1B">
                      <w:pPr>
                        <w:pStyle w:val="Titlepage"/>
                        <w:spacing w:after="0"/>
                        <w:ind w:left="0"/>
                        <w:rPr>
                          <w:color w:val="595959" w:themeColor="text1" w:themeTint="A6"/>
                          <w:sz w:val="27"/>
                          <w:szCs w:val="27"/>
                        </w:rPr>
                      </w:pPr>
                    </w:p>
                  </w:txbxContent>
                </v:textbox>
              </v:shape>
            </w:pict>
          </mc:Fallback>
        </mc:AlternateContent>
      </w:r>
      <w:r w:rsidR="00970694" w:rsidRPr="007E7745">
        <w:rPr>
          <w:b/>
          <w:noProof/>
          <w:lang w:eastAsia="en-AU"/>
        </w:rPr>
        <w:drawing>
          <wp:anchor distT="0" distB="0" distL="114300" distR="114300" simplePos="0" relativeHeight="251979776" behindDoc="1" locked="0" layoutInCell="1" allowOverlap="1" wp14:anchorId="564575EC" wp14:editId="41C9B32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3C7D01">
        <w:rPr>
          <w:b/>
          <w:noProof/>
          <w:lang w:eastAsia="en-AU"/>
        </w:rPr>
        <mc:AlternateContent>
          <mc:Choice Requires="wps">
            <w:drawing>
              <wp:anchor distT="4294967294" distB="4294967294" distL="114300" distR="114300" simplePos="0" relativeHeight="251762688" behindDoc="0" locked="0" layoutInCell="1" allowOverlap="1">
                <wp:simplePos x="0" y="0"/>
                <wp:positionH relativeFrom="column">
                  <wp:posOffset>-582295</wp:posOffset>
                </wp:positionH>
                <wp:positionV relativeFrom="paragraph">
                  <wp:posOffset>1743709</wp:posOffset>
                </wp:positionV>
                <wp:extent cx="2115820" cy="0"/>
                <wp:effectExtent l="0" t="0" r="17780" b="19050"/>
                <wp:wrapNone/>
                <wp:docPr id="4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" strokecolor="black [3213]" strokeweight="1pt">
                <o:lock v:ext="edit" shapetype="f"/>
              </v:line>
            </w:pict>
          </mc:Fallback>
        </mc:AlternateContent>
      </w:r>
      <w:r w:rsidR="006475E3" w:rsidRPr="007E7745">
        <w:rPr>
          <w:b/>
          <w:noProof/>
          <w:lang w:eastAsia="en-AU"/>
        </w:rPr>
        <w:drawing>
          <wp:anchor distT="0" distB="0" distL="114300" distR="114300" simplePos="0" relativeHeight="251797504" behindDoc="0" locked="0" layoutInCell="1" allowOverlap="1" wp14:anchorId="4F031FF2" wp14:editId="45ED7116">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rsidRPr="007E7745">
        <w:rPr>
          <w:b/>
        </w:rPr>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297501" w:rsidRDefault="00297501" w:rsidP="00503208">
      <w:pPr>
        <w:pStyle w:val="Imprint"/>
      </w:pPr>
      <w:r>
        <w:t xml:space="preserve">For clarity when viewing figures, please print this document in colour. </w:t>
      </w:r>
    </w:p>
    <w:p w:rsidR="00503208" w:rsidRDefault="00503208" w:rsidP="00503208">
      <w:pPr>
        <w:pStyle w:val="Imprint"/>
      </w:pPr>
      <w:r>
        <w:t>The views and opinions expressed in this document are those of the author/project team and do not necessarily reflect the views of the Australian Government, or state and territory governments. Any interpretation of data is the responsibility of the author/project team.</w:t>
      </w:r>
    </w:p>
    <w:p w:rsidR="00503208" w:rsidRDefault="00503208" w:rsidP="00503208">
      <w:pPr>
        <w:pStyle w:val="Imprint"/>
        <w:ind w:right="-1"/>
      </w:pPr>
      <w:r>
        <w:t xml:space="preserve">To find other material of interest, search </w:t>
      </w:r>
      <w:proofErr w:type="spellStart"/>
      <w:r>
        <w:t>VOCEDplus</w:t>
      </w:r>
      <w:proofErr w:type="spellEnd"/>
      <w:r>
        <w:t xml:space="preserve"> (the UNESCO/NCVER international database &lt;</w:t>
      </w:r>
      <w:hyperlink r:id="rId12" w:history="1">
        <w:r>
          <w:rPr>
            <w:rStyle w:val="Hyperlink"/>
          </w:rPr>
          <w:t>http://www.voced.edu.au</w:t>
        </w:r>
      </w:hyperlink>
      <w:r>
        <w:t xml:space="preserve">&gt;) using the following keywords: </w:t>
      </w:r>
      <w:r>
        <w:rPr>
          <w:i/>
        </w:rPr>
        <w:t>Apprenticeship; Education and training reform; Education and training system; Finance; Outcomes; Participation; Policy; Providers of education and training; Traineeship; Training market; Trend; Vocational education and training.</w:t>
      </w:r>
    </w:p>
    <w:p w:rsidR="00C83D73" w:rsidRDefault="0055162D" w:rsidP="007C667B">
      <w:pPr>
        <w:sectPr w:rsidR="00C83D73"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22691261" wp14:editId="33F2D494">
            <wp:simplePos x="0" y="0"/>
            <wp:positionH relativeFrom="column">
              <wp:posOffset>2135505</wp:posOffset>
            </wp:positionH>
            <wp:positionV relativeFrom="paragraph">
              <wp:posOffset>6599926</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107CFA89" wp14:editId="25A41291">
            <wp:simplePos x="0" y="0"/>
            <wp:positionH relativeFrom="column">
              <wp:posOffset>553085</wp:posOffset>
            </wp:positionH>
            <wp:positionV relativeFrom="paragraph">
              <wp:posOffset>6592306</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3C7D01">
        <w:rPr>
          <w:noProof/>
          <w:lang w:eastAsia="en-AU"/>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1005840</wp:posOffset>
                </wp:positionV>
                <wp:extent cx="5596890" cy="5791200"/>
                <wp:effectExtent l="0" t="0" r="381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378" w:rsidRPr="00A021FC" w:rsidRDefault="00B25378" w:rsidP="007C667B">
                            <w:pPr>
                              <w:pStyle w:val="Imprint"/>
                              <w:rPr>
                                <w:b/>
                              </w:rPr>
                            </w:pPr>
                            <w:r w:rsidRPr="00A021FC">
                              <w:rPr>
                                <w:b/>
                              </w:rPr>
                              <w:t xml:space="preserve">© </w:t>
                            </w:r>
                            <w:r w:rsidRPr="00503208">
                              <w:rPr>
                                <w:b/>
                              </w:rPr>
                              <w:t>National Centre for Vocational Education Research, 2016</w:t>
                            </w:r>
                          </w:p>
                          <w:p w:rsidR="00B25378" w:rsidRDefault="00B25378" w:rsidP="007C667B">
                            <w:pPr>
                              <w:pStyle w:val="Imprint"/>
                              <w:rPr>
                                <w:sz w:val="20"/>
                              </w:rPr>
                            </w:pPr>
                            <w:r w:rsidRPr="00E80270">
                              <w:rPr>
                                <w:noProof/>
                                <w:sz w:val="20"/>
                                <w:lang w:eastAsia="en-AU"/>
                              </w:rPr>
                              <w:drawing>
                                <wp:inline distT="0" distB="0" distL="0" distR="0" wp14:anchorId="2A6361A4" wp14:editId="41A596C9">
                                  <wp:extent cx="850265" cy="302895"/>
                                  <wp:effectExtent l="19050" t="0" r="6985" b="0"/>
                                  <wp:docPr id="29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r>
                              <w:rPr>
                                <w:sz w:val="20"/>
                              </w:rPr>
                              <w:br/>
                            </w:r>
                          </w:p>
                          <w:p w:rsidR="00B25378" w:rsidRDefault="00B25378" w:rsidP="00503208">
                            <w:pPr>
                              <w:pStyle w:val="BodyText"/>
                              <w:rPr>
                                <w:rFonts w:ascii="Trebuchet MS" w:hAnsi="Trebuchet MS"/>
                                <w:b/>
                                <w:bCs/>
                                <w:lang w:val="en-US"/>
                              </w:rPr>
                            </w:pPr>
                            <w:r>
                              <w:rPr>
                                <w:rFonts w:ascii="Trebuchet MS" w:hAnsi="Trebuchet MS"/>
                                <w:lang w:val="en-US"/>
                              </w:rPr>
                              <w:t xml:space="preserve">With the exception of cover design, artwork, photographs, all logos, and any other material where copyright is owned by a third party, all material presented in this document </w:t>
                            </w:r>
                            <w:proofErr w:type="gramStart"/>
                            <w:r>
                              <w:rPr>
                                <w:rFonts w:ascii="Trebuchet MS" w:hAnsi="Trebuchet MS"/>
                                <w:lang w:val="en-US"/>
                              </w:rPr>
                              <w:t>is</w:t>
                            </w:r>
                            <w:proofErr w:type="gramEnd"/>
                            <w:r>
                              <w:rPr>
                                <w:rFonts w:ascii="Trebuchet MS" w:hAnsi="Trebuchet MS"/>
                                <w:lang w:val="en-US"/>
                              </w:rPr>
                              <w:t xml:space="preserve"> provided under a Creative Commons Attribution 3.0 Australia </w:t>
                            </w:r>
                            <w:r w:rsidRPr="00B520A2">
                              <w:rPr>
                                <w:rFonts w:ascii="Trebuchet MS" w:hAnsi="Trebuchet MS"/>
                                <w:lang w:val="en-US"/>
                              </w:rPr>
                              <w:t>&lt;</w:t>
                            </w:r>
                            <w:hyperlink r:id="rId18" w:history="1">
                              <w:r w:rsidRPr="00B520A2">
                                <w:rPr>
                                  <w:rStyle w:val="Hyperlink"/>
                                  <w:sz w:val="16"/>
                                  <w:lang w:val="en-US"/>
                                </w:rPr>
                                <w:t>http://creativecommons.org/licenses/by/3.0/au</w:t>
                              </w:r>
                            </w:hyperlink>
                            <w:r w:rsidRPr="00B520A2">
                              <w:rPr>
                                <w:rFonts w:ascii="Trebuchet MS" w:hAnsi="Trebuchet MS"/>
                                <w:lang w:val="en-US"/>
                              </w:rPr>
                              <w:t>&gt;.</w:t>
                            </w:r>
                            <w:r>
                              <w:rPr>
                                <w:rFonts w:ascii="Trebuchet MS" w:hAnsi="Trebuchet MS"/>
                                <w:lang w:val="en-US"/>
                              </w:rPr>
                              <w:t xml:space="preserve"> </w:t>
                            </w:r>
                          </w:p>
                          <w:p w:rsidR="00B25378" w:rsidRDefault="00B25378" w:rsidP="00503208">
                            <w:pPr>
                              <w:pStyle w:val="BodyText"/>
                              <w:rPr>
                                <w:rFonts w:ascii="Trebuchet MS" w:hAnsi="Trebuchet MS"/>
                                <w:b/>
                                <w:bCs/>
                                <w:lang w:val="en-US"/>
                              </w:rPr>
                            </w:pPr>
                            <w:r>
                              <w:rPr>
                                <w:rFonts w:ascii="Trebuchet MS" w:hAnsi="Trebuchet MS"/>
                                <w:lang w:val="en-US"/>
                              </w:rPr>
                              <w:t xml:space="preserve">NCVER is an independent body responsible for collecting, managing and </w:t>
                            </w:r>
                            <w:proofErr w:type="spellStart"/>
                            <w:r>
                              <w:rPr>
                                <w:rFonts w:ascii="Trebuchet MS" w:hAnsi="Trebuchet MS"/>
                                <w:lang w:val="en-US"/>
                              </w:rPr>
                              <w:t>analysing</w:t>
                            </w:r>
                            <w:proofErr w:type="spellEnd"/>
                            <w:r>
                              <w:rPr>
                                <w:rFonts w:ascii="Trebuchet MS" w:hAnsi="Trebuchet MS"/>
                                <w:lang w:val="en-US"/>
                              </w:rPr>
                              <w:t>, evaluating and communicating research and statistics about vocational education and training (VET).</w:t>
                            </w:r>
                          </w:p>
                          <w:p w:rsidR="00B25378" w:rsidRDefault="00B25378" w:rsidP="00503208">
                            <w:pPr>
                              <w:pStyle w:val="BodyText"/>
                              <w:rPr>
                                <w:rFonts w:ascii="Trebuchet MS" w:hAnsi="Trebuchet MS"/>
                                <w:lang w:val="en-US"/>
                              </w:rPr>
                            </w:pPr>
                            <w:r>
                              <w:rPr>
                                <w:rFonts w:ascii="Trebuchet MS" w:hAnsi="Trebuchet MS"/>
                                <w:lang w:val="en-US"/>
                              </w:rPr>
                              <w:t xml:space="preserve">NCVER’s </w:t>
                            </w:r>
                            <w:proofErr w:type="spellStart"/>
                            <w:r>
                              <w:rPr>
                                <w:rFonts w:ascii="Trebuchet MS" w:hAnsi="Trebuchet MS"/>
                                <w:lang w:val="en-US"/>
                              </w:rPr>
                              <w:t>inhouse</w:t>
                            </w:r>
                            <w:proofErr w:type="spellEnd"/>
                            <w:r>
                              <w:rPr>
                                <w:rFonts w:ascii="Trebuchet MS" w:hAnsi="Trebuchet MS"/>
                                <w:lang w:val="en-US"/>
                              </w:rPr>
                              <w:t xml:space="preserve"> research and evaluation program undertakes projects which are strategic to the VET sector. These projects are developed and conducted by NCVER’s research staff and are funded by NCVER. This research aims to improve policy and practice in the VET sector.</w:t>
                            </w:r>
                          </w:p>
                          <w:p w:rsidR="00B25378" w:rsidRDefault="00B25378" w:rsidP="00503208">
                            <w:pPr>
                              <w:pStyle w:val="BodyText"/>
                              <w:rPr>
                                <w:rFonts w:ascii="Trebuchet MS" w:hAnsi="Trebuchet MS"/>
                                <w:b/>
                                <w:bCs/>
                                <w:lang w:val="en-US"/>
                              </w:rPr>
                            </w:pPr>
                            <w:r>
                              <w:rPr>
                                <w:rFonts w:ascii="Trebuchet MS" w:hAnsi="Trebuchet MS"/>
                                <w:lang w:val="en-US"/>
                              </w:rPr>
                              <w:t xml:space="preserve">This document should be attributed as Atkinson, G &amp; Stanwick, J 2016, </w:t>
                            </w:r>
                            <w:r>
                              <w:rPr>
                                <w:rFonts w:ascii="Trebuchet MS" w:hAnsi="Trebuchet MS"/>
                                <w:i/>
                                <w:iCs/>
                                <w:lang w:val="en-US"/>
                              </w:rPr>
                              <w:t>Trends in VET: policy and participation</w:t>
                            </w:r>
                            <w:r>
                              <w:rPr>
                                <w:rFonts w:ascii="Trebuchet MS" w:hAnsi="Trebuchet MS"/>
                                <w:lang w:val="en-US"/>
                              </w:rPr>
                              <w:t>, NCVER, Adelaide.</w:t>
                            </w:r>
                          </w:p>
                          <w:p w:rsidR="00B25378" w:rsidRDefault="00B25378" w:rsidP="00503208">
                            <w:pPr>
                              <w:pStyle w:val="Imprint"/>
                              <w:ind w:right="1700"/>
                              <w:rPr>
                                <w:color w:val="000000"/>
                              </w:rPr>
                            </w:pPr>
                            <w:r>
                              <w:rPr>
                                <w:smallCaps/>
                                <w:color w:val="000000"/>
                              </w:rPr>
                              <w:t>COVER IMAGE: GETTY IMAGES/</w:t>
                            </w:r>
                            <w:proofErr w:type="spellStart"/>
                            <w:r>
                              <w:rPr>
                                <w:color w:val="000000"/>
                              </w:rPr>
                              <w:t>iStock</w:t>
                            </w:r>
                            <w:proofErr w:type="spellEnd"/>
                          </w:p>
                          <w:p w:rsidR="00B25378" w:rsidRDefault="00B25378" w:rsidP="00503208">
                            <w:pPr>
                              <w:pStyle w:val="Imprint"/>
                              <w:rPr>
                                <w:color w:val="000000"/>
                              </w:rPr>
                            </w:pPr>
                            <w:r>
                              <w:rPr>
                                <w:color w:val="000000"/>
                              </w:rPr>
                              <w:t xml:space="preserve">ISBN </w:t>
                            </w:r>
                            <w:r>
                              <w:rPr>
                                <w:color w:val="000000"/>
                              </w:rPr>
                              <w:tab/>
                              <w:t>978 1 925173 61 1</w:t>
                            </w:r>
                          </w:p>
                          <w:p w:rsidR="00B25378" w:rsidRDefault="00B25378" w:rsidP="00503208">
                            <w:pPr>
                              <w:pStyle w:val="Imprint"/>
                              <w:spacing w:before="0"/>
                              <w:rPr>
                                <w:color w:val="000000"/>
                              </w:rPr>
                            </w:pPr>
                            <w:r>
                              <w:rPr>
                                <w:color w:val="000000"/>
                              </w:rPr>
                              <w:t>TD/TNC</w:t>
                            </w:r>
                            <w:r>
                              <w:rPr>
                                <w:color w:val="000000"/>
                              </w:rPr>
                              <w:tab/>
                              <w:t>125.05</w:t>
                            </w:r>
                          </w:p>
                          <w:p w:rsidR="00B25378" w:rsidRDefault="00B25378" w:rsidP="00503208">
                            <w:pPr>
                              <w:pStyle w:val="Imprint"/>
                              <w:ind w:right="1700"/>
                              <w:rPr>
                                <w:color w:val="000000"/>
                              </w:rPr>
                            </w:pPr>
                            <w:r>
                              <w:rPr>
                                <w:color w:val="000000"/>
                              </w:rPr>
                              <w:t>Published by NCVER, ABN 87 007 967 311</w:t>
                            </w:r>
                          </w:p>
                          <w:p w:rsidR="00B25378" w:rsidRDefault="00B25378" w:rsidP="00503208">
                            <w:pPr>
                              <w:pStyle w:val="Imprint"/>
                              <w:spacing w:before="80"/>
                              <w:rPr>
                                <w:color w:val="000000"/>
                              </w:rPr>
                            </w:pPr>
                            <w:r>
                              <w:rPr>
                                <w:color w:val="000000"/>
                              </w:rPr>
                              <w:t>Level 11, 33 King William Street, Adelaide, SA 5000</w:t>
                            </w:r>
                            <w:r>
                              <w:rPr>
                                <w:color w:val="000000"/>
                              </w:rPr>
                              <w:br/>
                              <w:t>PO Box 8288 Station Arcade, Adelaide SA 5000, Australia</w:t>
                            </w:r>
                          </w:p>
                          <w:p w:rsidR="00B25378" w:rsidRDefault="00B25378" w:rsidP="00503208">
                            <w:pPr>
                              <w:pStyle w:val="Imprint"/>
                              <w:tabs>
                                <w:tab w:val="left" w:pos="2127"/>
                              </w:tabs>
                            </w:pPr>
                            <w:r>
                              <w:rPr>
                                <w:b/>
                              </w:rPr>
                              <w:t>Phone</w:t>
                            </w:r>
                            <w:r>
                              <w:t xml:space="preserve"> +61 8 8230 8400     </w:t>
                            </w:r>
                            <w:r>
                              <w:tab/>
                            </w:r>
                            <w:r>
                              <w:rPr>
                                <w:b/>
                              </w:rPr>
                              <w:t>Fax</w:t>
                            </w:r>
                            <w:r>
                              <w:t xml:space="preserve"> +61 8 8212 3436</w:t>
                            </w:r>
                          </w:p>
                          <w:p w:rsidR="00B25378" w:rsidRDefault="00B25378" w:rsidP="00503208">
                            <w:pPr>
                              <w:pStyle w:val="Imprint"/>
                              <w:tabs>
                                <w:tab w:val="left" w:pos="2127"/>
                              </w:tabs>
                              <w:spacing w:before="0"/>
                            </w:pPr>
                            <w:r>
                              <w:rPr>
                                <w:b/>
                              </w:rPr>
                              <w:t>Email</w:t>
                            </w:r>
                            <w:r>
                              <w:t xml:space="preserve"> </w:t>
                            </w:r>
                            <w:hyperlink r:id="rId19" w:history="1">
                              <w:r w:rsidRPr="00C14E9F">
                                <w:rPr>
                                  <w:rStyle w:val="Hyperlink"/>
                                  <w:sz w:val="16"/>
                                  <w:szCs w:val="16"/>
                                </w:rPr>
                                <w:t>ncver@ncver.edu.au</w:t>
                              </w:r>
                            </w:hyperlink>
                            <w:r>
                              <w:t xml:space="preserve">    </w:t>
                            </w:r>
                            <w:r>
                              <w:rPr>
                                <w:b/>
                              </w:rPr>
                              <w:t>Web</w:t>
                            </w:r>
                            <w:r>
                              <w:t xml:space="preserve"> &lt;http://www.ncver.edu.au</w:t>
                            </w:r>
                            <w:proofErr w:type="gramStart"/>
                            <w:r>
                              <w:t xml:space="preserve">&gt;  </w:t>
                            </w:r>
                            <w:r w:rsidRPr="00C14E9F">
                              <w:rPr>
                                <w:szCs w:val="16"/>
                              </w:rPr>
                              <w:t>&lt;</w:t>
                            </w:r>
                            <w:proofErr w:type="gramEnd"/>
                            <w:r>
                              <w:fldChar w:fldCharType="begin"/>
                            </w:r>
                            <w:r>
                              <w:instrText xml:space="preserve"> HYPERLINK "http://www.lsay.edu.au" </w:instrText>
                            </w:r>
                            <w:r>
                              <w:fldChar w:fldCharType="separate"/>
                            </w:r>
                            <w:r w:rsidRPr="00C14E9F">
                              <w:rPr>
                                <w:rStyle w:val="Hyperlink"/>
                                <w:sz w:val="16"/>
                                <w:szCs w:val="16"/>
                              </w:rPr>
                              <w:t>http://www.lsay.edu.au</w:t>
                            </w:r>
                            <w:r>
                              <w:rPr>
                                <w:rStyle w:val="Hyperlink"/>
                                <w:sz w:val="16"/>
                                <w:szCs w:val="16"/>
                              </w:rPr>
                              <w:fldChar w:fldCharType="end"/>
                            </w:r>
                            <w:r w:rsidRPr="00C14E9F">
                              <w:rPr>
                                <w:szCs w:val="16"/>
                              </w:rPr>
                              <w:t>&gt;</w:t>
                            </w:r>
                          </w:p>
                          <w:p w:rsidR="00B25378" w:rsidRPr="00D212FA" w:rsidRDefault="00B25378" w:rsidP="00503208">
                            <w:pPr>
                              <w:pStyle w:val="Imprint"/>
                              <w:tabs>
                                <w:tab w:val="left" w:pos="993"/>
                                <w:tab w:val="left" w:pos="3686"/>
                              </w:tabs>
                              <w:spacing w:before="0"/>
                            </w:pPr>
                            <w:r>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9.2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RytgIAALs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" filled="f" stroked="f">
                <v:textbox inset="0,,0">
                  <w:txbxContent>
                    <w:p w:rsidR="00B25378" w:rsidRPr="00A021FC" w:rsidRDefault="00B25378" w:rsidP="007C667B">
                      <w:pPr>
                        <w:pStyle w:val="Imprint"/>
                        <w:rPr>
                          <w:b/>
                        </w:rPr>
                      </w:pPr>
                      <w:r w:rsidRPr="00A021FC">
                        <w:rPr>
                          <w:b/>
                        </w:rPr>
                        <w:t xml:space="preserve">© </w:t>
                      </w:r>
                      <w:r w:rsidRPr="00503208">
                        <w:rPr>
                          <w:b/>
                        </w:rPr>
                        <w:t>National Centre for Vocational Education Research, 2016</w:t>
                      </w:r>
                    </w:p>
                    <w:p w:rsidR="00B25378" w:rsidRDefault="00B25378" w:rsidP="007C667B">
                      <w:pPr>
                        <w:pStyle w:val="Imprint"/>
                        <w:rPr>
                          <w:sz w:val="20"/>
                        </w:rPr>
                      </w:pPr>
                      <w:r w:rsidRPr="00E80270">
                        <w:rPr>
                          <w:noProof/>
                          <w:sz w:val="20"/>
                          <w:lang w:eastAsia="en-AU"/>
                        </w:rPr>
                        <w:drawing>
                          <wp:inline distT="0" distB="0" distL="0" distR="0" wp14:anchorId="2A6361A4" wp14:editId="41A596C9">
                            <wp:extent cx="850265" cy="302895"/>
                            <wp:effectExtent l="19050" t="0" r="6985" b="0"/>
                            <wp:docPr id="29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r>
                        <w:rPr>
                          <w:sz w:val="20"/>
                        </w:rPr>
                        <w:br/>
                      </w:r>
                    </w:p>
                    <w:p w:rsidR="00B25378" w:rsidRDefault="00B25378" w:rsidP="00503208">
                      <w:pPr>
                        <w:pStyle w:val="BodyText"/>
                        <w:rPr>
                          <w:rFonts w:ascii="Trebuchet MS" w:hAnsi="Trebuchet MS"/>
                          <w:b/>
                          <w:bCs/>
                          <w:lang w:val="en-US"/>
                        </w:rPr>
                      </w:pPr>
                      <w:r>
                        <w:rPr>
                          <w:rFonts w:ascii="Trebuchet MS" w:hAnsi="Trebuchet MS"/>
                          <w:lang w:val="en-US"/>
                        </w:rPr>
                        <w:t xml:space="preserve">With the exception of cover design, artwork, photographs, all logos, and any other material where copyright is owned by a third party, all material presented in this document </w:t>
                      </w:r>
                      <w:proofErr w:type="gramStart"/>
                      <w:r>
                        <w:rPr>
                          <w:rFonts w:ascii="Trebuchet MS" w:hAnsi="Trebuchet MS"/>
                          <w:lang w:val="en-US"/>
                        </w:rPr>
                        <w:t>is</w:t>
                      </w:r>
                      <w:proofErr w:type="gramEnd"/>
                      <w:r>
                        <w:rPr>
                          <w:rFonts w:ascii="Trebuchet MS" w:hAnsi="Trebuchet MS"/>
                          <w:lang w:val="en-US"/>
                        </w:rPr>
                        <w:t xml:space="preserve"> provided under a Creative Commons Attribution 3.0 Australia </w:t>
                      </w:r>
                      <w:r w:rsidRPr="00B520A2">
                        <w:rPr>
                          <w:rFonts w:ascii="Trebuchet MS" w:hAnsi="Trebuchet MS"/>
                          <w:lang w:val="en-US"/>
                        </w:rPr>
                        <w:t>&lt;</w:t>
                      </w:r>
                      <w:hyperlink r:id="rId21" w:history="1">
                        <w:r w:rsidRPr="00B520A2">
                          <w:rPr>
                            <w:rStyle w:val="Hyperlink"/>
                            <w:sz w:val="16"/>
                            <w:lang w:val="en-US"/>
                          </w:rPr>
                          <w:t>http://creativecommons.org/licenses/by/3.0/au</w:t>
                        </w:r>
                      </w:hyperlink>
                      <w:r w:rsidRPr="00B520A2">
                        <w:rPr>
                          <w:rFonts w:ascii="Trebuchet MS" w:hAnsi="Trebuchet MS"/>
                          <w:lang w:val="en-US"/>
                        </w:rPr>
                        <w:t>&gt;.</w:t>
                      </w:r>
                      <w:r>
                        <w:rPr>
                          <w:rFonts w:ascii="Trebuchet MS" w:hAnsi="Trebuchet MS"/>
                          <w:lang w:val="en-US"/>
                        </w:rPr>
                        <w:t xml:space="preserve"> </w:t>
                      </w:r>
                    </w:p>
                    <w:p w:rsidR="00B25378" w:rsidRDefault="00B25378" w:rsidP="00503208">
                      <w:pPr>
                        <w:pStyle w:val="BodyText"/>
                        <w:rPr>
                          <w:rFonts w:ascii="Trebuchet MS" w:hAnsi="Trebuchet MS"/>
                          <w:b/>
                          <w:bCs/>
                          <w:lang w:val="en-US"/>
                        </w:rPr>
                      </w:pPr>
                      <w:r>
                        <w:rPr>
                          <w:rFonts w:ascii="Trebuchet MS" w:hAnsi="Trebuchet MS"/>
                          <w:lang w:val="en-US"/>
                        </w:rPr>
                        <w:t xml:space="preserve">NCVER is an independent body responsible for collecting, managing and </w:t>
                      </w:r>
                      <w:proofErr w:type="spellStart"/>
                      <w:r>
                        <w:rPr>
                          <w:rFonts w:ascii="Trebuchet MS" w:hAnsi="Trebuchet MS"/>
                          <w:lang w:val="en-US"/>
                        </w:rPr>
                        <w:t>analysing</w:t>
                      </w:r>
                      <w:proofErr w:type="spellEnd"/>
                      <w:r>
                        <w:rPr>
                          <w:rFonts w:ascii="Trebuchet MS" w:hAnsi="Trebuchet MS"/>
                          <w:lang w:val="en-US"/>
                        </w:rPr>
                        <w:t>, evaluating and communicating research and statistics about vocational education and training (VET).</w:t>
                      </w:r>
                    </w:p>
                    <w:p w:rsidR="00B25378" w:rsidRDefault="00B25378" w:rsidP="00503208">
                      <w:pPr>
                        <w:pStyle w:val="BodyText"/>
                        <w:rPr>
                          <w:rFonts w:ascii="Trebuchet MS" w:hAnsi="Trebuchet MS"/>
                          <w:lang w:val="en-US"/>
                        </w:rPr>
                      </w:pPr>
                      <w:r>
                        <w:rPr>
                          <w:rFonts w:ascii="Trebuchet MS" w:hAnsi="Trebuchet MS"/>
                          <w:lang w:val="en-US"/>
                        </w:rPr>
                        <w:t xml:space="preserve">NCVER’s </w:t>
                      </w:r>
                      <w:proofErr w:type="spellStart"/>
                      <w:r>
                        <w:rPr>
                          <w:rFonts w:ascii="Trebuchet MS" w:hAnsi="Trebuchet MS"/>
                          <w:lang w:val="en-US"/>
                        </w:rPr>
                        <w:t>inhouse</w:t>
                      </w:r>
                      <w:proofErr w:type="spellEnd"/>
                      <w:r>
                        <w:rPr>
                          <w:rFonts w:ascii="Trebuchet MS" w:hAnsi="Trebuchet MS"/>
                          <w:lang w:val="en-US"/>
                        </w:rPr>
                        <w:t xml:space="preserve"> research and evaluation program undertakes projects which are strategic to the VET sector. These projects are developed and conducted by NCVER’s research staff and are funded by NCVER. This research aims to improve policy and practice in the VET sector.</w:t>
                      </w:r>
                    </w:p>
                    <w:p w:rsidR="00B25378" w:rsidRDefault="00B25378" w:rsidP="00503208">
                      <w:pPr>
                        <w:pStyle w:val="BodyText"/>
                        <w:rPr>
                          <w:rFonts w:ascii="Trebuchet MS" w:hAnsi="Trebuchet MS"/>
                          <w:b/>
                          <w:bCs/>
                          <w:lang w:val="en-US"/>
                        </w:rPr>
                      </w:pPr>
                      <w:r>
                        <w:rPr>
                          <w:rFonts w:ascii="Trebuchet MS" w:hAnsi="Trebuchet MS"/>
                          <w:lang w:val="en-US"/>
                        </w:rPr>
                        <w:t xml:space="preserve">This document should be attributed as Atkinson, G &amp; Stanwick, J 2016, </w:t>
                      </w:r>
                      <w:r>
                        <w:rPr>
                          <w:rFonts w:ascii="Trebuchet MS" w:hAnsi="Trebuchet MS"/>
                          <w:i/>
                          <w:iCs/>
                          <w:lang w:val="en-US"/>
                        </w:rPr>
                        <w:t>Trends in VET: policy and participation</w:t>
                      </w:r>
                      <w:r>
                        <w:rPr>
                          <w:rFonts w:ascii="Trebuchet MS" w:hAnsi="Trebuchet MS"/>
                          <w:lang w:val="en-US"/>
                        </w:rPr>
                        <w:t>, NCVER, Adelaide.</w:t>
                      </w:r>
                    </w:p>
                    <w:p w:rsidR="00B25378" w:rsidRDefault="00B25378" w:rsidP="00503208">
                      <w:pPr>
                        <w:pStyle w:val="Imprint"/>
                        <w:ind w:right="1700"/>
                        <w:rPr>
                          <w:color w:val="000000"/>
                        </w:rPr>
                      </w:pPr>
                      <w:r>
                        <w:rPr>
                          <w:smallCaps/>
                          <w:color w:val="000000"/>
                        </w:rPr>
                        <w:t>COVER IMAGE: GETTY IMAGES/</w:t>
                      </w:r>
                      <w:proofErr w:type="spellStart"/>
                      <w:r>
                        <w:rPr>
                          <w:color w:val="000000"/>
                        </w:rPr>
                        <w:t>iStock</w:t>
                      </w:r>
                      <w:proofErr w:type="spellEnd"/>
                    </w:p>
                    <w:p w:rsidR="00B25378" w:rsidRDefault="00B25378" w:rsidP="00503208">
                      <w:pPr>
                        <w:pStyle w:val="Imprint"/>
                        <w:rPr>
                          <w:color w:val="000000"/>
                        </w:rPr>
                      </w:pPr>
                      <w:r>
                        <w:rPr>
                          <w:color w:val="000000"/>
                        </w:rPr>
                        <w:t xml:space="preserve">ISBN </w:t>
                      </w:r>
                      <w:r>
                        <w:rPr>
                          <w:color w:val="000000"/>
                        </w:rPr>
                        <w:tab/>
                        <w:t>978 1 925173 61 1</w:t>
                      </w:r>
                    </w:p>
                    <w:p w:rsidR="00B25378" w:rsidRDefault="00B25378" w:rsidP="00503208">
                      <w:pPr>
                        <w:pStyle w:val="Imprint"/>
                        <w:spacing w:before="0"/>
                        <w:rPr>
                          <w:color w:val="000000"/>
                        </w:rPr>
                      </w:pPr>
                      <w:r>
                        <w:rPr>
                          <w:color w:val="000000"/>
                        </w:rPr>
                        <w:t>TD/TNC</w:t>
                      </w:r>
                      <w:r>
                        <w:rPr>
                          <w:color w:val="000000"/>
                        </w:rPr>
                        <w:tab/>
                        <w:t>125.05</w:t>
                      </w:r>
                    </w:p>
                    <w:p w:rsidR="00B25378" w:rsidRDefault="00B25378" w:rsidP="00503208">
                      <w:pPr>
                        <w:pStyle w:val="Imprint"/>
                        <w:ind w:right="1700"/>
                        <w:rPr>
                          <w:color w:val="000000"/>
                        </w:rPr>
                      </w:pPr>
                      <w:r>
                        <w:rPr>
                          <w:color w:val="000000"/>
                        </w:rPr>
                        <w:t>Published by NCVER, ABN 87 007 967 311</w:t>
                      </w:r>
                    </w:p>
                    <w:p w:rsidR="00B25378" w:rsidRDefault="00B25378" w:rsidP="00503208">
                      <w:pPr>
                        <w:pStyle w:val="Imprint"/>
                        <w:spacing w:before="80"/>
                        <w:rPr>
                          <w:color w:val="000000"/>
                        </w:rPr>
                      </w:pPr>
                      <w:r>
                        <w:rPr>
                          <w:color w:val="000000"/>
                        </w:rPr>
                        <w:t>Level 11, 33 King William Street, Adelaide, SA 5000</w:t>
                      </w:r>
                      <w:r>
                        <w:rPr>
                          <w:color w:val="000000"/>
                        </w:rPr>
                        <w:br/>
                        <w:t>PO Box 8288 Station Arcade, Adelaide SA 5000, Australia</w:t>
                      </w:r>
                    </w:p>
                    <w:p w:rsidR="00B25378" w:rsidRDefault="00B25378" w:rsidP="00503208">
                      <w:pPr>
                        <w:pStyle w:val="Imprint"/>
                        <w:tabs>
                          <w:tab w:val="left" w:pos="2127"/>
                        </w:tabs>
                      </w:pPr>
                      <w:r>
                        <w:rPr>
                          <w:b/>
                        </w:rPr>
                        <w:t>Phone</w:t>
                      </w:r>
                      <w:r>
                        <w:t xml:space="preserve"> +61 8 8230 8400     </w:t>
                      </w:r>
                      <w:r>
                        <w:tab/>
                      </w:r>
                      <w:r>
                        <w:rPr>
                          <w:b/>
                        </w:rPr>
                        <w:t>Fax</w:t>
                      </w:r>
                      <w:r>
                        <w:t xml:space="preserve"> +61 8 8212 3436</w:t>
                      </w:r>
                    </w:p>
                    <w:p w:rsidR="00B25378" w:rsidRDefault="00B25378" w:rsidP="00503208">
                      <w:pPr>
                        <w:pStyle w:val="Imprint"/>
                        <w:tabs>
                          <w:tab w:val="left" w:pos="2127"/>
                        </w:tabs>
                        <w:spacing w:before="0"/>
                      </w:pPr>
                      <w:r>
                        <w:rPr>
                          <w:b/>
                        </w:rPr>
                        <w:t>Email</w:t>
                      </w:r>
                      <w:r>
                        <w:t xml:space="preserve"> </w:t>
                      </w:r>
                      <w:hyperlink r:id="rId22" w:history="1">
                        <w:r w:rsidRPr="00C14E9F">
                          <w:rPr>
                            <w:rStyle w:val="Hyperlink"/>
                            <w:sz w:val="16"/>
                            <w:szCs w:val="16"/>
                          </w:rPr>
                          <w:t>ncver@ncver.edu.au</w:t>
                        </w:r>
                      </w:hyperlink>
                      <w:r>
                        <w:t xml:space="preserve">    </w:t>
                      </w:r>
                      <w:r>
                        <w:rPr>
                          <w:b/>
                        </w:rPr>
                        <w:t>Web</w:t>
                      </w:r>
                      <w:r>
                        <w:t xml:space="preserve"> &lt;http://www.ncver.edu.au</w:t>
                      </w:r>
                      <w:proofErr w:type="gramStart"/>
                      <w:r>
                        <w:t xml:space="preserve">&gt;  </w:t>
                      </w:r>
                      <w:r w:rsidRPr="00C14E9F">
                        <w:rPr>
                          <w:szCs w:val="16"/>
                        </w:rPr>
                        <w:t>&lt;</w:t>
                      </w:r>
                      <w:proofErr w:type="gramEnd"/>
                      <w:r>
                        <w:fldChar w:fldCharType="begin"/>
                      </w:r>
                      <w:r>
                        <w:instrText xml:space="preserve"> HYPERLINK "http://www.lsay.edu.au" </w:instrText>
                      </w:r>
                      <w:r>
                        <w:fldChar w:fldCharType="separate"/>
                      </w:r>
                      <w:r w:rsidRPr="00C14E9F">
                        <w:rPr>
                          <w:rStyle w:val="Hyperlink"/>
                          <w:sz w:val="16"/>
                          <w:szCs w:val="16"/>
                        </w:rPr>
                        <w:t>http://www.lsay.edu.au</w:t>
                      </w:r>
                      <w:r>
                        <w:rPr>
                          <w:rStyle w:val="Hyperlink"/>
                          <w:sz w:val="16"/>
                          <w:szCs w:val="16"/>
                        </w:rPr>
                        <w:fldChar w:fldCharType="end"/>
                      </w:r>
                      <w:r w:rsidRPr="00C14E9F">
                        <w:rPr>
                          <w:szCs w:val="16"/>
                        </w:rPr>
                        <w:t>&gt;</w:t>
                      </w:r>
                    </w:p>
                    <w:p w:rsidR="00B25378" w:rsidRPr="00D212FA" w:rsidRDefault="00B25378" w:rsidP="00503208">
                      <w:pPr>
                        <w:pStyle w:val="Imprint"/>
                        <w:tabs>
                          <w:tab w:val="left" w:pos="993"/>
                          <w:tab w:val="left" w:pos="3686"/>
                        </w:tabs>
                        <w:spacing w:before="0"/>
                      </w:pPr>
                      <w:r>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55569929"/>
      <w:r>
        <w:lastRenderedPageBreak/>
        <w:t xml:space="preserve">About </w:t>
      </w:r>
      <w:r w:rsidR="00AC5497">
        <w:t>the</w:t>
      </w:r>
      <w:r>
        <w:t xml:space="preserve"> research</w:t>
      </w:r>
      <w:bookmarkEnd w:id="10"/>
      <w:bookmarkEnd w:id="11"/>
      <w:bookmarkEnd w:id="12"/>
      <w:bookmarkEnd w:id="13"/>
      <w:r w:rsidR="003364D3">
        <w:t xml:space="preserve"> </w:t>
      </w:r>
    </w:p>
    <w:p w:rsidR="00312FFE" w:rsidRDefault="00312FFE" w:rsidP="00CE248F">
      <w:pPr>
        <w:pStyle w:val="Heading3"/>
        <w:rPr>
          <w:rFonts w:ascii="Tahoma" w:hAnsi="Tahoma"/>
          <w:i/>
          <w:color w:val="auto"/>
          <w:sz w:val="28"/>
        </w:rPr>
      </w:pPr>
      <w:bookmarkStart w:id="14" w:name="_Toc98394877"/>
      <w:bookmarkStart w:id="15" w:name="_Toc296423681"/>
      <w:bookmarkStart w:id="16" w:name="_Toc296497512"/>
      <w:bookmarkStart w:id="17" w:name="_Toc98394878"/>
      <w:bookmarkStart w:id="18" w:name="_Toc296423682"/>
      <w:bookmarkStart w:id="19" w:name="_Toc296497513"/>
      <w:r w:rsidRPr="00312FFE">
        <w:rPr>
          <w:rFonts w:ascii="Tahoma" w:hAnsi="Tahoma"/>
          <w:i/>
          <w:color w:val="auto"/>
          <w:sz w:val="28"/>
        </w:rPr>
        <w:t xml:space="preserve">Trends in VET: policy and participation </w:t>
      </w:r>
    </w:p>
    <w:p w:rsidR="00CE248F" w:rsidRPr="001B43CF" w:rsidRDefault="00312FFE" w:rsidP="00CE248F">
      <w:pPr>
        <w:pStyle w:val="Heading3"/>
      </w:pPr>
      <w:r>
        <w:t>Georgina Atkinson and John Stanwick</w:t>
      </w:r>
      <w:r w:rsidR="00CE248F" w:rsidRPr="005C2FCF">
        <w:t xml:space="preserve">, </w:t>
      </w:r>
      <w:bookmarkEnd w:id="14"/>
      <w:bookmarkEnd w:id="15"/>
      <w:bookmarkEnd w:id="16"/>
      <w:r>
        <w:t>NCVER</w:t>
      </w:r>
    </w:p>
    <w:p w:rsidR="00EA3DF2" w:rsidRDefault="003C78C4" w:rsidP="00CE248F">
      <w:pPr>
        <w:pStyle w:val="Text"/>
      </w:pPr>
      <w:r>
        <w:t>The vocational education and training (VET) sector has undergon</w:t>
      </w:r>
      <w:r w:rsidR="00B112D8">
        <w:t xml:space="preserve">e considerable change over </w:t>
      </w:r>
      <w:r w:rsidR="00607B37">
        <w:t xml:space="preserve">the last two </w:t>
      </w:r>
      <w:r>
        <w:t>decade</w:t>
      </w:r>
      <w:r w:rsidR="002206CD">
        <w:t xml:space="preserve">s, </w:t>
      </w:r>
      <w:r w:rsidR="00E46694">
        <w:t>where</w:t>
      </w:r>
      <w:r w:rsidR="00597397">
        <w:t>by</w:t>
      </w:r>
      <w:r w:rsidR="00E46694">
        <w:t xml:space="preserve"> its landscape of policy, funding and institutions </w:t>
      </w:r>
      <w:r w:rsidR="00E46694" w:rsidRPr="00597397">
        <w:t>ha</w:t>
      </w:r>
      <w:r w:rsidR="00C97215" w:rsidRPr="00597397">
        <w:t>s</w:t>
      </w:r>
      <w:r w:rsidR="00E46694" w:rsidRPr="00597397">
        <w:t xml:space="preserve"> </w:t>
      </w:r>
      <w:r w:rsidR="007B2CE2" w:rsidRPr="00597397">
        <w:t>evolved</w:t>
      </w:r>
      <w:r w:rsidR="00597397">
        <w:t xml:space="preserve"> significantly. </w:t>
      </w:r>
      <w:r w:rsidR="007B2CE2">
        <w:t>While</w:t>
      </w:r>
      <w:r w:rsidR="00A92FE0">
        <w:t xml:space="preserve"> the</w:t>
      </w:r>
      <w:r w:rsidR="00E46694">
        <w:t xml:space="preserve"> landscape may have changed, the central mission of V</w:t>
      </w:r>
      <w:r w:rsidR="00597397">
        <w:t>ET and its key actors — students, employers, providers —</w:t>
      </w:r>
      <w:r w:rsidR="00E46694">
        <w:t xml:space="preserve"> remain</w:t>
      </w:r>
      <w:r w:rsidR="00EA3DF2">
        <w:t xml:space="preserve"> a constant</w:t>
      </w:r>
      <w:r w:rsidR="00C97215">
        <w:t>.</w:t>
      </w:r>
      <w:r w:rsidR="00597397">
        <w:t xml:space="preserve"> </w:t>
      </w:r>
      <w:r w:rsidR="00C97215">
        <w:t xml:space="preserve">These actors </w:t>
      </w:r>
      <w:r w:rsidR="00EA3DF2">
        <w:t xml:space="preserve">are indeed as important now as they have </w:t>
      </w:r>
      <w:r w:rsidR="00E46694">
        <w:t xml:space="preserve">ever </w:t>
      </w:r>
      <w:r w:rsidR="00EA3DF2">
        <w:t xml:space="preserve">been in </w:t>
      </w:r>
      <w:r w:rsidR="00A92FE0">
        <w:t xml:space="preserve">their efforts to </w:t>
      </w:r>
      <w:r w:rsidR="00C97215">
        <w:t>collaboratively develop</w:t>
      </w:r>
      <w:r w:rsidR="00A92FE0">
        <w:t xml:space="preserve"> and deliver</w:t>
      </w:r>
      <w:r w:rsidR="00C97215">
        <w:t xml:space="preserve"> a </w:t>
      </w:r>
      <w:r w:rsidR="00E46694">
        <w:t>skill</w:t>
      </w:r>
      <w:r w:rsidR="00C97215">
        <w:t>ed</w:t>
      </w:r>
      <w:r w:rsidR="00E46694">
        <w:t xml:space="preserve"> national labour force</w:t>
      </w:r>
      <w:r w:rsidR="00430143">
        <w:t>,</w:t>
      </w:r>
      <w:r w:rsidR="00C97215">
        <w:t xml:space="preserve"> </w:t>
      </w:r>
      <w:r w:rsidR="00597397">
        <w:t xml:space="preserve">one </w:t>
      </w:r>
      <w:r w:rsidR="00EA3DF2">
        <w:t xml:space="preserve">suited to </w:t>
      </w:r>
      <w:r w:rsidR="00597397">
        <w:t xml:space="preserve">the </w:t>
      </w:r>
      <w:r w:rsidR="00EA3DF2">
        <w:t xml:space="preserve">jobs available in a diverse </w:t>
      </w:r>
      <w:r w:rsidR="00C97215">
        <w:t>economy</w:t>
      </w:r>
      <w:r w:rsidR="00EA3DF2">
        <w:t>.</w:t>
      </w:r>
      <w:r w:rsidR="00597397">
        <w:t xml:space="preserve"> </w:t>
      </w:r>
    </w:p>
    <w:p w:rsidR="00C97215" w:rsidRDefault="007B2CE2" w:rsidP="00CE248F">
      <w:pPr>
        <w:pStyle w:val="Text"/>
      </w:pPr>
      <w:r>
        <w:t>While the actors may be</w:t>
      </w:r>
      <w:r w:rsidR="00EA3DF2">
        <w:t xml:space="preserve"> </w:t>
      </w:r>
      <w:r w:rsidR="00430143">
        <w:t xml:space="preserve">broadly </w:t>
      </w:r>
      <w:r w:rsidR="00C97215">
        <w:t xml:space="preserve">constant, the past two decades </w:t>
      </w:r>
      <w:r w:rsidR="00597397">
        <w:t>have also</w:t>
      </w:r>
      <w:r w:rsidR="00430143">
        <w:t xml:space="preserve"> </w:t>
      </w:r>
      <w:r w:rsidR="00EA3DF2">
        <w:t xml:space="preserve">seen major </w:t>
      </w:r>
      <w:r w:rsidR="00C97215">
        <w:t xml:space="preserve">changes </w:t>
      </w:r>
      <w:r w:rsidR="007A6B1D">
        <w:t>in the labour market. This is evident in</w:t>
      </w:r>
      <w:r w:rsidR="00C97215">
        <w:t xml:space="preserve"> its size</w:t>
      </w:r>
      <w:r w:rsidR="00EA3DF2">
        <w:t xml:space="preserve"> and </w:t>
      </w:r>
      <w:r w:rsidR="00C97215">
        <w:t>opportunities</w:t>
      </w:r>
      <w:r w:rsidR="00EA3DF2">
        <w:t>;</w:t>
      </w:r>
      <w:r w:rsidR="00C97215">
        <w:t xml:space="preserve"> </w:t>
      </w:r>
      <w:r w:rsidR="00EA3DF2">
        <w:t xml:space="preserve">in </w:t>
      </w:r>
      <w:r w:rsidR="00C97215">
        <w:t xml:space="preserve">the growth of </w:t>
      </w:r>
      <w:r w:rsidR="00EA3DF2">
        <w:t>‘services’</w:t>
      </w:r>
      <w:r w:rsidR="007A6B1D">
        <w:t>; in</w:t>
      </w:r>
      <w:r w:rsidR="00597397">
        <w:t xml:space="preserve"> the increase in part-</w:t>
      </w:r>
      <w:r w:rsidR="007A6B1D">
        <w:t>time work</w:t>
      </w:r>
      <w:r w:rsidR="00EA3DF2">
        <w:t xml:space="preserve">; in </w:t>
      </w:r>
      <w:r w:rsidR="00430143">
        <w:t xml:space="preserve">greater demands for </w:t>
      </w:r>
      <w:r w:rsidR="007A6B1D">
        <w:t xml:space="preserve">connectedness </w:t>
      </w:r>
      <w:r w:rsidR="00430143">
        <w:t xml:space="preserve">with </w:t>
      </w:r>
      <w:r w:rsidR="00C97215">
        <w:t xml:space="preserve">global </w:t>
      </w:r>
      <w:r w:rsidR="007A6B1D">
        <w:t>markets</w:t>
      </w:r>
      <w:r w:rsidR="00597397">
        <w:t>;</w:t>
      </w:r>
      <w:r w:rsidR="00EA3DF2">
        <w:t xml:space="preserve"> and </w:t>
      </w:r>
      <w:r w:rsidR="007A6B1D">
        <w:t xml:space="preserve">in </w:t>
      </w:r>
      <w:r w:rsidR="00C97215">
        <w:t>technology-led productivity</w:t>
      </w:r>
      <w:r w:rsidR="00EA3DF2">
        <w:t>.</w:t>
      </w:r>
      <w:r w:rsidR="00597397">
        <w:t xml:space="preserve"> </w:t>
      </w:r>
      <w:r w:rsidR="00EA3DF2">
        <w:t xml:space="preserve">These </w:t>
      </w:r>
      <w:r w:rsidR="007A6B1D">
        <w:t xml:space="preserve">macro </w:t>
      </w:r>
      <w:r w:rsidR="00EA3DF2">
        <w:t xml:space="preserve">factors have </w:t>
      </w:r>
      <w:r w:rsidR="00430143">
        <w:t xml:space="preserve">all </w:t>
      </w:r>
      <w:r w:rsidR="00EA3DF2">
        <w:t>driven changes in VET policy</w:t>
      </w:r>
      <w:r w:rsidR="007A6B1D">
        <w:t xml:space="preserve">, impacting </w:t>
      </w:r>
      <w:r w:rsidR="00A92FE0">
        <w:t xml:space="preserve">on </w:t>
      </w:r>
      <w:r w:rsidR="007A6B1D">
        <w:t>both</w:t>
      </w:r>
      <w:r w:rsidR="00C97215">
        <w:t xml:space="preserve"> </w:t>
      </w:r>
      <w:r w:rsidR="00EA3DF2">
        <w:t>learners and employers</w:t>
      </w:r>
      <w:r w:rsidR="00C97215">
        <w:t>.</w:t>
      </w:r>
      <w:r w:rsidR="00597397">
        <w:t xml:space="preserve"> </w:t>
      </w:r>
      <w:r w:rsidR="00430143">
        <w:t>These impacts have been</w:t>
      </w:r>
      <w:r w:rsidR="007A6B1D">
        <w:t xml:space="preserve"> especially </w:t>
      </w:r>
      <w:r w:rsidR="00430143">
        <w:t xml:space="preserve">felt by </w:t>
      </w:r>
      <w:r w:rsidR="00C97215">
        <w:t xml:space="preserve">younger people entering the labour force </w:t>
      </w:r>
      <w:r w:rsidR="00A92FE0">
        <w:t>following</w:t>
      </w:r>
      <w:r w:rsidR="00C97215">
        <w:t xml:space="preserve"> the global events of 200</w:t>
      </w:r>
      <w:r w:rsidR="00562D5F">
        <w:t>8</w:t>
      </w:r>
      <w:r w:rsidR="002C1F9A">
        <w:t>.</w:t>
      </w:r>
    </w:p>
    <w:p w:rsidR="00BB1F68" w:rsidRDefault="007B2CE2" w:rsidP="00430143">
      <w:pPr>
        <w:pStyle w:val="Text"/>
      </w:pPr>
      <w:r>
        <w:t>While</w:t>
      </w:r>
      <w:r w:rsidR="002C1F9A">
        <w:t xml:space="preserve"> </w:t>
      </w:r>
      <w:r w:rsidR="007A6B1D">
        <w:t>the</w:t>
      </w:r>
      <w:r w:rsidR="002C1F9A">
        <w:t>re is promise of</w:t>
      </w:r>
      <w:r w:rsidR="007A6B1D">
        <w:t xml:space="preserve"> greater information </w:t>
      </w:r>
      <w:r w:rsidR="002C1F9A">
        <w:t xml:space="preserve">becoming available </w:t>
      </w:r>
      <w:r w:rsidR="00A92FE0">
        <w:t>through total VET a</w:t>
      </w:r>
      <w:r w:rsidR="007A6B1D">
        <w:t xml:space="preserve">ctivity </w:t>
      </w:r>
      <w:r w:rsidR="00C14E9F">
        <w:t xml:space="preserve">(TVA) </w:t>
      </w:r>
      <w:r w:rsidR="007A6B1D">
        <w:t xml:space="preserve">reports </w:t>
      </w:r>
      <w:r w:rsidR="002C1F9A">
        <w:t>in the</w:t>
      </w:r>
      <w:r w:rsidR="007A6B1D">
        <w:t xml:space="preserve"> future</w:t>
      </w:r>
      <w:r w:rsidR="002C1F9A">
        <w:t xml:space="preserve">, </w:t>
      </w:r>
      <w:r w:rsidR="007A6B1D">
        <w:t>th</w:t>
      </w:r>
      <w:r w:rsidR="00430143">
        <w:t>is</w:t>
      </w:r>
      <w:r w:rsidR="007A6B1D">
        <w:t xml:space="preserve"> research </w:t>
      </w:r>
      <w:r w:rsidR="00430143">
        <w:t xml:space="preserve">takes a </w:t>
      </w:r>
      <w:r w:rsidR="002C1F9A">
        <w:t>deliberate</w:t>
      </w:r>
      <w:r w:rsidR="00A92FE0">
        <w:t>ly</w:t>
      </w:r>
      <w:r w:rsidR="002C1F9A">
        <w:t xml:space="preserve"> </w:t>
      </w:r>
      <w:r w:rsidR="007A6B1D">
        <w:t xml:space="preserve">retrospective </w:t>
      </w:r>
      <w:r w:rsidR="00430143">
        <w:t>view</w:t>
      </w:r>
      <w:r w:rsidR="00A92FE0">
        <w:t>,</w:t>
      </w:r>
      <w:r w:rsidR="00430143">
        <w:t xml:space="preserve"> tracking VET participation over the past two decades in </w:t>
      </w:r>
      <w:r w:rsidR="002C1F9A">
        <w:t xml:space="preserve">the </w:t>
      </w:r>
      <w:r w:rsidR="00430143">
        <w:t xml:space="preserve">context of </w:t>
      </w:r>
      <w:r w:rsidR="00C14E9F">
        <w:t xml:space="preserve">the </w:t>
      </w:r>
      <w:r w:rsidR="00430143">
        <w:t xml:space="preserve">introduced and evolving </w:t>
      </w:r>
      <w:r w:rsidR="002C1F9A">
        <w:t xml:space="preserve">VET </w:t>
      </w:r>
      <w:r w:rsidR="00430143">
        <w:t>policy over this period</w:t>
      </w:r>
      <w:r w:rsidR="002C1F9A">
        <w:t>.</w:t>
      </w:r>
      <w:r w:rsidR="00597397">
        <w:t xml:space="preserve"> </w:t>
      </w:r>
      <w:r w:rsidR="002C1F9A">
        <w:t xml:space="preserve">This research includes </w:t>
      </w:r>
      <w:r w:rsidR="00430143">
        <w:t xml:space="preserve">particular reference to </w:t>
      </w:r>
      <w:r w:rsidR="00B47D46">
        <w:t xml:space="preserve">the extension of </w:t>
      </w:r>
      <w:r w:rsidR="00364479">
        <w:t>the appren</w:t>
      </w:r>
      <w:r w:rsidR="002206CD">
        <w:t>ticeship and traineeship system</w:t>
      </w:r>
      <w:r w:rsidR="00364479">
        <w:t xml:space="preserve"> </w:t>
      </w:r>
      <w:r w:rsidR="00B47D46">
        <w:t xml:space="preserve">and </w:t>
      </w:r>
      <w:r w:rsidR="00364479">
        <w:t xml:space="preserve">the </w:t>
      </w:r>
      <w:r w:rsidR="002206CD">
        <w:t>ope</w:t>
      </w:r>
      <w:r w:rsidR="005C022C">
        <w:t xml:space="preserve">ning-up of the training market. </w:t>
      </w:r>
    </w:p>
    <w:p w:rsidR="00174E96" w:rsidRDefault="005C022C" w:rsidP="00CE248F">
      <w:pPr>
        <w:pStyle w:val="Text"/>
      </w:pPr>
      <w:r>
        <w:t xml:space="preserve">This </w:t>
      </w:r>
      <w:r w:rsidR="002C1F9A">
        <w:t>narrative is usefully illustrated by three</w:t>
      </w:r>
      <w:r w:rsidR="003C78C4">
        <w:t xml:space="preserve"> specific </w:t>
      </w:r>
      <w:r w:rsidR="006D53EE">
        <w:t>policy case studies</w:t>
      </w:r>
      <w:r>
        <w:t xml:space="preserve"> —</w:t>
      </w:r>
      <w:r w:rsidR="00B950CC" w:rsidRPr="00B950CC">
        <w:t xml:space="preserve"> </w:t>
      </w:r>
      <w:r w:rsidR="00B950CC">
        <w:t xml:space="preserve">incentive payments for employers of apprentices and trainees, accelerated apprenticeships and </w:t>
      </w:r>
      <w:r w:rsidR="00E956CF">
        <w:t xml:space="preserve">student </w:t>
      </w:r>
      <w:r w:rsidR="00B950CC">
        <w:t>entitlement models</w:t>
      </w:r>
      <w:r w:rsidR="00B47D46">
        <w:t>.</w:t>
      </w:r>
      <w:r w:rsidR="00B950CC">
        <w:t xml:space="preserve"> </w:t>
      </w:r>
      <w:r w:rsidR="00B47D46">
        <w:t xml:space="preserve">In addition, we look at the </w:t>
      </w:r>
      <w:r w:rsidR="003C78C4">
        <w:t xml:space="preserve">high-level </w:t>
      </w:r>
      <w:r w:rsidR="006D53EE">
        <w:t xml:space="preserve">trends in </w:t>
      </w:r>
      <w:r w:rsidR="00C66F63">
        <w:t xml:space="preserve">government-funded </w:t>
      </w:r>
      <w:r w:rsidR="006D53EE">
        <w:t xml:space="preserve">VET </w:t>
      </w:r>
      <w:r w:rsidR="003C78C4">
        <w:t>participation</w:t>
      </w:r>
      <w:r w:rsidR="006D53EE">
        <w:t xml:space="preserve"> and the labour market</w:t>
      </w:r>
      <w:r w:rsidR="00B47D46">
        <w:t xml:space="preserve">, with data drawn from NCVER’s </w:t>
      </w:r>
      <w:r w:rsidR="007975FD">
        <w:t>National VET Provider,</w:t>
      </w:r>
      <w:r w:rsidR="00573A76">
        <w:t xml:space="preserve"> Apprenticeship</w:t>
      </w:r>
      <w:r w:rsidR="003A49A5">
        <w:t>s</w:t>
      </w:r>
      <w:r w:rsidR="00573A76">
        <w:t xml:space="preserve"> and Traineeship</w:t>
      </w:r>
      <w:r w:rsidR="003A49A5">
        <w:t>s</w:t>
      </w:r>
      <w:r w:rsidR="00573A76">
        <w:t xml:space="preserve"> and Finance collections, a</w:t>
      </w:r>
      <w:r>
        <w:t xml:space="preserve">long with </w:t>
      </w:r>
      <w:r w:rsidR="003A49A5">
        <w:t xml:space="preserve">labour force data from </w:t>
      </w:r>
      <w:r w:rsidR="00573A76">
        <w:t>the Australian Bureau of Statistics</w:t>
      </w:r>
      <w:r w:rsidR="006D53EE">
        <w:t>.</w:t>
      </w:r>
      <w:r w:rsidR="003C78C4">
        <w:t xml:space="preserve"> </w:t>
      </w:r>
    </w:p>
    <w:p w:rsidR="00BB1F68" w:rsidRPr="00ED759F" w:rsidRDefault="00430143" w:rsidP="00CE248F">
      <w:pPr>
        <w:pStyle w:val="Text"/>
      </w:pPr>
      <w:r>
        <w:t>The</w:t>
      </w:r>
      <w:r w:rsidR="00BB1F68" w:rsidRPr="00BB1F68">
        <w:t xml:space="preserve"> paper contributes to </w:t>
      </w:r>
      <w:r w:rsidR="00A92FE0">
        <w:t xml:space="preserve">the </w:t>
      </w:r>
      <w:r w:rsidR="00BB1F68" w:rsidRPr="00BB1F68">
        <w:t xml:space="preserve">discussion </w:t>
      </w:r>
      <w:r>
        <w:t xml:space="preserve">and understanding </w:t>
      </w:r>
      <w:r w:rsidR="00A92FE0">
        <w:t>of the development of VET policy — past, present and future —</w:t>
      </w:r>
      <w:r w:rsidR="00BB1F68" w:rsidRPr="00BB1F68">
        <w:t xml:space="preserve"> including how providers and consumers adapt to policy changes and how these changes are reflected in </w:t>
      </w:r>
      <w:r>
        <w:t xml:space="preserve">VET </w:t>
      </w:r>
      <w:r w:rsidR="00BB1F68" w:rsidRPr="00BB1F68">
        <w:t>participation trends.</w:t>
      </w:r>
      <w:r w:rsidR="00597397">
        <w:t xml:space="preserve"> </w:t>
      </w:r>
    </w:p>
    <w:p w:rsidR="00CE248F" w:rsidRPr="005C2FCF" w:rsidRDefault="00CE248F" w:rsidP="00CE248F">
      <w:pPr>
        <w:pStyle w:val="Text"/>
      </w:pPr>
    </w:p>
    <w:p w:rsidR="00CE248F" w:rsidRPr="005C2FCF" w:rsidRDefault="002206CD" w:rsidP="00CE248F">
      <w:pPr>
        <w:pStyle w:val="Text"/>
      </w:pPr>
      <w:r>
        <w:t xml:space="preserve">Dr </w:t>
      </w:r>
      <w:r w:rsidR="00CE248F">
        <w:t>Craig Fowler</w:t>
      </w:r>
      <w:r w:rsidR="00CE248F">
        <w:br/>
      </w:r>
      <w:r w:rsidR="00CE248F" w:rsidRPr="005C2FCF">
        <w:t>Managing Director, NCVER</w:t>
      </w:r>
    </w:p>
    <w:bookmarkEnd w:id="17"/>
    <w:bookmarkEnd w:id="18"/>
    <w:bookmarkEnd w:id="19"/>
    <w:p w:rsidR="00606061" w:rsidRPr="005C2FCF" w:rsidRDefault="00606061" w:rsidP="005955B2">
      <w:pPr>
        <w:pStyle w:val="Text"/>
      </w:pPr>
    </w:p>
    <w:p w:rsidR="00F33784" w:rsidRDefault="00F33784" w:rsidP="003813E4">
      <w:pPr>
        <w:pStyle w:val="Contents"/>
        <w:sectPr w:rsidR="00F33784" w:rsidSect="00F33784">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rsidR="00946BA3" w:rsidRDefault="00946BA3">
      <w:pPr>
        <w:spacing w:before="0" w:line="240" w:lineRule="auto"/>
        <w:rPr>
          <w:rFonts w:ascii="Arial" w:hAnsi="Arial" w:cs="Arial"/>
          <w:color w:val="000000"/>
          <w:kern w:val="28"/>
          <w:sz w:val="48"/>
          <w:szCs w:val="48"/>
        </w:rPr>
      </w:pPr>
      <w:r>
        <w:lastRenderedPageBreak/>
        <w:br w:type="page"/>
      </w:r>
    </w:p>
    <w:p w:rsidR="00C61885" w:rsidRPr="00C14E9F" w:rsidRDefault="003C7D01" w:rsidP="00C14E9F">
      <w:pPr>
        <w:pStyle w:val="Contents"/>
      </w:pPr>
      <w:r>
        <w:rPr>
          <w:noProof/>
          <w:lang w:eastAsia="en-AU"/>
        </w:rPr>
        <w:lastRenderedPageBreak/>
        <mc:AlternateContent>
          <mc:Choice Requires="wpg">
            <w:drawing>
              <wp:anchor distT="0" distB="0" distL="114300" distR="114300" simplePos="0" relativeHeight="252029952" behindDoc="0" locked="0" layoutInCell="1" allowOverlap="1">
                <wp:simplePos x="0" y="0"/>
                <wp:positionH relativeFrom="column">
                  <wp:posOffset>-8890</wp:posOffset>
                </wp:positionH>
                <wp:positionV relativeFrom="paragraph">
                  <wp:posOffset>457200</wp:posOffset>
                </wp:positionV>
                <wp:extent cx="3450590" cy="422275"/>
                <wp:effectExtent l="1905" t="635" r="0" b="0"/>
                <wp:wrapNone/>
                <wp:docPr id="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0590" cy="422275"/>
                          <a:chOff x="2538" y="1996"/>
                          <a:chExt cx="5434" cy="665"/>
                        </a:xfrm>
                      </wpg:grpSpPr>
                      <pic:pic xmlns:pic="http://schemas.openxmlformats.org/drawingml/2006/picture">
                        <pic:nvPicPr>
                          <pic:cNvPr id="19" name="Picture 58" descr="ExecutiveSummary"/>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538" y="1996"/>
                            <a:ext cx="666" cy="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1" descr="TeacherAtBoardWithStudentsPurpl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127" y="1996"/>
                            <a:ext cx="652"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8" descr="LightBulb_CorpBlue"/>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731" y="1996"/>
                            <a:ext cx="652"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9" descr="References_Green"/>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532" y="1996"/>
                            <a:ext cx="652"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1" descr="PaperClip_Purpl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320" y="2009"/>
                            <a:ext cx="652"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4" descr="Clipboard-ltblu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915" y="1996"/>
                            <a:ext cx="666" cy="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pt;margin-top:36pt;width:271.7pt;height:33.25pt;z-index:252029952" coordorigin="2538,1996" coordsize="5434,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ExecutiveSummary" style="position:absolute;left:2538;top:1996;width:666;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3qjDAAAA2wAAAA8AAABkcnMvZG93bnJldi54bWxEj91qwkAQhe8LvsMygnd1U0Gr0VVECNgb&#10;oTEPMGTHZGl2NmY3P337bqHQuxnO+c6cOZwm24iBOm8cK3hbJiCIS6cNVwqKe/a6BeEDssbGMSn4&#10;Jg+n4+zlgKl2I3/SkIdKxBD2KSqoQ2hTKX1Zk0W/dC1x1B6usxji2lVSdzjGcNvIVZJspEXD8UKN&#10;LV1qKr/y3sYaz/fsUZixL4snrXcf7eV23hqlFvPpvAcRaAr/5j/6qiO3g99f4gD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veqMMAAADbAAAADwAAAAAAAAAAAAAAAACf&#10;AgAAZHJzL2Rvd25yZXYueG1sUEsFBgAAAAAEAAQA9wAAAI8DAAAAAA==&#10;">
                  <v:imagedata r:id="rId34" o:title="ExecutiveSummary"/>
                  <v:path arrowok="t"/>
                </v:shape>
                <v:shape id="Picture 41" o:spid="_x0000_s1028" type="#_x0000_t75" alt="TeacherAtBoardWithStudentsPurple" style="position:absolute;left:4127;top:1996;width:652;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PbvDAAAA2wAAAA8AAABkcnMvZG93bnJldi54bWxEj0+LwjAUxO/CfofwFrxp6h9EukaRFcHT&#10;iq3g9W3zbIvNS2mytttPbwTB4zAzv2FWm85U4k6NKy0rmIwjEMSZ1SXnCs7pfrQE4TyyxsoyKfgn&#10;B5v1x2CFsbYtn+ie+FwECLsYFRTe17GULivIoBvbmjh4V9sY9EE2udQNtgFuKjmNooU0WHJYKLCm&#10;74KyW/JnFGznLs36Sf+7uxzbZf9Dh32ys0oNP7vtFwhPnX+HX+2DVjCd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o9u8MAAADbAAAADwAAAAAAAAAAAAAAAACf&#10;AgAAZHJzL2Rvd25yZXYueG1sUEsFBgAAAAAEAAQA9wAAAI8DAAAAAA==&#10;">
                  <v:imagedata r:id="rId35" o:title="TeacherAtBoardWithStudentsPurple"/>
                  <v:path arrowok="t"/>
                </v:shape>
                <v:shape id="Picture 48" o:spid="_x0000_s1029" type="#_x0000_t75" alt="LightBulb_CorpBlue" style="position:absolute;left:5731;top:1996;width:652;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buTGAAAA2wAAAA8AAABkcnMvZG93bnJldi54bWxEj0FrwkAUhO+F/oflCd7qRqGlpNmEWi14&#10;EKFGS4+v2dckmH0bspsY/31XEDwOM/MNk2SjacRAnastK5jPIhDEhdU1lwoO+efTKwjnkTU2lknB&#10;hRxk6eNDgrG2Z/6iYe9LESDsYlRQed/GUrqiIoNuZlvi4P3ZzqAPsiul7vAc4KaRiyh6kQZrDgsV&#10;tvRRUXHa90bBZrm6HI/f/S7/+d36edEv1005KjWdjO9vIDyN/h6+tTdaweIZrl/CD5D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1u5MYAAADbAAAADwAAAAAAAAAAAAAA&#10;AACfAgAAZHJzL2Rvd25yZXYueG1sUEsFBgAAAAAEAAQA9wAAAJIDAAAAAA==&#10;">
                  <v:imagedata r:id="rId36" o:title="LightBulb_CorpBlue"/>
                  <v:path arrowok="t"/>
                </v:shape>
                <v:shape id="Picture 49" o:spid="_x0000_s1030" type="#_x0000_t75" alt="References_Green" style="position:absolute;left:6532;top:1996;width:652;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iejBAAAA2wAAAA8AAABkcnMvZG93bnJldi54bWxEj09rAjEUxO8Fv0N4grea1YW2bI0iQrVX&#10;/90fm+dmcfOyJunu2k/fCEKPw8z8hlmsBtuIjnyoHSuYTTMQxKXTNVcKTsev1w8QISJrbByTgjsF&#10;WC1HLwsstOt5T90hViJBOBSowMTYFlKG0pDFMHUtcfIuzluMSfpKao99gttGzrPsTVqsOS0YbGlj&#10;qLwefqyCcy59tPXN9Hrf4fH3vDu9b3OlJuNh/Qki0hD/w8/2t1aQz+HxJf0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riejBAAAA2wAAAA8AAAAAAAAAAAAAAAAAnwIA&#10;AGRycy9kb3ducmV2LnhtbFBLBQYAAAAABAAEAPcAAACNAwAAAAA=&#10;">
                  <v:imagedata r:id="rId37" o:title="References_Green"/>
                  <v:path arrowok="t"/>
                </v:shape>
                <v:shape id="Picture 51" o:spid="_x0000_s1031" type="#_x0000_t75" alt="PaperClip_Purple" style="position:absolute;left:7320;top:2009;width:652;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yvCAAAA2wAAAA8AAABkcnMvZG93bnJldi54bWxEj1FrwkAQhN8L/odjBd/qxSrSpp4iQkVf&#10;LLX5AUtumwRze+Fu1fjvPUHo4zAz3zCLVe9adaEQG88GJuMMFHHpbcOVgeL36/UdVBRki61nMnCj&#10;CKvl4GWBufVX/qHLUSqVIBxzNFCLdLnWsazJYRz7jjh5fz44lCRDpW3Aa4K7Vr9l2Vw7bDgt1NjR&#10;pqbydDw7A7yVbXMOblbsD7uTfKyzdvpdGDMa9utPUEK9/Ief7Z01MJ3D40v6A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8rwgAAANsAAAAPAAAAAAAAAAAAAAAAAJ8C&#10;AABkcnMvZG93bnJldi54bWxQSwUGAAAAAAQABAD3AAAAjgMAAAAA&#10;">
                  <v:imagedata r:id="rId38" o:title="PaperClip_Purple"/>
                  <v:path arrowok="t"/>
                </v:shape>
                <v:shape id="Picture 54" o:spid="_x0000_s1032" type="#_x0000_t75" alt="Clipboard-ltblue" style="position:absolute;left:4915;top:1996;width:666;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C6/AAAA2wAAAA8AAABkcnMvZG93bnJldi54bWxET82KwjAQvgu+QxjBi2i6sojUpqILguBB&#10;tD7A2IxNsZnUJmp9+81hYY8f33+27m0jXtT52rGCr1kCgrh0uuZKwaXYTZcgfEDW2DgmBR/ysM6H&#10;gwxT7d58otc5VCKGsE9RgQmhTaX0pSGLfuZa4sjdXGcxRNhVUnf4juG2kfMkWUiLNccGgy39GCrv&#10;56dV4A+P+RGvj6I+muLmt5Nr2X8OSo1H/WYFIlAf/sV/7r1W8B3Xxy/xB8j8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c/wuvwAAANsAAAAPAAAAAAAAAAAAAAAAAJ8CAABk&#10;cnMvZG93bnJldi54bWxQSwUGAAAAAAQABAD3AAAAiwMAAAAA&#10;">
                  <v:imagedata r:id="rId39" o:title="Clipboard-ltblue"/>
                  <v:path arrowok="t"/>
                </v:shape>
              </v:group>
            </w:pict>
          </mc:Fallback>
        </mc:AlternateContent>
      </w:r>
      <w:r w:rsidR="00044BB7">
        <w:rPr>
          <w:noProof/>
          <w:lang w:eastAsia="en-AU"/>
        </w:rPr>
        <w:drawing>
          <wp:anchor distT="0" distB="0" distL="114300" distR="114300" simplePos="0" relativeHeight="252028928" behindDoc="1" locked="0" layoutInCell="1" allowOverlap="1" wp14:anchorId="1E754199" wp14:editId="13625C68">
            <wp:simplePos x="0" y="0"/>
            <wp:positionH relativeFrom="column">
              <wp:posOffset>495300</wp:posOffset>
            </wp:positionH>
            <wp:positionV relativeFrom="paragraph">
              <wp:posOffset>454660</wp:posOffset>
            </wp:positionV>
            <wp:extent cx="425450" cy="425450"/>
            <wp:effectExtent l="0" t="0" r="0" b="0"/>
            <wp:wrapTight wrapText="bothSides">
              <wp:wrapPolygon edited="0">
                <wp:start x="4836" y="0"/>
                <wp:lineTo x="0" y="2901"/>
                <wp:lineTo x="0" y="16442"/>
                <wp:lineTo x="3869" y="20310"/>
                <wp:lineTo x="15475" y="20310"/>
                <wp:lineTo x="20310" y="15475"/>
                <wp:lineTo x="20310" y="6770"/>
                <wp:lineTo x="19343" y="3869"/>
                <wp:lineTo x="15475" y="0"/>
                <wp:lineTo x="4836" y="0"/>
              </wp:wrapPolygon>
            </wp:wrapTight>
            <wp:docPr id="10" name="Picture 10" descr="P:\PublicationComponents\Icons\StatisticalResour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StatisticalResources_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r w:rsidR="00622400">
        <w:rPr>
          <w:rFonts w:ascii="Avant Garde" w:hAnsi="Avant Garde"/>
        </w:rPr>
        <w:fldChar w:fldCharType="begin"/>
      </w:r>
      <w:r w:rsidR="002947D3">
        <w:rPr>
          <w:rFonts w:ascii="Avant Garde" w:hAnsi="Avant Garde"/>
        </w:rPr>
        <w:instrText xml:space="preserve"> TOC \t "Heading 1,1,Heading 2,2" </w:instrText>
      </w:r>
      <w:r w:rsidR="00622400">
        <w:rPr>
          <w:rFonts w:ascii="Avant Garde" w:hAnsi="Avant Garde"/>
        </w:rPr>
        <w:fldChar w:fldCharType="separate"/>
      </w:r>
    </w:p>
    <w:p w:rsidR="00C61885" w:rsidRDefault="00C61885">
      <w:pPr>
        <w:pStyle w:val="TOC1"/>
        <w:rPr>
          <w:rFonts w:asciiTheme="minorHAnsi" w:eastAsiaTheme="minorEastAsia" w:hAnsiTheme="minorHAnsi" w:cstheme="minorBidi"/>
          <w:color w:val="auto"/>
          <w:sz w:val="22"/>
          <w:szCs w:val="22"/>
          <w:lang w:eastAsia="en-AU"/>
        </w:rPr>
      </w:pPr>
      <w:r>
        <w:t>Tables and figures</w:t>
      </w:r>
      <w:r>
        <w:tab/>
      </w:r>
      <w:r w:rsidR="00622400">
        <w:fldChar w:fldCharType="begin"/>
      </w:r>
      <w:r>
        <w:instrText xml:space="preserve"> PAGEREF _Toc455569930 \h </w:instrText>
      </w:r>
      <w:r w:rsidR="00622400">
        <w:fldChar w:fldCharType="separate"/>
      </w:r>
      <w:r w:rsidR="002D23AE">
        <w:t>5</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Tables</w:t>
      </w:r>
      <w:r>
        <w:tab/>
      </w:r>
      <w:r w:rsidR="00622400">
        <w:fldChar w:fldCharType="begin"/>
      </w:r>
      <w:r>
        <w:instrText xml:space="preserve"> PAGEREF _Toc455569931 \h </w:instrText>
      </w:r>
      <w:r w:rsidR="00622400">
        <w:fldChar w:fldCharType="separate"/>
      </w:r>
      <w:r w:rsidR="002D23AE">
        <w:t>5</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Figures</w:t>
      </w:r>
      <w:r>
        <w:tab/>
      </w:r>
      <w:r w:rsidR="00622400">
        <w:fldChar w:fldCharType="begin"/>
      </w:r>
      <w:r>
        <w:instrText xml:space="preserve"> PAGEREF _Toc455569932 \h </w:instrText>
      </w:r>
      <w:r w:rsidR="00622400">
        <w:fldChar w:fldCharType="separate"/>
      </w:r>
      <w:r w:rsidR="002D23AE">
        <w:t>5</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Introduction</w:t>
      </w:r>
      <w:r>
        <w:tab/>
      </w:r>
      <w:r w:rsidR="00622400">
        <w:fldChar w:fldCharType="begin"/>
      </w:r>
      <w:r>
        <w:instrText xml:space="preserve"> PAGEREF _Toc455569933 \h </w:instrText>
      </w:r>
      <w:r w:rsidR="00622400">
        <w:fldChar w:fldCharType="separate"/>
      </w:r>
      <w:r w:rsidR="002D23AE">
        <w:t>6</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Understanding the policy, funding and economic landscape</w:t>
      </w:r>
      <w:r>
        <w:tab/>
      </w:r>
      <w:r w:rsidR="00622400">
        <w:fldChar w:fldCharType="begin"/>
      </w:r>
      <w:r>
        <w:instrText xml:space="preserve"> PAGEREF _Toc455569934 \h </w:instrText>
      </w:r>
      <w:r w:rsidR="00622400">
        <w:fldChar w:fldCharType="separate"/>
      </w:r>
      <w:r w:rsidR="002D23AE">
        <w:t>8</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Policy trends in VET over the last 20 years</w:t>
      </w:r>
      <w:r>
        <w:tab/>
      </w:r>
      <w:r w:rsidR="00622400">
        <w:fldChar w:fldCharType="begin"/>
      </w:r>
      <w:r>
        <w:instrText xml:space="preserve"> PAGEREF _Toc455569935 \h </w:instrText>
      </w:r>
      <w:r w:rsidR="00622400">
        <w:fldChar w:fldCharType="separate"/>
      </w:r>
      <w:r w:rsidR="002D23AE">
        <w:t>8</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Broader contextual issues influencing participation</w:t>
      </w:r>
      <w:r>
        <w:tab/>
      </w:r>
      <w:r w:rsidR="00622400">
        <w:fldChar w:fldCharType="begin"/>
      </w:r>
      <w:r>
        <w:instrText xml:space="preserve"> PAGEREF _Toc455569936 \h </w:instrText>
      </w:r>
      <w:r w:rsidR="00622400">
        <w:fldChar w:fldCharType="separate"/>
      </w:r>
      <w:r w:rsidR="002D23AE">
        <w:t>9</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Understanding VET participation</w:t>
      </w:r>
      <w:r>
        <w:tab/>
      </w:r>
      <w:r w:rsidR="00622400">
        <w:fldChar w:fldCharType="begin"/>
      </w:r>
      <w:r>
        <w:instrText xml:space="preserve"> PAGEREF _Toc455569937 \h </w:instrText>
      </w:r>
      <w:r w:rsidR="00622400">
        <w:fldChar w:fldCharType="separate"/>
      </w:r>
      <w:r w:rsidR="002D23AE">
        <w:t>19</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Participation trends in VET over the last 20 years</w:t>
      </w:r>
      <w:r>
        <w:tab/>
      </w:r>
      <w:r w:rsidR="00622400">
        <w:fldChar w:fldCharType="begin"/>
      </w:r>
      <w:r>
        <w:instrText xml:space="preserve"> PAGEREF _Toc455569938 \h </w:instrText>
      </w:r>
      <w:r w:rsidR="00622400">
        <w:fldChar w:fldCharType="separate"/>
      </w:r>
      <w:r w:rsidR="002D23AE">
        <w:t>19</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Selected policy case studies</w:t>
      </w:r>
      <w:r>
        <w:tab/>
      </w:r>
      <w:r w:rsidR="00622400">
        <w:fldChar w:fldCharType="begin"/>
      </w:r>
      <w:r>
        <w:instrText xml:space="preserve"> PAGEREF _Toc455569939 \h </w:instrText>
      </w:r>
      <w:r w:rsidR="00622400">
        <w:fldChar w:fldCharType="separate"/>
      </w:r>
      <w:r w:rsidR="002D23AE">
        <w:t>24</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Apprenticeships and traineeships</w:t>
      </w:r>
      <w:r>
        <w:tab/>
      </w:r>
      <w:r w:rsidR="00622400">
        <w:fldChar w:fldCharType="begin"/>
      </w:r>
      <w:r>
        <w:instrText xml:space="preserve"> PAGEREF _Toc455569940 \h </w:instrText>
      </w:r>
      <w:r w:rsidR="00622400">
        <w:fldChar w:fldCharType="separate"/>
      </w:r>
      <w:r w:rsidR="002D23AE">
        <w:t>24</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Entitlement models to VET funding</w:t>
      </w:r>
      <w:r>
        <w:tab/>
      </w:r>
      <w:r w:rsidR="00622400">
        <w:fldChar w:fldCharType="begin"/>
      </w:r>
      <w:r>
        <w:instrText xml:space="preserve"> PAGEREF _Toc455569941 \h </w:instrText>
      </w:r>
      <w:r w:rsidR="00622400">
        <w:fldChar w:fldCharType="separate"/>
      </w:r>
      <w:r w:rsidR="002D23AE">
        <w:t>35</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Some observations</w:t>
      </w:r>
      <w:r>
        <w:tab/>
      </w:r>
      <w:r w:rsidR="00622400">
        <w:fldChar w:fldCharType="begin"/>
      </w:r>
      <w:r>
        <w:instrText xml:space="preserve"> PAGEREF _Toc455569942 \h </w:instrText>
      </w:r>
      <w:r w:rsidR="00622400">
        <w:fldChar w:fldCharType="separate"/>
      </w:r>
      <w:r w:rsidR="002D23AE">
        <w:t>42</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The policy trends</w:t>
      </w:r>
      <w:r>
        <w:tab/>
      </w:r>
      <w:r w:rsidR="00622400">
        <w:fldChar w:fldCharType="begin"/>
      </w:r>
      <w:r>
        <w:instrText xml:space="preserve"> PAGEREF _Toc455569943 \h </w:instrText>
      </w:r>
      <w:r w:rsidR="00622400">
        <w:fldChar w:fldCharType="separate"/>
      </w:r>
      <w:r w:rsidR="002D23AE">
        <w:t>42</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Tensions in the system</w:t>
      </w:r>
      <w:r>
        <w:tab/>
      </w:r>
      <w:r w:rsidR="00622400">
        <w:fldChar w:fldCharType="begin"/>
      </w:r>
      <w:r>
        <w:instrText xml:space="preserve"> PAGEREF _Toc455569944 \h </w:instrText>
      </w:r>
      <w:r w:rsidR="00622400">
        <w:fldChar w:fldCharType="separate"/>
      </w:r>
      <w:r w:rsidR="002D23AE">
        <w:t>43</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Policy influencing participation</w:t>
      </w:r>
      <w:r>
        <w:tab/>
      </w:r>
      <w:r w:rsidR="00622400">
        <w:fldChar w:fldCharType="begin"/>
      </w:r>
      <w:r>
        <w:instrText xml:space="preserve"> PAGEREF _Toc455569945 \h </w:instrText>
      </w:r>
      <w:r w:rsidR="00622400">
        <w:fldChar w:fldCharType="separate"/>
      </w:r>
      <w:r w:rsidR="002D23AE">
        <w:t>44</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Final reflections</w:t>
      </w:r>
      <w:r>
        <w:tab/>
      </w:r>
      <w:r w:rsidR="00622400">
        <w:fldChar w:fldCharType="begin"/>
      </w:r>
      <w:r>
        <w:instrText xml:space="preserve"> PAGEREF _Toc455569946 \h </w:instrText>
      </w:r>
      <w:r w:rsidR="00622400">
        <w:fldChar w:fldCharType="separate"/>
      </w:r>
      <w:r w:rsidR="002D23AE">
        <w:t>45</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References</w:t>
      </w:r>
      <w:r>
        <w:tab/>
      </w:r>
      <w:r w:rsidR="00622400">
        <w:fldChar w:fldCharType="begin"/>
      </w:r>
      <w:r>
        <w:instrText xml:space="preserve"> PAGEREF _Toc455569947 \h </w:instrText>
      </w:r>
      <w:r w:rsidR="00622400">
        <w:fldChar w:fldCharType="separate"/>
      </w:r>
      <w:r w:rsidR="002D23AE">
        <w:t>46</w:t>
      </w:r>
      <w:r w:rsidR="00622400">
        <w:fldChar w:fldCharType="end"/>
      </w:r>
    </w:p>
    <w:p w:rsidR="00C61885" w:rsidRDefault="00C61885">
      <w:pPr>
        <w:pStyle w:val="TOC1"/>
        <w:rPr>
          <w:rFonts w:asciiTheme="minorHAnsi" w:eastAsiaTheme="minorEastAsia" w:hAnsiTheme="minorHAnsi" w:cstheme="minorBidi"/>
          <w:color w:val="auto"/>
          <w:sz w:val="22"/>
          <w:szCs w:val="22"/>
          <w:lang w:eastAsia="en-AU"/>
        </w:rPr>
      </w:pPr>
      <w:r>
        <w:t>Appendix A</w:t>
      </w:r>
      <w:r>
        <w:tab/>
      </w:r>
      <w:r w:rsidR="00622400">
        <w:fldChar w:fldCharType="begin"/>
      </w:r>
      <w:r>
        <w:instrText xml:space="preserve"> PAGEREF _Toc455569948 \h </w:instrText>
      </w:r>
      <w:r w:rsidR="00622400">
        <w:fldChar w:fldCharType="separate"/>
      </w:r>
      <w:r w:rsidR="002D23AE">
        <w:t>49</w:t>
      </w:r>
      <w:r w:rsidR="00622400">
        <w:fldChar w:fldCharType="end"/>
      </w:r>
    </w:p>
    <w:p w:rsidR="00C61885" w:rsidRDefault="00C61885">
      <w:pPr>
        <w:pStyle w:val="TOC2"/>
        <w:rPr>
          <w:rFonts w:asciiTheme="minorHAnsi" w:eastAsiaTheme="minorEastAsia" w:hAnsiTheme="minorHAnsi" w:cstheme="minorBidi"/>
          <w:color w:val="auto"/>
          <w:sz w:val="22"/>
          <w:szCs w:val="22"/>
          <w:lang w:eastAsia="en-AU"/>
        </w:rPr>
      </w:pPr>
      <w:r>
        <w:t xml:space="preserve">VET policy developments over the past 20 years: moving towards </w:t>
      </w:r>
      <w:r w:rsidR="00946BA3">
        <w:br/>
      </w:r>
      <w:r>
        <w:t>a nationally</w:t>
      </w:r>
      <w:r w:rsidR="00C14E9F">
        <w:t xml:space="preserve"> </w:t>
      </w:r>
      <w:r>
        <w:t>directed, jurisdictionally</w:t>
      </w:r>
      <w:r w:rsidR="00C14E9F">
        <w:t xml:space="preserve"> </w:t>
      </w:r>
      <w:r>
        <w:t xml:space="preserve">implemented </w:t>
      </w:r>
      <w:r w:rsidR="00946BA3">
        <w:br/>
      </w:r>
      <w:r>
        <w:t>and industry-driven system</w:t>
      </w:r>
      <w:r>
        <w:tab/>
      </w:r>
      <w:r w:rsidR="00622400">
        <w:fldChar w:fldCharType="begin"/>
      </w:r>
      <w:r>
        <w:instrText xml:space="preserve"> PAGEREF _Toc455569949 \h </w:instrText>
      </w:r>
      <w:r w:rsidR="00622400">
        <w:fldChar w:fldCharType="separate"/>
      </w:r>
      <w:r w:rsidR="002D23AE">
        <w:t>49</w:t>
      </w:r>
      <w:r w:rsidR="00622400">
        <w:fldChar w:fldCharType="end"/>
      </w:r>
    </w:p>
    <w:p w:rsidR="00ED0C08" w:rsidRDefault="00622400"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0" w:name="_Toc316371579"/>
      <w:bookmarkStart w:id="21" w:name="_Toc455569930"/>
      <w:r>
        <w:lastRenderedPageBreak/>
        <w:t>Tables and figures</w:t>
      </w:r>
      <w:bookmarkEnd w:id="20"/>
      <w:bookmarkEnd w:id="21"/>
    </w:p>
    <w:p w:rsidR="00ED0C08" w:rsidRDefault="00ED0C08" w:rsidP="00ED0C08">
      <w:pPr>
        <w:pStyle w:val="Heading2"/>
      </w:pPr>
      <w:bookmarkStart w:id="22" w:name="_Toc296497516"/>
      <w:bookmarkStart w:id="23" w:name="_Toc298162801"/>
      <w:bookmarkStart w:id="24" w:name="_Toc316371580"/>
      <w:bookmarkStart w:id="25" w:name="_Toc455569931"/>
      <w:r>
        <w:t>Tables</w:t>
      </w:r>
      <w:bookmarkEnd w:id="22"/>
      <w:bookmarkEnd w:id="23"/>
      <w:bookmarkEnd w:id="24"/>
      <w:bookmarkEnd w:id="25"/>
    </w:p>
    <w:p w:rsidR="00C61885" w:rsidRPr="0053038D" w:rsidRDefault="00622400"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fldChar w:fldCharType="begin"/>
      </w:r>
      <w:r w:rsidR="00ED0C08" w:rsidRPr="0053038D">
        <w:rPr>
          <w:sz w:val="18"/>
          <w:szCs w:val="18"/>
        </w:rPr>
        <w:instrText xml:space="preserve"> TOC \f F \t "tabletitle" \c </w:instrText>
      </w:r>
      <w:r w:rsidRPr="0053038D">
        <w:rPr>
          <w:sz w:val="18"/>
          <w:szCs w:val="18"/>
        </w:rPr>
        <w:fldChar w:fldCharType="separate"/>
      </w:r>
      <w:r w:rsidR="00C61885" w:rsidRPr="0053038D">
        <w:rPr>
          <w:sz w:val="18"/>
          <w:szCs w:val="18"/>
        </w:rPr>
        <w:t>1</w:t>
      </w:r>
      <w:r w:rsidR="0053038D" w:rsidRPr="0053038D">
        <w:rPr>
          <w:sz w:val="18"/>
          <w:szCs w:val="18"/>
        </w:rPr>
        <w:tab/>
      </w:r>
      <w:r w:rsidR="00C61885" w:rsidRPr="0053038D">
        <w:rPr>
          <w:sz w:val="18"/>
          <w:szCs w:val="18"/>
        </w:rPr>
        <w:t>Participation of equity groups in VET as a percentage of all VET students</w:t>
      </w:r>
      <w:r w:rsidR="00C61885" w:rsidRPr="0053038D">
        <w:rPr>
          <w:sz w:val="18"/>
          <w:szCs w:val="18"/>
        </w:rPr>
        <w:tab/>
      </w:r>
      <w:r w:rsidRPr="0053038D">
        <w:rPr>
          <w:sz w:val="18"/>
          <w:szCs w:val="18"/>
        </w:rPr>
        <w:fldChar w:fldCharType="begin"/>
      </w:r>
      <w:r w:rsidR="00C61885" w:rsidRPr="0053038D">
        <w:rPr>
          <w:sz w:val="18"/>
          <w:szCs w:val="18"/>
        </w:rPr>
        <w:instrText xml:space="preserve"> PAGEREF _Toc455569950 \h </w:instrText>
      </w:r>
      <w:r w:rsidRPr="0053038D">
        <w:rPr>
          <w:sz w:val="18"/>
          <w:szCs w:val="18"/>
        </w:rPr>
      </w:r>
      <w:r w:rsidRPr="0053038D">
        <w:rPr>
          <w:sz w:val="18"/>
          <w:szCs w:val="18"/>
        </w:rPr>
        <w:fldChar w:fldCharType="separate"/>
      </w:r>
      <w:r w:rsidR="002D23AE">
        <w:rPr>
          <w:sz w:val="18"/>
          <w:szCs w:val="18"/>
        </w:rPr>
        <w:t>23</w:t>
      </w:r>
      <w:r w:rsidRPr="0053038D">
        <w:rPr>
          <w:sz w:val="18"/>
          <w:szCs w:val="18"/>
        </w:rPr>
        <w:fldChar w:fldCharType="end"/>
      </w:r>
    </w:p>
    <w:p w:rsidR="00C61885" w:rsidRPr="0053038D" w:rsidRDefault="00C61885" w:rsidP="00A84180">
      <w:pPr>
        <w:pStyle w:val="TableofFigures"/>
        <w:tabs>
          <w:tab w:val="clear" w:pos="6804"/>
          <w:tab w:val="left" w:pos="950"/>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lang w:val="en-GB"/>
        </w:rPr>
        <w:t>2</w:t>
      </w:r>
      <w:r w:rsidR="0053038D" w:rsidRPr="0053038D">
        <w:rPr>
          <w:sz w:val="18"/>
          <w:szCs w:val="18"/>
          <w:lang w:val="en-GB"/>
        </w:rPr>
        <w:tab/>
      </w:r>
      <w:r w:rsidRPr="0053038D">
        <w:rPr>
          <w:sz w:val="18"/>
          <w:szCs w:val="18"/>
          <w:lang w:val="en-GB"/>
        </w:rPr>
        <w:t>Jurisdictional student training entitlements by time of first implementation</w:t>
      </w:r>
      <w:r w:rsidRPr="0053038D">
        <w:rPr>
          <w:sz w:val="18"/>
          <w:szCs w:val="18"/>
        </w:rPr>
        <w:tab/>
      </w:r>
      <w:r w:rsidR="00622400" w:rsidRPr="0053038D">
        <w:rPr>
          <w:sz w:val="18"/>
          <w:szCs w:val="18"/>
        </w:rPr>
        <w:fldChar w:fldCharType="begin"/>
      </w:r>
      <w:r w:rsidRPr="0053038D">
        <w:rPr>
          <w:sz w:val="18"/>
          <w:szCs w:val="18"/>
        </w:rPr>
        <w:instrText xml:space="preserve"> PAGEREF _Toc455569951 \h </w:instrText>
      </w:r>
      <w:r w:rsidR="00622400" w:rsidRPr="0053038D">
        <w:rPr>
          <w:sz w:val="18"/>
          <w:szCs w:val="18"/>
        </w:rPr>
      </w:r>
      <w:r w:rsidR="00622400" w:rsidRPr="0053038D">
        <w:rPr>
          <w:sz w:val="18"/>
          <w:szCs w:val="18"/>
        </w:rPr>
        <w:fldChar w:fldCharType="separate"/>
      </w:r>
      <w:r w:rsidR="002D23AE">
        <w:rPr>
          <w:sz w:val="18"/>
          <w:szCs w:val="18"/>
        </w:rPr>
        <w:t>36</w:t>
      </w:r>
      <w:r w:rsidR="00622400" w:rsidRPr="0053038D">
        <w:rPr>
          <w:sz w:val="18"/>
          <w:szCs w:val="18"/>
        </w:rPr>
        <w:fldChar w:fldCharType="end"/>
      </w:r>
    </w:p>
    <w:p w:rsidR="00C61885" w:rsidRPr="0053038D" w:rsidRDefault="00C61885" w:rsidP="00A84180">
      <w:pPr>
        <w:pStyle w:val="TableofFigures"/>
        <w:tabs>
          <w:tab w:val="clear" w:pos="6804"/>
          <w:tab w:val="left" w:pos="950"/>
          <w:tab w:val="right" w:pos="7371"/>
        </w:tabs>
        <w:ind w:right="1700"/>
        <w:rPr>
          <w:rFonts w:asciiTheme="minorHAnsi" w:eastAsiaTheme="minorEastAsia" w:hAnsiTheme="minorHAnsi" w:cstheme="minorBidi"/>
          <w:color w:val="auto"/>
          <w:sz w:val="18"/>
          <w:szCs w:val="18"/>
          <w:lang w:eastAsia="en-AU"/>
        </w:rPr>
      </w:pPr>
      <w:r w:rsidRPr="0053038D">
        <w:rPr>
          <w:sz w:val="18"/>
          <w:szCs w:val="18"/>
          <w:lang w:val="en-GB"/>
        </w:rPr>
        <w:t>3</w:t>
      </w:r>
      <w:r w:rsidR="0053038D" w:rsidRPr="0053038D">
        <w:rPr>
          <w:sz w:val="18"/>
          <w:szCs w:val="18"/>
          <w:lang w:val="en-GB"/>
        </w:rPr>
        <w:tab/>
      </w:r>
      <w:r w:rsidRPr="0053038D">
        <w:rPr>
          <w:sz w:val="18"/>
          <w:szCs w:val="18"/>
          <w:lang w:val="en-GB"/>
        </w:rPr>
        <w:t>Entitlement models by jurisdiction as at March 2015</w:t>
      </w:r>
      <w:r w:rsidRPr="0053038D">
        <w:rPr>
          <w:sz w:val="18"/>
          <w:szCs w:val="18"/>
        </w:rPr>
        <w:tab/>
      </w:r>
      <w:r w:rsidR="00622400" w:rsidRPr="0053038D">
        <w:rPr>
          <w:sz w:val="18"/>
          <w:szCs w:val="18"/>
        </w:rPr>
        <w:fldChar w:fldCharType="begin"/>
      </w:r>
      <w:r w:rsidRPr="0053038D">
        <w:rPr>
          <w:sz w:val="18"/>
          <w:szCs w:val="18"/>
        </w:rPr>
        <w:instrText xml:space="preserve"> PAGEREF _Toc455569952 \h </w:instrText>
      </w:r>
      <w:r w:rsidR="00622400" w:rsidRPr="0053038D">
        <w:rPr>
          <w:sz w:val="18"/>
          <w:szCs w:val="18"/>
        </w:rPr>
      </w:r>
      <w:r w:rsidR="00622400" w:rsidRPr="0053038D">
        <w:rPr>
          <w:sz w:val="18"/>
          <w:szCs w:val="18"/>
        </w:rPr>
        <w:fldChar w:fldCharType="separate"/>
      </w:r>
      <w:r w:rsidR="002D23AE">
        <w:rPr>
          <w:sz w:val="18"/>
          <w:szCs w:val="18"/>
        </w:rPr>
        <w:t>37</w:t>
      </w:r>
      <w:r w:rsidR="00622400" w:rsidRPr="0053038D">
        <w:rPr>
          <w:sz w:val="18"/>
          <w:szCs w:val="18"/>
        </w:rPr>
        <w:fldChar w:fldCharType="end"/>
      </w:r>
    </w:p>
    <w:p w:rsidR="00946BA3" w:rsidRPr="0053038D" w:rsidRDefault="00622400" w:rsidP="00A84180">
      <w:pPr>
        <w:pStyle w:val="Heading2"/>
        <w:tabs>
          <w:tab w:val="right" w:pos="7371"/>
        </w:tabs>
        <w:ind w:right="1700"/>
        <w:rPr>
          <w:noProof/>
        </w:rPr>
      </w:pPr>
      <w:r w:rsidRPr="0053038D">
        <w:fldChar w:fldCharType="end"/>
      </w:r>
      <w:bookmarkStart w:id="26" w:name="_Toc296497517"/>
      <w:bookmarkStart w:id="27" w:name="_Toc298162802"/>
      <w:bookmarkStart w:id="28" w:name="_Toc316371581"/>
      <w:bookmarkStart w:id="29" w:name="_Toc455569932"/>
      <w:r w:rsidR="00ED0C08" w:rsidRPr="0053038D">
        <w:t>Figures</w:t>
      </w:r>
      <w:bookmarkEnd w:id="26"/>
      <w:bookmarkEnd w:id="27"/>
      <w:bookmarkEnd w:id="28"/>
      <w:bookmarkEnd w:id="29"/>
      <w:r w:rsidRPr="0053038D">
        <w:rPr>
          <w:rFonts w:ascii="Garamond" w:hAnsi="Garamond"/>
        </w:rPr>
        <w:fldChar w:fldCharType="begin"/>
      </w:r>
      <w:r w:rsidR="00ED0C08" w:rsidRPr="0053038D">
        <w:instrText xml:space="preserve"> TOC \t "Figuretitle" \c </w:instrText>
      </w:r>
      <w:r w:rsidRPr="0053038D">
        <w:rPr>
          <w:rFonts w:ascii="Garamond" w:hAnsi="Garamond"/>
        </w:rPr>
        <w:fldChar w:fldCharType="separate"/>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1</w:t>
      </w:r>
      <w:r w:rsidRPr="0053038D">
        <w:rPr>
          <w:sz w:val="18"/>
          <w:szCs w:val="18"/>
        </w:rPr>
        <w:tab/>
        <w:t>National total operating revenue and total operating expen</w:t>
      </w:r>
      <w:r w:rsidR="00AC706A">
        <w:rPr>
          <w:sz w:val="18"/>
          <w:szCs w:val="18"/>
        </w:rPr>
        <w:t>diture in constant prices, 2005—</w:t>
      </w:r>
      <w:r w:rsidRPr="0053038D">
        <w:rPr>
          <w:sz w:val="18"/>
          <w:szCs w:val="18"/>
        </w:rPr>
        <w:t>14</w:t>
      </w:r>
      <w:r w:rsidRPr="0053038D">
        <w:rPr>
          <w:sz w:val="18"/>
          <w:szCs w:val="18"/>
        </w:rPr>
        <w:tab/>
      </w:r>
      <w:r w:rsidRPr="0053038D">
        <w:rPr>
          <w:sz w:val="18"/>
          <w:szCs w:val="18"/>
        </w:rPr>
        <w:fldChar w:fldCharType="begin"/>
      </w:r>
      <w:r w:rsidRPr="0053038D">
        <w:rPr>
          <w:sz w:val="18"/>
          <w:szCs w:val="18"/>
        </w:rPr>
        <w:instrText xml:space="preserve"> PAGEREF _Toc457809784 \h </w:instrText>
      </w:r>
      <w:r w:rsidRPr="0053038D">
        <w:rPr>
          <w:sz w:val="18"/>
          <w:szCs w:val="18"/>
        </w:rPr>
      </w:r>
      <w:r w:rsidRPr="0053038D">
        <w:rPr>
          <w:sz w:val="18"/>
          <w:szCs w:val="18"/>
        </w:rPr>
        <w:fldChar w:fldCharType="separate"/>
      </w:r>
      <w:r w:rsidR="002D23AE">
        <w:rPr>
          <w:sz w:val="18"/>
          <w:szCs w:val="18"/>
        </w:rPr>
        <w:t>10</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2</w:t>
      </w:r>
      <w:r w:rsidRPr="0053038D">
        <w:rPr>
          <w:sz w:val="18"/>
          <w:szCs w:val="18"/>
        </w:rPr>
        <w:tab/>
        <w:t>Participation in higher education and VET as a proportion of the 15 to 64-year-old population</w:t>
      </w:r>
      <w:r w:rsidRPr="0053038D">
        <w:rPr>
          <w:sz w:val="18"/>
          <w:szCs w:val="18"/>
        </w:rPr>
        <w:tab/>
      </w:r>
      <w:r w:rsidRPr="0053038D">
        <w:rPr>
          <w:sz w:val="18"/>
          <w:szCs w:val="18"/>
        </w:rPr>
        <w:fldChar w:fldCharType="begin"/>
      </w:r>
      <w:r w:rsidRPr="0053038D">
        <w:rPr>
          <w:sz w:val="18"/>
          <w:szCs w:val="18"/>
        </w:rPr>
        <w:instrText xml:space="preserve"> PAGEREF _Toc457809785 \h </w:instrText>
      </w:r>
      <w:r w:rsidRPr="0053038D">
        <w:rPr>
          <w:sz w:val="18"/>
          <w:szCs w:val="18"/>
        </w:rPr>
      </w:r>
      <w:r w:rsidRPr="0053038D">
        <w:rPr>
          <w:sz w:val="18"/>
          <w:szCs w:val="18"/>
        </w:rPr>
        <w:fldChar w:fldCharType="separate"/>
      </w:r>
      <w:r w:rsidR="002D23AE">
        <w:rPr>
          <w:sz w:val="18"/>
          <w:szCs w:val="18"/>
        </w:rPr>
        <w:t>11</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3</w:t>
      </w:r>
      <w:r w:rsidRPr="0053038D">
        <w:rPr>
          <w:sz w:val="18"/>
          <w:szCs w:val="18"/>
        </w:rPr>
        <w:tab/>
        <w:t>Employment t</w:t>
      </w:r>
      <w:r w:rsidR="00AC706A">
        <w:rPr>
          <w:sz w:val="18"/>
          <w:szCs w:val="18"/>
        </w:rPr>
        <w:t>rends, 15 to 24-year-olds, 1996—</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_Toc457809786 \h </w:instrText>
      </w:r>
      <w:r w:rsidRPr="0053038D">
        <w:rPr>
          <w:sz w:val="18"/>
          <w:szCs w:val="18"/>
        </w:rPr>
      </w:r>
      <w:r w:rsidRPr="0053038D">
        <w:rPr>
          <w:sz w:val="18"/>
          <w:szCs w:val="18"/>
        </w:rPr>
        <w:fldChar w:fldCharType="separate"/>
      </w:r>
      <w:r w:rsidR="002D23AE">
        <w:rPr>
          <w:sz w:val="18"/>
          <w:szCs w:val="18"/>
        </w:rPr>
        <w:t>14</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4</w:t>
      </w:r>
      <w:r w:rsidRPr="0053038D">
        <w:rPr>
          <w:sz w:val="18"/>
          <w:szCs w:val="18"/>
        </w:rPr>
        <w:tab/>
        <w:t>Employment trends, 25 years and over (%)</w:t>
      </w:r>
      <w:r w:rsidRPr="0053038D">
        <w:rPr>
          <w:sz w:val="18"/>
          <w:szCs w:val="18"/>
        </w:rPr>
        <w:tab/>
      </w:r>
      <w:r w:rsidRPr="0053038D">
        <w:rPr>
          <w:sz w:val="18"/>
          <w:szCs w:val="18"/>
        </w:rPr>
        <w:fldChar w:fldCharType="begin"/>
      </w:r>
      <w:r w:rsidRPr="0053038D">
        <w:rPr>
          <w:sz w:val="18"/>
          <w:szCs w:val="18"/>
        </w:rPr>
        <w:instrText xml:space="preserve"> PAGEREF _Toc457809787 \h </w:instrText>
      </w:r>
      <w:r w:rsidRPr="0053038D">
        <w:rPr>
          <w:sz w:val="18"/>
          <w:szCs w:val="18"/>
        </w:rPr>
      </w:r>
      <w:r w:rsidRPr="0053038D">
        <w:rPr>
          <w:sz w:val="18"/>
          <w:szCs w:val="18"/>
        </w:rPr>
        <w:fldChar w:fldCharType="separate"/>
      </w:r>
      <w:r w:rsidR="002D23AE">
        <w:rPr>
          <w:sz w:val="18"/>
          <w:szCs w:val="18"/>
        </w:rPr>
        <w:t>15</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5</w:t>
      </w:r>
      <w:r w:rsidRPr="0053038D">
        <w:rPr>
          <w:sz w:val="18"/>
          <w:szCs w:val="18"/>
        </w:rPr>
        <w:tab/>
        <w:t>Trades apprentices in training as a proportion of the trades labour force and unemployment rate 1996</w:t>
      </w:r>
      <w:r w:rsidR="00AC706A">
        <w:rPr>
          <w:sz w:val="18"/>
          <w:szCs w:val="18"/>
        </w:rPr>
        <w:t>—</w:t>
      </w:r>
      <w:r w:rsidRPr="0053038D">
        <w:rPr>
          <w:sz w:val="18"/>
          <w:szCs w:val="18"/>
        </w:rPr>
        <w:t>2015</w:t>
      </w:r>
      <w:r w:rsidRPr="0053038D">
        <w:rPr>
          <w:sz w:val="18"/>
          <w:szCs w:val="18"/>
        </w:rPr>
        <w:tab/>
      </w:r>
      <w:r w:rsidRPr="0053038D">
        <w:rPr>
          <w:sz w:val="18"/>
          <w:szCs w:val="18"/>
        </w:rPr>
        <w:fldChar w:fldCharType="begin"/>
      </w:r>
      <w:r w:rsidRPr="0053038D">
        <w:rPr>
          <w:sz w:val="18"/>
          <w:szCs w:val="18"/>
        </w:rPr>
        <w:instrText xml:space="preserve"> PAGEREF _Toc457809788 \h </w:instrText>
      </w:r>
      <w:r w:rsidRPr="0053038D">
        <w:rPr>
          <w:sz w:val="18"/>
          <w:szCs w:val="18"/>
        </w:rPr>
      </w:r>
      <w:r w:rsidRPr="0053038D">
        <w:rPr>
          <w:sz w:val="18"/>
          <w:szCs w:val="18"/>
        </w:rPr>
        <w:fldChar w:fldCharType="separate"/>
      </w:r>
      <w:r w:rsidR="002D23AE">
        <w:rPr>
          <w:sz w:val="18"/>
          <w:szCs w:val="18"/>
        </w:rPr>
        <w:t>15</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6</w:t>
      </w:r>
      <w:r w:rsidRPr="0053038D">
        <w:rPr>
          <w:sz w:val="18"/>
          <w:szCs w:val="18"/>
        </w:rPr>
        <w:tab/>
        <w:t>Change in industry structure 1996</w:t>
      </w:r>
      <w:r w:rsidR="00AC706A">
        <w:rPr>
          <w:sz w:val="18"/>
          <w:szCs w:val="18"/>
        </w:rPr>
        <w:t>—</w:t>
      </w:r>
      <w:r w:rsidRPr="0053038D">
        <w:rPr>
          <w:sz w:val="18"/>
          <w:szCs w:val="18"/>
        </w:rPr>
        <w:t>2015, August figures, trend data (%)</w:t>
      </w:r>
      <w:r w:rsidRPr="0053038D">
        <w:rPr>
          <w:sz w:val="18"/>
          <w:szCs w:val="18"/>
        </w:rPr>
        <w:tab/>
      </w:r>
      <w:r w:rsidRPr="0053038D">
        <w:rPr>
          <w:sz w:val="18"/>
          <w:szCs w:val="18"/>
        </w:rPr>
        <w:fldChar w:fldCharType="begin"/>
      </w:r>
      <w:r w:rsidRPr="0053038D">
        <w:rPr>
          <w:sz w:val="18"/>
          <w:szCs w:val="18"/>
        </w:rPr>
        <w:instrText xml:space="preserve"> PAGEREF _Toc457809789 \h </w:instrText>
      </w:r>
      <w:r w:rsidRPr="0053038D">
        <w:rPr>
          <w:sz w:val="18"/>
          <w:szCs w:val="18"/>
        </w:rPr>
      </w:r>
      <w:r w:rsidRPr="0053038D">
        <w:rPr>
          <w:sz w:val="18"/>
          <w:szCs w:val="18"/>
        </w:rPr>
        <w:fldChar w:fldCharType="separate"/>
      </w:r>
      <w:r w:rsidR="002D23AE">
        <w:rPr>
          <w:sz w:val="18"/>
          <w:szCs w:val="18"/>
        </w:rPr>
        <w:t>16</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7</w:t>
      </w:r>
      <w:r w:rsidRPr="0053038D">
        <w:rPr>
          <w:sz w:val="18"/>
          <w:szCs w:val="18"/>
        </w:rPr>
        <w:tab/>
        <w:t>Change in occupational structure 1996</w:t>
      </w:r>
      <w:r w:rsidR="00AC706A">
        <w:rPr>
          <w:sz w:val="18"/>
          <w:szCs w:val="18"/>
        </w:rPr>
        <w:t>—</w:t>
      </w:r>
      <w:r w:rsidRPr="0053038D">
        <w:rPr>
          <w:sz w:val="18"/>
          <w:szCs w:val="18"/>
        </w:rPr>
        <w:t>2015, ANZSCO, August figures (%)</w:t>
      </w:r>
      <w:r w:rsidRPr="0053038D">
        <w:rPr>
          <w:sz w:val="18"/>
          <w:szCs w:val="18"/>
        </w:rPr>
        <w:tab/>
      </w:r>
      <w:r w:rsidRPr="0053038D">
        <w:rPr>
          <w:sz w:val="18"/>
          <w:szCs w:val="18"/>
        </w:rPr>
        <w:fldChar w:fldCharType="begin"/>
      </w:r>
      <w:r w:rsidRPr="0053038D">
        <w:rPr>
          <w:sz w:val="18"/>
          <w:szCs w:val="18"/>
        </w:rPr>
        <w:instrText xml:space="preserve"> PAGEREF _Toc457809790 \h </w:instrText>
      </w:r>
      <w:r w:rsidRPr="0053038D">
        <w:rPr>
          <w:sz w:val="18"/>
          <w:szCs w:val="18"/>
        </w:rPr>
      </w:r>
      <w:r w:rsidRPr="0053038D">
        <w:rPr>
          <w:sz w:val="18"/>
          <w:szCs w:val="18"/>
        </w:rPr>
        <w:fldChar w:fldCharType="separate"/>
      </w:r>
      <w:r w:rsidR="002D23AE">
        <w:rPr>
          <w:sz w:val="18"/>
          <w:szCs w:val="18"/>
        </w:rPr>
        <w:t>17</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8</w:t>
      </w:r>
      <w:r w:rsidRPr="0053038D">
        <w:rPr>
          <w:sz w:val="18"/>
          <w:szCs w:val="18"/>
        </w:rPr>
        <w:tab/>
        <w:t>Students by field of education</w:t>
      </w:r>
      <w:r w:rsidRPr="0053038D">
        <w:rPr>
          <w:sz w:val="18"/>
          <w:szCs w:val="18"/>
        </w:rPr>
        <w:tab/>
      </w:r>
      <w:r w:rsidRPr="0053038D">
        <w:rPr>
          <w:sz w:val="18"/>
          <w:szCs w:val="18"/>
        </w:rPr>
        <w:fldChar w:fldCharType="begin"/>
      </w:r>
      <w:r w:rsidRPr="0053038D">
        <w:rPr>
          <w:sz w:val="18"/>
          <w:szCs w:val="18"/>
        </w:rPr>
        <w:instrText xml:space="preserve"> PAGEREF _Toc457809791 \h </w:instrText>
      </w:r>
      <w:r w:rsidRPr="0053038D">
        <w:rPr>
          <w:sz w:val="18"/>
          <w:szCs w:val="18"/>
        </w:rPr>
      </w:r>
      <w:r w:rsidRPr="0053038D">
        <w:rPr>
          <w:sz w:val="18"/>
          <w:szCs w:val="18"/>
        </w:rPr>
        <w:fldChar w:fldCharType="separate"/>
      </w:r>
      <w:r w:rsidR="002D23AE">
        <w:rPr>
          <w:sz w:val="18"/>
          <w:szCs w:val="18"/>
        </w:rPr>
        <w:t>18</w:t>
      </w:r>
      <w:r w:rsidRPr="0053038D">
        <w:rPr>
          <w:sz w:val="18"/>
          <w:szCs w:val="18"/>
        </w:rPr>
        <w:fldChar w:fldCharType="end"/>
      </w:r>
    </w:p>
    <w:p w:rsidR="00946BA3" w:rsidRPr="0053038D" w:rsidRDefault="00C14E9F"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Pr>
          <w:sz w:val="18"/>
          <w:szCs w:val="18"/>
        </w:rPr>
        <w:t>9</w:t>
      </w:r>
      <w:r>
        <w:rPr>
          <w:sz w:val="18"/>
          <w:szCs w:val="18"/>
        </w:rPr>
        <w:tab/>
        <w:t>Participation in VET</w:t>
      </w:r>
      <w:r w:rsidR="00946BA3" w:rsidRPr="0053038D">
        <w:rPr>
          <w:sz w:val="18"/>
          <w:szCs w:val="18"/>
        </w:rPr>
        <w:t xml:space="preserve"> (’000 students), 1996</w:t>
      </w:r>
      <w:r w:rsidR="00AC706A">
        <w:rPr>
          <w:sz w:val="18"/>
          <w:szCs w:val="18"/>
        </w:rPr>
        <w:t>—</w:t>
      </w:r>
      <w:r w:rsidR="00946BA3" w:rsidRPr="0053038D">
        <w:rPr>
          <w:sz w:val="18"/>
          <w:szCs w:val="18"/>
        </w:rPr>
        <w:t>2015</w:t>
      </w:r>
      <w:r w:rsidR="00946BA3" w:rsidRPr="0053038D">
        <w:rPr>
          <w:sz w:val="18"/>
          <w:szCs w:val="18"/>
        </w:rPr>
        <w:tab/>
      </w:r>
      <w:r w:rsidR="00946BA3" w:rsidRPr="0053038D">
        <w:rPr>
          <w:sz w:val="18"/>
          <w:szCs w:val="18"/>
        </w:rPr>
        <w:fldChar w:fldCharType="begin"/>
      </w:r>
      <w:r w:rsidR="00946BA3" w:rsidRPr="0053038D">
        <w:rPr>
          <w:sz w:val="18"/>
          <w:szCs w:val="18"/>
        </w:rPr>
        <w:instrText xml:space="preserve"> PAGEREF _Toc457809792 \h </w:instrText>
      </w:r>
      <w:r w:rsidR="00946BA3" w:rsidRPr="0053038D">
        <w:rPr>
          <w:sz w:val="18"/>
          <w:szCs w:val="18"/>
        </w:rPr>
      </w:r>
      <w:r w:rsidR="00946BA3" w:rsidRPr="0053038D">
        <w:rPr>
          <w:sz w:val="18"/>
          <w:szCs w:val="18"/>
        </w:rPr>
        <w:fldChar w:fldCharType="separate"/>
      </w:r>
      <w:r w:rsidR="002D23AE">
        <w:rPr>
          <w:sz w:val="18"/>
          <w:szCs w:val="18"/>
        </w:rPr>
        <w:t>20</w:t>
      </w:r>
      <w:r w:rsidR="00946BA3"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10</w:t>
      </w:r>
      <w:r w:rsidR="00C14E9F">
        <w:rPr>
          <w:sz w:val="18"/>
          <w:szCs w:val="18"/>
        </w:rPr>
        <w:tab/>
        <w:t xml:space="preserve">Rates of participation in VET, </w:t>
      </w:r>
      <w:r w:rsidR="00AC706A">
        <w:rPr>
          <w:sz w:val="18"/>
          <w:szCs w:val="18"/>
        </w:rPr>
        <w:t>1996—</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_Toc457809793 \h </w:instrText>
      </w:r>
      <w:r w:rsidRPr="0053038D">
        <w:rPr>
          <w:sz w:val="18"/>
          <w:szCs w:val="18"/>
        </w:rPr>
      </w:r>
      <w:r w:rsidRPr="0053038D">
        <w:rPr>
          <w:sz w:val="18"/>
          <w:szCs w:val="18"/>
        </w:rPr>
        <w:fldChar w:fldCharType="separate"/>
      </w:r>
      <w:r w:rsidR="002D23AE">
        <w:rPr>
          <w:sz w:val="18"/>
          <w:szCs w:val="18"/>
        </w:rPr>
        <w:t>20</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11</w:t>
      </w:r>
      <w:r w:rsidRPr="0053038D">
        <w:rPr>
          <w:sz w:val="18"/>
          <w:szCs w:val="18"/>
        </w:rPr>
        <w:tab/>
        <w:t>Rates of participation in VET by qualification level, 1996</w:t>
      </w:r>
      <w:r w:rsidR="00AC706A">
        <w:rPr>
          <w:sz w:val="18"/>
          <w:szCs w:val="18"/>
        </w:rPr>
        <w:t>—</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_Toc457809794 \h </w:instrText>
      </w:r>
      <w:r w:rsidRPr="0053038D">
        <w:rPr>
          <w:sz w:val="18"/>
          <w:szCs w:val="18"/>
        </w:rPr>
      </w:r>
      <w:r w:rsidRPr="0053038D">
        <w:rPr>
          <w:sz w:val="18"/>
          <w:szCs w:val="18"/>
        </w:rPr>
        <w:fldChar w:fldCharType="separate"/>
      </w:r>
      <w:r w:rsidR="002D23AE">
        <w:rPr>
          <w:sz w:val="18"/>
          <w:szCs w:val="18"/>
        </w:rPr>
        <w:t>21</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12</w:t>
      </w:r>
      <w:r w:rsidRPr="0053038D">
        <w:rPr>
          <w:sz w:val="18"/>
          <w:szCs w:val="18"/>
        </w:rPr>
        <w:tab/>
        <w:t>Rates of participation in VET by age, 1996</w:t>
      </w:r>
      <w:r w:rsidR="00AC706A">
        <w:rPr>
          <w:sz w:val="18"/>
          <w:szCs w:val="18"/>
        </w:rPr>
        <w:t>—</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_Toc457809795 \h </w:instrText>
      </w:r>
      <w:r w:rsidRPr="0053038D">
        <w:rPr>
          <w:sz w:val="18"/>
          <w:szCs w:val="18"/>
        </w:rPr>
      </w:r>
      <w:r w:rsidRPr="0053038D">
        <w:rPr>
          <w:sz w:val="18"/>
          <w:szCs w:val="18"/>
        </w:rPr>
        <w:fldChar w:fldCharType="separate"/>
      </w:r>
      <w:r w:rsidR="002D23AE">
        <w:rPr>
          <w:sz w:val="18"/>
          <w:szCs w:val="18"/>
        </w:rPr>
        <w:t>22</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13</w:t>
      </w:r>
      <w:r w:rsidRPr="0053038D">
        <w:rPr>
          <w:sz w:val="18"/>
          <w:szCs w:val="18"/>
        </w:rPr>
        <w:tab/>
        <w:t>Percentage of part-time participation in VET, 1996</w:t>
      </w:r>
      <w:r w:rsidR="00AC706A">
        <w:rPr>
          <w:sz w:val="18"/>
          <w:szCs w:val="18"/>
        </w:rPr>
        <w:t>—</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_Toc457809796 \h </w:instrText>
      </w:r>
      <w:r w:rsidRPr="0053038D">
        <w:rPr>
          <w:sz w:val="18"/>
          <w:szCs w:val="18"/>
        </w:rPr>
      </w:r>
      <w:r w:rsidRPr="0053038D">
        <w:rPr>
          <w:sz w:val="18"/>
          <w:szCs w:val="18"/>
        </w:rPr>
        <w:fldChar w:fldCharType="separate"/>
      </w:r>
      <w:r w:rsidR="002D23AE">
        <w:rPr>
          <w:sz w:val="18"/>
          <w:szCs w:val="18"/>
        </w:rPr>
        <w:t>23</w:t>
      </w:r>
      <w:r w:rsidRPr="0053038D">
        <w:rPr>
          <w:sz w:val="18"/>
          <w:szCs w:val="18"/>
        </w:rPr>
        <w:fldChar w:fldCharType="end"/>
      </w:r>
    </w:p>
    <w:p w:rsidR="00946BA3" w:rsidRPr="0053038D" w:rsidRDefault="00C14E9F"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Pr>
          <w:sz w:val="18"/>
          <w:szCs w:val="18"/>
        </w:rPr>
        <w:t>14</w:t>
      </w:r>
      <w:r>
        <w:rPr>
          <w:sz w:val="18"/>
          <w:szCs w:val="18"/>
        </w:rPr>
        <w:tab/>
        <w:t>Apprenticeship commencement</w:t>
      </w:r>
      <w:r w:rsidR="00946BA3" w:rsidRPr="0053038D">
        <w:rPr>
          <w:sz w:val="18"/>
          <w:szCs w:val="18"/>
        </w:rPr>
        <w:t xml:space="preserve"> rates by trade/non-trade occupations, 1996</w:t>
      </w:r>
      <w:r w:rsidR="00AC706A">
        <w:rPr>
          <w:sz w:val="18"/>
          <w:szCs w:val="18"/>
        </w:rPr>
        <w:t>—</w:t>
      </w:r>
      <w:r w:rsidR="00946BA3" w:rsidRPr="0053038D">
        <w:rPr>
          <w:sz w:val="18"/>
          <w:szCs w:val="18"/>
        </w:rPr>
        <w:t>201</w:t>
      </w:r>
      <w:r w:rsidR="00040343">
        <w:rPr>
          <w:sz w:val="18"/>
          <w:szCs w:val="18"/>
        </w:rPr>
        <w:t>5</w:t>
      </w:r>
      <w:r w:rsidR="00946BA3" w:rsidRPr="0053038D">
        <w:rPr>
          <w:sz w:val="18"/>
          <w:szCs w:val="18"/>
        </w:rPr>
        <w:t xml:space="preserve"> (%)</w:t>
      </w:r>
      <w:r w:rsidR="00946BA3" w:rsidRPr="0053038D">
        <w:rPr>
          <w:sz w:val="18"/>
          <w:szCs w:val="18"/>
        </w:rPr>
        <w:tab/>
      </w:r>
      <w:r w:rsidR="00946BA3" w:rsidRPr="0053038D">
        <w:rPr>
          <w:sz w:val="18"/>
          <w:szCs w:val="18"/>
        </w:rPr>
        <w:fldChar w:fldCharType="begin"/>
      </w:r>
      <w:r w:rsidR="00946BA3" w:rsidRPr="0053038D">
        <w:rPr>
          <w:sz w:val="18"/>
          <w:szCs w:val="18"/>
        </w:rPr>
        <w:instrText xml:space="preserve"> PAGEREF _Toc457809797 \h </w:instrText>
      </w:r>
      <w:r w:rsidR="00946BA3" w:rsidRPr="0053038D">
        <w:rPr>
          <w:sz w:val="18"/>
          <w:szCs w:val="18"/>
        </w:rPr>
      </w:r>
      <w:r w:rsidR="00946BA3" w:rsidRPr="0053038D">
        <w:rPr>
          <w:sz w:val="18"/>
          <w:szCs w:val="18"/>
        </w:rPr>
        <w:fldChar w:fldCharType="separate"/>
      </w:r>
      <w:r w:rsidR="002D23AE">
        <w:rPr>
          <w:sz w:val="18"/>
          <w:szCs w:val="18"/>
        </w:rPr>
        <w:t>25</w:t>
      </w:r>
      <w:r w:rsidR="00946BA3"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15</w:t>
      </w:r>
      <w:r w:rsidRPr="0053038D">
        <w:rPr>
          <w:sz w:val="18"/>
          <w:szCs w:val="18"/>
        </w:rPr>
        <w:tab/>
        <w:t>Trade and non-trade apprenticeship commencements to labour force rates by sex, 1996</w:t>
      </w:r>
      <w:r w:rsidR="00AC706A">
        <w:rPr>
          <w:sz w:val="18"/>
          <w:szCs w:val="18"/>
        </w:rPr>
        <w:t>—</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_Toc457809798 \h </w:instrText>
      </w:r>
      <w:r w:rsidRPr="0053038D">
        <w:rPr>
          <w:sz w:val="18"/>
          <w:szCs w:val="18"/>
        </w:rPr>
      </w:r>
      <w:r w:rsidRPr="0053038D">
        <w:rPr>
          <w:sz w:val="18"/>
          <w:szCs w:val="18"/>
        </w:rPr>
        <w:fldChar w:fldCharType="separate"/>
      </w:r>
      <w:r w:rsidR="002D23AE">
        <w:rPr>
          <w:sz w:val="18"/>
          <w:szCs w:val="18"/>
        </w:rPr>
        <w:t>27</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16</w:t>
      </w:r>
      <w:r w:rsidRPr="0053038D">
        <w:rPr>
          <w:sz w:val="18"/>
          <w:szCs w:val="18"/>
        </w:rPr>
        <w:tab/>
        <w:t>Trade and non-trade apprenticeship completions to labour force rates, 1996</w:t>
      </w:r>
      <w:r w:rsidR="00AC706A">
        <w:rPr>
          <w:sz w:val="18"/>
          <w:szCs w:val="18"/>
        </w:rPr>
        <w:t>—</w:t>
      </w:r>
      <w:r w:rsidRPr="0053038D">
        <w:rPr>
          <w:sz w:val="18"/>
          <w:szCs w:val="18"/>
        </w:rPr>
        <w:t>201</w:t>
      </w:r>
      <w:r w:rsidR="00040343">
        <w:rPr>
          <w:sz w:val="18"/>
          <w:szCs w:val="18"/>
        </w:rPr>
        <w:t>5</w:t>
      </w:r>
      <w:r w:rsidRPr="0053038D">
        <w:rPr>
          <w:sz w:val="18"/>
          <w:szCs w:val="18"/>
        </w:rPr>
        <w:t xml:space="preserve"> (%)</w:t>
      </w:r>
      <w:r w:rsidRPr="0053038D">
        <w:rPr>
          <w:sz w:val="18"/>
          <w:szCs w:val="18"/>
        </w:rPr>
        <w:tab/>
      </w:r>
      <w:r w:rsidRPr="0053038D">
        <w:rPr>
          <w:sz w:val="18"/>
          <w:szCs w:val="18"/>
        </w:rPr>
        <w:fldChar w:fldCharType="begin"/>
      </w:r>
      <w:r w:rsidRPr="0053038D">
        <w:rPr>
          <w:sz w:val="18"/>
          <w:szCs w:val="18"/>
        </w:rPr>
        <w:instrText xml:space="preserve"> PAGEREF _Toc457809799 \h </w:instrText>
      </w:r>
      <w:r w:rsidRPr="0053038D">
        <w:rPr>
          <w:sz w:val="18"/>
          <w:szCs w:val="18"/>
        </w:rPr>
      </w:r>
      <w:r w:rsidRPr="0053038D">
        <w:rPr>
          <w:sz w:val="18"/>
          <w:szCs w:val="18"/>
        </w:rPr>
        <w:fldChar w:fldCharType="separate"/>
      </w:r>
      <w:r w:rsidR="002D23AE">
        <w:rPr>
          <w:sz w:val="18"/>
          <w:szCs w:val="18"/>
        </w:rPr>
        <w:t>28</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17</w:t>
      </w:r>
      <w:r w:rsidRPr="0053038D">
        <w:rPr>
          <w:sz w:val="18"/>
          <w:szCs w:val="18"/>
        </w:rPr>
        <w:tab/>
        <w:t>Trade completions by duration 1996</w:t>
      </w:r>
      <w:r w:rsidR="00AC706A">
        <w:rPr>
          <w:sz w:val="18"/>
          <w:szCs w:val="18"/>
        </w:rPr>
        <w:t>—</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_Toc457809800 \h </w:instrText>
      </w:r>
      <w:r w:rsidRPr="0053038D">
        <w:rPr>
          <w:sz w:val="18"/>
          <w:szCs w:val="18"/>
        </w:rPr>
      </w:r>
      <w:r w:rsidRPr="0053038D">
        <w:rPr>
          <w:sz w:val="18"/>
          <w:szCs w:val="18"/>
        </w:rPr>
        <w:fldChar w:fldCharType="separate"/>
      </w:r>
      <w:r w:rsidR="002D23AE">
        <w:rPr>
          <w:sz w:val="18"/>
          <w:szCs w:val="18"/>
        </w:rPr>
        <w:t>32</w:t>
      </w:r>
      <w:r w:rsidRPr="0053038D">
        <w:rPr>
          <w:sz w:val="18"/>
          <w:szCs w:val="18"/>
        </w:rPr>
        <w:fldChar w:fldCharType="end"/>
      </w:r>
    </w:p>
    <w:p w:rsidR="00946BA3" w:rsidRPr="0053038D" w:rsidRDefault="00946BA3" w:rsidP="00A84180">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18</w:t>
      </w:r>
      <w:r w:rsidRPr="0053038D">
        <w:rPr>
          <w:sz w:val="18"/>
          <w:szCs w:val="18"/>
        </w:rPr>
        <w:tab/>
        <w:t>Trade completions by age by duration of two years or less 1996</w:t>
      </w:r>
      <w:r w:rsidR="00AC706A">
        <w:rPr>
          <w:sz w:val="18"/>
          <w:szCs w:val="18"/>
        </w:rPr>
        <w:t>—</w:t>
      </w:r>
      <w:r w:rsidRPr="0053038D">
        <w:rPr>
          <w:sz w:val="18"/>
          <w:szCs w:val="18"/>
        </w:rPr>
        <w:t>201</w:t>
      </w:r>
      <w:r w:rsidR="00A47864">
        <w:rPr>
          <w:sz w:val="18"/>
          <w:szCs w:val="18"/>
        </w:rPr>
        <w:t>5</w:t>
      </w:r>
      <w:r w:rsidRPr="0053038D">
        <w:rPr>
          <w:sz w:val="18"/>
          <w:szCs w:val="18"/>
        </w:rPr>
        <w:t xml:space="preserve"> (%)</w:t>
      </w:r>
      <w:r w:rsidRPr="0053038D">
        <w:rPr>
          <w:sz w:val="18"/>
          <w:szCs w:val="18"/>
        </w:rPr>
        <w:tab/>
      </w:r>
      <w:r w:rsidRPr="0053038D">
        <w:rPr>
          <w:sz w:val="18"/>
          <w:szCs w:val="18"/>
        </w:rPr>
        <w:fldChar w:fldCharType="begin"/>
      </w:r>
      <w:r w:rsidRPr="0053038D">
        <w:rPr>
          <w:sz w:val="18"/>
          <w:szCs w:val="18"/>
        </w:rPr>
        <w:instrText xml:space="preserve"> PAGEREF _Toc457809801 \h </w:instrText>
      </w:r>
      <w:r w:rsidRPr="0053038D">
        <w:rPr>
          <w:sz w:val="18"/>
          <w:szCs w:val="18"/>
        </w:rPr>
      </w:r>
      <w:r w:rsidRPr="0053038D">
        <w:rPr>
          <w:sz w:val="18"/>
          <w:szCs w:val="18"/>
        </w:rPr>
        <w:fldChar w:fldCharType="separate"/>
      </w:r>
      <w:r w:rsidR="002D23AE">
        <w:rPr>
          <w:sz w:val="18"/>
          <w:szCs w:val="18"/>
        </w:rPr>
        <w:t>33</w:t>
      </w:r>
      <w:r w:rsidRPr="0053038D">
        <w:rPr>
          <w:sz w:val="18"/>
          <w:szCs w:val="18"/>
        </w:rPr>
        <w:fldChar w:fldCharType="end"/>
      </w:r>
    </w:p>
    <w:p w:rsidR="00946BA3" w:rsidRPr="0053038D" w:rsidRDefault="00946BA3" w:rsidP="00A84180">
      <w:pPr>
        <w:pStyle w:val="TableofFigures"/>
        <w:tabs>
          <w:tab w:val="clear" w:pos="6804"/>
          <w:tab w:val="right" w:pos="7371"/>
        </w:tabs>
        <w:ind w:right="1700"/>
        <w:rPr>
          <w:rFonts w:asciiTheme="minorHAnsi" w:eastAsiaTheme="minorEastAsia" w:hAnsiTheme="minorHAnsi" w:cstheme="minorBidi"/>
          <w:color w:val="auto"/>
          <w:sz w:val="18"/>
          <w:szCs w:val="18"/>
          <w:lang w:eastAsia="en-AU"/>
        </w:rPr>
      </w:pPr>
      <w:r w:rsidRPr="0053038D">
        <w:rPr>
          <w:sz w:val="18"/>
          <w:szCs w:val="18"/>
        </w:rPr>
        <w:t>19</w:t>
      </w:r>
      <w:r w:rsidRPr="0053038D">
        <w:rPr>
          <w:sz w:val="18"/>
          <w:szCs w:val="18"/>
        </w:rPr>
        <w:tab/>
        <w:t>Rates of par</w:t>
      </w:r>
      <w:r w:rsidR="00AC706A">
        <w:rPr>
          <w:sz w:val="18"/>
          <w:szCs w:val="18"/>
        </w:rPr>
        <w:t>ticipation in VET by state 1996—</w:t>
      </w:r>
      <w:r w:rsidRPr="0053038D">
        <w:rPr>
          <w:sz w:val="18"/>
          <w:szCs w:val="18"/>
        </w:rPr>
        <w:t>2015 (%)</w:t>
      </w:r>
      <w:r w:rsidRPr="0053038D">
        <w:rPr>
          <w:sz w:val="18"/>
          <w:szCs w:val="18"/>
        </w:rPr>
        <w:tab/>
      </w:r>
      <w:r w:rsidRPr="0053038D">
        <w:rPr>
          <w:sz w:val="18"/>
          <w:szCs w:val="18"/>
        </w:rPr>
        <w:fldChar w:fldCharType="begin"/>
      </w:r>
      <w:r w:rsidRPr="0053038D">
        <w:rPr>
          <w:sz w:val="18"/>
          <w:szCs w:val="18"/>
        </w:rPr>
        <w:instrText xml:space="preserve"> PAGEREF _Toc457809802 \h </w:instrText>
      </w:r>
      <w:r w:rsidRPr="0053038D">
        <w:rPr>
          <w:sz w:val="18"/>
          <w:szCs w:val="18"/>
        </w:rPr>
      </w:r>
      <w:r w:rsidRPr="0053038D">
        <w:rPr>
          <w:sz w:val="18"/>
          <w:szCs w:val="18"/>
        </w:rPr>
        <w:fldChar w:fldCharType="separate"/>
      </w:r>
      <w:r w:rsidR="002D23AE">
        <w:rPr>
          <w:sz w:val="18"/>
          <w:szCs w:val="18"/>
        </w:rPr>
        <w:t>40</w:t>
      </w:r>
      <w:r w:rsidRPr="0053038D">
        <w:rPr>
          <w:sz w:val="18"/>
          <w:szCs w:val="18"/>
        </w:rPr>
        <w:fldChar w:fldCharType="end"/>
      </w:r>
    </w:p>
    <w:p w:rsidR="00946BA3" w:rsidRPr="0053038D" w:rsidRDefault="00946BA3" w:rsidP="006F4D1D">
      <w:pPr>
        <w:pStyle w:val="TableofFigures"/>
        <w:tabs>
          <w:tab w:val="clear" w:pos="6804"/>
          <w:tab w:val="right" w:pos="7371"/>
        </w:tabs>
        <w:ind w:left="284" w:right="1700" w:hanging="284"/>
        <w:rPr>
          <w:rFonts w:asciiTheme="minorHAnsi" w:eastAsiaTheme="minorEastAsia" w:hAnsiTheme="minorHAnsi" w:cstheme="minorBidi"/>
          <w:color w:val="auto"/>
          <w:sz w:val="18"/>
          <w:szCs w:val="18"/>
          <w:lang w:eastAsia="en-AU"/>
        </w:rPr>
      </w:pPr>
      <w:r w:rsidRPr="0053038D">
        <w:rPr>
          <w:sz w:val="18"/>
          <w:szCs w:val="18"/>
        </w:rPr>
        <w:t>20</w:t>
      </w:r>
      <w:r w:rsidR="0053038D" w:rsidRPr="0053038D">
        <w:rPr>
          <w:sz w:val="18"/>
          <w:szCs w:val="18"/>
        </w:rPr>
        <w:tab/>
      </w:r>
      <w:r w:rsidRPr="0053038D">
        <w:rPr>
          <w:sz w:val="18"/>
          <w:szCs w:val="18"/>
        </w:rPr>
        <w:t>Rates of participation in VET by state for certificate</w:t>
      </w:r>
      <w:r w:rsidR="00AC706A">
        <w:rPr>
          <w:sz w:val="18"/>
          <w:szCs w:val="18"/>
        </w:rPr>
        <w:t xml:space="preserve"> III and IV qualifications 2009—</w:t>
      </w:r>
      <w:r w:rsidRPr="0053038D">
        <w:rPr>
          <w:sz w:val="18"/>
          <w:szCs w:val="18"/>
        </w:rPr>
        <w:t>15 (%)</w:t>
      </w:r>
      <w:r w:rsidRPr="0053038D">
        <w:rPr>
          <w:sz w:val="18"/>
          <w:szCs w:val="18"/>
        </w:rPr>
        <w:tab/>
      </w:r>
      <w:r w:rsidRPr="0053038D">
        <w:rPr>
          <w:sz w:val="18"/>
          <w:szCs w:val="18"/>
        </w:rPr>
        <w:fldChar w:fldCharType="begin"/>
      </w:r>
      <w:r w:rsidRPr="0053038D">
        <w:rPr>
          <w:sz w:val="18"/>
          <w:szCs w:val="18"/>
        </w:rPr>
        <w:instrText xml:space="preserve"> PAGEREF _Toc457809803 \h </w:instrText>
      </w:r>
      <w:r w:rsidRPr="0053038D">
        <w:rPr>
          <w:sz w:val="18"/>
          <w:szCs w:val="18"/>
        </w:rPr>
      </w:r>
      <w:r w:rsidRPr="0053038D">
        <w:rPr>
          <w:sz w:val="18"/>
          <w:szCs w:val="18"/>
        </w:rPr>
        <w:fldChar w:fldCharType="separate"/>
      </w:r>
      <w:r w:rsidR="002D23AE">
        <w:rPr>
          <w:sz w:val="18"/>
          <w:szCs w:val="18"/>
        </w:rPr>
        <w:t>41</w:t>
      </w:r>
      <w:r w:rsidRPr="0053038D">
        <w:rPr>
          <w:sz w:val="18"/>
          <w:szCs w:val="18"/>
        </w:rPr>
        <w:fldChar w:fldCharType="end"/>
      </w:r>
    </w:p>
    <w:p w:rsidR="00164E15" w:rsidRDefault="0053038D" w:rsidP="00A84180">
      <w:pPr>
        <w:pStyle w:val="Heading1"/>
        <w:tabs>
          <w:tab w:val="right" w:pos="7371"/>
        </w:tabs>
        <w:ind w:right="1700"/>
      </w:pPr>
      <w:r w:rsidRPr="00BE5DCB">
        <w:rPr>
          <w:noProof/>
          <w:lang w:eastAsia="en-AU"/>
        </w:rPr>
        <w:lastRenderedPageBreak/>
        <w:drawing>
          <wp:anchor distT="0" distB="0" distL="114300" distR="114300" simplePos="0" relativeHeight="252007424" behindDoc="1" locked="0" layoutInCell="1" allowOverlap="1" wp14:anchorId="49FD95DC" wp14:editId="206AF563">
            <wp:simplePos x="0" y="0"/>
            <wp:positionH relativeFrom="column">
              <wp:posOffset>-26035</wp:posOffset>
            </wp:positionH>
            <wp:positionV relativeFrom="paragraph">
              <wp:posOffset>-57785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00" w:rsidRPr="0053038D">
        <w:rPr>
          <w:sz w:val="18"/>
          <w:szCs w:val="18"/>
        </w:rPr>
        <w:fldChar w:fldCharType="end"/>
      </w:r>
      <w:bookmarkStart w:id="30" w:name="_Toc455569933"/>
      <w:bookmarkStart w:id="31" w:name="_Toc316371585"/>
      <w:bookmarkStart w:id="32" w:name="_Toc416260886"/>
      <w:bookmarkEnd w:id="3"/>
      <w:bookmarkEnd w:id="4"/>
      <w:bookmarkEnd w:id="5"/>
      <w:bookmarkEnd w:id="6"/>
      <w:r w:rsidR="00833644">
        <w:t>Introduction</w:t>
      </w:r>
      <w:bookmarkEnd w:id="30"/>
    </w:p>
    <w:p w:rsidR="00E85101" w:rsidRDefault="00164E15" w:rsidP="00164E15">
      <w:pPr>
        <w:pStyle w:val="Text"/>
      </w:pPr>
      <w:r>
        <w:t xml:space="preserve">The </w:t>
      </w:r>
      <w:r w:rsidR="004A034A">
        <w:t xml:space="preserve">vocational education and training (VET) </w:t>
      </w:r>
      <w:r>
        <w:t xml:space="preserve">sector </w:t>
      </w:r>
      <w:r w:rsidR="00AD5C57">
        <w:t>is</w:t>
      </w:r>
      <w:r>
        <w:t xml:space="preserve"> the largest education sector in Australia</w:t>
      </w:r>
      <w:r w:rsidR="00A92FE0">
        <w:t>,</w:t>
      </w:r>
      <w:r w:rsidR="00C03788">
        <w:t xml:space="preserve"> with </w:t>
      </w:r>
      <w:r>
        <w:t xml:space="preserve">recent data on </w:t>
      </w:r>
      <w:r w:rsidR="00AD5C57">
        <w:t>total VET a</w:t>
      </w:r>
      <w:r w:rsidR="00A66FA6">
        <w:t xml:space="preserve">ctivity </w:t>
      </w:r>
      <w:r w:rsidR="00AD5C57">
        <w:t xml:space="preserve">(TVA) </w:t>
      </w:r>
      <w:r w:rsidR="00122BE8">
        <w:t>estimat</w:t>
      </w:r>
      <w:r w:rsidR="00C03788">
        <w:t>ing</w:t>
      </w:r>
      <w:r w:rsidR="00921B43">
        <w:t xml:space="preserve"> that</w:t>
      </w:r>
      <w:r w:rsidR="0005424F">
        <w:t xml:space="preserve"> </w:t>
      </w:r>
      <w:r w:rsidR="00370478">
        <w:t xml:space="preserve">an estimated </w:t>
      </w:r>
      <w:r w:rsidR="006C7C59">
        <w:t>4.</w:t>
      </w:r>
      <w:r w:rsidR="00F70412">
        <w:t>2</w:t>
      </w:r>
      <w:r w:rsidR="00A66FA6">
        <w:t xml:space="preserve"> million working-age Australians (15—</w:t>
      </w:r>
      <w:r w:rsidR="006C7C59">
        <w:t>64 years) undertook some form of VET in 2015.</w:t>
      </w:r>
      <w:r w:rsidR="00597397">
        <w:t xml:space="preserve"> </w:t>
      </w:r>
      <w:r w:rsidR="00E85101">
        <w:t xml:space="preserve">VET </w:t>
      </w:r>
      <w:r w:rsidR="00E85101" w:rsidRPr="00055A4C">
        <w:t>features</w:t>
      </w:r>
      <w:r w:rsidR="00E85101">
        <w:t xml:space="preserve"> strongly in the nation’s history, with Australia showing an early commitment to vocational training through apprenticeships and institutional training as imported from Great Britain (</w:t>
      </w:r>
      <w:proofErr w:type="spellStart"/>
      <w:r w:rsidR="00E85101">
        <w:t>Beddie</w:t>
      </w:r>
      <w:proofErr w:type="spellEnd"/>
      <w:r w:rsidR="00E85101">
        <w:t xml:space="preserve"> 2010; Knight 2012). While vocational education has featured as a major mechanism for meeting the skills ne</w:t>
      </w:r>
      <w:r w:rsidR="006A369B">
        <w:t>eds of Australia, there has</w:t>
      </w:r>
      <w:r w:rsidR="00E85101">
        <w:t xml:space="preserve"> always been a further dimension </w:t>
      </w:r>
      <w:r w:rsidR="00A92FE0">
        <w:t>of</w:t>
      </w:r>
      <w:r w:rsidR="00E85101">
        <w:t xml:space="preserve"> VET’s role </w:t>
      </w:r>
      <w:r w:rsidR="00E85101" w:rsidRPr="00904454">
        <w:t xml:space="preserve">in </w:t>
      </w:r>
      <w:r w:rsidR="00A92FE0">
        <w:t xml:space="preserve">assisting </w:t>
      </w:r>
      <w:r w:rsidR="00577147">
        <w:t xml:space="preserve">in </w:t>
      </w:r>
      <w:r w:rsidR="00E85101" w:rsidRPr="00904454">
        <w:t>social inclusion</w:t>
      </w:r>
      <w:r w:rsidR="00562D5F">
        <w:t>. The aim is to support</w:t>
      </w:r>
      <w:r w:rsidR="00E85101">
        <w:t xml:space="preserve"> participation in training as a poin</w:t>
      </w:r>
      <w:r w:rsidR="00A66FA6">
        <w:t xml:space="preserve">t of labour market entry or </w:t>
      </w:r>
      <w:r w:rsidR="00562D5F">
        <w:t xml:space="preserve">as a result of industry </w:t>
      </w:r>
      <w:r w:rsidR="00A66FA6">
        <w:t>re</w:t>
      </w:r>
      <w:r w:rsidR="00E85101">
        <w:t>structure</w:t>
      </w:r>
      <w:r w:rsidR="00562D5F">
        <w:t>.</w:t>
      </w:r>
      <w:r w:rsidR="00E85101">
        <w:t xml:space="preserve"> </w:t>
      </w:r>
      <w:r w:rsidR="00562D5F">
        <w:t xml:space="preserve">This is </w:t>
      </w:r>
      <w:r w:rsidR="00E85101">
        <w:t>often targeted to the less advantaged population</w:t>
      </w:r>
      <w:r w:rsidR="00A66FA6">
        <w:t>, particularly post-</w:t>
      </w:r>
      <w:r w:rsidR="00E85101">
        <w:t>schooling age groups</w:t>
      </w:r>
      <w:r w:rsidR="00E85101" w:rsidRPr="00904454">
        <w:t>.</w:t>
      </w:r>
      <w:r w:rsidR="00E85101">
        <w:t xml:space="preserve"> Over the years, policy-makers have aimed </w:t>
      </w:r>
      <w:r w:rsidR="00C03788">
        <w:t>to</w:t>
      </w:r>
      <w:r w:rsidR="00E85101">
        <w:t xml:space="preserve"> strengthen </w:t>
      </w:r>
      <w:r w:rsidR="00A92FE0">
        <w:t xml:space="preserve">the </w:t>
      </w:r>
      <w:r w:rsidR="00E85101">
        <w:t>VET</w:t>
      </w:r>
      <w:r w:rsidR="00A92FE0">
        <w:t xml:space="preserve"> sector</w:t>
      </w:r>
      <w:r w:rsidR="00E85101">
        <w:t xml:space="preserve"> to ensure </w:t>
      </w:r>
      <w:r w:rsidR="00A92FE0">
        <w:t>that it</w:t>
      </w:r>
      <w:r w:rsidR="00E85101">
        <w:t xml:space="preserve"> is responsive to the labour market and meets </w:t>
      </w:r>
      <w:r w:rsidR="00C03788">
        <w:t xml:space="preserve">the </w:t>
      </w:r>
      <w:r w:rsidR="00E85101">
        <w:t>skills needs</w:t>
      </w:r>
      <w:r w:rsidR="00A66FA6">
        <w:t xml:space="preserve"> of individuals, employers </w:t>
      </w:r>
      <w:r w:rsidR="00703D32">
        <w:t>and the wider economy</w:t>
      </w:r>
      <w:r w:rsidR="00E85101">
        <w:t xml:space="preserve">. </w:t>
      </w:r>
    </w:p>
    <w:p w:rsidR="00703D32" w:rsidRDefault="00D74F87" w:rsidP="00703D32">
      <w:pPr>
        <w:pStyle w:val="Text"/>
      </w:pPr>
      <w:r>
        <w:t xml:space="preserve">This paper examines the key trends in VET policy development and VET participation over the past </w:t>
      </w:r>
      <w:r w:rsidR="00D7248C">
        <w:t>two decades</w:t>
      </w:r>
      <w:r w:rsidR="00703D32">
        <w:t xml:space="preserve"> and how</w:t>
      </w:r>
      <w:r w:rsidR="00494CED" w:rsidRPr="00703D32">
        <w:t xml:space="preserve"> policy and economic conditions have </w:t>
      </w:r>
      <w:r w:rsidR="00703D32">
        <w:t xml:space="preserve">influenced </w:t>
      </w:r>
      <w:r w:rsidR="00494CED" w:rsidRPr="00703D32">
        <w:t>changes in VET participation</w:t>
      </w:r>
      <w:r w:rsidR="00703D32">
        <w:t xml:space="preserve">. This </w:t>
      </w:r>
      <w:r w:rsidR="00A66FA6">
        <w:t xml:space="preserve">process </w:t>
      </w:r>
      <w:r w:rsidR="00703D32">
        <w:t>includes identifying participation patterns in the data;</w:t>
      </w:r>
      <w:r w:rsidR="00494CED" w:rsidRPr="00703D32">
        <w:t xml:space="preserve"> </w:t>
      </w:r>
      <w:r w:rsidR="00703D32">
        <w:t xml:space="preserve">understanding </w:t>
      </w:r>
      <w:r w:rsidR="00494CED" w:rsidRPr="00703D32">
        <w:t xml:space="preserve">the prevailing economic </w:t>
      </w:r>
      <w:r w:rsidR="00703D32">
        <w:t xml:space="preserve">and labour market </w:t>
      </w:r>
      <w:r w:rsidR="00494CED" w:rsidRPr="00703D32">
        <w:t>conditions</w:t>
      </w:r>
      <w:r w:rsidR="00703D32">
        <w:t>; and examining the key</w:t>
      </w:r>
      <w:r w:rsidR="00494CED" w:rsidRPr="00703D32">
        <w:t xml:space="preserve"> </w:t>
      </w:r>
      <w:r w:rsidR="00CD3EFC" w:rsidRPr="00703D32">
        <w:t>policy developments</w:t>
      </w:r>
      <w:r w:rsidR="00494CED" w:rsidRPr="00703D32">
        <w:t xml:space="preserve"> </w:t>
      </w:r>
      <w:r w:rsidR="00C14E9F">
        <w:t>in VET over this period</w:t>
      </w:r>
      <w:r w:rsidR="00703D32">
        <w:t xml:space="preserve">. </w:t>
      </w:r>
    </w:p>
    <w:p w:rsidR="00A66FA6" w:rsidRDefault="008F4EFD" w:rsidP="00F04D56">
      <w:pPr>
        <w:pStyle w:val="Text"/>
      </w:pPr>
      <w:r>
        <w:t>The</w:t>
      </w:r>
      <w:r w:rsidR="001553B3">
        <w:t xml:space="preserve"> </w:t>
      </w:r>
      <w:r w:rsidR="00427211">
        <w:t xml:space="preserve">Australian VET system is characterised by </w:t>
      </w:r>
      <w:r w:rsidR="001553B3">
        <w:t xml:space="preserve">two </w:t>
      </w:r>
      <w:r w:rsidR="00960539">
        <w:t>complementary</w:t>
      </w:r>
      <w:r w:rsidR="005308BB">
        <w:t xml:space="preserve"> </w:t>
      </w:r>
      <w:r w:rsidR="001553B3">
        <w:t>approaches to skills training</w:t>
      </w:r>
      <w:r w:rsidR="00562D5F">
        <w:t>. The first is the broader VET system</w:t>
      </w:r>
      <w:r w:rsidR="00562D5F" w:rsidRPr="00F0164F">
        <w:t xml:space="preserve"> </w:t>
      </w:r>
      <w:r w:rsidR="00562D5F">
        <w:t>of institution-</w:t>
      </w:r>
      <w:r w:rsidR="00562D5F" w:rsidRPr="00F0164F">
        <w:t>based education and training for young people</w:t>
      </w:r>
      <w:r w:rsidR="00C14E9F">
        <w:t>,</w:t>
      </w:r>
      <w:r w:rsidR="00562D5F">
        <w:t xml:space="preserve"> a significant part of which is</w:t>
      </w:r>
      <w:r w:rsidR="00562D5F" w:rsidRPr="00F0164F">
        <w:t xml:space="preserve"> </w:t>
      </w:r>
      <w:r w:rsidR="001553B3">
        <w:t xml:space="preserve">the </w:t>
      </w:r>
      <w:r w:rsidR="006C7C59">
        <w:t xml:space="preserve">employment-linked </w:t>
      </w:r>
      <w:r w:rsidR="002D3706">
        <w:t xml:space="preserve">apprenticeship and traineeship </w:t>
      </w:r>
      <w:r w:rsidR="001553B3">
        <w:t>system</w:t>
      </w:r>
      <w:r w:rsidR="00562D5F">
        <w:t>.</w:t>
      </w:r>
      <w:r w:rsidR="001553B3">
        <w:t xml:space="preserve"> </w:t>
      </w:r>
      <w:r w:rsidR="00562D5F">
        <w:t>The second is</w:t>
      </w:r>
      <w:r w:rsidR="00F0164F" w:rsidRPr="00F0164F">
        <w:t xml:space="preserve"> </w:t>
      </w:r>
      <w:r w:rsidR="00A66FA6">
        <w:t xml:space="preserve">the provision of skills for </w:t>
      </w:r>
      <w:r w:rsidR="00F0164F" w:rsidRPr="00F0164F">
        <w:t>ex</w:t>
      </w:r>
      <w:r w:rsidR="002D3706">
        <w:t>isting workers, offered on a full- and part-</w:t>
      </w:r>
      <w:r w:rsidR="00F0164F" w:rsidRPr="00F0164F">
        <w:t>time basis</w:t>
      </w:r>
      <w:r w:rsidR="001553B3">
        <w:t xml:space="preserve">. </w:t>
      </w:r>
      <w:r w:rsidR="00CD3EFC">
        <w:t xml:space="preserve">Our </w:t>
      </w:r>
      <w:r w:rsidR="00CF2D05">
        <w:t xml:space="preserve">initial </w:t>
      </w:r>
      <w:r w:rsidR="00CD3EFC">
        <w:t xml:space="preserve">discussion focuses on the high-level changes to these two complementary approaches to VET. </w:t>
      </w:r>
    </w:p>
    <w:p w:rsidR="008F4EFD" w:rsidRDefault="001553B3" w:rsidP="00F04D56">
      <w:pPr>
        <w:pStyle w:val="Text"/>
      </w:pPr>
      <w:r>
        <w:t xml:space="preserve">The </w:t>
      </w:r>
      <w:r w:rsidR="002D3706">
        <w:t xml:space="preserve">apprenticeship and traineeship </w:t>
      </w:r>
      <w:r>
        <w:t>system has been a long-running and enduring approach to training in Australia</w:t>
      </w:r>
      <w:r w:rsidR="00D848F7">
        <w:t xml:space="preserve">. </w:t>
      </w:r>
      <w:r w:rsidR="00921B43">
        <w:t>M</w:t>
      </w:r>
      <w:r w:rsidR="00D848F7">
        <w:t>ost</w:t>
      </w:r>
      <w:r w:rsidR="008F4EFD">
        <w:t xml:space="preserve"> change</w:t>
      </w:r>
      <w:r w:rsidR="00921B43">
        <w:t>s to the system</w:t>
      </w:r>
      <w:r w:rsidR="008F4EFD">
        <w:t xml:space="preserve"> over the past few decades </w:t>
      </w:r>
      <w:r w:rsidR="00921B43">
        <w:t>have been intended to</w:t>
      </w:r>
      <w:r w:rsidR="008F4EFD">
        <w:t xml:space="preserve"> broaden its appeal </w:t>
      </w:r>
      <w:r w:rsidR="00D848F7">
        <w:t>to</w:t>
      </w:r>
      <w:r w:rsidR="008F4EFD">
        <w:t xml:space="preserve"> apprentices and employers</w:t>
      </w:r>
      <w:r w:rsidR="00D848F7">
        <w:t xml:space="preserve"> and</w:t>
      </w:r>
      <w:r w:rsidR="008F4EFD">
        <w:t xml:space="preserve"> to improve the system’s responsiveness to the labour market. </w:t>
      </w:r>
      <w:r w:rsidR="00427211">
        <w:t xml:space="preserve">Despite steady increases in participation </w:t>
      </w:r>
      <w:r w:rsidR="00B62415">
        <w:t>during this period</w:t>
      </w:r>
      <w:r w:rsidR="00427211">
        <w:t>,</w:t>
      </w:r>
      <w:r w:rsidR="00DA53CC">
        <w:t xml:space="preserve"> largely due to the rise of traineeships in the mid-1990s,</w:t>
      </w:r>
      <w:r w:rsidR="00427211">
        <w:t xml:space="preserve"> </w:t>
      </w:r>
      <w:r w:rsidR="00B62415">
        <w:t xml:space="preserve">in more recent years </w:t>
      </w:r>
      <w:r w:rsidR="00427211">
        <w:t>apprenticeships</w:t>
      </w:r>
      <w:r w:rsidR="00A92FE0">
        <w:t>,</w:t>
      </w:r>
      <w:r w:rsidR="00427211">
        <w:t xml:space="preserve"> and </w:t>
      </w:r>
      <w:r w:rsidR="006C7C59">
        <w:t xml:space="preserve">in particular </w:t>
      </w:r>
      <w:r w:rsidR="00427211">
        <w:t>traineeships</w:t>
      </w:r>
      <w:r w:rsidR="00A92FE0">
        <w:t>,</w:t>
      </w:r>
      <w:r w:rsidR="00427211">
        <w:t xml:space="preserve"> have been in decline.</w:t>
      </w:r>
      <w:r w:rsidR="00597397">
        <w:t xml:space="preserve"> </w:t>
      </w:r>
    </w:p>
    <w:p w:rsidR="00427211" w:rsidRDefault="00427211" w:rsidP="00427211">
      <w:pPr>
        <w:pStyle w:val="Text"/>
      </w:pPr>
      <w:r>
        <w:t>The b</w:t>
      </w:r>
      <w:r w:rsidRPr="00427211">
        <w:t xml:space="preserve">roader VET system </w:t>
      </w:r>
      <w:r>
        <w:t xml:space="preserve">has </w:t>
      </w:r>
      <w:r w:rsidR="00D848F7">
        <w:t>been transformed by the</w:t>
      </w:r>
      <w:r w:rsidRPr="00427211">
        <w:t xml:space="preserve"> </w:t>
      </w:r>
      <w:r>
        <w:t>move towards contestable training markets</w:t>
      </w:r>
      <w:r w:rsidRPr="00427211">
        <w:t xml:space="preserve"> via entitlement models</w:t>
      </w:r>
      <w:r w:rsidR="002D3706">
        <w:t xml:space="preserve"> and income-</w:t>
      </w:r>
      <w:r>
        <w:t>continge</w:t>
      </w:r>
      <w:r w:rsidR="00A92FE0">
        <w:t>nt loan</w:t>
      </w:r>
      <w:r>
        <w:t xml:space="preserve"> schemes</w:t>
      </w:r>
      <w:r w:rsidRPr="00427211">
        <w:t xml:space="preserve"> </w:t>
      </w:r>
      <w:r>
        <w:t xml:space="preserve">and </w:t>
      </w:r>
      <w:r w:rsidRPr="00427211">
        <w:t xml:space="preserve">increasing student </w:t>
      </w:r>
      <w:r w:rsidR="00DE11CE">
        <w:t xml:space="preserve">and employer </w:t>
      </w:r>
      <w:r w:rsidRPr="00427211">
        <w:t>choice betwe</w:t>
      </w:r>
      <w:r>
        <w:t xml:space="preserve">en private and public providers. </w:t>
      </w:r>
    </w:p>
    <w:p w:rsidR="00CF2D05" w:rsidRDefault="00A92FE0" w:rsidP="00CF2D05">
      <w:pPr>
        <w:pStyle w:val="Text"/>
      </w:pPr>
      <w:r>
        <w:t>Our general analysis is therefore</w:t>
      </w:r>
      <w:r w:rsidR="00CF2D05">
        <w:t xml:space="preserve"> usefully illustrated in more detail by </w:t>
      </w:r>
      <w:r w:rsidR="00A66FA6">
        <w:t xml:space="preserve">a </w:t>
      </w:r>
      <w:r w:rsidR="00CF2D05">
        <w:t>closer examination of three specific policies as case studies</w:t>
      </w:r>
      <w:r>
        <w:t>,</w:t>
      </w:r>
      <w:r w:rsidR="00CF2D05">
        <w:t xml:space="preserve"> these being:</w:t>
      </w:r>
      <w:r w:rsidR="00597397">
        <w:t xml:space="preserve"> </w:t>
      </w:r>
      <w:r w:rsidR="00863817" w:rsidRPr="00863817">
        <w:t>incentive payments to employers of apprentices and trainees</w:t>
      </w:r>
      <w:r w:rsidR="00CF2D05">
        <w:t>; accelerated completion of apprenticeships; and training entitlement models and how they are designed to meet skills needs. The paper concludes with some reflections on the competing aims and tensions in the training sector and how policy influences participation.</w:t>
      </w:r>
      <w:r w:rsidR="00577147">
        <w:t xml:space="preserve"> </w:t>
      </w:r>
      <w:r w:rsidR="009D307F">
        <w:t xml:space="preserve">In </w:t>
      </w:r>
      <w:r w:rsidR="002D3706">
        <w:t>undertaking this task,</w:t>
      </w:r>
      <w:r w:rsidR="009D307F">
        <w:t xml:space="preserve"> </w:t>
      </w:r>
      <w:r w:rsidR="00C9015F">
        <w:t>we reflect</w:t>
      </w:r>
      <w:r w:rsidR="00427211">
        <w:t xml:space="preserve"> on general policy </w:t>
      </w:r>
      <w:r w:rsidR="00427211">
        <w:lastRenderedPageBreak/>
        <w:t xml:space="preserve">developments over the last </w:t>
      </w:r>
      <w:r w:rsidR="00C9015F">
        <w:t>20 years or so and make</w:t>
      </w:r>
      <w:r w:rsidR="002D3706">
        <w:t xml:space="preserve"> high-</w:t>
      </w:r>
      <w:r w:rsidR="00427211">
        <w:t>level observations on trends in participation over this period</w:t>
      </w:r>
      <w:r w:rsidR="002D3706">
        <w:t>.</w:t>
      </w:r>
      <w:r w:rsidR="004A034A">
        <w:rPr>
          <w:rStyle w:val="FootnoteReference"/>
        </w:rPr>
        <w:footnoteReference w:id="1"/>
      </w:r>
      <w:r w:rsidR="00427211">
        <w:t xml:space="preserve"> </w:t>
      </w:r>
      <w:r w:rsidR="00CF2D05">
        <w:t>The paper is a deliberate</w:t>
      </w:r>
      <w:r w:rsidR="00A66FA6">
        <w:t>ly</w:t>
      </w:r>
      <w:r w:rsidR="00CF2D05">
        <w:t xml:space="preserve"> retrospective view, as the current and future view </w:t>
      </w:r>
      <w:r w:rsidR="00C9015F">
        <w:t>can</w:t>
      </w:r>
      <w:r w:rsidR="00CF2D05">
        <w:t xml:space="preserve"> now </w:t>
      </w:r>
      <w:r w:rsidR="00C9015F">
        <w:t xml:space="preserve">be </w:t>
      </w:r>
      <w:r w:rsidR="00CF2D05">
        <w:t>seen through the wider national VET collection and</w:t>
      </w:r>
      <w:r w:rsidR="00B32F0D">
        <w:t xml:space="preserve"> the recent publications about total VET a</w:t>
      </w:r>
      <w:r w:rsidR="00CF2D05">
        <w:t>ctivity</w:t>
      </w:r>
      <w:r w:rsidR="00577147">
        <w:t>,</w:t>
      </w:r>
      <w:r w:rsidR="00A66FA6">
        <w:t xml:space="preserve"> available </w:t>
      </w:r>
      <w:r w:rsidR="00B32F0D">
        <w:t xml:space="preserve">on the </w:t>
      </w:r>
      <w:r w:rsidR="00A66FA6">
        <w:t>National Centre for Vocational Education Research (</w:t>
      </w:r>
      <w:r w:rsidR="00B32F0D">
        <w:t>NCVER</w:t>
      </w:r>
      <w:r w:rsidR="00A66FA6">
        <w:t>)</w:t>
      </w:r>
      <w:r w:rsidR="00B32F0D">
        <w:t xml:space="preserve"> website.</w:t>
      </w:r>
      <w:r w:rsidR="00597397">
        <w:t xml:space="preserve"> </w:t>
      </w:r>
      <w:r w:rsidR="00CF2D05">
        <w:t xml:space="preserve"> </w:t>
      </w:r>
    </w:p>
    <w:p w:rsidR="00572E4F" w:rsidRDefault="00572E4F" w:rsidP="00833644">
      <w:pPr>
        <w:pStyle w:val="Text"/>
      </w:pPr>
    </w:p>
    <w:p w:rsidR="00833644" w:rsidRDefault="00833644">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p w:rsidR="002423DC" w:rsidRDefault="0053038D" w:rsidP="0053038D">
      <w:pPr>
        <w:pStyle w:val="Heading1"/>
        <w:ind w:left="720"/>
      </w:pPr>
      <w:bookmarkStart w:id="33" w:name="_Toc455569934"/>
      <w:r>
        <w:rPr>
          <w:noProof/>
          <w:lang w:eastAsia="en-AU"/>
        </w:rPr>
        <w:lastRenderedPageBreak/>
        <w:drawing>
          <wp:anchor distT="0" distB="0" distL="114300" distR="114300" simplePos="0" relativeHeight="252009472" behindDoc="1" locked="0" layoutInCell="1" allowOverlap="1" wp14:anchorId="401E3DE6" wp14:editId="63396DCE">
            <wp:simplePos x="0" y="0"/>
            <wp:positionH relativeFrom="column">
              <wp:posOffset>-55880</wp:posOffset>
            </wp:positionH>
            <wp:positionV relativeFrom="paragraph">
              <wp:posOffset>6350</wp:posOffset>
            </wp:positionV>
            <wp:extent cx="425450" cy="425450"/>
            <wp:effectExtent l="0" t="0" r="0" b="0"/>
            <wp:wrapTight wrapText="bothSides">
              <wp:wrapPolygon edited="0">
                <wp:start x="4836" y="0"/>
                <wp:lineTo x="0" y="2901"/>
                <wp:lineTo x="0" y="16442"/>
                <wp:lineTo x="3869" y="20310"/>
                <wp:lineTo x="15475" y="20310"/>
                <wp:lineTo x="20310" y="15475"/>
                <wp:lineTo x="20310" y="6770"/>
                <wp:lineTo x="19343" y="3869"/>
                <wp:lineTo x="15475" y="0"/>
                <wp:lineTo x="4836" y="0"/>
              </wp:wrapPolygon>
            </wp:wrapTight>
            <wp:docPr id="330" name="Picture 330" descr="P:\PublicationComponents\Icons\StatisticalResour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StatisticalResources_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3DC">
        <w:t>Understanding the policy</w:t>
      </w:r>
      <w:r w:rsidR="00136788">
        <w:t>, funding</w:t>
      </w:r>
      <w:r w:rsidR="002423DC">
        <w:t xml:space="preserve"> and economic landscape</w:t>
      </w:r>
      <w:bookmarkEnd w:id="33"/>
    </w:p>
    <w:p w:rsidR="00C92E88" w:rsidRDefault="00DA7539" w:rsidP="00C92E88">
      <w:pPr>
        <w:pStyle w:val="Text"/>
      </w:pPr>
      <w:r>
        <w:t>This</w:t>
      </w:r>
      <w:r w:rsidR="00C92E88">
        <w:t xml:space="preserve"> chapter provides an overview of VET poli</w:t>
      </w:r>
      <w:r w:rsidR="00F1501D">
        <w:t xml:space="preserve">cy </w:t>
      </w:r>
      <w:r w:rsidR="00136788">
        <w:t>and funding arrangements over the past few decades. It also considers other education policy</w:t>
      </w:r>
      <w:r w:rsidR="00A66FA6">
        <w:t>,</w:t>
      </w:r>
      <w:r w:rsidR="00D113B6">
        <w:t xml:space="preserve"> </w:t>
      </w:r>
      <w:r w:rsidR="00F1501D">
        <w:t xml:space="preserve">as well as the economic landscape, </w:t>
      </w:r>
      <w:r w:rsidR="00D113B6">
        <w:t>highlighting</w:t>
      </w:r>
      <w:r w:rsidR="00C92E88">
        <w:t xml:space="preserve"> the key</w:t>
      </w:r>
      <w:r w:rsidR="00D113B6">
        <w:t xml:space="preserve"> trends and directions</w:t>
      </w:r>
      <w:r w:rsidR="00136788">
        <w:t>.</w:t>
      </w:r>
      <w:r w:rsidR="00233AA7">
        <w:t xml:space="preserve"> The chapter aims to provide some background to inform the later discussions on the policy case studies.</w:t>
      </w:r>
      <w:r w:rsidR="00597397">
        <w:t xml:space="preserve"> </w:t>
      </w:r>
    </w:p>
    <w:p w:rsidR="007A448E" w:rsidRDefault="007A448E" w:rsidP="007A448E">
      <w:pPr>
        <w:pStyle w:val="Heading2"/>
      </w:pPr>
      <w:bookmarkStart w:id="34" w:name="_Toc455569935"/>
      <w:r>
        <w:t>Policy trends in VET over the last 20 years</w:t>
      </w:r>
      <w:bookmarkEnd w:id="34"/>
    </w:p>
    <w:p w:rsidR="00136788" w:rsidRDefault="00136788" w:rsidP="00136788">
      <w:pPr>
        <w:pStyle w:val="Text"/>
      </w:pPr>
      <w:r w:rsidDel="001106EB">
        <w:t>By developing the skills of the workforce, the VET sector plays</w:t>
      </w:r>
      <w:r w:rsidRPr="00965613" w:rsidDel="001106EB">
        <w:t xml:space="preserve"> an import</w:t>
      </w:r>
      <w:r w:rsidDel="001106EB">
        <w:t>ant role</w:t>
      </w:r>
      <w:r w:rsidRPr="00965613" w:rsidDel="001106EB">
        <w:t xml:space="preserve"> </w:t>
      </w:r>
      <w:r w:rsidDel="001106EB">
        <w:t xml:space="preserve">in meeting Australia’s skills needs. </w:t>
      </w:r>
      <w:r>
        <w:t>T</w:t>
      </w:r>
      <w:r w:rsidDel="001106EB">
        <w:t xml:space="preserve">hat role makes valuable contributions to workforce participation, productivity levels and the life chances of individuals, as well as to economic and social development </w:t>
      </w:r>
      <w:r>
        <w:t xml:space="preserve">(Noonan </w:t>
      </w:r>
      <w:r w:rsidDel="001106EB">
        <w:t>2016).</w:t>
      </w:r>
      <w:r w:rsidRPr="00965613" w:rsidDel="001106EB">
        <w:t xml:space="preserve"> </w:t>
      </w:r>
      <w:r w:rsidDel="001106EB">
        <w:t>O</w:t>
      </w:r>
      <w:r w:rsidRPr="00965613" w:rsidDel="001106EB">
        <w:t xml:space="preserve">ver time, ongoing policy initiatives have attempted to strengthen VET’s </w:t>
      </w:r>
      <w:r w:rsidDel="001106EB">
        <w:t xml:space="preserve">ability to </w:t>
      </w:r>
      <w:r w:rsidRPr="008F2E20" w:rsidDel="001106EB">
        <w:t>develop</w:t>
      </w:r>
      <w:r w:rsidDel="001106EB">
        <w:t xml:space="preserve"> skills responsive</w:t>
      </w:r>
      <w:r>
        <w:t xml:space="preserve"> to the labour market. </w:t>
      </w:r>
      <w:r w:rsidRPr="004A034A">
        <w:t>As Ryan (2011</w:t>
      </w:r>
      <w:r>
        <w:t>) argues,</w:t>
      </w:r>
      <w:r w:rsidRPr="004A034A">
        <w:t xml:space="preserve"> not all policy is successful</w:t>
      </w:r>
      <w:r>
        <w:t>,</w:t>
      </w:r>
      <w:r w:rsidRPr="004A034A">
        <w:t xml:space="preserve"> </w:t>
      </w:r>
      <w:r w:rsidRPr="00505430">
        <w:t xml:space="preserve">nor </w:t>
      </w:r>
      <w:proofErr w:type="gramStart"/>
      <w:r w:rsidRPr="00505430">
        <w:t>are</w:t>
      </w:r>
      <w:proofErr w:type="gramEnd"/>
      <w:r w:rsidRPr="00505430">
        <w:t xml:space="preserve"> the intended outcomes realised</w:t>
      </w:r>
      <w:r w:rsidRPr="00F0164F">
        <w:t>. Indeed, he</w:t>
      </w:r>
      <w:r w:rsidRPr="004A034A">
        <w:t xml:space="preserve"> </w:t>
      </w:r>
      <w:r>
        <w:t>suggests</w:t>
      </w:r>
      <w:r w:rsidRPr="004A034A">
        <w:t xml:space="preserve"> that VET policy is often left to</w:t>
      </w:r>
      <w:r>
        <w:t xml:space="preserve"> ‘drain quietly into the sands’</w:t>
      </w:r>
      <w:r w:rsidRPr="004A034A">
        <w:t xml:space="preserve"> rather than be subject</w:t>
      </w:r>
      <w:r w:rsidR="00C9015F">
        <w:t>ed</w:t>
      </w:r>
      <w:r w:rsidRPr="004A034A">
        <w:t xml:space="preserve"> to systematic evaluation or review. </w:t>
      </w:r>
      <w:r>
        <w:t>While th</w:t>
      </w:r>
      <w:r w:rsidR="00AD4E6D">
        <w:t>is</w:t>
      </w:r>
      <w:r w:rsidRPr="004A034A">
        <w:t xml:space="preserve"> paper </w:t>
      </w:r>
      <w:r>
        <w:t>does not evaluate in detail specific policy</w:t>
      </w:r>
      <w:r w:rsidRPr="004A034A">
        <w:t xml:space="preserve"> </w:t>
      </w:r>
      <w:r>
        <w:t xml:space="preserve">initiatives and their impacts on VET participation, it tracks and describes at a more macro-level policy trends and links between VET participation and the labour market. </w:t>
      </w:r>
    </w:p>
    <w:p w:rsidR="00664DD3" w:rsidRDefault="00097E2D" w:rsidP="00664DD3">
      <w:pPr>
        <w:pStyle w:val="Heading3"/>
        <w:rPr>
          <w:highlight w:val="yellow"/>
        </w:rPr>
      </w:pPr>
      <w:r>
        <w:t>A</w:t>
      </w:r>
      <w:r w:rsidR="00664DD3" w:rsidRPr="00664DD3">
        <w:t xml:space="preserve"> national system implemented by the jurisdictions </w:t>
      </w:r>
    </w:p>
    <w:p w:rsidR="00A81F3C" w:rsidRDefault="00C92E88" w:rsidP="00B00E55">
      <w:pPr>
        <w:pStyle w:val="Text"/>
      </w:pPr>
      <w:r w:rsidRPr="00897F5B">
        <w:t>Traditionally</w:t>
      </w:r>
      <w:r w:rsidR="001106EB">
        <w:t xml:space="preserve"> and in large part constitutionally</w:t>
      </w:r>
      <w:r w:rsidR="007A78DC">
        <w:t>,</w:t>
      </w:r>
      <w:r w:rsidRPr="00897F5B">
        <w:t xml:space="preserve"> the states and territories have had responsibility for VET provision</w:t>
      </w:r>
      <w:r w:rsidR="00DA7539">
        <w:t>;</w:t>
      </w:r>
      <w:r w:rsidR="001F4DA1" w:rsidRPr="00897F5B">
        <w:t xml:space="preserve"> the</w:t>
      </w:r>
      <w:r w:rsidR="00F27FB3" w:rsidRPr="00897F5B">
        <w:t xml:space="preserve"> jurisdictional approach to</w:t>
      </w:r>
      <w:r w:rsidR="001F4DA1" w:rsidRPr="00897F5B">
        <w:t xml:space="preserve"> funding and delivering</w:t>
      </w:r>
      <w:r w:rsidR="00F27FB3" w:rsidRPr="00897F5B">
        <w:t xml:space="preserve"> VET enabl</w:t>
      </w:r>
      <w:r w:rsidR="00DA7539">
        <w:t>es</w:t>
      </w:r>
      <w:r w:rsidR="00F27FB3" w:rsidRPr="00897F5B">
        <w:t xml:space="preserve"> the system to respond to local and regional skills and labour market needs</w:t>
      </w:r>
      <w:r w:rsidRPr="00897F5B">
        <w:t>.</w:t>
      </w:r>
      <w:r>
        <w:t xml:space="preserve"> However, since the 1960s and </w:t>
      </w:r>
      <w:r w:rsidR="00AD2921">
        <w:t>19</w:t>
      </w:r>
      <w:r>
        <w:t xml:space="preserve">70s a key trend has been </w:t>
      </w:r>
      <w:r w:rsidR="007A78DC">
        <w:t xml:space="preserve">the </w:t>
      </w:r>
      <w:r>
        <w:t xml:space="preserve">increasing involvement </w:t>
      </w:r>
      <w:r w:rsidR="007A78DC">
        <w:t>of</w:t>
      </w:r>
      <w:r>
        <w:t xml:space="preserve"> the </w:t>
      </w:r>
      <w:r w:rsidR="00B1616E">
        <w:t>federal government</w:t>
      </w:r>
      <w:r w:rsidR="00C9015F">
        <w:t>,</w:t>
      </w:r>
      <w:r>
        <w:t xml:space="preserve"> in terms of infrastructure deve</w:t>
      </w:r>
      <w:r w:rsidR="007A78DC">
        <w:t>lopment, curriculum development</w:t>
      </w:r>
      <w:r w:rsidR="00AD2921">
        <w:t xml:space="preserve">, </w:t>
      </w:r>
      <w:r w:rsidR="001F4DA1">
        <w:t>research, financial contributions</w:t>
      </w:r>
      <w:r>
        <w:t xml:space="preserve"> and programs, </w:t>
      </w:r>
      <w:r w:rsidR="00A41776">
        <w:t>overarching</w:t>
      </w:r>
      <w:r w:rsidR="00AD2921">
        <w:t xml:space="preserve"> </w:t>
      </w:r>
      <w:r>
        <w:t xml:space="preserve">policy directions and </w:t>
      </w:r>
      <w:r w:rsidR="00D113B6">
        <w:t xml:space="preserve">the </w:t>
      </w:r>
      <w:r>
        <w:t xml:space="preserve">regulation of the </w:t>
      </w:r>
      <w:r w:rsidRPr="00D535CB">
        <w:t>sector (Department of Prime Minister and Cab</w:t>
      </w:r>
      <w:r w:rsidR="007A78DC" w:rsidRPr="00D535CB">
        <w:t>inet [</w:t>
      </w:r>
      <w:r w:rsidRPr="00D535CB">
        <w:t>DPMC</w:t>
      </w:r>
      <w:r w:rsidR="007A78DC" w:rsidRPr="00D535CB">
        <w:t>]</w:t>
      </w:r>
      <w:r w:rsidR="005D35CB" w:rsidRPr="00D535CB">
        <w:t xml:space="preserve"> 2014; Bowman </w:t>
      </w:r>
      <w:r w:rsidR="007A78DC" w:rsidRPr="00D535CB">
        <w:t>&amp;</w:t>
      </w:r>
      <w:r w:rsidR="005D35CB" w:rsidRPr="00D535CB">
        <w:t xml:space="preserve"> McKenna 2016</w:t>
      </w:r>
      <w:r w:rsidRPr="00D535CB">
        <w:t xml:space="preserve">). </w:t>
      </w:r>
      <w:r w:rsidR="00D535CB" w:rsidRPr="00D535CB">
        <w:t xml:space="preserve">In more recent times, this trend culminated in </w:t>
      </w:r>
      <w:r w:rsidR="00E624A5">
        <w:t xml:space="preserve">the </w:t>
      </w:r>
      <w:r w:rsidR="00D535CB" w:rsidRPr="00D535CB">
        <w:t>Council of Australian Governments</w:t>
      </w:r>
      <w:r w:rsidR="00E624A5">
        <w:t>’</w:t>
      </w:r>
      <w:r w:rsidR="00D535CB" w:rsidRPr="00D535CB">
        <w:t xml:space="preserve"> (COAG) National Agreement for Skills and Workforce Development and the Nation</w:t>
      </w:r>
      <w:r w:rsidR="00D535CB">
        <w:t xml:space="preserve">al Partnership on Skills Reform. </w:t>
      </w:r>
      <w:r w:rsidR="00937F22">
        <w:t>More</w:t>
      </w:r>
      <w:r w:rsidR="00B00E55">
        <w:t xml:space="preserve"> information on th</w:t>
      </w:r>
      <w:r w:rsidR="00E624A5">
        <w:t xml:space="preserve">e development of the nationally directed, jurisdictionally </w:t>
      </w:r>
      <w:r w:rsidR="00B00E55">
        <w:t>implemented and industry</w:t>
      </w:r>
      <w:r w:rsidR="00E624A5">
        <w:t>-driven system can be found in a</w:t>
      </w:r>
      <w:r w:rsidR="00B00E55">
        <w:t xml:space="preserve">ppendix A. </w:t>
      </w:r>
      <w:r w:rsidR="00937F22">
        <w:t>For a more comprehensive discussion on the history of VET in Australia, particularly policy developments in the latter half of the twentieth century, see</w:t>
      </w:r>
      <w:r w:rsidR="00937F22" w:rsidRPr="00046ED8">
        <w:t xml:space="preserve"> </w:t>
      </w:r>
      <w:proofErr w:type="spellStart"/>
      <w:r w:rsidR="00937F22">
        <w:t>Goozee</w:t>
      </w:r>
      <w:proofErr w:type="spellEnd"/>
      <w:r w:rsidR="00937F22">
        <w:t xml:space="preserve"> (2001), Ray (2001), Ryan (2011), Knight (2012), Department of Prime Minister and Cabinet (2014), Bowman and McKenna (2016) and Noonan (2016).</w:t>
      </w:r>
    </w:p>
    <w:p w:rsidR="00AA42E2" w:rsidRDefault="00C44E82" w:rsidP="00AA42E2">
      <w:pPr>
        <w:pStyle w:val="Text"/>
      </w:pPr>
      <w:r>
        <w:t xml:space="preserve">Over the </w:t>
      </w:r>
      <w:r w:rsidR="00E624A5">
        <w:t>20-</w:t>
      </w:r>
      <w:r w:rsidR="00640A3F">
        <w:t xml:space="preserve">year period being considered, two of the most </w:t>
      </w:r>
      <w:r w:rsidR="001952BC">
        <w:t>significant</w:t>
      </w:r>
      <w:r w:rsidR="00C92E88">
        <w:t xml:space="preserve"> </w:t>
      </w:r>
      <w:r w:rsidR="00E624A5">
        <w:t xml:space="preserve">nationally agreed and jurisdictionally implemented </w:t>
      </w:r>
      <w:r w:rsidR="00C92E88">
        <w:t xml:space="preserve">policy </w:t>
      </w:r>
      <w:r w:rsidR="00640A3F">
        <w:t>decisions impact</w:t>
      </w:r>
      <w:r w:rsidR="00C9015F">
        <w:t>ing</w:t>
      </w:r>
      <w:r w:rsidR="00E624A5">
        <w:t xml:space="preserve"> on VET participation </w:t>
      </w:r>
      <w:r w:rsidR="00640A3F">
        <w:t>were</w:t>
      </w:r>
      <w:r w:rsidR="00AA42E2">
        <w:t xml:space="preserve"> the broadening of the apprenticesh</w:t>
      </w:r>
      <w:r w:rsidR="00E624A5">
        <w:t>ip system</w:t>
      </w:r>
      <w:r w:rsidR="00AA42E2">
        <w:t xml:space="preserve"> and the opening-up of the </w:t>
      </w:r>
      <w:r w:rsidR="00640A3F">
        <w:t xml:space="preserve">provider </w:t>
      </w:r>
      <w:r w:rsidR="00AA42E2">
        <w:t>training market.</w:t>
      </w:r>
      <w:r w:rsidR="00C9015F">
        <w:t xml:space="preserve"> The latter then led </w:t>
      </w:r>
      <w:r w:rsidR="00640A3F">
        <w:t xml:space="preserve">to a </w:t>
      </w:r>
      <w:r w:rsidR="00781BDC">
        <w:t xml:space="preserve">related </w:t>
      </w:r>
      <w:r w:rsidR="00640A3F">
        <w:t>third significant change</w:t>
      </w:r>
      <w:r w:rsidR="00E624A5">
        <w:t>,</w:t>
      </w:r>
      <w:r w:rsidR="00640A3F">
        <w:t xml:space="preserve"> </w:t>
      </w:r>
      <w:r w:rsidR="00C9015F">
        <w:t xml:space="preserve">one </w:t>
      </w:r>
      <w:r w:rsidR="00E624A5">
        <w:t xml:space="preserve">based on </w:t>
      </w:r>
      <w:r w:rsidR="00C9015F">
        <w:t xml:space="preserve">a </w:t>
      </w:r>
      <w:r w:rsidR="00E624A5">
        <w:t xml:space="preserve">policy of ‘market </w:t>
      </w:r>
      <w:r w:rsidR="00781BDC">
        <w:t>design’</w:t>
      </w:r>
      <w:r w:rsidR="00E624A5">
        <w:t>, which</w:t>
      </w:r>
      <w:r w:rsidR="00781BDC">
        <w:t xml:space="preserve"> </w:t>
      </w:r>
      <w:r w:rsidR="00C9015F">
        <w:t>prompted</w:t>
      </w:r>
      <w:r w:rsidR="00781BDC">
        <w:t xml:space="preserve"> </w:t>
      </w:r>
      <w:r w:rsidR="00E624A5">
        <w:t xml:space="preserve">the </w:t>
      </w:r>
      <w:r w:rsidR="00C9015F">
        <w:t xml:space="preserve">development of the </w:t>
      </w:r>
      <w:r w:rsidR="00640A3F">
        <w:t>more r</w:t>
      </w:r>
      <w:r w:rsidR="00E624A5">
        <w:t>ecent entitlement-based</w:t>
      </w:r>
      <w:r w:rsidR="00C14E9F">
        <w:t>,</w:t>
      </w:r>
      <w:r w:rsidR="00E624A5">
        <w:t xml:space="preserve"> ‘demand-</w:t>
      </w:r>
      <w:r w:rsidR="00640A3F">
        <w:t xml:space="preserve">driven’ policy and </w:t>
      </w:r>
      <w:r w:rsidR="00AD4E6D">
        <w:t xml:space="preserve">the </w:t>
      </w:r>
      <w:r w:rsidR="00640A3F">
        <w:t xml:space="preserve">funding changes </w:t>
      </w:r>
      <w:r w:rsidR="00781BDC">
        <w:t>inherent in</w:t>
      </w:r>
      <w:r w:rsidR="00640A3F">
        <w:t xml:space="preserve"> national VET agreements</w:t>
      </w:r>
      <w:r w:rsidR="00E624A5">
        <w:t>,</w:t>
      </w:r>
      <w:r w:rsidR="00781BDC">
        <w:t xml:space="preserve"> as well as </w:t>
      </w:r>
      <w:r w:rsidR="00E624A5">
        <w:t>a number of</w:t>
      </w:r>
      <w:r w:rsidR="00781BDC">
        <w:t xml:space="preserve"> public prov</w:t>
      </w:r>
      <w:r w:rsidR="00E624A5">
        <w:t>ider/TAFE (technical and further education) institutional changes</w:t>
      </w:r>
      <w:r w:rsidR="00640A3F">
        <w:t>.</w:t>
      </w:r>
    </w:p>
    <w:p w:rsidR="001D2513" w:rsidRDefault="00C92E88" w:rsidP="00C92E88">
      <w:pPr>
        <w:pStyle w:val="Text"/>
      </w:pPr>
      <w:r>
        <w:lastRenderedPageBreak/>
        <w:t>The</w:t>
      </w:r>
      <w:r w:rsidR="00AA42E2">
        <w:t xml:space="preserve"> aim</w:t>
      </w:r>
      <w:r w:rsidR="00640A3F">
        <w:t>s</w:t>
      </w:r>
      <w:r w:rsidR="00AA42E2">
        <w:t xml:space="preserve"> of </w:t>
      </w:r>
      <w:r w:rsidR="00640A3F">
        <w:t>broadening the nati</w:t>
      </w:r>
      <w:r w:rsidR="009E7947">
        <w:t xml:space="preserve">onal apprenticeship system and opening </w:t>
      </w:r>
      <w:r w:rsidR="00640A3F">
        <w:t>up the provider training market</w:t>
      </w:r>
      <w:r w:rsidR="00640A3F" w:rsidDel="00640A3F">
        <w:t xml:space="preserve"> </w:t>
      </w:r>
      <w:r w:rsidR="009E7947">
        <w:t xml:space="preserve">are </w:t>
      </w:r>
      <w:r w:rsidR="00640A3F">
        <w:t>similar</w:t>
      </w:r>
      <w:r w:rsidR="00AD4E6D">
        <w:t>,</w:t>
      </w:r>
      <w:r w:rsidR="00640A3F">
        <w:t xml:space="preserve"> in </w:t>
      </w:r>
      <w:r w:rsidR="009E7947">
        <w:t>that both seek</w:t>
      </w:r>
      <w:r>
        <w:t xml:space="preserve"> </w:t>
      </w:r>
      <w:r w:rsidR="006848F9">
        <w:t>to</w:t>
      </w:r>
      <w:r>
        <w:t xml:space="preserve"> improv</w:t>
      </w:r>
      <w:r w:rsidR="006848F9">
        <w:t>e</w:t>
      </w:r>
      <w:r>
        <w:t xml:space="preserve"> VET’s responsiveness to the labour market and </w:t>
      </w:r>
      <w:r w:rsidR="00C9015F">
        <w:t>the sector’s</w:t>
      </w:r>
      <w:r w:rsidR="006848F9">
        <w:t xml:space="preserve"> capacity to </w:t>
      </w:r>
      <w:r>
        <w:t>target areas of skills shortages, as well as meet</w:t>
      </w:r>
      <w:r w:rsidR="001952BC">
        <w:t xml:space="preserve"> </w:t>
      </w:r>
      <w:r w:rsidR="00781BDC">
        <w:t>and better align the sometimes</w:t>
      </w:r>
      <w:r w:rsidR="00597397">
        <w:t xml:space="preserve"> </w:t>
      </w:r>
      <w:r w:rsidR="00E76D2E">
        <w:t>potentially competing needs of various players, including</w:t>
      </w:r>
      <w:r w:rsidR="001952BC">
        <w:t xml:space="preserve"> students</w:t>
      </w:r>
      <w:r>
        <w:t xml:space="preserve"> and employers.</w:t>
      </w:r>
      <w:r w:rsidR="009E7947">
        <w:t xml:space="preserve"> A</w:t>
      </w:r>
      <w:r w:rsidR="00846CDA">
        <w:t>dditional discussion on the broadening of the appren</w:t>
      </w:r>
      <w:r w:rsidR="009E7947">
        <w:t>ticeship and traineeship system and the opening-</w:t>
      </w:r>
      <w:r w:rsidR="00846CDA">
        <w:t>up of the training market</w:t>
      </w:r>
      <w:r w:rsidR="009E7947">
        <w:t xml:space="preserve"> is located in a</w:t>
      </w:r>
      <w:r w:rsidR="00846CDA">
        <w:t xml:space="preserve">ppendix A. </w:t>
      </w:r>
    </w:p>
    <w:p w:rsidR="00AD0034" w:rsidRDefault="00AD0034" w:rsidP="00AD0034">
      <w:pPr>
        <w:pStyle w:val="Heading2"/>
      </w:pPr>
      <w:bookmarkStart w:id="35" w:name="_Toc455569936"/>
      <w:r>
        <w:t>Broader contextual issues influencing participation</w:t>
      </w:r>
      <w:bookmarkEnd w:id="35"/>
    </w:p>
    <w:p w:rsidR="00AD0034" w:rsidRPr="00AD0034" w:rsidRDefault="009E7947" w:rsidP="00AD0034">
      <w:pPr>
        <w:pStyle w:val="Text"/>
      </w:pPr>
      <w:r>
        <w:t>A number of</w:t>
      </w:r>
      <w:r w:rsidR="00AD0034" w:rsidRPr="00AD0034">
        <w:t xml:space="preserve"> broader contextual issues need to be considered</w:t>
      </w:r>
      <w:r w:rsidR="00AD4E6D">
        <w:t>,</w:t>
      </w:r>
      <w:r w:rsidR="00AD0034" w:rsidRPr="00AD0034">
        <w:t xml:space="preserve"> </w:t>
      </w:r>
      <w:r w:rsidR="00AD0034">
        <w:t xml:space="preserve">in terms of their influence on </w:t>
      </w:r>
      <w:r w:rsidR="00C9015F">
        <w:t xml:space="preserve">VET </w:t>
      </w:r>
      <w:r w:rsidR="00AD0034">
        <w:t xml:space="preserve">participation trends over the last 20 years or so. The three </w:t>
      </w:r>
      <w:r w:rsidR="00C14E9F">
        <w:t>examined</w:t>
      </w:r>
      <w:r w:rsidR="00AD0034">
        <w:t xml:space="preserve"> here are the funding arrangements for </w:t>
      </w:r>
      <w:r w:rsidR="00314F9A">
        <w:t>VET</w:t>
      </w:r>
      <w:r w:rsidR="00AD0034">
        <w:t>, changes to higher</w:t>
      </w:r>
      <w:r w:rsidR="00C9015F">
        <w:t xml:space="preserve"> education policy</w:t>
      </w:r>
      <w:r w:rsidR="00AD0034">
        <w:t xml:space="preserve"> and economic conditions</w:t>
      </w:r>
      <w:r w:rsidR="00C9015F">
        <w:t>,</w:t>
      </w:r>
      <w:r w:rsidR="00AD0034">
        <w:t xml:space="preserve"> as reflected in particular </w:t>
      </w:r>
      <w:r w:rsidR="00C03788">
        <w:t>by labour</w:t>
      </w:r>
      <w:r w:rsidR="00AD0034">
        <w:t xml:space="preserve"> market trends.</w:t>
      </w:r>
      <w:r w:rsidR="00597397">
        <w:t xml:space="preserve"> </w:t>
      </w:r>
      <w:r w:rsidR="00AD0034">
        <w:t xml:space="preserve"> </w:t>
      </w:r>
    </w:p>
    <w:p w:rsidR="00F1501D" w:rsidRDefault="00F1501D" w:rsidP="00AD0034">
      <w:pPr>
        <w:pStyle w:val="Heading3"/>
      </w:pPr>
      <w:r>
        <w:t xml:space="preserve">VET funding arrangements </w:t>
      </w:r>
    </w:p>
    <w:p w:rsidR="00F1501D" w:rsidRDefault="00F1501D" w:rsidP="00F1501D">
      <w:pPr>
        <w:pStyle w:val="Text"/>
      </w:pPr>
      <w:r>
        <w:t xml:space="preserve">The change in VET funding arrangements can be tracked in much of the federal and state and territory legislative basis of relations and funding. Between 1992 and 2005, </w:t>
      </w:r>
      <w:r w:rsidR="009E7947">
        <w:t>the Australian National Training Authority (</w:t>
      </w:r>
      <w:r>
        <w:t>ANTA</w:t>
      </w:r>
      <w:r w:rsidR="009E7947">
        <w:t>)</w:t>
      </w:r>
      <w:r>
        <w:t xml:space="preserve"> administered Australian Government funding for VET </w:t>
      </w:r>
      <w:r w:rsidR="00C14E9F">
        <w:t>through</w:t>
      </w:r>
      <w:r>
        <w:t xml:space="preserve"> the framework of the ANTA multi-lateral intergovernmental agreement. Under this framework, ANTA and state and territory governments allocated funds under detailed funding arrangements (Ball 2005). This gave way to the </w:t>
      </w:r>
      <w:r w:rsidRPr="009E7947">
        <w:rPr>
          <w:i/>
        </w:rPr>
        <w:t>Skilling Australia Act 2005</w:t>
      </w:r>
      <w:r>
        <w:t xml:space="preserve">, after the demise of ANTA. Under the current </w:t>
      </w:r>
      <w:r w:rsidRPr="00291ACA">
        <w:t>Intergovernmental Agreement on Federal Financial Relations</w:t>
      </w:r>
      <w:r w:rsidR="009E7947">
        <w:t>,</w:t>
      </w:r>
      <w:r>
        <w:t xml:space="preserve"> </w:t>
      </w:r>
      <w:r w:rsidR="001D1A82">
        <w:t xml:space="preserve">funding agreements </w:t>
      </w:r>
      <w:r>
        <w:t xml:space="preserve">exist </w:t>
      </w:r>
      <w:r w:rsidR="001D1A82">
        <w:t xml:space="preserve">for </w:t>
      </w:r>
      <w:r>
        <w:t xml:space="preserve">the </w:t>
      </w:r>
      <w:r w:rsidR="001D1A82">
        <w:t xml:space="preserve">present </w:t>
      </w:r>
      <w:r w:rsidR="00C9015F" w:rsidRPr="00D535CB">
        <w:t>National Agreement for Skills and Workforce Development and the Nation</w:t>
      </w:r>
      <w:r w:rsidR="00C9015F">
        <w:t>al Partnership on Skills Reform</w:t>
      </w:r>
      <w:r w:rsidR="001D1A82">
        <w:t>.</w:t>
      </w:r>
      <w:r w:rsidR="00597397">
        <w:t xml:space="preserve"> </w:t>
      </w:r>
    </w:p>
    <w:p w:rsidR="00F1501D" w:rsidRDefault="00F1501D" w:rsidP="00F1501D">
      <w:pPr>
        <w:pStyle w:val="Text"/>
      </w:pPr>
      <w:r>
        <w:t xml:space="preserve">Funding for vocational education has grown since the early 1990s, although since </w:t>
      </w:r>
      <w:r w:rsidRPr="0044023B">
        <w:t xml:space="preserve">2012 </w:t>
      </w:r>
      <w:r>
        <w:t xml:space="preserve">the sector has begun to experience a decline in funding </w:t>
      </w:r>
      <w:r w:rsidR="00C14E9F">
        <w:t>(see figure 1</w:t>
      </w:r>
      <w:r w:rsidRPr="0044023B">
        <w:t>).</w:t>
      </w:r>
      <w:r w:rsidR="009E7947">
        <w:t xml:space="preserve"> A r</w:t>
      </w:r>
      <w:r>
        <w:t>ecent analysis by Noonan (2016) shows that over this period there has been a significant increase in the federal government’s share of funding. He argues that this growth falls into four broad phases:</w:t>
      </w:r>
    </w:p>
    <w:p w:rsidR="00F1501D" w:rsidRDefault="00F1501D" w:rsidP="00F1501D">
      <w:pPr>
        <w:pStyle w:val="Dotpoint1"/>
      </w:pPr>
      <w:r>
        <w:t>the initial phase of growth funding under the ANTA Agreement (1991—97)</w:t>
      </w:r>
    </w:p>
    <w:p w:rsidR="00F1501D" w:rsidRDefault="00F1501D" w:rsidP="00F1501D">
      <w:pPr>
        <w:pStyle w:val="Dotpoint1"/>
      </w:pPr>
      <w:r>
        <w:t>a period of static funding (1997—2006)</w:t>
      </w:r>
    </w:p>
    <w:p w:rsidR="00F1501D" w:rsidRDefault="00F1501D" w:rsidP="00F1501D">
      <w:pPr>
        <w:pStyle w:val="Dotpoint1"/>
      </w:pPr>
      <w:r>
        <w:t>a further growth in funding (2007—12)</w:t>
      </w:r>
    </w:p>
    <w:p w:rsidR="00F1501D" w:rsidRDefault="00F1501D" w:rsidP="00F1501D">
      <w:pPr>
        <w:pStyle w:val="Dotpoint1"/>
      </w:pPr>
      <w:proofErr w:type="gramStart"/>
      <w:r>
        <w:t>a</w:t>
      </w:r>
      <w:proofErr w:type="gramEnd"/>
      <w:r>
        <w:t xml:space="preserve"> further period of static funding</w:t>
      </w:r>
      <w:r w:rsidR="00C9015F">
        <w:t>,</w:t>
      </w:r>
      <w:r>
        <w:t xml:space="preserve"> with increases in federal government outlays offset by declines in state and territory outlays (2012—14).</w:t>
      </w:r>
    </w:p>
    <w:p w:rsidR="008221B7" w:rsidRDefault="008221B7">
      <w:pPr>
        <w:spacing w:before="0" w:line="240" w:lineRule="auto"/>
        <w:rPr>
          <w:rFonts w:ascii="Tahoma" w:hAnsi="Tahoma"/>
          <w:b/>
          <w:sz w:val="17"/>
        </w:rPr>
      </w:pPr>
      <w:bookmarkStart w:id="36" w:name="_Toc455670378"/>
      <w:r>
        <w:br w:type="page"/>
      </w:r>
    </w:p>
    <w:p w:rsidR="00F1501D" w:rsidRDefault="00F1501D" w:rsidP="00296119">
      <w:pPr>
        <w:pStyle w:val="Figuretitle"/>
        <w:ind w:left="993" w:hanging="993"/>
      </w:pPr>
      <w:bookmarkStart w:id="37" w:name="_Toc457809784"/>
      <w:r w:rsidRPr="00B439A2">
        <w:lastRenderedPageBreak/>
        <w:t>Figure</w:t>
      </w:r>
      <w:r>
        <w:t xml:space="preserve"> </w:t>
      </w:r>
      <w:r w:rsidR="00F258D2">
        <w:t>1</w:t>
      </w:r>
      <w:r w:rsidR="00296119">
        <w:tab/>
      </w:r>
      <w:r w:rsidRPr="004617BE">
        <w:t>National total oper</w:t>
      </w:r>
      <w:r>
        <w:t>ating revenue and total operating</w:t>
      </w:r>
      <w:r w:rsidRPr="004617BE">
        <w:t xml:space="preserve"> expenditure</w:t>
      </w:r>
      <w:r>
        <w:t xml:space="preserve"> in constant prices, 2005–14</w:t>
      </w:r>
      <w:bookmarkEnd w:id="36"/>
      <w:bookmarkEnd w:id="37"/>
    </w:p>
    <w:p w:rsidR="00897C85" w:rsidRDefault="0078360C" w:rsidP="00F1501D">
      <w:pPr>
        <w:pStyle w:val="Source"/>
      </w:pPr>
      <w:r>
        <w:rPr>
          <w:noProof/>
          <w:lang w:eastAsia="en-AU"/>
        </w:rPr>
        <w:drawing>
          <wp:inline distT="0" distB="0" distL="0" distR="0" wp14:anchorId="66840A8D" wp14:editId="7295ADEB">
            <wp:extent cx="4794250" cy="2565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1501D" w:rsidRDefault="00F1501D" w:rsidP="00F1501D">
      <w:pPr>
        <w:pStyle w:val="Source"/>
      </w:pPr>
      <w:r>
        <w:t>Note:</w:t>
      </w:r>
      <w:r w:rsidR="0053038D">
        <w:tab/>
      </w:r>
      <w:r>
        <w:t>A GDP chain price deflator was used to convert the nominal revenue and expenditure into constant prices. The source for this was ABS (2015, table 3).</w:t>
      </w:r>
    </w:p>
    <w:p w:rsidR="00F1501D" w:rsidRDefault="00F1501D" w:rsidP="00F1501D">
      <w:pPr>
        <w:pStyle w:val="Source"/>
      </w:pPr>
      <w:r w:rsidRPr="0021370E">
        <w:t>Source:</w:t>
      </w:r>
      <w:r w:rsidR="00AD4E6D">
        <w:t xml:space="preserve"> </w:t>
      </w:r>
      <w:r w:rsidR="0053038D">
        <w:tab/>
      </w:r>
      <w:r>
        <w:t>NCVER VET Fin</w:t>
      </w:r>
      <w:r w:rsidR="00C9015F">
        <w:t>ance Collection 2004–16, unpublished data.</w:t>
      </w:r>
    </w:p>
    <w:p w:rsidR="00F1501D" w:rsidRDefault="00F1501D" w:rsidP="00F1501D">
      <w:pPr>
        <w:pStyle w:val="Text"/>
      </w:pPr>
      <w:r>
        <w:t xml:space="preserve">Figure </w:t>
      </w:r>
      <w:r w:rsidR="00F258D2">
        <w:t>1</w:t>
      </w:r>
      <w:r>
        <w:t xml:space="preserve"> shows total government expenditure and revenue for VET from 2004 to 2014 in constant prices. While expenditure increased steadily until 2012, there was a decline in spending between 2012 and 2014. This trend appears to parallel the trends in VET participation, as identified in figure </w:t>
      </w:r>
      <w:r w:rsidR="00E9493E">
        <w:t>9</w:t>
      </w:r>
      <w:r w:rsidR="00C14E9F">
        <w:t xml:space="preserve"> (p.20)</w:t>
      </w:r>
      <w:r w:rsidRPr="006F4D1D">
        <w:t>.</w:t>
      </w:r>
      <w:r>
        <w:t xml:space="preserve"> </w:t>
      </w:r>
      <w:proofErr w:type="gramStart"/>
      <w:r w:rsidR="00C14E9F">
        <w:t xml:space="preserve">As noted above, </w:t>
      </w:r>
      <w:r>
        <w:t>Noonan (2016) summarises funding across the time period 1991—2014.</w:t>
      </w:r>
      <w:proofErr w:type="gramEnd"/>
      <w:r>
        <w:t xml:space="preserve"> He points to an increase in state funding in more recent years, from 2010 to 2012, followed by a decline in state funding from then on,</w:t>
      </w:r>
      <w:r w:rsidR="00C9015F">
        <w:t xml:space="preserve"> which was offset by increases i</w:t>
      </w:r>
      <w:r>
        <w:t>n federal funding. This has resulted in static funding since 2012.</w:t>
      </w:r>
      <w:r w:rsidR="00597397">
        <w:t xml:space="preserve"> </w:t>
      </w:r>
    </w:p>
    <w:p w:rsidR="00F1501D" w:rsidRDefault="00F1501D" w:rsidP="00F1501D">
      <w:pPr>
        <w:pStyle w:val="Text"/>
      </w:pPr>
      <w:r>
        <w:t xml:space="preserve">Despite the overall growth in funding over the past few decades </w:t>
      </w:r>
      <w:r w:rsidR="001D1A82">
        <w:t xml:space="preserve">and </w:t>
      </w:r>
      <w:r w:rsidR="009E7947">
        <w:t xml:space="preserve">the </w:t>
      </w:r>
      <w:r w:rsidR="001D1A82">
        <w:t xml:space="preserve">more recent decline in expenditure </w:t>
      </w:r>
      <w:r>
        <w:t xml:space="preserve">(seen in figure </w:t>
      </w:r>
      <w:r w:rsidR="00FF51BB">
        <w:t>1</w:t>
      </w:r>
      <w:r>
        <w:t xml:space="preserve">), </w:t>
      </w:r>
      <w:r w:rsidR="00233AA7">
        <w:t xml:space="preserve">the </w:t>
      </w:r>
      <w:r>
        <w:t>shared funding arrangement between the federal government and states and territories has its weaknesses, which continue to surface and have been magnified under the national partnerships</w:t>
      </w:r>
      <w:r w:rsidR="00233AA7" w:rsidRPr="00233AA7">
        <w:t xml:space="preserve"> </w:t>
      </w:r>
      <w:r w:rsidR="00233AA7">
        <w:t xml:space="preserve">(Noonan 2016). </w:t>
      </w:r>
      <w:r>
        <w:t>One weakness</w:t>
      </w:r>
      <w:r w:rsidR="00562D5F">
        <w:t xml:space="preserve"> </w:t>
      </w:r>
      <w:r>
        <w:t>is the</w:t>
      </w:r>
      <w:r w:rsidRPr="00F43EBB">
        <w:t xml:space="preserve"> </w:t>
      </w:r>
      <w:r>
        <w:t>difficulty</w:t>
      </w:r>
      <w:r w:rsidRPr="00F43EBB">
        <w:t xml:space="preserve"> </w:t>
      </w:r>
      <w:r w:rsidR="00C9015F">
        <w:t>of</w:t>
      </w:r>
      <w:r w:rsidRPr="00F43EBB">
        <w:t xml:space="preserve"> applying a </w:t>
      </w:r>
      <w:r>
        <w:t>specific</w:t>
      </w:r>
      <w:r w:rsidRPr="00F43EBB">
        <w:t xml:space="preserve"> </w:t>
      </w:r>
      <w:r>
        <w:t>federal government</w:t>
      </w:r>
      <w:r w:rsidRPr="00F43EBB">
        <w:t xml:space="preserve"> funding arrangement acr</w:t>
      </w:r>
      <w:r>
        <w:t xml:space="preserve">oss different jurisdictions with </w:t>
      </w:r>
      <w:r w:rsidRPr="00F43EBB">
        <w:t>different</w:t>
      </w:r>
      <w:r>
        <w:t xml:space="preserve"> budgetary needs and priorities. With the jurisdictions setting their own course pricing and eligibility criteria, this has led to differences between the states</w:t>
      </w:r>
      <w:r w:rsidR="001D1A82">
        <w:t xml:space="preserve"> and territories</w:t>
      </w:r>
      <w:r>
        <w:t xml:space="preserve">, contributing to the variation in participation levels and qualification outcomes. Other </w:t>
      </w:r>
      <w:r w:rsidR="001D1A82">
        <w:t xml:space="preserve">argued </w:t>
      </w:r>
      <w:r>
        <w:t>weaknesses include the federal government tendency to fund VET directly outside the agreement to achieve specific outcomes and the extent to which both levels of government benefit from the reduced costs associated with increased efficiency in delivery</w:t>
      </w:r>
      <w:r w:rsidR="00233AA7">
        <w:t xml:space="preserve"> (Noonan 2016)</w:t>
      </w:r>
      <w:r>
        <w:t xml:space="preserve">. </w:t>
      </w:r>
    </w:p>
    <w:p w:rsidR="00F1501D" w:rsidRPr="00F1501D" w:rsidRDefault="00F1501D" w:rsidP="00F1501D">
      <w:pPr>
        <w:pStyle w:val="Text"/>
        <w:rPr>
          <w:rFonts w:ascii="Arial" w:hAnsi="Arial" w:cs="Tahoma"/>
          <w:color w:val="FF0000"/>
          <w:sz w:val="28"/>
        </w:rPr>
      </w:pPr>
      <w:r w:rsidRPr="00844B1E">
        <w:t xml:space="preserve">While it is </w:t>
      </w:r>
      <w:r w:rsidR="001D1A82">
        <w:t xml:space="preserve">relatively </w:t>
      </w:r>
      <w:r w:rsidRPr="00844B1E">
        <w:t xml:space="preserve">clear how much governments spend </w:t>
      </w:r>
      <w:r w:rsidR="001D1A82">
        <w:t>direct</w:t>
      </w:r>
      <w:r w:rsidR="007A54C2">
        <w:t>ly</w:t>
      </w:r>
      <w:r w:rsidR="00C9015F">
        <w:t xml:space="preserve"> on vocational education</w:t>
      </w:r>
      <w:r w:rsidRPr="00844B1E">
        <w:t xml:space="preserve">, questions remain about other financial contributions to VET. </w:t>
      </w:r>
      <w:r>
        <w:t>Burke (2016</w:t>
      </w:r>
      <w:r w:rsidRPr="00844B1E">
        <w:t>) looks at gaps in the collection of financial data about VET, specifically the extent to which</w:t>
      </w:r>
      <w:r w:rsidR="00C9015F">
        <w:t xml:space="preserve"> employers, individual students</w:t>
      </w:r>
      <w:r w:rsidRPr="00844B1E">
        <w:t xml:space="preserve"> and international students fund VET, and how much government-funded support is provided to VET students (such as youth allowance) and employers (su</w:t>
      </w:r>
      <w:r>
        <w:t>ch as incentive payments). He</w:t>
      </w:r>
      <w:r w:rsidRPr="00844B1E">
        <w:t xml:space="preserve"> argues that information about these types of financial contributions to VET should be captured to get a clearer picture of how VET is funded</w:t>
      </w:r>
      <w:r>
        <w:t xml:space="preserve"> and a better understanding of the full cost of training</w:t>
      </w:r>
      <w:r w:rsidRPr="00844B1E">
        <w:t>.</w:t>
      </w:r>
      <w:r>
        <w:t xml:space="preserve"> </w:t>
      </w:r>
    </w:p>
    <w:p w:rsidR="00897C85" w:rsidRDefault="00897C85" w:rsidP="004D2688">
      <w:pPr>
        <w:pStyle w:val="Text"/>
      </w:pPr>
    </w:p>
    <w:p w:rsidR="00C457A8" w:rsidRDefault="007C53F2" w:rsidP="00AD0034">
      <w:pPr>
        <w:pStyle w:val="Heading3"/>
      </w:pPr>
      <w:r>
        <w:lastRenderedPageBreak/>
        <w:t>Higher education</w:t>
      </w:r>
      <w:r w:rsidR="00C457A8">
        <w:t xml:space="preserve"> policy factors</w:t>
      </w:r>
      <w:r w:rsidR="00847D15">
        <w:t xml:space="preserve"> influencing VET</w:t>
      </w:r>
    </w:p>
    <w:p w:rsidR="007C53F2" w:rsidRPr="007C53F2" w:rsidRDefault="007C53F2" w:rsidP="00AD0034">
      <w:pPr>
        <w:pStyle w:val="Heading4"/>
      </w:pPr>
      <w:r>
        <w:t>Expansion of higher education</w:t>
      </w:r>
    </w:p>
    <w:p w:rsidR="003B0A57" w:rsidRDefault="00FA7D3F" w:rsidP="00FA7D3F">
      <w:pPr>
        <w:pStyle w:val="Text"/>
      </w:pPr>
      <w:r>
        <w:t>A significant</w:t>
      </w:r>
      <w:r w:rsidR="00C457A8">
        <w:t xml:space="preserve"> external policy impact has been the </w:t>
      </w:r>
      <w:r w:rsidR="000A24FF">
        <w:t>recent</w:t>
      </w:r>
      <w:r w:rsidR="00C457A8">
        <w:t xml:space="preserve"> reforms in </w:t>
      </w:r>
      <w:r>
        <w:t>h</w:t>
      </w:r>
      <w:r w:rsidR="00C457A8">
        <w:t>igher ed</w:t>
      </w:r>
      <w:r>
        <w:t>ucation. In 2008, the Bradley Review</w:t>
      </w:r>
      <w:r w:rsidR="007C53F2">
        <w:t xml:space="preserve"> proposed opening up the higher education system to increase the proportion of the population with higher-level education.</w:t>
      </w:r>
      <w:r w:rsidR="00597397">
        <w:t xml:space="preserve"> </w:t>
      </w:r>
      <w:r w:rsidR="00C9015F">
        <w:t xml:space="preserve">In 2009, in </w:t>
      </w:r>
      <w:r w:rsidR="007C53F2">
        <w:t>r</w:t>
      </w:r>
      <w:r w:rsidR="009E7947">
        <w:t>esponse to the review, a demand-</w:t>
      </w:r>
      <w:r w:rsidR="007C53F2">
        <w:t>driven system was introduced</w:t>
      </w:r>
      <w:r w:rsidR="00C9015F">
        <w:t>,</w:t>
      </w:r>
      <w:r w:rsidR="007C53F2">
        <w:t xml:space="preserve"> </w:t>
      </w:r>
      <w:r w:rsidR="009E7947">
        <w:t>and since th</w:t>
      </w:r>
      <w:r w:rsidR="00C9015F">
        <w:t>at time</w:t>
      </w:r>
      <w:r w:rsidR="007C53F2">
        <w:t xml:space="preserve"> we have seen a steady growth in participation rates in higher education</w:t>
      </w:r>
      <w:r w:rsidR="00FF51BB">
        <w:t xml:space="preserve"> (see figure 2)</w:t>
      </w:r>
      <w:r w:rsidR="007C53F2">
        <w:t xml:space="preserve">. </w:t>
      </w:r>
    </w:p>
    <w:p w:rsidR="003B0A57" w:rsidRDefault="003B0A57" w:rsidP="003B0A57">
      <w:pPr>
        <w:pStyle w:val="Text"/>
      </w:pPr>
      <w:r>
        <w:t>Indeed, there has been a definite increase in the rate of participation in higher education.</w:t>
      </w:r>
      <w:r w:rsidRPr="00542F1B">
        <w:t xml:space="preserve"> </w:t>
      </w:r>
      <w:r>
        <w:t>After being steady, at a rate of 5.3—5.4% between 2001 and 2008, the rate has increased gradually since 2009</w:t>
      </w:r>
      <w:r w:rsidR="00C14E9F">
        <w:t>,</w:t>
      </w:r>
      <w:r>
        <w:t xml:space="preserve"> to be at 6.6% of the 15 to 64-year-old population in 2014. Unlike VET, there w</w:t>
      </w:r>
      <w:r w:rsidR="009E7947">
        <w:t>as no decrease in the rate post-</w:t>
      </w:r>
      <w:r>
        <w:t xml:space="preserve">2012. Females participate in higher education at substantially higher rates than males: as of 2014 the rate was 7.6% for females compared with 5.5% for males. (In 2008 the rate was 6.2% for females and 4.5% for males.) </w:t>
      </w:r>
    </w:p>
    <w:p w:rsidR="00693325" w:rsidRDefault="00693325" w:rsidP="00296119">
      <w:pPr>
        <w:pStyle w:val="Figuretitle"/>
        <w:ind w:left="993" w:hanging="993"/>
      </w:pPr>
      <w:bookmarkStart w:id="38" w:name="_Toc455670380"/>
      <w:bookmarkStart w:id="39" w:name="_Toc457809785"/>
      <w:r>
        <w:t xml:space="preserve">Figure </w:t>
      </w:r>
      <w:r w:rsidR="00FF51BB">
        <w:t>2</w:t>
      </w:r>
      <w:r w:rsidR="00296119">
        <w:tab/>
      </w:r>
      <w:r w:rsidR="00C03788">
        <w:t>Participation in higher education and VET as a proport</w:t>
      </w:r>
      <w:r w:rsidR="009E7947">
        <w:t>ion of the 15 to 64-year-</w:t>
      </w:r>
      <w:r w:rsidR="007B1542">
        <w:t>old popul</w:t>
      </w:r>
      <w:r w:rsidR="00C03788">
        <w:t>ation</w:t>
      </w:r>
      <w:bookmarkEnd w:id="38"/>
      <w:bookmarkEnd w:id="39"/>
      <w:r w:rsidR="00C03788">
        <w:t xml:space="preserve"> </w:t>
      </w:r>
    </w:p>
    <w:p w:rsidR="008B2874" w:rsidRDefault="00897C85" w:rsidP="00946BA3">
      <w:pPr>
        <w:pStyle w:val="Tabletext"/>
      </w:pPr>
      <w:r>
        <w:rPr>
          <w:noProof/>
          <w:lang w:eastAsia="en-AU"/>
        </w:rPr>
        <w:drawing>
          <wp:inline distT="0" distB="0" distL="0" distR="0" wp14:anchorId="7C7D295C" wp14:editId="68A89EF6">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03788" w:rsidRPr="00C03788" w:rsidRDefault="00C03788" w:rsidP="00C03788">
      <w:pPr>
        <w:pStyle w:val="Source"/>
      </w:pPr>
      <w:r w:rsidRPr="00C03788">
        <w:t xml:space="preserve">Source: NCVER National </w:t>
      </w:r>
      <w:r w:rsidR="00562D5F">
        <w:t>VET</w:t>
      </w:r>
      <w:r w:rsidRPr="00C03788">
        <w:t xml:space="preserve"> Provider Collection</w:t>
      </w:r>
      <w:r w:rsidR="003E2C7C">
        <w:rPr>
          <w:rStyle w:val="CommentReference"/>
          <w:rFonts w:ascii="Times New Roman" w:hAnsi="Times New Roman"/>
          <w:lang w:eastAsia="en-AU"/>
        </w:rPr>
        <w:t xml:space="preserve">; </w:t>
      </w:r>
      <w:r w:rsidRPr="00C03788">
        <w:t>Aust</w:t>
      </w:r>
      <w:r w:rsidR="003E2C7C">
        <w:t>ralian Department of Education and Training (</w:t>
      </w:r>
      <w:r w:rsidR="00FF51BB">
        <w:t>2016)</w:t>
      </w:r>
      <w:r w:rsidR="003E2C7C">
        <w:t>.</w:t>
      </w:r>
    </w:p>
    <w:p w:rsidR="003B0A57" w:rsidRDefault="003B0A57" w:rsidP="003B0A57">
      <w:pPr>
        <w:pStyle w:val="Text"/>
      </w:pPr>
      <w:r>
        <w:t xml:space="preserve">The expansion of the higher education system has provided the impetus for </w:t>
      </w:r>
      <w:r w:rsidR="009E7947">
        <w:t>alternative</w:t>
      </w:r>
      <w:r>
        <w:t xml:space="preserve"> education options, </w:t>
      </w:r>
      <w:r w:rsidR="00BD6B76">
        <w:t>a situation that</w:t>
      </w:r>
      <w:r>
        <w:t xml:space="preserve"> has potentially drawn students away from a VET pathway towards a higher education pathway.</w:t>
      </w:r>
    </w:p>
    <w:p w:rsidR="00EE5BC7" w:rsidRDefault="003B0A57" w:rsidP="00862EC0">
      <w:pPr>
        <w:pStyle w:val="Text"/>
        <w:rPr>
          <w:rFonts w:ascii="Tahoma" w:hAnsi="Tahoma"/>
          <w:i/>
          <w:sz w:val="22"/>
        </w:rPr>
      </w:pPr>
      <w:r>
        <w:t xml:space="preserve">While the two systems are </w:t>
      </w:r>
      <w:r w:rsidR="007A54C2">
        <w:t>fundamentally different</w:t>
      </w:r>
      <w:r>
        <w:t xml:space="preserve"> in their approach to regulation and funding arrangements, the move towards a demand-drive</w:t>
      </w:r>
      <w:r w:rsidR="00BD6B76">
        <w:t>n approach to higher education —</w:t>
      </w:r>
      <w:r>
        <w:t xml:space="preserve"> as outlined b</w:t>
      </w:r>
      <w:r w:rsidR="00BD6B76">
        <w:t>y Bradley et al. (2008) —</w:t>
      </w:r>
      <w:r>
        <w:t xml:space="preserve"> </w:t>
      </w:r>
      <w:r w:rsidR="001D1A82">
        <w:t xml:space="preserve">helped </w:t>
      </w:r>
      <w:r w:rsidR="00BD6B76">
        <w:t xml:space="preserve">to </w:t>
      </w:r>
      <w:r>
        <w:t>underpin the argument</w:t>
      </w:r>
      <w:r w:rsidR="00BD6B76">
        <w:t xml:space="preserve"> that VET should also be demand-</w:t>
      </w:r>
      <w:r>
        <w:t>driven</w:t>
      </w:r>
      <w:r w:rsidR="00C14E9F">
        <w:t>,</w:t>
      </w:r>
      <w:r>
        <w:t xml:space="preserve"> </w:t>
      </w:r>
      <w:r w:rsidR="00C14E9F">
        <w:t>although</w:t>
      </w:r>
      <w:r>
        <w:t xml:space="preserve"> the implementation of </w:t>
      </w:r>
      <w:r w:rsidR="00BD6B76">
        <w:t xml:space="preserve">a </w:t>
      </w:r>
      <w:r>
        <w:t xml:space="preserve">demand-driven </w:t>
      </w:r>
      <w:r w:rsidR="001D1A82">
        <w:t xml:space="preserve">model </w:t>
      </w:r>
      <w:r w:rsidR="00BD6B76">
        <w:t xml:space="preserve">in VET </w:t>
      </w:r>
      <w:r w:rsidR="00C9015F">
        <w:t>differs markedly</w:t>
      </w:r>
      <w:r w:rsidR="00BD6B76">
        <w:t>.</w:t>
      </w:r>
      <w:r w:rsidR="00165584">
        <w:t xml:space="preserve"> </w:t>
      </w:r>
      <w:r w:rsidR="00BD6B76">
        <w:t>(R</w:t>
      </w:r>
      <w:r w:rsidR="001D1A82">
        <w:t xml:space="preserve">efer </w:t>
      </w:r>
      <w:r w:rsidR="00BD6B76">
        <w:t xml:space="preserve">to </w:t>
      </w:r>
      <w:r w:rsidR="001D1A82">
        <w:t>entitlement models in VET funding below</w:t>
      </w:r>
      <w:r w:rsidR="00BD6B76">
        <w:t>.</w:t>
      </w:r>
      <w:r w:rsidR="001D1A82">
        <w:t>)</w:t>
      </w:r>
      <w:r w:rsidR="00165584">
        <w:t xml:space="preserve"> </w:t>
      </w:r>
      <w:r w:rsidR="00EE5BC7">
        <w:br w:type="page"/>
      </w:r>
    </w:p>
    <w:p w:rsidR="007C53F2" w:rsidRDefault="00BD6B76" w:rsidP="00AD0034">
      <w:pPr>
        <w:pStyle w:val="Heading4"/>
      </w:pPr>
      <w:r>
        <w:lastRenderedPageBreak/>
        <w:t>Income-</w:t>
      </w:r>
      <w:r w:rsidR="007C53F2">
        <w:t xml:space="preserve">contingent loans for </w:t>
      </w:r>
      <w:r w:rsidR="007A113D">
        <w:t xml:space="preserve">VET </w:t>
      </w:r>
      <w:r w:rsidR="007C53F2">
        <w:t>diplomas and advanced diplomas</w:t>
      </w:r>
    </w:p>
    <w:p w:rsidR="007C53F2" w:rsidRDefault="007C53F2" w:rsidP="00C24869">
      <w:pPr>
        <w:pStyle w:val="Text"/>
        <w:spacing w:line="280" w:lineRule="exact"/>
      </w:pPr>
      <w:r>
        <w:t xml:space="preserve">The Bradley Review </w:t>
      </w:r>
      <w:r w:rsidR="00C14E9F">
        <w:t xml:space="preserve">(2008) </w:t>
      </w:r>
      <w:r>
        <w:t>also reco</w:t>
      </w:r>
      <w:r w:rsidR="00BD6B76">
        <w:t>mmended the expansion of income-</w:t>
      </w:r>
      <w:r w:rsidR="00C9015F">
        <w:t xml:space="preserve">contingent loans </w:t>
      </w:r>
      <w:r>
        <w:t>to VET.</w:t>
      </w:r>
      <w:r w:rsidR="00597397">
        <w:t xml:space="preserve"> </w:t>
      </w:r>
      <w:r>
        <w:t xml:space="preserve">In </w:t>
      </w:r>
      <w:r w:rsidRPr="00823A94">
        <w:t>2009</w:t>
      </w:r>
      <w:r>
        <w:t xml:space="preserve">, concurrent </w:t>
      </w:r>
      <w:r w:rsidR="00C9015F">
        <w:t>with</w:t>
      </w:r>
      <w:r>
        <w:t xml:space="preserve"> the introduction of student entitlement funding models, income-contingent loans were made available to</w:t>
      </w:r>
      <w:r w:rsidR="00F1501D">
        <w:t xml:space="preserve"> higher-level</w:t>
      </w:r>
      <w:r>
        <w:t xml:space="preserve"> VET students through the introduction of VET FEE-HELP</w:t>
      </w:r>
      <w:r w:rsidRPr="00823A94">
        <w:t>.</w:t>
      </w:r>
      <w:r>
        <w:t xml:space="preserve"> Funded by the Australian Government, these loans are for eligible diploma and advanced diploma VET students at any </w:t>
      </w:r>
      <w:r w:rsidR="00B926C7">
        <w:t>registered training organisation (</w:t>
      </w:r>
      <w:r w:rsidR="00C9015F">
        <w:t>RTO</w:t>
      </w:r>
      <w:r w:rsidR="00B926C7">
        <w:t>)</w:t>
      </w:r>
      <w:r w:rsidR="00C9015F">
        <w:t xml:space="preserve"> </w:t>
      </w:r>
      <w:r>
        <w:t>approved to delive</w:t>
      </w:r>
      <w:r w:rsidR="00F1501D">
        <w:t>r VET FEE-HELP eligible courses</w:t>
      </w:r>
      <w:r w:rsidRPr="00EF68B8">
        <w:t xml:space="preserve">. </w:t>
      </w:r>
      <w:r>
        <w:t xml:space="preserve">With </w:t>
      </w:r>
      <w:r w:rsidRPr="00EF68B8">
        <w:t>VET FEE-HELP loans</w:t>
      </w:r>
      <w:r>
        <w:t>, which</w:t>
      </w:r>
      <w:r w:rsidRPr="00EF68B8">
        <w:t xml:space="preserve"> are not su</w:t>
      </w:r>
      <w:r>
        <w:t>bject to income or assets tests, s</w:t>
      </w:r>
      <w:r w:rsidRPr="00EF68B8">
        <w:t>tudents ca</w:t>
      </w:r>
      <w:r>
        <w:t>n defer all of their tuition fees</w:t>
      </w:r>
      <w:r w:rsidRPr="00EF68B8">
        <w:t xml:space="preserve"> or pay some of the tuition fees upfront and defer the balance. </w:t>
      </w:r>
      <w:r>
        <w:t>The aim of the loan scheme is to reduce upfront costs for students and promote the take-up of higher-level VET qualifications.</w:t>
      </w:r>
    </w:p>
    <w:p w:rsidR="00DF6053" w:rsidRDefault="007C53F2" w:rsidP="007C53F2">
      <w:pPr>
        <w:pStyle w:val="Text"/>
      </w:pPr>
      <w:r>
        <w:t xml:space="preserve">There has been </w:t>
      </w:r>
      <w:r w:rsidR="007A113D">
        <w:t xml:space="preserve">significant </w:t>
      </w:r>
      <w:r>
        <w:t xml:space="preserve">growth in VET FEE-HELP loans since </w:t>
      </w:r>
      <w:r w:rsidR="00DF6053">
        <w:t>2009</w:t>
      </w:r>
      <w:r>
        <w:t>,</w:t>
      </w:r>
      <w:r w:rsidR="00897C85">
        <w:t xml:space="preserve"> when the scheme commenced,</w:t>
      </w:r>
      <w:r>
        <w:t xml:space="preserve"> with provision mainly going to private RTOs. </w:t>
      </w:r>
      <w:r w:rsidR="00897C85">
        <w:t xml:space="preserve">Public borrowing for VET FEE-HELP increased from $26 million in 2009 to $2.9 billion in 2015 </w:t>
      </w:r>
      <w:r w:rsidR="00C9015F">
        <w:t>(</w:t>
      </w:r>
      <w:r w:rsidR="00BD6B76">
        <w:t>Australian Government 2016).</w:t>
      </w:r>
      <w:r w:rsidRPr="00EF68B8">
        <w:t xml:space="preserve"> </w:t>
      </w:r>
      <w:r>
        <w:t>An analysis undertaken by NCVER shows that s</w:t>
      </w:r>
      <w:r w:rsidRPr="00EF68B8">
        <w:t>tudents training with private providers have made most use of t</w:t>
      </w:r>
      <w:r>
        <w:t xml:space="preserve">he loans, with </w:t>
      </w:r>
      <w:r w:rsidRPr="00EF68B8">
        <w:t xml:space="preserve">almost 75% </w:t>
      </w:r>
      <w:r>
        <w:t xml:space="preserve">(approximately $2 billion) </w:t>
      </w:r>
      <w:r w:rsidRPr="00EF68B8">
        <w:t>of the total loan amou</w:t>
      </w:r>
      <w:r>
        <w:t>nt for the five-year period going to</w:t>
      </w:r>
      <w:r w:rsidRPr="00EF68B8">
        <w:t xml:space="preserve"> students training with private providers</w:t>
      </w:r>
      <w:r>
        <w:t>,</w:t>
      </w:r>
      <w:r w:rsidRPr="00EF68B8">
        <w:t xml:space="preserve"> compared with 25% </w:t>
      </w:r>
      <w:r>
        <w:t>(approximately $800 million) going to</w:t>
      </w:r>
      <w:r w:rsidRPr="00EF68B8">
        <w:t xml:space="preserve"> students </w:t>
      </w:r>
      <w:r>
        <w:t>training with public providers (NCVER 2015b; NCVER forthcoming).</w:t>
      </w:r>
    </w:p>
    <w:p w:rsidR="007C53F2" w:rsidRDefault="007C53F2" w:rsidP="007C53F2">
      <w:pPr>
        <w:pStyle w:val="Text"/>
      </w:pPr>
      <w:r>
        <w:t xml:space="preserve">But while the scheme has been incredibly popular, it has been subject </w:t>
      </w:r>
      <w:r w:rsidR="00AD4E6D">
        <w:t>to exploitation, with providers</w:t>
      </w:r>
      <w:r>
        <w:t xml:space="preserve"> signing up </w:t>
      </w:r>
      <w:r w:rsidRPr="006052D0">
        <w:t xml:space="preserve">students who </w:t>
      </w:r>
      <w:r>
        <w:t>were</w:t>
      </w:r>
      <w:r w:rsidRPr="006052D0">
        <w:t xml:space="preserve"> not always</w:t>
      </w:r>
      <w:r>
        <w:t xml:space="preserve"> aware of what they were committing to; charging high fees; and not always delivering quality training.</w:t>
      </w:r>
      <w:r w:rsidRPr="0038337E">
        <w:t xml:space="preserve"> </w:t>
      </w:r>
      <w:r>
        <w:t xml:space="preserve">There are also a number of cases where RTOs lost their registration, </w:t>
      </w:r>
      <w:r w:rsidR="00C9015F">
        <w:t xml:space="preserve">with </w:t>
      </w:r>
      <w:r>
        <w:t xml:space="preserve">students subsequently stripped of their qualifications. In late 2015 the Senate Committee for Education and Employment Legislation found the surge in enrolments was driven by: </w:t>
      </w:r>
    </w:p>
    <w:p w:rsidR="007C53F2" w:rsidRDefault="007C53F2" w:rsidP="007C53F2">
      <w:pPr>
        <w:pStyle w:val="Quote"/>
      </w:pPr>
      <w:proofErr w:type="gramStart"/>
      <w:r>
        <w:t>opportunistic</w:t>
      </w:r>
      <w:proofErr w:type="gramEnd"/>
      <w:r>
        <w:t xml:space="preserve"> and unscrupulous VET FEE-HELP providers … the characteristics of this pattern of unscrupulous behaviour are aggressive marketing, inappropriate targeting of vulnerable people, an</w:t>
      </w:r>
      <w:r w:rsidR="00BD6B76">
        <w:t>d widespread use of inducements.</w:t>
      </w:r>
    </w:p>
    <w:p w:rsidR="00BD6B76" w:rsidRDefault="00BD6B76" w:rsidP="007C53F2">
      <w:pPr>
        <w:pStyle w:val="Quote"/>
      </w:pPr>
      <w:r>
        <w:tab/>
        <w:t>(</w:t>
      </w:r>
      <w:r w:rsidRPr="00E43270">
        <w:t xml:space="preserve">Education and Employment Legislation Committee </w:t>
      </w:r>
      <w:r>
        <w:t>2015, p.2)</w:t>
      </w:r>
    </w:p>
    <w:p w:rsidR="007C53F2" w:rsidRDefault="007C53F2" w:rsidP="007C53F2">
      <w:pPr>
        <w:pStyle w:val="Text"/>
      </w:pPr>
      <w:r>
        <w:t>The committee also suggested that this defrauding of the system had been exacerbated by an inadequate regulatory regime, one unable to control and regulate the behaviour of the providers.</w:t>
      </w:r>
      <w:r w:rsidR="00597397">
        <w:t xml:space="preserve"> </w:t>
      </w:r>
    </w:p>
    <w:p w:rsidR="00D35C64" w:rsidRPr="00D35C64" w:rsidRDefault="007C53F2" w:rsidP="00D35C64">
      <w:pPr>
        <w:pStyle w:val="Text"/>
      </w:pPr>
      <w:r w:rsidRPr="0038337E">
        <w:t xml:space="preserve">Throughout 2015, the </w:t>
      </w:r>
      <w:r>
        <w:t>Australian</w:t>
      </w:r>
      <w:r w:rsidRPr="0038337E">
        <w:t xml:space="preserve"> Government introduced</w:t>
      </w:r>
      <w:r>
        <w:t xml:space="preserve"> measures to rein in the scheme, with </w:t>
      </w:r>
      <w:r w:rsidRPr="0038337E">
        <w:t>amendments to the scheme passed in parliament</w:t>
      </w:r>
      <w:r>
        <w:t xml:space="preserve"> at the end of 2015</w:t>
      </w:r>
      <w:r w:rsidRPr="0038337E">
        <w:t xml:space="preserve">. </w:t>
      </w:r>
      <w:r w:rsidR="00C9015F">
        <w:t>S</w:t>
      </w:r>
      <w:r w:rsidR="00C9015F" w:rsidRPr="0038337E">
        <w:t xml:space="preserve">ome of the changes </w:t>
      </w:r>
      <w:r w:rsidR="00C9015F">
        <w:t>f</w:t>
      </w:r>
      <w:r w:rsidRPr="0038337E">
        <w:t>rom January 2016 included strengthening the assessment criteria</w:t>
      </w:r>
      <w:r>
        <w:t xml:space="preserve"> for </w:t>
      </w:r>
      <w:r w:rsidR="00BD6B76">
        <w:t>reg</w:t>
      </w:r>
      <w:r w:rsidR="00C9015F">
        <w:t>istered training organisations;</w:t>
      </w:r>
      <w:r>
        <w:t xml:space="preserve"> ensuring increased protection</w:t>
      </w:r>
      <w:r w:rsidR="00C9015F">
        <w:t xml:space="preserve"> for students;</w:t>
      </w:r>
      <w:r w:rsidRPr="0038337E">
        <w:t xml:space="preserve"> establish</w:t>
      </w:r>
      <w:r>
        <w:t>ing minimum pre</w:t>
      </w:r>
      <w:r w:rsidRPr="0038337E">
        <w:t>requisite and prior education q</w:t>
      </w:r>
      <w:r>
        <w:t>ualification</w:t>
      </w:r>
      <w:r w:rsidR="00BD6B76">
        <w:t>s</w:t>
      </w:r>
      <w:r w:rsidR="00C9015F">
        <w:t>;</w:t>
      </w:r>
      <w:r>
        <w:t xml:space="preserve"> freezing</w:t>
      </w:r>
      <w:r w:rsidRPr="0038337E">
        <w:t xml:space="preserve"> loan limit</w:t>
      </w:r>
      <w:r>
        <w:t>s</w:t>
      </w:r>
      <w:r w:rsidR="00C9015F">
        <w:t>;</w:t>
      </w:r>
      <w:r w:rsidRPr="0038337E">
        <w:t xml:space="preserve"> introducing </w:t>
      </w:r>
      <w:r w:rsidR="00C9015F">
        <w:t>new entry requirements for RTOs;</w:t>
      </w:r>
      <w:r w:rsidRPr="0038337E">
        <w:t xml:space="preserve"> </w:t>
      </w:r>
      <w:r>
        <w:t xml:space="preserve">and </w:t>
      </w:r>
      <w:r w:rsidRPr="0038337E">
        <w:t xml:space="preserve">pausing payments to providers for new enrolments where there are concerns about performance. </w:t>
      </w:r>
      <w:r>
        <w:t xml:space="preserve">These measures are in place until the scheme </w:t>
      </w:r>
      <w:r w:rsidR="00C412C4">
        <w:t>has been</w:t>
      </w:r>
      <w:r>
        <w:t xml:space="preserve"> completely redesigned</w:t>
      </w:r>
      <w:r w:rsidR="0008175B">
        <w:t>,</w:t>
      </w:r>
      <w:r>
        <w:t xml:space="preserve"> for 2017.</w:t>
      </w:r>
      <w:r w:rsidR="00597397">
        <w:t xml:space="preserve"> </w:t>
      </w:r>
      <w:r w:rsidR="00D35C64">
        <w:t>The iss</w:t>
      </w:r>
      <w:r w:rsidR="00B60B3C">
        <w:t>ues associated with the VET FEE-</w:t>
      </w:r>
      <w:r w:rsidR="00D35C64">
        <w:t>HELP program, the legislative responses</w:t>
      </w:r>
      <w:r w:rsidR="00B60B3C">
        <w:t xml:space="preserve"> to date and the options for its re</w:t>
      </w:r>
      <w:r w:rsidR="00D35C64">
        <w:t>design have been comprehensively covered in the public discussion paper on options for progr</w:t>
      </w:r>
      <w:r w:rsidR="00C412C4">
        <w:t>am redesign (Australian Government 2016).</w:t>
      </w:r>
      <w:r w:rsidR="00B60B3C">
        <w:t xml:space="preserve"> Being targeted to diploma and above (with some c</w:t>
      </w:r>
      <w:r w:rsidR="00D35C64">
        <w:t>ert</w:t>
      </w:r>
      <w:r w:rsidR="0079005D">
        <w:t>ificate</w:t>
      </w:r>
      <w:r w:rsidR="00D35C64">
        <w:t xml:space="preserve"> IV trials), </w:t>
      </w:r>
      <w:r w:rsidR="00B60B3C">
        <w:t>the scheme</w:t>
      </w:r>
      <w:r w:rsidR="00D35C64">
        <w:t xml:space="preserve"> has apparently driven greater participation at these </w:t>
      </w:r>
      <w:r w:rsidR="00B60B3C">
        <w:t>Australian Qualifications Framework (</w:t>
      </w:r>
      <w:r w:rsidR="00D35C64">
        <w:t>AQF</w:t>
      </w:r>
      <w:r w:rsidR="00B60B3C">
        <w:t>)</w:t>
      </w:r>
      <w:r w:rsidR="00D35C64">
        <w:t xml:space="preserve"> levels in the VET system.</w:t>
      </w:r>
    </w:p>
    <w:p w:rsidR="00C457A8" w:rsidRDefault="00C457A8" w:rsidP="00693325">
      <w:pPr>
        <w:pStyle w:val="Heading3"/>
      </w:pPr>
      <w:r>
        <w:lastRenderedPageBreak/>
        <w:t>Economic and labour market conditions</w:t>
      </w:r>
    </w:p>
    <w:p w:rsidR="00DC44DF" w:rsidRPr="00A7447E" w:rsidRDefault="00B60B3C" w:rsidP="00C457A8">
      <w:pPr>
        <w:pStyle w:val="Text"/>
      </w:pPr>
      <w:r>
        <w:t>Over the past 20 years the 15 to 64-year-</w:t>
      </w:r>
      <w:r w:rsidR="00DC44DF" w:rsidRPr="00A7447E">
        <w:t>old labour force has grown in absolute terms</w:t>
      </w:r>
      <w:r>
        <w:t>,</w:t>
      </w:r>
      <w:r w:rsidR="00DC44DF" w:rsidRPr="00A7447E">
        <w:t xml:space="preserve"> from 8.9 milli</w:t>
      </w:r>
      <w:r>
        <w:t xml:space="preserve">on in 1996 to 12.0 million </w:t>
      </w:r>
      <w:r w:rsidR="008D1BD5">
        <w:t xml:space="preserve">in </w:t>
      </w:r>
      <w:r>
        <w:t>2015,</w:t>
      </w:r>
      <w:r w:rsidR="003C7D01">
        <w:t xml:space="preserve"> an increase of </w:t>
      </w:r>
      <w:r w:rsidR="00DC44DF" w:rsidRPr="00A7447E">
        <w:t>35%</w:t>
      </w:r>
      <w:r w:rsidR="005E10C4" w:rsidRPr="00A7447E">
        <w:t xml:space="preserve"> (ABS 2016)</w:t>
      </w:r>
      <w:r w:rsidR="00DC44DF" w:rsidRPr="00A7447E">
        <w:t xml:space="preserve">. </w:t>
      </w:r>
      <w:r w:rsidR="00C412C4">
        <w:t>While t</w:t>
      </w:r>
      <w:r w:rsidR="00C03788" w:rsidRPr="00A7447E">
        <w:t>he labour m</w:t>
      </w:r>
      <w:r w:rsidR="00314F9A" w:rsidRPr="00A7447E">
        <w:t xml:space="preserve">arket </w:t>
      </w:r>
      <w:r w:rsidR="00C412C4">
        <w:t>continued to grow following the</w:t>
      </w:r>
      <w:r w:rsidR="00314F9A" w:rsidRPr="00A7447E">
        <w:t xml:space="preserve"> </w:t>
      </w:r>
      <w:r w:rsidRPr="00A7447E">
        <w:t xml:space="preserve">Global Financial Crisis </w:t>
      </w:r>
      <w:r w:rsidR="00C03788" w:rsidRPr="00A7447E">
        <w:t>(GFC)</w:t>
      </w:r>
      <w:r w:rsidR="005D4370" w:rsidRPr="00A7447E">
        <w:t xml:space="preserve"> </w:t>
      </w:r>
      <w:r w:rsidR="00C412C4">
        <w:t xml:space="preserve">of </w:t>
      </w:r>
      <w:r w:rsidR="00C412C4" w:rsidRPr="00A7447E">
        <w:t>2008</w:t>
      </w:r>
      <w:r w:rsidR="00C412C4">
        <w:t>,</w:t>
      </w:r>
      <w:r w:rsidR="00255D6F" w:rsidRPr="00A7447E">
        <w:t xml:space="preserve"> </w:t>
      </w:r>
      <w:r w:rsidR="0008175B">
        <w:t xml:space="preserve">the </w:t>
      </w:r>
      <w:r w:rsidR="00C412C4">
        <w:t>crisis still</w:t>
      </w:r>
      <w:r w:rsidR="005D4370" w:rsidRPr="00A7447E">
        <w:t xml:space="preserve"> impacted on </w:t>
      </w:r>
      <w:r w:rsidR="00255D6F" w:rsidRPr="00A7447E">
        <w:t>the composition of the labour force</w:t>
      </w:r>
      <w:r w:rsidR="005D4370" w:rsidRPr="00A7447E">
        <w:t xml:space="preserve"> </w:t>
      </w:r>
      <w:r w:rsidR="00350433" w:rsidRPr="00A7447E">
        <w:t>and</w:t>
      </w:r>
      <w:r>
        <w:t>,</w:t>
      </w:r>
      <w:r w:rsidR="00350433" w:rsidRPr="00A7447E">
        <w:t xml:space="preserve"> </w:t>
      </w:r>
      <w:r w:rsidR="005D4370" w:rsidRPr="00A7447E">
        <w:t>as will be see</w:t>
      </w:r>
      <w:r w:rsidR="002D7E26">
        <w:t>n</w:t>
      </w:r>
      <w:r w:rsidR="005D4370" w:rsidRPr="00A7447E">
        <w:t xml:space="preserve"> below,</w:t>
      </w:r>
      <w:r w:rsidR="00255D6F" w:rsidRPr="00A7447E">
        <w:t xml:space="preserve"> </w:t>
      </w:r>
      <w:r w:rsidR="005D4370" w:rsidRPr="00A7447E">
        <w:t>particularly in terms of a decrease in the proportion of people in full-time employment and increases in part-time employment and unemployment. The effects were greater for young people</w:t>
      </w:r>
      <w:r w:rsidR="00255D6F" w:rsidRPr="00A7447E">
        <w:t xml:space="preserve">. </w:t>
      </w:r>
    </w:p>
    <w:p w:rsidR="00350433" w:rsidRDefault="00D535CB" w:rsidP="005E10C4">
      <w:pPr>
        <w:pStyle w:val="Text"/>
      </w:pPr>
      <w:r w:rsidRPr="00A7447E">
        <w:t>To some extent, the impacts of the GFC</w:t>
      </w:r>
      <w:r w:rsidR="00350433" w:rsidRPr="00A7447E">
        <w:t xml:space="preserve"> </w:t>
      </w:r>
      <w:r w:rsidRPr="00A7447E">
        <w:t>contributed to the</w:t>
      </w:r>
      <w:r w:rsidR="00350433" w:rsidRPr="00A7447E">
        <w:t xml:space="preserve"> noti</w:t>
      </w:r>
      <w:r w:rsidR="00314F9A" w:rsidRPr="00A7447E">
        <w:t>on of</w:t>
      </w:r>
      <w:r w:rsidR="005E10C4" w:rsidRPr="00A7447E">
        <w:t xml:space="preserve"> </w:t>
      </w:r>
      <w:r w:rsidR="00C412C4">
        <w:t xml:space="preserve">the provision of </w:t>
      </w:r>
      <w:r w:rsidR="00350433" w:rsidRPr="00A7447E">
        <w:t>training guarantee</w:t>
      </w:r>
      <w:r w:rsidRPr="00A7447E">
        <w:t>s and training entitlements</w:t>
      </w:r>
      <w:r w:rsidR="00350433" w:rsidRPr="00A7447E">
        <w:t xml:space="preserve"> to young people and redundant workers,</w:t>
      </w:r>
      <w:r w:rsidRPr="00A7447E">
        <w:t xml:space="preserve"> </w:t>
      </w:r>
      <w:r w:rsidR="00B60B3C">
        <w:t xml:space="preserve">the aim being </w:t>
      </w:r>
      <w:r w:rsidRPr="00A7447E">
        <w:t xml:space="preserve">to </w:t>
      </w:r>
      <w:r w:rsidR="00B60B3C">
        <w:t>reskill and/</w:t>
      </w:r>
      <w:r w:rsidR="002D7E26">
        <w:t xml:space="preserve">or </w:t>
      </w:r>
      <w:r w:rsidRPr="00A7447E">
        <w:t>increase their education levels and improve their employment prospects.</w:t>
      </w:r>
      <w:r w:rsidR="00350433" w:rsidRPr="00A7447E">
        <w:t xml:space="preserve"> </w:t>
      </w:r>
      <w:r w:rsidRPr="00A7447E">
        <w:t>It also influence</w:t>
      </w:r>
      <w:r w:rsidR="00B60B3C">
        <w:t>d the move towards the uncapped demand-</w:t>
      </w:r>
      <w:r w:rsidR="00350433" w:rsidRPr="00A7447E">
        <w:t>drive</w:t>
      </w:r>
      <w:r w:rsidR="00314F9A" w:rsidRPr="00A7447E">
        <w:t xml:space="preserve">n </w:t>
      </w:r>
      <w:r w:rsidRPr="00A7447E">
        <w:t>system</w:t>
      </w:r>
      <w:r w:rsidR="00350433" w:rsidRPr="00A7447E">
        <w:t xml:space="preserve"> in higher education</w:t>
      </w:r>
      <w:r w:rsidR="00314F9A" w:rsidRPr="00A7447E">
        <w:t xml:space="preserve">. </w:t>
      </w:r>
    </w:p>
    <w:p w:rsidR="00C457A8" w:rsidRDefault="005E10C4" w:rsidP="00C457A8">
      <w:pPr>
        <w:pStyle w:val="Text"/>
      </w:pPr>
      <w:r>
        <w:t>More generally, v</w:t>
      </w:r>
      <w:r w:rsidR="00C457A8">
        <w:t xml:space="preserve">ocational education (and the rest of the tertiary education sector) is linked to the labour market </w:t>
      </w:r>
      <w:r w:rsidR="0008175B">
        <w:t>through</w:t>
      </w:r>
      <w:r w:rsidR="00C457A8">
        <w:t xml:space="preserve"> its supply of curre</w:t>
      </w:r>
      <w:r w:rsidR="00B926C7">
        <w:t>nt and future labour and skills</w:t>
      </w:r>
      <w:r w:rsidR="00C457A8">
        <w:t xml:space="preserve"> (see Cully</w:t>
      </w:r>
      <w:r w:rsidR="00C457A8" w:rsidRPr="00FA1AC3">
        <w:t xml:space="preserve"> 2008; </w:t>
      </w:r>
      <w:proofErr w:type="gramStart"/>
      <w:r w:rsidR="00C457A8" w:rsidRPr="00FA1AC3">
        <w:t>Knight</w:t>
      </w:r>
      <w:r w:rsidR="00C457A8">
        <w:t xml:space="preserve"> &amp;</w:t>
      </w:r>
      <w:proofErr w:type="gramEnd"/>
      <w:r w:rsidR="00C457A8">
        <w:t xml:space="preserve"> Mlotkowski 2009). In turn, the labour market provides indicators to VET on the type and amount of skills needed. How the sector responds to this is where policy plays a role, both at system-wide and institutional levels.</w:t>
      </w:r>
      <w:r w:rsidR="00597397">
        <w:t xml:space="preserve"> </w:t>
      </w:r>
    </w:p>
    <w:p w:rsidR="00C457A8" w:rsidRDefault="00C457A8" w:rsidP="00C457A8">
      <w:pPr>
        <w:pStyle w:val="Text"/>
      </w:pPr>
      <w:proofErr w:type="spellStart"/>
      <w:r>
        <w:t>Karmel</w:t>
      </w:r>
      <w:proofErr w:type="spellEnd"/>
      <w:r>
        <w:t xml:space="preserve"> (2009) points out however that these links are </w:t>
      </w:r>
      <w:r w:rsidRPr="004645D7">
        <w:t>loose</w:t>
      </w:r>
      <w:r w:rsidR="00B926C7">
        <w:t xml:space="preserve">, given </w:t>
      </w:r>
      <w:r>
        <w:t xml:space="preserve">the generally low level of matches between the area of training and the jobs that graduates get (apart from some areas of trade training). Indeed, an analysis has been conducted on skills matches and mismatches between the education and training </w:t>
      </w:r>
      <w:r w:rsidR="0008175B">
        <w:t xml:space="preserve">that </w:t>
      </w:r>
      <w:r>
        <w:t>people receive and their jobs. For example, Wibrow (2014) found that the stronger matches between training area and jobs in the VET sector were in the trades and highly regulated industries such as electro</w:t>
      </w:r>
      <w:r w:rsidR="00EF7DF9">
        <w:t>-</w:t>
      </w:r>
      <w:r>
        <w:t xml:space="preserve">technology. Courses that related to a more ‘generalist’ set of skills had lower matches. It has also been highlighted that, although people may not always work in the occupational area of their training, substantial proportions still find the training relevant to their work. </w:t>
      </w:r>
    </w:p>
    <w:p w:rsidR="00C457A8" w:rsidRDefault="00C457A8" w:rsidP="00C457A8">
      <w:pPr>
        <w:pStyle w:val="Text"/>
      </w:pPr>
      <w:r>
        <w:t xml:space="preserve">In the Australian labour market, there have been structural changes to industry and occupations in the past 20 years. Unemployment rates have fluctuated over the period, with a general trend for decreased rates </w:t>
      </w:r>
      <w:r w:rsidR="0008175B">
        <w:t>in</w:t>
      </w:r>
      <w:r>
        <w:t xml:space="preserve"> full-time employment and increased rates of part-time employment. The trends are more pronounced for the younger age group</w:t>
      </w:r>
      <w:r w:rsidR="00B926C7">
        <w:t xml:space="preserve"> and</w:t>
      </w:r>
      <w:r>
        <w:t xml:space="preserve"> are discussed in more detail below. </w:t>
      </w:r>
    </w:p>
    <w:p w:rsidR="00C457A8" w:rsidRDefault="00C457A8" w:rsidP="00C457A8">
      <w:pPr>
        <w:pStyle w:val="Text"/>
      </w:pPr>
      <w:r>
        <w:t xml:space="preserve">It is important to distinguish </w:t>
      </w:r>
      <w:r w:rsidR="00B60B3C">
        <w:t xml:space="preserve">the </w:t>
      </w:r>
      <w:r>
        <w:t xml:space="preserve">employment trends </w:t>
      </w:r>
      <w:r w:rsidR="00B60B3C">
        <w:t>of</w:t>
      </w:r>
      <w:r>
        <w:t xml:space="preserve"> younger people </w:t>
      </w:r>
      <w:r w:rsidR="00B60B3C">
        <w:t>from</w:t>
      </w:r>
      <w:r>
        <w:t xml:space="preserve"> </w:t>
      </w:r>
      <w:r w:rsidR="00C412C4">
        <w:t xml:space="preserve">those applying to </w:t>
      </w:r>
      <w:r>
        <w:t xml:space="preserve">the rest of the labour market, as younger people are in a more precarious position in the </w:t>
      </w:r>
      <w:r w:rsidR="00D74F87">
        <w:t xml:space="preserve">market. </w:t>
      </w:r>
      <w:r w:rsidR="00D74F87" w:rsidRPr="005E10C4">
        <w:t xml:space="preserve">Figures </w:t>
      </w:r>
      <w:r w:rsidR="002D7E26">
        <w:t>3</w:t>
      </w:r>
      <w:r w:rsidR="00D74F87" w:rsidRPr="005E10C4">
        <w:t xml:space="preserve"> and </w:t>
      </w:r>
      <w:r w:rsidR="002D7E26">
        <w:t>4</w:t>
      </w:r>
      <w:r w:rsidRPr="005E10C4">
        <w:t xml:space="preserve"> show employment trends over the period 1996—2015 for younger people</w:t>
      </w:r>
      <w:r>
        <w:t xml:space="preserve"> (aged 24 years and under) and for those aged 25 years and over. The figures show that, while employment trends were relatively stable over the period for people aged 25 years and over, they were much more subject to change for those aged 24 years and younger. In p</w:t>
      </w:r>
      <w:r w:rsidR="00C412C4">
        <w:t>articular, full-time employment-to-</w:t>
      </w:r>
      <w:r>
        <w:t>population rates declined (from 36.7% in 1996 to 26.2% in</w:t>
      </w:r>
      <w:r w:rsidR="00C412C4">
        <w:t xml:space="preserve"> 2015) and part-time employment-to-</w:t>
      </w:r>
      <w:r>
        <w:t>population rates increased (from 22.9% in 1996 to 30.3% in 2015). Additionally, unemployment rates declined for the younger age group from 1996 to 2008, reaching a low of 7.4% and then jumping to 11.3% in 2009. Despite the overall economy’s recovery from the Global Financial Crisis, youth unemployment has not declined. Females are less likely to be employed full-time and more likely to be employed part-</w:t>
      </w:r>
      <w:r w:rsidRPr="008E5DED">
        <w:t>time.</w:t>
      </w:r>
    </w:p>
    <w:p w:rsidR="006445F6" w:rsidRDefault="00C457A8" w:rsidP="00B84465">
      <w:pPr>
        <w:pStyle w:val="Text"/>
      </w:pPr>
      <w:r>
        <w:lastRenderedPageBreak/>
        <w:t xml:space="preserve">For young people, the decline in employment is also related to increases in educational </w:t>
      </w:r>
      <w:r w:rsidR="00FF51BB">
        <w:t>participation, apart</w:t>
      </w:r>
      <w:r>
        <w:t xml:space="preserve"> perhaps from trade apprenticeship training, which is particularly sensitive to economic conditions. </w:t>
      </w:r>
      <w:r w:rsidR="006445F6">
        <w:t xml:space="preserve">This </w:t>
      </w:r>
      <w:r w:rsidR="00FF51BB">
        <w:t xml:space="preserve">sensitivity </w:t>
      </w:r>
      <w:r w:rsidR="006445F6">
        <w:t xml:space="preserve">is demonstrated in figure </w:t>
      </w:r>
      <w:r w:rsidR="00862EC0">
        <w:t>5</w:t>
      </w:r>
      <w:r w:rsidR="00C412C4">
        <w:t>,</w:t>
      </w:r>
      <w:r w:rsidR="006445F6">
        <w:t xml:space="preserve"> where it appears </w:t>
      </w:r>
      <w:r w:rsidR="0008175B">
        <w:t>that there is</w:t>
      </w:r>
      <w:r w:rsidR="006445F6">
        <w:t xml:space="preserve"> some ‘mirror’ relationship between the numbers of trade apprentices </w:t>
      </w:r>
      <w:r w:rsidR="00B60B3C">
        <w:t xml:space="preserve">in training </w:t>
      </w:r>
      <w:r w:rsidR="006445F6">
        <w:t>and the unemployment rate.</w:t>
      </w:r>
      <w:r w:rsidR="00255D6F">
        <w:t xml:space="preserve"> We see</w:t>
      </w:r>
      <w:r w:rsidR="00B60B3C">
        <w:t>,</w:t>
      </w:r>
      <w:r w:rsidR="00255D6F">
        <w:t xml:space="preserve"> for example</w:t>
      </w:r>
      <w:r w:rsidR="00B60B3C">
        <w:t>,</w:t>
      </w:r>
      <w:r w:rsidR="00255D6F">
        <w:t xml:space="preserve"> as the unemployment rate climbed </w:t>
      </w:r>
      <w:r w:rsidR="00C412C4">
        <w:t>following</w:t>
      </w:r>
      <w:r w:rsidR="00255D6F">
        <w:t xml:space="preserve"> the 2008 GFC (an indicator of more difficult economic conditions)</w:t>
      </w:r>
      <w:r w:rsidR="00C412C4">
        <w:t>,</w:t>
      </w:r>
      <w:r w:rsidR="00255D6F">
        <w:t xml:space="preserve"> so the proportion of the trades workforce who were apprentices declined. </w:t>
      </w:r>
    </w:p>
    <w:p w:rsidR="00C457A8" w:rsidRDefault="00C457A8" w:rsidP="00FF51BB">
      <w:pPr>
        <w:pStyle w:val="Text"/>
        <w:rPr>
          <w:rFonts w:ascii="Tahoma" w:hAnsi="Tahoma"/>
          <w:b/>
          <w:sz w:val="17"/>
        </w:rPr>
      </w:pPr>
      <w:r>
        <w:t xml:space="preserve">Young females are more likely to participate in education and training than young males. Research by </w:t>
      </w:r>
      <w:proofErr w:type="spellStart"/>
      <w:r>
        <w:t>Karmel</w:t>
      </w:r>
      <w:proofErr w:type="spellEnd"/>
      <w:r>
        <w:t xml:space="preserve"> and </w:t>
      </w:r>
      <w:proofErr w:type="spellStart"/>
      <w:r>
        <w:t>Lui</w:t>
      </w:r>
      <w:proofErr w:type="spellEnd"/>
      <w:r>
        <w:t xml:space="preserve"> (2011) found that, for females, going on to university following Year 12 is the best pathway for a successful outcome.</w:t>
      </w:r>
    </w:p>
    <w:p w:rsidR="00C457A8" w:rsidRDefault="00D74F87" w:rsidP="00296119">
      <w:pPr>
        <w:pStyle w:val="Figuretitle"/>
        <w:ind w:left="993" w:hanging="993"/>
      </w:pPr>
      <w:bookmarkStart w:id="40" w:name="_Toc455670384"/>
      <w:bookmarkStart w:id="41" w:name="_Toc457809786"/>
      <w:r w:rsidRPr="00FF51BB">
        <w:t xml:space="preserve">Figure </w:t>
      </w:r>
      <w:r w:rsidR="002D7E26">
        <w:t>3</w:t>
      </w:r>
      <w:r w:rsidR="00296119">
        <w:tab/>
      </w:r>
      <w:r w:rsidR="00C457A8">
        <w:t>Employment trends, 15 to 24-year-olds, 1996–2015 (%)</w:t>
      </w:r>
      <w:bookmarkEnd w:id="40"/>
      <w:bookmarkEnd w:id="41"/>
    </w:p>
    <w:p w:rsidR="00C457A8" w:rsidRDefault="00C457A8" w:rsidP="00946BA3">
      <w:pPr>
        <w:pStyle w:val="Tabletext"/>
      </w:pPr>
      <w:bookmarkStart w:id="42" w:name="_Toc445798164"/>
      <w:bookmarkStart w:id="43" w:name="_Toc450046692"/>
      <w:bookmarkStart w:id="44" w:name="_Toc450047473"/>
      <w:r>
        <w:rPr>
          <w:noProof/>
          <w:lang w:eastAsia="en-AU"/>
        </w:rPr>
        <w:drawing>
          <wp:inline distT="0" distB="0" distL="0" distR="0" wp14:anchorId="14DD3A65" wp14:editId="0615E8EC">
            <wp:extent cx="4572000" cy="2941608"/>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42"/>
      <w:bookmarkEnd w:id="43"/>
      <w:bookmarkEnd w:id="44"/>
    </w:p>
    <w:p w:rsidR="00B60B3C" w:rsidRDefault="00B60B3C" w:rsidP="00C457A8">
      <w:pPr>
        <w:pStyle w:val="Source"/>
      </w:pPr>
      <w:r>
        <w:t xml:space="preserve">Note: </w:t>
      </w:r>
      <w:r w:rsidR="0053038D">
        <w:tab/>
      </w:r>
      <w:r>
        <w:t>Population is civilian population aged 15–24 years.</w:t>
      </w:r>
    </w:p>
    <w:p w:rsidR="00C457A8" w:rsidRDefault="00C457A8" w:rsidP="00C457A8">
      <w:pPr>
        <w:pStyle w:val="Source"/>
      </w:pPr>
      <w:r w:rsidRPr="00233613">
        <w:t xml:space="preserve">Source: </w:t>
      </w:r>
      <w:r w:rsidR="0053038D">
        <w:tab/>
      </w:r>
      <w:r>
        <w:t>ABS Labour force Australia,</w:t>
      </w:r>
      <w:r w:rsidRPr="00FA2785">
        <w:t xml:space="preserve"> detailed electronic </w:t>
      </w:r>
      <w:r>
        <w:t>delivery, cat.no.</w:t>
      </w:r>
      <w:r w:rsidRPr="00FA2785">
        <w:t>6291.0.55.001</w:t>
      </w:r>
      <w:r>
        <w:t>,</w:t>
      </w:r>
      <w:r w:rsidRPr="00FA2785">
        <w:t xml:space="preserve"> January 2016, cube LM1.</w:t>
      </w:r>
    </w:p>
    <w:p w:rsidR="00A84180" w:rsidRDefault="00A84180">
      <w:pPr>
        <w:spacing w:before="0" w:line="240" w:lineRule="auto"/>
        <w:rPr>
          <w:rFonts w:ascii="Tahoma" w:hAnsi="Tahoma"/>
          <w:b/>
          <w:sz w:val="17"/>
        </w:rPr>
      </w:pPr>
      <w:bookmarkStart w:id="45" w:name="_Toc455670386"/>
      <w:bookmarkStart w:id="46" w:name="_Toc457809787"/>
      <w:r>
        <w:br w:type="page"/>
      </w:r>
    </w:p>
    <w:p w:rsidR="00C457A8" w:rsidRPr="000207E3" w:rsidRDefault="00C457A8" w:rsidP="00296119">
      <w:pPr>
        <w:pStyle w:val="Figuretitle"/>
        <w:ind w:left="993" w:hanging="993"/>
      </w:pPr>
      <w:r w:rsidRPr="00FF51BB">
        <w:lastRenderedPageBreak/>
        <w:t xml:space="preserve">Figure </w:t>
      </w:r>
      <w:r w:rsidR="002D7E26">
        <w:t>4</w:t>
      </w:r>
      <w:r w:rsidR="00296119">
        <w:tab/>
      </w:r>
      <w:r>
        <w:t>Employment trends, 25 years and over (%)</w:t>
      </w:r>
      <w:bookmarkEnd w:id="45"/>
      <w:bookmarkEnd w:id="46"/>
    </w:p>
    <w:p w:rsidR="00C457A8" w:rsidRDefault="00C457A8" w:rsidP="00946BA3">
      <w:pPr>
        <w:pStyle w:val="Tabletext"/>
      </w:pPr>
      <w:bookmarkStart w:id="47" w:name="_Toc445798166"/>
      <w:bookmarkStart w:id="48" w:name="_Toc450046694"/>
      <w:bookmarkStart w:id="49" w:name="_Toc450047475"/>
      <w:r>
        <w:rPr>
          <w:noProof/>
          <w:lang w:eastAsia="en-AU"/>
        </w:rPr>
        <w:drawing>
          <wp:inline distT="0" distB="0" distL="0" distR="0" wp14:anchorId="77D92A70" wp14:editId="613DFE86">
            <wp:extent cx="4688959" cy="2775098"/>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47"/>
      <w:bookmarkEnd w:id="48"/>
      <w:bookmarkEnd w:id="49"/>
    </w:p>
    <w:p w:rsidR="00B60B3C" w:rsidRDefault="00B60B3C" w:rsidP="00B60B3C">
      <w:pPr>
        <w:pStyle w:val="Source"/>
      </w:pPr>
      <w:r>
        <w:t xml:space="preserve">Note: </w:t>
      </w:r>
      <w:r w:rsidR="0053038D">
        <w:tab/>
      </w:r>
      <w:r>
        <w:t>Population is civilian population aged 25 years and over.</w:t>
      </w:r>
    </w:p>
    <w:p w:rsidR="00C457A8" w:rsidRDefault="00C457A8" w:rsidP="00C457A8">
      <w:pPr>
        <w:pStyle w:val="Source"/>
      </w:pPr>
      <w:r w:rsidRPr="00233613">
        <w:t xml:space="preserve">Source: </w:t>
      </w:r>
      <w:r w:rsidR="0053038D">
        <w:tab/>
      </w:r>
      <w:r>
        <w:t>ABS Labour force Australia,</w:t>
      </w:r>
      <w:r w:rsidRPr="00FA2785">
        <w:t xml:space="preserve"> detailed electronic </w:t>
      </w:r>
      <w:r>
        <w:t>delivery, cat.no.</w:t>
      </w:r>
      <w:r w:rsidRPr="00FA2785">
        <w:t>6291.0.55.001</w:t>
      </w:r>
      <w:r>
        <w:t>,</w:t>
      </w:r>
      <w:r w:rsidRPr="00FA2785">
        <w:t xml:space="preserve"> January 2016, cube LM1.</w:t>
      </w:r>
    </w:p>
    <w:p w:rsidR="00862EC0" w:rsidRDefault="00862EC0" w:rsidP="00296119">
      <w:pPr>
        <w:pStyle w:val="Figuretitle"/>
        <w:ind w:left="993" w:hanging="993"/>
      </w:pPr>
      <w:bookmarkStart w:id="50" w:name="_Toc457809788"/>
      <w:r>
        <w:t>Figure 5</w:t>
      </w:r>
      <w:r w:rsidR="00296119">
        <w:tab/>
      </w:r>
      <w:r>
        <w:t>Trades apprentices in training as a proportion of the trades labour f</w:t>
      </w:r>
      <w:r w:rsidR="00B60B3C">
        <w:t>orce and unemployment rate 1996–</w:t>
      </w:r>
      <w:r>
        <w:t>2015</w:t>
      </w:r>
      <w:bookmarkEnd w:id="50"/>
    </w:p>
    <w:p w:rsidR="00862EC0" w:rsidRDefault="00F70412" w:rsidP="00946BA3">
      <w:pPr>
        <w:pStyle w:val="Tabletext"/>
      </w:pPr>
      <w:r>
        <w:rPr>
          <w:noProof/>
          <w:lang w:eastAsia="en-AU"/>
        </w:rPr>
        <w:drawing>
          <wp:inline distT="0" distB="0" distL="0" distR="0" wp14:anchorId="22404099" wp14:editId="57B50A4C">
            <wp:extent cx="5039995" cy="2603776"/>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EC0" w:rsidRDefault="00862EC0" w:rsidP="00862EC0">
      <w:pPr>
        <w:pStyle w:val="Source"/>
      </w:pPr>
      <w:r w:rsidRPr="005D4370">
        <w:t xml:space="preserve">Source: </w:t>
      </w:r>
      <w:r w:rsidR="0053038D">
        <w:tab/>
      </w:r>
      <w:r w:rsidRPr="005D4370">
        <w:t>NCVER</w:t>
      </w:r>
      <w:r>
        <w:t xml:space="preserve"> National Apprentice</w:t>
      </w:r>
      <w:r w:rsidR="000F096F">
        <w:t xml:space="preserve"> and Trainee</w:t>
      </w:r>
      <w:r>
        <w:t xml:space="preserve"> Collection 1996–</w:t>
      </w:r>
      <w:r w:rsidRPr="0021370E">
        <w:t>201</w:t>
      </w:r>
      <w:r>
        <w:t xml:space="preserve">5; ABS </w:t>
      </w:r>
      <w:r w:rsidR="00B926C7">
        <w:t xml:space="preserve">Labour force </w:t>
      </w:r>
      <w:r w:rsidRPr="00FF51BB">
        <w:t>Austral</w:t>
      </w:r>
      <w:r w:rsidR="000D5F7E">
        <w:t>ia, January 2016, cat.no.6202.0 (t</w:t>
      </w:r>
      <w:r w:rsidRPr="00FF51BB">
        <w:t>able 1)</w:t>
      </w:r>
      <w:r w:rsidR="000D5F7E">
        <w:t>.</w:t>
      </w:r>
    </w:p>
    <w:p w:rsidR="00C457A8" w:rsidRDefault="00C457A8" w:rsidP="00C457A8">
      <w:pPr>
        <w:pStyle w:val="Text"/>
      </w:pPr>
      <w:r>
        <w:t xml:space="preserve">More fundamentally, the shifts in the structure of the labour market have implications for the VET sector. </w:t>
      </w:r>
      <w:r w:rsidR="00852404">
        <w:t>There has been much discussion</w:t>
      </w:r>
      <w:r>
        <w:t xml:space="preserve"> about the decline in manufacturing in Australia and the increase in service-related industries</w:t>
      </w:r>
      <w:r w:rsidR="0008175B">
        <w:t xml:space="preserve">. </w:t>
      </w:r>
      <w:proofErr w:type="gramStart"/>
      <w:r w:rsidR="0008175B">
        <w:t>(S</w:t>
      </w:r>
      <w:r>
        <w:t>ee</w:t>
      </w:r>
      <w:r w:rsidR="000D5F7E">
        <w:t>,</w:t>
      </w:r>
      <w:r>
        <w:t xml:space="preserve"> for example, Australian Workforce and Productivity Agency 2014</w:t>
      </w:r>
      <w:r w:rsidR="000D5F7E">
        <w:t>;</w:t>
      </w:r>
      <w:r w:rsidR="002D7E26">
        <w:t xml:space="preserve"> </w:t>
      </w:r>
      <w:proofErr w:type="spellStart"/>
      <w:r w:rsidR="00EB6683">
        <w:t>Asialink</w:t>
      </w:r>
      <w:proofErr w:type="spellEnd"/>
      <w:r w:rsidR="00EB6683">
        <w:t xml:space="preserve"> Business</w:t>
      </w:r>
      <w:r w:rsidR="000D5F7E">
        <w:t xml:space="preserve"> </w:t>
      </w:r>
      <w:r w:rsidR="001538C5">
        <w:t>201</w:t>
      </w:r>
      <w:r w:rsidR="00EB6683">
        <w:t>5</w:t>
      </w:r>
      <w:r w:rsidR="0008175B">
        <w:t>.)</w:t>
      </w:r>
      <w:proofErr w:type="gramEnd"/>
      <w:r>
        <w:t xml:space="preserve"> The occupational structure of the labour market has also changed, mainly as a result of technological change, with a general trend towards occupations at higher skills </w:t>
      </w:r>
      <w:r w:rsidRPr="00FF51BB">
        <w:t xml:space="preserve">levels. </w:t>
      </w:r>
      <w:proofErr w:type="gramStart"/>
      <w:r w:rsidRPr="00FF51BB">
        <w:t xml:space="preserve">Figures </w:t>
      </w:r>
      <w:r w:rsidR="00FF51BB" w:rsidRPr="00FF51BB">
        <w:t>6</w:t>
      </w:r>
      <w:r w:rsidRPr="00FF51BB">
        <w:t xml:space="preserve"> and </w:t>
      </w:r>
      <w:r w:rsidR="00FF51BB" w:rsidRPr="00FF51BB">
        <w:t>7</w:t>
      </w:r>
      <w:r w:rsidRPr="00FF51BB">
        <w:t xml:space="preserve"> </w:t>
      </w:r>
      <w:r w:rsidR="000D5F7E">
        <w:t>show</w:t>
      </w:r>
      <w:r w:rsidRPr="00FF51BB">
        <w:t xml:space="preserve"> changes</w:t>
      </w:r>
      <w:r>
        <w:t xml:space="preserve"> in industry composition and </w:t>
      </w:r>
      <w:r w:rsidR="000D5F7E">
        <w:t xml:space="preserve">in </w:t>
      </w:r>
      <w:r>
        <w:t xml:space="preserve">the occupational structure of the labour market </w:t>
      </w:r>
      <w:r w:rsidR="001538C5">
        <w:t xml:space="preserve">over </w:t>
      </w:r>
      <w:r w:rsidR="00ED14D2">
        <w:t xml:space="preserve">the </w:t>
      </w:r>
      <w:r w:rsidR="001538C5">
        <w:t xml:space="preserve">two decades since </w:t>
      </w:r>
      <w:r>
        <w:t>1996.</w:t>
      </w:r>
      <w:proofErr w:type="gramEnd"/>
      <w:r>
        <w:t xml:space="preserve"> The industry sectors and occupational groups are shown in terms of the proportion they comprise of all industry sectors or occupational groups across two time periods, 1996 and 2015.</w:t>
      </w:r>
      <w:r w:rsidR="00A84180">
        <w:br/>
      </w:r>
    </w:p>
    <w:p w:rsidR="00897C85" w:rsidRDefault="00D74F87" w:rsidP="00296119">
      <w:pPr>
        <w:pStyle w:val="Figuretitle"/>
        <w:ind w:left="993" w:hanging="993"/>
      </w:pPr>
      <w:bookmarkStart w:id="51" w:name="_Toc455670388"/>
      <w:bookmarkStart w:id="52" w:name="_Toc457809789"/>
      <w:r w:rsidRPr="00FF51BB">
        <w:lastRenderedPageBreak/>
        <w:t xml:space="preserve">Figure </w:t>
      </w:r>
      <w:r w:rsidR="00FF51BB" w:rsidRPr="00FF51BB">
        <w:t>6</w:t>
      </w:r>
      <w:r w:rsidR="00296119">
        <w:tab/>
      </w:r>
      <w:r w:rsidR="00C457A8">
        <w:t>Ch</w:t>
      </w:r>
      <w:r w:rsidR="000D5F7E">
        <w:t>ange in industry structure 1996–</w:t>
      </w:r>
      <w:r w:rsidR="00C457A8">
        <w:t>2015, August figures, trend data (%)</w:t>
      </w:r>
      <w:bookmarkEnd w:id="51"/>
      <w:bookmarkEnd w:id="52"/>
    </w:p>
    <w:p w:rsidR="00C457A8" w:rsidRDefault="00897C85" w:rsidP="00296119">
      <w:pPr>
        <w:pStyle w:val="Figuretitle"/>
        <w:ind w:left="993" w:hanging="993"/>
      </w:pPr>
      <w:r>
        <w:rPr>
          <w:noProof/>
          <w:lang w:eastAsia="en-AU"/>
        </w:rPr>
        <w:drawing>
          <wp:inline distT="0" distB="0" distL="0" distR="0" wp14:anchorId="5A691B3B" wp14:editId="0D468DC3">
            <wp:extent cx="5016500" cy="3860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57A8" w:rsidRDefault="00C457A8" w:rsidP="00897C85">
      <w:pPr>
        <w:pStyle w:val="Source"/>
        <w:ind w:left="0" w:firstLine="0"/>
      </w:pPr>
      <w:r>
        <w:t xml:space="preserve">Source: ABS Labour force Australia, detailed quarterly, cat.no.6291.0.55.003, November 2015. </w:t>
      </w:r>
    </w:p>
    <w:p w:rsidR="00C457A8" w:rsidRDefault="00C457A8" w:rsidP="00C457A8">
      <w:pPr>
        <w:pStyle w:val="Text"/>
      </w:pPr>
      <w:r w:rsidRPr="00FF51BB">
        <w:t xml:space="preserve">Figure </w:t>
      </w:r>
      <w:r w:rsidR="00FF51BB" w:rsidRPr="00FF51BB">
        <w:t>6</w:t>
      </w:r>
      <w:r w:rsidRPr="00FF51BB">
        <w:t xml:space="preserve"> </w:t>
      </w:r>
      <w:proofErr w:type="gramStart"/>
      <w:r w:rsidRPr="00FF51BB">
        <w:t>shows</w:t>
      </w:r>
      <w:proofErr w:type="gramEnd"/>
      <w:r w:rsidRPr="00FF51BB">
        <w:t xml:space="preserve"> that</w:t>
      </w:r>
      <w:r>
        <w:t xml:space="preserve">, while the three </w:t>
      </w:r>
      <w:r w:rsidR="00562D5F">
        <w:t xml:space="preserve">largest </w:t>
      </w:r>
      <w:r>
        <w:t xml:space="preserve">industries in terms of employment in 1996 were manufacturing (12.9% of all employment), retail trade (11.3%) and health care and social assistance (9.2%), in 2015 the </w:t>
      </w:r>
      <w:r w:rsidRPr="0055162D">
        <w:t>three</w:t>
      </w:r>
      <w:r>
        <w:t xml:space="preserve"> </w:t>
      </w:r>
      <w:r w:rsidR="00B926C7">
        <w:t xml:space="preserve">largest </w:t>
      </w:r>
      <w:r>
        <w:t xml:space="preserve">industries were health care (12.7%), retail trade (10.6%) and construction (8.8%). The largest decreases in terms of share of total employment between 1996 and 2015 were in manufacturing (5.4 percentage points), agriculture (2.3 percentage points) and wholesale trade (1.6 percentage points). The largest increases have been </w:t>
      </w:r>
      <w:r w:rsidRPr="008416B7">
        <w:t>in health care and social</w:t>
      </w:r>
      <w:r>
        <w:t xml:space="preserve"> assistance (3.6 percentage points), professional (2.5 percentage points), and construction (1.7 percentage points). In addition, employment in the service industries </w:t>
      </w:r>
      <w:r w:rsidR="00F70412">
        <w:t xml:space="preserve">generally </w:t>
      </w:r>
      <w:r>
        <w:t>increased over this time. While service industries accounted for 67.</w:t>
      </w:r>
      <w:r w:rsidR="00F70412">
        <w:t>8</w:t>
      </w:r>
      <w:r>
        <w:t xml:space="preserve">% of employment in 1996, they accounted </w:t>
      </w:r>
      <w:r w:rsidR="00F70412">
        <w:t>for 72.9</w:t>
      </w:r>
      <w:r w:rsidRPr="00E92D2C">
        <w:t>% of employment in</w:t>
      </w:r>
      <w:r>
        <w:t xml:space="preserve"> 2015. </w:t>
      </w:r>
    </w:p>
    <w:p w:rsidR="00C457A8" w:rsidRDefault="00C457A8" w:rsidP="00C457A8">
      <w:pPr>
        <w:pStyle w:val="Text"/>
      </w:pPr>
      <w:r>
        <w:t>Furthermore, if we look at the Department of Employment’s industry employment projections to 20</w:t>
      </w:r>
      <w:r w:rsidR="00EB6683">
        <w:t>20</w:t>
      </w:r>
      <w:r>
        <w:t xml:space="preserve">, the largest contributors to employment growth are expected to be health care and social assistance; </w:t>
      </w:r>
      <w:r w:rsidR="00EB6683">
        <w:t>professional, scientific and technical services</w:t>
      </w:r>
      <w:r w:rsidR="000D5F7E">
        <w:t>;</w:t>
      </w:r>
      <w:r w:rsidR="00EB6683">
        <w:t xml:space="preserve"> and </w:t>
      </w:r>
      <w:r>
        <w:t xml:space="preserve">education and training. In contrast, declines in employment are expected for </w:t>
      </w:r>
      <w:r w:rsidR="00D25154">
        <w:t>a</w:t>
      </w:r>
      <w:r w:rsidR="00EB6683">
        <w:t xml:space="preserve">griculture, forestry and fishing; </w:t>
      </w:r>
      <w:r w:rsidR="00D25154">
        <w:t>m</w:t>
      </w:r>
      <w:r w:rsidR="00EB6683">
        <w:t xml:space="preserve">ining; and </w:t>
      </w:r>
      <w:r w:rsidR="00D25154">
        <w:t>m</w:t>
      </w:r>
      <w:r w:rsidR="00EB6683">
        <w:t>anufacturing</w:t>
      </w:r>
      <w:r>
        <w:t xml:space="preserve"> (Department of Employment 201</w:t>
      </w:r>
      <w:r w:rsidR="00EB6683">
        <w:t>6</w:t>
      </w:r>
      <w:r>
        <w:t xml:space="preserve">). </w:t>
      </w:r>
    </w:p>
    <w:p w:rsidR="00C457A8" w:rsidRDefault="00C457A8" w:rsidP="00C457A8">
      <w:pPr>
        <w:pStyle w:val="Text"/>
      </w:pPr>
      <w:r>
        <w:t xml:space="preserve">As </w:t>
      </w:r>
      <w:r w:rsidR="00852404">
        <w:t>noted above</w:t>
      </w:r>
      <w:r>
        <w:t xml:space="preserve">, the occupational structure of the labour market has changed as well, with a shift towards higher-level skills in the economy. </w:t>
      </w:r>
    </w:p>
    <w:p w:rsidR="00C457A8" w:rsidRDefault="00C457A8" w:rsidP="00C457A8">
      <w:pPr>
        <w:spacing w:before="0" w:line="240" w:lineRule="auto"/>
        <w:rPr>
          <w:rFonts w:ascii="Tahoma" w:hAnsi="Tahoma"/>
          <w:b/>
          <w:sz w:val="17"/>
        </w:rPr>
      </w:pPr>
      <w:r>
        <w:br w:type="page"/>
      </w:r>
    </w:p>
    <w:p w:rsidR="00C457A8" w:rsidRDefault="00C457A8" w:rsidP="00296119">
      <w:pPr>
        <w:pStyle w:val="Figuretitle"/>
        <w:ind w:left="993" w:hanging="993"/>
      </w:pPr>
      <w:bookmarkStart w:id="53" w:name="_Toc455670390"/>
      <w:bookmarkStart w:id="54" w:name="_Toc457809790"/>
      <w:r w:rsidRPr="00F475E2">
        <w:lastRenderedPageBreak/>
        <w:t xml:space="preserve">Figure </w:t>
      </w:r>
      <w:r w:rsidR="00FF51BB" w:rsidRPr="00F475E2">
        <w:t>7</w:t>
      </w:r>
      <w:r w:rsidR="00296119">
        <w:tab/>
      </w:r>
      <w:r>
        <w:t>Change in occupational structure 1996–2015, ANZSCO, August figures (%)</w:t>
      </w:r>
      <w:bookmarkEnd w:id="53"/>
      <w:bookmarkEnd w:id="54"/>
      <w:r w:rsidR="00F52B84">
        <w:br/>
      </w:r>
    </w:p>
    <w:p w:rsidR="00C457A8" w:rsidRDefault="00897C85" w:rsidP="00C457A8">
      <w:pPr>
        <w:pStyle w:val="Source"/>
      </w:pPr>
      <w:r>
        <w:rPr>
          <w:noProof/>
          <w:lang w:eastAsia="en-AU"/>
        </w:rPr>
        <w:drawing>
          <wp:anchor distT="0" distB="0" distL="114300" distR="114300" simplePos="0" relativeHeight="252030976" behindDoc="0" locked="0" layoutInCell="1" allowOverlap="1">
            <wp:simplePos x="0" y="0"/>
            <wp:positionH relativeFrom="column">
              <wp:posOffset>3175</wp:posOffset>
            </wp:positionH>
            <wp:positionV relativeFrom="paragraph">
              <wp:posOffset>0</wp:posOffset>
            </wp:positionV>
            <wp:extent cx="4572000" cy="2743200"/>
            <wp:effectExtent l="0" t="0" r="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C457A8">
        <w:t xml:space="preserve">Source: ABS Labour force Australia, detailed quarterly, cat.no.6291.0.55.003, November 2015. </w:t>
      </w:r>
    </w:p>
    <w:p w:rsidR="00C457A8" w:rsidRDefault="00D74F87" w:rsidP="00C457A8">
      <w:pPr>
        <w:pStyle w:val="Text"/>
      </w:pPr>
      <w:r w:rsidRPr="00F475E2">
        <w:t xml:space="preserve">Figure </w:t>
      </w:r>
      <w:r w:rsidR="00F475E2" w:rsidRPr="00F475E2">
        <w:t>7</w:t>
      </w:r>
      <w:r w:rsidR="00C457A8" w:rsidRPr="00F475E2">
        <w:t xml:space="preserve"> shows </w:t>
      </w:r>
      <w:r w:rsidR="00852404">
        <w:t>the</w:t>
      </w:r>
      <w:r w:rsidR="00C457A8">
        <w:t xml:space="preserve"> shift to higher-skill jobs, in particular, professional occupations, which have increased their share by 5.8 percentage points over the period. </w:t>
      </w:r>
      <w:proofErr w:type="gramStart"/>
      <w:r w:rsidR="00C457A8">
        <w:t xml:space="preserve">Most (although not all) of the jobs in the professionals and managers </w:t>
      </w:r>
      <w:r w:rsidR="001538C5">
        <w:t xml:space="preserve">classifications </w:t>
      </w:r>
      <w:r w:rsidR="00C457A8">
        <w:t>fall out of the purview of VET.</w:t>
      </w:r>
      <w:proofErr w:type="gramEnd"/>
      <w:r w:rsidR="00C457A8">
        <w:t xml:space="preserve"> However, many community and personal service worker occupations require VET-level qualifications, and this occupational group increased its share by 3.0 percentage points over the period 1996—2015. This occupational group also, more than any other, is composed of occupations of different skills levels (from low to high). </w:t>
      </w:r>
    </w:p>
    <w:p w:rsidR="00D26FBA" w:rsidRDefault="00C457A8" w:rsidP="00D26FBA">
      <w:pPr>
        <w:pStyle w:val="Text"/>
      </w:pPr>
      <w:r>
        <w:t>To see whether these changes are reflected in the composition of VET courses over time, the changes in the numbers of students by field of education and by training package are examined.</w:t>
      </w:r>
      <w:r>
        <w:rPr>
          <w:rStyle w:val="FootnoteReference"/>
        </w:rPr>
        <w:footnoteReference w:id="2"/>
      </w:r>
      <w:r>
        <w:t xml:space="preserve"> </w:t>
      </w:r>
      <w:bookmarkStart w:id="55" w:name="_Toc455670392"/>
      <w:bookmarkStart w:id="56" w:name="_Toc457809791"/>
    </w:p>
    <w:p w:rsidR="00D26FBA" w:rsidRDefault="00D26FBA">
      <w:pPr>
        <w:spacing w:before="0" w:line="240" w:lineRule="auto"/>
        <w:rPr>
          <w:rFonts w:ascii="Tahoma" w:hAnsi="Tahoma"/>
          <w:sz w:val="17"/>
          <w:szCs w:val="24"/>
        </w:rPr>
      </w:pPr>
      <w:r>
        <w:rPr>
          <w:b/>
        </w:rPr>
        <w:br w:type="page"/>
      </w:r>
    </w:p>
    <w:p w:rsidR="00C457A8" w:rsidRPr="000207E3" w:rsidRDefault="00D74F87" w:rsidP="00296119">
      <w:pPr>
        <w:pStyle w:val="tabletitle0"/>
        <w:ind w:left="993" w:hanging="993"/>
      </w:pPr>
      <w:r w:rsidRPr="00D26FBA">
        <w:lastRenderedPageBreak/>
        <w:t xml:space="preserve">Figure </w:t>
      </w:r>
      <w:r w:rsidR="00F475E2" w:rsidRPr="00D26FBA">
        <w:t>8</w:t>
      </w:r>
      <w:r w:rsidR="00296119">
        <w:tab/>
      </w:r>
      <w:r w:rsidR="00C457A8" w:rsidRPr="00F475E2">
        <w:t>Students</w:t>
      </w:r>
      <w:r w:rsidR="00C457A8">
        <w:t xml:space="preserve"> by field of education</w:t>
      </w:r>
      <w:bookmarkEnd w:id="55"/>
      <w:bookmarkEnd w:id="56"/>
    </w:p>
    <w:p w:rsidR="00C457A8" w:rsidRDefault="0019138F" w:rsidP="00946BA3">
      <w:pPr>
        <w:pStyle w:val="Tabletext"/>
      </w:pPr>
      <w:r>
        <w:rPr>
          <w:noProof/>
          <w:lang w:eastAsia="en-AU"/>
        </w:rPr>
        <w:drawing>
          <wp:inline distT="0" distB="0" distL="0" distR="0" wp14:anchorId="3FC84BB1" wp14:editId="020C9D58">
            <wp:extent cx="49911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5F7E" w:rsidRDefault="000D5F7E" w:rsidP="000D5F7E">
      <w:pPr>
        <w:pStyle w:val="Source"/>
      </w:pPr>
      <w:r>
        <w:t>Note:</w:t>
      </w:r>
      <w:r w:rsidR="0053038D">
        <w:tab/>
      </w:r>
      <w:r w:rsidRPr="0046269B">
        <w:t xml:space="preserve">Data by </w:t>
      </w:r>
      <w:r>
        <w:t>field of education and sub-field</w:t>
      </w:r>
      <w:r w:rsidRPr="0046269B">
        <w:t xml:space="preserve"> ha</w:t>
      </w:r>
      <w:r w:rsidR="00B926C7">
        <w:t>ve</w:t>
      </w:r>
      <w:r w:rsidRPr="0046269B">
        <w:t xml:space="preserve"> only been readily available since 2003.</w:t>
      </w:r>
    </w:p>
    <w:p w:rsidR="00D25154" w:rsidRDefault="00C457A8" w:rsidP="00D25154">
      <w:pPr>
        <w:pStyle w:val="Source"/>
      </w:pPr>
      <w:r>
        <w:t>Source:</w:t>
      </w:r>
      <w:r w:rsidRPr="00FA2785">
        <w:t xml:space="preserve"> </w:t>
      </w:r>
      <w:r w:rsidR="0053038D">
        <w:tab/>
      </w:r>
      <w:r w:rsidRPr="00FA2785">
        <w:t>NCVER National</w:t>
      </w:r>
      <w:r>
        <w:t xml:space="preserve"> VET Provider Collection 200</w:t>
      </w:r>
      <w:r w:rsidR="0019138F">
        <w:t>3</w:t>
      </w:r>
      <w:r>
        <w:t>–</w:t>
      </w:r>
      <w:r w:rsidR="00B855CB">
        <w:t>15</w:t>
      </w:r>
      <w:r>
        <w:t>.</w:t>
      </w:r>
    </w:p>
    <w:p w:rsidR="00D25154" w:rsidRDefault="00D25154" w:rsidP="00C457A8">
      <w:pPr>
        <w:pStyle w:val="Source"/>
      </w:pPr>
    </w:p>
    <w:p w:rsidR="00C457A8" w:rsidRDefault="00D74F87" w:rsidP="00C457A8">
      <w:pPr>
        <w:pStyle w:val="Text"/>
      </w:pPr>
      <w:r w:rsidRPr="00F475E2">
        <w:t xml:space="preserve">As figure </w:t>
      </w:r>
      <w:r w:rsidR="00F475E2" w:rsidRPr="00F475E2">
        <w:t>8</w:t>
      </w:r>
      <w:r w:rsidR="00C457A8" w:rsidRPr="00F475E2">
        <w:t xml:space="preserve"> shows</w:t>
      </w:r>
      <w:r w:rsidR="00C457A8">
        <w:t xml:space="preserve">, while </w:t>
      </w:r>
      <w:r w:rsidR="00CB15D6">
        <w:t xml:space="preserve">engineering and </w:t>
      </w:r>
      <w:r w:rsidR="00562D5F">
        <w:t xml:space="preserve">related </w:t>
      </w:r>
      <w:r w:rsidR="00CB15D6">
        <w:t>technolog</w:t>
      </w:r>
      <w:r w:rsidR="00562D5F">
        <w:t>ies</w:t>
      </w:r>
      <w:r w:rsidR="00CB15D6">
        <w:t xml:space="preserve">, and </w:t>
      </w:r>
      <w:r w:rsidR="00C457A8">
        <w:t>management and commerce still remain the largest fields (1</w:t>
      </w:r>
      <w:r w:rsidR="00CB15D6">
        <w:t>7</w:t>
      </w:r>
      <w:r w:rsidR="00C457A8">
        <w:t>.</w:t>
      </w:r>
      <w:r w:rsidR="00CB15D6">
        <w:t>1</w:t>
      </w:r>
      <w:r w:rsidR="00C457A8">
        <w:t>% and 16.</w:t>
      </w:r>
      <w:r w:rsidR="00CB15D6">
        <w:t>1</w:t>
      </w:r>
      <w:r w:rsidR="00C457A8">
        <w:t>% of students respectively), the biggest increase</w:t>
      </w:r>
      <w:r w:rsidR="00B926C7">
        <w:t>s</w:t>
      </w:r>
      <w:r w:rsidR="00C457A8">
        <w:t xml:space="preserve"> in shares over the period (apart from other) have been in </w:t>
      </w:r>
      <w:r w:rsidR="00F70412">
        <w:t xml:space="preserve">education (2.4 percentage points), </w:t>
      </w:r>
      <w:r w:rsidR="000D5F7E">
        <w:t>architecture and building (an increase of 2.</w:t>
      </w:r>
      <w:r w:rsidR="00F70412">
        <w:t>3</w:t>
      </w:r>
      <w:r w:rsidR="000D5F7E">
        <w:t xml:space="preserve"> percentage points), </w:t>
      </w:r>
      <w:r w:rsidR="00CB15D6">
        <w:t xml:space="preserve">and </w:t>
      </w:r>
      <w:r w:rsidR="00C457A8">
        <w:t>society and culture (</w:t>
      </w:r>
      <w:r w:rsidR="00CB15D6">
        <w:t>1.</w:t>
      </w:r>
      <w:r w:rsidR="00F70412">
        <w:t>5</w:t>
      </w:r>
      <w:r w:rsidR="00C457A8">
        <w:t xml:space="preserve"> percentage points), with the biggest decreases in management and commerce (</w:t>
      </w:r>
      <w:r w:rsidR="00F70412">
        <w:t>5</w:t>
      </w:r>
      <w:r w:rsidR="00C457A8">
        <w:t>.</w:t>
      </w:r>
      <w:r w:rsidR="00F70412">
        <w:t>9</w:t>
      </w:r>
      <w:r w:rsidR="00C457A8">
        <w:t xml:space="preserve"> percentage points),information technology (2.</w:t>
      </w:r>
      <w:r w:rsidR="00F70412">
        <w:t>3</w:t>
      </w:r>
      <w:r w:rsidR="00C457A8">
        <w:t xml:space="preserve"> percentage points)</w:t>
      </w:r>
      <w:r w:rsidR="00CB15D6">
        <w:t xml:space="preserve">, and </w:t>
      </w:r>
      <w:r w:rsidR="00F70412">
        <w:t>creative arts</w:t>
      </w:r>
      <w:r w:rsidR="00CB15D6">
        <w:t xml:space="preserve"> (1.5 percentage points)</w:t>
      </w:r>
      <w:r w:rsidR="00C457A8">
        <w:t xml:space="preserve">. If we look at society and culture more closely, the sub-field that has increased its share most of all is human welfare studies and services. While this sub-field constituted 5.0% of all enrolments in the publicly funded VET system in 2003, this had risen to </w:t>
      </w:r>
      <w:r w:rsidR="00CB15D6">
        <w:t>9.1</w:t>
      </w:r>
      <w:r w:rsidR="00C457A8">
        <w:t xml:space="preserve">% </w:t>
      </w:r>
      <w:r w:rsidR="00CB15D6">
        <w:t>in</w:t>
      </w:r>
      <w:r w:rsidR="00C457A8">
        <w:t xml:space="preserve"> 201</w:t>
      </w:r>
      <w:r w:rsidR="00CB15D6">
        <w:t>5</w:t>
      </w:r>
      <w:r w:rsidR="00C457A8">
        <w:t>. Th</w:t>
      </w:r>
      <w:r w:rsidR="00CB15D6">
        <w:t xml:space="preserve">ese changes </w:t>
      </w:r>
      <w:r w:rsidR="00C457A8">
        <w:t>i</w:t>
      </w:r>
      <w:r w:rsidR="00CB15D6">
        <w:t>n student numbers by field of education reflect to some degree the industry and occupational changes in the labour market.</w:t>
      </w:r>
      <w:r w:rsidR="00597397">
        <w:t xml:space="preserve"> </w:t>
      </w:r>
    </w:p>
    <w:p w:rsidR="00C457A8" w:rsidRDefault="00C457A8" w:rsidP="00C457A8">
      <w:pPr>
        <w:pStyle w:val="Text"/>
      </w:pPr>
      <w:r>
        <w:t>This is also reflected in the composition of trai</w:t>
      </w:r>
      <w:r w:rsidR="00C149CE">
        <w:t>ning packages over time. I</w:t>
      </w:r>
      <w:r>
        <w:t xml:space="preserve">n 2003 the </w:t>
      </w:r>
      <w:r w:rsidR="00C149CE">
        <w:t>largest</w:t>
      </w:r>
      <w:r>
        <w:t xml:space="preserve"> training packages </w:t>
      </w:r>
      <w:r w:rsidR="00D25154">
        <w:t xml:space="preserve">in terms of student numbers </w:t>
      </w:r>
      <w:r>
        <w:t>were, in order of size: Business Services; Tourism, Hospitality and Events; Telecommuni</w:t>
      </w:r>
      <w:r w:rsidR="00C149CE">
        <w:t>cations; and Community Services. I</w:t>
      </w:r>
      <w:r>
        <w:t>n 2014</w:t>
      </w:r>
      <w:r w:rsidR="00C149CE">
        <w:t>, however,</w:t>
      </w:r>
      <w:r>
        <w:t xml:space="preserve"> they were Community Services; Business Services; Construction, Plumbing and Services</w:t>
      </w:r>
      <w:r w:rsidR="00200BEA">
        <w:t>; and Tourism, Hospitality and Events</w:t>
      </w:r>
      <w:r>
        <w:t xml:space="preserve">. The Community Services Training Package largely deals with courses related to the </w:t>
      </w:r>
      <w:r w:rsidR="00B926C7">
        <w:t>h</w:t>
      </w:r>
      <w:r>
        <w:t>uman welfare studies sub-field of education. Also, notably, the pro</w:t>
      </w:r>
      <w:r w:rsidR="000D5F7E">
        <w:t>portion of non-training package-</w:t>
      </w:r>
      <w:r>
        <w:t>accredited qualifications dropped from 5</w:t>
      </w:r>
      <w:r w:rsidR="00200BEA">
        <w:t>3</w:t>
      </w:r>
      <w:r>
        <w:t>.</w:t>
      </w:r>
      <w:r w:rsidR="00200BEA">
        <w:t>0</w:t>
      </w:r>
      <w:r>
        <w:t>% in 2003 to 23.</w:t>
      </w:r>
      <w:r w:rsidR="00200BEA">
        <w:t>6</w:t>
      </w:r>
      <w:r>
        <w:t>% in 201</w:t>
      </w:r>
      <w:r w:rsidR="00200BEA">
        <w:t>5</w:t>
      </w:r>
      <w:r>
        <w:t>.</w:t>
      </w:r>
      <w:r w:rsidR="00597397">
        <w:t xml:space="preserve"> </w:t>
      </w:r>
    </w:p>
    <w:p w:rsidR="00F475E2" w:rsidRDefault="00F475E2" w:rsidP="00C457A8">
      <w:pPr>
        <w:pStyle w:val="Text"/>
      </w:pPr>
      <w:r>
        <w:t>Given this context we now examine some of the trends in VET participation over the last 20 years.</w:t>
      </w:r>
    </w:p>
    <w:p w:rsidR="00C457A8" w:rsidRDefault="00C457A8">
      <w:pPr>
        <w:spacing w:before="0" w:line="240" w:lineRule="auto"/>
        <w:rPr>
          <w:rFonts w:ascii="Arial" w:hAnsi="Arial" w:cs="Tahoma"/>
          <w:color w:val="000000"/>
          <w:sz w:val="24"/>
        </w:rPr>
      </w:pPr>
    </w:p>
    <w:p w:rsidR="00C457A8" w:rsidRDefault="00C457A8">
      <w:pPr>
        <w:spacing w:before="0" w:line="240" w:lineRule="auto"/>
        <w:rPr>
          <w:rFonts w:ascii="Arial" w:hAnsi="Arial" w:cs="Tahoma"/>
          <w:color w:val="000000"/>
          <w:sz w:val="24"/>
        </w:rPr>
      </w:pPr>
      <w:r>
        <w:rPr>
          <w:rFonts w:ascii="Arial" w:hAnsi="Arial" w:cs="Tahoma"/>
          <w:color w:val="000000"/>
          <w:sz w:val="24"/>
        </w:rPr>
        <w:br w:type="page"/>
      </w:r>
    </w:p>
    <w:p w:rsidR="000F125B" w:rsidRDefault="0053038D" w:rsidP="00A84180">
      <w:pPr>
        <w:pStyle w:val="Heading1"/>
      </w:pPr>
      <w:r>
        <w:rPr>
          <w:noProof/>
          <w:lang w:eastAsia="en-AU"/>
        </w:rPr>
        <w:lastRenderedPageBreak/>
        <w:drawing>
          <wp:anchor distT="0" distB="0" distL="114300" distR="114300" simplePos="0" relativeHeight="252011520" behindDoc="1" locked="0" layoutInCell="1" allowOverlap="1" wp14:anchorId="38FCFCDB" wp14:editId="5C7D26C4">
            <wp:simplePos x="0" y="0"/>
            <wp:positionH relativeFrom="column">
              <wp:posOffset>18415</wp:posOffset>
            </wp:positionH>
            <wp:positionV relativeFrom="paragraph">
              <wp:posOffset>-20320</wp:posOffset>
            </wp:positionV>
            <wp:extent cx="414655" cy="414655"/>
            <wp:effectExtent l="0" t="0" r="0" b="0"/>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33" name="Picture 33" descr="P:\PublicationComponents\Icons\TeacherAtBoardWithStudent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eacherAtBoardWithStudents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_Toc455569937"/>
      <w:r w:rsidR="002423DC">
        <w:t>Understanding VET participation</w:t>
      </w:r>
      <w:bookmarkEnd w:id="57"/>
    </w:p>
    <w:p w:rsidR="00503147" w:rsidRDefault="00503147" w:rsidP="007A448E">
      <w:pPr>
        <w:pStyle w:val="Heading2"/>
      </w:pPr>
      <w:bookmarkStart w:id="58" w:name="_Toc455569938"/>
      <w:r>
        <w:t>Participation</w:t>
      </w:r>
      <w:r w:rsidR="007A448E">
        <w:t xml:space="preserve"> trends</w:t>
      </w:r>
      <w:r>
        <w:t xml:space="preserve"> in VET over the last 20 years</w:t>
      </w:r>
      <w:bookmarkEnd w:id="58"/>
    </w:p>
    <w:p w:rsidR="00F1501D" w:rsidRDefault="00F1501D" w:rsidP="009305F7">
      <w:pPr>
        <w:pStyle w:val="Text"/>
      </w:pPr>
      <w:r w:rsidRPr="00733E1A">
        <w:t>The VET sector is the largest education sector in Australia. If we look at all VET provision (including private), we can see that in 201</w:t>
      </w:r>
      <w:r w:rsidR="00215D87" w:rsidRPr="00733E1A">
        <w:t>5</w:t>
      </w:r>
      <w:r w:rsidRPr="00733E1A">
        <w:t xml:space="preserve"> there were </w:t>
      </w:r>
      <w:r w:rsidR="00215D87" w:rsidRPr="00733E1A">
        <w:t>4.5</w:t>
      </w:r>
      <w:r w:rsidRPr="00733E1A">
        <w:t xml:space="preserve"> million students, with about 1.</w:t>
      </w:r>
      <w:r w:rsidR="00215D87" w:rsidRPr="00733E1A">
        <w:t>6</w:t>
      </w:r>
      <w:r w:rsidRPr="00733E1A">
        <w:t xml:space="preserve"> million students in the publicly funded system</w:t>
      </w:r>
      <w:r w:rsidR="000D5F7E">
        <w:t xml:space="preserve"> (NCVER 2016a,</w:t>
      </w:r>
      <w:r w:rsidR="00733E1A" w:rsidRPr="00733E1A">
        <w:t xml:space="preserve"> 2016b)</w:t>
      </w:r>
      <w:r w:rsidRPr="00733E1A">
        <w:t>. Vocational education is undertaken by people of all ages, although a large proportion is aged 24 years or under (3</w:t>
      </w:r>
      <w:r w:rsidR="00215D87" w:rsidRPr="00733E1A">
        <w:t>5</w:t>
      </w:r>
      <w:r w:rsidRPr="00733E1A">
        <w:t>% in total VET activity</w:t>
      </w:r>
      <w:r w:rsidRPr="00733E1A">
        <w:rPr>
          <w:rStyle w:val="FootnoteReference"/>
        </w:rPr>
        <w:footnoteReference w:id="3"/>
      </w:r>
      <w:r w:rsidRPr="00733E1A">
        <w:t>). In addition to on-campus and online training, a major feature of the system is apprenticeships and traineeships, with 278 600 students in training</w:t>
      </w:r>
      <w:r w:rsidR="00733E1A" w:rsidRPr="00733E1A">
        <w:t xml:space="preserve"> </w:t>
      </w:r>
      <w:r w:rsidR="00F70412">
        <w:t xml:space="preserve">as at December 2015 </w:t>
      </w:r>
      <w:r w:rsidR="00733E1A" w:rsidRPr="00733E1A">
        <w:t>(NCVER 2016c)</w:t>
      </w:r>
      <w:r w:rsidRPr="00733E1A">
        <w:t>.</w:t>
      </w:r>
      <w:r w:rsidR="00597397">
        <w:t xml:space="preserve"> </w:t>
      </w:r>
    </w:p>
    <w:p w:rsidR="00562D5F" w:rsidRDefault="00441279" w:rsidP="00562D5F">
      <w:pPr>
        <w:pStyle w:val="Text"/>
      </w:pPr>
      <w:r w:rsidRPr="00733E1A">
        <w:t>While t</w:t>
      </w:r>
      <w:r w:rsidR="00C058A8" w:rsidRPr="00733E1A">
        <w:t>he n</w:t>
      </w:r>
      <w:r w:rsidR="009305F7" w:rsidRPr="00733E1A">
        <w:t xml:space="preserve">umbers of students participating in </w:t>
      </w:r>
      <w:r w:rsidR="00C412C4">
        <w:t>v</w:t>
      </w:r>
      <w:r w:rsidR="00DA7E52">
        <w:t>ocational education and training</w:t>
      </w:r>
      <w:r w:rsidR="00C058A8" w:rsidRPr="00733E1A">
        <w:t xml:space="preserve"> have</w:t>
      </w:r>
      <w:r w:rsidR="009305F7" w:rsidRPr="00733E1A">
        <w:t xml:space="preserve"> increased during the </w:t>
      </w:r>
      <w:r w:rsidRPr="00733E1A">
        <w:t>past 20 years</w:t>
      </w:r>
      <w:r w:rsidR="00C058A8" w:rsidRPr="00733E1A">
        <w:t>,</w:t>
      </w:r>
      <w:r w:rsidR="00813B82" w:rsidRPr="00733E1A">
        <w:t xml:space="preserve"> leading to general growth</w:t>
      </w:r>
      <w:r w:rsidR="006445F6" w:rsidRPr="00733E1A">
        <w:t xml:space="preserve"> in overall numbers until recently</w:t>
      </w:r>
      <w:r w:rsidR="00813B82" w:rsidRPr="00733E1A">
        <w:t>,</w:t>
      </w:r>
      <w:r w:rsidR="009305F7" w:rsidRPr="00733E1A">
        <w:t xml:space="preserve"> participation has been more stagnant when expr</w:t>
      </w:r>
      <w:r w:rsidR="00C058A8" w:rsidRPr="00733E1A">
        <w:t>essed as a proportion of the 15 to 64-year-</w:t>
      </w:r>
      <w:r w:rsidR="009305F7" w:rsidRPr="00733E1A">
        <w:t>old population.</w:t>
      </w:r>
      <w:r w:rsidR="00813B82">
        <w:t xml:space="preserve"> The reasons for the</w:t>
      </w:r>
      <w:r>
        <w:t xml:space="preserve"> general growth</w:t>
      </w:r>
      <w:r w:rsidR="009305F7">
        <w:t xml:space="preserve"> include governments’ push to increase the education levels of Australia</w:t>
      </w:r>
      <w:r w:rsidR="00373F5B">
        <w:t>ns</w:t>
      </w:r>
      <w:r w:rsidR="00B926C7">
        <w:t>, the aim being</w:t>
      </w:r>
      <w:r w:rsidR="009305F7">
        <w:t xml:space="preserve"> </w:t>
      </w:r>
      <w:r>
        <w:t>to increase</w:t>
      </w:r>
      <w:r w:rsidR="009305F7">
        <w:t xml:space="preserve"> productivity and </w:t>
      </w:r>
      <w:r>
        <w:t xml:space="preserve">to </w:t>
      </w:r>
      <w:r w:rsidR="00373F5B">
        <w:t xml:space="preserve">ensure a more </w:t>
      </w:r>
      <w:r w:rsidR="009305F7">
        <w:t xml:space="preserve">competitive </w:t>
      </w:r>
      <w:r w:rsidR="00373F5B">
        <w:t xml:space="preserve">position </w:t>
      </w:r>
      <w:r w:rsidR="009305F7">
        <w:t>in the global economy</w:t>
      </w:r>
      <w:r w:rsidR="009F74EA">
        <w:t>. (S</w:t>
      </w:r>
      <w:r w:rsidR="009305F7">
        <w:t>ee</w:t>
      </w:r>
      <w:r w:rsidR="00C058A8">
        <w:t>,</w:t>
      </w:r>
      <w:r w:rsidR="009305F7">
        <w:t xml:space="preserve"> for example</w:t>
      </w:r>
      <w:r w:rsidR="00C058A8">
        <w:t>,</w:t>
      </w:r>
      <w:r w:rsidR="009305F7">
        <w:t xml:space="preserve"> the various COAG targets regarding education</w:t>
      </w:r>
      <w:r w:rsidR="00B926C7">
        <w:t>.</w:t>
      </w:r>
      <w:r w:rsidR="00562D5F">
        <w:rPr>
          <w:rStyle w:val="FootnoteReference"/>
        </w:rPr>
        <w:footnoteReference w:id="4"/>
      </w:r>
      <w:r>
        <w:t>)</w:t>
      </w:r>
      <w:r w:rsidR="005C022C">
        <w:t xml:space="preserve"> </w:t>
      </w:r>
      <w:r w:rsidR="009F74EA">
        <w:t>In particular t</w:t>
      </w:r>
      <w:r w:rsidR="009305F7">
        <w:t xml:space="preserve">here has been a substantial increase in </w:t>
      </w:r>
      <w:r w:rsidR="00B926C7">
        <w:t xml:space="preserve">the </w:t>
      </w:r>
      <w:r w:rsidR="009305F7">
        <w:t xml:space="preserve">educational participation and attainment </w:t>
      </w:r>
      <w:r w:rsidR="00B926C7">
        <w:t>of</w:t>
      </w:r>
      <w:r w:rsidR="009305F7">
        <w:t xml:space="preserve"> young people (Skujins &amp; Lim 2015) due to </w:t>
      </w:r>
      <w:r w:rsidR="00C058A8">
        <w:t xml:space="preserve">the </w:t>
      </w:r>
      <w:r w:rsidR="009305F7">
        <w:t>explici</w:t>
      </w:r>
      <w:r w:rsidR="00C058A8">
        <w:t xml:space="preserve">t policy aimed at </w:t>
      </w:r>
      <w:r>
        <w:t>this group</w:t>
      </w:r>
      <w:r w:rsidR="009F74EA">
        <w:t>.</w:t>
      </w:r>
      <w:r w:rsidR="00C058A8">
        <w:t xml:space="preserve"> (</w:t>
      </w:r>
      <w:r w:rsidR="009F74EA">
        <w:t>S</w:t>
      </w:r>
      <w:r w:rsidR="009305F7" w:rsidRPr="00FF1CD9">
        <w:t>ee</w:t>
      </w:r>
      <w:r w:rsidR="00C058A8">
        <w:t>,</w:t>
      </w:r>
      <w:r w:rsidR="009305F7" w:rsidRPr="00FF1CD9">
        <w:t xml:space="preserve"> for example</w:t>
      </w:r>
      <w:r w:rsidR="00C058A8">
        <w:t>,</w:t>
      </w:r>
      <w:r w:rsidR="009305F7" w:rsidRPr="00FF1CD9">
        <w:t xml:space="preserve"> the COAG National Partnership on Youth Attainment and Transitions</w:t>
      </w:r>
      <w:r w:rsidR="00FE1C5B">
        <w:t xml:space="preserve">, which ran from 2009 to </w:t>
      </w:r>
      <w:r w:rsidR="009305F7">
        <w:t>2013</w:t>
      </w:r>
      <w:r w:rsidR="009F74EA">
        <w:t>.</w:t>
      </w:r>
      <w:r w:rsidR="00FE1C5B">
        <w:t>)</w:t>
      </w:r>
      <w:r w:rsidR="00C412C4">
        <w:t xml:space="preserve"> Moreover,</w:t>
      </w:r>
      <w:r w:rsidR="009305F7">
        <w:t xml:space="preserve"> the more difficult labour market conditions that young people faced </w:t>
      </w:r>
      <w:r w:rsidR="00373F5B">
        <w:t>after</w:t>
      </w:r>
      <w:r w:rsidR="009305F7">
        <w:t xml:space="preserve"> the Global Financial Crisis in 2008 meant that many chose to stay in education rather than </w:t>
      </w:r>
      <w:r w:rsidR="00FE1C5B">
        <w:t>attempt to enter the labour market</w:t>
      </w:r>
      <w:r w:rsidR="009305F7">
        <w:t xml:space="preserve">. </w:t>
      </w:r>
      <w:r w:rsidR="00562D5F">
        <w:t xml:space="preserve">Industry demand for tertiary qualifications (VET and higher education) is expected to continue to increase at a minimum of 3% annually to </w:t>
      </w:r>
      <w:r w:rsidR="00562D5F" w:rsidRPr="00562D5F">
        <w:t>2025, with the demand for certificates III and IV between 3.1% and 4.5% (Australian Workplace Productivity Agency 2013;</w:t>
      </w:r>
      <w:r w:rsidR="00562D5F">
        <w:t xml:space="preserve"> Department of Prime Minister and Cabinet 2014).</w:t>
      </w:r>
    </w:p>
    <w:p w:rsidR="009305F7" w:rsidRPr="0044023B" w:rsidRDefault="009305F7" w:rsidP="009305F7">
      <w:pPr>
        <w:pStyle w:val="Text"/>
      </w:pPr>
      <w:r w:rsidRPr="00733E1A">
        <w:t xml:space="preserve">The figures </w:t>
      </w:r>
      <w:r w:rsidR="00FE1C5B" w:rsidRPr="00733E1A">
        <w:t xml:space="preserve">that follow </w:t>
      </w:r>
      <w:r w:rsidRPr="00733E1A">
        <w:t xml:space="preserve">focus on participation in the publicly funded VET sector, with figure </w:t>
      </w:r>
      <w:r w:rsidR="00F475E2" w:rsidRPr="00733E1A">
        <w:t>9</w:t>
      </w:r>
      <w:r w:rsidRPr="00733E1A">
        <w:t xml:space="preserve"> showing that there has been an overall increase in the number of students participating in publicly funded VET in the last 20 years or so</w:t>
      </w:r>
      <w:r w:rsidR="006445F6" w:rsidRPr="00733E1A">
        <w:t xml:space="preserve"> (until 20</w:t>
      </w:r>
      <w:r w:rsidR="00733E1A" w:rsidRPr="00733E1A">
        <w:t>12</w:t>
      </w:r>
      <w:r w:rsidR="006445F6" w:rsidRPr="00733E1A">
        <w:t>)</w:t>
      </w:r>
      <w:r w:rsidRPr="00733E1A">
        <w:t>.</w:t>
      </w:r>
      <w:r w:rsidRPr="0044023B">
        <w:t xml:space="preserve"> However, as </w:t>
      </w:r>
      <w:r w:rsidR="00441279">
        <w:t>noted</w:t>
      </w:r>
      <w:r w:rsidRPr="0044023B">
        <w:t>, if this</w:t>
      </w:r>
      <w:r w:rsidR="00FE1C5B">
        <w:t xml:space="preserve"> is examined in terms of the 15 to 64-year-</w:t>
      </w:r>
      <w:r w:rsidRPr="0044023B">
        <w:t>old population</w:t>
      </w:r>
      <w:r w:rsidR="00FE1C5B">
        <w:t>,</w:t>
      </w:r>
      <w:r w:rsidRPr="0044023B">
        <w:t xml:space="preserve"> the trend in participation has been flatter. Figure </w:t>
      </w:r>
      <w:r w:rsidR="00F475E2">
        <w:t>10</w:t>
      </w:r>
      <w:r w:rsidRPr="0044023B">
        <w:t xml:space="preserve"> shows that there have been increases and decreases in </w:t>
      </w:r>
      <w:r w:rsidR="00E03886">
        <w:t xml:space="preserve">the </w:t>
      </w:r>
      <w:r w:rsidRPr="0044023B">
        <w:t xml:space="preserve">rates at various periods since 1996. In particular, there was an increase between 1996 and 2000, a decrease </w:t>
      </w:r>
      <w:r w:rsidR="00FE1C5B">
        <w:t>between 2001 and</w:t>
      </w:r>
      <w:r w:rsidRPr="0044023B">
        <w:t xml:space="preserve"> 2004, </w:t>
      </w:r>
      <w:r w:rsidR="00FE1C5B">
        <w:t>with</w:t>
      </w:r>
      <w:r w:rsidRPr="0044023B">
        <w:t xml:space="preserve"> a ‘flat period’ until 2009. After 2009 the rate increased again until 2012</w:t>
      </w:r>
      <w:r w:rsidR="00FE1C5B">
        <w:t>,</w:t>
      </w:r>
      <w:r w:rsidRPr="0044023B">
        <w:t xml:space="preserve"> </w:t>
      </w:r>
      <w:r w:rsidR="00373F5B">
        <w:t xml:space="preserve">to be </w:t>
      </w:r>
      <w:r w:rsidRPr="0044023B">
        <w:t xml:space="preserve">followed </w:t>
      </w:r>
      <w:r w:rsidR="00FE1C5B">
        <w:t xml:space="preserve">by decreases </w:t>
      </w:r>
      <w:r w:rsidR="006445F6">
        <w:t>since then</w:t>
      </w:r>
      <w:r w:rsidR="00FE1C5B">
        <w:t>.</w:t>
      </w:r>
      <w:r w:rsidR="00562D5F">
        <w:t xml:space="preserve"> From the 1990s</w:t>
      </w:r>
      <w:r w:rsidR="00FE1C5B">
        <w:t xml:space="preserve"> </w:t>
      </w:r>
      <w:r w:rsidRPr="0044023B">
        <w:t xml:space="preserve">the general expansion of the VET system resulted in an increase in student </w:t>
      </w:r>
      <w:r w:rsidR="00441279">
        <w:t xml:space="preserve">participation </w:t>
      </w:r>
      <w:r w:rsidRPr="0044023B">
        <w:t>rates.</w:t>
      </w:r>
    </w:p>
    <w:p w:rsidR="0046269B" w:rsidRDefault="009305F7" w:rsidP="003B0A57">
      <w:pPr>
        <w:pStyle w:val="Text"/>
      </w:pPr>
      <w:r w:rsidRPr="0044023B">
        <w:t xml:space="preserve">While it is difficult to </w:t>
      </w:r>
      <w:r w:rsidR="00441279">
        <w:t>determine</w:t>
      </w:r>
      <w:r w:rsidRPr="0044023B">
        <w:t xml:space="preserve"> all </w:t>
      </w:r>
      <w:r w:rsidR="00FE1C5B">
        <w:t xml:space="preserve">of </w:t>
      </w:r>
      <w:r w:rsidRPr="0044023B">
        <w:t>the reasons for changes</w:t>
      </w:r>
      <w:r w:rsidR="00562D5F">
        <w:t xml:space="preserve"> in trends, since 2012</w:t>
      </w:r>
      <w:r w:rsidR="00B926C7">
        <w:t xml:space="preserve"> entitlement models, with subsequent changes, have been introduced in the </w:t>
      </w:r>
      <w:r w:rsidRPr="0044023B">
        <w:t xml:space="preserve">various states </w:t>
      </w:r>
      <w:r w:rsidRPr="0044023B">
        <w:lastRenderedPageBreak/>
        <w:t>and territories and more static funding of public VET.</w:t>
      </w:r>
      <w:r w:rsidR="005C022C">
        <w:t xml:space="preserve"> </w:t>
      </w:r>
      <w:r w:rsidRPr="0044023B">
        <w:t>It needs to be noted however that there are large numbers of students attending private VET providers.</w:t>
      </w:r>
      <w:r w:rsidR="005C022C">
        <w:t xml:space="preserve"> </w:t>
      </w:r>
      <w:r w:rsidRPr="0044023B">
        <w:t>We know from the first collection of TVA data that in 2014 close to 60% of students were with private providers</w:t>
      </w:r>
      <w:r w:rsidR="00FE1C5B">
        <w:t>;</w:t>
      </w:r>
      <w:r w:rsidRPr="0044023B">
        <w:t xml:space="preserve"> however</w:t>
      </w:r>
      <w:r w:rsidR="00FE1C5B">
        <w:t>,</w:t>
      </w:r>
      <w:r w:rsidRPr="0044023B">
        <w:t xml:space="preserve"> we do not have bac</w:t>
      </w:r>
      <w:r w:rsidR="00FE1C5B">
        <w:t>k-</w:t>
      </w:r>
      <w:r w:rsidRPr="0044023B">
        <w:t>cast time series data on this to identify whether there has been any shift between public and private provision of VET over time. ACIL Allen Consulting (2015</w:t>
      </w:r>
      <w:r w:rsidR="002509E1" w:rsidRPr="0044023B">
        <w:t>a</w:t>
      </w:r>
      <w:r w:rsidRPr="0044023B">
        <w:t>) note</w:t>
      </w:r>
      <w:r w:rsidR="00441279">
        <w:t>s</w:t>
      </w:r>
      <w:r w:rsidRPr="0044023B">
        <w:t xml:space="preserve"> that in Victoria the growth in the private market </w:t>
      </w:r>
      <w:r w:rsidR="00296119">
        <w:t>was</w:t>
      </w:r>
      <w:r w:rsidRPr="0044023B">
        <w:t xml:space="preserve"> not</w:t>
      </w:r>
      <w:r w:rsidR="00296119">
        <w:t xml:space="preserve"> nec</w:t>
      </w:r>
      <w:r w:rsidRPr="0044023B">
        <w:t>essarily a</w:t>
      </w:r>
      <w:r w:rsidR="00FE1C5B">
        <w:t>t the expense of TAFE from 2011 to</w:t>
      </w:r>
      <w:r w:rsidRPr="0044023B">
        <w:t xml:space="preserve"> 2013, although in 2014 it may have been.</w:t>
      </w:r>
      <w:r w:rsidR="005C022C">
        <w:t xml:space="preserve"> </w:t>
      </w:r>
      <w:r w:rsidRPr="0044023B">
        <w:t xml:space="preserve">An additional reason for the decrease in the rates of participation in VET is that there are more people going to university due to </w:t>
      </w:r>
      <w:r w:rsidR="00373F5B">
        <w:t xml:space="preserve">the uncapping of </w:t>
      </w:r>
      <w:r w:rsidRPr="0044023B">
        <w:t>university places.</w:t>
      </w:r>
      <w:r>
        <w:t xml:space="preserve"> </w:t>
      </w:r>
    </w:p>
    <w:p w:rsidR="00FF51BB" w:rsidRDefault="00FF51BB" w:rsidP="00FF51BB">
      <w:pPr>
        <w:pStyle w:val="Text"/>
      </w:pPr>
      <w:r w:rsidRPr="00F475E2">
        <w:t xml:space="preserve">From figure </w:t>
      </w:r>
      <w:r w:rsidR="00F475E2" w:rsidRPr="00F475E2">
        <w:t>10</w:t>
      </w:r>
      <w:r w:rsidRPr="00F475E2">
        <w:t xml:space="preserve"> it can also be</w:t>
      </w:r>
      <w:r>
        <w:t xml:space="preserve"> seen that over the period there has been, to various degrees, a greater rate of participation among males than females in publicly funded VET. </w:t>
      </w:r>
    </w:p>
    <w:p w:rsidR="009305F7" w:rsidRDefault="009305F7" w:rsidP="00296119">
      <w:pPr>
        <w:pStyle w:val="Figuretitle"/>
        <w:ind w:left="993" w:hanging="993"/>
      </w:pPr>
      <w:bookmarkStart w:id="59" w:name="_Toc455670394"/>
      <w:bookmarkStart w:id="60" w:name="_Toc457809792"/>
      <w:r w:rsidRPr="00F475E2">
        <w:t xml:space="preserve">Figure </w:t>
      </w:r>
      <w:r w:rsidR="00F475E2" w:rsidRPr="00F475E2">
        <w:t>9</w:t>
      </w:r>
      <w:r w:rsidR="00296119">
        <w:tab/>
      </w:r>
      <w:r w:rsidRPr="00F475E2">
        <w:t>Participation</w:t>
      </w:r>
      <w:r>
        <w:t xml:space="preserve"> in </w:t>
      </w:r>
      <w:r w:rsidR="00296119">
        <w:t>VET</w:t>
      </w:r>
      <w:r w:rsidR="00FE1C5B">
        <w:t xml:space="preserve"> (</w:t>
      </w:r>
      <w:r w:rsidR="00373F5B">
        <w:t>’</w:t>
      </w:r>
      <w:r w:rsidR="00FE1C5B">
        <w:t>000 students), 1996–</w:t>
      </w:r>
      <w:r>
        <w:t>201</w:t>
      </w:r>
      <w:r w:rsidR="007036C4">
        <w:t>5</w:t>
      </w:r>
      <w:bookmarkEnd w:id="59"/>
      <w:bookmarkEnd w:id="60"/>
    </w:p>
    <w:p w:rsidR="009305F7" w:rsidRDefault="007036C4" w:rsidP="00946BA3">
      <w:pPr>
        <w:pStyle w:val="Tabletext"/>
      </w:pPr>
      <w:r>
        <w:rPr>
          <w:noProof/>
          <w:lang w:eastAsia="en-AU"/>
        </w:rPr>
        <w:drawing>
          <wp:inline distT="0" distB="0" distL="0" distR="0" wp14:anchorId="48450971" wp14:editId="1B87FE8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305F7" w:rsidRDefault="009305F7" w:rsidP="005D731C">
      <w:pPr>
        <w:pStyle w:val="Source"/>
      </w:pPr>
      <w:r w:rsidRPr="0021370E">
        <w:t>Source:</w:t>
      </w:r>
      <w:r>
        <w:t xml:space="preserve"> NCVER Historical time serie</w:t>
      </w:r>
      <w:r w:rsidR="00EC30F3">
        <w:t>s of government-funded VET 1996–</w:t>
      </w:r>
      <w:r w:rsidR="007036C4">
        <w:t>2015</w:t>
      </w:r>
      <w:r w:rsidR="00EC30F3">
        <w:t>.</w:t>
      </w:r>
    </w:p>
    <w:p w:rsidR="009305F7" w:rsidRDefault="00B32F0D" w:rsidP="00296119">
      <w:pPr>
        <w:pStyle w:val="Figuretitle"/>
        <w:ind w:left="993" w:hanging="993"/>
      </w:pPr>
      <w:bookmarkStart w:id="61" w:name="_Toc455670396"/>
      <w:bookmarkStart w:id="62" w:name="_Toc457809793"/>
      <w:r w:rsidRPr="00F475E2">
        <w:t xml:space="preserve">Figure </w:t>
      </w:r>
      <w:r w:rsidR="00F475E2" w:rsidRPr="00F475E2">
        <w:t>10</w:t>
      </w:r>
      <w:r w:rsidR="00296119">
        <w:tab/>
      </w:r>
      <w:r w:rsidR="009305F7" w:rsidRPr="00F475E2">
        <w:t>Rates of</w:t>
      </w:r>
      <w:r w:rsidR="009305F7">
        <w:t xml:space="preserve"> participation in </w:t>
      </w:r>
      <w:r w:rsidR="00296119">
        <w:t>VET</w:t>
      </w:r>
      <w:r w:rsidR="00FE1C5B">
        <w:t>, 1996–</w:t>
      </w:r>
      <w:r w:rsidR="009305F7">
        <w:t>201</w:t>
      </w:r>
      <w:r w:rsidR="00A70795">
        <w:t>5</w:t>
      </w:r>
      <w:r w:rsidR="0046269B">
        <w:t xml:space="preserve"> (%)</w:t>
      </w:r>
      <w:bookmarkEnd w:id="61"/>
      <w:bookmarkEnd w:id="62"/>
    </w:p>
    <w:p w:rsidR="009305F7" w:rsidRDefault="00A70795" w:rsidP="00946BA3">
      <w:pPr>
        <w:pStyle w:val="Tabletext"/>
      </w:pPr>
      <w:r>
        <w:rPr>
          <w:noProof/>
          <w:lang w:eastAsia="en-AU"/>
        </w:rPr>
        <w:drawing>
          <wp:inline distT="0" distB="0" distL="0" distR="0" wp14:anchorId="4B3C7003" wp14:editId="68A1FD4D">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C30F3" w:rsidRDefault="00EC30F3" w:rsidP="005D731C">
      <w:pPr>
        <w:pStyle w:val="Source"/>
      </w:pPr>
      <w:r>
        <w:t xml:space="preserve">Note: </w:t>
      </w:r>
      <w:r w:rsidR="00D26FBA">
        <w:tab/>
      </w:r>
      <w:r>
        <w:t>The rate is expressed as students as a proportion of the 15 to 64-year-old population.</w:t>
      </w:r>
    </w:p>
    <w:p w:rsidR="00F475E2" w:rsidRDefault="009305F7" w:rsidP="003B0A57">
      <w:pPr>
        <w:pStyle w:val="Source"/>
      </w:pPr>
      <w:r>
        <w:t xml:space="preserve">Source: </w:t>
      </w:r>
      <w:r w:rsidR="00D26FBA">
        <w:tab/>
      </w:r>
      <w:r>
        <w:t>NCVER Historical time serie</w:t>
      </w:r>
      <w:r w:rsidR="00EC30F3">
        <w:t>s of</w:t>
      </w:r>
      <w:r w:rsidR="00A70795">
        <w:t xml:space="preserve"> government-funded VET 1996–2015</w:t>
      </w:r>
      <w:r w:rsidR="00EC30F3">
        <w:t>;</w:t>
      </w:r>
      <w:r>
        <w:t xml:space="preserve"> ABS </w:t>
      </w:r>
      <w:r w:rsidR="00EC30F3">
        <w:t>demographic statistics, cat.no.</w:t>
      </w:r>
      <w:r>
        <w:t>3101.0, Sept</w:t>
      </w:r>
      <w:r w:rsidR="00EC30F3">
        <w:t>ember</w:t>
      </w:r>
      <w:r>
        <w:t xml:space="preserve"> 2015</w:t>
      </w:r>
      <w:r w:rsidR="00EC30F3">
        <w:t>.</w:t>
      </w:r>
    </w:p>
    <w:p w:rsidR="009305F7" w:rsidRDefault="00405ABA" w:rsidP="009305F7">
      <w:pPr>
        <w:pStyle w:val="Text"/>
      </w:pPr>
      <w:r w:rsidRPr="00F475E2">
        <w:lastRenderedPageBreak/>
        <w:t xml:space="preserve">Figure </w:t>
      </w:r>
      <w:r w:rsidR="00F475E2" w:rsidRPr="00F475E2">
        <w:t>11</w:t>
      </w:r>
      <w:r w:rsidR="009305F7" w:rsidRPr="00F475E2">
        <w:t xml:space="preserve"> shows </w:t>
      </w:r>
      <w:r w:rsidR="007B7D23" w:rsidRPr="00F475E2">
        <w:t>the</w:t>
      </w:r>
      <w:r w:rsidR="007B7D23">
        <w:t xml:space="preserve"> </w:t>
      </w:r>
      <w:r w:rsidR="009305F7">
        <w:t>numbers of students by qualification level</w:t>
      </w:r>
      <w:r w:rsidR="007B7D23">
        <w:t>, divided into lower-</w:t>
      </w:r>
      <w:r w:rsidR="009305F7">
        <w:t>level</w:t>
      </w:r>
      <w:r w:rsidR="007B7D23">
        <w:t xml:space="preserve"> (certificates I/II) and higher-</w:t>
      </w:r>
      <w:r w:rsidR="009305F7">
        <w:t>level (certificate III and above) qualifications</w:t>
      </w:r>
      <w:r w:rsidR="007B7D23">
        <w:t>.</w:t>
      </w:r>
      <w:r w:rsidR="009305F7" w:rsidRPr="00631679">
        <w:rPr>
          <w:rStyle w:val="FootnoteReference"/>
        </w:rPr>
        <w:footnoteReference w:id="5"/>
      </w:r>
      <w:r w:rsidR="009305F7" w:rsidRPr="00631679">
        <w:t xml:space="preserve"> T</w:t>
      </w:r>
      <w:r w:rsidR="009305F7">
        <w:t xml:space="preserve">he main policy emphasis since </w:t>
      </w:r>
      <w:r w:rsidR="00441279">
        <w:t xml:space="preserve">the </w:t>
      </w:r>
      <w:r w:rsidR="009305F7">
        <w:t xml:space="preserve">late 2000s has been on </w:t>
      </w:r>
      <w:r w:rsidR="007B7D23">
        <w:t>increasing participation in higher-</w:t>
      </w:r>
      <w:r w:rsidR="009305F7">
        <w:t xml:space="preserve">level VET qualifications </w:t>
      </w:r>
      <w:r w:rsidR="009305F7" w:rsidRPr="0044023B">
        <w:t>and</w:t>
      </w:r>
      <w:r w:rsidR="00296119">
        <w:t xml:space="preserve"> providing</w:t>
      </w:r>
      <w:r w:rsidR="009305F7" w:rsidRPr="0044023B">
        <w:t xml:space="preserve"> lower levels of funding for certificate I/II qualifications.</w:t>
      </w:r>
      <w:r w:rsidR="007B7D23">
        <w:t xml:space="preserve"> </w:t>
      </w:r>
      <w:r w:rsidR="009305F7">
        <w:t>Examples of the</w:t>
      </w:r>
      <w:r w:rsidR="00E45BF2">
        <w:t xml:space="preserve"> former</w:t>
      </w:r>
      <w:r w:rsidR="009305F7">
        <w:t xml:space="preserve"> include the targets in the COAG National Agreement for Skills and Workforce Development for the proportions of Australians with certificate III and above qualifications and also for doubling the number of diploma/advanced diploma completions. Another example is VET </w:t>
      </w:r>
      <w:r w:rsidR="007B7D23">
        <w:t>FEE-</w:t>
      </w:r>
      <w:r w:rsidR="009305F7">
        <w:t>HELP</w:t>
      </w:r>
      <w:r w:rsidR="007B7D23">
        <w:t>,</w:t>
      </w:r>
      <w:r w:rsidR="009305F7">
        <w:t xml:space="preserve"> which is aimed at diploma/advanced diploma level courses.</w:t>
      </w:r>
    </w:p>
    <w:p w:rsidR="0046269B" w:rsidRDefault="009305F7" w:rsidP="00B84465">
      <w:pPr>
        <w:pStyle w:val="Text"/>
        <w:rPr>
          <w:rFonts w:ascii="Tahoma" w:hAnsi="Tahoma"/>
          <w:b/>
          <w:sz w:val="17"/>
        </w:rPr>
      </w:pPr>
      <w:r>
        <w:t xml:space="preserve">It is quite clear from figure </w:t>
      </w:r>
      <w:r w:rsidR="002E1540">
        <w:t xml:space="preserve">11 </w:t>
      </w:r>
      <w:r>
        <w:t xml:space="preserve">that increases in participation rates have occurred at the certificate III level and </w:t>
      </w:r>
      <w:r w:rsidR="007B7D23">
        <w:t>higher</w:t>
      </w:r>
      <w:r w:rsidR="003B0A57">
        <w:t xml:space="preserve"> (until 2012)</w:t>
      </w:r>
      <w:r w:rsidR="007B7D23">
        <w:t>, with the rate for lower-</w:t>
      </w:r>
      <w:r>
        <w:t xml:space="preserve">level certificates declining slightly </w:t>
      </w:r>
      <w:r w:rsidR="00F70412">
        <w:t>since the mid-2000s</w:t>
      </w:r>
      <w:r w:rsidR="00E45BF2">
        <w:t xml:space="preserve"> and a continuous decline in non-</w:t>
      </w:r>
      <w:r w:rsidR="003B0A57">
        <w:t>AQF qualifications</w:t>
      </w:r>
      <w:r>
        <w:t xml:space="preserve">. </w:t>
      </w:r>
    </w:p>
    <w:p w:rsidR="009305F7" w:rsidRDefault="00B32F0D" w:rsidP="00296119">
      <w:pPr>
        <w:pStyle w:val="Figuretitle"/>
        <w:ind w:left="993" w:hanging="993"/>
      </w:pPr>
      <w:bookmarkStart w:id="63" w:name="_Toc455670398"/>
      <w:bookmarkStart w:id="64" w:name="_Toc457809794"/>
      <w:r w:rsidRPr="00F475E2">
        <w:t xml:space="preserve">Figure </w:t>
      </w:r>
      <w:r w:rsidR="00F475E2" w:rsidRPr="00F475E2">
        <w:t>11</w:t>
      </w:r>
      <w:r w:rsidR="00296119">
        <w:tab/>
      </w:r>
      <w:r w:rsidR="009305F7" w:rsidRPr="00F475E2">
        <w:t>Rates</w:t>
      </w:r>
      <w:r w:rsidR="009305F7">
        <w:t xml:space="preserve"> of participation in VET</w:t>
      </w:r>
      <w:r w:rsidR="00CE25C1">
        <w:t xml:space="preserve"> by qualification level, 1996</w:t>
      </w:r>
      <w:r w:rsidR="007B7D23">
        <w:t>–</w:t>
      </w:r>
      <w:r w:rsidR="00CE25C1">
        <w:t>2015</w:t>
      </w:r>
      <w:r w:rsidR="009305F7">
        <w:t xml:space="preserve"> </w:t>
      </w:r>
      <w:r w:rsidR="0046269B">
        <w:t>(%)</w:t>
      </w:r>
      <w:bookmarkEnd w:id="63"/>
      <w:bookmarkEnd w:id="64"/>
    </w:p>
    <w:p w:rsidR="009305F7" w:rsidRPr="00BC5A60" w:rsidRDefault="00CE25C1" w:rsidP="00946BA3">
      <w:pPr>
        <w:pStyle w:val="Tabletext"/>
      </w:pPr>
      <w:r>
        <w:rPr>
          <w:noProof/>
          <w:lang w:eastAsia="en-AU"/>
        </w:rPr>
        <w:drawing>
          <wp:inline distT="0" distB="0" distL="0" distR="0" wp14:anchorId="297F677D" wp14:editId="17B1EB32">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B7D23" w:rsidRDefault="007B7D23" w:rsidP="005D731C">
      <w:pPr>
        <w:pStyle w:val="Source"/>
      </w:pPr>
      <w:r>
        <w:t xml:space="preserve">Notes: </w:t>
      </w:r>
      <w:r w:rsidR="00D26FBA">
        <w:tab/>
      </w:r>
      <w:r>
        <w:t>The rate is expressed as stu</w:t>
      </w:r>
      <w:r w:rsidR="00441279">
        <w:t>dents as a proportion of the 15 to 64-year-</w:t>
      </w:r>
      <w:r>
        <w:t>old population</w:t>
      </w:r>
      <w:r w:rsidR="005D731C">
        <w:t>.</w:t>
      </w:r>
    </w:p>
    <w:p w:rsidR="009305F7" w:rsidRDefault="009305F7" w:rsidP="005D731C">
      <w:pPr>
        <w:pStyle w:val="Source"/>
      </w:pPr>
      <w:r w:rsidRPr="0021370E">
        <w:t>Source:</w:t>
      </w:r>
      <w:r>
        <w:t xml:space="preserve"> </w:t>
      </w:r>
      <w:r w:rsidR="00D26FBA">
        <w:tab/>
      </w:r>
      <w:r w:rsidR="00595FD9">
        <w:t>NCVER</w:t>
      </w:r>
      <w:r w:rsidR="00595FD9" w:rsidRPr="0021370E">
        <w:t xml:space="preserve"> Historical time series of government-funded VET</w:t>
      </w:r>
      <w:r w:rsidR="00595FD9">
        <w:t xml:space="preserve"> 1996–2015</w:t>
      </w:r>
      <w:r w:rsidR="007B7D23">
        <w:t>;</w:t>
      </w:r>
      <w:r w:rsidR="00D64023">
        <w:t xml:space="preserve"> ABS Demographic s</w:t>
      </w:r>
      <w:r w:rsidR="00441279">
        <w:t>tatistics, cat.no.</w:t>
      </w:r>
      <w:r>
        <w:t>3101.0, Sept</w:t>
      </w:r>
      <w:r w:rsidR="00441279">
        <w:t>ember</w:t>
      </w:r>
      <w:r>
        <w:t xml:space="preserve"> 2015</w:t>
      </w:r>
      <w:r w:rsidR="00D64023">
        <w:t>.</w:t>
      </w:r>
    </w:p>
    <w:p w:rsidR="009305F7" w:rsidRDefault="009305F7" w:rsidP="00C97916">
      <w:pPr>
        <w:pStyle w:val="Text"/>
        <w:rPr>
          <w:rFonts w:ascii="Tahoma" w:hAnsi="Tahoma"/>
          <w:b/>
          <w:sz w:val="17"/>
        </w:rPr>
      </w:pPr>
      <w:r>
        <w:t>V</w:t>
      </w:r>
      <w:r w:rsidR="00D64023">
        <w:t xml:space="preserve">ocational education and training </w:t>
      </w:r>
      <w:r>
        <w:t>plays a significant role as a pathway to employment for young people</w:t>
      </w:r>
      <w:r w:rsidR="00441279">
        <w:t>,</w:t>
      </w:r>
      <w:r>
        <w:t xml:space="preserve"> as well as </w:t>
      </w:r>
      <w:r w:rsidR="00373F5B">
        <w:t xml:space="preserve">in </w:t>
      </w:r>
      <w:r>
        <w:t>skilling and reskilling for all age groups. For example, VET has a definite role to play in reskilling workers in the</w:t>
      </w:r>
      <w:r w:rsidR="00D64023">
        <w:t xml:space="preserve"> declining manufacturing sector</w:t>
      </w:r>
      <w:r>
        <w:t xml:space="preserve"> and particularly at the moment with the closure of the car </w:t>
      </w:r>
      <w:r w:rsidR="00A9427A">
        <w:t xml:space="preserve">manufacturing </w:t>
      </w:r>
      <w:r>
        <w:t>industry. However, many of the policies are specifically aimed at young people (such as the prior COAG National Partnership on Youth Attainment and Transitions</w:t>
      </w:r>
      <w:r w:rsidRPr="00F475E2">
        <w:t>).</w:t>
      </w:r>
      <w:r w:rsidR="005C022C" w:rsidRPr="00F475E2">
        <w:t xml:space="preserve"> </w:t>
      </w:r>
      <w:r w:rsidRPr="00F475E2">
        <w:t xml:space="preserve">Figure </w:t>
      </w:r>
      <w:r w:rsidR="00F475E2" w:rsidRPr="00F475E2">
        <w:t>12</w:t>
      </w:r>
      <w:r w:rsidRPr="00F475E2">
        <w:t xml:space="preserve"> therefore</w:t>
      </w:r>
      <w:r>
        <w:t xml:space="preserve"> examines </w:t>
      </w:r>
      <w:r w:rsidR="00D64023">
        <w:t xml:space="preserve">the </w:t>
      </w:r>
      <w:r>
        <w:t xml:space="preserve">rates of participation in </w:t>
      </w:r>
      <w:r w:rsidR="00D64023">
        <w:t>vocational education</w:t>
      </w:r>
      <w:r>
        <w:t xml:space="preserve"> by younger students</w:t>
      </w:r>
      <w:r w:rsidR="009F74EA">
        <w:t xml:space="preserve"> (that is, </w:t>
      </w:r>
      <w:r w:rsidR="00E45BF2">
        <w:t>those</w:t>
      </w:r>
      <w:r>
        <w:t xml:space="preserve"> </w:t>
      </w:r>
      <w:r w:rsidR="009F74EA">
        <w:t xml:space="preserve">at labour market entrant age, </w:t>
      </w:r>
      <w:r>
        <w:t xml:space="preserve">aged 24 </w:t>
      </w:r>
      <w:r w:rsidR="00D64023">
        <w:t xml:space="preserve">years </w:t>
      </w:r>
      <w:r>
        <w:t>and under)</w:t>
      </w:r>
      <w:r w:rsidR="00E45BF2">
        <w:t>,</w:t>
      </w:r>
      <w:r>
        <w:t xml:space="preserve"> and those aged 25 </w:t>
      </w:r>
      <w:r w:rsidR="00D64023">
        <w:t xml:space="preserve">years </w:t>
      </w:r>
      <w:r>
        <w:t xml:space="preserve">and over. </w:t>
      </w:r>
      <w:r>
        <w:br w:type="page"/>
      </w:r>
    </w:p>
    <w:p w:rsidR="009305F7" w:rsidRDefault="00B32F0D" w:rsidP="00296119">
      <w:pPr>
        <w:pStyle w:val="Figuretitle"/>
        <w:ind w:left="993" w:hanging="993"/>
      </w:pPr>
      <w:bookmarkStart w:id="65" w:name="_Toc455670400"/>
      <w:bookmarkStart w:id="66" w:name="_Toc457809795"/>
      <w:r w:rsidRPr="00F475E2">
        <w:lastRenderedPageBreak/>
        <w:t xml:space="preserve">Figure </w:t>
      </w:r>
      <w:r w:rsidR="00F475E2" w:rsidRPr="00F475E2">
        <w:t>12</w:t>
      </w:r>
      <w:r w:rsidR="00296119">
        <w:tab/>
      </w:r>
      <w:r w:rsidR="009305F7" w:rsidRPr="00F475E2">
        <w:t>Rates of</w:t>
      </w:r>
      <w:r w:rsidR="009305F7">
        <w:t xml:space="preserve"> par</w:t>
      </w:r>
      <w:r w:rsidR="00D64023">
        <w:t>ticipation in VET by age, 1996–</w:t>
      </w:r>
      <w:r w:rsidR="009305F7">
        <w:t>201</w:t>
      </w:r>
      <w:r w:rsidR="00595FD9">
        <w:t>5</w:t>
      </w:r>
      <w:r w:rsidR="0046269B">
        <w:t xml:space="preserve"> (%)</w:t>
      </w:r>
      <w:bookmarkEnd w:id="65"/>
      <w:bookmarkEnd w:id="66"/>
    </w:p>
    <w:p w:rsidR="009305F7" w:rsidRDefault="00112D05" w:rsidP="00946BA3">
      <w:pPr>
        <w:pStyle w:val="Tabletext"/>
      </w:pPr>
      <w:r>
        <w:rPr>
          <w:noProof/>
          <w:lang w:eastAsia="en-AU"/>
        </w:rPr>
        <w:drawing>
          <wp:inline distT="0" distB="0" distL="0" distR="0" wp14:anchorId="1F98AD44" wp14:editId="3F3BC3D9">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64023" w:rsidRDefault="00D64023" w:rsidP="005D731C">
      <w:pPr>
        <w:pStyle w:val="Source"/>
      </w:pPr>
      <w:r>
        <w:t xml:space="preserve">Note: </w:t>
      </w:r>
      <w:r w:rsidR="00D26FBA">
        <w:tab/>
      </w:r>
      <w:r>
        <w:t>The rate is expressed as stu</w:t>
      </w:r>
      <w:r w:rsidR="00441279">
        <w:t>dents as a proportion of the 15 to 64-year-</w:t>
      </w:r>
      <w:r>
        <w:t>old population</w:t>
      </w:r>
      <w:r w:rsidR="00373F5B">
        <w:t>.</w:t>
      </w:r>
    </w:p>
    <w:p w:rsidR="009305F7" w:rsidRDefault="009305F7" w:rsidP="005D731C">
      <w:pPr>
        <w:pStyle w:val="Source"/>
      </w:pPr>
      <w:r>
        <w:t xml:space="preserve">Source: </w:t>
      </w:r>
      <w:r w:rsidR="00D26FBA">
        <w:tab/>
      </w:r>
      <w:r>
        <w:t>NCVER</w:t>
      </w:r>
      <w:r w:rsidRPr="0021370E">
        <w:t xml:space="preserve"> Historical time series of government-funded VET</w:t>
      </w:r>
      <w:r w:rsidR="00D64023">
        <w:t xml:space="preserve"> 1996–201</w:t>
      </w:r>
      <w:r w:rsidR="00595FD9">
        <w:t>5</w:t>
      </w:r>
      <w:r w:rsidR="00D64023">
        <w:t>; ABS Demographic s</w:t>
      </w:r>
      <w:r w:rsidR="00441279">
        <w:t>tatistics, cat.no.</w:t>
      </w:r>
      <w:r>
        <w:t>3101.0, Sept</w:t>
      </w:r>
      <w:r w:rsidR="00441279">
        <w:t>ember</w:t>
      </w:r>
      <w:r>
        <w:t xml:space="preserve"> 2015</w:t>
      </w:r>
      <w:r w:rsidR="00441279">
        <w:t>.</w:t>
      </w:r>
    </w:p>
    <w:p w:rsidR="009305F7" w:rsidRDefault="009305F7" w:rsidP="009305F7">
      <w:pPr>
        <w:pStyle w:val="Source"/>
      </w:pPr>
    </w:p>
    <w:p w:rsidR="00B855CB" w:rsidRPr="00B855CB" w:rsidRDefault="00B855CB" w:rsidP="009305F7">
      <w:pPr>
        <w:pStyle w:val="Text"/>
        <w:rPr>
          <w:highlight w:val="yellow"/>
        </w:rPr>
      </w:pPr>
      <w:r>
        <w:t>It is worth noting that students aged 24 years and under form a substantial proportion of all students (4</w:t>
      </w:r>
      <w:r w:rsidR="00F70412">
        <w:t>3</w:t>
      </w:r>
      <w:r>
        <w:t>% of all students in the public VET system), demonstrating that younger people participate in VET at higher rates than those over the age of 25 years. But, interestingly, the rate of decline in st</w:t>
      </w:r>
      <w:r w:rsidR="00296119">
        <w:t>udent numbers</w:t>
      </w:r>
      <w:r>
        <w:t xml:space="preserve"> since 2012 is more pronounced among 15 to 24-year-olds. The reasons for this are not entirely straightforward but likely </w:t>
      </w:r>
      <w:r w:rsidRPr="002D67AA">
        <w:t>include</w:t>
      </w:r>
      <w:r>
        <w:t>:</w:t>
      </w:r>
      <w:r w:rsidRPr="002D67AA">
        <w:t xml:space="preserve"> the effects of the labour market </w:t>
      </w:r>
      <w:r>
        <w:t>on apprenticeship commencements;</w:t>
      </w:r>
      <w:r w:rsidRPr="002D67AA">
        <w:t xml:space="preserve"> the effect of the youth</w:t>
      </w:r>
      <w:r>
        <w:t xml:space="preserve"> compact in terms of increased Year 12 completions for 15 to 19-year-olds; increased rates of participation in higher education;</w:t>
      </w:r>
      <w:r w:rsidRPr="002D67AA">
        <w:t xml:space="preserve"> and the effects of the entitlement models</w:t>
      </w:r>
      <w:r>
        <w:t>.</w:t>
      </w:r>
      <w:r w:rsidRPr="00911565" w:rsidDel="00911565">
        <w:rPr>
          <w:highlight w:val="yellow"/>
        </w:rPr>
        <w:t xml:space="preserve"> </w:t>
      </w:r>
    </w:p>
    <w:p w:rsidR="00D26FBA" w:rsidRDefault="00487C98" w:rsidP="009305F7">
      <w:pPr>
        <w:pStyle w:val="Text"/>
      </w:pPr>
      <w:r>
        <w:t>Because of VET’s vocational nature and consequent links to the labour market, it is of interest to examine trends in participation by attendance mode (</w:t>
      </w:r>
      <w:r w:rsidR="00E03886">
        <w:t>that is,</w:t>
      </w:r>
      <w:r>
        <w:t xml:space="preserve"> full-time or part-time mode</w:t>
      </w:r>
      <w:r w:rsidRPr="00F475E2">
        <w:t xml:space="preserve">). Figure </w:t>
      </w:r>
      <w:r w:rsidR="00F475E2" w:rsidRPr="00F475E2">
        <w:t>13</w:t>
      </w:r>
      <w:r w:rsidRPr="00F475E2">
        <w:t xml:space="preserve"> shows</w:t>
      </w:r>
      <w:r>
        <w:t xml:space="preserve"> that the large majority of publicly funded VET students have attended part-time over the period in question</w:t>
      </w:r>
      <w:r w:rsidR="00AC76A9">
        <w:t>,</w:t>
      </w:r>
      <w:r w:rsidR="00AD5ADB">
        <w:t xml:space="preserve"> although </w:t>
      </w:r>
      <w:r w:rsidR="00E45BF2">
        <w:t>this</w:t>
      </w:r>
      <w:r w:rsidR="00AD5ADB">
        <w:t xml:space="preserve"> has decreased over the years</w:t>
      </w:r>
      <w:r>
        <w:t xml:space="preserve"> probably because </w:t>
      </w:r>
      <w:r w:rsidR="00AD5ADB">
        <w:t xml:space="preserve">a significant proportion of them </w:t>
      </w:r>
      <w:r>
        <w:t>are in some kind of employment arrangement</w:t>
      </w:r>
      <w:r w:rsidR="00AD5ADB">
        <w:t xml:space="preserve">. There would </w:t>
      </w:r>
      <w:r w:rsidR="00E03886">
        <w:t xml:space="preserve">however </w:t>
      </w:r>
      <w:r w:rsidR="00AD5ADB">
        <w:t xml:space="preserve">be </w:t>
      </w:r>
      <w:proofErr w:type="gramStart"/>
      <w:r w:rsidR="00AD5ADB">
        <w:t>a pro</w:t>
      </w:r>
      <w:r w:rsidR="00E03886">
        <w:t xml:space="preserve">portion </w:t>
      </w:r>
      <w:r w:rsidR="0011044F">
        <w:t>who</w:t>
      </w:r>
      <w:r w:rsidR="00E03886">
        <w:t xml:space="preserve"> are</w:t>
      </w:r>
      <w:proofErr w:type="gramEnd"/>
      <w:r w:rsidR="00E03886">
        <w:t xml:space="preserve"> attending part-</w:t>
      </w:r>
      <w:r w:rsidR="00AD5ADB">
        <w:t>time for other reasons.</w:t>
      </w:r>
      <w:r w:rsidR="00597397">
        <w:t xml:space="preserve"> </w:t>
      </w:r>
    </w:p>
    <w:p w:rsidR="00D26FBA" w:rsidRDefault="00D26FBA">
      <w:pPr>
        <w:spacing w:before="0" w:line="240" w:lineRule="auto"/>
      </w:pPr>
      <w:r>
        <w:br w:type="page"/>
      </w:r>
    </w:p>
    <w:p w:rsidR="00B855CB" w:rsidRDefault="00B32F0D" w:rsidP="00296119">
      <w:pPr>
        <w:pStyle w:val="Figuretitle"/>
        <w:ind w:left="993" w:hanging="993"/>
      </w:pPr>
      <w:bookmarkStart w:id="67" w:name="_Toc457809796"/>
      <w:r w:rsidRPr="00AC76A9">
        <w:lastRenderedPageBreak/>
        <w:t xml:space="preserve">Figure </w:t>
      </w:r>
      <w:r w:rsidR="00AC76A9" w:rsidRPr="00AC76A9">
        <w:t>13</w:t>
      </w:r>
      <w:r w:rsidR="00296119">
        <w:tab/>
      </w:r>
      <w:r w:rsidR="00B855CB" w:rsidRPr="00AC76A9">
        <w:t>Percentage</w:t>
      </w:r>
      <w:r w:rsidR="00B855CB">
        <w:t xml:space="preserve"> of part-time participation in VET, 1996–2015 (%)</w:t>
      </w:r>
      <w:bookmarkEnd w:id="67"/>
    </w:p>
    <w:p w:rsidR="00B855CB" w:rsidRDefault="00B855CB" w:rsidP="00946BA3">
      <w:pPr>
        <w:pStyle w:val="Tabletext"/>
      </w:pPr>
      <w:r>
        <w:rPr>
          <w:noProof/>
          <w:lang w:eastAsia="en-AU"/>
        </w:rPr>
        <w:drawing>
          <wp:anchor distT="0" distB="0" distL="114300" distR="114300" simplePos="0" relativeHeight="252002304" behindDoc="0" locked="0" layoutInCell="1" allowOverlap="1" wp14:anchorId="72D533DF" wp14:editId="7833DC42">
            <wp:simplePos x="0" y="0"/>
            <wp:positionH relativeFrom="column">
              <wp:posOffset>61595</wp:posOffset>
            </wp:positionH>
            <wp:positionV relativeFrom="paragraph">
              <wp:posOffset>11885</wp:posOffset>
            </wp:positionV>
            <wp:extent cx="4572000" cy="2743200"/>
            <wp:effectExtent l="0" t="0" r="0" b="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B855CB" w:rsidRDefault="00B855CB" w:rsidP="009305F7">
      <w:pPr>
        <w:pStyle w:val="Text"/>
      </w:pPr>
    </w:p>
    <w:p w:rsidR="00B855CB" w:rsidRDefault="00B855CB" w:rsidP="009305F7">
      <w:pPr>
        <w:pStyle w:val="Text"/>
      </w:pPr>
    </w:p>
    <w:p w:rsidR="00B855CB" w:rsidRDefault="00B855CB" w:rsidP="009305F7">
      <w:pPr>
        <w:pStyle w:val="Text"/>
      </w:pPr>
    </w:p>
    <w:p w:rsidR="00B855CB" w:rsidRDefault="00B855CB" w:rsidP="009305F7">
      <w:pPr>
        <w:pStyle w:val="Text"/>
      </w:pPr>
    </w:p>
    <w:p w:rsidR="00B855CB" w:rsidRDefault="00B855CB" w:rsidP="009305F7">
      <w:pPr>
        <w:pStyle w:val="Text"/>
      </w:pPr>
    </w:p>
    <w:p w:rsidR="00B855CB" w:rsidRDefault="00B855CB" w:rsidP="009305F7">
      <w:pPr>
        <w:pStyle w:val="Text"/>
      </w:pPr>
    </w:p>
    <w:p w:rsidR="00B855CB" w:rsidRDefault="00B855CB" w:rsidP="009305F7">
      <w:pPr>
        <w:pStyle w:val="Text"/>
      </w:pPr>
    </w:p>
    <w:p w:rsidR="00B855CB" w:rsidRDefault="00B855CB" w:rsidP="009305F7">
      <w:pPr>
        <w:pStyle w:val="Text"/>
      </w:pPr>
    </w:p>
    <w:p w:rsidR="00D26FBA" w:rsidRDefault="00D26FBA" w:rsidP="00B855CB">
      <w:pPr>
        <w:pStyle w:val="Source"/>
      </w:pPr>
    </w:p>
    <w:p w:rsidR="00D26FBA" w:rsidRDefault="00D26FBA" w:rsidP="00B855CB">
      <w:pPr>
        <w:pStyle w:val="Source"/>
      </w:pPr>
    </w:p>
    <w:p w:rsidR="00B855CB" w:rsidRDefault="00B855CB" w:rsidP="00B855CB">
      <w:pPr>
        <w:pStyle w:val="Source"/>
      </w:pPr>
      <w:r w:rsidRPr="0021370E">
        <w:t>Source:</w:t>
      </w:r>
      <w:r>
        <w:t xml:space="preserve"> NCVER</w:t>
      </w:r>
      <w:r w:rsidRPr="0021370E">
        <w:t xml:space="preserve"> Historical time series of government-funded VET</w:t>
      </w:r>
      <w:r>
        <w:t xml:space="preserve"> 1996–2015</w:t>
      </w:r>
      <w:r w:rsidR="00E03886">
        <w:t>.</w:t>
      </w:r>
    </w:p>
    <w:p w:rsidR="009305F7" w:rsidRDefault="009305F7" w:rsidP="009305F7">
      <w:pPr>
        <w:pStyle w:val="Text"/>
      </w:pPr>
      <w:r w:rsidRPr="00FC1D32">
        <w:t xml:space="preserve">One of the roles of </w:t>
      </w:r>
      <w:r w:rsidR="00D64023">
        <w:t>vocational education</w:t>
      </w:r>
      <w:r w:rsidR="00FF5C1B" w:rsidRPr="00FC1D32">
        <w:t xml:space="preserve"> is</w:t>
      </w:r>
      <w:r w:rsidRPr="00FC1D32">
        <w:t xml:space="preserve"> </w:t>
      </w:r>
      <w:r w:rsidR="00D64023">
        <w:t>to facilitate social inclusion</w:t>
      </w:r>
      <w:r w:rsidR="00441279">
        <w:t>,</w:t>
      </w:r>
      <w:r w:rsidR="00D64023">
        <w:t xml:space="preserve"> such</w:t>
      </w:r>
      <w:r w:rsidRPr="00FC1D32">
        <w:t xml:space="preserve"> that all people can access the </w:t>
      </w:r>
      <w:r w:rsidR="00D64023">
        <w:t xml:space="preserve">education </w:t>
      </w:r>
      <w:r w:rsidR="00E03886">
        <w:t>system. P</w:t>
      </w:r>
      <w:r w:rsidRPr="00FC1D32">
        <w:t xml:space="preserve">articular equity groups are often </w:t>
      </w:r>
      <w:r w:rsidR="00441279">
        <w:t>monitored</w:t>
      </w:r>
      <w:r w:rsidR="000929A6">
        <w:t xml:space="preserve"> </w:t>
      </w:r>
      <w:r w:rsidRPr="00FC1D32">
        <w:t xml:space="preserve">in terms of </w:t>
      </w:r>
      <w:r w:rsidR="000929A6">
        <w:t xml:space="preserve">their </w:t>
      </w:r>
      <w:r w:rsidRPr="00FC1D32">
        <w:t>engagement with the sector.</w:t>
      </w:r>
      <w:r w:rsidR="005C022C">
        <w:t xml:space="preserve"> </w:t>
      </w:r>
      <w:r w:rsidRPr="00FC1D32">
        <w:t xml:space="preserve">The six main equity groups </w:t>
      </w:r>
      <w:r w:rsidR="00D64023">
        <w:t>of interest</w:t>
      </w:r>
      <w:r w:rsidRPr="00FC1D32">
        <w:t xml:space="preserve"> are Indigenous Australians, people with a disability, women, people from a culturally and linguistically diverse background (CALD), people living in remote </w:t>
      </w:r>
      <w:r w:rsidR="000929A6">
        <w:t>areas and people from low socio</w:t>
      </w:r>
      <w:r w:rsidRPr="00FC1D32">
        <w:t xml:space="preserve">economic backgrounds. In addition, there are other equity groups </w:t>
      </w:r>
      <w:r w:rsidR="00E03886">
        <w:t>who</w:t>
      </w:r>
      <w:r w:rsidRPr="00FC1D32">
        <w:t xml:space="preserve"> can be termed ‘second chance’ learners</w:t>
      </w:r>
      <w:r w:rsidR="00D64023">
        <w:t>, such as people with below Y</w:t>
      </w:r>
      <w:r w:rsidRPr="00FC1D32">
        <w:t>ear 12 o</w:t>
      </w:r>
      <w:r w:rsidR="007B778F">
        <w:t xml:space="preserve">r </w:t>
      </w:r>
      <w:r w:rsidR="00E45BF2">
        <w:t xml:space="preserve">an </w:t>
      </w:r>
      <w:r w:rsidR="007B778F">
        <w:t>equivalent level of education</w:t>
      </w:r>
      <w:r w:rsidR="009F74EA">
        <w:t>.</w:t>
      </w:r>
      <w:r w:rsidR="000929A6">
        <w:t xml:space="preserve"> </w:t>
      </w:r>
      <w:proofErr w:type="gramStart"/>
      <w:r w:rsidR="000929A6">
        <w:t>(</w:t>
      </w:r>
      <w:r w:rsidR="009F74EA">
        <w:t>S</w:t>
      </w:r>
      <w:r w:rsidR="0044023B">
        <w:t xml:space="preserve">ee </w:t>
      </w:r>
      <w:r w:rsidR="00D64023">
        <w:t>National VET Equity Advisory Council</w:t>
      </w:r>
      <w:r w:rsidR="0044023B">
        <w:t xml:space="preserve"> 2011</w:t>
      </w:r>
      <w:r w:rsidR="000929A6">
        <w:t>.)</w:t>
      </w:r>
      <w:proofErr w:type="gramEnd"/>
      <w:r w:rsidR="0044023B">
        <w:t xml:space="preserve"> T</w:t>
      </w:r>
      <w:r w:rsidRPr="00FC1D32">
        <w:t>able</w:t>
      </w:r>
      <w:r w:rsidR="0044023B">
        <w:t xml:space="preserve"> 1</w:t>
      </w:r>
      <w:r w:rsidRPr="00FC1D32">
        <w:t xml:space="preserve"> shows VET participation for the six main group</w:t>
      </w:r>
      <w:r w:rsidR="00D64023">
        <w:t>s</w:t>
      </w:r>
      <w:r w:rsidR="000929A6">
        <w:t>,</w:t>
      </w:r>
      <w:r w:rsidR="00D64023">
        <w:t xml:space="preserve"> as well as for those without Y</w:t>
      </w:r>
      <w:r w:rsidRPr="00FC1D32">
        <w:t>ear 12 or equivalent.</w:t>
      </w:r>
      <w:r w:rsidR="000E24C9">
        <w:t xml:space="preserve"> The table is not shown in terms of </w:t>
      </w:r>
      <w:r w:rsidR="00E45BF2">
        <w:t xml:space="preserve">the </w:t>
      </w:r>
      <w:r w:rsidR="000E24C9">
        <w:t>trend over time</w:t>
      </w:r>
      <w:r w:rsidR="000E7710">
        <w:t>,</w:t>
      </w:r>
      <w:r w:rsidR="000E24C9">
        <w:t xml:space="preserve"> as in earlier years there were high proportions of unknown status</w:t>
      </w:r>
      <w:r w:rsidR="000E7710">
        <w:t xml:space="preserve"> in each of these equity groups,</w:t>
      </w:r>
      <w:r w:rsidR="000E24C9">
        <w:t xml:space="preserve"> </w:t>
      </w:r>
      <w:r w:rsidR="000E7710">
        <w:t>making</w:t>
      </w:r>
      <w:r w:rsidR="000E24C9">
        <w:t xml:space="preserve"> comparisons over time di</w:t>
      </w:r>
      <w:r w:rsidR="000E7710">
        <w:t xml:space="preserve">fficult and unreliable. </w:t>
      </w:r>
    </w:p>
    <w:p w:rsidR="009305F7" w:rsidRDefault="009305F7" w:rsidP="00296119">
      <w:pPr>
        <w:pStyle w:val="tabletitle0"/>
        <w:ind w:left="993" w:hanging="993"/>
      </w:pPr>
      <w:bookmarkStart w:id="68" w:name="_Toc455569950"/>
      <w:r>
        <w:t>Table</w:t>
      </w:r>
      <w:r w:rsidR="0044023B">
        <w:t xml:space="preserve"> 1</w:t>
      </w:r>
      <w:r w:rsidR="00296119">
        <w:tab/>
      </w:r>
      <w:r>
        <w:t xml:space="preserve">Participation of equity groups in VET as a </w:t>
      </w:r>
      <w:r w:rsidR="00FC1D32">
        <w:t>percentage of all VET students</w:t>
      </w:r>
      <w:bookmarkEnd w:id="68"/>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219"/>
        <w:gridCol w:w="2693"/>
      </w:tblGrid>
      <w:tr w:rsidR="00FC1D32" w:rsidTr="00946BA3">
        <w:tc>
          <w:tcPr>
            <w:tcW w:w="4219" w:type="dxa"/>
            <w:tcBorders>
              <w:top w:val="single" w:sz="4" w:space="0" w:color="auto"/>
              <w:bottom w:val="single" w:sz="4" w:space="0" w:color="000000" w:themeColor="text1"/>
              <w:right w:val="nil"/>
            </w:tcBorders>
          </w:tcPr>
          <w:p w:rsidR="00FC1D32" w:rsidRDefault="00FC1D32" w:rsidP="009305F7">
            <w:pPr>
              <w:pStyle w:val="Tablehead1"/>
            </w:pPr>
            <w:r>
              <w:t>Stated equity group</w:t>
            </w:r>
          </w:p>
        </w:tc>
        <w:tc>
          <w:tcPr>
            <w:tcW w:w="2693" w:type="dxa"/>
            <w:tcBorders>
              <w:top w:val="single" w:sz="4" w:space="0" w:color="auto"/>
              <w:left w:val="nil"/>
              <w:bottom w:val="single" w:sz="4" w:space="0" w:color="000000" w:themeColor="text1"/>
            </w:tcBorders>
          </w:tcPr>
          <w:p w:rsidR="00FC1D32" w:rsidRDefault="00FC1D32" w:rsidP="0053496B">
            <w:pPr>
              <w:pStyle w:val="Tablehead1"/>
            </w:pPr>
            <w:r>
              <w:t>201</w:t>
            </w:r>
            <w:r w:rsidR="0053496B">
              <w:t>5</w:t>
            </w:r>
            <w:r>
              <w:t xml:space="preserve"> rate</w:t>
            </w:r>
            <w:r w:rsidR="0053496B">
              <w:t xml:space="preserve"> (%)</w:t>
            </w:r>
          </w:p>
        </w:tc>
      </w:tr>
      <w:tr w:rsidR="00FC1D32" w:rsidTr="0053496B">
        <w:tc>
          <w:tcPr>
            <w:tcW w:w="4219" w:type="dxa"/>
            <w:tcBorders>
              <w:top w:val="single" w:sz="4" w:space="0" w:color="000000" w:themeColor="text1"/>
              <w:bottom w:val="nil"/>
              <w:right w:val="nil"/>
            </w:tcBorders>
          </w:tcPr>
          <w:p w:rsidR="00FC1D32" w:rsidRDefault="00FC1D32" w:rsidP="009305F7">
            <w:pPr>
              <w:pStyle w:val="Tabletext"/>
            </w:pPr>
            <w:r>
              <w:t>Indigenous Australians</w:t>
            </w:r>
          </w:p>
        </w:tc>
        <w:tc>
          <w:tcPr>
            <w:tcW w:w="2693" w:type="dxa"/>
            <w:tcBorders>
              <w:top w:val="single" w:sz="4" w:space="0" w:color="000000" w:themeColor="text1"/>
              <w:left w:val="nil"/>
              <w:bottom w:val="nil"/>
            </w:tcBorders>
          </w:tcPr>
          <w:p w:rsidR="00FC1D32" w:rsidRDefault="00FC1D32" w:rsidP="00946BA3">
            <w:pPr>
              <w:pStyle w:val="Tabletext"/>
              <w:ind w:right="1657"/>
              <w:jc w:val="right"/>
            </w:pPr>
            <w:r>
              <w:t>5.</w:t>
            </w:r>
            <w:r w:rsidR="0053496B">
              <w:t>4</w:t>
            </w:r>
          </w:p>
        </w:tc>
      </w:tr>
      <w:tr w:rsidR="00FC1D32" w:rsidTr="0053496B">
        <w:tc>
          <w:tcPr>
            <w:tcW w:w="4219" w:type="dxa"/>
            <w:tcBorders>
              <w:top w:val="nil"/>
              <w:bottom w:val="nil"/>
              <w:right w:val="nil"/>
            </w:tcBorders>
          </w:tcPr>
          <w:p w:rsidR="00FC1D32" w:rsidRDefault="00FC1D32" w:rsidP="009305F7">
            <w:pPr>
              <w:pStyle w:val="Tabletext"/>
            </w:pPr>
            <w:r>
              <w:t>Disability</w:t>
            </w:r>
          </w:p>
        </w:tc>
        <w:tc>
          <w:tcPr>
            <w:tcW w:w="2693" w:type="dxa"/>
            <w:tcBorders>
              <w:top w:val="nil"/>
              <w:left w:val="nil"/>
              <w:bottom w:val="nil"/>
            </w:tcBorders>
          </w:tcPr>
          <w:p w:rsidR="00FC1D32" w:rsidRDefault="0053496B" w:rsidP="00946BA3">
            <w:pPr>
              <w:pStyle w:val="Tabletext"/>
              <w:ind w:right="1657"/>
              <w:jc w:val="right"/>
            </w:pPr>
            <w:r>
              <w:t>7.7</w:t>
            </w:r>
          </w:p>
        </w:tc>
      </w:tr>
      <w:tr w:rsidR="00FC1D32" w:rsidTr="0053496B">
        <w:tc>
          <w:tcPr>
            <w:tcW w:w="4219" w:type="dxa"/>
            <w:tcBorders>
              <w:top w:val="nil"/>
              <w:bottom w:val="nil"/>
              <w:right w:val="nil"/>
            </w:tcBorders>
          </w:tcPr>
          <w:p w:rsidR="00FC1D32" w:rsidRDefault="00FC1D32" w:rsidP="009305F7">
            <w:pPr>
              <w:pStyle w:val="Tabletext"/>
            </w:pPr>
            <w:r>
              <w:t>Women</w:t>
            </w:r>
          </w:p>
        </w:tc>
        <w:tc>
          <w:tcPr>
            <w:tcW w:w="2693" w:type="dxa"/>
            <w:tcBorders>
              <w:top w:val="nil"/>
              <w:left w:val="nil"/>
              <w:bottom w:val="nil"/>
            </w:tcBorders>
          </w:tcPr>
          <w:p w:rsidR="00FC1D32" w:rsidRDefault="00FC1D32" w:rsidP="00946BA3">
            <w:pPr>
              <w:pStyle w:val="Tabletext"/>
              <w:ind w:right="1657"/>
              <w:jc w:val="right"/>
            </w:pPr>
            <w:r>
              <w:t>47.</w:t>
            </w:r>
            <w:r w:rsidR="0053496B">
              <w:t>1</w:t>
            </w:r>
          </w:p>
        </w:tc>
      </w:tr>
      <w:tr w:rsidR="00FC1D32" w:rsidTr="0053496B">
        <w:tc>
          <w:tcPr>
            <w:tcW w:w="4219" w:type="dxa"/>
            <w:tcBorders>
              <w:top w:val="nil"/>
              <w:bottom w:val="nil"/>
              <w:right w:val="nil"/>
            </w:tcBorders>
          </w:tcPr>
          <w:p w:rsidR="00FC1D32" w:rsidRDefault="0053496B" w:rsidP="00296119">
            <w:pPr>
              <w:pStyle w:val="Tabletext"/>
            </w:pPr>
            <w:r>
              <w:t>Non</w:t>
            </w:r>
            <w:r w:rsidR="00296119">
              <w:t>-</w:t>
            </w:r>
            <w:r>
              <w:t xml:space="preserve">English </w:t>
            </w:r>
            <w:r w:rsidR="00E03886">
              <w:t>speaking background</w:t>
            </w:r>
          </w:p>
        </w:tc>
        <w:tc>
          <w:tcPr>
            <w:tcW w:w="2693" w:type="dxa"/>
            <w:tcBorders>
              <w:top w:val="nil"/>
              <w:left w:val="nil"/>
              <w:bottom w:val="nil"/>
            </w:tcBorders>
          </w:tcPr>
          <w:p w:rsidR="00FC1D32" w:rsidRDefault="00FC1D32" w:rsidP="00946BA3">
            <w:pPr>
              <w:pStyle w:val="Tabletext"/>
              <w:ind w:right="1657"/>
              <w:jc w:val="right"/>
            </w:pPr>
            <w:r>
              <w:t>19.</w:t>
            </w:r>
            <w:r w:rsidR="0053496B">
              <w:t>2</w:t>
            </w:r>
          </w:p>
        </w:tc>
      </w:tr>
      <w:tr w:rsidR="00FC1D32" w:rsidTr="0053496B">
        <w:tc>
          <w:tcPr>
            <w:tcW w:w="4219" w:type="dxa"/>
            <w:tcBorders>
              <w:top w:val="nil"/>
              <w:bottom w:val="nil"/>
              <w:right w:val="nil"/>
            </w:tcBorders>
          </w:tcPr>
          <w:p w:rsidR="00FC1D32" w:rsidRDefault="00FC1D32" w:rsidP="009305F7">
            <w:pPr>
              <w:pStyle w:val="Tabletext"/>
            </w:pPr>
            <w:r>
              <w:t xml:space="preserve">Remote/very remote locations </w:t>
            </w:r>
          </w:p>
        </w:tc>
        <w:tc>
          <w:tcPr>
            <w:tcW w:w="2693" w:type="dxa"/>
            <w:tcBorders>
              <w:top w:val="nil"/>
              <w:left w:val="nil"/>
              <w:bottom w:val="nil"/>
            </w:tcBorders>
          </w:tcPr>
          <w:p w:rsidR="00FC1D32" w:rsidRDefault="00FC1D32" w:rsidP="00946BA3">
            <w:pPr>
              <w:pStyle w:val="Tabletext"/>
              <w:ind w:right="1657"/>
              <w:jc w:val="right"/>
            </w:pPr>
            <w:r>
              <w:t>3.</w:t>
            </w:r>
            <w:r w:rsidR="0053496B">
              <w:t>5</w:t>
            </w:r>
          </w:p>
        </w:tc>
      </w:tr>
      <w:tr w:rsidR="00FC1D32" w:rsidTr="0053496B">
        <w:tc>
          <w:tcPr>
            <w:tcW w:w="4219" w:type="dxa"/>
            <w:tcBorders>
              <w:top w:val="nil"/>
              <w:bottom w:val="nil"/>
              <w:right w:val="nil"/>
            </w:tcBorders>
          </w:tcPr>
          <w:p w:rsidR="00FC1D32" w:rsidRDefault="00FC1D32" w:rsidP="009305F7">
            <w:pPr>
              <w:pStyle w:val="Tabletext"/>
            </w:pPr>
            <w:r>
              <w:t>Low SES</w:t>
            </w:r>
            <w:r w:rsidR="0053496B">
              <w:t xml:space="preserve"> (Lowest quintile)</w:t>
            </w:r>
          </w:p>
        </w:tc>
        <w:tc>
          <w:tcPr>
            <w:tcW w:w="2693" w:type="dxa"/>
            <w:tcBorders>
              <w:top w:val="nil"/>
              <w:left w:val="nil"/>
              <w:bottom w:val="nil"/>
            </w:tcBorders>
          </w:tcPr>
          <w:p w:rsidR="00FC1D32" w:rsidRDefault="00705981" w:rsidP="00946BA3">
            <w:pPr>
              <w:pStyle w:val="Tabletext"/>
              <w:ind w:right="1657"/>
              <w:jc w:val="right"/>
            </w:pPr>
            <w:r>
              <w:t>23.1</w:t>
            </w:r>
          </w:p>
        </w:tc>
      </w:tr>
      <w:tr w:rsidR="00FC1D32" w:rsidTr="0053496B">
        <w:tc>
          <w:tcPr>
            <w:tcW w:w="4219" w:type="dxa"/>
            <w:tcBorders>
              <w:top w:val="nil"/>
              <w:right w:val="nil"/>
            </w:tcBorders>
          </w:tcPr>
          <w:p w:rsidR="00FC1D32" w:rsidRDefault="0053496B" w:rsidP="0053496B">
            <w:pPr>
              <w:pStyle w:val="Tabletext"/>
            </w:pPr>
            <w:r>
              <w:t xml:space="preserve">Highest prior level of education </w:t>
            </w:r>
            <w:r w:rsidR="00FC1D32">
              <w:t>Year 1</w:t>
            </w:r>
            <w:r>
              <w:t>1</w:t>
            </w:r>
            <w:r w:rsidR="00FC1D32">
              <w:t xml:space="preserve"> </w:t>
            </w:r>
            <w:r>
              <w:t>or lower</w:t>
            </w:r>
          </w:p>
        </w:tc>
        <w:tc>
          <w:tcPr>
            <w:tcW w:w="2693" w:type="dxa"/>
            <w:tcBorders>
              <w:top w:val="nil"/>
              <w:left w:val="nil"/>
            </w:tcBorders>
          </w:tcPr>
          <w:p w:rsidR="00FC1D32" w:rsidRDefault="0053496B" w:rsidP="00946BA3">
            <w:pPr>
              <w:pStyle w:val="Tabletext"/>
              <w:ind w:right="1657"/>
              <w:jc w:val="right"/>
            </w:pPr>
            <w:r>
              <w:t>32.9</w:t>
            </w:r>
          </w:p>
        </w:tc>
      </w:tr>
    </w:tbl>
    <w:p w:rsidR="009305F7" w:rsidRDefault="009305F7" w:rsidP="005D731C">
      <w:pPr>
        <w:pStyle w:val="Source"/>
      </w:pPr>
      <w:r>
        <w:t xml:space="preserve">Source: National VET </w:t>
      </w:r>
      <w:r w:rsidR="00D64023">
        <w:t>Provider Collection 2003–</w:t>
      </w:r>
      <w:r>
        <w:t>1</w:t>
      </w:r>
      <w:r w:rsidR="0053496B">
        <w:t>5</w:t>
      </w:r>
      <w:r w:rsidR="00D64023">
        <w:t>.</w:t>
      </w:r>
    </w:p>
    <w:p w:rsidR="00F475E2" w:rsidRDefault="00F475E2" w:rsidP="00F475E2">
      <w:pPr>
        <w:pStyle w:val="Text"/>
      </w:pPr>
      <w:r>
        <w:t>Against this backdrop, in the next section we examine in more detail three policy directions that have influenced vocational education and training in recent times.</w:t>
      </w:r>
    </w:p>
    <w:p w:rsidR="008B6637" w:rsidRDefault="008B6637">
      <w:pPr>
        <w:spacing w:before="0" w:line="240" w:lineRule="auto"/>
      </w:pPr>
      <w:r>
        <w:br w:type="page"/>
      </w:r>
    </w:p>
    <w:p w:rsidR="008B6637" w:rsidRDefault="00D26FBA" w:rsidP="00B840A3">
      <w:pPr>
        <w:pStyle w:val="Heading1"/>
      </w:pPr>
      <w:bookmarkStart w:id="69" w:name="_Toc455569939"/>
      <w:r>
        <w:rPr>
          <w:noProof/>
          <w:lang w:eastAsia="en-AU"/>
        </w:rPr>
        <w:lastRenderedPageBreak/>
        <w:drawing>
          <wp:anchor distT="0" distB="0" distL="114300" distR="114300" simplePos="0" relativeHeight="252013568" behindDoc="1" locked="0" layoutInCell="1" allowOverlap="1" wp14:anchorId="7895BF8B" wp14:editId="23E2232C">
            <wp:simplePos x="0" y="0"/>
            <wp:positionH relativeFrom="column">
              <wp:posOffset>-21590</wp:posOffset>
            </wp:positionH>
            <wp:positionV relativeFrom="paragraph">
              <wp:posOffset>-26035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6" name="Picture 56" descr="P:\PublicationComponents\Icons\Clipboard-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Clipboard-l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637">
        <w:t>Selected policy case studies</w:t>
      </w:r>
      <w:bookmarkEnd w:id="69"/>
    </w:p>
    <w:p w:rsidR="005B66A0" w:rsidRDefault="005B66A0" w:rsidP="008B6637">
      <w:pPr>
        <w:pStyle w:val="Text"/>
      </w:pPr>
      <w:r>
        <w:t xml:space="preserve">This chapter will discuss three </w:t>
      </w:r>
      <w:r w:rsidR="000C40CF">
        <w:t xml:space="preserve">areas of </w:t>
      </w:r>
      <w:r>
        <w:t xml:space="preserve">policy </w:t>
      </w:r>
      <w:r w:rsidR="000C40CF">
        <w:t xml:space="preserve">innovation </w:t>
      </w:r>
      <w:r w:rsidR="000C40CF" w:rsidRPr="000C40CF">
        <w:t>and their impact on VET partic</w:t>
      </w:r>
      <w:r w:rsidR="003E3705">
        <w:t>ipation trends over the past two</w:t>
      </w:r>
      <w:r w:rsidR="000C40CF" w:rsidRPr="000C40CF">
        <w:t xml:space="preserve"> decades</w:t>
      </w:r>
      <w:r w:rsidR="000929A6">
        <w:t>. T</w:t>
      </w:r>
      <w:r w:rsidR="00AD5ADB">
        <w:t xml:space="preserve">wo of them </w:t>
      </w:r>
      <w:r w:rsidR="00C412C4">
        <w:t>— apprenticeship and traineeship incentive payments and</w:t>
      </w:r>
      <w:r w:rsidR="00C412C4" w:rsidRPr="00EE252B">
        <w:t xml:space="preserve"> </w:t>
      </w:r>
      <w:r w:rsidR="00C412C4">
        <w:t xml:space="preserve">accelerated apprenticeships — </w:t>
      </w:r>
      <w:r w:rsidR="00AD5ADB">
        <w:t>are relat</w:t>
      </w:r>
      <w:r w:rsidR="00C412C4">
        <w:t>ed to the apprenticeship system</w:t>
      </w:r>
      <w:r w:rsidR="00AD5ADB">
        <w:t>.</w:t>
      </w:r>
      <w:r>
        <w:t xml:space="preserve"> </w:t>
      </w:r>
      <w:r w:rsidR="00AD5ADB">
        <w:t>The third area is</w:t>
      </w:r>
      <w:r>
        <w:t xml:space="preserve"> en</w:t>
      </w:r>
      <w:r w:rsidR="003E3705">
        <w:t>titlement models of VET funding</w:t>
      </w:r>
      <w:r>
        <w:t xml:space="preserve">. These </w:t>
      </w:r>
      <w:r w:rsidR="000C40CF">
        <w:t>case studies</w:t>
      </w:r>
      <w:r>
        <w:t xml:space="preserve"> have been selected </w:t>
      </w:r>
      <w:r w:rsidR="00872923">
        <w:t xml:space="preserve">because </w:t>
      </w:r>
      <w:r w:rsidR="000C40CF">
        <w:t xml:space="preserve">of their policy </w:t>
      </w:r>
      <w:r w:rsidR="00872923">
        <w:t>significan</w:t>
      </w:r>
      <w:r w:rsidR="000C40CF">
        <w:t xml:space="preserve">ce and </w:t>
      </w:r>
      <w:r w:rsidR="00872923">
        <w:t>t</w:t>
      </w:r>
      <w:r w:rsidR="000C40CF">
        <w:t xml:space="preserve">heir apparent </w:t>
      </w:r>
      <w:r w:rsidR="00872923">
        <w:t>influence o</w:t>
      </w:r>
      <w:r w:rsidR="000C40CF">
        <w:t>n</w:t>
      </w:r>
      <w:r w:rsidR="00447045">
        <w:t xml:space="preserve"> trends in VET participation. </w:t>
      </w:r>
      <w:r w:rsidR="000929A6">
        <w:t>A</w:t>
      </w:r>
      <w:r w:rsidR="00DD55B7">
        <w:t xml:space="preserve">pprenticeship incentives have </w:t>
      </w:r>
      <w:r w:rsidR="00086629">
        <w:t>a longer history</w:t>
      </w:r>
      <w:r w:rsidR="00447045">
        <w:t>,</w:t>
      </w:r>
      <w:r w:rsidR="00DD55B7">
        <w:t xml:space="preserve"> whereas the accele</w:t>
      </w:r>
      <w:r w:rsidR="00447045">
        <w:t>rated apprenticeship initiative</w:t>
      </w:r>
      <w:r w:rsidR="00DD55B7">
        <w:t xml:space="preserve"> and the</w:t>
      </w:r>
      <w:r w:rsidR="00447045">
        <w:t xml:space="preserve"> entitlement models</w:t>
      </w:r>
      <w:r w:rsidR="00DD55B7">
        <w:t xml:space="preserve"> are relatively recent.</w:t>
      </w:r>
    </w:p>
    <w:p w:rsidR="005B66A0" w:rsidRDefault="00872923" w:rsidP="008B6637">
      <w:pPr>
        <w:pStyle w:val="Text"/>
      </w:pPr>
      <w:r>
        <w:t>Each policy initiative in</w:t>
      </w:r>
      <w:r w:rsidR="005B66A0">
        <w:t xml:space="preserve"> </w:t>
      </w:r>
      <w:r>
        <w:t>its respective way</w:t>
      </w:r>
      <w:r w:rsidR="005B66A0">
        <w:t xml:space="preserve"> aim</w:t>
      </w:r>
      <w:r>
        <w:t>s</w:t>
      </w:r>
      <w:r w:rsidR="005B66A0">
        <w:t xml:space="preserve"> to make the VET system more responsive to the labour market and </w:t>
      </w:r>
      <w:r w:rsidR="000C40CF">
        <w:t xml:space="preserve">to </w:t>
      </w:r>
      <w:r>
        <w:t>ensure that training subsidised by governm</w:t>
      </w:r>
      <w:r w:rsidR="00447045">
        <w:t>ents meets several requirements;</w:t>
      </w:r>
      <w:r>
        <w:t xml:space="preserve"> namely</w:t>
      </w:r>
      <w:r w:rsidR="00447045">
        <w:t>,</w:t>
      </w:r>
      <w:r>
        <w:t xml:space="preserve"> that</w:t>
      </w:r>
      <w:r w:rsidR="00C412C4">
        <w:t>:</w:t>
      </w:r>
      <w:r>
        <w:t xml:space="preserve"> individuals are s</w:t>
      </w:r>
      <w:r w:rsidR="00447045">
        <w:t>upported to gain qualifications;</w:t>
      </w:r>
      <w:r>
        <w:t xml:space="preserve"> the training is flexible enough to a</w:t>
      </w:r>
      <w:r w:rsidR="00447045">
        <w:t>dapt to changing labour markets;</w:t>
      </w:r>
      <w:r>
        <w:t xml:space="preserve"> and the skills needs of the nation are met through the system.</w:t>
      </w:r>
    </w:p>
    <w:p w:rsidR="007C0D34" w:rsidRDefault="00EE252B" w:rsidP="00EE252B">
      <w:pPr>
        <w:pStyle w:val="Heading2"/>
      </w:pPr>
      <w:bookmarkStart w:id="70" w:name="_Toc455569940"/>
      <w:r>
        <w:t>Apprenticeship</w:t>
      </w:r>
      <w:r w:rsidR="007C0D34">
        <w:t>s and traineeships</w:t>
      </w:r>
      <w:bookmarkEnd w:id="70"/>
    </w:p>
    <w:p w:rsidR="00877B9D" w:rsidRPr="006839C8" w:rsidRDefault="00877B9D" w:rsidP="00877B9D">
      <w:pPr>
        <w:pStyle w:val="Text"/>
      </w:pPr>
      <w:r w:rsidRPr="006839C8">
        <w:t>A</w:t>
      </w:r>
      <w:r>
        <w:t>n important</w:t>
      </w:r>
      <w:r w:rsidRPr="006839C8">
        <w:t xml:space="preserve"> part of the VET system is apprenticeships and traineeships. As was seen (and as will be </w:t>
      </w:r>
      <w:r>
        <w:t>described</w:t>
      </w:r>
      <w:r w:rsidRPr="006839C8">
        <w:t xml:space="preserve"> further in th</w:t>
      </w:r>
      <w:r>
        <w:t>is</w:t>
      </w:r>
      <w:r w:rsidRPr="006839C8">
        <w:t xml:space="preserve"> chapter), policies </w:t>
      </w:r>
      <w:r w:rsidR="00C412C4">
        <w:t xml:space="preserve">have been implemented </w:t>
      </w:r>
      <w:r w:rsidR="00DA7E52">
        <w:t xml:space="preserve">that are </w:t>
      </w:r>
      <w:r w:rsidRPr="006839C8">
        <w:t>explicitly aimed at the engagement of people in the apprenticeship and traineeship system.</w:t>
      </w:r>
      <w:r w:rsidR="00597397">
        <w:t xml:space="preserve"> </w:t>
      </w:r>
    </w:p>
    <w:p w:rsidR="00877B9D" w:rsidRDefault="00877B9D" w:rsidP="00877B9D">
      <w:pPr>
        <w:pStyle w:val="Text"/>
        <w:rPr>
          <w:rFonts w:ascii="Tahoma" w:hAnsi="Tahoma"/>
          <w:b/>
          <w:sz w:val="17"/>
        </w:rPr>
      </w:pPr>
      <w:r w:rsidRPr="00AC76A9">
        <w:t>Figure 14</w:t>
      </w:r>
      <w:r w:rsidRPr="00294654">
        <w:t xml:space="preserve"> shows trends in </w:t>
      </w:r>
      <w:r>
        <w:t xml:space="preserve">the rates of </w:t>
      </w:r>
      <w:r w:rsidRPr="00294654">
        <w:t>apprentice trade and non-trade commencements since 1996</w:t>
      </w:r>
      <w:r w:rsidRPr="00AC76A9">
        <w:t>.</w:t>
      </w:r>
      <w:r w:rsidRPr="00AC76A9">
        <w:rPr>
          <w:rStyle w:val="FootnoteReference"/>
        </w:rPr>
        <w:footnoteReference w:id="6"/>
      </w:r>
      <w:r w:rsidRPr="00AC76A9">
        <w:t xml:space="preserve"> From figure 14, it is noticeable</w:t>
      </w:r>
      <w:r w:rsidRPr="006839C8">
        <w:t xml:space="preserve"> that the non-trade apprenticeships increased at a much faster rate than the trade apprenticeships</w:t>
      </w:r>
      <w:r>
        <w:t xml:space="preserve"> until about 2003, before levelling off</w:t>
      </w:r>
      <w:r w:rsidRPr="006839C8">
        <w:t>. There are several explanations for this</w:t>
      </w:r>
      <w:r>
        <w:t>, which include the opening-</w:t>
      </w:r>
      <w:r w:rsidRPr="006839C8">
        <w:t>up of the apprenticeship system, th</w:t>
      </w:r>
      <w:r w:rsidR="00C412C4">
        <w:t>e effects of incentive payments</w:t>
      </w:r>
      <w:r w:rsidRPr="006839C8">
        <w:t xml:space="preserve"> and the generally sh</w:t>
      </w:r>
      <w:r>
        <w:t>orter duration of the non-trade</w:t>
      </w:r>
      <w:r w:rsidRPr="006839C8">
        <w:t xml:space="preserve"> apprenticeships</w:t>
      </w:r>
      <w:r w:rsidR="00C412C4">
        <w:t>. A</w:t>
      </w:r>
      <w:r w:rsidRPr="006839C8">
        <w:t xml:space="preserve">lso noticeable are </w:t>
      </w:r>
      <w:r w:rsidR="00C412C4">
        <w:t xml:space="preserve">the </w:t>
      </w:r>
      <w:r w:rsidRPr="006839C8">
        <w:t>peaks and troughs, particularly for non-trade apprenticeships. As will be discussed later</w:t>
      </w:r>
      <w:r>
        <w:t>,</w:t>
      </w:r>
      <w:r w:rsidRPr="006839C8">
        <w:t xml:space="preserve"> non-trade </w:t>
      </w:r>
      <w:r w:rsidR="00C33889">
        <w:t>commencements</w:t>
      </w:r>
      <w:r w:rsidRPr="006839C8">
        <w:t xml:space="preserve"> are sensitive to incentive payments, but also </w:t>
      </w:r>
      <w:r w:rsidR="00296119">
        <w:t xml:space="preserve">to </w:t>
      </w:r>
      <w:r w:rsidRPr="00FC1D32">
        <w:t xml:space="preserve">economic conditions. For example, commencements in the </w:t>
      </w:r>
      <w:r>
        <w:t>non-</w:t>
      </w:r>
      <w:r w:rsidRPr="00FC1D32">
        <w:t>trades have dropped dramatically since 2012</w:t>
      </w:r>
      <w:r>
        <w:t>,</w:t>
      </w:r>
      <w:r w:rsidRPr="00FC1D32">
        <w:t xml:space="preserve"> when incentives were withdrawn for occupations not on the National Skills Needs List</w:t>
      </w:r>
      <w:r w:rsidR="00C412C4">
        <w:t xml:space="preserve"> (NSNL)</w:t>
      </w:r>
      <w:r w:rsidRPr="00FC1D32">
        <w:t>.</w:t>
      </w:r>
    </w:p>
    <w:p w:rsidR="00877B9D" w:rsidRDefault="00877B9D" w:rsidP="00877B9D">
      <w:pPr>
        <w:spacing w:before="0" w:line="240" w:lineRule="auto"/>
        <w:rPr>
          <w:rFonts w:ascii="Tahoma" w:hAnsi="Tahoma"/>
          <w:b/>
          <w:sz w:val="17"/>
        </w:rPr>
      </w:pPr>
      <w:r>
        <w:br w:type="page"/>
      </w:r>
      <w:bookmarkStart w:id="71" w:name="_GoBack"/>
      <w:bookmarkEnd w:id="71"/>
    </w:p>
    <w:p w:rsidR="00877B9D" w:rsidRDefault="00296119" w:rsidP="00296119">
      <w:pPr>
        <w:pStyle w:val="Figuretitle"/>
        <w:ind w:left="993" w:hanging="993"/>
      </w:pPr>
      <w:bookmarkStart w:id="72" w:name="_Toc457809797"/>
      <w:r>
        <w:lastRenderedPageBreak/>
        <w:t>Figure 14</w:t>
      </w:r>
      <w:r>
        <w:tab/>
      </w:r>
      <w:r w:rsidR="00877B9D" w:rsidRPr="00AC76A9">
        <w:t>Apprenticeship</w:t>
      </w:r>
      <w:r>
        <w:t xml:space="preserve"> commencement</w:t>
      </w:r>
      <w:r w:rsidR="00877B9D">
        <w:t xml:space="preserve"> rates by trade/non-trade occupations, </w:t>
      </w:r>
      <w:r w:rsidR="00AC706A">
        <w:br/>
      </w:r>
      <w:r w:rsidR="00877B9D">
        <w:t>1996–201</w:t>
      </w:r>
      <w:r w:rsidR="00040343">
        <w:t>5</w:t>
      </w:r>
      <w:r w:rsidR="00877B9D">
        <w:t xml:space="preserve"> (%)</w:t>
      </w:r>
      <w:bookmarkEnd w:id="72"/>
    </w:p>
    <w:p w:rsidR="00877B9D" w:rsidRDefault="00877B9D" w:rsidP="00946BA3">
      <w:pPr>
        <w:pStyle w:val="Tabletext"/>
      </w:pPr>
      <w:r w:rsidRPr="00405ABA">
        <w:rPr>
          <w:noProof/>
          <w:lang w:eastAsia="en-AU"/>
        </w:rPr>
        <w:drawing>
          <wp:inline distT="0" distB="0" distL="0" distR="0" wp14:anchorId="356C0336" wp14:editId="0BC3F940">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77B9D" w:rsidRPr="0021370E" w:rsidRDefault="00877B9D" w:rsidP="00877B9D">
      <w:pPr>
        <w:pStyle w:val="Source"/>
      </w:pPr>
      <w:r>
        <w:t xml:space="preserve">Note: </w:t>
      </w:r>
      <w:r w:rsidR="00D26FBA">
        <w:tab/>
      </w:r>
      <w:r>
        <w:t>Commencements are based on financial year starting from July 1995 to June 1996 and ending with July 2014 to June 2015. The rate is expressed as commencements as a proportion of the 15 to 64-year-old labour force.</w:t>
      </w:r>
    </w:p>
    <w:p w:rsidR="00877B9D" w:rsidRDefault="00877B9D" w:rsidP="00877B9D">
      <w:pPr>
        <w:pStyle w:val="Source"/>
      </w:pPr>
      <w:r w:rsidRPr="0021370E">
        <w:t xml:space="preserve">Source: </w:t>
      </w:r>
      <w:r w:rsidR="00D26FBA">
        <w:tab/>
      </w:r>
      <w:r>
        <w:t>NCVER National Apprentice</w:t>
      </w:r>
      <w:r w:rsidR="000F096F">
        <w:t xml:space="preserve"> and Trainee</w:t>
      </w:r>
      <w:r>
        <w:t xml:space="preserve"> Collection 1996–</w:t>
      </w:r>
      <w:r w:rsidRPr="0021370E">
        <w:t>201</w:t>
      </w:r>
      <w:r>
        <w:t>5; ABS Labour force Australia cat.no.6291.0.55.001, cube LM1.</w:t>
      </w:r>
    </w:p>
    <w:p w:rsidR="00EE252B" w:rsidRDefault="007C0D34" w:rsidP="007C0D34">
      <w:pPr>
        <w:pStyle w:val="Heading3"/>
      </w:pPr>
      <w:r>
        <w:t>Employer</w:t>
      </w:r>
      <w:r w:rsidR="00EE252B">
        <w:t xml:space="preserve"> incentive payments</w:t>
      </w:r>
    </w:p>
    <w:p w:rsidR="00EE252B" w:rsidRDefault="00EE252B" w:rsidP="00A620C0">
      <w:pPr>
        <w:pStyle w:val="Text"/>
      </w:pPr>
      <w:r>
        <w:t>Australian</w:t>
      </w:r>
      <w:r w:rsidR="00447045">
        <w:t xml:space="preserve"> governments —</w:t>
      </w:r>
      <w:r w:rsidR="003E3705">
        <w:t xml:space="preserve"> </w:t>
      </w:r>
      <w:r w:rsidR="00447045">
        <w:t xml:space="preserve">the </w:t>
      </w:r>
      <w:r w:rsidR="00B1616E">
        <w:t>Australian Government</w:t>
      </w:r>
      <w:r w:rsidR="003E3705">
        <w:t xml:space="preserve"> and </w:t>
      </w:r>
      <w:r w:rsidR="00447045">
        <w:t xml:space="preserve">the </w:t>
      </w:r>
      <w:r w:rsidR="003E3705">
        <w:t>states and t</w:t>
      </w:r>
      <w:r w:rsidR="00447045">
        <w:t>erritories —</w:t>
      </w:r>
      <w:r>
        <w:t xml:space="preserve"> have shown a long commitment to supporting apprenticeships and traineeships. One way </w:t>
      </w:r>
      <w:r w:rsidR="00447045">
        <w:t xml:space="preserve">by which </w:t>
      </w:r>
      <w:r>
        <w:t xml:space="preserve">governments have provided support is through </w:t>
      </w:r>
      <w:r w:rsidR="00A620C0">
        <w:t xml:space="preserve">financial </w:t>
      </w:r>
      <w:r>
        <w:t>s</w:t>
      </w:r>
      <w:r w:rsidR="00A620C0">
        <w:t>ubsidies</w:t>
      </w:r>
      <w:r>
        <w:t xml:space="preserve"> to employers of apprentices and trainees. </w:t>
      </w:r>
      <w:r w:rsidR="008A15B0">
        <w:t xml:space="preserve">These </w:t>
      </w:r>
      <w:r w:rsidR="00A620C0">
        <w:t>incentive payments</w:t>
      </w:r>
      <w:r>
        <w:t xml:space="preserve"> </w:t>
      </w:r>
      <w:r w:rsidR="008A15B0">
        <w:t>are</w:t>
      </w:r>
      <w:r>
        <w:t xml:space="preserve"> an endu</w:t>
      </w:r>
      <w:r w:rsidR="004013F4">
        <w:t>ring feature of the Australian a</w:t>
      </w:r>
      <w:r>
        <w:t xml:space="preserve">pprenticeship system. </w:t>
      </w:r>
      <w:r w:rsidR="00A620C0">
        <w:t>The argument for incentive payments is that they encourage employers to take on apprentices by subsidising the</w:t>
      </w:r>
      <w:r w:rsidR="004013F4">
        <w:t>ir</w:t>
      </w:r>
      <w:r w:rsidR="00A620C0">
        <w:t xml:space="preserve"> cost to employers. </w:t>
      </w:r>
      <w:r>
        <w:t xml:space="preserve">However, the incentive payment scheme </w:t>
      </w:r>
      <w:r w:rsidR="008A15B0">
        <w:t>has</w:t>
      </w:r>
      <w:r>
        <w:t xml:space="preserve"> undergone cons</w:t>
      </w:r>
      <w:r w:rsidR="00A620C0">
        <w:t>iderable change in recent years</w:t>
      </w:r>
      <w:r w:rsidR="008A15B0">
        <w:t xml:space="preserve">, with </w:t>
      </w:r>
      <w:r w:rsidR="00A620C0">
        <w:t>move</w:t>
      </w:r>
      <w:r w:rsidR="00A86228">
        <w:t>s</w:t>
      </w:r>
      <w:r w:rsidR="00A620C0">
        <w:t xml:space="preserve"> towards </w:t>
      </w:r>
      <w:r w:rsidR="003E3705">
        <w:t>targe</w:t>
      </w:r>
      <w:r w:rsidR="008A15B0">
        <w:t>ting</w:t>
      </w:r>
      <w:r w:rsidR="00A620C0">
        <w:t xml:space="preserve"> </w:t>
      </w:r>
      <w:r w:rsidR="00A86228">
        <w:t xml:space="preserve">specific </w:t>
      </w:r>
      <w:r w:rsidR="00A620C0">
        <w:t xml:space="preserve">areas of skills need. </w:t>
      </w:r>
      <w:r w:rsidR="008A15B0">
        <w:t>This shift has had</w:t>
      </w:r>
      <w:r w:rsidR="00A620C0">
        <w:t xml:space="preserve"> consequences </w:t>
      </w:r>
      <w:r w:rsidR="008A15B0">
        <w:t xml:space="preserve">for </w:t>
      </w:r>
      <w:r>
        <w:t>particip</w:t>
      </w:r>
      <w:r w:rsidR="00447045">
        <w:t>ation levels in apprenticeships</w:t>
      </w:r>
      <w:r>
        <w:t xml:space="preserve"> and</w:t>
      </w:r>
      <w:r w:rsidR="00447045">
        <w:t>,</w:t>
      </w:r>
      <w:r>
        <w:t xml:space="preserve"> more specifically</w:t>
      </w:r>
      <w:r w:rsidR="00447045">
        <w:t>,</w:t>
      </w:r>
      <w:r>
        <w:t xml:space="preserve"> traineeships. </w:t>
      </w:r>
    </w:p>
    <w:p w:rsidR="00EE252B" w:rsidRDefault="00EE252B" w:rsidP="007C0D34">
      <w:pPr>
        <w:pStyle w:val="Heading4"/>
      </w:pPr>
      <w:r>
        <w:t xml:space="preserve">What are incentive payments? </w:t>
      </w:r>
    </w:p>
    <w:p w:rsidR="00EE252B" w:rsidRDefault="00EE252B" w:rsidP="00EE252B">
      <w:pPr>
        <w:pStyle w:val="Text"/>
      </w:pPr>
      <w:r w:rsidRPr="00A454AE">
        <w:t xml:space="preserve">Incentive payments to employers are designed to </w:t>
      </w:r>
      <w:r w:rsidR="00086629">
        <w:t>support</w:t>
      </w:r>
      <w:r w:rsidR="00086629" w:rsidRPr="00A454AE">
        <w:t xml:space="preserve"> </w:t>
      </w:r>
      <w:r w:rsidRPr="00A454AE">
        <w:t>successful completion of apprenticeships and traineeships, particularly at the certificate III and above levels</w:t>
      </w:r>
      <w:r>
        <w:t>, and in certain skills and occupations</w:t>
      </w:r>
      <w:r w:rsidRPr="00A454AE">
        <w:t xml:space="preserve">. </w:t>
      </w:r>
      <w:r w:rsidR="00A86228">
        <w:t>I</w:t>
      </w:r>
      <w:r>
        <w:t xml:space="preserve">n this way the various </w:t>
      </w:r>
      <w:r w:rsidR="004013F4">
        <w:t xml:space="preserve">incentive </w:t>
      </w:r>
      <w:r>
        <w:t>initiatives to employers have attempted to ensure the system is responsive to the labour market and encourage</w:t>
      </w:r>
      <w:r w:rsidR="008A15B0">
        <w:t>s</w:t>
      </w:r>
      <w:r>
        <w:t xml:space="preserve"> </w:t>
      </w:r>
      <w:r w:rsidR="00A86228">
        <w:t xml:space="preserve">apprentice </w:t>
      </w:r>
      <w:r>
        <w:t xml:space="preserve">completion. </w:t>
      </w:r>
      <w:r w:rsidRPr="00A454AE">
        <w:t xml:space="preserve">The economic rationale for </w:t>
      </w:r>
      <w:r w:rsidR="004013F4">
        <w:t>these</w:t>
      </w:r>
      <w:r w:rsidRPr="00A454AE">
        <w:t xml:space="preserve"> payments to employers is that they offset </w:t>
      </w:r>
      <w:r w:rsidR="00447045">
        <w:t xml:space="preserve">the </w:t>
      </w:r>
      <w:r w:rsidRPr="00A454AE">
        <w:t>wages and other costs associated with apprenticeships and encourage employers to provide more training places (Knight 2012).</w:t>
      </w:r>
      <w:r w:rsidRPr="004417BE">
        <w:t xml:space="preserve"> </w:t>
      </w:r>
    </w:p>
    <w:p w:rsidR="00EE252B" w:rsidRPr="00EE252B" w:rsidRDefault="00EE252B" w:rsidP="00EE252B">
      <w:pPr>
        <w:pStyle w:val="Text"/>
      </w:pPr>
      <w:r>
        <w:t xml:space="preserve">While some states and territories provide </w:t>
      </w:r>
      <w:r w:rsidR="00A86228">
        <w:t>employer incentives</w:t>
      </w:r>
      <w:r>
        <w:t>, the more substantial payments are paid to employers as part of the Australian Government’s Australian Apprenticeship Incentives Program</w:t>
      </w:r>
      <w:r w:rsidR="009F74EA">
        <w:t>me</w:t>
      </w:r>
      <w:r>
        <w:t xml:space="preserve">, as it is currently named. </w:t>
      </w:r>
    </w:p>
    <w:p w:rsidR="00086629" w:rsidRDefault="007C39D8" w:rsidP="00EE252B">
      <w:pPr>
        <w:pStyle w:val="Text"/>
      </w:pPr>
      <w:r>
        <w:t>I</w:t>
      </w:r>
      <w:r w:rsidR="00EE252B">
        <w:t>ncentive payments to employers for apprenticeships were</w:t>
      </w:r>
      <w:r>
        <w:t xml:space="preserve"> first</w:t>
      </w:r>
      <w:r w:rsidR="00EE252B">
        <w:t xml:space="preserve"> introduced in</w:t>
      </w:r>
      <w:r>
        <w:t xml:space="preserve"> 1973 </w:t>
      </w:r>
      <w:r w:rsidR="00D4749C">
        <w:t xml:space="preserve">through the </w:t>
      </w:r>
      <w:r w:rsidR="00D4749C" w:rsidRPr="00D4749C">
        <w:t>National Apprenticeship Assistance Scheme (NAAS</w:t>
      </w:r>
      <w:r w:rsidR="00D4749C">
        <w:t xml:space="preserve">). </w:t>
      </w:r>
      <w:r w:rsidR="00D4749C" w:rsidRPr="00D4749C">
        <w:t>In 1985 the report of the Committee of Inquiry into Labo</w:t>
      </w:r>
      <w:r w:rsidR="00D4749C">
        <w:t>ur Market Programs</w:t>
      </w:r>
      <w:r w:rsidR="00D4749C" w:rsidRPr="00D4749C">
        <w:t xml:space="preserve"> </w:t>
      </w:r>
      <w:r w:rsidR="00D4749C">
        <w:t>(</w:t>
      </w:r>
      <w:r w:rsidR="00447045">
        <w:t>Kirby R</w:t>
      </w:r>
      <w:r w:rsidR="00D4749C" w:rsidRPr="00D4749C">
        <w:t>eview</w:t>
      </w:r>
      <w:r w:rsidR="00447045">
        <w:t>; 1985</w:t>
      </w:r>
      <w:r w:rsidR="00D4749C">
        <w:t>)</w:t>
      </w:r>
      <w:r w:rsidR="00D4749C" w:rsidRPr="00D4749C">
        <w:t xml:space="preserve"> recommended the introduction </w:t>
      </w:r>
      <w:r w:rsidR="00D4749C" w:rsidRPr="00D4749C">
        <w:lastRenderedPageBreak/>
        <w:t xml:space="preserve">of traineeships, </w:t>
      </w:r>
      <w:r w:rsidR="00D4749C">
        <w:t xml:space="preserve">which acted as a </w:t>
      </w:r>
      <w:r w:rsidR="00D4749C" w:rsidRPr="00D4749C">
        <w:t xml:space="preserve">labour market program </w:t>
      </w:r>
      <w:r w:rsidR="004013F4">
        <w:t>for</w:t>
      </w:r>
      <w:r w:rsidR="00D4749C" w:rsidRPr="00D4749C">
        <w:t xml:space="preserve"> disadvantaged early school leavers (</w:t>
      </w:r>
      <w:r w:rsidR="00D4749C">
        <w:t>Knight 2012</w:t>
      </w:r>
      <w:r w:rsidR="00D4749C" w:rsidRPr="00D4749C">
        <w:t>). This extended the apprenticeship model to a much wider range o</w:t>
      </w:r>
      <w:r w:rsidR="00D4749C">
        <w:t>f occupations</w:t>
      </w:r>
      <w:r w:rsidR="00D4749C" w:rsidRPr="00D4749C">
        <w:t xml:space="preserve"> and industries. </w:t>
      </w:r>
      <w:r w:rsidR="00D4749C">
        <w:t xml:space="preserve">As Knight (2012) argues, </w:t>
      </w:r>
      <w:r w:rsidR="00D4749C" w:rsidRPr="00D4749C">
        <w:t>traineeships were slow to take off, until the injection of significant Australian Government incentive payments to employers in the mid-1990s</w:t>
      </w:r>
      <w:r w:rsidR="00D4749C">
        <w:t xml:space="preserve">. </w:t>
      </w:r>
      <w:r w:rsidR="00EE252B">
        <w:t xml:space="preserve">Over this time, the incentives generally consisted of </w:t>
      </w:r>
      <w:r w:rsidR="008A15B0">
        <w:t xml:space="preserve">a </w:t>
      </w:r>
      <w:r w:rsidR="00EE252B">
        <w:t xml:space="preserve">commencement payment and completion payment. </w:t>
      </w:r>
    </w:p>
    <w:p w:rsidR="00EE252B" w:rsidRDefault="008764B3" w:rsidP="00EE252B">
      <w:pPr>
        <w:pStyle w:val="Text"/>
      </w:pPr>
      <w:r>
        <w:t xml:space="preserve">Other </w:t>
      </w:r>
      <w:r w:rsidR="00C067B5">
        <w:t xml:space="preserve">incentive-type </w:t>
      </w:r>
      <w:r>
        <w:t>payments</w:t>
      </w:r>
      <w:r w:rsidR="00EE252B">
        <w:t xml:space="preserve"> </w:t>
      </w:r>
      <w:r w:rsidR="00C067B5">
        <w:t xml:space="preserve">by governments </w:t>
      </w:r>
      <w:r w:rsidR="00EE252B">
        <w:t xml:space="preserve">have included progression incentives, </w:t>
      </w:r>
      <w:r w:rsidR="00447045">
        <w:t xml:space="preserve">group training organisation </w:t>
      </w:r>
      <w:r w:rsidR="00162D2F">
        <w:t xml:space="preserve">(GTO) </w:t>
      </w:r>
      <w:r w:rsidR="00EE252B">
        <w:t xml:space="preserve">incentives, temporary bonuses following the </w:t>
      </w:r>
      <w:r w:rsidR="00447045">
        <w:t>Global Financial Crisis</w:t>
      </w:r>
      <w:r w:rsidR="00EE252B">
        <w:t>, incentives for occupations and regions facing skills shortages</w:t>
      </w:r>
      <w:r w:rsidR="007E6A4D">
        <w:t>,</w:t>
      </w:r>
      <w:r w:rsidR="00EE252B">
        <w:t xml:space="preserve"> and incentiv</w:t>
      </w:r>
      <w:r w:rsidR="00447045">
        <w:t>es for apprentices from drought-</w:t>
      </w:r>
      <w:r w:rsidR="00EE252B">
        <w:t>affected regions. There ha</w:t>
      </w:r>
      <w:r w:rsidR="007E6A4D">
        <w:t>s</w:t>
      </w:r>
      <w:r w:rsidR="00EE252B">
        <w:t xml:space="preserve"> also been a range of incentives for specific sub</w:t>
      </w:r>
      <w:r w:rsidR="00A86228">
        <w:t>-</w:t>
      </w:r>
      <w:r w:rsidR="00EE252B">
        <w:t>sets of apprentices</w:t>
      </w:r>
      <w:r w:rsidR="00447045">
        <w:t>,</w:t>
      </w:r>
      <w:r w:rsidR="004013F4">
        <w:t xml:space="preserve"> including</w:t>
      </w:r>
      <w:r w:rsidR="00EE252B">
        <w:t xml:space="preserve"> women in non-traditional</w:t>
      </w:r>
      <w:r w:rsidR="004013F4">
        <w:t xml:space="preserve"> areas, those with a disability</w:t>
      </w:r>
      <w:r w:rsidR="00EE252B">
        <w:t xml:space="preserve"> and older apprentices.</w:t>
      </w:r>
    </w:p>
    <w:p w:rsidR="00EE252B" w:rsidRDefault="008A15B0" w:rsidP="00EE252B">
      <w:pPr>
        <w:pStyle w:val="Text"/>
      </w:pPr>
      <w:r>
        <w:t>The</w:t>
      </w:r>
      <w:r w:rsidR="00EE252B">
        <w:t xml:space="preserve"> </w:t>
      </w:r>
      <w:r w:rsidR="00447045">
        <w:t>value</w:t>
      </w:r>
      <w:r w:rsidR="006045BD">
        <w:t xml:space="preserve"> of incentives ranges from $7</w:t>
      </w:r>
      <w:r w:rsidR="00A04C56">
        <w:t>5</w:t>
      </w:r>
      <w:r w:rsidR="006045BD">
        <w:t>0</w:t>
      </w:r>
      <w:r w:rsidR="00EE252B">
        <w:t xml:space="preserve"> to $4000 for each apprentice, subject to completion. </w:t>
      </w:r>
      <w:r w:rsidR="00E74ED5">
        <w:t xml:space="preserve">According to the </w:t>
      </w:r>
      <w:r w:rsidR="00E74ED5" w:rsidRPr="00E74ED5">
        <w:t>Australian Apprenticeships Incentives Program</w:t>
      </w:r>
      <w:r w:rsidR="006931D4">
        <w:t>me</w:t>
      </w:r>
      <w:r w:rsidR="00E74ED5" w:rsidRPr="00E74ED5">
        <w:t xml:space="preserve"> Summary</w:t>
      </w:r>
      <w:r w:rsidR="00562D5F">
        <w:rPr>
          <w:rStyle w:val="FootnoteReference"/>
        </w:rPr>
        <w:footnoteReference w:id="7"/>
      </w:r>
      <w:r w:rsidR="00E74ED5">
        <w:t>, t</w:t>
      </w:r>
      <w:r w:rsidR="00EE252B" w:rsidRPr="00370C8E">
        <w:t>he maximum incentive payable for an apprenticeship or traineeship at certificate III level or higher has r</w:t>
      </w:r>
      <w:r w:rsidR="00E74ED5">
        <w:t>emained fixed at $4000</w:t>
      </w:r>
      <w:r w:rsidR="00EE252B" w:rsidRPr="006045BD">
        <w:t>.</w:t>
      </w:r>
      <w:r w:rsidR="00EE252B" w:rsidRPr="00370C8E">
        <w:t xml:space="preserve"> Progression incentives have been discontinued and the proportion of the total payable on completion has increased from 37.5% to 62.5%. This has the effect of decreasing the value of the incentives to employers whose apprentices and trainees have below-average completion rates</w:t>
      </w:r>
      <w:r w:rsidR="00FA2785">
        <w:t xml:space="preserve"> (NCVER 2011</w:t>
      </w:r>
      <w:r w:rsidR="00EE252B">
        <w:t>)</w:t>
      </w:r>
      <w:r w:rsidR="00EE252B" w:rsidRPr="00370C8E">
        <w:t>.</w:t>
      </w:r>
    </w:p>
    <w:p w:rsidR="00EE252B" w:rsidRDefault="00EE252B" w:rsidP="00EE252B">
      <w:pPr>
        <w:pStyle w:val="Text"/>
      </w:pPr>
      <w:r>
        <w:t>Accor</w:t>
      </w:r>
      <w:r w:rsidR="00FA2785">
        <w:t xml:space="preserve">ding to </w:t>
      </w:r>
      <w:r w:rsidR="00063A28">
        <w:t xml:space="preserve">an </w:t>
      </w:r>
      <w:r w:rsidR="00FA2785">
        <w:t>NCVER analysis (2011</w:t>
      </w:r>
      <w:r>
        <w:t>), the incentives payments account</w:t>
      </w:r>
      <w:r w:rsidR="006045BD">
        <w:t>ed</w:t>
      </w:r>
      <w:r>
        <w:t xml:space="preserve"> for nearly a quarter of the government expense per apprentice or trainee, indicating that they </w:t>
      </w:r>
      <w:r w:rsidR="006045BD">
        <w:t>have been</w:t>
      </w:r>
      <w:r>
        <w:t xml:space="preserve"> a considerable cost to the government. </w:t>
      </w:r>
    </w:p>
    <w:p w:rsidR="00C067B5" w:rsidRDefault="00FC75ED" w:rsidP="00C067B5">
      <w:pPr>
        <w:pStyle w:val="Heading4"/>
      </w:pPr>
      <w:r>
        <w:t xml:space="preserve">Have incentives influenced </w:t>
      </w:r>
      <w:r w:rsidR="00C067B5">
        <w:t>participation</w:t>
      </w:r>
      <w:r>
        <w:t>?</w:t>
      </w:r>
    </w:p>
    <w:p w:rsidR="00B879D0" w:rsidRDefault="00C067B5" w:rsidP="00EE252B">
      <w:pPr>
        <w:pStyle w:val="Text"/>
      </w:pPr>
      <w:r>
        <w:t xml:space="preserve">The </w:t>
      </w:r>
      <w:r w:rsidR="003B1794">
        <w:t>two-decade</w:t>
      </w:r>
      <w:r>
        <w:t xml:space="preserve"> evidence </w:t>
      </w:r>
      <w:r w:rsidR="003B1794">
        <w:t xml:space="preserve">showing </w:t>
      </w:r>
      <w:r w:rsidR="00137DEE">
        <w:t xml:space="preserve">trends in </w:t>
      </w:r>
      <w:r>
        <w:t xml:space="preserve">commencements and completions </w:t>
      </w:r>
      <w:r w:rsidR="003B1794">
        <w:t xml:space="preserve">for both trade and non-trade </w:t>
      </w:r>
      <w:proofErr w:type="gramStart"/>
      <w:r w:rsidR="00137DEE">
        <w:t>apprentices is</w:t>
      </w:r>
      <w:proofErr w:type="gramEnd"/>
      <w:r w:rsidR="003B1794">
        <w:t xml:space="preserve"> shown in f</w:t>
      </w:r>
      <w:r w:rsidR="00EE252B" w:rsidRPr="00AC76A9">
        <w:t>igure</w:t>
      </w:r>
      <w:r w:rsidR="003B1794">
        <w:t>s</w:t>
      </w:r>
      <w:r w:rsidR="00EE252B" w:rsidRPr="00AC76A9">
        <w:t xml:space="preserve"> </w:t>
      </w:r>
      <w:r w:rsidR="00AC76A9" w:rsidRPr="00AC76A9">
        <w:t>15</w:t>
      </w:r>
      <w:r w:rsidR="00C21C05" w:rsidRPr="00AC76A9">
        <w:t xml:space="preserve"> </w:t>
      </w:r>
      <w:r w:rsidR="000E7710">
        <w:t>and 16 respectively.</w:t>
      </w:r>
      <w:r w:rsidR="00137DEE">
        <w:t xml:space="preserve"> Figure 15</w:t>
      </w:r>
      <w:r w:rsidR="003B1794">
        <w:t xml:space="preserve"> </w:t>
      </w:r>
      <w:r w:rsidR="00C21C05" w:rsidRPr="00AC76A9">
        <w:t>shows</w:t>
      </w:r>
      <w:r w:rsidR="00EE252B" w:rsidRPr="00AC76A9">
        <w:t xml:space="preserve"> </w:t>
      </w:r>
      <w:r w:rsidR="006931D4">
        <w:t xml:space="preserve">that </w:t>
      </w:r>
      <w:r w:rsidR="00EE252B" w:rsidRPr="00AC76A9">
        <w:t>there</w:t>
      </w:r>
      <w:r w:rsidR="00EE252B">
        <w:t xml:space="preserve"> has been a gra</w:t>
      </w:r>
      <w:r w:rsidR="00063A28">
        <w:t>dual increase in apprenticeship and traineeship</w:t>
      </w:r>
      <w:r w:rsidR="00EE252B">
        <w:t xml:space="preserve"> commencements over the past few decades</w:t>
      </w:r>
      <w:r w:rsidR="00063A28">
        <w:t>,</w:t>
      </w:r>
      <w:r w:rsidR="00EE252B">
        <w:t xml:space="preserve"> which coincides with the </w:t>
      </w:r>
      <w:r w:rsidR="00274E92">
        <w:t>g</w:t>
      </w:r>
      <w:r w:rsidR="00296119">
        <w:t>eneral broadening of the system</w:t>
      </w:r>
      <w:r w:rsidR="00274E92">
        <w:t xml:space="preserve"> </w:t>
      </w:r>
      <w:r w:rsidR="00296119">
        <w:t>and</w:t>
      </w:r>
      <w:r w:rsidR="00274E92">
        <w:t xml:space="preserve"> the</w:t>
      </w:r>
      <w:r w:rsidR="00152A77">
        <w:t xml:space="preserve"> injection of</w:t>
      </w:r>
      <w:r w:rsidR="00274E92">
        <w:t xml:space="preserve"> </w:t>
      </w:r>
      <w:r w:rsidR="00EE252B">
        <w:t>incentives</w:t>
      </w:r>
      <w:r w:rsidR="00152A77">
        <w:t xml:space="preserve"> payments</w:t>
      </w:r>
      <w:r w:rsidR="00EE252B">
        <w:t xml:space="preserve"> to employers</w:t>
      </w:r>
      <w:r w:rsidR="00152A77">
        <w:t xml:space="preserve"> in the mid-1990s</w:t>
      </w:r>
      <w:r w:rsidR="00EE252B">
        <w:t xml:space="preserve">. Of particular interest is the sharp rise in non-trade apprenticeships (traineeships) for both males and females in the 1990s. This aligns with the consolidation of the apprenticeship and traineeship system </w:t>
      </w:r>
      <w:r w:rsidR="00390479">
        <w:t>and</w:t>
      </w:r>
      <w:r w:rsidR="00EE252B">
        <w:t xml:space="preserve"> </w:t>
      </w:r>
      <w:r w:rsidR="00063A28">
        <w:t xml:space="preserve">the </w:t>
      </w:r>
      <w:r w:rsidR="00EE252B">
        <w:t>introduction of the current Australian Apprenticeships Incentives Program</w:t>
      </w:r>
      <w:r w:rsidR="006931D4">
        <w:t>me</w:t>
      </w:r>
      <w:r w:rsidR="00063A28">
        <w:t>,</w:t>
      </w:r>
      <w:r w:rsidR="00EE252B">
        <w:t xml:space="preserve"> in </w:t>
      </w:r>
      <w:r w:rsidR="00EE252B" w:rsidRPr="007E7745">
        <w:t xml:space="preserve">1998. </w:t>
      </w:r>
      <w:r w:rsidR="00B879D0" w:rsidRPr="007E7745">
        <w:t xml:space="preserve">Since their inception, incentive payments have undergone various changes and amendments </w:t>
      </w:r>
      <w:r w:rsidR="00137DEE" w:rsidRPr="007E7745">
        <w:t>over the years</w:t>
      </w:r>
      <w:r w:rsidR="00137DEE">
        <w:t>.</w:t>
      </w:r>
      <w:r w:rsidR="00137DEE" w:rsidRPr="007E7745">
        <w:t xml:space="preserve"> </w:t>
      </w:r>
      <w:r w:rsidR="00B879D0" w:rsidRPr="007E7745">
        <w:t>(</w:t>
      </w:r>
      <w:r w:rsidR="00B201A6">
        <w:t>S</w:t>
      </w:r>
      <w:r w:rsidR="00B879D0" w:rsidRPr="007E7745">
        <w:t>ee NCVER 2011 for a list of changes to incentives up to 2010</w:t>
      </w:r>
      <w:r w:rsidR="00137DEE">
        <w:t>.)</w:t>
      </w:r>
      <w:r w:rsidR="00597397">
        <w:t xml:space="preserve"> </w:t>
      </w:r>
    </w:p>
    <w:p w:rsidR="00EE252B" w:rsidRDefault="00EE252B" w:rsidP="00EE252B">
      <w:pPr>
        <w:pStyle w:val="Text"/>
      </w:pPr>
      <w:r>
        <w:t>However, as</w:t>
      </w:r>
      <w:r w:rsidR="00063A28">
        <w:t xml:space="preserve"> the various reviews and analyse</w:t>
      </w:r>
      <w:r>
        <w:t xml:space="preserve">s </w:t>
      </w:r>
      <w:r w:rsidR="000E7710">
        <w:t xml:space="preserve">discussed below </w:t>
      </w:r>
      <w:r>
        <w:t>ha</w:t>
      </w:r>
      <w:r w:rsidR="00390479">
        <w:t>ve</w:t>
      </w:r>
      <w:r>
        <w:t xml:space="preserve"> shown, paying incentives does not necessarily lead to increased completion, </w:t>
      </w:r>
      <w:r w:rsidR="00390479">
        <w:t xml:space="preserve">prompting </w:t>
      </w:r>
      <w:r>
        <w:t>the federal government to redesign the scheme over the past few years.</w:t>
      </w:r>
      <w:r w:rsidR="005C022C">
        <w:t xml:space="preserve"> </w:t>
      </w:r>
    </w:p>
    <w:p w:rsidR="00EE252B" w:rsidRDefault="00EE252B" w:rsidP="00EE252B">
      <w:pPr>
        <w:pStyle w:val="Text"/>
      </w:pPr>
      <w:r>
        <w:t>Since 2012, there have been several reductions in the incentives paid to employers</w:t>
      </w:r>
      <w:r w:rsidR="00063A28">
        <w:t>,</w:t>
      </w:r>
      <w:r>
        <w:t xml:space="preserve"> which appear to have had an effect on the commencement</w:t>
      </w:r>
      <w:r w:rsidR="004013F4">
        <w:t>s</w:t>
      </w:r>
      <w:r>
        <w:t xml:space="preserve"> and completions of apprenticeships and traineeships in recent years. The first reduction occurred in </w:t>
      </w:r>
      <w:r w:rsidRPr="00FA2785">
        <w:t>mid-2012</w:t>
      </w:r>
      <w:r>
        <w:t xml:space="preserve"> when the </w:t>
      </w:r>
      <w:r>
        <w:lastRenderedPageBreak/>
        <w:t xml:space="preserve">commencement and recommencement incentive for some qualifications not on the National Skills </w:t>
      </w:r>
      <w:r w:rsidR="004013F4">
        <w:t xml:space="preserve">Needs </w:t>
      </w:r>
      <w:r w:rsidR="00137DEE">
        <w:t>List</w:t>
      </w:r>
      <w:r w:rsidR="004013F4">
        <w:t xml:space="preserve"> </w:t>
      </w:r>
      <w:r>
        <w:t>was abolished</w:t>
      </w:r>
      <w:r w:rsidR="00063A28">
        <w:t>.</w:t>
      </w:r>
      <w:r w:rsidR="00C432BE">
        <w:rPr>
          <w:rStyle w:val="FootnoteReference"/>
        </w:rPr>
        <w:footnoteReference w:id="8"/>
      </w:r>
      <w:r>
        <w:t xml:space="preserve"> In anticipation of these changes, employers were urged to make the most of the scheme before c</w:t>
      </w:r>
      <w:r w:rsidR="00FC0C14">
        <w:t>h</w:t>
      </w:r>
      <w:r w:rsidR="00B32F0D">
        <w:t xml:space="preserve">anges were </w:t>
      </w:r>
      <w:r w:rsidR="007E6A4D">
        <w:t>implemented</w:t>
      </w:r>
      <w:r w:rsidR="00B32F0D">
        <w:t xml:space="preserve">. </w:t>
      </w:r>
      <w:r w:rsidR="00B32F0D" w:rsidRPr="00AC76A9">
        <w:t xml:space="preserve">Figure </w:t>
      </w:r>
      <w:r w:rsidR="00AC76A9" w:rsidRPr="00AC76A9">
        <w:t>15</w:t>
      </w:r>
      <w:r w:rsidRPr="00AC76A9">
        <w:t xml:space="preserve"> shows</w:t>
      </w:r>
      <w:r>
        <w:t xml:space="preserve"> there was a sharp increase in commencement</w:t>
      </w:r>
      <w:r w:rsidR="004013F4">
        <w:t>s</w:t>
      </w:r>
      <w:r>
        <w:t xml:space="preserve"> of non-trade apprentices</w:t>
      </w:r>
      <w:r w:rsidR="00063A28">
        <w:t>hips for both males and females</w:t>
      </w:r>
      <w:r>
        <w:t xml:space="preserve"> in 2011, prior to the incentives ending in 2012. This is followed by a very sharp decrease from 2012 onwards</w:t>
      </w:r>
      <w:r w:rsidR="00063A28">
        <w:t>,</w:t>
      </w:r>
      <w:r>
        <w:t xml:space="preserve"> coinciding with </w:t>
      </w:r>
      <w:r w:rsidR="00063A28">
        <w:t>the termination of incentive payments</w:t>
      </w:r>
      <w:r>
        <w:t xml:space="preserve">. Further announcements were made in </w:t>
      </w:r>
      <w:r w:rsidR="00FA2785">
        <w:t>mid-</w:t>
      </w:r>
      <w:r>
        <w:t xml:space="preserve">2013, with the completion incentives abolished for occupations not on the </w:t>
      </w:r>
      <w:r w:rsidRPr="00F27FBB">
        <w:t>National Skills Needs List</w:t>
      </w:r>
      <w:r w:rsidR="004013F4">
        <w:t>.</w:t>
      </w:r>
      <w:r w:rsidRPr="00F27FBB">
        <w:t xml:space="preserve"> </w:t>
      </w:r>
      <w:r w:rsidR="00B32F0D" w:rsidRPr="00AC76A9">
        <w:t>As figure</w:t>
      </w:r>
      <w:r w:rsidR="00AC76A9" w:rsidRPr="00AC76A9">
        <w:t xml:space="preserve"> 15 </w:t>
      </w:r>
      <w:r>
        <w:t>shows, the decrease in non-t</w:t>
      </w:r>
      <w:r w:rsidR="0044473A">
        <w:t>rade apprenticeships continued</w:t>
      </w:r>
      <w:r>
        <w:t>.</w:t>
      </w:r>
      <w:r w:rsidR="005C022C">
        <w:t xml:space="preserve"> </w:t>
      </w:r>
    </w:p>
    <w:p w:rsidR="00FA2785" w:rsidRDefault="00EE252B" w:rsidP="005604FF">
      <w:pPr>
        <w:pStyle w:val="Text"/>
        <w:rPr>
          <w:rFonts w:ascii="Tahoma" w:hAnsi="Tahoma"/>
          <w:b/>
          <w:sz w:val="17"/>
        </w:rPr>
      </w:pPr>
      <w:r>
        <w:t>Typically, skills on the National Skills Needs List are generally trades, wh</w:t>
      </w:r>
      <w:r w:rsidR="00063A28">
        <w:t>ile</w:t>
      </w:r>
      <w:r>
        <w:t xml:space="preserve"> non-NSNL skills tend to be non-trades, which is why we see traineeships affected by the changes to incentive payments more than</w:t>
      </w:r>
      <w:r w:rsidR="005C39E0">
        <w:t xml:space="preserve"> trade apprenticeships</w:t>
      </w:r>
      <w:r>
        <w:t>.</w:t>
      </w:r>
      <w:r w:rsidRPr="002637C6">
        <w:t xml:space="preserve"> </w:t>
      </w:r>
      <w:r>
        <w:t xml:space="preserve">The implication of the removal of incentive payments </w:t>
      </w:r>
      <w:r w:rsidR="00296119">
        <w:t xml:space="preserve">for </w:t>
      </w:r>
      <w:r>
        <w:t>completions of non-trade apprenticeships follows</w:t>
      </w:r>
      <w:r w:rsidR="00063A28">
        <w:t xml:space="preserve"> a</w:t>
      </w:r>
      <w:r>
        <w:t xml:space="preserve"> similar pattern to commencements</w:t>
      </w:r>
      <w:r w:rsidR="00B32F0D">
        <w:t xml:space="preserve"> (</w:t>
      </w:r>
      <w:r w:rsidR="00B32F0D" w:rsidRPr="00AC76A9">
        <w:t>see figure 1</w:t>
      </w:r>
      <w:r w:rsidR="00AC76A9" w:rsidRPr="00AC76A9">
        <w:t>6</w:t>
      </w:r>
      <w:r w:rsidRPr="00AC76A9">
        <w:t>). In contrast</w:t>
      </w:r>
      <w:r w:rsidR="00063A28">
        <w:t>,</w:t>
      </w:r>
      <w:r>
        <w:t xml:space="preserve"> the completions for male trade occupations ha</w:t>
      </w:r>
      <w:r w:rsidR="008D6A5B">
        <w:t>ve</w:t>
      </w:r>
      <w:r>
        <w:t xml:space="preserve"> increased</w:t>
      </w:r>
      <w:r w:rsidR="005604FF">
        <w:t xml:space="preserve"> (apart from the last year</w:t>
      </w:r>
      <w:r w:rsidR="00F70412">
        <w:t xml:space="preserve"> and 2012-2013</w:t>
      </w:r>
      <w:r w:rsidR="005604FF">
        <w:t>)</w:t>
      </w:r>
      <w:r>
        <w:t>, which is an interesting trend</w:t>
      </w:r>
      <w:r w:rsidR="004013F4">
        <w:t>,</w:t>
      </w:r>
      <w:r>
        <w:t xml:space="preserve"> </w:t>
      </w:r>
      <w:r w:rsidRPr="00C21C05">
        <w:t xml:space="preserve">given </w:t>
      </w:r>
      <w:r w:rsidR="00063A28">
        <w:t xml:space="preserve">that </w:t>
      </w:r>
      <w:r w:rsidR="00943ABA">
        <w:t>a review conducted by</w:t>
      </w:r>
      <w:r w:rsidRPr="00C21C05">
        <w:t xml:space="preserve"> Deloitte </w:t>
      </w:r>
      <w:r w:rsidR="00943ABA">
        <w:t>Access Economics</w:t>
      </w:r>
      <w:r w:rsidRPr="00C21C05">
        <w:t xml:space="preserve"> found that</w:t>
      </w:r>
      <w:r w:rsidR="00B201A6">
        <w:t>,</w:t>
      </w:r>
      <w:r w:rsidR="009F5676">
        <w:t xml:space="preserve"> in the main</w:t>
      </w:r>
      <w:r w:rsidR="00B201A6">
        <w:t>,</w:t>
      </w:r>
      <w:r w:rsidRPr="00C21C05">
        <w:t xml:space="preserve"> incentive payments had a negative effect on completions</w:t>
      </w:r>
      <w:r w:rsidR="007E6A4D">
        <w:t xml:space="preserve"> (Deloitte Access Economics 2012)</w:t>
      </w:r>
      <w:r w:rsidRPr="00C21C05">
        <w:t>.</w:t>
      </w:r>
      <w:r w:rsidR="00FC0C14">
        <w:t xml:space="preserve"> </w:t>
      </w:r>
    </w:p>
    <w:p w:rsidR="00EE252B" w:rsidRDefault="00EE252B" w:rsidP="00296119">
      <w:pPr>
        <w:pStyle w:val="Figuretitle"/>
        <w:ind w:left="993" w:hanging="993"/>
      </w:pPr>
      <w:bookmarkStart w:id="73" w:name="_Toc455670405"/>
      <w:bookmarkStart w:id="74" w:name="_Toc457809798"/>
      <w:r w:rsidRPr="00AC76A9">
        <w:t>Figure</w:t>
      </w:r>
      <w:r w:rsidR="00B32F0D" w:rsidRPr="00AC76A9">
        <w:t xml:space="preserve"> </w:t>
      </w:r>
      <w:r w:rsidR="00AC76A9" w:rsidRPr="00AC76A9">
        <w:t>15</w:t>
      </w:r>
      <w:r w:rsidR="00296119">
        <w:tab/>
      </w:r>
      <w:r w:rsidRPr="00AC76A9">
        <w:t>Trade and non-trade apprenticeship commencement</w:t>
      </w:r>
      <w:r w:rsidR="005604FF" w:rsidRPr="00AC76A9">
        <w:t>s to labour force rates</w:t>
      </w:r>
      <w:r w:rsidR="00063A28" w:rsidRPr="00AC76A9">
        <w:t xml:space="preserve"> by sex,</w:t>
      </w:r>
      <w:r w:rsidR="00AC706A">
        <w:t xml:space="preserve"> </w:t>
      </w:r>
      <w:r w:rsidR="00063A28" w:rsidRPr="00AC76A9">
        <w:t>1996</w:t>
      </w:r>
      <w:r w:rsidR="00063A28">
        <w:t>–</w:t>
      </w:r>
      <w:r w:rsidR="000E7710">
        <w:t>2015</w:t>
      </w:r>
      <w:r w:rsidR="0046269B">
        <w:t xml:space="preserve"> (%)</w:t>
      </w:r>
      <w:bookmarkEnd w:id="73"/>
      <w:bookmarkEnd w:id="74"/>
    </w:p>
    <w:bookmarkStart w:id="75" w:name="_Toc450046702"/>
    <w:bookmarkStart w:id="76" w:name="_Toc450047483"/>
    <w:p w:rsidR="00EE252B" w:rsidRDefault="003C7D01" w:rsidP="00946BA3">
      <w:pPr>
        <w:pStyle w:val="Tabletext"/>
      </w:pPr>
      <w:r>
        <w:rPr>
          <w:noProof/>
          <w:lang w:eastAsia="en-AU"/>
        </w:rPr>
        <mc:AlternateContent>
          <mc:Choice Requires="wps">
            <w:drawing>
              <wp:anchor distT="0" distB="0" distL="114300" distR="114300" simplePos="0" relativeHeight="252001280" behindDoc="0" locked="0" layoutInCell="1" allowOverlap="1">
                <wp:simplePos x="0" y="0"/>
                <wp:positionH relativeFrom="column">
                  <wp:posOffset>3300095</wp:posOffset>
                </wp:positionH>
                <wp:positionV relativeFrom="paragraph">
                  <wp:posOffset>-1270</wp:posOffset>
                </wp:positionV>
                <wp:extent cx="1362075" cy="381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81000"/>
                        </a:xfrm>
                        <a:prstGeom prst="rect">
                          <a:avLst/>
                        </a:prstGeom>
                        <a:noFill/>
                        <a:ln w="9525">
                          <a:noFill/>
                          <a:miter lim="800000"/>
                          <a:headEnd/>
                          <a:tailEnd/>
                        </a:ln>
                      </wps:spPr>
                      <wps:txbx>
                        <w:txbxContent>
                          <w:p w:rsidR="00B25378" w:rsidRPr="00D26FBA" w:rsidRDefault="00B25378">
                            <w:pPr>
                              <w:rPr>
                                <w:rFonts w:ascii="Arial" w:hAnsi="Arial" w:cs="Arial"/>
                                <w:sz w:val="15"/>
                                <w:szCs w:val="15"/>
                              </w:rPr>
                            </w:pPr>
                            <w:r w:rsidRPr="00D26FBA">
                              <w:rPr>
                                <w:rFonts w:ascii="Arial" w:hAnsi="Arial" w:cs="Arial"/>
                                <w:sz w:val="15"/>
                                <w:szCs w:val="15"/>
                              </w:rPr>
                              <w:t>Withdrawal of incentives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59.85pt;margin-top:-.1pt;width:107.25pt;height:3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" filled="f" stroked="f">
                <v:textbox>
                  <w:txbxContent>
                    <w:p w:rsidR="00B25378" w:rsidRPr="00D26FBA" w:rsidRDefault="00B25378">
                      <w:pPr>
                        <w:rPr>
                          <w:rFonts w:ascii="Arial" w:hAnsi="Arial" w:cs="Arial"/>
                          <w:sz w:val="15"/>
                          <w:szCs w:val="15"/>
                        </w:rPr>
                      </w:pPr>
                      <w:r w:rsidRPr="00D26FBA">
                        <w:rPr>
                          <w:rFonts w:ascii="Arial" w:hAnsi="Arial" w:cs="Arial"/>
                          <w:sz w:val="15"/>
                          <w:szCs w:val="15"/>
                        </w:rPr>
                        <w:t>Withdrawal of incentives</w:t>
                      </w:r>
                    </w:p>
                  </w:txbxContent>
                </v:textbox>
              </v:shape>
            </w:pict>
          </mc:Fallback>
        </mc:AlternateContent>
      </w:r>
      <w:r>
        <w:rPr>
          <w:noProof/>
          <w:lang w:eastAsia="en-AU"/>
        </w:rPr>
        <mc:AlternateContent>
          <mc:Choice Requires="wps">
            <w:drawing>
              <wp:anchor distT="0" distB="0" distL="114300" distR="114300" simplePos="0" relativeHeight="251999232" behindDoc="0" locked="0" layoutInCell="1" allowOverlap="1">
                <wp:simplePos x="0" y="0"/>
                <wp:positionH relativeFrom="column">
                  <wp:posOffset>2110105</wp:posOffset>
                </wp:positionH>
                <wp:positionV relativeFrom="paragraph">
                  <wp:posOffset>0</wp:posOffset>
                </wp:positionV>
                <wp:extent cx="1266825" cy="3581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8140"/>
                        </a:xfrm>
                        <a:prstGeom prst="rect">
                          <a:avLst/>
                        </a:prstGeom>
                        <a:noFill/>
                        <a:ln w="9525">
                          <a:noFill/>
                          <a:miter lim="800000"/>
                          <a:headEnd/>
                          <a:tailEnd/>
                        </a:ln>
                      </wps:spPr>
                      <wps:txbx>
                        <w:txbxContent>
                          <w:p w:rsidR="00B25378" w:rsidRPr="00D26FBA" w:rsidRDefault="00B25378">
                            <w:pPr>
                              <w:rPr>
                                <w:rFonts w:ascii="Arial" w:hAnsi="Arial" w:cs="Arial"/>
                                <w:sz w:val="15"/>
                                <w:szCs w:val="15"/>
                              </w:rPr>
                            </w:pPr>
                            <w:r w:rsidRPr="00D26FBA">
                              <w:rPr>
                                <w:rFonts w:ascii="Arial" w:hAnsi="Arial" w:cs="Arial"/>
                                <w:sz w:val="15"/>
                                <w:szCs w:val="15"/>
                              </w:rPr>
                              <w:t>Change to incentives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66.15pt;margin-top:0;width:99.75pt;height:28.2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" filled="f" stroked="f">
                <v:textbox style="mso-fit-shape-to-text:t">
                  <w:txbxContent>
                    <w:p w:rsidR="00B25378" w:rsidRPr="00D26FBA" w:rsidRDefault="00B25378">
                      <w:pPr>
                        <w:rPr>
                          <w:rFonts w:ascii="Arial" w:hAnsi="Arial" w:cs="Arial"/>
                          <w:sz w:val="15"/>
                          <w:szCs w:val="15"/>
                        </w:rPr>
                      </w:pPr>
                      <w:r w:rsidRPr="00D26FBA">
                        <w:rPr>
                          <w:rFonts w:ascii="Arial" w:hAnsi="Arial" w:cs="Arial"/>
                          <w:sz w:val="15"/>
                          <w:szCs w:val="15"/>
                        </w:rPr>
                        <w:t>Change to incentives</w:t>
                      </w:r>
                    </w:p>
                  </w:txbxContent>
                </v:textbox>
              </v:shape>
            </w:pict>
          </mc:Fallback>
        </mc:AlternateContent>
      </w:r>
      <w:r w:rsidR="00C436BB">
        <w:rPr>
          <w:noProof/>
          <w:lang w:eastAsia="en-AU"/>
        </w:rPr>
        <w:drawing>
          <wp:inline distT="0" distB="0" distL="0" distR="0" wp14:anchorId="5C219169" wp14:editId="0ED44503">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75"/>
      <w:bookmarkEnd w:id="76"/>
    </w:p>
    <w:p w:rsidR="00063A28" w:rsidRPr="0021370E" w:rsidRDefault="00063A28" w:rsidP="00063A28">
      <w:pPr>
        <w:pStyle w:val="Source"/>
      </w:pPr>
      <w:r>
        <w:t>Notes:</w:t>
      </w:r>
      <w:r w:rsidR="005C022C">
        <w:t xml:space="preserve"> </w:t>
      </w:r>
      <w:r w:rsidR="00D26FBA">
        <w:tab/>
      </w:r>
      <w:r>
        <w:t>Commencements are based on financial year starting from July 1995 to June 1996 and ending with July 2014 to June 2015. The rate is expressed as commencements as a proportion of the 15 to 64-year-old labour force</w:t>
      </w:r>
      <w:r w:rsidR="004013F4">
        <w:t>.</w:t>
      </w:r>
    </w:p>
    <w:p w:rsidR="00C436BB" w:rsidRDefault="005C39E0" w:rsidP="009F5676">
      <w:pPr>
        <w:pStyle w:val="Source"/>
      </w:pPr>
      <w:r w:rsidRPr="00FA2785">
        <w:t>Source:</w:t>
      </w:r>
      <w:r w:rsidR="00FA2785" w:rsidRPr="00FA2785">
        <w:t xml:space="preserve"> </w:t>
      </w:r>
      <w:r w:rsidR="00D26FBA">
        <w:tab/>
      </w:r>
      <w:r w:rsidR="000F096F">
        <w:t>NCVER Apprentice</w:t>
      </w:r>
      <w:r w:rsidR="00FA2785" w:rsidRPr="00FA2785">
        <w:t xml:space="preserve"> and </w:t>
      </w:r>
      <w:r w:rsidR="000F096F">
        <w:t>Trainee</w:t>
      </w:r>
      <w:r w:rsidR="00063A28" w:rsidRPr="00FA2785">
        <w:t xml:space="preserve"> Collection </w:t>
      </w:r>
      <w:r w:rsidR="00FA2785" w:rsidRPr="00FA2785">
        <w:t>199</w:t>
      </w:r>
      <w:r w:rsidR="00C436BB">
        <w:t>5</w:t>
      </w:r>
      <w:r w:rsidR="00063A28">
        <w:t>–</w:t>
      </w:r>
      <w:r w:rsidR="00FA2785" w:rsidRPr="00FA2785">
        <w:t>201</w:t>
      </w:r>
      <w:r w:rsidR="005D4370">
        <w:t>5</w:t>
      </w:r>
      <w:r w:rsidR="00063A28">
        <w:t>;</w:t>
      </w:r>
      <w:r w:rsidR="00C436BB">
        <w:t xml:space="preserve"> ABS</w:t>
      </w:r>
      <w:r w:rsidR="00063A28">
        <w:t xml:space="preserve"> Labour force Australia cat.no.</w:t>
      </w:r>
      <w:r w:rsidR="00C436BB">
        <w:t>6291.0.55.001, cube LM1</w:t>
      </w:r>
      <w:r w:rsidR="00063A28">
        <w:t>.</w:t>
      </w:r>
    </w:p>
    <w:p w:rsidR="00D26FBA" w:rsidRDefault="00D26FBA">
      <w:pPr>
        <w:spacing w:before="0" w:line="240" w:lineRule="auto"/>
        <w:rPr>
          <w:rFonts w:ascii="Tahoma" w:hAnsi="Tahoma"/>
          <w:b/>
          <w:sz w:val="17"/>
        </w:rPr>
      </w:pPr>
      <w:bookmarkStart w:id="77" w:name="_Toc455670407"/>
      <w:bookmarkStart w:id="78" w:name="_Toc457809799"/>
      <w:r>
        <w:br w:type="page"/>
      </w:r>
    </w:p>
    <w:p w:rsidR="00EE252B" w:rsidRPr="003D421E" w:rsidRDefault="00EE252B" w:rsidP="00296119">
      <w:pPr>
        <w:pStyle w:val="Figuretitle"/>
        <w:ind w:left="993" w:hanging="993"/>
      </w:pPr>
      <w:r w:rsidRPr="00AC76A9">
        <w:lastRenderedPageBreak/>
        <w:t>Figure</w:t>
      </w:r>
      <w:r w:rsidR="00B32F0D" w:rsidRPr="00AC76A9">
        <w:t xml:space="preserve"> </w:t>
      </w:r>
      <w:r w:rsidR="00AC76A9" w:rsidRPr="00AC76A9">
        <w:t>16</w:t>
      </w:r>
      <w:r w:rsidR="00296119">
        <w:tab/>
      </w:r>
      <w:r w:rsidRPr="00AC76A9">
        <w:t>Trade</w:t>
      </w:r>
      <w:r>
        <w:t xml:space="preserve"> and non-trade apprenticeship completions</w:t>
      </w:r>
      <w:r w:rsidR="005604FF">
        <w:t xml:space="preserve"> to labour force rates</w:t>
      </w:r>
      <w:r w:rsidR="00063A28">
        <w:t>, 1996–</w:t>
      </w:r>
      <w:r>
        <w:t>201</w:t>
      </w:r>
      <w:r w:rsidR="00040343">
        <w:t>5</w:t>
      </w:r>
      <w:r w:rsidR="0046269B">
        <w:t xml:space="preserve"> (%)</w:t>
      </w:r>
      <w:bookmarkEnd w:id="77"/>
      <w:bookmarkEnd w:id="78"/>
    </w:p>
    <w:p w:rsidR="00EE252B" w:rsidRDefault="005604FF" w:rsidP="00946BA3">
      <w:pPr>
        <w:pStyle w:val="Tabletext"/>
      </w:pPr>
      <w:bookmarkStart w:id="79" w:name="_Toc450046704"/>
      <w:bookmarkStart w:id="80" w:name="_Toc450047485"/>
      <w:r>
        <w:rPr>
          <w:noProof/>
          <w:lang w:eastAsia="en-AU"/>
        </w:rPr>
        <w:drawing>
          <wp:inline distT="0" distB="0" distL="0" distR="0" wp14:anchorId="4FE8D3EF" wp14:editId="3217484C">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79"/>
      <w:bookmarkEnd w:id="80"/>
    </w:p>
    <w:p w:rsidR="00063A28" w:rsidRPr="0021370E" w:rsidRDefault="00063A28" w:rsidP="009F5676">
      <w:pPr>
        <w:pStyle w:val="Source"/>
      </w:pPr>
      <w:r>
        <w:t>Notes:</w:t>
      </w:r>
      <w:r w:rsidR="005C022C">
        <w:t xml:space="preserve"> </w:t>
      </w:r>
      <w:r w:rsidR="00D26FBA">
        <w:tab/>
      </w:r>
      <w:r>
        <w:t>Completions are based on financi</w:t>
      </w:r>
      <w:r w:rsidR="004F6417">
        <w:t xml:space="preserve">al year starting from July 1995 to </w:t>
      </w:r>
      <w:r>
        <w:t>June</w:t>
      </w:r>
      <w:r w:rsidR="004F6417">
        <w:t xml:space="preserve"> 1996 and ending with July 2014 to </w:t>
      </w:r>
      <w:r>
        <w:t>June 2015. The rate is expressed as comple</w:t>
      </w:r>
      <w:r w:rsidR="004F6417">
        <w:t>tions as a proportion of the 15 to 64-year-</w:t>
      </w:r>
      <w:r>
        <w:t>old labour force</w:t>
      </w:r>
    </w:p>
    <w:p w:rsidR="005604FF" w:rsidRDefault="005604FF" w:rsidP="009F5676">
      <w:pPr>
        <w:pStyle w:val="Source"/>
      </w:pPr>
      <w:r w:rsidRPr="00FA2785">
        <w:t xml:space="preserve">Source: </w:t>
      </w:r>
      <w:r w:rsidR="00D26FBA">
        <w:tab/>
      </w:r>
      <w:r w:rsidR="000F096F">
        <w:t>NCVER Apprentice</w:t>
      </w:r>
      <w:r w:rsidRPr="00FA2785">
        <w:t xml:space="preserve"> and </w:t>
      </w:r>
      <w:r w:rsidR="000F096F">
        <w:t>Trainee</w:t>
      </w:r>
      <w:r w:rsidR="004F6417" w:rsidRPr="00FA2785">
        <w:t xml:space="preserve"> Collection </w:t>
      </w:r>
      <w:r w:rsidRPr="00FA2785">
        <w:t>199</w:t>
      </w:r>
      <w:r>
        <w:t>5</w:t>
      </w:r>
      <w:r w:rsidR="004F6417">
        <w:t>–</w:t>
      </w:r>
      <w:r w:rsidRPr="00FA2785">
        <w:t>201</w:t>
      </w:r>
      <w:r w:rsidR="005D4370">
        <w:t>5</w:t>
      </w:r>
      <w:r w:rsidR="004F6417">
        <w:t>;</w:t>
      </w:r>
      <w:r>
        <w:t xml:space="preserve"> ABS</w:t>
      </w:r>
      <w:r w:rsidR="004F6417">
        <w:t xml:space="preserve"> Labour force Australia cat.no.</w:t>
      </w:r>
      <w:r>
        <w:t>6291.0.55.001, cube LM1</w:t>
      </w:r>
      <w:r w:rsidR="004F6417">
        <w:t>.</w:t>
      </w:r>
    </w:p>
    <w:p w:rsidR="00C067B5" w:rsidRDefault="00FC75ED" w:rsidP="00C067B5">
      <w:pPr>
        <w:pStyle w:val="Heading4"/>
      </w:pPr>
      <w:r>
        <w:t>What are t</w:t>
      </w:r>
      <w:r w:rsidR="002028AC">
        <w:t>he merits of incentive payments</w:t>
      </w:r>
      <w:r>
        <w:t>?</w:t>
      </w:r>
    </w:p>
    <w:p w:rsidR="00C067B5" w:rsidRPr="004938A2" w:rsidRDefault="00077455" w:rsidP="00C067B5">
      <w:pPr>
        <w:pStyle w:val="Text"/>
      </w:pPr>
      <w:r>
        <w:t>Whil</w:t>
      </w:r>
      <w:r w:rsidR="002028AC">
        <w:t>e</w:t>
      </w:r>
      <w:r>
        <w:t xml:space="preserve"> clearly employers value incentive payments, there</w:t>
      </w:r>
      <w:r w:rsidR="00EE7EE4">
        <w:t xml:space="preserve"> are alternat</w:t>
      </w:r>
      <w:r w:rsidR="007E6A4D">
        <w:t>iv</w:t>
      </w:r>
      <w:r w:rsidR="00EE7EE4">
        <w:t xml:space="preserve">e views about the merits </w:t>
      </w:r>
      <w:r>
        <w:t>of such</w:t>
      </w:r>
      <w:r w:rsidR="00C067B5">
        <w:t xml:space="preserve"> payments.</w:t>
      </w:r>
      <w:r>
        <w:t xml:space="preserve"> Their</w:t>
      </w:r>
      <w:r w:rsidR="00C067B5">
        <w:t xml:space="preserve"> existence </w:t>
      </w:r>
      <w:r w:rsidR="00EE7EE4">
        <w:t>has been argued as not</w:t>
      </w:r>
      <w:r w:rsidR="007E6A4D">
        <w:t xml:space="preserve"> necessarily having</w:t>
      </w:r>
      <w:r w:rsidR="00C067B5">
        <w:t xml:space="preserve"> an impact on the recruitment decisions of employers (</w:t>
      </w:r>
      <w:r w:rsidR="00EE7EE4">
        <w:t xml:space="preserve">Curtin </w:t>
      </w:r>
      <w:r w:rsidR="007E6A4D">
        <w:t xml:space="preserve">University, </w:t>
      </w:r>
      <w:r w:rsidR="00C067B5">
        <w:t>Centre for Labour Market Research 1997). A</w:t>
      </w:r>
      <w:r w:rsidR="00296119">
        <w:t xml:space="preserve"> 2008</w:t>
      </w:r>
      <w:r w:rsidR="00C067B5">
        <w:t xml:space="preserve"> e</w:t>
      </w:r>
      <w:r w:rsidR="00C067B5" w:rsidRPr="004938A2">
        <w:t>conomic</w:t>
      </w:r>
      <w:r w:rsidR="00C067B5">
        <w:t xml:space="preserve"> analysis of the apprenticeship</w:t>
      </w:r>
      <w:r w:rsidR="00C067B5" w:rsidRPr="004938A2">
        <w:t xml:space="preserve"> and traineeship system</w:t>
      </w:r>
      <w:r w:rsidR="00296119">
        <w:t xml:space="preserve"> s</w:t>
      </w:r>
      <w:r w:rsidR="00C067B5" w:rsidRPr="004938A2">
        <w:t xml:space="preserve">howed that the cost of the standard incentives is a concern because there is little evidence that these have significantly increased the number of apprentices. The analysis found that </w:t>
      </w:r>
      <w:r w:rsidR="00C067B5">
        <w:t>t</w:t>
      </w:r>
      <w:r w:rsidR="00C067B5" w:rsidRPr="004938A2">
        <w:t>he take-up rate of commencement incentives is reasonably high</w:t>
      </w:r>
      <w:r w:rsidR="00C067B5">
        <w:t>,</w:t>
      </w:r>
      <w:r w:rsidR="00C067B5" w:rsidRPr="004938A2">
        <w:t xml:space="preserve"> at around 75%, and the take-up rate of completion incentives is over 90%. </w:t>
      </w:r>
      <w:r w:rsidR="00C067B5">
        <w:t>A</w:t>
      </w:r>
      <w:r w:rsidR="00C067B5" w:rsidRPr="004938A2">
        <w:t xml:space="preserve"> little over one-third of Australian Apprenticeship Incentives Program</w:t>
      </w:r>
      <w:r w:rsidR="00296119">
        <w:t>me</w:t>
      </w:r>
      <w:r w:rsidR="00C067B5" w:rsidRPr="004938A2">
        <w:t xml:space="preserve"> </w:t>
      </w:r>
      <w:r w:rsidR="00C067B5">
        <w:t xml:space="preserve">(AAIP) </w:t>
      </w:r>
      <w:r w:rsidR="00C067B5" w:rsidRPr="004938A2">
        <w:t xml:space="preserve">payments went to </w:t>
      </w:r>
      <w:r w:rsidR="00C067B5">
        <w:t>skills</w:t>
      </w:r>
      <w:r w:rsidR="00C067B5" w:rsidRPr="004938A2">
        <w:t xml:space="preserve"> shortage areas</w:t>
      </w:r>
      <w:r w:rsidR="00562D5F" w:rsidRPr="00562D5F">
        <w:t xml:space="preserve"> </w:t>
      </w:r>
      <w:r w:rsidR="00562D5F">
        <w:t>(</w:t>
      </w:r>
      <w:proofErr w:type="spellStart"/>
      <w:r w:rsidR="00562D5F" w:rsidRPr="004938A2">
        <w:t>Karmel</w:t>
      </w:r>
      <w:proofErr w:type="spellEnd"/>
      <w:r w:rsidR="00562D5F" w:rsidRPr="004938A2">
        <w:t xml:space="preserve"> et al</w:t>
      </w:r>
      <w:r w:rsidR="00562D5F">
        <w:t>. 2008).</w:t>
      </w:r>
    </w:p>
    <w:p w:rsidR="00C067B5" w:rsidRPr="004938A2" w:rsidRDefault="00296119" w:rsidP="00C067B5">
      <w:pPr>
        <w:pStyle w:val="Text"/>
      </w:pPr>
      <w:r>
        <w:t>The</w:t>
      </w:r>
      <w:r w:rsidR="00137DEE">
        <w:t xml:space="preserve"> an</w:t>
      </w:r>
      <w:r w:rsidR="00EE7EE4">
        <w:t>alysis by</w:t>
      </w:r>
      <w:r w:rsidR="00C067B5" w:rsidRPr="004938A2">
        <w:t xml:space="preserve"> </w:t>
      </w:r>
      <w:proofErr w:type="spellStart"/>
      <w:r w:rsidR="00C067B5" w:rsidRPr="004938A2">
        <w:t>Karmel</w:t>
      </w:r>
      <w:proofErr w:type="spellEnd"/>
      <w:r w:rsidR="00C067B5" w:rsidRPr="004938A2">
        <w:t xml:space="preserve"> et al</w:t>
      </w:r>
      <w:r w:rsidR="00C067B5">
        <w:t>.</w:t>
      </w:r>
      <w:r w:rsidR="001A2CC2">
        <w:t xml:space="preserve"> (2008)</w:t>
      </w:r>
      <w:r w:rsidR="00C067B5" w:rsidRPr="004938A2">
        <w:t xml:space="preserve"> </w:t>
      </w:r>
      <w:r w:rsidR="00EE7EE4">
        <w:t>came to the view that the incentive</w:t>
      </w:r>
      <w:r w:rsidR="00C067B5" w:rsidRPr="004938A2">
        <w:t xml:space="preserve"> model </w:t>
      </w:r>
      <w:r w:rsidR="00137DEE">
        <w:t xml:space="preserve">of the time </w:t>
      </w:r>
      <w:r w:rsidR="00EE7EE4">
        <w:t>was</w:t>
      </w:r>
      <w:r w:rsidR="00C067B5" w:rsidRPr="004938A2">
        <w:t xml:space="preserve"> expensive for trades training from an employer perspective and </w:t>
      </w:r>
      <w:r>
        <w:t xml:space="preserve">that </w:t>
      </w:r>
      <w:r w:rsidR="00C067B5" w:rsidRPr="004938A2">
        <w:t xml:space="preserve">incentive payments do little to mitigate the costs. </w:t>
      </w:r>
    </w:p>
    <w:p w:rsidR="00C067B5" w:rsidRDefault="00C067B5" w:rsidP="00C067B5">
      <w:pPr>
        <w:pStyle w:val="Text"/>
      </w:pPr>
      <w:r>
        <w:t>In light of NCVER’s (2011) economic analysis of incentive payments, the Apprenticeships for the 21st Century Expert Panel (2011, p.14) in its review of Australian apprenticeships recommended that</w:t>
      </w:r>
      <w:r w:rsidRPr="00BD3816">
        <w:t xml:space="preserve"> </w:t>
      </w:r>
      <w:r>
        <w:t xml:space="preserve">the Australian Government: </w:t>
      </w:r>
    </w:p>
    <w:p w:rsidR="00C067B5" w:rsidRDefault="00C067B5" w:rsidP="00C067B5">
      <w:pPr>
        <w:pStyle w:val="Quote"/>
      </w:pPr>
      <w:proofErr w:type="gramStart"/>
      <w:r>
        <w:t>r</w:t>
      </w:r>
      <w:r w:rsidRPr="00BD3816">
        <w:t>edirect</w:t>
      </w:r>
      <w:proofErr w:type="gramEnd"/>
      <w:r w:rsidRPr="00BD3816">
        <w:t xml:space="preserve"> employer incentives to provide structured support services to eligible apprentices and trainees and their employers in occupations that are priori</w:t>
      </w:r>
      <w:r>
        <w:t xml:space="preserve">ties for the Australian economy. </w:t>
      </w:r>
    </w:p>
    <w:p w:rsidR="00C067B5" w:rsidRDefault="00C067B5" w:rsidP="00C067B5">
      <w:pPr>
        <w:pStyle w:val="Text"/>
      </w:pPr>
      <w:r>
        <w:t>In response, the Australian Government commissioned an econometric review of the Australian Apprenticeships Incentives Program</w:t>
      </w:r>
      <w:r w:rsidR="006931D4">
        <w:t>me</w:t>
      </w:r>
      <w:r>
        <w:t xml:space="preserve"> to determine its effectiveness and agreed to reform the incentives program to simplify and better target the payments to more effectively support Australia’s skills needs. </w:t>
      </w:r>
    </w:p>
    <w:p w:rsidR="000E7710" w:rsidRDefault="00C067B5" w:rsidP="000E7710">
      <w:pPr>
        <w:pStyle w:val="Text"/>
      </w:pPr>
      <w:r>
        <w:lastRenderedPageBreak/>
        <w:t xml:space="preserve">The econometric review of the program, undertaken by Deloitte Access Economics (2012), found that the incentive payments have had a positive effect on commencement and have been successful in encouraging the uptake of apprenticeships. However, the review also found that incentives are largely ineffective in producing qualified workers, as they are associated with an increase in the likelihood of cancelling an apprenticeship or traineeship, as well as a decrease in completing an apprenticeship or traineeship, contrary to what </w:t>
      </w:r>
      <w:r w:rsidR="001A2CC2">
        <w:t>might be expected</w:t>
      </w:r>
      <w:r>
        <w:t xml:space="preserve"> (Deloitte Access Economics 2012). There are a couple of exceptions</w:t>
      </w:r>
      <w:r w:rsidR="001A2CC2">
        <w:t>, which show</w:t>
      </w:r>
      <w:r>
        <w:t xml:space="preserve"> that certain targeted incentives are more successful.</w:t>
      </w:r>
      <w:r w:rsidRPr="004417BE">
        <w:t xml:space="preserve"> Specific incentive payments, such as those aimed a</w:t>
      </w:r>
      <w:r>
        <w:t>t</w:t>
      </w:r>
      <w:r w:rsidRPr="004417BE">
        <w:t xml:space="preserve"> disadvantaged apprentices (namely</w:t>
      </w:r>
      <w:r>
        <w:t>,</w:t>
      </w:r>
      <w:r w:rsidRPr="004417BE">
        <w:t xml:space="preserve"> Indigenous </w:t>
      </w:r>
      <w:r>
        <w:t xml:space="preserve">people </w:t>
      </w:r>
      <w:r w:rsidRPr="004417BE">
        <w:t xml:space="preserve">and those with a disability), </w:t>
      </w:r>
      <w:r>
        <w:t>those</w:t>
      </w:r>
      <w:r w:rsidRPr="004417BE">
        <w:t xml:space="preserve"> encouraging uptake by older apprentices, or </w:t>
      </w:r>
      <w:r>
        <w:t>those available in</w:t>
      </w:r>
      <w:r w:rsidRPr="004417BE">
        <w:t xml:space="preserve"> the</w:t>
      </w:r>
      <w:r>
        <w:t xml:space="preserve"> case of a financial crisis, appear </w:t>
      </w:r>
      <w:r w:rsidRPr="004417BE">
        <w:t>to be more effective</w:t>
      </w:r>
      <w:r>
        <w:t xml:space="preserve"> (Deloitte Access Economics 2012; NCVER 2011)</w:t>
      </w:r>
      <w:r w:rsidRPr="004417BE">
        <w:t>.</w:t>
      </w:r>
      <w:r>
        <w:t xml:space="preserve"> </w:t>
      </w:r>
    </w:p>
    <w:p w:rsidR="00D63DC2" w:rsidRDefault="00F04491" w:rsidP="000E7710">
      <w:pPr>
        <w:pStyle w:val="Heading3"/>
      </w:pPr>
      <w:r>
        <w:t>Ac</w:t>
      </w:r>
      <w:r w:rsidR="00D63DC2">
        <w:t>celerated apprenticeships</w:t>
      </w:r>
    </w:p>
    <w:p w:rsidR="005F587A" w:rsidRDefault="00F746AB" w:rsidP="00CF15DA">
      <w:pPr>
        <w:pStyle w:val="Text"/>
      </w:pPr>
      <w:r w:rsidRPr="00FA2785">
        <w:t xml:space="preserve">The </w:t>
      </w:r>
      <w:r w:rsidR="00137DEE">
        <w:t>potential for</w:t>
      </w:r>
      <w:r w:rsidRPr="00FA2785">
        <w:t xml:space="preserve"> </w:t>
      </w:r>
      <w:r w:rsidR="008D6A5B">
        <w:t xml:space="preserve">more </w:t>
      </w:r>
      <w:r w:rsidRPr="00FA2785">
        <w:t>rapid completion</w:t>
      </w:r>
      <w:r w:rsidR="007F5DF5" w:rsidRPr="00FA2785">
        <w:t xml:space="preserve"> </w:t>
      </w:r>
      <w:r w:rsidRPr="00FA2785">
        <w:t xml:space="preserve">has always </w:t>
      </w:r>
      <w:r w:rsidR="00A87EED" w:rsidRPr="00FA2785">
        <w:t>existed</w:t>
      </w:r>
      <w:r w:rsidR="004F6417">
        <w:t xml:space="preserve"> under the competency-</w:t>
      </w:r>
      <w:r w:rsidRPr="00FA2785">
        <w:t>based system (</w:t>
      </w:r>
      <w:r w:rsidR="003B3785">
        <w:t xml:space="preserve">CBT) — </w:t>
      </w:r>
      <w:r w:rsidRPr="00FA2785">
        <w:t xml:space="preserve">as opposed to </w:t>
      </w:r>
      <w:r w:rsidR="00231FA1">
        <w:t xml:space="preserve">a </w:t>
      </w:r>
      <w:r w:rsidR="004F6417">
        <w:t>curriculum-based time-</w:t>
      </w:r>
      <w:r w:rsidR="003B3785">
        <w:t>serving system</w:t>
      </w:r>
      <w:r w:rsidRPr="00FA2785">
        <w:t xml:space="preserve">. </w:t>
      </w:r>
      <w:r w:rsidR="008D6A5B">
        <w:t>F</w:t>
      </w:r>
      <w:r w:rsidRPr="00FA2785">
        <w:t xml:space="preserve">or apprenticeships this </w:t>
      </w:r>
      <w:r w:rsidRPr="00342A09">
        <w:t>was not formalised</w:t>
      </w:r>
      <w:r w:rsidRPr="00FA2785">
        <w:t xml:space="preserve"> until</w:t>
      </w:r>
      <w:r w:rsidR="009924DB" w:rsidRPr="00FA2785">
        <w:t xml:space="preserve"> the Australian Government’s Accelerated Australian Apprenticeships</w:t>
      </w:r>
      <w:r w:rsidR="00CA314D" w:rsidRPr="00FA2785">
        <w:t xml:space="preserve"> (AAA)</w:t>
      </w:r>
      <w:r w:rsidR="009924DB" w:rsidRPr="00FA2785">
        <w:t xml:space="preserve"> Initiative.</w:t>
      </w:r>
      <w:r w:rsidRPr="00FA2785">
        <w:t xml:space="preserve"> </w:t>
      </w:r>
      <w:r w:rsidR="00450B9B" w:rsidRPr="00FA2785">
        <w:t>This</w:t>
      </w:r>
      <w:r w:rsidR="00450B9B">
        <w:t xml:space="preserve"> policy has been chosen for discussion because it was the first attem</w:t>
      </w:r>
      <w:r w:rsidR="009F5676">
        <w:t>pt to facilitate apprenticeship</w:t>
      </w:r>
      <w:r w:rsidR="00450B9B">
        <w:t xml:space="preserve"> </w:t>
      </w:r>
      <w:r w:rsidR="004F6417">
        <w:t>completion in shorter timeframes</w:t>
      </w:r>
      <w:r w:rsidR="00450B9B">
        <w:t xml:space="preserve">. The policy rhetoric </w:t>
      </w:r>
      <w:r w:rsidR="004F6417">
        <w:t>associated with</w:t>
      </w:r>
      <w:r w:rsidR="00450B9B">
        <w:t xml:space="preserve"> accelerated apprenticeships, as well as specific policy initiatives like AAA</w:t>
      </w:r>
      <w:r w:rsidR="008D6A5B">
        <w:t>,</w:t>
      </w:r>
      <w:r w:rsidR="00450B9B">
        <w:t xml:space="preserve"> ha</w:t>
      </w:r>
      <w:r w:rsidR="004F6417">
        <w:t>s</w:t>
      </w:r>
      <w:r w:rsidR="00450B9B">
        <w:t xml:space="preserve"> coincided with </w:t>
      </w:r>
      <w:r w:rsidR="00877B9D">
        <w:t>an increase in the proportion of</w:t>
      </w:r>
      <w:r w:rsidR="00450B9B">
        <w:t xml:space="preserve"> apprenticeships and traineeships being completed in a shorter period of time. </w:t>
      </w:r>
    </w:p>
    <w:p w:rsidR="00F746AB" w:rsidRPr="005F587A" w:rsidRDefault="005F587A" w:rsidP="007C0D34">
      <w:pPr>
        <w:pStyle w:val="Heading4"/>
      </w:pPr>
      <w:r w:rsidRPr="005F587A">
        <w:t>The Accelerated Australian Apprenticeship Initiative</w:t>
      </w:r>
      <w:r w:rsidR="00597397">
        <w:t xml:space="preserve"> </w:t>
      </w:r>
      <w:r w:rsidR="00F746AB" w:rsidRPr="005F587A">
        <w:t xml:space="preserve"> </w:t>
      </w:r>
    </w:p>
    <w:p w:rsidR="00CF15DA" w:rsidRDefault="00A87EED" w:rsidP="002762B7">
      <w:pPr>
        <w:pStyle w:val="Text"/>
      </w:pPr>
      <w:r>
        <w:t>T</w:t>
      </w:r>
      <w:r w:rsidR="00CF15DA">
        <w:t>he Acceler</w:t>
      </w:r>
      <w:r w:rsidR="00CA314D">
        <w:t>ated Australian Apprenticeships</w:t>
      </w:r>
      <w:r w:rsidR="004013F4">
        <w:t xml:space="preserve"> Initiative</w:t>
      </w:r>
      <w:r w:rsidR="00CA314D">
        <w:t xml:space="preserve"> </w:t>
      </w:r>
      <w:r>
        <w:t>was</w:t>
      </w:r>
      <w:r w:rsidR="00CF15DA">
        <w:t xml:space="preserve"> </w:t>
      </w:r>
      <w:r>
        <w:t>a</w:t>
      </w:r>
      <w:r w:rsidR="00CF15DA" w:rsidRPr="00AA0CE7">
        <w:t>nnounced</w:t>
      </w:r>
      <w:r w:rsidR="0099417F">
        <w:t xml:space="preserve"> in </w:t>
      </w:r>
      <w:r w:rsidR="0099417F" w:rsidRPr="00FA2785">
        <w:t>2011</w:t>
      </w:r>
      <w:r w:rsidR="00CF15DA" w:rsidRPr="00AA0CE7">
        <w:t xml:space="preserve"> by the Australian Government as part of the Apprenticeships Reform element of the Building Australia’s Future Workforce package</w:t>
      </w:r>
      <w:r w:rsidR="008D6A5B">
        <w:t xml:space="preserve"> and as an </w:t>
      </w:r>
      <w:r w:rsidR="00CF15DA" w:rsidRPr="00AA0CE7">
        <w:t>initial response to the recommendations of the Apprenticeships for the 21st Century Expert Panel</w:t>
      </w:r>
      <w:r w:rsidR="008D6A5B">
        <w:t>. It</w:t>
      </w:r>
      <w:r w:rsidR="00CA314D" w:rsidRPr="00CA314D">
        <w:t xml:space="preserve"> built on previous commitments b</w:t>
      </w:r>
      <w:r w:rsidR="00CA314D">
        <w:t xml:space="preserve">y COAG to strengthen </w:t>
      </w:r>
      <w:r w:rsidR="009F5676">
        <w:t xml:space="preserve">the </w:t>
      </w:r>
      <w:r w:rsidR="00CA314D">
        <w:t xml:space="preserve">models </w:t>
      </w:r>
      <w:r w:rsidR="00137DEE">
        <w:t>that enabled</w:t>
      </w:r>
      <w:r w:rsidR="00CA314D" w:rsidRPr="00CA314D">
        <w:t xml:space="preserve"> earlier apprenticeship completion. </w:t>
      </w:r>
      <w:r w:rsidR="00CF15DA" w:rsidRPr="00AA0CE7">
        <w:t>The overarching aim of the Accelerated Austral</w:t>
      </w:r>
      <w:r w:rsidR="004F6417">
        <w:t>ian Apprenticeships I</w:t>
      </w:r>
      <w:r w:rsidR="00CF15DA">
        <w:t>nitiative wa</w:t>
      </w:r>
      <w:r w:rsidR="00CF15DA" w:rsidRPr="00AA0CE7">
        <w:t xml:space="preserve">s to support a systemic shift to competency-based progression and completion in </w:t>
      </w:r>
      <w:r w:rsidR="00CF15DA">
        <w:t>VET</w:t>
      </w:r>
      <w:r w:rsidR="004013F4">
        <w:t>,</w:t>
      </w:r>
      <w:r w:rsidR="00CF15DA">
        <w:t xml:space="preserve"> with a focus on a</w:t>
      </w:r>
      <w:r w:rsidR="00CF15DA" w:rsidRPr="00AA0CE7">
        <w:t>ppr</w:t>
      </w:r>
      <w:r w:rsidR="00CF15DA">
        <w:t>enticeships. The initiative intended</w:t>
      </w:r>
      <w:r w:rsidR="00CF15DA" w:rsidRPr="00AA0CE7">
        <w:t xml:space="preserve"> to achieve this by </w:t>
      </w:r>
      <w:r w:rsidR="004013F4">
        <w:t>encourag</w:t>
      </w:r>
      <w:r w:rsidR="00CF15DA" w:rsidRPr="00AA0CE7">
        <w:t xml:space="preserve">ing industry to </w:t>
      </w:r>
      <w:r w:rsidR="00CF15DA">
        <w:t>develop and introduce</w:t>
      </w:r>
      <w:r w:rsidR="00CF15DA" w:rsidRPr="00AA0CE7">
        <w:t xml:space="preserve"> strat</w:t>
      </w:r>
      <w:r w:rsidR="00CF15DA">
        <w:t>egies that embed and further</w:t>
      </w:r>
      <w:r w:rsidR="00CF15DA" w:rsidRPr="00AA0CE7">
        <w:t xml:space="preserve"> </w:t>
      </w:r>
      <w:r w:rsidR="00CF15DA">
        <w:t>strengthen the use of competency-based progression in training</w:t>
      </w:r>
      <w:r w:rsidR="004013F4">
        <w:t>, thereby</w:t>
      </w:r>
      <w:r w:rsidR="00CF15DA">
        <w:t xml:space="preserve"> </w:t>
      </w:r>
      <w:r w:rsidR="004013F4">
        <w:t>facilitating</w:t>
      </w:r>
      <w:r w:rsidR="00CF15DA">
        <w:t xml:space="preserve"> accelerated apprenticeships. </w:t>
      </w:r>
      <w:r w:rsidR="0099417F">
        <w:t xml:space="preserve">The </w:t>
      </w:r>
      <w:r w:rsidR="004F6417">
        <w:t>initiative</w:t>
      </w:r>
      <w:r w:rsidR="0099417F">
        <w:t xml:space="preserve"> enabl</w:t>
      </w:r>
      <w:r w:rsidR="00CA314D">
        <w:t>ed</w:t>
      </w:r>
      <w:r w:rsidR="0099417F">
        <w:t xml:space="preserve"> </w:t>
      </w:r>
      <w:r w:rsidR="00CA314D">
        <w:t>industry skills councils</w:t>
      </w:r>
      <w:r w:rsidR="0099417F">
        <w:t>, peak industry</w:t>
      </w:r>
      <w:r w:rsidR="00CA314D">
        <w:t xml:space="preserve"> </w:t>
      </w:r>
      <w:r w:rsidR="0099417F">
        <w:t>bodies, large employers and businesses to undertake or parti</w:t>
      </w:r>
      <w:r w:rsidR="00CA314D">
        <w:t>cipate in large-scale</w:t>
      </w:r>
      <w:r w:rsidR="0099417F">
        <w:t xml:space="preserve"> projects</w:t>
      </w:r>
      <w:r w:rsidR="00CA314D">
        <w:t xml:space="preserve"> </w:t>
      </w:r>
      <w:r w:rsidR="0099417F">
        <w:t>that support a shift to competency-base</w:t>
      </w:r>
      <w:r w:rsidR="00CA314D">
        <w:t>d progression and completions. Approximately $53 million in funding wa</w:t>
      </w:r>
      <w:r w:rsidR="0099417F">
        <w:t>s</w:t>
      </w:r>
      <w:r w:rsidR="00CA314D">
        <w:t xml:space="preserve"> made available from 2011 to 2016</w:t>
      </w:r>
      <w:r w:rsidR="0099417F">
        <w:t xml:space="preserve"> to support </w:t>
      </w:r>
      <w:r w:rsidR="00CA314D">
        <w:t xml:space="preserve">these </w:t>
      </w:r>
      <w:r w:rsidR="0099417F">
        <w:t>multi</w:t>
      </w:r>
      <w:r w:rsidR="00B33200">
        <w:t>-</w:t>
      </w:r>
      <w:r w:rsidR="0099417F">
        <w:t>jurisdictional</w:t>
      </w:r>
      <w:r w:rsidR="00CA314D">
        <w:t xml:space="preserve"> and sector-wide partnerships. </w:t>
      </w:r>
      <w:r w:rsidR="00425185">
        <w:t>The program</w:t>
      </w:r>
      <w:r w:rsidR="00A42F95">
        <w:t>’s</w:t>
      </w:r>
      <w:r w:rsidR="00425185">
        <w:t xml:space="preserve"> end</w:t>
      </w:r>
      <w:r w:rsidR="00A42F95">
        <w:t xml:space="preserve"> was announced </w:t>
      </w:r>
      <w:r w:rsidR="004F6417">
        <w:t>in the 2014—</w:t>
      </w:r>
      <w:r w:rsidR="00BB2995">
        <w:t>15 Budget, with the remaining industry projects expected to be completed in 2016.</w:t>
      </w:r>
      <w:r w:rsidR="00597397">
        <w:t xml:space="preserve"> </w:t>
      </w:r>
    </w:p>
    <w:p w:rsidR="00CF15DA" w:rsidRDefault="00111396" w:rsidP="007C0D34">
      <w:pPr>
        <w:pStyle w:val="Heading4"/>
      </w:pPr>
      <w:r>
        <w:t>What is an accelerated apprenticeship?</w:t>
      </w:r>
    </w:p>
    <w:p w:rsidR="00FA2785" w:rsidRDefault="00FE12BC" w:rsidP="00CD68DF">
      <w:pPr>
        <w:pStyle w:val="Text"/>
        <w:rPr>
          <w:rFonts w:ascii="Arial" w:hAnsi="Arial" w:cs="Tahoma"/>
          <w:color w:val="000000"/>
          <w:sz w:val="24"/>
        </w:rPr>
      </w:pPr>
      <w:r>
        <w:t xml:space="preserve">The traditional apprenticeship model is associated with </w:t>
      </w:r>
      <w:r w:rsidR="00684533">
        <w:t>completion</w:t>
      </w:r>
      <w:r>
        <w:t xml:space="preserve"> in a nominal time period, generally ranging from three to four years. While </w:t>
      </w:r>
      <w:r w:rsidR="00A42F95">
        <w:t>this</w:t>
      </w:r>
      <w:r>
        <w:t xml:space="preserve"> model of apprenticeship is still well regarded and </w:t>
      </w:r>
      <w:r w:rsidR="00B33200">
        <w:t xml:space="preserve">is </w:t>
      </w:r>
      <w:r>
        <w:t xml:space="preserve">not failing, </w:t>
      </w:r>
      <w:r w:rsidR="00B33200">
        <w:t xml:space="preserve">it does, </w:t>
      </w:r>
      <w:r>
        <w:t xml:space="preserve">as Callan (2008) </w:t>
      </w:r>
      <w:r w:rsidR="002D6C63">
        <w:t>argues,</w:t>
      </w:r>
      <w:r>
        <w:t xml:space="preserve"> need to evolve to remain useful and relevant. There is pressure from</w:t>
      </w:r>
      <w:r w:rsidR="002D6C63">
        <w:t xml:space="preserve"> some sections of</w:t>
      </w:r>
      <w:r>
        <w:t xml:space="preserve"> industry to reduce the time </w:t>
      </w:r>
      <w:r>
        <w:lastRenderedPageBreak/>
        <w:t>taken to complete an apprenticeship</w:t>
      </w:r>
      <w:r w:rsidR="00521575">
        <w:t xml:space="preserve"> </w:t>
      </w:r>
      <w:r>
        <w:t>to ensure the system stays responsive to industry’s needs (</w:t>
      </w:r>
      <w:hyperlink r:id="rId57" w:history="1">
        <w:r w:rsidR="004F6417">
          <w:rPr>
            <w:rStyle w:val="Hyperlink"/>
          </w:rPr>
          <w:t>Australian</w:t>
        </w:r>
      </w:hyperlink>
      <w:r w:rsidR="004F6417">
        <w:t xml:space="preserve"> Industry Group</w:t>
      </w:r>
      <w:r w:rsidR="00562D5F">
        <w:t xml:space="preserve"> 2010</w:t>
      </w:r>
      <w:r w:rsidR="002D6C63">
        <w:t>)</w:t>
      </w:r>
      <w:r w:rsidR="00521575" w:rsidRPr="00FA2785">
        <w:t>.</w:t>
      </w:r>
      <w:r>
        <w:t xml:space="preserve"> </w:t>
      </w:r>
      <w:r w:rsidR="00AB04A8">
        <w:t xml:space="preserve">A widely held view </w:t>
      </w:r>
      <w:r w:rsidR="00AB04A8">
        <w:rPr>
          <w:szCs w:val="19"/>
        </w:rPr>
        <w:t xml:space="preserve">is that if completion time can be reduced, then the system can be more responsive to changes in the demand for skilled trades. </w:t>
      </w:r>
      <w:r w:rsidR="00521575">
        <w:t>The</w:t>
      </w:r>
      <w:r>
        <w:t xml:space="preserve"> Australian apprenticeship system contains a </w:t>
      </w:r>
      <w:r w:rsidR="00521575">
        <w:t>number of features and alternative models which now facilitate faster progression and earlier completion</w:t>
      </w:r>
      <w:r w:rsidR="000C388A">
        <w:t xml:space="preserve">. However, while all jurisdictions embrace the principles of accelerated completion, the </w:t>
      </w:r>
      <w:proofErr w:type="gramStart"/>
      <w:r w:rsidR="000C388A">
        <w:t xml:space="preserve">extent of their uptake and </w:t>
      </w:r>
      <w:r w:rsidR="00A42F95">
        <w:t xml:space="preserve">the </w:t>
      </w:r>
      <w:r w:rsidR="000C388A">
        <w:t>appr</w:t>
      </w:r>
      <w:r w:rsidR="006931D4">
        <w:t>oach to their implementation have</w:t>
      </w:r>
      <w:proofErr w:type="gramEnd"/>
      <w:r w:rsidR="000C388A">
        <w:t xml:space="preserve"> varied across jurisdictions and industries </w:t>
      </w:r>
      <w:r w:rsidR="00AB04A8">
        <w:t xml:space="preserve">(Hargreaves </w:t>
      </w:r>
      <w:r w:rsidR="004F6417">
        <w:t>&amp;</w:t>
      </w:r>
      <w:r w:rsidR="00AB04A8">
        <w:t xml:space="preserve"> Blomberg 2015)</w:t>
      </w:r>
      <w:r w:rsidR="00521575">
        <w:t xml:space="preserve">. </w:t>
      </w:r>
    </w:p>
    <w:p w:rsidR="00B62554" w:rsidRDefault="00B62554" w:rsidP="007C0D34">
      <w:pPr>
        <w:pStyle w:val="Heading4"/>
      </w:pPr>
      <w:r>
        <w:t>What is the benefit of accelerated apprenticeships?</w:t>
      </w:r>
    </w:p>
    <w:p w:rsidR="00B62554" w:rsidRDefault="00B62554" w:rsidP="00FE12BC">
      <w:pPr>
        <w:pStyle w:val="Text"/>
      </w:pPr>
      <w:r>
        <w:t xml:space="preserve">In addition to making qualifications more responsive to the labour market, accelerated apprenticeships </w:t>
      </w:r>
      <w:r w:rsidR="004F6417">
        <w:t xml:space="preserve">offer </w:t>
      </w:r>
      <w:r>
        <w:t xml:space="preserve">benefits </w:t>
      </w:r>
      <w:r w:rsidR="004F6417">
        <w:t>to</w:t>
      </w:r>
      <w:r w:rsidR="00A42F95">
        <w:t xml:space="preserve"> individual apprentices. For example, they</w:t>
      </w:r>
      <w:r>
        <w:t xml:space="preserve"> can play an important role in enabling adult apprentices to complete their qualifications more quickly. Hargreaves and Blomberg (2015) show that the</w:t>
      </w:r>
      <w:r w:rsidR="00A42F95">
        <w:t xml:space="preserve"> number of </w:t>
      </w:r>
      <w:r>
        <w:t xml:space="preserve">adult apprentices (25 years and over) commencing a trade </w:t>
      </w:r>
      <w:r w:rsidR="00A42F95">
        <w:t>is increasing</w:t>
      </w:r>
      <w:r>
        <w:t>. In particular, more existing workers with skills and no prior education are commencing a trade. Accelerated apprenticeships may be particularly beneficial for individuals who have experienced retrenc</w:t>
      </w:r>
      <w:r w:rsidR="00B201A6">
        <w:t>hment in declining industries: t</w:t>
      </w:r>
      <w:r>
        <w:t xml:space="preserve">hey may </w:t>
      </w:r>
      <w:r w:rsidR="00296119">
        <w:t xml:space="preserve">take advantage of </w:t>
      </w:r>
      <w:r>
        <w:t xml:space="preserve">alternative and accelerated pathways in </w:t>
      </w:r>
      <w:r w:rsidR="009F5676">
        <w:t xml:space="preserve">their </w:t>
      </w:r>
      <w:r>
        <w:t>effort</w:t>
      </w:r>
      <w:r w:rsidR="00A42F95">
        <w:t>s</w:t>
      </w:r>
      <w:r>
        <w:t xml:space="preserve"> to reskill and find employment in a different or complementary trade</w:t>
      </w:r>
      <w:r w:rsidR="00CE0E71">
        <w:t xml:space="preserve"> (Hargreaves &amp; Blomberg 2015)</w:t>
      </w:r>
      <w:r>
        <w:t>.</w:t>
      </w:r>
    </w:p>
    <w:p w:rsidR="00BE4B07" w:rsidRDefault="00BE4B07" w:rsidP="007C0D34">
      <w:pPr>
        <w:pStyle w:val="Heading4"/>
      </w:pPr>
      <w:r>
        <w:t>Approaches to enabling accelerated completion</w:t>
      </w:r>
    </w:p>
    <w:p w:rsidR="00D54C4B" w:rsidRDefault="005B3DD7" w:rsidP="00D54C4B">
      <w:pPr>
        <w:pStyle w:val="Text"/>
      </w:pPr>
      <w:r>
        <w:t xml:space="preserve">As </w:t>
      </w:r>
      <w:r w:rsidR="00A42F95">
        <w:t>explained</w:t>
      </w:r>
      <w:r>
        <w:t xml:space="preserve"> above, a key feature of the Australian apprenticeship system is competency-based training</w:t>
      </w:r>
      <w:r w:rsidR="009F5676">
        <w:t>,</w:t>
      </w:r>
      <w:r>
        <w:t xml:space="preserve"> where</w:t>
      </w:r>
      <w:r w:rsidR="00B03483">
        <w:t>by</w:t>
      </w:r>
      <w:r w:rsidRPr="00521575">
        <w:t xml:space="preserve"> progression and completion of training is based on </w:t>
      </w:r>
      <w:r w:rsidR="00137DEE">
        <w:t xml:space="preserve">an </w:t>
      </w:r>
      <w:r w:rsidRPr="00521575">
        <w:t>assessment of observable competencies against the occupational standards developed by industry.</w:t>
      </w:r>
      <w:r>
        <w:t xml:space="preserve"> In the case of apprenticeships</w:t>
      </w:r>
      <w:r w:rsidR="009F5676">
        <w:t>,</w:t>
      </w:r>
      <w:r>
        <w:t xml:space="preserve"> </w:t>
      </w:r>
      <w:r w:rsidR="00A42F95">
        <w:t>CBT</w:t>
      </w:r>
      <w:r>
        <w:t xml:space="preserve"> </w:t>
      </w:r>
      <w:r w:rsidR="00BE4B07">
        <w:t xml:space="preserve">supports individuals who have the capability to complete their apprenticeship earlier than the traditional time-served model. </w:t>
      </w:r>
      <w:r w:rsidR="00D54C4B">
        <w:t>The aim of competency-based progression a</w:t>
      </w:r>
      <w:r w:rsidR="00B03483">
        <w:t>nd completion is to remove the artificial time construct</w:t>
      </w:r>
      <w:r w:rsidR="00137DEE">
        <w:t xml:space="preserve"> of an apprenticeship. T</w:t>
      </w:r>
      <w:r w:rsidR="00D54C4B">
        <w:t xml:space="preserve">he emphasis </w:t>
      </w:r>
      <w:r w:rsidR="00137DEE">
        <w:t xml:space="preserve">is placed instead </w:t>
      </w:r>
      <w:r w:rsidR="00D54C4B">
        <w:t>on the skills developed and</w:t>
      </w:r>
      <w:r w:rsidR="002A175A">
        <w:t xml:space="preserve"> the</w:t>
      </w:r>
      <w:r w:rsidR="00D54C4B">
        <w:t xml:space="preserve"> work performance, recognising an apprentice’s</w:t>
      </w:r>
      <w:r w:rsidR="00137DEE">
        <w:t xml:space="preserve"> achievements and contributions</w:t>
      </w:r>
      <w:r w:rsidR="00D54C4B">
        <w:t xml:space="preserve"> not the time served (Dickie, McDonald &amp; </w:t>
      </w:r>
      <w:proofErr w:type="spellStart"/>
      <w:r w:rsidR="00D54C4B">
        <w:t>Pedic</w:t>
      </w:r>
      <w:proofErr w:type="spellEnd"/>
      <w:r w:rsidR="00D54C4B">
        <w:t xml:space="preserve"> 2011; Clayton et al</w:t>
      </w:r>
      <w:r w:rsidR="00B03483">
        <w:t>.</w:t>
      </w:r>
      <w:r w:rsidR="00D54C4B">
        <w:t xml:space="preserve"> 2015). </w:t>
      </w:r>
    </w:p>
    <w:p w:rsidR="00D54C4B" w:rsidRDefault="00D54C4B" w:rsidP="00D54C4B">
      <w:pPr>
        <w:pStyle w:val="Text"/>
      </w:pPr>
      <w:r>
        <w:t>Competency-based progression and completion is generally considered to produce qualified tradespeople more quickly</w:t>
      </w:r>
      <w:r w:rsidR="00137DEE">
        <w:t>,</w:t>
      </w:r>
      <w:r>
        <w:t xml:space="preserve"> as it allows completion at or before the contract of training has re</w:t>
      </w:r>
      <w:r w:rsidR="00137DEE">
        <w:t>ached its specified finish date</w:t>
      </w:r>
      <w:r>
        <w:t xml:space="preserve"> and at the point at which the apprentice is deemed fully compete</w:t>
      </w:r>
      <w:r w:rsidR="00A42F95">
        <w:t>nt. Conversely, t</w:t>
      </w:r>
      <w:r>
        <w:t>his approach also allows full competence to be achieved beyond the specified time, if there are factors impeding competency attainment.</w:t>
      </w:r>
    </w:p>
    <w:p w:rsidR="005B3DD7" w:rsidRDefault="00D54C4B" w:rsidP="00BE4B07">
      <w:pPr>
        <w:pStyle w:val="Text"/>
      </w:pPr>
      <w:r>
        <w:t>While CBT has been a feature of the</w:t>
      </w:r>
      <w:r w:rsidR="007F5DF5">
        <w:t xml:space="preserve"> Australian VET system since the late 1980s,</w:t>
      </w:r>
      <w:r>
        <w:t xml:space="preserve"> in 2006</w:t>
      </w:r>
      <w:r w:rsidR="00BE4B07">
        <w:t xml:space="preserve"> </w:t>
      </w:r>
      <w:r w:rsidR="00B03483">
        <w:t xml:space="preserve">the </w:t>
      </w:r>
      <w:r w:rsidR="00BE4B07">
        <w:t>Council of</w:t>
      </w:r>
      <w:r>
        <w:t xml:space="preserve"> Australian Governments </w:t>
      </w:r>
      <w:r w:rsidR="00231FA1">
        <w:t xml:space="preserve">more explicitly </w:t>
      </w:r>
      <w:r w:rsidR="00BE4B07">
        <w:t xml:space="preserve">formalised support for </w:t>
      </w:r>
      <w:r w:rsidR="00877B9D">
        <w:t>CBT progression</w:t>
      </w:r>
      <w:r w:rsidR="00BE4B07">
        <w:t>. Despite this</w:t>
      </w:r>
      <w:r>
        <w:t xml:space="preserve"> widespread support across all levels of government</w:t>
      </w:r>
      <w:r w:rsidR="00BE4B07">
        <w:t xml:space="preserve">, </w:t>
      </w:r>
      <w:r>
        <w:t>CBT</w:t>
      </w:r>
      <w:r w:rsidR="00BE4B07">
        <w:t xml:space="preserve"> </w:t>
      </w:r>
      <w:r>
        <w:t xml:space="preserve">has </w:t>
      </w:r>
      <w:r w:rsidR="00BE4B07">
        <w:t>not been</w:t>
      </w:r>
      <w:r w:rsidR="007F5DF5">
        <w:t xml:space="preserve"> as</w:t>
      </w:r>
      <w:r w:rsidR="00BE4B07">
        <w:t xml:space="preserve"> widely adopted </w:t>
      </w:r>
      <w:r w:rsidR="007F5DF5">
        <w:t xml:space="preserve">as hoped </w:t>
      </w:r>
      <w:r w:rsidR="001A2CC2">
        <w:t>(Australian Government 2011</w:t>
      </w:r>
      <w:r>
        <w:t>; Clayton et al</w:t>
      </w:r>
      <w:r w:rsidR="00B03483">
        <w:t>.</w:t>
      </w:r>
      <w:r>
        <w:t xml:space="preserve"> 2015; Hargreaves </w:t>
      </w:r>
      <w:r w:rsidR="00B03483">
        <w:t>&amp;</w:t>
      </w:r>
      <w:r>
        <w:t xml:space="preserve"> Blomberg 2015</w:t>
      </w:r>
      <w:r w:rsidR="00BE4B07">
        <w:t>).</w:t>
      </w:r>
    </w:p>
    <w:p w:rsidR="00946BA3" w:rsidRPr="00946BA3" w:rsidRDefault="00A42F95" w:rsidP="00946BA3">
      <w:pPr>
        <w:pStyle w:val="Text"/>
      </w:pPr>
      <w:r>
        <w:t>S</w:t>
      </w:r>
      <w:r w:rsidR="005B3DD7">
        <w:t>ome of</w:t>
      </w:r>
      <w:r w:rsidR="00B03483">
        <w:t xml:space="preserve"> the more specific approaches that</w:t>
      </w:r>
      <w:r w:rsidR="005B3DD7">
        <w:t xml:space="preserve"> ena</w:t>
      </w:r>
      <w:r>
        <w:t>ble accelerated apprenticeships are described below</w:t>
      </w:r>
      <w:r w:rsidR="00AC706A">
        <w:t>.</w:t>
      </w:r>
      <w:r w:rsidR="00946BA3">
        <w:t xml:space="preserve"> </w:t>
      </w:r>
    </w:p>
    <w:p w:rsidR="0055162D" w:rsidRDefault="0055162D" w:rsidP="00946BA3">
      <w:pPr>
        <w:pStyle w:val="Text"/>
        <w:rPr>
          <w:b/>
        </w:rPr>
      </w:pPr>
    </w:p>
    <w:p w:rsidR="00946BA3" w:rsidRPr="00946BA3" w:rsidRDefault="00946BA3" w:rsidP="00946BA3">
      <w:pPr>
        <w:pStyle w:val="Text"/>
        <w:rPr>
          <w:b/>
        </w:rPr>
      </w:pPr>
      <w:r w:rsidRPr="00946BA3">
        <w:rPr>
          <w:b/>
        </w:rPr>
        <w:lastRenderedPageBreak/>
        <w:t>Shortened nominal durations and ‘early sign off’</w:t>
      </w:r>
    </w:p>
    <w:p w:rsidR="00BE4B07" w:rsidRDefault="00D54C4B" w:rsidP="00BE4B07">
      <w:pPr>
        <w:pStyle w:val="Text"/>
      </w:pPr>
      <w:r>
        <w:t>Another</w:t>
      </w:r>
      <w:r w:rsidR="00BE4B07">
        <w:t xml:space="preserve"> approach</w:t>
      </w:r>
      <w:r>
        <w:t xml:space="preserve"> to facilitating earlier completion</w:t>
      </w:r>
      <w:r w:rsidR="00BE4B07">
        <w:t xml:space="preserve"> has been to shorten </w:t>
      </w:r>
      <w:r w:rsidR="009F5676">
        <w:t xml:space="preserve">the </w:t>
      </w:r>
      <w:r w:rsidR="00BE4B07">
        <w:t>nominal durations</w:t>
      </w:r>
      <w:r>
        <w:t xml:space="preserve"> </w:t>
      </w:r>
      <w:r w:rsidR="002A175A">
        <w:t>of</w:t>
      </w:r>
      <w:r>
        <w:t xml:space="preserve"> apprenticeships and traineeships. </w:t>
      </w:r>
      <w:r w:rsidR="00A42F95">
        <w:t xml:space="preserve">To achieve this, programs have been redesigned </w:t>
      </w:r>
      <w:r w:rsidR="00BE4B07">
        <w:t>in consultation with</w:t>
      </w:r>
      <w:r>
        <w:t xml:space="preserve"> industry, </w:t>
      </w:r>
      <w:r w:rsidR="00BE4B07">
        <w:t>with a significant increase in the off-the-job</w:t>
      </w:r>
      <w:r>
        <w:t xml:space="preserve"> </w:t>
      </w:r>
      <w:r w:rsidR="00BE4B07">
        <w:t>com</w:t>
      </w:r>
      <w:r w:rsidR="00A42F95">
        <w:t>ponent of training occurring up</w:t>
      </w:r>
      <w:r w:rsidR="001A2CC2">
        <w:t>front (</w:t>
      </w:r>
      <w:proofErr w:type="gramStart"/>
      <w:r w:rsidR="001A2CC2">
        <w:t>Knight &amp;</w:t>
      </w:r>
      <w:proofErr w:type="gramEnd"/>
      <w:r w:rsidR="00BE4B07">
        <w:t xml:space="preserve"> </w:t>
      </w:r>
      <w:proofErr w:type="spellStart"/>
      <w:r w:rsidR="00BE4B07">
        <w:t>Karmel</w:t>
      </w:r>
      <w:proofErr w:type="spellEnd"/>
      <w:r w:rsidR="00BE4B07">
        <w:t xml:space="preserve"> 2011</w:t>
      </w:r>
      <w:r>
        <w:t>; Hargreaves &amp; Blomberg 2015</w:t>
      </w:r>
      <w:r w:rsidR="00BE4B07">
        <w:t>).</w:t>
      </w:r>
    </w:p>
    <w:p w:rsidR="00BE4B07" w:rsidRDefault="00A42F95" w:rsidP="00BE4B07">
      <w:pPr>
        <w:pStyle w:val="Text"/>
      </w:pPr>
      <w:r>
        <w:t>Early sign-</w:t>
      </w:r>
      <w:r w:rsidR="00B03483">
        <w:t>off</w:t>
      </w:r>
      <w:r w:rsidR="00904849">
        <w:t xml:space="preserve"> </w:t>
      </w:r>
      <w:r w:rsidR="00BE4B07">
        <w:t>enables apprentices to have their contracts of training signed off early if they have</w:t>
      </w:r>
      <w:r w:rsidR="00D54C4B">
        <w:t xml:space="preserve"> </w:t>
      </w:r>
      <w:r w:rsidR="00BE4B07">
        <w:t>completed all of their off-the-job training and 75% of their contract term (</w:t>
      </w:r>
      <w:proofErr w:type="spellStart"/>
      <w:r w:rsidR="00BE4B07">
        <w:t>Karmel</w:t>
      </w:r>
      <w:proofErr w:type="spellEnd"/>
      <w:r w:rsidR="00BE4B07">
        <w:t xml:space="preserve"> &amp;</w:t>
      </w:r>
      <w:r w:rsidR="00904849">
        <w:t xml:space="preserve"> </w:t>
      </w:r>
      <w:r w:rsidR="00BE4B07">
        <w:t>Misko 2009</w:t>
      </w:r>
      <w:r w:rsidR="00904849">
        <w:t>; Hargreaves &amp; Blomberg 2015</w:t>
      </w:r>
      <w:r w:rsidR="00BE4B07">
        <w:t>).</w:t>
      </w:r>
      <w:r w:rsidRPr="00A42F95">
        <w:t xml:space="preserve"> </w:t>
      </w:r>
      <w:r>
        <w:t xml:space="preserve">The concept of early sign-off has been introduced in some industries, particularly those that may have </w:t>
      </w:r>
      <w:r w:rsidR="009F5676">
        <w:t>experienced</w:t>
      </w:r>
      <w:r>
        <w:t xml:space="preserve"> problems retaining apprentices during times of economic downturn.</w:t>
      </w:r>
    </w:p>
    <w:p w:rsidR="00904849" w:rsidRPr="00946BA3" w:rsidRDefault="00904849" w:rsidP="00946BA3">
      <w:pPr>
        <w:pStyle w:val="Text"/>
        <w:rPr>
          <w:b/>
        </w:rPr>
      </w:pPr>
      <w:r w:rsidRPr="00946BA3">
        <w:rPr>
          <w:b/>
        </w:rPr>
        <w:t xml:space="preserve">Recognition of </w:t>
      </w:r>
      <w:r w:rsidR="00B03483" w:rsidRPr="00946BA3">
        <w:rPr>
          <w:b/>
        </w:rPr>
        <w:t xml:space="preserve">prior learning </w:t>
      </w:r>
      <w:r w:rsidRPr="00946BA3">
        <w:rPr>
          <w:b/>
        </w:rPr>
        <w:t>(RPL)</w:t>
      </w:r>
    </w:p>
    <w:p w:rsidR="00BE4B07" w:rsidRDefault="00BE4B07" w:rsidP="002762B7">
      <w:pPr>
        <w:pStyle w:val="Text"/>
      </w:pPr>
      <w:r>
        <w:t>Another option includes the use of recognition of p</w:t>
      </w:r>
      <w:r w:rsidR="00904849">
        <w:t>rior learning or</w:t>
      </w:r>
      <w:r>
        <w:t xml:space="preserve"> current</w:t>
      </w:r>
      <w:r w:rsidR="00904849">
        <w:t xml:space="preserve"> skills to acknowledge the</w:t>
      </w:r>
      <w:r>
        <w:t xml:space="preserve"> skills </w:t>
      </w:r>
      <w:r w:rsidR="00904849">
        <w:t xml:space="preserve">an existing worker may have </w:t>
      </w:r>
      <w:r>
        <w:t>gaine</w:t>
      </w:r>
      <w:r w:rsidR="00904849">
        <w:t>d from experience in a trade or from other informal learning. RPL is used</w:t>
      </w:r>
      <w:r>
        <w:t xml:space="preserve"> in combination with tailored gap training (</w:t>
      </w:r>
      <w:r w:rsidR="00904849">
        <w:t xml:space="preserve">generally </w:t>
      </w:r>
      <w:r>
        <w:t>skill</w:t>
      </w:r>
      <w:r w:rsidR="00B03483">
        <w:t>s sets)</w:t>
      </w:r>
      <w:r>
        <w:t xml:space="preserve"> to</w:t>
      </w:r>
      <w:r w:rsidR="00904849">
        <w:t xml:space="preserve"> enable </w:t>
      </w:r>
      <w:r w:rsidR="00C61925">
        <w:t xml:space="preserve">an apprentice to </w:t>
      </w:r>
      <w:r>
        <w:t>complete a trade qua</w:t>
      </w:r>
      <w:r w:rsidR="00C61925">
        <w:t>lification or certificate (usually</w:t>
      </w:r>
      <w:r>
        <w:t xml:space="preserve"> referred to as ‘advanced entry adult</w:t>
      </w:r>
      <w:r w:rsidR="00C61925">
        <w:t xml:space="preserve"> </w:t>
      </w:r>
      <w:r>
        <w:t>apprentices’)</w:t>
      </w:r>
      <w:r w:rsidR="00C61925">
        <w:t xml:space="preserve"> (Hargreaves &amp; Blomberg 2015)</w:t>
      </w:r>
      <w:r>
        <w:t>.</w:t>
      </w:r>
      <w:r w:rsidR="002762B7" w:rsidRPr="002762B7">
        <w:t xml:space="preserve"> </w:t>
      </w:r>
      <w:r w:rsidR="002762B7">
        <w:t xml:space="preserve">According to Hargreaves </w:t>
      </w:r>
      <w:r w:rsidR="00B33200">
        <w:t xml:space="preserve">and </w:t>
      </w:r>
      <w:r w:rsidR="002762B7">
        <w:t xml:space="preserve">Blomberg (2015), an RPL-granted subject outcome for </w:t>
      </w:r>
      <w:r w:rsidR="0048580C">
        <w:t xml:space="preserve">adult </w:t>
      </w:r>
      <w:r w:rsidR="002762B7">
        <w:t>trade apprentices</w:t>
      </w:r>
      <w:r w:rsidR="0048580C">
        <w:t xml:space="preserve"> (</w:t>
      </w:r>
      <w:r w:rsidR="002762B7">
        <w:t>25 years and older</w:t>
      </w:r>
      <w:r w:rsidR="0048580C">
        <w:t>)</w:t>
      </w:r>
      <w:r w:rsidR="002762B7">
        <w:t xml:space="preserve"> increased from 3.5% in 2009 to 7% in 2013. Despite the slight growth, the RPL levels for </w:t>
      </w:r>
      <w:r w:rsidR="0048580C">
        <w:t xml:space="preserve">adult </w:t>
      </w:r>
      <w:r w:rsidR="002762B7">
        <w:t>trade apprentices are considerably lower than peer-age students who either have no training cont</w:t>
      </w:r>
      <w:r w:rsidR="00A42F95">
        <w:t xml:space="preserve">ract or who have a traineeship. In 2013 this group had </w:t>
      </w:r>
      <w:r w:rsidR="002762B7">
        <w:t>RPL-g</w:t>
      </w:r>
      <w:r w:rsidR="007F5DF5">
        <w:t xml:space="preserve">ranted outcomes </w:t>
      </w:r>
      <w:r w:rsidR="00A42F95">
        <w:t>of</w:t>
      </w:r>
      <w:r w:rsidR="007F5DF5">
        <w:t xml:space="preserve"> 78%</w:t>
      </w:r>
      <w:r w:rsidR="0048580C">
        <w:t xml:space="preserve">. This shows that RPL is less common among adult trade apprentices, compared </w:t>
      </w:r>
      <w:r w:rsidR="00B03483">
        <w:t>with</w:t>
      </w:r>
      <w:r w:rsidR="0048580C">
        <w:t xml:space="preserve"> other VET students or trainees in the same age group.</w:t>
      </w:r>
      <w:r w:rsidR="005C022C">
        <w:t xml:space="preserve"> </w:t>
      </w:r>
    </w:p>
    <w:p w:rsidR="005229D5" w:rsidRDefault="005229D5" w:rsidP="007C0D34">
      <w:pPr>
        <w:pStyle w:val="Heading4"/>
      </w:pPr>
      <w:r>
        <w:t>Barriers to accelerated completion</w:t>
      </w:r>
    </w:p>
    <w:p w:rsidR="005229D5" w:rsidRDefault="005229D5" w:rsidP="005229D5">
      <w:pPr>
        <w:pStyle w:val="Text"/>
      </w:pPr>
      <w:r>
        <w:t>Hargreaves and Blomberg (2015) argue that</w:t>
      </w:r>
      <w:r w:rsidR="00B03483">
        <w:t>,</w:t>
      </w:r>
      <w:r>
        <w:t xml:space="preserve"> although there has been widespread support for accelerated apprenticeships models</w:t>
      </w:r>
      <w:r w:rsidR="00B03483">
        <w:t>,</w:t>
      </w:r>
      <w:r>
        <w:t xml:space="preserve"> uptake has been limited. While the data do not identify the reason</w:t>
      </w:r>
      <w:r w:rsidR="00E214C6">
        <w:t>s</w:t>
      </w:r>
      <w:r>
        <w:t xml:space="preserve"> behind the early completion</w:t>
      </w:r>
      <w:r w:rsidR="00E214C6">
        <w:t>s</w:t>
      </w:r>
      <w:r>
        <w:t xml:space="preserve"> </w:t>
      </w:r>
      <w:r w:rsidR="00A42F95">
        <w:t>that do occur</w:t>
      </w:r>
      <w:r w:rsidR="00E214C6">
        <w:t xml:space="preserve"> </w:t>
      </w:r>
      <w:r>
        <w:t xml:space="preserve">or </w:t>
      </w:r>
      <w:r w:rsidR="00E214C6">
        <w:t xml:space="preserve">highlight </w:t>
      </w:r>
      <w:r>
        <w:t xml:space="preserve">the approach used, </w:t>
      </w:r>
      <w:r w:rsidR="00B03483">
        <w:t xml:space="preserve">they </w:t>
      </w:r>
      <w:r>
        <w:t>confirm that the numbers of apprenticeships of shorter duration are growing, especially for adult apprentices, with well over half completing within two years. Despite general support for accelerated completion</w:t>
      </w:r>
      <w:r w:rsidR="00B03483">
        <w:t>,</w:t>
      </w:r>
      <w:r>
        <w:t xml:space="preserve"> a range of barriers </w:t>
      </w:r>
      <w:r w:rsidR="00E214C6">
        <w:t>continue to</w:t>
      </w:r>
      <w:r>
        <w:t xml:space="preserve"> limit its uptake. </w:t>
      </w:r>
    </w:p>
    <w:p w:rsidR="002D6C63" w:rsidRDefault="002D6C63" w:rsidP="005229D5">
      <w:pPr>
        <w:pStyle w:val="Text"/>
      </w:pPr>
      <w:r>
        <w:t>While s</w:t>
      </w:r>
      <w:r w:rsidRPr="002D6C63">
        <w:t xml:space="preserve">ome sections of industry </w:t>
      </w:r>
      <w:r>
        <w:t xml:space="preserve">would like to see </w:t>
      </w:r>
      <w:r w:rsidR="00B03483">
        <w:t>a</w:t>
      </w:r>
      <w:r>
        <w:t xml:space="preserve"> reduction</w:t>
      </w:r>
      <w:r w:rsidRPr="002D6C63">
        <w:t xml:space="preserve"> </w:t>
      </w:r>
      <w:r w:rsidR="00B03483">
        <w:t>in the</w:t>
      </w:r>
      <w:r>
        <w:t xml:space="preserve"> t</w:t>
      </w:r>
      <w:r w:rsidRPr="002D6C63">
        <w:t>ime taken to complete an apprenticeship, there is also evidence that</w:t>
      </w:r>
      <w:r>
        <w:t xml:space="preserve"> some employers see </w:t>
      </w:r>
      <w:r w:rsidR="00997EBC">
        <w:t xml:space="preserve">the </w:t>
      </w:r>
      <w:r>
        <w:t>time-based</w:t>
      </w:r>
      <w:r w:rsidRPr="002D6C63">
        <w:t xml:space="preserve"> models o</w:t>
      </w:r>
      <w:r w:rsidR="002A175A">
        <w:t>f apprenticeship</w:t>
      </w:r>
      <w:r>
        <w:t xml:space="preserve"> as ‘the norm’.</w:t>
      </w:r>
      <w:r w:rsidRPr="002D6C63">
        <w:t xml:space="preserve"> </w:t>
      </w:r>
      <w:r w:rsidR="005229D5">
        <w:t>Looking at three trade occupations</w:t>
      </w:r>
      <w:r w:rsidR="00997EBC">
        <w:t>,</w:t>
      </w:r>
      <w:r w:rsidR="005229D5">
        <w:t xml:space="preserve"> Clayton et al</w:t>
      </w:r>
      <w:r w:rsidR="00927BC6">
        <w:t>. (2015) fou</w:t>
      </w:r>
      <w:r w:rsidR="005229D5">
        <w:t xml:space="preserve">nd that </w:t>
      </w:r>
      <w:r w:rsidR="00137DEE">
        <w:t xml:space="preserve">one of </w:t>
      </w:r>
      <w:r w:rsidR="005229D5">
        <w:t xml:space="preserve">the key factors </w:t>
      </w:r>
      <w:r w:rsidR="00B33200">
        <w:t xml:space="preserve">adversely </w:t>
      </w:r>
      <w:r w:rsidR="005229D5">
        <w:t>affecting the uptake of competency-based progression i</w:t>
      </w:r>
      <w:r w:rsidR="00137DEE">
        <w:t>s</w:t>
      </w:r>
      <w:r w:rsidR="005229D5">
        <w:t xml:space="preserve"> employer attitudes</w:t>
      </w:r>
      <w:r>
        <w:t>.</w:t>
      </w:r>
      <w:r w:rsidR="005229D5">
        <w:t xml:space="preserve"> </w:t>
      </w:r>
      <w:r w:rsidRPr="002D6C63">
        <w:t xml:space="preserve">Some employers may prefer a time-based model because </w:t>
      </w:r>
      <w:r w:rsidR="00927BC6">
        <w:t>they are accustomed to it</w:t>
      </w:r>
      <w:r w:rsidRPr="002D6C63">
        <w:t>. There is arguably less incentive for employers to support an accelerated option, since the perception is that the primary benefits (particularly wage benefits) lie with the individual</w:t>
      </w:r>
      <w:r w:rsidR="00A81D32">
        <w:t xml:space="preserve"> rather than</w:t>
      </w:r>
      <w:r w:rsidR="00E214C6">
        <w:t xml:space="preserve"> </w:t>
      </w:r>
      <w:r w:rsidRPr="002D6C63">
        <w:t>the employer (Hargreaves &amp; Blomberg 2015).</w:t>
      </w:r>
    </w:p>
    <w:p w:rsidR="00CF140F" w:rsidRDefault="002D6C63" w:rsidP="005229D5">
      <w:pPr>
        <w:pStyle w:val="Text"/>
      </w:pPr>
      <w:r>
        <w:t>Other barriers to early completion identified by Clayton et al</w:t>
      </w:r>
      <w:r w:rsidR="00927BC6">
        <w:t>.</w:t>
      </w:r>
      <w:r>
        <w:t xml:space="preserve"> (2015) include </w:t>
      </w:r>
      <w:r w:rsidR="005229D5">
        <w:t>a lack of provider flexibility in adopting the administrative, teaching and assessment approaches that facilit</w:t>
      </w:r>
      <w:r>
        <w:t xml:space="preserve">ate progression and completion </w:t>
      </w:r>
      <w:r w:rsidR="005229D5">
        <w:t>a</w:t>
      </w:r>
      <w:r>
        <w:t>nd</w:t>
      </w:r>
      <w:r w:rsidR="005229D5">
        <w:t xml:space="preserve"> </w:t>
      </w:r>
      <w:r w:rsidR="00927BC6">
        <w:t xml:space="preserve">a </w:t>
      </w:r>
      <w:r w:rsidR="005229D5">
        <w:t xml:space="preserve">general lack of knowledge </w:t>
      </w:r>
      <w:r w:rsidR="00137DEE">
        <w:t>of</w:t>
      </w:r>
      <w:r w:rsidR="005229D5">
        <w:t xml:space="preserve"> how competency </w:t>
      </w:r>
      <w:r w:rsidR="005229D5">
        <w:lastRenderedPageBreak/>
        <w:t>progression and com</w:t>
      </w:r>
      <w:r w:rsidR="00927BC6">
        <w:t>pletion work</w:t>
      </w:r>
      <w:r>
        <w:t xml:space="preserve"> in practice. P</w:t>
      </w:r>
      <w:r w:rsidR="005229D5">
        <w:t xml:space="preserve">oor communication between employers and trainers and assessors can also inhibit CBT. </w:t>
      </w:r>
    </w:p>
    <w:p w:rsidR="00F613B3" w:rsidRDefault="00997EBC" w:rsidP="007C0D34">
      <w:pPr>
        <w:pStyle w:val="Heading4"/>
      </w:pPr>
      <w:r>
        <w:t xml:space="preserve">Is the duration of </w:t>
      </w:r>
      <w:r w:rsidR="00F613B3">
        <w:t>apprentices</w:t>
      </w:r>
      <w:r>
        <w:t>hips and traineeships becoming shorter</w:t>
      </w:r>
      <w:r w:rsidR="00F613B3">
        <w:t xml:space="preserve">? </w:t>
      </w:r>
    </w:p>
    <w:p w:rsidR="00425185" w:rsidRPr="00C2227C" w:rsidRDefault="00927BC6" w:rsidP="008B6637">
      <w:pPr>
        <w:pStyle w:val="Text"/>
      </w:pPr>
      <w:r>
        <w:t>Figures 1</w:t>
      </w:r>
      <w:r w:rsidR="00AC76A9">
        <w:t>7</w:t>
      </w:r>
      <w:r>
        <w:t xml:space="preserve"> and 1</w:t>
      </w:r>
      <w:r w:rsidR="00AC76A9">
        <w:t>8</w:t>
      </w:r>
      <w:r w:rsidR="0092402B">
        <w:t xml:space="preserve"> show </w:t>
      </w:r>
      <w:r w:rsidR="00DA76DE">
        <w:t xml:space="preserve">the </w:t>
      </w:r>
      <w:r w:rsidR="0092402B">
        <w:t>trends in trade apprentice complet</w:t>
      </w:r>
      <w:r>
        <w:t>ions for the period 1996—</w:t>
      </w:r>
      <w:r w:rsidR="00C2227C">
        <w:t xml:space="preserve">2014. </w:t>
      </w:r>
      <w:r w:rsidR="0023344D">
        <w:t>As figure 1</w:t>
      </w:r>
      <w:r w:rsidR="00AC76A9">
        <w:t>7</w:t>
      </w:r>
      <w:r w:rsidR="00425185" w:rsidRPr="00FD75CA">
        <w:t xml:space="preserve"> shows, over the past few decades there has been a gradual trend </w:t>
      </w:r>
      <w:r w:rsidR="00137DEE">
        <w:t>towards</w:t>
      </w:r>
      <w:r w:rsidR="00425185" w:rsidRPr="00FD75CA">
        <w:t xml:space="preserve"> trade completions </w:t>
      </w:r>
      <w:r>
        <w:t xml:space="preserve">of </w:t>
      </w:r>
      <w:r w:rsidR="00BD405F" w:rsidRPr="00FD75CA">
        <w:t>shorter duration (</w:t>
      </w:r>
      <w:r w:rsidR="0092402B" w:rsidRPr="00FD75CA">
        <w:t>two years or less</w:t>
      </w:r>
      <w:r w:rsidR="00BD405F" w:rsidRPr="00FD75CA">
        <w:t xml:space="preserve">). </w:t>
      </w:r>
      <w:r w:rsidR="002A175A">
        <w:t>Since</w:t>
      </w:r>
      <w:r w:rsidR="00BD405F" w:rsidRPr="00FD75CA">
        <w:t xml:space="preserve"> </w:t>
      </w:r>
      <w:r w:rsidR="0092402B" w:rsidRPr="00FD75CA">
        <w:t xml:space="preserve">about </w:t>
      </w:r>
      <w:r w:rsidR="00FD75CA" w:rsidRPr="00FD75CA">
        <w:t>2008</w:t>
      </w:r>
      <w:r w:rsidR="00BD405F" w:rsidRPr="00FD75CA">
        <w:t xml:space="preserve"> onwards there has been a </w:t>
      </w:r>
      <w:r w:rsidR="008416B7">
        <w:t xml:space="preserve">gradual </w:t>
      </w:r>
      <w:r w:rsidR="00BD405F" w:rsidRPr="00FD75CA">
        <w:t xml:space="preserve">decrease in </w:t>
      </w:r>
      <w:r w:rsidR="008416B7">
        <w:t>trade apprenticeships taking</w:t>
      </w:r>
      <w:r w:rsidR="0092402B" w:rsidRPr="00FD75CA">
        <w:t xml:space="preserve"> three years or </w:t>
      </w:r>
      <w:r w:rsidR="008416B7">
        <w:t>longer to complete</w:t>
      </w:r>
      <w:r w:rsidR="0092402B" w:rsidRPr="00FD75CA">
        <w:t>.</w:t>
      </w:r>
      <w:r w:rsidR="00BD405F" w:rsidRPr="00FD75CA">
        <w:t xml:space="preserve"> These trends </w:t>
      </w:r>
      <w:r w:rsidR="00B201A6">
        <w:t>coincide</w:t>
      </w:r>
      <w:r w:rsidR="00BD405F" w:rsidRPr="00FD75CA">
        <w:t xml:space="preserve"> with the Australian Accelerated Apprenti</w:t>
      </w:r>
      <w:r w:rsidR="00A81D32">
        <w:t>ceship p</w:t>
      </w:r>
      <w:r w:rsidR="005F587A" w:rsidRPr="00FD75CA">
        <w:t>rogram</w:t>
      </w:r>
      <w:r>
        <w:t>,</w:t>
      </w:r>
      <w:r w:rsidR="005F587A" w:rsidRPr="00FD75CA">
        <w:t xml:space="preserve"> which ran from 2011 to 2016, as well as the wider sectoral promotion of competency-based training, RPL and other mechanisms for </w:t>
      </w:r>
      <w:r w:rsidR="00FA05E5" w:rsidRPr="00FD75CA">
        <w:t>enabling quicker completion</w:t>
      </w:r>
      <w:r w:rsidR="00BD405F" w:rsidRPr="00FD75CA">
        <w:t>.</w:t>
      </w:r>
      <w:r w:rsidR="005C022C">
        <w:t xml:space="preserve"> </w:t>
      </w:r>
    </w:p>
    <w:p w:rsidR="00FF102D" w:rsidRDefault="0043422F" w:rsidP="002A175A">
      <w:pPr>
        <w:pStyle w:val="Figuretitle"/>
        <w:ind w:left="993" w:hanging="993"/>
      </w:pPr>
      <w:bookmarkStart w:id="81" w:name="_Toc455670409"/>
      <w:bookmarkStart w:id="82" w:name="_Toc457809800"/>
      <w:r w:rsidRPr="00AC76A9">
        <w:t>Figure</w:t>
      </w:r>
      <w:r w:rsidR="00B32F0D" w:rsidRPr="00AC76A9">
        <w:t xml:space="preserve"> </w:t>
      </w:r>
      <w:r w:rsidR="00AC76A9" w:rsidRPr="00AC76A9">
        <w:t>17</w:t>
      </w:r>
      <w:r w:rsidR="002A175A">
        <w:tab/>
      </w:r>
      <w:r w:rsidRPr="00AC76A9">
        <w:t>Tra</w:t>
      </w:r>
      <w:r w:rsidR="00997EBC" w:rsidRPr="00AC76A9">
        <w:t>de completions</w:t>
      </w:r>
      <w:r w:rsidR="00997EBC">
        <w:t xml:space="preserve"> by duration 1996–</w:t>
      </w:r>
      <w:r>
        <w:t>201</w:t>
      </w:r>
      <w:r w:rsidR="00552388">
        <w:t>5</w:t>
      </w:r>
      <w:r w:rsidR="0046269B">
        <w:t xml:space="preserve"> (%)</w:t>
      </w:r>
      <w:bookmarkEnd w:id="81"/>
      <w:bookmarkEnd w:id="82"/>
    </w:p>
    <w:p w:rsidR="0043422F" w:rsidRDefault="00CC097D" w:rsidP="00946BA3">
      <w:pPr>
        <w:pStyle w:val="Tabletext"/>
      </w:pPr>
      <w:bookmarkStart w:id="83" w:name="_Toc450046706"/>
      <w:bookmarkStart w:id="84" w:name="_Toc450047487"/>
      <w:r w:rsidRPr="00946BA3">
        <w:rPr>
          <w:noProof/>
          <w:lang w:eastAsia="en-AU"/>
        </w:rPr>
        <w:drawing>
          <wp:inline distT="0" distB="0" distL="0" distR="0" wp14:anchorId="29375583" wp14:editId="4AD83DEF">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83"/>
      <w:bookmarkEnd w:id="84"/>
    </w:p>
    <w:p w:rsidR="00CC097D" w:rsidRDefault="00CC097D" w:rsidP="00CC097D">
      <w:pPr>
        <w:pStyle w:val="Source"/>
      </w:pPr>
    </w:p>
    <w:p w:rsidR="00927BC6" w:rsidRDefault="00CC097D" w:rsidP="00E214C6">
      <w:pPr>
        <w:pStyle w:val="Source"/>
      </w:pPr>
      <w:r>
        <w:t>Note:</w:t>
      </w:r>
      <w:r w:rsidR="005C022C">
        <w:t xml:space="preserve"> </w:t>
      </w:r>
      <w:r w:rsidR="00D26FBA">
        <w:tab/>
      </w:r>
      <w:r>
        <w:t>Completions are based on financi</w:t>
      </w:r>
      <w:r w:rsidR="00927BC6">
        <w:t xml:space="preserve">al year starting from July 1995 to </w:t>
      </w:r>
      <w:r>
        <w:t xml:space="preserve">June 1996 and </w:t>
      </w:r>
      <w:r w:rsidR="00927BC6">
        <w:t>ending with July 2014 to June 2015.</w:t>
      </w:r>
    </w:p>
    <w:p w:rsidR="00CC097D" w:rsidRPr="0021370E" w:rsidRDefault="00927BC6" w:rsidP="00E214C6">
      <w:pPr>
        <w:pStyle w:val="Source"/>
      </w:pPr>
      <w:r w:rsidRPr="00FA2785">
        <w:t xml:space="preserve">Source: </w:t>
      </w:r>
      <w:r w:rsidR="00D26FBA">
        <w:tab/>
      </w:r>
      <w:r w:rsidRPr="00FA2785">
        <w:t xml:space="preserve">NCVER Apprentice and </w:t>
      </w:r>
      <w:r w:rsidR="000F096F">
        <w:t>T</w:t>
      </w:r>
      <w:r w:rsidRPr="00FA2785">
        <w:t xml:space="preserve">rainee </w:t>
      </w:r>
      <w:r w:rsidR="000F096F">
        <w:t>C</w:t>
      </w:r>
      <w:r w:rsidRPr="00FA2785">
        <w:t>ollection 199</w:t>
      </w:r>
      <w:r>
        <w:t>5–201</w:t>
      </w:r>
      <w:r w:rsidR="005D4370">
        <w:t>5</w:t>
      </w:r>
      <w:r>
        <w:t>.</w:t>
      </w:r>
    </w:p>
    <w:p w:rsidR="00B7561F" w:rsidRDefault="006F4D1D" w:rsidP="00761196">
      <w:pPr>
        <w:pStyle w:val="Text"/>
        <w:rPr>
          <w:rFonts w:ascii="Tahoma" w:hAnsi="Tahoma"/>
          <w:b/>
          <w:sz w:val="17"/>
        </w:rPr>
      </w:pPr>
      <w:r>
        <w:t>It would be expected</w:t>
      </w:r>
      <w:r w:rsidRPr="00F746AB">
        <w:t xml:space="preserve"> that apprenticeships </w:t>
      </w:r>
      <w:r>
        <w:t xml:space="preserve">of </w:t>
      </w:r>
      <w:r w:rsidRPr="00F746AB">
        <w:t xml:space="preserve">shorter duration </w:t>
      </w:r>
      <w:r>
        <w:t>are</w:t>
      </w:r>
      <w:r w:rsidRPr="00F746AB">
        <w:t xml:space="preserve"> taken up to a greater extent by older apprentices</w:t>
      </w:r>
      <w:r w:rsidR="0092402B" w:rsidRPr="00F746AB">
        <w:t xml:space="preserve">; </w:t>
      </w:r>
      <w:r w:rsidR="00DA76DE">
        <w:t>that is,</w:t>
      </w:r>
      <w:r w:rsidR="0092402B" w:rsidRPr="00F746AB">
        <w:t xml:space="preserve"> those </w:t>
      </w:r>
      <w:r w:rsidR="00DA76DE">
        <w:t>who</w:t>
      </w:r>
      <w:r w:rsidR="0092402B" w:rsidRPr="00F746AB">
        <w:t xml:space="preserve"> already have some work experience, as opposed to new entrants</w:t>
      </w:r>
      <w:r w:rsidR="00A81D32">
        <w:t>. (S</w:t>
      </w:r>
      <w:r w:rsidR="00F746AB">
        <w:t>ee</w:t>
      </w:r>
      <w:r w:rsidR="00DA76DE">
        <w:t>,</w:t>
      </w:r>
      <w:r w:rsidR="00F746AB">
        <w:t xml:space="preserve"> for example</w:t>
      </w:r>
      <w:r w:rsidR="00DA76DE">
        <w:t>,</w:t>
      </w:r>
      <w:r w:rsidR="00F746AB">
        <w:t xml:space="preserve"> Hargreaves </w:t>
      </w:r>
      <w:r w:rsidR="00B33200">
        <w:t>&amp;</w:t>
      </w:r>
      <w:r w:rsidR="00DA76DE">
        <w:t xml:space="preserve"> Blomberg</w:t>
      </w:r>
      <w:r w:rsidR="00F746AB">
        <w:t xml:space="preserve"> 2015</w:t>
      </w:r>
      <w:r w:rsidR="00A81D32">
        <w:t>.</w:t>
      </w:r>
      <w:r w:rsidR="00F746AB">
        <w:t xml:space="preserve">) </w:t>
      </w:r>
      <w:r w:rsidR="00761196">
        <w:t xml:space="preserve">As Hargreaves </w:t>
      </w:r>
      <w:r w:rsidR="00B33200">
        <w:t xml:space="preserve">and </w:t>
      </w:r>
      <w:r w:rsidR="00761196">
        <w:t xml:space="preserve">Blomberg (2015) argue, it is perhaps the push from COAG to promote accelerated apprenticeships </w:t>
      </w:r>
      <w:r w:rsidR="00E214C6">
        <w:t>that</w:t>
      </w:r>
      <w:r w:rsidR="00761196">
        <w:t xml:space="preserve"> has led to </w:t>
      </w:r>
      <w:r w:rsidR="00997EBC">
        <w:t xml:space="preserve">a </w:t>
      </w:r>
      <w:r w:rsidR="00761196">
        <w:t xml:space="preserve">much higher proportion of adult apprentices completing </w:t>
      </w:r>
      <w:r w:rsidR="00761196" w:rsidRPr="00FD75CA">
        <w:t xml:space="preserve">their apprenticeship within two years, compared with </w:t>
      </w:r>
      <w:r w:rsidR="00997EBC">
        <w:t xml:space="preserve">the rate of </w:t>
      </w:r>
      <w:r w:rsidR="00761196" w:rsidRPr="00FD75CA">
        <w:t xml:space="preserve">ten years earlier. </w:t>
      </w:r>
      <w:r w:rsidR="00212092" w:rsidRPr="00FD75CA">
        <w:t xml:space="preserve">They find that </w:t>
      </w:r>
      <w:r w:rsidR="00761196" w:rsidRPr="00FD75CA">
        <w:t xml:space="preserve">over half (56.2%) of certificate III or higher apprenticeships </w:t>
      </w:r>
      <w:r w:rsidR="00212092" w:rsidRPr="00FD75CA">
        <w:t xml:space="preserve">in 2013 </w:t>
      </w:r>
      <w:r w:rsidR="00761196" w:rsidRPr="00FD75CA">
        <w:t>were completed within two years for the 25</w:t>
      </w:r>
      <w:r w:rsidR="00212092" w:rsidRPr="00FD75CA">
        <w:t xml:space="preserve"> to 44-year-old age group. This is</w:t>
      </w:r>
      <w:r w:rsidR="00761196" w:rsidRPr="00FD75CA">
        <w:t xml:space="preserve"> </w:t>
      </w:r>
      <w:r w:rsidR="00DA76DE">
        <w:t>in contrast to</w:t>
      </w:r>
      <w:r w:rsidR="00FA05E5" w:rsidRPr="00FD75CA">
        <w:t xml:space="preserve"> 42% in 2004. Just over</w:t>
      </w:r>
      <w:r w:rsidR="00761196" w:rsidRPr="00FD75CA">
        <w:t xml:space="preserve"> 8</w:t>
      </w:r>
      <w:r w:rsidR="00FA05E5" w:rsidRPr="00FD75CA">
        <w:t>0%</w:t>
      </w:r>
      <w:r w:rsidR="00761196" w:rsidRPr="00FD75CA">
        <w:t xml:space="preserve"> of apprentices aged 45 years and over are now completing a certificate III or higher apprenticeship with</w:t>
      </w:r>
      <w:r w:rsidR="00FA05E5" w:rsidRPr="00FD75CA">
        <w:t>in two years, compared with around 65</w:t>
      </w:r>
      <w:r w:rsidR="00DA76DE">
        <w:t xml:space="preserve">% in 2004. </w:t>
      </w:r>
      <w:r w:rsidR="00137DEE">
        <w:t>F</w:t>
      </w:r>
      <w:r w:rsidR="00B32F0D" w:rsidRPr="00AC76A9">
        <w:t xml:space="preserve">igure </w:t>
      </w:r>
      <w:r w:rsidR="00AC76A9" w:rsidRPr="00AC76A9">
        <w:t>18</w:t>
      </w:r>
      <w:r w:rsidR="00FA05E5" w:rsidRPr="00AC76A9">
        <w:t xml:space="preserve"> </w:t>
      </w:r>
      <w:r w:rsidR="00A81D32">
        <w:t>indicates</w:t>
      </w:r>
      <w:r w:rsidR="00FA05E5" w:rsidRPr="00AC76A9">
        <w:t xml:space="preserve"> this</w:t>
      </w:r>
      <w:r w:rsidR="00FA05E5" w:rsidRPr="00FD75CA">
        <w:t xml:space="preserve"> </w:t>
      </w:r>
      <w:r w:rsidR="00A81D32">
        <w:t xml:space="preserve">trend over the past two decades and </w:t>
      </w:r>
      <w:r w:rsidR="00137DEE">
        <w:t>confirms</w:t>
      </w:r>
      <w:r w:rsidR="00D359C6" w:rsidRPr="00FD75CA">
        <w:t xml:space="preserve"> the proportion of all apprenticeship completions of </w:t>
      </w:r>
      <w:r w:rsidR="00DA76DE" w:rsidRPr="00FD75CA">
        <w:t xml:space="preserve">two years </w:t>
      </w:r>
      <w:r w:rsidR="00D359C6" w:rsidRPr="00FD75CA">
        <w:t xml:space="preserve">duration </w:t>
      </w:r>
      <w:r w:rsidR="00DA76DE">
        <w:t xml:space="preserve">or </w:t>
      </w:r>
      <w:r w:rsidR="002A175A">
        <w:t>fewer</w:t>
      </w:r>
      <w:r w:rsidR="00D359C6" w:rsidRPr="00FD75CA">
        <w:t xml:space="preserve">. This proportion has increased markedly for those aged 25 years and over since about 2008 </w:t>
      </w:r>
      <w:r w:rsidR="00D359C6" w:rsidRPr="00250B5F">
        <w:t xml:space="preserve">(39.0% of completions in 2008 to </w:t>
      </w:r>
      <w:r w:rsidR="00250B5F" w:rsidRPr="00250B5F">
        <w:t>59.8</w:t>
      </w:r>
      <w:r w:rsidR="00D359C6" w:rsidRPr="00250B5F">
        <w:t>% of completions in 201</w:t>
      </w:r>
      <w:r w:rsidR="00250B5F" w:rsidRPr="00250B5F">
        <w:t>5</w:t>
      </w:r>
      <w:r w:rsidR="00DA76DE">
        <w:t>,</w:t>
      </w:r>
      <w:r w:rsidR="00250B5F" w:rsidRPr="00250B5F">
        <w:t xml:space="preserve"> noting a drop </w:t>
      </w:r>
      <w:r w:rsidR="00DA76DE">
        <w:t>however</w:t>
      </w:r>
      <w:r w:rsidR="00250B5F" w:rsidRPr="00250B5F">
        <w:t xml:space="preserve"> for the last 12 months</w:t>
      </w:r>
      <w:r w:rsidR="00D359C6" w:rsidRPr="00250B5F">
        <w:t>).</w:t>
      </w:r>
      <w:r w:rsidR="00D359C6">
        <w:t xml:space="preserve"> </w:t>
      </w:r>
    </w:p>
    <w:p w:rsidR="000F13D3" w:rsidRDefault="00FD75CA" w:rsidP="002A175A">
      <w:pPr>
        <w:pStyle w:val="Figuretitle"/>
        <w:ind w:left="993" w:hanging="993"/>
      </w:pPr>
      <w:r>
        <w:br w:type="page"/>
      </w:r>
      <w:bookmarkStart w:id="85" w:name="_Toc455670411"/>
      <w:bookmarkStart w:id="86" w:name="_Toc457809801"/>
      <w:r w:rsidR="000F13D3" w:rsidRPr="00AC76A9">
        <w:lastRenderedPageBreak/>
        <w:t>Figure</w:t>
      </w:r>
      <w:r w:rsidR="00B32F0D" w:rsidRPr="00AC76A9">
        <w:t xml:space="preserve"> </w:t>
      </w:r>
      <w:r w:rsidR="00AC76A9" w:rsidRPr="00AC76A9">
        <w:t>18</w:t>
      </w:r>
      <w:r w:rsidR="002A175A">
        <w:tab/>
      </w:r>
      <w:r w:rsidR="000F13D3" w:rsidRPr="00AC76A9">
        <w:t>Trade</w:t>
      </w:r>
      <w:r w:rsidR="000F13D3">
        <w:t xml:space="preserve"> completions by age by dur</w:t>
      </w:r>
      <w:r w:rsidR="00DA76DE">
        <w:t>ation of two years or less 1996–</w:t>
      </w:r>
      <w:r w:rsidR="000F13D3">
        <w:t>201</w:t>
      </w:r>
      <w:r w:rsidR="00A47864">
        <w:t>5</w:t>
      </w:r>
      <w:r w:rsidR="0046269B">
        <w:t xml:space="preserve"> (%)</w:t>
      </w:r>
      <w:bookmarkEnd w:id="85"/>
      <w:bookmarkEnd w:id="86"/>
    </w:p>
    <w:p w:rsidR="000F13D3" w:rsidRDefault="00250B5F" w:rsidP="00946BA3">
      <w:pPr>
        <w:pStyle w:val="Tabletext"/>
      </w:pPr>
      <w:bookmarkStart w:id="87" w:name="_Toc450046708"/>
      <w:bookmarkStart w:id="88" w:name="_Toc450047489"/>
      <w:r>
        <w:rPr>
          <w:noProof/>
          <w:lang w:eastAsia="en-AU"/>
        </w:rPr>
        <w:drawing>
          <wp:inline distT="0" distB="0" distL="0" distR="0" wp14:anchorId="4535F020" wp14:editId="4149C8BA">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87"/>
      <w:bookmarkEnd w:id="88"/>
    </w:p>
    <w:p w:rsidR="00DA76DE" w:rsidRDefault="00250B5F" w:rsidP="00E214C6">
      <w:pPr>
        <w:pStyle w:val="Source"/>
      </w:pPr>
      <w:r>
        <w:t>Note:</w:t>
      </w:r>
      <w:r w:rsidR="005C022C">
        <w:t xml:space="preserve"> </w:t>
      </w:r>
      <w:r w:rsidR="00D26FBA">
        <w:tab/>
      </w:r>
      <w:r>
        <w:t>Completions are based on financi</w:t>
      </w:r>
      <w:r w:rsidR="00DA76DE">
        <w:t xml:space="preserve">al year starting from July 1995 to </w:t>
      </w:r>
      <w:r>
        <w:t>June 1996 and ending with July 2014</w:t>
      </w:r>
      <w:r w:rsidR="00DA76DE">
        <w:t xml:space="preserve"> to </w:t>
      </w:r>
      <w:r>
        <w:t>June 2015</w:t>
      </w:r>
      <w:r w:rsidR="00DA76DE">
        <w:t>.</w:t>
      </w:r>
    </w:p>
    <w:p w:rsidR="00250B5F" w:rsidRPr="0021370E" w:rsidRDefault="00DA76DE" w:rsidP="00A84180">
      <w:pPr>
        <w:pStyle w:val="Source"/>
      </w:pPr>
      <w:r w:rsidRPr="00FA2785">
        <w:t xml:space="preserve">Source: </w:t>
      </w:r>
      <w:r w:rsidR="00D26FBA">
        <w:tab/>
      </w:r>
      <w:r w:rsidRPr="00FA2785">
        <w:t>NCVER Apprentice and Trainee Collection 199</w:t>
      </w:r>
      <w:r>
        <w:t>5–201</w:t>
      </w:r>
      <w:r w:rsidR="005D4370">
        <w:t>5</w:t>
      </w:r>
      <w:r w:rsidR="00A84180">
        <w:t>.</w:t>
      </w:r>
    </w:p>
    <w:p w:rsidR="005229D5" w:rsidRDefault="00CA314D" w:rsidP="005229D5">
      <w:pPr>
        <w:pStyle w:val="Text"/>
      </w:pPr>
      <w:r w:rsidRPr="00470896">
        <w:t xml:space="preserve">How much of this trend towards </w:t>
      </w:r>
      <w:r w:rsidR="00DA76DE">
        <w:t xml:space="preserve">a </w:t>
      </w:r>
      <w:r w:rsidR="005229D5" w:rsidRPr="00470896">
        <w:t>shorter duration of training is li</w:t>
      </w:r>
      <w:r w:rsidR="00470896" w:rsidRPr="00470896">
        <w:t xml:space="preserve">nked to the </w:t>
      </w:r>
      <w:r w:rsidR="00DA76DE">
        <w:t xml:space="preserve">Accelerated </w:t>
      </w:r>
      <w:r w:rsidR="00DA76DE" w:rsidRPr="00997EBC">
        <w:t>Australian Apprenticeship</w:t>
      </w:r>
      <w:r w:rsidR="00A81D32">
        <w:t>s</w:t>
      </w:r>
      <w:r w:rsidR="00470896" w:rsidRPr="00997EBC">
        <w:t xml:space="preserve"> </w:t>
      </w:r>
      <w:r w:rsidR="00A81D32">
        <w:t>p</w:t>
      </w:r>
      <w:r w:rsidR="00997EBC" w:rsidRPr="00997EBC">
        <w:t>rogram</w:t>
      </w:r>
      <w:r w:rsidR="005229D5" w:rsidRPr="00997EBC">
        <w:t xml:space="preserve"> is</w:t>
      </w:r>
      <w:r w:rsidR="005229D5" w:rsidRPr="00470896">
        <w:t xml:space="preserve"> unclear</w:t>
      </w:r>
      <w:r w:rsidR="00B939BD" w:rsidRPr="00470896">
        <w:t xml:space="preserve"> as</w:t>
      </w:r>
      <w:r w:rsidR="00470896" w:rsidRPr="00470896">
        <w:t xml:space="preserve"> it</w:t>
      </w:r>
      <w:r w:rsidR="00B939BD" w:rsidRPr="00470896">
        <w:t xml:space="preserve"> had a limited remit.</w:t>
      </w:r>
      <w:r w:rsidR="005229D5" w:rsidRPr="00470896">
        <w:t xml:space="preserve"> However, it is evident that the various efforts to promote accelerated apprenticeship completion</w:t>
      </w:r>
      <w:r w:rsidR="00DA76DE">
        <w:t>s</w:t>
      </w:r>
      <w:r w:rsidR="00B939BD" w:rsidRPr="00470896">
        <w:t xml:space="preserve"> </w:t>
      </w:r>
      <w:r w:rsidR="005229D5" w:rsidRPr="00470896">
        <w:t xml:space="preserve">have had an impact on </w:t>
      </w:r>
      <w:r w:rsidR="00997EBC">
        <w:t xml:space="preserve">the </w:t>
      </w:r>
      <w:r w:rsidR="00997EBC" w:rsidRPr="00470896">
        <w:t xml:space="preserve">duration </w:t>
      </w:r>
      <w:r w:rsidR="00997EBC">
        <w:t xml:space="preserve">of </w:t>
      </w:r>
      <w:r w:rsidR="005229D5" w:rsidRPr="00470896">
        <w:t>trade apprenticeshi</w:t>
      </w:r>
      <w:r w:rsidR="00E97F95" w:rsidRPr="00470896">
        <w:t>p</w:t>
      </w:r>
      <w:r w:rsidR="00997EBC">
        <w:t>s</w:t>
      </w:r>
      <w:r w:rsidR="00E97F95" w:rsidRPr="00470896">
        <w:t xml:space="preserve"> since the late 1990s. It is</w:t>
      </w:r>
      <w:r w:rsidR="005229D5" w:rsidRPr="00470896">
        <w:t xml:space="preserve"> particularly</w:t>
      </w:r>
      <w:r w:rsidR="00E97F95" w:rsidRPr="00470896">
        <w:t xml:space="preserve"> noticeable</w:t>
      </w:r>
      <w:r w:rsidR="005229D5" w:rsidRPr="00470896">
        <w:t xml:space="preserve"> from 2008 onwards, where</w:t>
      </w:r>
      <w:r w:rsidR="002A175A">
        <w:t>by</w:t>
      </w:r>
      <w:r w:rsidR="005229D5" w:rsidRPr="00470896">
        <w:t xml:space="preserve"> we see sharper increases in </w:t>
      </w:r>
      <w:r w:rsidR="00470896" w:rsidRPr="00470896">
        <w:t>the proportion of</w:t>
      </w:r>
      <w:r w:rsidR="00D25075">
        <w:t xml:space="preserve"> trade</w:t>
      </w:r>
      <w:r w:rsidR="00470896" w:rsidRPr="00470896">
        <w:t xml:space="preserve"> </w:t>
      </w:r>
      <w:r w:rsidR="005229D5" w:rsidRPr="00470896">
        <w:t xml:space="preserve">training taking </w:t>
      </w:r>
      <w:r w:rsidR="00B33200" w:rsidRPr="00470896">
        <w:t>two</w:t>
      </w:r>
      <w:r w:rsidR="00D25075">
        <w:t xml:space="preserve"> years or </w:t>
      </w:r>
      <w:r w:rsidR="00137DEE">
        <w:t>fewer</w:t>
      </w:r>
      <w:r w:rsidR="005229D5" w:rsidRPr="00470896">
        <w:t>.</w:t>
      </w:r>
      <w:r w:rsidR="00E97F95" w:rsidRPr="00470896">
        <w:t xml:space="preserve"> These trends are particularly prominent for adult apprentices aged 25 years and over, who may be better placed to take up early completion options.</w:t>
      </w:r>
      <w:r w:rsidR="00597397">
        <w:t xml:space="preserve"> </w:t>
      </w:r>
    </w:p>
    <w:p w:rsidR="00301BD0" w:rsidRDefault="005229D5" w:rsidP="005229D5">
      <w:pPr>
        <w:pStyle w:val="Text"/>
      </w:pPr>
      <w:r>
        <w:t xml:space="preserve">Despite the </w:t>
      </w:r>
      <w:r w:rsidR="00DA76DE">
        <w:t>reduced</w:t>
      </w:r>
      <w:r>
        <w:t xml:space="preserve"> length of apprenticeships and trainee</w:t>
      </w:r>
      <w:r w:rsidR="00DA76DE">
        <w:t>ships over the past few decades</w:t>
      </w:r>
      <w:r>
        <w:t xml:space="preserve"> and despite the</w:t>
      </w:r>
      <w:r w:rsidRPr="005229D5">
        <w:t xml:space="preserve"> policy trend towards a more</w:t>
      </w:r>
      <w:r>
        <w:t xml:space="preserve"> flexible</w:t>
      </w:r>
      <w:r w:rsidR="00212092">
        <w:t xml:space="preserve"> and responsive system</w:t>
      </w:r>
      <w:r w:rsidR="00B33200">
        <w:t>,</w:t>
      </w:r>
      <w:r w:rsidR="00212092">
        <w:t xml:space="preserve"> there remains</w:t>
      </w:r>
      <w:r>
        <w:t xml:space="preserve"> concern within the sector that these approaches are not being </w:t>
      </w:r>
      <w:r w:rsidR="00DA76DE">
        <w:t>utilised</w:t>
      </w:r>
      <w:r>
        <w:t xml:space="preserve"> as much as they could be</w:t>
      </w:r>
      <w:r w:rsidR="00E97F95">
        <w:t xml:space="preserve"> (Clayton et al</w:t>
      </w:r>
      <w:r w:rsidR="00DA76DE">
        <w:t>. 2015;</w:t>
      </w:r>
      <w:r w:rsidR="00E97F95">
        <w:t xml:space="preserve"> Hargreaves </w:t>
      </w:r>
      <w:r w:rsidR="00E97F95" w:rsidRPr="009A1C83">
        <w:t>&amp; Blomberg 2015</w:t>
      </w:r>
      <w:r w:rsidR="00DA76DE">
        <w:t>;</w:t>
      </w:r>
      <w:r w:rsidR="00470896" w:rsidRPr="009A1C83">
        <w:t xml:space="preserve"> A</w:t>
      </w:r>
      <w:r w:rsidR="00DA76DE">
        <w:t>ustralian Industry Group</w:t>
      </w:r>
      <w:r w:rsidR="00470896" w:rsidRPr="009A1C83">
        <w:t xml:space="preserve"> 2016</w:t>
      </w:r>
      <w:r w:rsidR="00E97F95">
        <w:t>)</w:t>
      </w:r>
      <w:r>
        <w:t>.</w:t>
      </w:r>
    </w:p>
    <w:p w:rsidR="007C0D34" w:rsidRDefault="007C0D34" w:rsidP="007C0D34">
      <w:pPr>
        <w:pStyle w:val="Heading3"/>
      </w:pPr>
      <w:r>
        <w:t>Summary of impacts and learnings</w:t>
      </w:r>
    </w:p>
    <w:p w:rsidR="007C0D34" w:rsidRDefault="007C0D34" w:rsidP="007C0D34">
      <w:pPr>
        <w:pStyle w:val="Text"/>
      </w:pPr>
      <w:r>
        <w:t>T</w:t>
      </w:r>
      <w:r w:rsidRPr="00FA2785">
        <w:t>he</w:t>
      </w:r>
      <w:r>
        <w:t xml:space="preserve"> two pol</w:t>
      </w:r>
      <w:r w:rsidR="0027781F">
        <w:t>icies discussed in this section</w:t>
      </w:r>
      <w:r w:rsidR="002A175A">
        <w:t xml:space="preserve"> —</w:t>
      </w:r>
      <w:r w:rsidR="0027781F">
        <w:t xml:space="preserve"> the</w:t>
      </w:r>
      <w:r w:rsidRPr="00FA2785">
        <w:t xml:space="preserve"> introduction and</w:t>
      </w:r>
      <w:r>
        <w:t xml:space="preserve"> removal of i</w:t>
      </w:r>
      <w:r w:rsidR="00137DEE">
        <w:t>ncentive payments for employers</w:t>
      </w:r>
      <w:r>
        <w:t xml:space="preserve"> and the move towards accelerated apprenticeships </w:t>
      </w:r>
      <w:r w:rsidR="002A175A">
        <w:t xml:space="preserve">— </w:t>
      </w:r>
      <w:r>
        <w:t xml:space="preserve">have had a significant influence on participation trends for apprenticeships and traineeships. </w:t>
      </w:r>
      <w:r w:rsidR="006E00B4">
        <w:t xml:space="preserve">The </w:t>
      </w:r>
      <w:r w:rsidR="006E00B4" w:rsidRPr="006E00B4">
        <w:t xml:space="preserve">effort to promote accelerated apprenticeship completions </w:t>
      </w:r>
      <w:r w:rsidR="006E00B4">
        <w:t xml:space="preserve">has led to </w:t>
      </w:r>
      <w:r w:rsidR="006E00B4" w:rsidRPr="006E00B4">
        <w:t>the</w:t>
      </w:r>
      <w:r w:rsidR="006E00B4">
        <w:t xml:space="preserve"> gradual shortening</w:t>
      </w:r>
      <w:r w:rsidR="006E00B4" w:rsidRPr="006E00B4">
        <w:t xml:space="preserve"> of trade apprenticeships since the late 1990s</w:t>
      </w:r>
      <w:r w:rsidR="006E00B4">
        <w:t xml:space="preserve">, but </w:t>
      </w:r>
      <w:r w:rsidR="00137DEE">
        <w:t xml:space="preserve">is </w:t>
      </w:r>
      <w:r w:rsidR="006E00B4">
        <w:t>parti</w:t>
      </w:r>
      <w:r w:rsidR="006E00B4" w:rsidRPr="006E00B4">
        <w:t>cular</w:t>
      </w:r>
      <w:r w:rsidR="006E00B4">
        <w:t>ly noticeable from 2008 onwards.</w:t>
      </w:r>
      <w:r w:rsidR="006E00B4" w:rsidRPr="006E00B4">
        <w:t xml:space="preserve"> </w:t>
      </w:r>
      <w:r>
        <w:t>The removal of the incentive payments appears to have contributed to the decrease in apprenticeship and traineeship commencements and completions, particularly in the non-trades.</w:t>
      </w:r>
      <w:r w:rsidR="00597397">
        <w:t xml:space="preserve"> </w:t>
      </w:r>
    </w:p>
    <w:p w:rsidR="00A85857" w:rsidRDefault="00B82F92" w:rsidP="007C0D34">
      <w:pPr>
        <w:pStyle w:val="Text"/>
      </w:pPr>
      <w:r w:rsidRPr="00733E1A">
        <w:t>The</w:t>
      </w:r>
      <w:r w:rsidR="0027781F">
        <w:t xml:space="preserve"> state of the labour market, of </w:t>
      </w:r>
      <w:r w:rsidRPr="00733E1A">
        <w:t>course, has an influence on apprenticeship numbers, particularly in the trades.</w:t>
      </w:r>
      <w:r>
        <w:t xml:space="preserve"> </w:t>
      </w:r>
      <w:r w:rsidR="007C0D34">
        <w:t>However,</w:t>
      </w:r>
      <w:r w:rsidR="00A85857">
        <w:t xml:space="preserve"> it is important to remember that</w:t>
      </w:r>
      <w:r w:rsidR="007C0D34">
        <w:t xml:space="preserve"> there </w:t>
      </w:r>
      <w:r w:rsidR="00A85857">
        <w:t>are</w:t>
      </w:r>
      <w:r w:rsidR="007C0D34">
        <w:t xml:space="preserve"> other policy factors that need to be considered</w:t>
      </w:r>
      <w:r w:rsidR="00A85857">
        <w:t>, factors which would</w:t>
      </w:r>
      <w:r w:rsidR="007C0D34">
        <w:t xml:space="preserve"> need</w:t>
      </w:r>
      <w:r w:rsidR="00863D42">
        <w:t xml:space="preserve"> to be</w:t>
      </w:r>
      <w:r w:rsidR="007C0D34">
        <w:t xml:space="preserve"> investigated</w:t>
      </w:r>
      <w:r w:rsidR="00863D42">
        <w:t xml:space="preserve"> more </w:t>
      </w:r>
      <w:r w:rsidR="00137DEE">
        <w:t>comprehensively</w:t>
      </w:r>
      <w:r w:rsidR="007C0D34">
        <w:t xml:space="preserve"> </w:t>
      </w:r>
      <w:r w:rsidR="00A85857">
        <w:t xml:space="preserve">to reveal </w:t>
      </w:r>
      <w:r w:rsidR="007C0D34">
        <w:t xml:space="preserve">the extent of </w:t>
      </w:r>
      <w:r w:rsidR="00A85857">
        <w:t>their</w:t>
      </w:r>
      <w:r w:rsidR="007C0D34">
        <w:t xml:space="preserve"> impact</w:t>
      </w:r>
      <w:r w:rsidR="00A85857">
        <w:t xml:space="preserve"> on participation</w:t>
      </w:r>
      <w:r w:rsidR="007C0D34">
        <w:t>.</w:t>
      </w:r>
      <w:r w:rsidR="0027781F">
        <w:t xml:space="preserve"> </w:t>
      </w:r>
      <w:r w:rsidR="00F163BC">
        <w:t xml:space="preserve">Some of these </w:t>
      </w:r>
      <w:r w:rsidR="00F163BC">
        <w:lastRenderedPageBreak/>
        <w:t>factors are national, whereas others h</w:t>
      </w:r>
      <w:r w:rsidR="00137DEE">
        <w:t>ave jurisdictional influences; s</w:t>
      </w:r>
      <w:r w:rsidR="00F163BC">
        <w:t xml:space="preserve">ome </w:t>
      </w:r>
      <w:r w:rsidR="00A81D32">
        <w:t>represent</w:t>
      </w:r>
      <w:r w:rsidR="00733E1A">
        <w:t xml:space="preserve"> forms of support</w:t>
      </w:r>
      <w:r w:rsidR="00863D42">
        <w:t xml:space="preserve"> directed at employers, whereas others are directed towards individual apprentices and trainees.</w:t>
      </w:r>
      <w:r w:rsidR="00F163BC">
        <w:t xml:space="preserve"> </w:t>
      </w:r>
      <w:r w:rsidR="00863D42">
        <w:t>These</w:t>
      </w:r>
      <w:r w:rsidR="00A85857">
        <w:t xml:space="preserve"> influential</w:t>
      </w:r>
      <w:r w:rsidR="00863D42">
        <w:t xml:space="preserve"> factors can</w:t>
      </w:r>
      <w:r w:rsidR="00A85857">
        <w:t xml:space="preserve"> include:</w:t>
      </w:r>
    </w:p>
    <w:p w:rsidR="00730B04" w:rsidRDefault="00137DEE" w:rsidP="00A85857">
      <w:pPr>
        <w:pStyle w:val="Dotpoint1"/>
      </w:pPr>
      <w:r>
        <w:t xml:space="preserve">the </w:t>
      </w:r>
      <w:r w:rsidR="0027781F">
        <w:t>s</w:t>
      </w:r>
      <w:r w:rsidR="007C0D34">
        <w:t xml:space="preserve">tate and </w:t>
      </w:r>
      <w:r w:rsidR="00F163BC">
        <w:t>t</w:t>
      </w:r>
      <w:r w:rsidR="007C0D34">
        <w:t xml:space="preserve">erritory policies of payroll tax </w:t>
      </w:r>
      <w:r w:rsidR="00F163BC">
        <w:t xml:space="preserve">exemptions </w:t>
      </w:r>
      <w:r>
        <w:t>that</w:t>
      </w:r>
      <w:r w:rsidR="007C0D34">
        <w:t xml:space="preserve"> have operated at various</w:t>
      </w:r>
      <w:r w:rsidR="0027781F">
        <w:t xml:space="preserve"> times across the last 20 years,</w:t>
      </w:r>
      <w:r w:rsidR="007C0D34">
        <w:t xml:space="preserve"> </w:t>
      </w:r>
      <w:r w:rsidR="00F163BC">
        <w:t xml:space="preserve">and </w:t>
      </w:r>
      <w:r w:rsidR="007C0D34">
        <w:t>similarly any</w:t>
      </w:r>
      <w:r w:rsidR="00F163BC">
        <w:t xml:space="preserve"> state-based Work Cover</w:t>
      </w:r>
      <w:r w:rsidR="007C0D34">
        <w:t xml:space="preserve"> insurance levy deductions or remissions/rebates </w:t>
      </w:r>
    </w:p>
    <w:p w:rsidR="00730B04" w:rsidRDefault="0027781F" w:rsidP="007C0D34">
      <w:pPr>
        <w:pStyle w:val="Dotpoint1"/>
      </w:pPr>
      <w:r>
        <w:t>j</w:t>
      </w:r>
      <w:r w:rsidR="00730B04">
        <w:t xml:space="preserve">urisdictional ad hoc support, such as </w:t>
      </w:r>
      <w:r w:rsidR="007C0D34">
        <w:t>drought support packages targeted to regional employers</w:t>
      </w:r>
    </w:p>
    <w:p w:rsidR="00730B04" w:rsidRDefault="0027781F" w:rsidP="007C0D34">
      <w:pPr>
        <w:pStyle w:val="Dotpoint1"/>
      </w:pPr>
      <w:r>
        <w:t>a</w:t>
      </w:r>
      <w:r w:rsidR="00730B04">
        <w:t>pprentice and trainee</w:t>
      </w:r>
      <w:r w:rsidR="007C0D34">
        <w:t xml:space="preserve"> wages and </w:t>
      </w:r>
      <w:r w:rsidR="00730B04">
        <w:t xml:space="preserve">the </w:t>
      </w:r>
      <w:r w:rsidR="007C0D34">
        <w:t>complexities of</w:t>
      </w:r>
      <w:r w:rsidR="00730B04">
        <w:t xml:space="preserve"> the</w:t>
      </w:r>
      <w:r w:rsidR="007C0D34">
        <w:t xml:space="preserve"> Modern Awards </w:t>
      </w:r>
      <w:r w:rsidR="00231FA1">
        <w:t xml:space="preserve">administered by the </w:t>
      </w:r>
      <w:r w:rsidR="007C0D34">
        <w:t xml:space="preserve">Fair Work </w:t>
      </w:r>
      <w:r w:rsidR="00231FA1">
        <w:t>Ombudsman</w:t>
      </w:r>
      <w:r w:rsidR="00730B04">
        <w:t>, which</w:t>
      </w:r>
      <w:r w:rsidR="007C0D34">
        <w:t xml:space="preserve"> may impact </w:t>
      </w:r>
      <w:r>
        <w:t xml:space="preserve">on </w:t>
      </w:r>
      <w:r w:rsidR="007C0D34">
        <w:t xml:space="preserve">employers’ willingness to employ </w:t>
      </w:r>
      <w:r w:rsidR="00730B04">
        <w:t xml:space="preserve">apprentices and trainees </w:t>
      </w:r>
      <w:r w:rsidR="007C0D34">
        <w:t>and support their participation, in the absence of other cost offset incentives</w:t>
      </w:r>
      <w:r w:rsidR="00137DEE">
        <w:t xml:space="preserve"> </w:t>
      </w:r>
      <w:r w:rsidR="00A84E95">
        <w:t>(see</w:t>
      </w:r>
      <w:r>
        <w:t>,</w:t>
      </w:r>
      <w:r w:rsidR="00A84E95">
        <w:t xml:space="preserve"> </w:t>
      </w:r>
      <w:r>
        <w:t>for example,</w:t>
      </w:r>
      <w:r w:rsidR="00A84E95">
        <w:t xml:space="preserve"> Oliver 2010)</w:t>
      </w:r>
      <w:r w:rsidR="007C0D34">
        <w:t xml:space="preserve"> </w:t>
      </w:r>
    </w:p>
    <w:p w:rsidR="00730B04" w:rsidRPr="00EE5BC7" w:rsidRDefault="0027781F" w:rsidP="00441B04">
      <w:pPr>
        <w:pStyle w:val="Dotpoint1"/>
      </w:pPr>
      <w:proofErr w:type="gramStart"/>
      <w:r>
        <w:t>s</w:t>
      </w:r>
      <w:r w:rsidR="00441B04" w:rsidRPr="00EE5BC7">
        <w:t>ignificant</w:t>
      </w:r>
      <w:proofErr w:type="gramEnd"/>
      <w:r w:rsidR="00441B04" w:rsidRPr="00EE5BC7">
        <w:t xml:space="preserve"> cuts</w:t>
      </w:r>
      <w:r w:rsidR="007C0D34" w:rsidRPr="00EE5BC7">
        <w:t xml:space="preserve"> in funding </w:t>
      </w:r>
      <w:r w:rsidR="00441B04" w:rsidRPr="00EE5BC7">
        <w:t xml:space="preserve">in 2015 </w:t>
      </w:r>
      <w:r w:rsidR="007C0D34" w:rsidRPr="00EE5BC7">
        <w:t xml:space="preserve">for </w:t>
      </w:r>
      <w:r w:rsidR="00137DEE">
        <w:t>group training organisations</w:t>
      </w:r>
      <w:r w:rsidR="00441B04" w:rsidRPr="00EE5BC7">
        <w:t>. GTOs</w:t>
      </w:r>
      <w:r w:rsidR="005904CD" w:rsidRPr="00EE5BC7">
        <w:t xml:space="preserve"> </w:t>
      </w:r>
      <w:r w:rsidR="00441B04" w:rsidRPr="00EE5BC7">
        <w:t>employ apprentices and trainees and place them with host employers</w:t>
      </w:r>
      <w:r w:rsidR="005904CD" w:rsidRPr="00EE5BC7">
        <w:t xml:space="preserve"> and</w:t>
      </w:r>
      <w:r w:rsidR="00441B04" w:rsidRPr="00EE5BC7">
        <w:t xml:space="preserve"> are responsible for ensuring the quality and continuit</w:t>
      </w:r>
      <w:r w:rsidR="00B32F0D" w:rsidRPr="00EE5BC7">
        <w:t>y of the training requirements.</w:t>
      </w:r>
      <w:r w:rsidR="007C0D34" w:rsidRPr="00EE5BC7">
        <w:t xml:space="preserve"> </w:t>
      </w:r>
      <w:r w:rsidR="005E38DB" w:rsidRPr="00EE5BC7">
        <w:t>Given that many of the host employers</w:t>
      </w:r>
      <w:r w:rsidR="007C0D34" w:rsidRPr="00EE5BC7">
        <w:t xml:space="preserve"> </w:t>
      </w:r>
      <w:r w:rsidR="005E38DB" w:rsidRPr="00EE5BC7">
        <w:t xml:space="preserve">are </w:t>
      </w:r>
      <w:r>
        <w:t>small to medium enterprises (SMEs)</w:t>
      </w:r>
      <w:r w:rsidR="005E38DB" w:rsidRPr="00EE5BC7">
        <w:t>,</w:t>
      </w:r>
      <w:r w:rsidR="00B32F0D" w:rsidRPr="00EE5BC7">
        <w:t xml:space="preserve"> these changes may impact on SMEs and the apprentices they employ</w:t>
      </w:r>
      <w:r w:rsidR="00597397">
        <w:t xml:space="preserve"> </w:t>
      </w:r>
    </w:p>
    <w:p w:rsidR="00730B04" w:rsidRDefault="0027781F" w:rsidP="007C0D34">
      <w:pPr>
        <w:pStyle w:val="Dotpoint1"/>
      </w:pPr>
      <w:r>
        <w:t>s</w:t>
      </w:r>
      <w:r w:rsidR="00730B04">
        <w:t xml:space="preserve">upporting apprentices through </w:t>
      </w:r>
      <w:r w:rsidR="007D7C38">
        <w:t>grants and more recently loans</w:t>
      </w:r>
      <w:r w:rsidR="00443E29">
        <w:rPr>
          <w:rStyle w:val="FootnoteReference"/>
        </w:rPr>
        <w:footnoteReference w:id="9"/>
      </w:r>
    </w:p>
    <w:p w:rsidR="00F7649B" w:rsidRDefault="0027781F" w:rsidP="00F7649B">
      <w:pPr>
        <w:pStyle w:val="Dotpoint1"/>
      </w:pPr>
      <w:proofErr w:type="gramStart"/>
      <w:r>
        <w:t>i</w:t>
      </w:r>
      <w:r w:rsidR="00730B04">
        <w:t>ncreasing</w:t>
      </w:r>
      <w:proofErr w:type="gramEnd"/>
      <w:r w:rsidR="00730B04">
        <w:t xml:space="preserve"> </w:t>
      </w:r>
      <w:r>
        <w:t xml:space="preserve">the </w:t>
      </w:r>
      <w:r w:rsidR="00730B04">
        <w:t xml:space="preserve">focus on </w:t>
      </w:r>
      <w:r w:rsidR="00A64051">
        <w:t xml:space="preserve">targeted support, and </w:t>
      </w:r>
      <w:r w:rsidR="00730B04">
        <w:t xml:space="preserve">supporting apprenticeships and traineeships </w:t>
      </w:r>
      <w:r w:rsidR="00030ACF">
        <w:t>and their employers at the ‘front</w:t>
      </w:r>
      <w:r w:rsidR="002A175A">
        <w:t xml:space="preserve"> </w:t>
      </w:r>
      <w:r w:rsidR="00030ACF">
        <w:t>end’</w:t>
      </w:r>
      <w:r w:rsidR="00A64051">
        <w:t xml:space="preserve"> of their course. This</w:t>
      </w:r>
      <w:r w:rsidR="00F7649B">
        <w:t xml:space="preserve"> </w:t>
      </w:r>
      <w:r w:rsidR="002A175A">
        <w:t>relates to</w:t>
      </w:r>
      <w:r w:rsidR="00F7649B">
        <w:t xml:space="preserve"> the evidence that apprentices and trainees most need support </w:t>
      </w:r>
      <w:r w:rsidR="00A64051">
        <w:t>when it comes to initiall</w:t>
      </w:r>
      <w:r>
        <w:t>y choosing their career pathway</w:t>
      </w:r>
      <w:r w:rsidR="007D7C38">
        <w:t xml:space="preserve"> and </w:t>
      </w:r>
      <w:r w:rsidR="00F7649B">
        <w:t>in the early part of their training</w:t>
      </w:r>
      <w:r w:rsidR="00030ACF">
        <w:t xml:space="preserve">. This includes </w:t>
      </w:r>
      <w:r w:rsidR="00730B04">
        <w:t>pre-vocational a</w:t>
      </w:r>
      <w:r w:rsidR="00030ACF">
        <w:t>nd pre-apprenticeships programs, bu</w:t>
      </w:r>
      <w:r w:rsidR="005904CD">
        <w:t>t also targeted support strategies</w:t>
      </w:r>
      <w:r w:rsidR="00030ACF">
        <w:t xml:space="preserve"> to enable </w:t>
      </w:r>
      <w:r w:rsidR="00137DEE">
        <w:t xml:space="preserve">the </w:t>
      </w:r>
      <w:r w:rsidR="00B201A6">
        <w:t xml:space="preserve">better </w:t>
      </w:r>
      <w:r w:rsidR="00137DEE">
        <w:t xml:space="preserve">matching of employers and </w:t>
      </w:r>
      <w:r w:rsidR="00733E1A">
        <w:t>apprentice</w:t>
      </w:r>
      <w:r w:rsidR="00137DEE">
        <w:t>s</w:t>
      </w:r>
      <w:r w:rsidR="00733E1A">
        <w:t xml:space="preserve"> </w:t>
      </w:r>
      <w:r w:rsidR="00F7649B">
        <w:t xml:space="preserve">through the </w:t>
      </w:r>
      <w:r w:rsidR="00F7649B" w:rsidRPr="00030ACF">
        <w:t>Australian Apprenticeship Support Network</w:t>
      </w:r>
      <w:r w:rsidR="00F7649B">
        <w:t>.</w:t>
      </w:r>
    </w:p>
    <w:p w:rsidR="00030ACF" w:rsidRDefault="00030ACF" w:rsidP="00373100">
      <w:pPr>
        <w:pStyle w:val="Text"/>
      </w:pPr>
      <w:r>
        <w:t>Some of this support</w:t>
      </w:r>
      <w:r w:rsidR="00F7649B">
        <w:t xml:space="preserve"> and </w:t>
      </w:r>
      <w:r w:rsidR="0027781F">
        <w:t xml:space="preserve">the </w:t>
      </w:r>
      <w:r w:rsidR="00F7649B">
        <w:t>incentives listed above</w:t>
      </w:r>
      <w:r>
        <w:t xml:space="preserve"> </w:t>
      </w:r>
      <w:r w:rsidR="00137DEE">
        <w:t>are</w:t>
      </w:r>
      <w:r>
        <w:t xml:space="preserve"> directed to individual apprentices, namely</w:t>
      </w:r>
      <w:r w:rsidR="00A81D32">
        <w:t>,</w:t>
      </w:r>
      <w:r>
        <w:t xml:space="preserve"> the </w:t>
      </w:r>
      <w:r w:rsidRPr="00030ACF">
        <w:t>Living Away from Home Allowance</w:t>
      </w:r>
      <w:r>
        <w:t xml:space="preserve"> and Trade Support Loans. Other support mechanisms are directed </w:t>
      </w:r>
      <w:r w:rsidR="00A81D32">
        <w:t>towards</w:t>
      </w:r>
      <w:r>
        <w:t xml:space="preserve"> employers, including incentives paid under the </w:t>
      </w:r>
      <w:r w:rsidRPr="00030ACF">
        <w:t>Australian Appre</w:t>
      </w:r>
      <w:r w:rsidR="0027781F">
        <w:t>nticeships Incentives Programme</w:t>
      </w:r>
      <w:r>
        <w:t xml:space="preserve"> for apprentices and trainees undertaking a qualification on the </w:t>
      </w:r>
      <w:r w:rsidR="00BF7294">
        <w:t>National Skills Needs List. A</w:t>
      </w:r>
      <w:r>
        <w:t xml:space="preserve">dditional support </w:t>
      </w:r>
      <w:r w:rsidR="00BF7294">
        <w:t xml:space="preserve">is available to employers for hiring </w:t>
      </w:r>
      <w:r>
        <w:t>for adult apprentices</w:t>
      </w:r>
      <w:r w:rsidR="00BF7294">
        <w:t>, apprentices with a disability</w:t>
      </w:r>
      <w:r>
        <w:t xml:space="preserve"> and In</w:t>
      </w:r>
      <w:r w:rsidR="00BF7294">
        <w:t>digenous apprentices, while</w:t>
      </w:r>
      <w:r>
        <w:t xml:space="preserve"> </w:t>
      </w:r>
      <w:r w:rsidR="00F7649B">
        <w:t>tax exemptions,</w:t>
      </w:r>
      <w:r w:rsidR="00441B04">
        <w:t xml:space="preserve"> insurance levy reductions</w:t>
      </w:r>
      <w:r w:rsidR="00F7649B">
        <w:t xml:space="preserve"> and other jurisdictional mechanisms</w:t>
      </w:r>
      <w:r w:rsidR="00BF7294">
        <w:t xml:space="preserve"> are also available</w:t>
      </w:r>
      <w:r w:rsidR="002A175A">
        <w:t xml:space="preserve">. Support is also available </w:t>
      </w:r>
      <w:r w:rsidR="006F4D1D">
        <w:t>through</w:t>
      </w:r>
      <w:r w:rsidR="00441B04">
        <w:t xml:space="preserve"> the Australian </w:t>
      </w:r>
      <w:r w:rsidR="00A64051">
        <w:t>Apprenticeship Support Network.</w:t>
      </w:r>
      <w:r w:rsidR="00597397">
        <w:t xml:space="preserve"> </w:t>
      </w:r>
    </w:p>
    <w:p w:rsidR="00423191" w:rsidRPr="00373100" w:rsidRDefault="00373100" w:rsidP="00373100">
      <w:pPr>
        <w:pStyle w:val="Text"/>
      </w:pPr>
      <w:r>
        <w:t>With apprentice and trainee numbers continuing to decline, these factors and their influence on apprenticeship and traineeship comm</w:t>
      </w:r>
      <w:r w:rsidR="00BF7294">
        <w:t>encement and completion figures</w:t>
      </w:r>
      <w:r>
        <w:t xml:space="preserve"> are worthy of greater consideration and analysis. </w:t>
      </w:r>
      <w:r w:rsidR="00423191" w:rsidRPr="00373100">
        <w:br w:type="page"/>
      </w:r>
    </w:p>
    <w:p w:rsidR="00D63DC2" w:rsidRDefault="00D63DC2" w:rsidP="00C47ADC">
      <w:pPr>
        <w:pStyle w:val="Heading2"/>
      </w:pPr>
      <w:bookmarkStart w:id="89" w:name="_Toc455569941"/>
      <w:r>
        <w:lastRenderedPageBreak/>
        <w:t>Entitlement models</w:t>
      </w:r>
      <w:r w:rsidR="00703272">
        <w:t xml:space="preserve"> to VET funding</w:t>
      </w:r>
      <w:bookmarkEnd w:id="89"/>
    </w:p>
    <w:p w:rsidR="003B3077" w:rsidRDefault="00FD75CA" w:rsidP="00646ACB">
      <w:pPr>
        <w:pStyle w:val="Text"/>
      </w:pPr>
      <w:r>
        <w:t>As discussed earlier, t</w:t>
      </w:r>
      <w:r w:rsidR="00DA76DE">
        <w:t>he past five years have seen the rise of the entitlement model</w:t>
      </w:r>
      <w:r w:rsidR="005367CA">
        <w:t xml:space="preserve"> approach to funding </w:t>
      </w:r>
      <w:r w:rsidR="00DA76DE">
        <w:t>vocational education and training</w:t>
      </w:r>
      <w:r w:rsidR="00C07A42">
        <w:t>.</w:t>
      </w:r>
      <w:r w:rsidR="005F31FA">
        <w:t xml:space="preserve"> While there has long been </w:t>
      </w:r>
      <w:r w:rsidR="00586218">
        <w:t>an emphasis</w:t>
      </w:r>
      <w:r w:rsidR="005F31FA">
        <w:t xml:space="preserve"> on making the training market more competitive, the introduction of entitle</w:t>
      </w:r>
      <w:r w:rsidR="009A1C83">
        <w:t xml:space="preserve">ment models </w:t>
      </w:r>
      <w:r w:rsidR="00BF7294">
        <w:t>for</w:t>
      </w:r>
      <w:r w:rsidR="009A1C83">
        <w:t xml:space="preserve"> funding VET has been a main focus in recent years. </w:t>
      </w:r>
      <w:r w:rsidR="00DA76DE">
        <w:t>Although</w:t>
      </w:r>
      <w:r w:rsidR="005367CA">
        <w:t xml:space="preserve"> some states and territories have been moving in this direction for some time, </w:t>
      </w:r>
      <w:r w:rsidR="00DA76DE">
        <w:t xml:space="preserve">the commitment to </w:t>
      </w:r>
      <w:r w:rsidR="00997EBC">
        <w:t xml:space="preserve">the </w:t>
      </w:r>
      <w:r w:rsidR="00DA76DE">
        <w:t>implement</w:t>
      </w:r>
      <w:r w:rsidR="00997EBC">
        <w:t>at</w:t>
      </w:r>
      <w:r w:rsidR="00DA76DE">
        <w:t>i</w:t>
      </w:r>
      <w:r w:rsidR="00997EBC">
        <w:t>on of</w:t>
      </w:r>
      <w:r w:rsidR="00DA76DE">
        <w:t xml:space="preserve"> entitlement models</w:t>
      </w:r>
      <w:r w:rsidR="005367CA">
        <w:t xml:space="preserve"> was formalised in </w:t>
      </w:r>
      <w:r w:rsidR="00500293">
        <w:t xml:space="preserve">2012, </w:t>
      </w:r>
      <w:r w:rsidR="005367CA">
        <w:t>when the</w:t>
      </w:r>
      <w:r w:rsidR="00500293">
        <w:t xml:space="preserve"> </w:t>
      </w:r>
      <w:r w:rsidR="00B1616E">
        <w:t xml:space="preserve">Australian </w:t>
      </w:r>
      <w:r w:rsidR="00864DCD">
        <w:t>Government</w:t>
      </w:r>
      <w:r w:rsidR="00500293">
        <w:t xml:space="preserve"> </w:t>
      </w:r>
      <w:r w:rsidR="00DA76DE">
        <w:t>and state and territor</w:t>
      </w:r>
      <w:r w:rsidR="00500293">
        <w:t>y governments agreed to implement a student training entitlement within the national training system as part of the National Partnership Agreem</w:t>
      </w:r>
      <w:r w:rsidR="00DA76DE">
        <w:t>ent on Skills Reform 2012—</w:t>
      </w:r>
      <w:r w:rsidR="005367CA">
        <w:t xml:space="preserve">2016. While the </w:t>
      </w:r>
      <w:r w:rsidR="00586218">
        <w:t>application</w:t>
      </w:r>
      <w:r w:rsidR="00684533">
        <w:t xml:space="preserve"> of </w:t>
      </w:r>
      <w:r w:rsidR="00703272">
        <w:t>entitlement</w:t>
      </w:r>
      <w:r w:rsidR="00684533">
        <w:t xml:space="preserve"> models</w:t>
      </w:r>
      <w:r w:rsidR="00703272">
        <w:t xml:space="preserve"> is still relatively new for most states and territories, </w:t>
      </w:r>
      <w:r w:rsidR="00DA76DE">
        <w:t xml:space="preserve">in those instances </w:t>
      </w:r>
      <w:r w:rsidR="00703272">
        <w:t xml:space="preserve">where they have been </w:t>
      </w:r>
      <w:r w:rsidR="00586218">
        <w:t>in operation</w:t>
      </w:r>
      <w:r w:rsidR="00703272">
        <w:t xml:space="preserve"> for a </w:t>
      </w:r>
      <w:r w:rsidR="00997EBC">
        <w:t>number of</w:t>
      </w:r>
      <w:r w:rsidR="00703272">
        <w:t xml:space="preserve"> years (namely</w:t>
      </w:r>
      <w:r w:rsidR="00D11831">
        <w:t>,</w:t>
      </w:r>
      <w:r w:rsidR="00703272">
        <w:t xml:space="preserve"> Victoria and South Australia), we can see a definite impact on VET partic</w:t>
      </w:r>
      <w:r w:rsidR="00DA76DE">
        <w:t>ipation. For this reason entitlement models</w:t>
      </w:r>
      <w:r w:rsidR="00703272">
        <w:t xml:space="preserve"> have been included as a policy case study. </w:t>
      </w:r>
    </w:p>
    <w:p w:rsidR="00703272" w:rsidRDefault="00703272" w:rsidP="006E5C52">
      <w:pPr>
        <w:pStyle w:val="Heading3"/>
      </w:pPr>
      <w:r>
        <w:t>What are entitlement models?</w:t>
      </w:r>
    </w:p>
    <w:p w:rsidR="00676EB4" w:rsidRDefault="00500293" w:rsidP="008B6637">
      <w:pPr>
        <w:pStyle w:val="Text"/>
      </w:pPr>
      <w:r>
        <w:t>T</w:t>
      </w:r>
      <w:r w:rsidR="00676EB4">
        <w:t>he purpose of the entitlement i</w:t>
      </w:r>
      <w:r>
        <w:t>s to create a more accessible and equitable training system by ensuring that all Australians have access to government-subsidi</w:t>
      </w:r>
      <w:r w:rsidR="00DA76DE">
        <w:t>sed training up to a first c</w:t>
      </w:r>
      <w:r>
        <w:t xml:space="preserve">ertificate III level qualification </w:t>
      </w:r>
      <w:r w:rsidR="00B54B8D">
        <w:t>(as a minimum).</w:t>
      </w:r>
      <w:r w:rsidR="009D4721">
        <w:t xml:space="preserve"> </w:t>
      </w:r>
      <w:r w:rsidR="00676EB4">
        <w:t>With changing expectations a</w:t>
      </w:r>
      <w:r w:rsidR="00DA76DE">
        <w:t xml:space="preserve">round </w:t>
      </w:r>
      <w:r w:rsidR="000929A6">
        <w:t>skills</w:t>
      </w:r>
      <w:r w:rsidR="00DA76DE">
        <w:t xml:space="preserve"> levels, demand for c</w:t>
      </w:r>
      <w:r w:rsidR="00676EB4">
        <w:t>ertificate III level qualifications is expected to increase.</w:t>
      </w:r>
      <w:r w:rsidR="005C022C">
        <w:t xml:space="preserve"> </w:t>
      </w:r>
    </w:p>
    <w:p w:rsidR="00500293" w:rsidRDefault="00DA76DE" w:rsidP="008B6637">
      <w:pPr>
        <w:pStyle w:val="Text"/>
      </w:pPr>
      <w:r>
        <w:t xml:space="preserve">The entitlement models </w:t>
      </w:r>
      <w:r w:rsidR="009C3E37">
        <w:t>of many of the jurisdictions</w:t>
      </w:r>
      <w:r w:rsidR="009D4721">
        <w:t xml:space="preserve"> </w:t>
      </w:r>
      <w:r w:rsidR="009C3E37">
        <w:t>have been fine-tuned</w:t>
      </w:r>
      <w:r w:rsidR="009D4721">
        <w:t xml:space="preserve"> </w:t>
      </w:r>
      <w:r w:rsidR="009C3E37">
        <w:t>such that</w:t>
      </w:r>
      <w:r w:rsidR="00676EB4">
        <w:t xml:space="preserve"> subsidies are</w:t>
      </w:r>
      <w:r w:rsidR="009D4721">
        <w:t xml:space="preserve"> tied to the skills and occupations </w:t>
      </w:r>
      <w:r w:rsidR="00676EB4">
        <w:t>needed in each jurisdiction.</w:t>
      </w:r>
      <w:r w:rsidR="00527399">
        <w:t xml:space="preserve"> Jurisdictions regularly review their lists of entitlement courses</w:t>
      </w:r>
      <w:r w:rsidR="00676EB4">
        <w:t xml:space="preserve"> </w:t>
      </w:r>
      <w:r w:rsidR="00527399">
        <w:t>to ensure t</w:t>
      </w:r>
      <w:r w:rsidR="009C3E37">
        <w:t xml:space="preserve">hey are responsive to the </w:t>
      </w:r>
      <w:r w:rsidR="000929A6">
        <w:t>skills</w:t>
      </w:r>
      <w:r w:rsidR="00527399">
        <w:t xml:space="preserve"> </w:t>
      </w:r>
      <w:r w:rsidR="009C3E37">
        <w:t>requirements of</w:t>
      </w:r>
      <w:r w:rsidR="00527399">
        <w:t xml:space="preserve"> the labour market </w:t>
      </w:r>
      <w:r w:rsidR="00586218">
        <w:t xml:space="preserve">and </w:t>
      </w:r>
      <w:r w:rsidR="00527399">
        <w:t xml:space="preserve">to </w:t>
      </w:r>
      <w:r w:rsidR="007D7C38">
        <w:t xml:space="preserve">optimise </w:t>
      </w:r>
      <w:r w:rsidR="00527399">
        <w:t xml:space="preserve">a </w:t>
      </w:r>
      <w:r w:rsidR="00676EB4">
        <w:t>public benefit from government-subsidised VET</w:t>
      </w:r>
      <w:r w:rsidR="00470896">
        <w:t xml:space="preserve"> and </w:t>
      </w:r>
      <w:r w:rsidR="00997EBC">
        <w:t>the efficient use of public</w:t>
      </w:r>
      <w:r w:rsidR="009C3E37">
        <w:t xml:space="preserve"> </w:t>
      </w:r>
      <w:r w:rsidR="00997EBC">
        <w:t>money</w:t>
      </w:r>
      <w:r w:rsidR="00676EB4">
        <w:t xml:space="preserve">. </w:t>
      </w:r>
      <w:r w:rsidR="009C3E37">
        <w:t>An</w:t>
      </w:r>
      <w:r w:rsidR="00676EB4">
        <w:t xml:space="preserve"> entitlement to VET funding </w:t>
      </w:r>
      <w:r w:rsidR="00974A2D">
        <w:t>is</w:t>
      </w:r>
      <w:r w:rsidR="00676EB4">
        <w:t xml:space="preserve"> </w:t>
      </w:r>
      <w:r w:rsidR="009C3E37">
        <w:t xml:space="preserve">therefore </w:t>
      </w:r>
      <w:r w:rsidR="00676EB4">
        <w:t xml:space="preserve">a mechanism for </w:t>
      </w:r>
      <w:r w:rsidR="009C3E37" w:rsidRPr="00997EBC">
        <w:t>ensuring that</w:t>
      </w:r>
      <w:r w:rsidR="009C3E37" w:rsidRPr="009C3E37">
        <w:t xml:space="preserve"> </w:t>
      </w:r>
      <w:r w:rsidR="00676EB4" w:rsidRPr="009C3E37">
        <w:t xml:space="preserve">Australia’s </w:t>
      </w:r>
      <w:r w:rsidR="000929A6">
        <w:t>skills</w:t>
      </w:r>
      <w:r w:rsidR="00676EB4" w:rsidRPr="009C3E37">
        <w:t xml:space="preserve"> needs </w:t>
      </w:r>
      <w:r w:rsidR="009C3E37" w:rsidRPr="009C3E37">
        <w:t>are</w:t>
      </w:r>
      <w:r w:rsidR="00676EB4" w:rsidRPr="009C3E37">
        <w:t xml:space="preserve"> met.</w:t>
      </w:r>
      <w:r w:rsidR="00597397">
        <w:t xml:space="preserve"> </w:t>
      </w:r>
    </w:p>
    <w:p w:rsidR="00D63DC2" w:rsidRDefault="00383DBC" w:rsidP="008B6637">
      <w:pPr>
        <w:pStyle w:val="Text"/>
      </w:pPr>
      <w:r>
        <w:t>Another key purpose of the entitlement model</w:t>
      </w:r>
      <w:r w:rsidR="0047187F">
        <w:t xml:space="preserve"> is to allow gre</w:t>
      </w:r>
      <w:r w:rsidR="00FE2273">
        <w:t>ater student choice in training, which</w:t>
      </w:r>
      <w:r w:rsidR="008407CA">
        <w:t xml:space="preserve"> </w:t>
      </w:r>
      <w:r w:rsidR="00974A2D">
        <w:t xml:space="preserve">has </w:t>
      </w:r>
      <w:r w:rsidR="008407CA">
        <w:t>had</w:t>
      </w:r>
      <w:r w:rsidR="00500293">
        <w:t xml:space="preserve"> the effect of opening up the training market</w:t>
      </w:r>
      <w:r w:rsidR="00997EBC">
        <w:t>,</w:t>
      </w:r>
      <w:r w:rsidR="00500293">
        <w:t xml:space="preserve"> as it facilitate</w:t>
      </w:r>
      <w:r w:rsidR="00974A2D">
        <w:t>s</w:t>
      </w:r>
      <w:r w:rsidR="00500293">
        <w:t xml:space="preserve"> </w:t>
      </w:r>
      <w:r w:rsidR="00B54B8D">
        <w:t xml:space="preserve">a </w:t>
      </w:r>
      <w:r w:rsidR="00500293">
        <w:t>demand</w:t>
      </w:r>
      <w:r w:rsidR="00974A2D">
        <w:t>-</w:t>
      </w:r>
      <w:r w:rsidR="00500293">
        <w:t xml:space="preserve">driven approach </w:t>
      </w:r>
      <w:r w:rsidR="00B54B8D">
        <w:t>to fundi</w:t>
      </w:r>
      <w:r w:rsidR="00FE2273">
        <w:t>ng</w:t>
      </w:r>
      <w:r w:rsidR="007D79FF">
        <w:t xml:space="preserve"> within a contestable training market environment</w:t>
      </w:r>
      <w:r w:rsidR="00C77EDE">
        <w:t xml:space="preserve">. However, the </w:t>
      </w:r>
      <w:r w:rsidR="009C3E37">
        <w:t>details</w:t>
      </w:r>
      <w:r w:rsidR="00C77EDE">
        <w:t xml:space="preserve"> of the model</w:t>
      </w:r>
      <w:r w:rsidR="00FE2273">
        <w:t xml:space="preserve"> </w:t>
      </w:r>
      <w:r w:rsidR="00C77EDE">
        <w:t>are</w:t>
      </w:r>
      <w:r w:rsidR="00FE2273">
        <w:t xml:space="preserve"> implemented differently</w:t>
      </w:r>
      <w:r w:rsidR="00C77EDE">
        <w:t xml:space="preserve"> across the jurisdictions.</w:t>
      </w:r>
      <w:r w:rsidR="00597397">
        <w:t xml:space="preserve"> </w:t>
      </w:r>
      <w:r w:rsidR="007D7C38">
        <w:t>J</w:t>
      </w:r>
      <w:r w:rsidR="00500293">
        <w:t xml:space="preserve">urisdictions </w:t>
      </w:r>
      <w:r w:rsidR="007D7C38">
        <w:t xml:space="preserve">in general </w:t>
      </w:r>
      <w:r w:rsidR="00500293">
        <w:t>have extended the entitlement beyond the minimum requirement</w:t>
      </w:r>
      <w:r w:rsidR="00974A2D">
        <w:t xml:space="preserve"> in the agreement</w:t>
      </w:r>
      <w:r w:rsidR="00500293">
        <w:t xml:space="preserve">, but not in the same way. </w:t>
      </w:r>
      <w:r w:rsidR="00146D7E">
        <w:t xml:space="preserve">These differences in who is eligible for </w:t>
      </w:r>
      <w:r w:rsidR="00974A2D">
        <w:t xml:space="preserve">an </w:t>
      </w:r>
      <w:r w:rsidR="00586218">
        <w:t>entitlement and for</w:t>
      </w:r>
      <w:r w:rsidR="00D11831">
        <w:t xml:space="preserve"> how much</w:t>
      </w:r>
      <w:r w:rsidR="00146D7E">
        <w:t xml:space="preserve"> and which course</w:t>
      </w:r>
      <w:r w:rsidR="00974A2D">
        <w:t>s</w:t>
      </w:r>
      <w:r w:rsidR="00146D7E">
        <w:t xml:space="preserve"> are eligible </w:t>
      </w:r>
      <w:r w:rsidR="009C3E37">
        <w:t>are</w:t>
      </w:r>
      <w:r w:rsidR="00146D7E">
        <w:t xml:space="preserve"> important because they lead to </w:t>
      </w:r>
      <w:r w:rsidR="00997EBC">
        <w:t xml:space="preserve">the </w:t>
      </w:r>
      <w:r w:rsidR="00146D7E">
        <w:t>differential treatment of students across the country.</w:t>
      </w:r>
      <w:r w:rsidR="005C022C">
        <w:t xml:space="preserve"> </w:t>
      </w:r>
    </w:p>
    <w:p w:rsidR="008407CA" w:rsidRDefault="00586218" w:rsidP="008B6637">
      <w:pPr>
        <w:pStyle w:val="Text"/>
      </w:pPr>
      <w:r>
        <w:t>A</w:t>
      </w:r>
      <w:r w:rsidR="008407CA">
        <w:t>ll jurisdictions provide public information about entitlement eligibility, the courses</w:t>
      </w:r>
      <w:r w:rsidR="002A175A">
        <w:t>,</w:t>
      </w:r>
      <w:r w:rsidR="008407CA">
        <w:t xml:space="preserve"> a</w:t>
      </w:r>
      <w:r>
        <w:t xml:space="preserve">nd their fees and subsidies; however, </w:t>
      </w:r>
      <w:r w:rsidR="008416B7">
        <w:t xml:space="preserve">Bowman, </w:t>
      </w:r>
      <w:r w:rsidR="00550A8B">
        <w:t>McKenna</w:t>
      </w:r>
      <w:r w:rsidR="008416B7">
        <w:t xml:space="preserve"> and Griffin</w:t>
      </w:r>
      <w:r w:rsidR="008407CA">
        <w:t xml:space="preserve"> (2016)</w:t>
      </w:r>
      <w:r w:rsidR="00550A8B">
        <w:t xml:space="preserve"> argue that</w:t>
      </w:r>
      <w:r w:rsidR="008407CA">
        <w:t xml:space="preserve"> students need more information, and better information</w:t>
      </w:r>
      <w:r w:rsidR="009C3E37">
        <w:t>,</w:t>
      </w:r>
      <w:r w:rsidR="008407CA">
        <w:t xml:space="preserve"> to make informed choices about providers and courses. </w:t>
      </w:r>
    </w:p>
    <w:p w:rsidR="0049044D" w:rsidRDefault="00550A8B" w:rsidP="00550A8B">
      <w:pPr>
        <w:pStyle w:val="Heading3"/>
      </w:pPr>
      <w:r>
        <w:t xml:space="preserve">State and territory approaches </w:t>
      </w:r>
    </w:p>
    <w:p w:rsidR="00212092" w:rsidRDefault="00BF5086" w:rsidP="004D18DD">
      <w:pPr>
        <w:pStyle w:val="Text"/>
        <w:rPr>
          <w:rFonts w:ascii="Tahoma" w:hAnsi="Tahoma"/>
          <w:b/>
          <w:sz w:val="17"/>
          <w:szCs w:val="24"/>
          <w:lang w:val="en-GB"/>
        </w:rPr>
      </w:pPr>
      <w:r>
        <w:t>While the National Agreement for Skills Refo</w:t>
      </w:r>
      <w:r w:rsidR="00F032B6">
        <w:t>rm commenced in 2012, as table 2</w:t>
      </w:r>
      <w:r w:rsidR="009C3E37">
        <w:t xml:space="preserve"> shows</w:t>
      </w:r>
      <w:r w:rsidR="002A175A">
        <w:t>,</w:t>
      </w:r>
      <w:r>
        <w:t xml:space="preserve"> the states and t</w:t>
      </w:r>
      <w:r w:rsidR="0049044D">
        <w:t>erritories introduced entitlement models at different times.</w:t>
      </w:r>
      <w:r>
        <w:t xml:space="preserve"> Given that most jurisdictions introduced entitlement models from 2014 onwards, the impact of the entitlement model may not yet be evident in the available data. As such, the commentary </w:t>
      </w:r>
      <w:r>
        <w:lastRenderedPageBreak/>
        <w:t xml:space="preserve">will </w:t>
      </w:r>
      <w:r w:rsidR="00997EBC">
        <w:t>focus on</w:t>
      </w:r>
      <w:r>
        <w:t xml:space="preserve"> Victoria and South Australia, </w:t>
      </w:r>
      <w:r w:rsidR="00586218">
        <w:t>states with</w:t>
      </w:r>
      <w:r>
        <w:t xml:space="preserve"> entitlement models in</w:t>
      </w:r>
      <w:r w:rsidR="00780F72">
        <w:t xml:space="preserve"> place</w:t>
      </w:r>
      <w:r>
        <w:t xml:space="preserve"> for some years. </w:t>
      </w:r>
      <w:bookmarkStart w:id="90" w:name="_Toc434998639"/>
    </w:p>
    <w:p w:rsidR="00BF5086" w:rsidRDefault="00BF5086" w:rsidP="002A175A">
      <w:pPr>
        <w:pStyle w:val="tabletitle0"/>
        <w:ind w:left="993" w:hanging="993"/>
        <w:rPr>
          <w:b w:val="0"/>
        </w:rPr>
      </w:pPr>
      <w:bookmarkStart w:id="91" w:name="_Toc455569951"/>
      <w:r>
        <w:rPr>
          <w:lang w:val="en-GB"/>
        </w:rPr>
        <w:t xml:space="preserve">Table </w:t>
      </w:r>
      <w:r w:rsidR="0023344D">
        <w:rPr>
          <w:lang w:val="en-GB"/>
        </w:rPr>
        <w:t>2</w:t>
      </w:r>
      <w:r>
        <w:rPr>
          <w:lang w:val="en-GB"/>
        </w:rPr>
        <w:tab/>
      </w:r>
      <w:r w:rsidRPr="007B4C99">
        <w:rPr>
          <w:lang w:val="en-GB"/>
        </w:rPr>
        <w:t>Jurisdictional student training entitlements by time of first implementation</w:t>
      </w:r>
      <w:bookmarkEnd w:id="90"/>
      <w:bookmarkEnd w:id="91"/>
      <w:r w:rsidRPr="008D3D22">
        <w:rPr>
          <w:b w:val="0"/>
        </w:rPr>
        <w:t xml:space="preserve"> </w:t>
      </w:r>
    </w:p>
    <w:tbl>
      <w:tblPr>
        <w:tblStyle w:val="TableGrid"/>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126"/>
      </w:tblGrid>
      <w:tr w:rsidR="00BF5086" w:rsidRPr="008D3D22" w:rsidTr="00C20F37">
        <w:tc>
          <w:tcPr>
            <w:tcW w:w="2660" w:type="dxa"/>
            <w:tcBorders>
              <w:top w:val="single" w:sz="4" w:space="0" w:color="auto"/>
              <w:bottom w:val="single" w:sz="4" w:space="0" w:color="auto"/>
            </w:tcBorders>
          </w:tcPr>
          <w:p w:rsidR="00BF5086" w:rsidRPr="008D3D22" w:rsidRDefault="00BF5086" w:rsidP="00C20F37">
            <w:pPr>
              <w:pStyle w:val="Tablehead1"/>
            </w:pPr>
            <w:r w:rsidRPr="008D3D22">
              <w:t>Jurisdiction</w:t>
            </w:r>
          </w:p>
        </w:tc>
        <w:tc>
          <w:tcPr>
            <w:tcW w:w="2126" w:type="dxa"/>
            <w:tcBorders>
              <w:top w:val="single" w:sz="4" w:space="0" w:color="auto"/>
              <w:bottom w:val="single" w:sz="4" w:space="0" w:color="auto"/>
            </w:tcBorders>
          </w:tcPr>
          <w:p w:rsidR="00BF5086" w:rsidRPr="008D3D22" w:rsidRDefault="00BF5086" w:rsidP="00C20F37">
            <w:pPr>
              <w:pStyle w:val="Tablehead1"/>
            </w:pPr>
            <w:r w:rsidRPr="008D3D22">
              <w:t xml:space="preserve">Timing </w:t>
            </w:r>
          </w:p>
        </w:tc>
      </w:tr>
      <w:tr w:rsidR="00BF5086" w:rsidRPr="008D3D22" w:rsidTr="00C20F37">
        <w:tc>
          <w:tcPr>
            <w:tcW w:w="2660" w:type="dxa"/>
            <w:tcBorders>
              <w:top w:val="single" w:sz="4" w:space="0" w:color="auto"/>
            </w:tcBorders>
          </w:tcPr>
          <w:p w:rsidR="00BF5086" w:rsidRPr="008D3D22" w:rsidRDefault="00BF5086" w:rsidP="00C20F37">
            <w:pPr>
              <w:pStyle w:val="Tabletext"/>
            </w:pPr>
            <w:r w:rsidRPr="008D3D22">
              <w:t xml:space="preserve">Victoria </w:t>
            </w:r>
          </w:p>
        </w:tc>
        <w:tc>
          <w:tcPr>
            <w:tcW w:w="2126" w:type="dxa"/>
            <w:tcBorders>
              <w:top w:val="single" w:sz="4" w:space="0" w:color="auto"/>
            </w:tcBorders>
          </w:tcPr>
          <w:p w:rsidR="00BF5086" w:rsidRPr="00692D2F" w:rsidRDefault="00BF5086" w:rsidP="00C20F37">
            <w:pPr>
              <w:pStyle w:val="Tabletext"/>
            </w:pPr>
            <w:r w:rsidRPr="00692D2F">
              <w:t xml:space="preserve">From 2009 </w:t>
            </w:r>
          </w:p>
        </w:tc>
      </w:tr>
      <w:tr w:rsidR="00BF5086" w:rsidRPr="008D3D22" w:rsidTr="00C20F37">
        <w:tc>
          <w:tcPr>
            <w:tcW w:w="2660" w:type="dxa"/>
          </w:tcPr>
          <w:p w:rsidR="00BF5086" w:rsidRPr="008D3D22" w:rsidRDefault="00BF5086" w:rsidP="00C20F37">
            <w:pPr>
              <w:pStyle w:val="Tabletext"/>
            </w:pPr>
            <w:r w:rsidRPr="008D3D22">
              <w:t xml:space="preserve">South Australia </w:t>
            </w:r>
          </w:p>
        </w:tc>
        <w:tc>
          <w:tcPr>
            <w:tcW w:w="2126" w:type="dxa"/>
          </w:tcPr>
          <w:p w:rsidR="00BF5086" w:rsidRPr="00692D2F" w:rsidRDefault="00BF5086" w:rsidP="00C20F37">
            <w:pPr>
              <w:pStyle w:val="Tabletext"/>
            </w:pPr>
            <w:r w:rsidRPr="00692D2F">
              <w:t>From 2012</w:t>
            </w:r>
          </w:p>
        </w:tc>
      </w:tr>
      <w:tr w:rsidR="00BF5086" w:rsidRPr="008D3D22" w:rsidTr="00C20F37">
        <w:tc>
          <w:tcPr>
            <w:tcW w:w="2660" w:type="dxa"/>
          </w:tcPr>
          <w:p w:rsidR="00BF5086" w:rsidRPr="008D3D22" w:rsidRDefault="00BF5086" w:rsidP="00C20F37">
            <w:pPr>
              <w:pStyle w:val="Tabletext"/>
            </w:pPr>
            <w:r w:rsidRPr="008D3D22">
              <w:t xml:space="preserve">Queensland </w:t>
            </w:r>
          </w:p>
        </w:tc>
        <w:tc>
          <w:tcPr>
            <w:tcW w:w="2126" w:type="dxa"/>
          </w:tcPr>
          <w:p w:rsidR="00BF5086" w:rsidRPr="00692D2F" w:rsidRDefault="00BF5086" w:rsidP="00C20F37">
            <w:pPr>
              <w:pStyle w:val="Tabletext"/>
            </w:pPr>
            <w:r w:rsidRPr="00692D2F">
              <w:t xml:space="preserve">From July 2013 </w:t>
            </w:r>
          </w:p>
        </w:tc>
      </w:tr>
      <w:tr w:rsidR="00BF5086" w:rsidRPr="008D3D22" w:rsidTr="00C20F37">
        <w:tc>
          <w:tcPr>
            <w:tcW w:w="2660" w:type="dxa"/>
          </w:tcPr>
          <w:p w:rsidR="00BF5086" w:rsidRPr="008D3D22" w:rsidRDefault="00BF5086" w:rsidP="00C20F37">
            <w:pPr>
              <w:pStyle w:val="Tabletext"/>
            </w:pPr>
            <w:r w:rsidRPr="008D3D22">
              <w:t>Western Australia</w:t>
            </w:r>
          </w:p>
        </w:tc>
        <w:tc>
          <w:tcPr>
            <w:tcW w:w="2126" w:type="dxa"/>
          </w:tcPr>
          <w:p w:rsidR="00BF5086" w:rsidRPr="00692D2F" w:rsidRDefault="00BF5086" w:rsidP="00C20F37">
            <w:pPr>
              <w:pStyle w:val="Tabletext"/>
            </w:pPr>
            <w:r w:rsidRPr="00692D2F">
              <w:t>From 2014</w:t>
            </w:r>
          </w:p>
        </w:tc>
      </w:tr>
      <w:tr w:rsidR="00BF5086" w:rsidRPr="008D3D22" w:rsidTr="00C20F37">
        <w:tc>
          <w:tcPr>
            <w:tcW w:w="2660" w:type="dxa"/>
          </w:tcPr>
          <w:p w:rsidR="00BF5086" w:rsidRPr="008D3D22" w:rsidRDefault="00BF5086" w:rsidP="00C20F37">
            <w:pPr>
              <w:pStyle w:val="Tabletext"/>
            </w:pPr>
            <w:r w:rsidRPr="008D3D22">
              <w:t xml:space="preserve">Tasmania </w:t>
            </w:r>
          </w:p>
        </w:tc>
        <w:tc>
          <w:tcPr>
            <w:tcW w:w="2126" w:type="dxa"/>
          </w:tcPr>
          <w:p w:rsidR="00BF5086" w:rsidRPr="00692D2F" w:rsidRDefault="00BF5086" w:rsidP="00C20F37">
            <w:pPr>
              <w:pStyle w:val="Tabletext"/>
            </w:pPr>
            <w:r w:rsidRPr="00692D2F">
              <w:t xml:space="preserve">From 2014 </w:t>
            </w:r>
          </w:p>
        </w:tc>
      </w:tr>
      <w:tr w:rsidR="00BF5086" w:rsidRPr="008D3D22" w:rsidTr="00C20F37">
        <w:tc>
          <w:tcPr>
            <w:tcW w:w="2660" w:type="dxa"/>
          </w:tcPr>
          <w:p w:rsidR="00BF5086" w:rsidRPr="008D3D22" w:rsidRDefault="00BF5086" w:rsidP="00C20F37">
            <w:pPr>
              <w:pStyle w:val="Tabletext"/>
            </w:pPr>
            <w:r w:rsidRPr="008D3D22">
              <w:t xml:space="preserve">Northern Territory </w:t>
            </w:r>
          </w:p>
        </w:tc>
        <w:tc>
          <w:tcPr>
            <w:tcW w:w="2126" w:type="dxa"/>
          </w:tcPr>
          <w:p w:rsidR="00BF5086" w:rsidRPr="00692D2F" w:rsidRDefault="00BF5086" w:rsidP="00C20F37">
            <w:pPr>
              <w:pStyle w:val="Tabletext"/>
            </w:pPr>
            <w:r w:rsidRPr="00692D2F">
              <w:t xml:space="preserve">From 2014 </w:t>
            </w:r>
          </w:p>
        </w:tc>
      </w:tr>
      <w:tr w:rsidR="00BF5086" w:rsidRPr="008D3D22" w:rsidTr="00C20F37">
        <w:tc>
          <w:tcPr>
            <w:tcW w:w="2660" w:type="dxa"/>
          </w:tcPr>
          <w:p w:rsidR="00BF5086" w:rsidRPr="008D3D22" w:rsidRDefault="00BF5086" w:rsidP="00C20F37">
            <w:pPr>
              <w:pStyle w:val="Tabletext"/>
            </w:pPr>
            <w:r w:rsidRPr="008D3D22">
              <w:t xml:space="preserve">Australian Capital Territory </w:t>
            </w:r>
          </w:p>
        </w:tc>
        <w:tc>
          <w:tcPr>
            <w:tcW w:w="2126" w:type="dxa"/>
          </w:tcPr>
          <w:p w:rsidR="00BF5086" w:rsidRPr="00692D2F" w:rsidRDefault="00BF5086" w:rsidP="00C20F37">
            <w:pPr>
              <w:pStyle w:val="Tabletext"/>
            </w:pPr>
            <w:r w:rsidRPr="00692D2F">
              <w:t>From 2015</w:t>
            </w:r>
          </w:p>
        </w:tc>
      </w:tr>
      <w:tr w:rsidR="00BF5086" w:rsidTr="00C20F37">
        <w:tc>
          <w:tcPr>
            <w:tcW w:w="2660" w:type="dxa"/>
            <w:tcBorders>
              <w:bottom w:val="single" w:sz="4" w:space="0" w:color="auto"/>
            </w:tcBorders>
          </w:tcPr>
          <w:p w:rsidR="00BF5086" w:rsidRPr="008D3D22" w:rsidRDefault="00BF5086" w:rsidP="00C20F37">
            <w:pPr>
              <w:pStyle w:val="Tabletext"/>
            </w:pPr>
            <w:r w:rsidRPr="008D3D22">
              <w:t xml:space="preserve">New South Wales </w:t>
            </w:r>
          </w:p>
        </w:tc>
        <w:tc>
          <w:tcPr>
            <w:tcW w:w="2126" w:type="dxa"/>
            <w:tcBorders>
              <w:bottom w:val="single" w:sz="4" w:space="0" w:color="auto"/>
            </w:tcBorders>
          </w:tcPr>
          <w:p w:rsidR="00BF5086" w:rsidRPr="00692D2F" w:rsidRDefault="00BF5086" w:rsidP="00C20F37">
            <w:pPr>
              <w:pStyle w:val="Tabletext"/>
            </w:pPr>
            <w:r w:rsidRPr="00692D2F">
              <w:t>From 2015</w:t>
            </w:r>
          </w:p>
        </w:tc>
      </w:tr>
    </w:tbl>
    <w:p w:rsidR="00BF5086" w:rsidRDefault="00780F72" w:rsidP="00BF5086">
      <w:pPr>
        <w:pStyle w:val="Source"/>
      </w:pPr>
      <w:r>
        <w:t xml:space="preserve">Source: </w:t>
      </w:r>
      <w:r w:rsidR="00BF5086">
        <w:t xml:space="preserve">Bowman </w:t>
      </w:r>
      <w:r w:rsidR="0014592C">
        <w:t xml:space="preserve">&amp; </w:t>
      </w:r>
      <w:r w:rsidR="00BF5086">
        <w:t xml:space="preserve">McKenna </w:t>
      </w:r>
      <w:r w:rsidR="00586218" w:rsidRPr="0046269B">
        <w:t>(</w:t>
      </w:r>
      <w:r w:rsidR="008416B7" w:rsidRPr="0046269B">
        <w:t>2016</w:t>
      </w:r>
      <w:r w:rsidR="00997EBC">
        <w:t>).</w:t>
      </w:r>
    </w:p>
    <w:p w:rsidR="008407CA" w:rsidRDefault="008407CA" w:rsidP="00B44ED4">
      <w:pPr>
        <w:pStyle w:val="Text"/>
        <w:rPr>
          <w:lang w:val="en-GB"/>
        </w:rPr>
      </w:pPr>
      <w:r>
        <w:rPr>
          <w:lang w:val="en-GB"/>
        </w:rPr>
        <w:t>In their recent research, Bowman and McKenna (2016) provide a detailed overview of entitlement models as they are implemented by the different jurisdictions. It is important to note that this information is relevant as at March 2015, and given the evolving nature of the reforms is subject to ongoing change.</w:t>
      </w:r>
      <w:r w:rsidR="00FD75CA">
        <w:rPr>
          <w:lang w:val="en-GB"/>
        </w:rPr>
        <w:t xml:space="preserve"> Table </w:t>
      </w:r>
      <w:r w:rsidR="00F032B6">
        <w:rPr>
          <w:lang w:val="en-GB"/>
        </w:rPr>
        <w:t>3</w:t>
      </w:r>
      <w:r w:rsidR="00B4218D">
        <w:rPr>
          <w:lang w:val="en-GB"/>
        </w:rPr>
        <w:t xml:space="preserve"> summaries the different types of entitlement models in place in each jurisdiction.</w:t>
      </w:r>
      <w:r w:rsidR="005C022C">
        <w:rPr>
          <w:lang w:val="en-GB"/>
        </w:rPr>
        <w:t xml:space="preserve"> </w:t>
      </w:r>
    </w:p>
    <w:p w:rsidR="007E734F" w:rsidRDefault="007E734F" w:rsidP="00B44ED4">
      <w:pPr>
        <w:pStyle w:val="Text"/>
        <w:rPr>
          <w:lang w:val="en-GB"/>
        </w:rPr>
        <w:sectPr w:rsidR="007E734F" w:rsidSect="00543BFF">
          <w:headerReference w:type="default" r:id="rId60"/>
          <w:footerReference w:type="even" r:id="rId61"/>
          <w:footerReference w:type="default" r:id="rId62"/>
          <w:type w:val="continuous"/>
          <w:pgSz w:w="11907" w:h="16840" w:code="9"/>
          <w:pgMar w:top="1276" w:right="2552" w:bottom="1276" w:left="1418" w:header="709" w:footer="556" w:gutter="0"/>
          <w:cols w:space="708"/>
          <w:docGrid w:linePitch="360"/>
        </w:sectPr>
      </w:pPr>
    </w:p>
    <w:p w:rsidR="007E734F" w:rsidRDefault="00B4218D" w:rsidP="002A175A">
      <w:pPr>
        <w:pStyle w:val="tabletitle0"/>
        <w:ind w:left="993" w:hanging="993"/>
        <w:rPr>
          <w:b w:val="0"/>
        </w:rPr>
      </w:pPr>
      <w:bookmarkStart w:id="92" w:name="_Toc455569952"/>
      <w:r>
        <w:rPr>
          <w:lang w:val="en-GB"/>
        </w:rPr>
        <w:lastRenderedPageBreak/>
        <w:t>T</w:t>
      </w:r>
      <w:r w:rsidR="00F032B6">
        <w:rPr>
          <w:lang w:val="en-GB"/>
        </w:rPr>
        <w:t>able 3</w:t>
      </w:r>
      <w:r w:rsidR="007E734F">
        <w:rPr>
          <w:lang w:val="en-GB"/>
        </w:rPr>
        <w:tab/>
      </w:r>
      <w:r w:rsidR="007E734F" w:rsidRPr="00F379D0">
        <w:rPr>
          <w:lang w:val="en-GB"/>
        </w:rPr>
        <w:t xml:space="preserve">Entitlement </w:t>
      </w:r>
      <w:r w:rsidR="00DF6EBE">
        <w:rPr>
          <w:lang w:val="en-GB"/>
        </w:rPr>
        <w:t>models</w:t>
      </w:r>
      <w:r w:rsidR="007E734F">
        <w:rPr>
          <w:lang w:val="en-GB"/>
        </w:rPr>
        <w:t xml:space="preserve"> by jurisdiction as at </w:t>
      </w:r>
      <w:r w:rsidR="007E734F" w:rsidRPr="00F379D0">
        <w:rPr>
          <w:lang w:val="en-GB"/>
        </w:rPr>
        <w:t>March 2015</w:t>
      </w:r>
      <w:bookmarkEnd w:id="92"/>
    </w:p>
    <w:tbl>
      <w:tblPr>
        <w:tblStyle w:val="TableGrid"/>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536"/>
        <w:gridCol w:w="4650"/>
        <w:gridCol w:w="1020"/>
        <w:gridCol w:w="1134"/>
        <w:gridCol w:w="851"/>
        <w:gridCol w:w="1134"/>
      </w:tblGrid>
      <w:tr w:rsidR="00DF6EBE" w:rsidRPr="008D3D22" w:rsidTr="00A15F77">
        <w:tc>
          <w:tcPr>
            <w:tcW w:w="1242" w:type="dxa"/>
            <w:tcBorders>
              <w:top w:val="single" w:sz="4" w:space="0" w:color="auto"/>
              <w:bottom w:val="single" w:sz="4" w:space="0" w:color="auto"/>
            </w:tcBorders>
          </w:tcPr>
          <w:p w:rsidR="00DF6EBE" w:rsidRPr="008D3D22" w:rsidRDefault="00DF6EBE" w:rsidP="007E734F">
            <w:pPr>
              <w:pStyle w:val="Tablehead1"/>
            </w:pPr>
            <w:r w:rsidRPr="008D3D22">
              <w:t>Jurisdiction</w:t>
            </w:r>
          </w:p>
        </w:tc>
        <w:tc>
          <w:tcPr>
            <w:tcW w:w="4536" w:type="dxa"/>
            <w:tcBorders>
              <w:top w:val="single" w:sz="4" w:space="0" w:color="auto"/>
              <w:bottom w:val="single" w:sz="4" w:space="0" w:color="auto"/>
            </w:tcBorders>
          </w:tcPr>
          <w:p w:rsidR="00DF6EBE" w:rsidRPr="008D3D22" w:rsidRDefault="00DF6EBE" w:rsidP="007E734F">
            <w:pPr>
              <w:pStyle w:val="Tablehead1"/>
            </w:pPr>
            <w:r>
              <w:t>Student eligibility</w:t>
            </w:r>
            <w:r w:rsidRPr="008D3D22">
              <w:t xml:space="preserve"> </w:t>
            </w:r>
          </w:p>
        </w:tc>
        <w:tc>
          <w:tcPr>
            <w:tcW w:w="4650" w:type="dxa"/>
            <w:tcBorders>
              <w:top w:val="single" w:sz="4" w:space="0" w:color="auto"/>
              <w:bottom w:val="single" w:sz="4" w:space="0" w:color="auto"/>
            </w:tcBorders>
          </w:tcPr>
          <w:p w:rsidR="00DF6EBE" w:rsidRDefault="00DF6EBE" w:rsidP="007E734F">
            <w:pPr>
              <w:pStyle w:val="Tablehead1"/>
            </w:pPr>
            <w:r>
              <w:t>Contestability and support</w:t>
            </w:r>
          </w:p>
        </w:tc>
        <w:tc>
          <w:tcPr>
            <w:tcW w:w="1020" w:type="dxa"/>
            <w:tcBorders>
              <w:top w:val="single" w:sz="4" w:space="0" w:color="auto"/>
              <w:bottom w:val="single" w:sz="4" w:space="0" w:color="auto"/>
            </w:tcBorders>
          </w:tcPr>
          <w:p w:rsidR="00DF6EBE" w:rsidRPr="00DF6EBE" w:rsidRDefault="00DF6EBE" w:rsidP="00DF6EBE">
            <w:pPr>
              <w:pStyle w:val="Tablehead1"/>
            </w:pPr>
            <w:r w:rsidRPr="00DF6EBE">
              <w:t>Subsidies</w:t>
            </w:r>
          </w:p>
        </w:tc>
        <w:tc>
          <w:tcPr>
            <w:tcW w:w="1134" w:type="dxa"/>
            <w:tcBorders>
              <w:top w:val="single" w:sz="4" w:space="0" w:color="auto"/>
              <w:bottom w:val="single" w:sz="4" w:space="0" w:color="auto"/>
            </w:tcBorders>
          </w:tcPr>
          <w:p w:rsidR="00DF6EBE" w:rsidRPr="00DF6EBE" w:rsidRDefault="00DF6EBE" w:rsidP="00DF6EBE">
            <w:pPr>
              <w:pStyle w:val="Tablehead1"/>
            </w:pPr>
            <w:r w:rsidRPr="00DF6EBE">
              <w:t>Fees</w:t>
            </w:r>
          </w:p>
        </w:tc>
        <w:tc>
          <w:tcPr>
            <w:tcW w:w="851" w:type="dxa"/>
            <w:tcBorders>
              <w:top w:val="single" w:sz="4" w:space="0" w:color="auto"/>
              <w:bottom w:val="single" w:sz="4" w:space="0" w:color="auto"/>
            </w:tcBorders>
          </w:tcPr>
          <w:p w:rsidR="00DF6EBE" w:rsidRPr="00DF6EBE" w:rsidRDefault="00DF6EBE" w:rsidP="00DF6EBE">
            <w:pPr>
              <w:pStyle w:val="Tablehead1"/>
            </w:pPr>
            <w:r w:rsidRPr="00DF6EBE">
              <w:t>Prices</w:t>
            </w:r>
          </w:p>
        </w:tc>
        <w:tc>
          <w:tcPr>
            <w:tcW w:w="1134" w:type="dxa"/>
            <w:tcBorders>
              <w:top w:val="single" w:sz="4" w:space="0" w:color="auto"/>
              <w:bottom w:val="single" w:sz="4" w:space="0" w:color="auto"/>
            </w:tcBorders>
          </w:tcPr>
          <w:p w:rsidR="00DF6EBE" w:rsidRDefault="00DF6EBE" w:rsidP="00DF6EBE">
            <w:pPr>
              <w:pStyle w:val="Tablehead1"/>
            </w:pPr>
            <w:r w:rsidRPr="00DF6EBE">
              <w:t>Budget control</w:t>
            </w:r>
          </w:p>
        </w:tc>
      </w:tr>
      <w:tr w:rsidR="00DF6EBE" w:rsidRPr="00152E26" w:rsidTr="00A15F77">
        <w:tc>
          <w:tcPr>
            <w:tcW w:w="1242" w:type="dxa"/>
            <w:tcBorders>
              <w:top w:val="single" w:sz="4" w:space="0" w:color="auto"/>
            </w:tcBorders>
          </w:tcPr>
          <w:p w:rsidR="001D41AD" w:rsidRPr="00152E26" w:rsidRDefault="00DF6EBE" w:rsidP="001D41AD">
            <w:pPr>
              <w:pStyle w:val="Tabletext"/>
              <w:rPr>
                <w:sz w:val="15"/>
                <w:szCs w:val="15"/>
              </w:rPr>
            </w:pPr>
            <w:r w:rsidRPr="00152E26">
              <w:rPr>
                <w:sz w:val="15"/>
                <w:szCs w:val="15"/>
              </w:rPr>
              <w:t xml:space="preserve">Victoria </w:t>
            </w:r>
            <w:r w:rsidR="001D41AD" w:rsidRPr="00152E26">
              <w:rPr>
                <w:sz w:val="15"/>
                <w:szCs w:val="15"/>
              </w:rPr>
              <w:t>– Victorian Training Guarantee</w:t>
            </w:r>
          </w:p>
        </w:tc>
        <w:tc>
          <w:tcPr>
            <w:tcW w:w="4536" w:type="dxa"/>
            <w:tcBorders>
              <w:top w:val="single" w:sz="4" w:space="0" w:color="auto"/>
            </w:tcBorders>
          </w:tcPr>
          <w:p w:rsidR="00DF6EBE" w:rsidRPr="00152E26" w:rsidRDefault="00DF6EBE" w:rsidP="007E734F">
            <w:pPr>
              <w:pStyle w:val="Tabletext"/>
              <w:rPr>
                <w:sz w:val="15"/>
                <w:szCs w:val="15"/>
              </w:rPr>
            </w:pPr>
            <w:r w:rsidRPr="00152E26">
              <w:rPr>
                <w:sz w:val="15"/>
                <w:szCs w:val="15"/>
              </w:rPr>
              <w:t>Post-school students aged under 20 years are eligible for any entitlement qualification and those aged over 20 years for a qualification higher than the one already held but with a ‘two commencements at level in a lifetime’ restriction</w:t>
            </w:r>
          </w:p>
        </w:tc>
        <w:tc>
          <w:tcPr>
            <w:tcW w:w="4650" w:type="dxa"/>
            <w:tcBorders>
              <w:top w:val="single" w:sz="4" w:space="0" w:color="auto"/>
            </w:tcBorders>
          </w:tcPr>
          <w:p w:rsidR="00DF6EBE" w:rsidRPr="00152E26" w:rsidRDefault="00DF6EBE" w:rsidP="007E734F">
            <w:pPr>
              <w:pStyle w:val="Tabletext"/>
              <w:rPr>
                <w:sz w:val="15"/>
                <w:szCs w:val="15"/>
              </w:rPr>
            </w:pPr>
            <w:r w:rsidRPr="00152E26">
              <w:rPr>
                <w:sz w:val="15"/>
                <w:szCs w:val="15"/>
              </w:rPr>
              <w:t>The entitlement is embedded in a single contestable funding model, in which public providers receive special base funding and then compete on equal grounds with private providers.</w:t>
            </w:r>
          </w:p>
        </w:tc>
        <w:tc>
          <w:tcPr>
            <w:tcW w:w="1020" w:type="dxa"/>
            <w:tcBorders>
              <w:top w:val="single" w:sz="4" w:space="0" w:color="auto"/>
            </w:tcBorders>
          </w:tcPr>
          <w:p w:rsidR="00DF6EBE" w:rsidRPr="00152E26" w:rsidRDefault="00DF6EBE" w:rsidP="007E734F">
            <w:pPr>
              <w:pStyle w:val="Tabletext"/>
              <w:rPr>
                <w:sz w:val="15"/>
                <w:szCs w:val="15"/>
              </w:rPr>
            </w:pPr>
            <w:r w:rsidRPr="00152E26">
              <w:rPr>
                <w:sz w:val="15"/>
                <w:szCs w:val="15"/>
              </w:rPr>
              <w:t>Variable – 5 bands</w:t>
            </w:r>
          </w:p>
        </w:tc>
        <w:tc>
          <w:tcPr>
            <w:tcW w:w="1134" w:type="dxa"/>
            <w:tcBorders>
              <w:top w:val="single" w:sz="4" w:space="0" w:color="auto"/>
            </w:tcBorders>
          </w:tcPr>
          <w:p w:rsidR="00DF6EBE" w:rsidRPr="00152E26" w:rsidRDefault="00DF6EBE" w:rsidP="007E734F">
            <w:pPr>
              <w:pStyle w:val="Tabletext"/>
              <w:rPr>
                <w:sz w:val="15"/>
                <w:szCs w:val="15"/>
              </w:rPr>
            </w:pPr>
            <w:r w:rsidRPr="00152E26">
              <w:rPr>
                <w:sz w:val="15"/>
                <w:szCs w:val="15"/>
              </w:rPr>
              <w:t>Fully deregulated</w:t>
            </w:r>
          </w:p>
        </w:tc>
        <w:tc>
          <w:tcPr>
            <w:tcW w:w="851" w:type="dxa"/>
            <w:tcBorders>
              <w:top w:val="single" w:sz="4" w:space="0" w:color="auto"/>
            </w:tcBorders>
          </w:tcPr>
          <w:p w:rsidR="00DF6EBE" w:rsidRPr="00152E26" w:rsidRDefault="00DF6EBE" w:rsidP="007E734F">
            <w:pPr>
              <w:pStyle w:val="Tabletext"/>
              <w:rPr>
                <w:sz w:val="15"/>
                <w:szCs w:val="15"/>
              </w:rPr>
            </w:pPr>
            <w:r w:rsidRPr="00152E26">
              <w:rPr>
                <w:sz w:val="15"/>
                <w:szCs w:val="15"/>
              </w:rPr>
              <w:t>Variable</w:t>
            </w:r>
          </w:p>
        </w:tc>
        <w:tc>
          <w:tcPr>
            <w:tcW w:w="1134" w:type="dxa"/>
            <w:tcBorders>
              <w:top w:val="single" w:sz="4" w:space="0" w:color="auto"/>
            </w:tcBorders>
          </w:tcPr>
          <w:p w:rsidR="00DF6EBE" w:rsidRPr="00152E26" w:rsidRDefault="00DF6EBE" w:rsidP="007E734F">
            <w:pPr>
              <w:pStyle w:val="Tabletext"/>
              <w:rPr>
                <w:sz w:val="15"/>
                <w:szCs w:val="15"/>
              </w:rPr>
            </w:pPr>
            <w:r w:rsidRPr="00152E26">
              <w:rPr>
                <w:sz w:val="15"/>
                <w:szCs w:val="15"/>
              </w:rPr>
              <w:t>Subsidy adjustments</w:t>
            </w:r>
          </w:p>
        </w:tc>
      </w:tr>
      <w:tr w:rsidR="00DF6EBE" w:rsidRPr="00152E26" w:rsidTr="00A15F77">
        <w:tc>
          <w:tcPr>
            <w:tcW w:w="1242" w:type="dxa"/>
          </w:tcPr>
          <w:p w:rsidR="00DF6EBE" w:rsidRPr="00152E26" w:rsidRDefault="00DF6EBE" w:rsidP="007E734F">
            <w:pPr>
              <w:pStyle w:val="Tabletext"/>
              <w:rPr>
                <w:sz w:val="15"/>
                <w:szCs w:val="15"/>
              </w:rPr>
            </w:pPr>
            <w:r w:rsidRPr="00152E26">
              <w:rPr>
                <w:sz w:val="15"/>
                <w:szCs w:val="15"/>
              </w:rPr>
              <w:t>South Australia</w:t>
            </w:r>
            <w:r w:rsidR="001D41AD" w:rsidRPr="00152E26">
              <w:rPr>
                <w:sz w:val="15"/>
                <w:szCs w:val="15"/>
              </w:rPr>
              <w:t xml:space="preserve"> – Skills for All</w:t>
            </w:r>
            <w:r w:rsidR="00CD68DF">
              <w:rPr>
                <w:sz w:val="15"/>
                <w:szCs w:val="15"/>
              </w:rPr>
              <w:t>/</w:t>
            </w:r>
            <w:r w:rsidR="007D7C38">
              <w:rPr>
                <w:sz w:val="15"/>
                <w:szCs w:val="15"/>
              </w:rPr>
              <w:t xml:space="preserve"> Work Ready</w:t>
            </w:r>
            <w:r w:rsidRPr="00152E26">
              <w:rPr>
                <w:sz w:val="15"/>
                <w:szCs w:val="15"/>
              </w:rPr>
              <w:t xml:space="preserve"> </w:t>
            </w:r>
          </w:p>
        </w:tc>
        <w:tc>
          <w:tcPr>
            <w:tcW w:w="4536" w:type="dxa"/>
          </w:tcPr>
          <w:p w:rsidR="00DF6EBE" w:rsidRPr="00152E26" w:rsidRDefault="00DF6EBE" w:rsidP="007E734F">
            <w:pPr>
              <w:pStyle w:val="Tabletext"/>
              <w:rPr>
                <w:sz w:val="15"/>
                <w:szCs w:val="15"/>
              </w:rPr>
            </w:pPr>
            <w:r w:rsidRPr="00152E26">
              <w:rPr>
                <w:sz w:val="15"/>
                <w:szCs w:val="15"/>
              </w:rPr>
              <w:t>Post-school students, regardless of age and previous education level, to a total of two entitlement courses</w:t>
            </w:r>
          </w:p>
        </w:tc>
        <w:tc>
          <w:tcPr>
            <w:tcW w:w="4650" w:type="dxa"/>
          </w:tcPr>
          <w:p w:rsidR="00DF6EBE" w:rsidRPr="00152E26" w:rsidRDefault="00DF6EBE" w:rsidP="007E734F">
            <w:pPr>
              <w:pStyle w:val="Tabletext"/>
              <w:rPr>
                <w:sz w:val="15"/>
                <w:szCs w:val="15"/>
              </w:rPr>
            </w:pPr>
            <w:r w:rsidRPr="00152E26">
              <w:rPr>
                <w:sz w:val="15"/>
                <w:szCs w:val="15"/>
              </w:rPr>
              <w:t>The entitlement is embedded in a new single contestable funding model, one that provides higher subsidies to public providers than to private providers.</w:t>
            </w:r>
          </w:p>
        </w:tc>
        <w:tc>
          <w:tcPr>
            <w:tcW w:w="1020" w:type="dxa"/>
          </w:tcPr>
          <w:p w:rsidR="00DF6EBE" w:rsidRPr="00152E26" w:rsidRDefault="00DF6EBE" w:rsidP="007E734F">
            <w:pPr>
              <w:pStyle w:val="Tabletext"/>
              <w:rPr>
                <w:sz w:val="15"/>
                <w:szCs w:val="15"/>
              </w:rPr>
            </w:pPr>
            <w:r w:rsidRPr="00152E26">
              <w:rPr>
                <w:sz w:val="15"/>
                <w:szCs w:val="15"/>
              </w:rPr>
              <w:t>Variable</w:t>
            </w:r>
          </w:p>
        </w:tc>
        <w:tc>
          <w:tcPr>
            <w:tcW w:w="1134" w:type="dxa"/>
          </w:tcPr>
          <w:p w:rsidR="00DF6EBE" w:rsidRPr="00152E26" w:rsidRDefault="00DF6EBE" w:rsidP="007E734F">
            <w:pPr>
              <w:pStyle w:val="Tabletext"/>
              <w:rPr>
                <w:sz w:val="15"/>
                <w:szCs w:val="15"/>
              </w:rPr>
            </w:pPr>
            <w:r w:rsidRPr="00152E26">
              <w:rPr>
                <w:sz w:val="15"/>
                <w:szCs w:val="15"/>
              </w:rPr>
              <w:t xml:space="preserve">Tuition fixed, discretionary variable </w:t>
            </w:r>
          </w:p>
        </w:tc>
        <w:tc>
          <w:tcPr>
            <w:tcW w:w="851" w:type="dxa"/>
          </w:tcPr>
          <w:p w:rsidR="00DF6EBE" w:rsidRPr="00152E26" w:rsidRDefault="00DF6EBE" w:rsidP="007E734F">
            <w:pPr>
              <w:pStyle w:val="Tabletext"/>
              <w:rPr>
                <w:sz w:val="15"/>
                <w:szCs w:val="15"/>
              </w:rPr>
            </w:pPr>
            <w:r w:rsidRPr="00152E26">
              <w:rPr>
                <w:sz w:val="15"/>
                <w:szCs w:val="15"/>
              </w:rPr>
              <w:t>Partly variable</w:t>
            </w:r>
          </w:p>
        </w:tc>
        <w:tc>
          <w:tcPr>
            <w:tcW w:w="1134" w:type="dxa"/>
          </w:tcPr>
          <w:p w:rsidR="00DF6EBE" w:rsidRPr="00152E26" w:rsidRDefault="00DF6EBE" w:rsidP="007E734F">
            <w:pPr>
              <w:pStyle w:val="Tabletext"/>
              <w:rPr>
                <w:sz w:val="15"/>
                <w:szCs w:val="15"/>
              </w:rPr>
            </w:pPr>
            <w:r w:rsidRPr="00152E26">
              <w:rPr>
                <w:sz w:val="15"/>
                <w:szCs w:val="15"/>
              </w:rPr>
              <w:t>Capped places</w:t>
            </w:r>
          </w:p>
        </w:tc>
      </w:tr>
      <w:tr w:rsidR="00DF6EBE" w:rsidRPr="00152E26" w:rsidTr="00A15F77">
        <w:tc>
          <w:tcPr>
            <w:tcW w:w="1242" w:type="dxa"/>
          </w:tcPr>
          <w:p w:rsidR="00DF6EBE" w:rsidRPr="00152E26" w:rsidRDefault="00DF6EBE" w:rsidP="007E734F">
            <w:pPr>
              <w:pStyle w:val="Tabletext"/>
              <w:rPr>
                <w:sz w:val="15"/>
                <w:szCs w:val="15"/>
              </w:rPr>
            </w:pPr>
            <w:r w:rsidRPr="00152E26">
              <w:rPr>
                <w:sz w:val="15"/>
                <w:szCs w:val="15"/>
              </w:rPr>
              <w:t>Queensland</w:t>
            </w:r>
            <w:r w:rsidR="001D41AD" w:rsidRPr="00152E26">
              <w:rPr>
                <w:sz w:val="15"/>
                <w:szCs w:val="15"/>
              </w:rPr>
              <w:t xml:space="preserve"> – Certificate 3 Guarantee</w:t>
            </w:r>
            <w:r w:rsidRPr="00152E26">
              <w:rPr>
                <w:sz w:val="15"/>
                <w:szCs w:val="15"/>
              </w:rPr>
              <w:t xml:space="preserve"> </w:t>
            </w:r>
          </w:p>
        </w:tc>
        <w:tc>
          <w:tcPr>
            <w:tcW w:w="4536" w:type="dxa"/>
          </w:tcPr>
          <w:p w:rsidR="00DF6EBE" w:rsidRPr="00152E26" w:rsidRDefault="00DF6EBE" w:rsidP="007E734F">
            <w:pPr>
              <w:pStyle w:val="Tabletext"/>
              <w:rPr>
                <w:sz w:val="15"/>
                <w:szCs w:val="15"/>
              </w:rPr>
            </w:pPr>
            <w:r w:rsidRPr="00152E26">
              <w:rPr>
                <w:sz w:val="15"/>
                <w:szCs w:val="15"/>
              </w:rPr>
              <w:t>Post-school students who do not have a certificate III or higher and the entitlement applies to a first, and only one, certificate III</w:t>
            </w:r>
          </w:p>
        </w:tc>
        <w:tc>
          <w:tcPr>
            <w:tcW w:w="4650" w:type="dxa"/>
          </w:tcPr>
          <w:p w:rsidR="00DF6EBE" w:rsidRPr="00152E26" w:rsidRDefault="00DF6EBE" w:rsidP="007E734F">
            <w:pPr>
              <w:pStyle w:val="Tabletext"/>
              <w:rPr>
                <w:sz w:val="15"/>
                <w:szCs w:val="15"/>
              </w:rPr>
            </w:pPr>
            <w:r w:rsidRPr="00152E26">
              <w:rPr>
                <w:sz w:val="15"/>
                <w:szCs w:val="15"/>
              </w:rPr>
              <w:t>The entitlement is one discrete publicly subsidised program of several that complement each other within a new contestable funding model. Public providers receive special base funding and then compete on equal grounds with private providers.</w:t>
            </w:r>
          </w:p>
        </w:tc>
        <w:tc>
          <w:tcPr>
            <w:tcW w:w="1020" w:type="dxa"/>
          </w:tcPr>
          <w:p w:rsidR="00DF6EBE" w:rsidRPr="00152E26" w:rsidRDefault="00DF6EBE" w:rsidP="007E734F">
            <w:pPr>
              <w:pStyle w:val="Tabletext"/>
              <w:rPr>
                <w:sz w:val="15"/>
                <w:szCs w:val="15"/>
              </w:rPr>
            </w:pPr>
            <w:r w:rsidRPr="00152E26">
              <w:rPr>
                <w:sz w:val="15"/>
                <w:szCs w:val="15"/>
              </w:rPr>
              <w:t>Variable – 4 levels</w:t>
            </w:r>
          </w:p>
        </w:tc>
        <w:tc>
          <w:tcPr>
            <w:tcW w:w="1134" w:type="dxa"/>
          </w:tcPr>
          <w:p w:rsidR="00DF6EBE" w:rsidRPr="00152E26" w:rsidRDefault="00DF6EBE" w:rsidP="007E734F">
            <w:pPr>
              <w:pStyle w:val="Tabletext"/>
              <w:rPr>
                <w:sz w:val="15"/>
                <w:szCs w:val="15"/>
              </w:rPr>
            </w:pPr>
            <w:r w:rsidRPr="00152E26">
              <w:rPr>
                <w:sz w:val="15"/>
                <w:szCs w:val="15"/>
              </w:rPr>
              <w:t>Fully deregulated</w:t>
            </w:r>
          </w:p>
        </w:tc>
        <w:tc>
          <w:tcPr>
            <w:tcW w:w="851" w:type="dxa"/>
          </w:tcPr>
          <w:p w:rsidR="00DF6EBE" w:rsidRPr="00152E26" w:rsidRDefault="00DF6EBE" w:rsidP="007E734F">
            <w:pPr>
              <w:pStyle w:val="Tabletext"/>
              <w:rPr>
                <w:sz w:val="15"/>
                <w:szCs w:val="15"/>
              </w:rPr>
            </w:pPr>
            <w:r w:rsidRPr="00152E26">
              <w:rPr>
                <w:sz w:val="15"/>
                <w:szCs w:val="15"/>
              </w:rPr>
              <w:t>Variable</w:t>
            </w:r>
          </w:p>
        </w:tc>
        <w:tc>
          <w:tcPr>
            <w:tcW w:w="1134" w:type="dxa"/>
          </w:tcPr>
          <w:p w:rsidR="00DF6EBE" w:rsidRPr="00152E26" w:rsidRDefault="00DF6EBE" w:rsidP="007E734F">
            <w:pPr>
              <w:pStyle w:val="Tabletext"/>
              <w:rPr>
                <w:sz w:val="15"/>
                <w:szCs w:val="15"/>
              </w:rPr>
            </w:pPr>
            <w:r w:rsidRPr="00152E26">
              <w:rPr>
                <w:sz w:val="15"/>
                <w:szCs w:val="15"/>
              </w:rPr>
              <w:t>Non-issue</w:t>
            </w:r>
          </w:p>
        </w:tc>
      </w:tr>
      <w:tr w:rsidR="00DF6EBE" w:rsidRPr="00152E26" w:rsidTr="00A15F77">
        <w:tc>
          <w:tcPr>
            <w:tcW w:w="1242" w:type="dxa"/>
          </w:tcPr>
          <w:p w:rsidR="00DF6EBE" w:rsidRPr="00152E26" w:rsidRDefault="00DF6EBE" w:rsidP="007E734F">
            <w:pPr>
              <w:pStyle w:val="Tabletext"/>
              <w:rPr>
                <w:sz w:val="15"/>
                <w:szCs w:val="15"/>
              </w:rPr>
            </w:pPr>
            <w:r w:rsidRPr="00152E26">
              <w:rPr>
                <w:sz w:val="15"/>
                <w:szCs w:val="15"/>
              </w:rPr>
              <w:t>Western Australia</w:t>
            </w:r>
            <w:r w:rsidR="001D41AD" w:rsidRPr="00152E26">
              <w:rPr>
                <w:sz w:val="15"/>
                <w:szCs w:val="15"/>
              </w:rPr>
              <w:t xml:space="preserve"> – Future Skills WA</w:t>
            </w:r>
          </w:p>
        </w:tc>
        <w:tc>
          <w:tcPr>
            <w:tcW w:w="4536" w:type="dxa"/>
          </w:tcPr>
          <w:p w:rsidR="00DF6EBE" w:rsidRPr="00152E26" w:rsidRDefault="00DF6EBE" w:rsidP="007E734F">
            <w:pPr>
              <w:pStyle w:val="Tabletext"/>
              <w:rPr>
                <w:sz w:val="15"/>
                <w:szCs w:val="15"/>
              </w:rPr>
            </w:pPr>
            <w:r w:rsidRPr="00152E26">
              <w:rPr>
                <w:sz w:val="15"/>
                <w:szCs w:val="15"/>
              </w:rPr>
              <w:t>Post-school students, regardless of age and previous education level, and to any number of entitlement courses</w:t>
            </w:r>
          </w:p>
        </w:tc>
        <w:tc>
          <w:tcPr>
            <w:tcW w:w="4650" w:type="dxa"/>
          </w:tcPr>
          <w:p w:rsidR="00DF6EBE" w:rsidRPr="00152E26" w:rsidRDefault="00DF6EBE" w:rsidP="007E734F">
            <w:pPr>
              <w:pStyle w:val="Tabletext"/>
              <w:rPr>
                <w:sz w:val="15"/>
                <w:szCs w:val="15"/>
              </w:rPr>
            </w:pPr>
            <w:r w:rsidRPr="00152E26">
              <w:rPr>
                <w:sz w:val="15"/>
                <w:szCs w:val="15"/>
              </w:rPr>
              <w:t>The student entitlement is embedded in a new single overall contestable funding model, in which higher subsidies are paid to public providers than to private providers.</w:t>
            </w:r>
          </w:p>
        </w:tc>
        <w:tc>
          <w:tcPr>
            <w:tcW w:w="1020" w:type="dxa"/>
          </w:tcPr>
          <w:p w:rsidR="00DF6EBE" w:rsidRPr="00152E26" w:rsidRDefault="00DF6EBE" w:rsidP="007E734F">
            <w:pPr>
              <w:pStyle w:val="Tabletext"/>
              <w:rPr>
                <w:sz w:val="15"/>
                <w:szCs w:val="15"/>
              </w:rPr>
            </w:pPr>
            <w:r w:rsidRPr="00152E26">
              <w:rPr>
                <w:sz w:val="15"/>
                <w:szCs w:val="15"/>
              </w:rPr>
              <w:t>Variable</w:t>
            </w:r>
          </w:p>
        </w:tc>
        <w:tc>
          <w:tcPr>
            <w:tcW w:w="1134" w:type="dxa"/>
          </w:tcPr>
          <w:p w:rsidR="00DF6EBE" w:rsidRPr="00152E26" w:rsidRDefault="00DF6EBE" w:rsidP="007E734F">
            <w:pPr>
              <w:pStyle w:val="Tabletext"/>
              <w:rPr>
                <w:sz w:val="15"/>
                <w:szCs w:val="15"/>
              </w:rPr>
            </w:pPr>
            <w:r w:rsidRPr="00152E26">
              <w:rPr>
                <w:sz w:val="15"/>
                <w:szCs w:val="15"/>
              </w:rPr>
              <w:t xml:space="preserve">Tuition fixed, discretionary variable </w:t>
            </w:r>
          </w:p>
        </w:tc>
        <w:tc>
          <w:tcPr>
            <w:tcW w:w="851" w:type="dxa"/>
          </w:tcPr>
          <w:p w:rsidR="00DF6EBE" w:rsidRPr="00152E26" w:rsidRDefault="00DF6EBE" w:rsidP="007E734F">
            <w:pPr>
              <w:pStyle w:val="Tabletext"/>
              <w:rPr>
                <w:sz w:val="15"/>
                <w:szCs w:val="15"/>
              </w:rPr>
            </w:pPr>
            <w:r w:rsidRPr="00152E26">
              <w:rPr>
                <w:sz w:val="15"/>
                <w:szCs w:val="15"/>
              </w:rPr>
              <w:t>Partly variable</w:t>
            </w:r>
          </w:p>
        </w:tc>
        <w:tc>
          <w:tcPr>
            <w:tcW w:w="1134" w:type="dxa"/>
          </w:tcPr>
          <w:p w:rsidR="00DF6EBE" w:rsidRPr="00152E26" w:rsidRDefault="00DF6EBE" w:rsidP="007E734F">
            <w:pPr>
              <w:pStyle w:val="Tabletext"/>
              <w:rPr>
                <w:sz w:val="15"/>
                <w:szCs w:val="15"/>
              </w:rPr>
            </w:pPr>
            <w:r w:rsidRPr="00152E26">
              <w:rPr>
                <w:sz w:val="15"/>
                <w:szCs w:val="15"/>
              </w:rPr>
              <w:t>Non-issue</w:t>
            </w:r>
          </w:p>
        </w:tc>
      </w:tr>
      <w:tr w:rsidR="00DF6EBE" w:rsidRPr="00152E26" w:rsidTr="00A15F77">
        <w:tc>
          <w:tcPr>
            <w:tcW w:w="1242" w:type="dxa"/>
          </w:tcPr>
          <w:p w:rsidR="00DF6EBE" w:rsidRPr="00152E26" w:rsidRDefault="00DF6EBE" w:rsidP="007E734F">
            <w:pPr>
              <w:pStyle w:val="Tabletext"/>
              <w:rPr>
                <w:sz w:val="15"/>
                <w:szCs w:val="15"/>
              </w:rPr>
            </w:pPr>
            <w:r w:rsidRPr="00152E26">
              <w:rPr>
                <w:sz w:val="15"/>
                <w:szCs w:val="15"/>
              </w:rPr>
              <w:t>Tasmania</w:t>
            </w:r>
            <w:r w:rsidR="00597397">
              <w:rPr>
                <w:sz w:val="15"/>
                <w:szCs w:val="15"/>
              </w:rPr>
              <w:t xml:space="preserve"> </w:t>
            </w:r>
          </w:p>
        </w:tc>
        <w:tc>
          <w:tcPr>
            <w:tcW w:w="4536" w:type="dxa"/>
          </w:tcPr>
          <w:p w:rsidR="00DF6EBE" w:rsidRPr="00152E26" w:rsidRDefault="00DF6EBE" w:rsidP="007E734F">
            <w:pPr>
              <w:pStyle w:val="Tabletext"/>
              <w:rPr>
                <w:sz w:val="15"/>
                <w:szCs w:val="15"/>
              </w:rPr>
            </w:pPr>
            <w:r w:rsidRPr="00152E26">
              <w:rPr>
                <w:sz w:val="15"/>
                <w:szCs w:val="15"/>
              </w:rPr>
              <w:t>Post-school students who do not hold a previous certificate IV or higher and for a first certificate III or higher</w:t>
            </w:r>
          </w:p>
        </w:tc>
        <w:tc>
          <w:tcPr>
            <w:tcW w:w="4650" w:type="dxa"/>
          </w:tcPr>
          <w:p w:rsidR="00DF6EBE" w:rsidRPr="00152E26" w:rsidRDefault="00DF6EBE" w:rsidP="007E734F">
            <w:pPr>
              <w:pStyle w:val="Tabletext"/>
              <w:rPr>
                <w:sz w:val="15"/>
                <w:szCs w:val="15"/>
              </w:rPr>
            </w:pPr>
            <w:r w:rsidRPr="00152E26">
              <w:rPr>
                <w:sz w:val="15"/>
                <w:szCs w:val="15"/>
              </w:rPr>
              <w:t>The entitlement is embedded in a new contestable entitlement program open to approved private providers only and is also obtainable through the public provider and the uncontested training appropriations it receives from the government.</w:t>
            </w:r>
          </w:p>
        </w:tc>
        <w:tc>
          <w:tcPr>
            <w:tcW w:w="1020" w:type="dxa"/>
          </w:tcPr>
          <w:p w:rsidR="00DF6EBE" w:rsidRPr="00152E26" w:rsidRDefault="00DF6EBE" w:rsidP="0047187F">
            <w:pPr>
              <w:pStyle w:val="Tabletext"/>
              <w:rPr>
                <w:sz w:val="15"/>
                <w:szCs w:val="15"/>
              </w:rPr>
            </w:pPr>
            <w:r w:rsidRPr="00152E26">
              <w:rPr>
                <w:sz w:val="15"/>
                <w:szCs w:val="15"/>
              </w:rPr>
              <w:t>Variable</w:t>
            </w:r>
          </w:p>
        </w:tc>
        <w:tc>
          <w:tcPr>
            <w:tcW w:w="1134" w:type="dxa"/>
          </w:tcPr>
          <w:p w:rsidR="00DF6EBE" w:rsidRPr="00152E26" w:rsidRDefault="00DF6EBE" w:rsidP="0047187F">
            <w:pPr>
              <w:pStyle w:val="Tabletext"/>
              <w:rPr>
                <w:sz w:val="15"/>
                <w:szCs w:val="15"/>
              </w:rPr>
            </w:pPr>
            <w:r w:rsidRPr="00152E26">
              <w:rPr>
                <w:sz w:val="15"/>
                <w:szCs w:val="15"/>
              </w:rPr>
              <w:t xml:space="preserve">Tuition fixed, discretionary variable </w:t>
            </w:r>
          </w:p>
        </w:tc>
        <w:tc>
          <w:tcPr>
            <w:tcW w:w="851" w:type="dxa"/>
          </w:tcPr>
          <w:p w:rsidR="00DF6EBE" w:rsidRPr="00152E26" w:rsidRDefault="00DF6EBE" w:rsidP="0047187F">
            <w:pPr>
              <w:pStyle w:val="Tabletext"/>
              <w:rPr>
                <w:sz w:val="15"/>
                <w:szCs w:val="15"/>
              </w:rPr>
            </w:pPr>
            <w:r w:rsidRPr="00152E26">
              <w:rPr>
                <w:sz w:val="15"/>
                <w:szCs w:val="15"/>
              </w:rPr>
              <w:t>Partly variable</w:t>
            </w:r>
          </w:p>
        </w:tc>
        <w:tc>
          <w:tcPr>
            <w:tcW w:w="1134" w:type="dxa"/>
          </w:tcPr>
          <w:p w:rsidR="00DF6EBE" w:rsidRPr="00152E26" w:rsidRDefault="00DF6EBE" w:rsidP="0047187F">
            <w:pPr>
              <w:pStyle w:val="Tabletext"/>
              <w:rPr>
                <w:sz w:val="15"/>
                <w:szCs w:val="15"/>
              </w:rPr>
            </w:pPr>
            <w:r w:rsidRPr="00152E26">
              <w:rPr>
                <w:sz w:val="15"/>
                <w:szCs w:val="15"/>
              </w:rPr>
              <w:t>Capped places</w:t>
            </w:r>
          </w:p>
        </w:tc>
      </w:tr>
      <w:tr w:rsidR="00B4218D" w:rsidRPr="00152E26" w:rsidTr="00A15F77">
        <w:tc>
          <w:tcPr>
            <w:tcW w:w="1242" w:type="dxa"/>
          </w:tcPr>
          <w:p w:rsidR="00B4218D" w:rsidRPr="00152E26" w:rsidRDefault="00B4218D" w:rsidP="007E734F">
            <w:pPr>
              <w:pStyle w:val="Tabletext"/>
              <w:rPr>
                <w:sz w:val="15"/>
                <w:szCs w:val="15"/>
              </w:rPr>
            </w:pPr>
            <w:r w:rsidRPr="00152E26">
              <w:rPr>
                <w:sz w:val="15"/>
                <w:szCs w:val="15"/>
              </w:rPr>
              <w:t xml:space="preserve">Northern Territory </w:t>
            </w:r>
            <w:r w:rsidR="001D41AD" w:rsidRPr="00152E26">
              <w:rPr>
                <w:sz w:val="15"/>
                <w:szCs w:val="15"/>
              </w:rPr>
              <w:t>– NT Student Entitlement Model</w:t>
            </w:r>
          </w:p>
        </w:tc>
        <w:tc>
          <w:tcPr>
            <w:tcW w:w="4536" w:type="dxa"/>
          </w:tcPr>
          <w:p w:rsidR="00B4218D" w:rsidRPr="00152E26" w:rsidRDefault="00B4218D" w:rsidP="007E734F">
            <w:pPr>
              <w:pStyle w:val="Tabletext"/>
              <w:rPr>
                <w:sz w:val="15"/>
                <w:szCs w:val="15"/>
              </w:rPr>
            </w:pPr>
            <w:r w:rsidRPr="00152E26">
              <w:rPr>
                <w:sz w:val="15"/>
                <w:szCs w:val="15"/>
              </w:rPr>
              <w:t>Post-school students, regardless of age and previous education level, and to one entitlement course at a time</w:t>
            </w:r>
          </w:p>
        </w:tc>
        <w:tc>
          <w:tcPr>
            <w:tcW w:w="4650" w:type="dxa"/>
          </w:tcPr>
          <w:p w:rsidR="00B4218D" w:rsidRPr="00152E26" w:rsidRDefault="00B4218D" w:rsidP="007E734F">
            <w:pPr>
              <w:pStyle w:val="Tabletext"/>
              <w:rPr>
                <w:sz w:val="15"/>
                <w:szCs w:val="15"/>
              </w:rPr>
            </w:pPr>
            <w:r w:rsidRPr="00152E26">
              <w:rPr>
                <w:sz w:val="15"/>
                <w:szCs w:val="15"/>
              </w:rPr>
              <w:t>The entitlement is embedded in a new contestable entitlement program open to approved private providers only and is also obtainable through the public provider and the uncontested training appropriations it receives from the government.</w:t>
            </w:r>
          </w:p>
        </w:tc>
        <w:tc>
          <w:tcPr>
            <w:tcW w:w="1020" w:type="dxa"/>
          </w:tcPr>
          <w:p w:rsidR="00B4218D" w:rsidRPr="00152E26" w:rsidRDefault="00B4218D" w:rsidP="007E734F">
            <w:pPr>
              <w:pStyle w:val="Tabletext"/>
              <w:rPr>
                <w:sz w:val="15"/>
                <w:szCs w:val="15"/>
              </w:rPr>
            </w:pPr>
            <w:r w:rsidRPr="00152E26">
              <w:rPr>
                <w:sz w:val="15"/>
                <w:szCs w:val="15"/>
              </w:rPr>
              <w:t>Fully subsidised</w:t>
            </w:r>
          </w:p>
        </w:tc>
        <w:tc>
          <w:tcPr>
            <w:tcW w:w="1134" w:type="dxa"/>
          </w:tcPr>
          <w:p w:rsidR="00B4218D" w:rsidRPr="00152E26" w:rsidRDefault="00B4218D" w:rsidP="0047187F">
            <w:pPr>
              <w:pStyle w:val="Tabletext"/>
              <w:rPr>
                <w:sz w:val="15"/>
                <w:szCs w:val="15"/>
              </w:rPr>
            </w:pPr>
            <w:r w:rsidRPr="00152E26">
              <w:rPr>
                <w:sz w:val="15"/>
                <w:szCs w:val="15"/>
              </w:rPr>
              <w:t xml:space="preserve">Tuition fixed, discretionary variable </w:t>
            </w:r>
          </w:p>
        </w:tc>
        <w:tc>
          <w:tcPr>
            <w:tcW w:w="851" w:type="dxa"/>
          </w:tcPr>
          <w:p w:rsidR="00B4218D" w:rsidRPr="00152E26" w:rsidRDefault="00B4218D" w:rsidP="0047187F">
            <w:pPr>
              <w:pStyle w:val="Tabletext"/>
              <w:rPr>
                <w:sz w:val="15"/>
                <w:szCs w:val="15"/>
              </w:rPr>
            </w:pPr>
            <w:r w:rsidRPr="00152E26">
              <w:rPr>
                <w:sz w:val="15"/>
                <w:szCs w:val="15"/>
              </w:rPr>
              <w:t>Partly variable</w:t>
            </w:r>
          </w:p>
        </w:tc>
        <w:tc>
          <w:tcPr>
            <w:tcW w:w="1134" w:type="dxa"/>
          </w:tcPr>
          <w:p w:rsidR="00B4218D" w:rsidRPr="00152E26" w:rsidRDefault="00B4218D" w:rsidP="0047187F">
            <w:pPr>
              <w:pStyle w:val="Tabletext"/>
              <w:rPr>
                <w:sz w:val="15"/>
                <w:szCs w:val="15"/>
              </w:rPr>
            </w:pPr>
            <w:r w:rsidRPr="00152E26">
              <w:rPr>
                <w:sz w:val="15"/>
                <w:szCs w:val="15"/>
              </w:rPr>
              <w:t>Capped places</w:t>
            </w:r>
          </w:p>
        </w:tc>
      </w:tr>
      <w:tr w:rsidR="00DF6EBE" w:rsidRPr="00152E26" w:rsidTr="00A15F77">
        <w:tc>
          <w:tcPr>
            <w:tcW w:w="1242" w:type="dxa"/>
          </w:tcPr>
          <w:p w:rsidR="00DF6EBE" w:rsidRPr="00152E26" w:rsidRDefault="00DF6EBE" w:rsidP="007E734F">
            <w:pPr>
              <w:pStyle w:val="Tabletext"/>
              <w:rPr>
                <w:sz w:val="15"/>
                <w:szCs w:val="15"/>
              </w:rPr>
            </w:pPr>
            <w:r w:rsidRPr="00152E26">
              <w:rPr>
                <w:sz w:val="15"/>
                <w:szCs w:val="15"/>
              </w:rPr>
              <w:t xml:space="preserve">Australian Capital Territory </w:t>
            </w:r>
            <w:r w:rsidR="001D41AD" w:rsidRPr="00152E26">
              <w:rPr>
                <w:sz w:val="15"/>
                <w:szCs w:val="15"/>
              </w:rPr>
              <w:t>– Skilled Capital</w:t>
            </w:r>
          </w:p>
        </w:tc>
        <w:tc>
          <w:tcPr>
            <w:tcW w:w="4536" w:type="dxa"/>
          </w:tcPr>
          <w:p w:rsidR="00DF6EBE" w:rsidRPr="00152E26" w:rsidRDefault="00DF6EBE" w:rsidP="007E734F">
            <w:pPr>
              <w:pStyle w:val="Tabletext"/>
              <w:rPr>
                <w:sz w:val="15"/>
                <w:szCs w:val="15"/>
              </w:rPr>
            </w:pPr>
            <w:r w:rsidRPr="00152E26">
              <w:rPr>
                <w:sz w:val="15"/>
                <w:szCs w:val="15"/>
              </w:rPr>
              <w:t>Post-school students, regardless of age and previous education level, and to one entitlement course at a time</w:t>
            </w:r>
          </w:p>
        </w:tc>
        <w:tc>
          <w:tcPr>
            <w:tcW w:w="4650" w:type="dxa"/>
          </w:tcPr>
          <w:p w:rsidR="00DF6EBE" w:rsidRPr="00152E26" w:rsidRDefault="00DF6EBE" w:rsidP="007E734F">
            <w:pPr>
              <w:pStyle w:val="Tabletext"/>
              <w:rPr>
                <w:sz w:val="15"/>
                <w:szCs w:val="15"/>
              </w:rPr>
            </w:pPr>
            <w:r w:rsidRPr="00152E26">
              <w:rPr>
                <w:sz w:val="15"/>
                <w:szCs w:val="15"/>
              </w:rPr>
              <w:t>The entitlement is embedded in a new contestable entitlement program open to approved private providers only and is also obtainable through the public provider and the uncontested training appropriations it receives from the government.</w:t>
            </w:r>
          </w:p>
        </w:tc>
        <w:tc>
          <w:tcPr>
            <w:tcW w:w="1020" w:type="dxa"/>
          </w:tcPr>
          <w:p w:rsidR="00DF6EBE" w:rsidRPr="00152E26" w:rsidRDefault="00B4218D" w:rsidP="007E734F">
            <w:pPr>
              <w:pStyle w:val="Tabletext"/>
              <w:rPr>
                <w:sz w:val="15"/>
                <w:szCs w:val="15"/>
              </w:rPr>
            </w:pPr>
            <w:r w:rsidRPr="00152E26">
              <w:rPr>
                <w:sz w:val="15"/>
                <w:szCs w:val="15"/>
              </w:rPr>
              <w:t>Variable – 3 bands</w:t>
            </w:r>
          </w:p>
        </w:tc>
        <w:tc>
          <w:tcPr>
            <w:tcW w:w="1134" w:type="dxa"/>
          </w:tcPr>
          <w:p w:rsidR="00DF6EBE" w:rsidRPr="00152E26" w:rsidRDefault="00B4218D" w:rsidP="007E734F">
            <w:pPr>
              <w:pStyle w:val="Tabletext"/>
              <w:rPr>
                <w:sz w:val="15"/>
                <w:szCs w:val="15"/>
              </w:rPr>
            </w:pPr>
            <w:r w:rsidRPr="00152E26">
              <w:rPr>
                <w:sz w:val="15"/>
                <w:szCs w:val="15"/>
              </w:rPr>
              <w:t>Semi-deregulated</w:t>
            </w:r>
          </w:p>
        </w:tc>
        <w:tc>
          <w:tcPr>
            <w:tcW w:w="851" w:type="dxa"/>
          </w:tcPr>
          <w:p w:rsidR="00DF6EBE" w:rsidRPr="00152E26" w:rsidRDefault="00B4218D" w:rsidP="007E734F">
            <w:pPr>
              <w:pStyle w:val="Tabletext"/>
              <w:rPr>
                <w:sz w:val="15"/>
                <w:szCs w:val="15"/>
              </w:rPr>
            </w:pPr>
            <w:r w:rsidRPr="00152E26">
              <w:rPr>
                <w:sz w:val="15"/>
                <w:szCs w:val="15"/>
              </w:rPr>
              <w:t>Variable</w:t>
            </w:r>
          </w:p>
        </w:tc>
        <w:tc>
          <w:tcPr>
            <w:tcW w:w="1134" w:type="dxa"/>
          </w:tcPr>
          <w:p w:rsidR="00DF6EBE" w:rsidRPr="00152E26" w:rsidRDefault="00B4218D" w:rsidP="007E734F">
            <w:pPr>
              <w:pStyle w:val="Tabletext"/>
              <w:rPr>
                <w:sz w:val="15"/>
                <w:szCs w:val="15"/>
              </w:rPr>
            </w:pPr>
            <w:r w:rsidRPr="00152E26">
              <w:rPr>
                <w:sz w:val="15"/>
                <w:szCs w:val="15"/>
              </w:rPr>
              <w:t>Capped places</w:t>
            </w:r>
          </w:p>
        </w:tc>
      </w:tr>
      <w:tr w:rsidR="00DF6EBE" w:rsidRPr="00152E26" w:rsidTr="00A15F77">
        <w:tc>
          <w:tcPr>
            <w:tcW w:w="1242" w:type="dxa"/>
            <w:tcBorders>
              <w:bottom w:val="single" w:sz="4" w:space="0" w:color="auto"/>
            </w:tcBorders>
          </w:tcPr>
          <w:p w:rsidR="00DF6EBE" w:rsidRPr="00152E26" w:rsidRDefault="00DF6EBE" w:rsidP="007E734F">
            <w:pPr>
              <w:pStyle w:val="Tabletext"/>
              <w:rPr>
                <w:sz w:val="15"/>
                <w:szCs w:val="15"/>
              </w:rPr>
            </w:pPr>
            <w:r w:rsidRPr="00152E26">
              <w:rPr>
                <w:sz w:val="15"/>
                <w:szCs w:val="15"/>
              </w:rPr>
              <w:t xml:space="preserve">New South Wales </w:t>
            </w:r>
            <w:r w:rsidR="001D41AD" w:rsidRPr="00152E26">
              <w:rPr>
                <w:sz w:val="15"/>
                <w:szCs w:val="15"/>
              </w:rPr>
              <w:t>– Smart and Skilled</w:t>
            </w:r>
          </w:p>
        </w:tc>
        <w:tc>
          <w:tcPr>
            <w:tcW w:w="4536" w:type="dxa"/>
            <w:tcBorders>
              <w:bottom w:val="single" w:sz="4" w:space="0" w:color="auto"/>
            </w:tcBorders>
          </w:tcPr>
          <w:p w:rsidR="00DF6EBE" w:rsidRPr="00152E26" w:rsidRDefault="00DF6EBE" w:rsidP="007E734F">
            <w:pPr>
              <w:pStyle w:val="Tabletext"/>
              <w:rPr>
                <w:sz w:val="15"/>
                <w:szCs w:val="15"/>
              </w:rPr>
            </w:pPr>
            <w:r w:rsidRPr="00152E26">
              <w:rPr>
                <w:sz w:val="15"/>
                <w:szCs w:val="15"/>
              </w:rPr>
              <w:t>Post-school students not holding a previous certificate IV or higher and for a first certificate III, and a second certificate III or higher at a lower subsidy rate for those who already have a certificate III</w:t>
            </w:r>
          </w:p>
        </w:tc>
        <w:tc>
          <w:tcPr>
            <w:tcW w:w="4650" w:type="dxa"/>
            <w:tcBorders>
              <w:bottom w:val="single" w:sz="4" w:space="0" w:color="auto"/>
            </w:tcBorders>
          </w:tcPr>
          <w:p w:rsidR="00DF6EBE" w:rsidRPr="00152E26" w:rsidRDefault="00DF6EBE" w:rsidP="007E734F">
            <w:pPr>
              <w:pStyle w:val="Tabletext"/>
              <w:rPr>
                <w:sz w:val="15"/>
                <w:szCs w:val="15"/>
              </w:rPr>
            </w:pPr>
            <w:r w:rsidRPr="00152E26">
              <w:rPr>
                <w:sz w:val="15"/>
                <w:szCs w:val="15"/>
              </w:rPr>
              <w:t>The entitlement is one discrete publicly subsidised program of several that complement each other within a new contestable funding model. NSW TAFEs still receive uncontested training appropriations.</w:t>
            </w:r>
          </w:p>
        </w:tc>
        <w:tc>
          <w:tcPr>
            <w:tcW w:w="1020" w:type="dxa"/>
            <w:tcBorders>
              <w:bottom w:val="single" w:sz="4" w:space="0" w:color="auto"/>
            </w:tcBorders>
          </w:tcPr>
          <w:p w:rsidR="00DF6EBE" w:rsidRPr="00152E26" w:rsidRDefault="00B4218D" w:rsidP="007E734F">
            <w:pPr>
              <w:pStyle w:val="Tabletext"/>
              <w:rPr>
                <w:sz w:val="15"/>
                <w:szCs w:val="15"/>
              </w:rPr>
            </w:pPr>
            <w:r w:rsidRPr="00152E26">
              <w:rPr>
                <w:sz w:val="15"/>
                <w:szCs w:val="15"/>
              </w:rPr>
              <w:t>Variable</w:t>
            </w:r>
          </w:p>
        </w:tc>
        <w:tc>
          <w:tcPr>
            <w:tcW w:w="1134" w:type="dxa"/>
            <w:tcBorders>
              <w:bottom w:val="single" w:sz="4" w:space="0" w:color="auto"/>
            </w:tcBorders>
          </w:tcPr>
          <w:p w:rsidR="00DF6EBE" w:rsidRPr="00152E26" w:rsidRDefault="00B4218D" w:rsidP="007E734F">
            <w:pPr>
              <w:pStyle w:val="Tabletext"/>
              <w:rPr>
                <w:sz w:val="15"/>
                <w:szCs w:val="15"/>
              </w:rPr>
            </w:pPr>
            <w:r w:rsidRPr="00152E26">
              <w:rPr>
                <w:sz w:val="15"/>
                <w:szCs w:val="15"/>
              </w:rPr>
              <w:t>Fixed</w:t>
            </w:r>
          </w:p>
        </w:tc>
        <w:tc>
          <w:tcPr>
            <w:tcW w:w="851" w:type="dxa"/>
            <w:tcBorders>
              <w:bottom w:val="single" w:sz="4" w:space="0" w:color="auto"/>
            </w:tcBorders>
          </w:tcPr>
          <w:p w:rsidR="00DF6EBE" w:rsidRPr="00152E26" w:rsidRDefault="00B4218D" w:rsidP="007E734F">
            <w:pPr>
              <w:pStyle w:val="Tabletext"/>
              <w:rPr>
                <w:sz w:val="15"/>
                <w:szCs w:val="15"/>
              </w:rPr>
            </w:pPr>
            <w:r w:rsidRPr="00152E26">
              <w:rPr>
                <w:sz w:val="15"/>
                <w:szCs w:val="15"/>
              </w:rPr>
              <w:t>Fixed</w:t>
            </w:r>
          </w:p>
        </w:tc>
        <w:tc>
          <w:tcPr>
            <w:tcW w:w="1134" w:type="dxa"/>
            <w:tcBorders>
              <w:bottom w:val="single" w:sz="4" w:space="0" w:color="auto"/>
            </w:tcBorders>
          </w:tcPr>
          <w:p w:rsidR="00DF6EBE" w:rsidRPr="00152E26" w:rsidRDefault="00B4218D" w:rsidP="007E734F">
            <w:pPr>
              <w:pStyle w:val="Tabletext"/>
              <w:rPr>
                <w:sz w:val="15"/>
                <w:szCs w:val="15"/>
              </w:rPr>
            </w:pPr>
            <w:r w:rsidRPr="00152E26">
              <w:rPr>
                <w:sz w:val="15"/>
                <w:szCs w:val="15"/>
              </w:rPr>
              <w:t>Capped places</w:t>
            </w:r>
          </w:p>
        </w:tc>
      </w:tr>
    </w:tbl>
    <w:p w:rsidR="007E734F" w:rsidRPr="007E734F" w:rsidRDefault="007E734F" w:rsidP="007E734F">
      <w:pPr>
        <w:pStyle w:val="Source"/>
        <w:sectPr w:rsidR="007E734F" w:rsidRPr="007E734F" w:rsidSect="007E734F">
          <w:footerReference w:type="default" r:id="rId63"/>
          <w:pgSz w:w="16840" w:h="11907" w:orient="landscape" w:code="9"/>
          <w:pgMar w:top="1418" w:right="1276" w:bottom="2552" w:left="1276" w:header="709" w:footer="556" w:gutter="0"/>
          <w:cols w:space="708"/>
          <w:docGrid w:linePitch="360"/>
        </w:sectPr>
      </w:pPr>
      <w:r>
        <w:t xml:space="preserve">Source: </w:t>
      </w:r>
      <w:r w:rsidR="00B4218D">
        <w:t xml:space="preserve">Reproduced from </w:t>
      </w:r>
      <w:r>
        <w:t xml:space="preserve">Bowman, McKenna </w:t>
      </w:r>
      <w:r w:rsidR="0014592C">
        <w:t>&amp;</w:t>
      </w:r>
      <w:r>
        <w:t xml:space="preserve"> Griffin </w:t>
      </w:r>
      <w:r w:rsidR="009C3E37">
        <w:t>(</w:t>
      </w:r>
      <w:r>
        <w:t>2016</w:t>
      </w:r>
      <w:r w:rsidR="009C3E37">
        <w:t>).</w:t>
      </w:r>
    </w:p>
    <w:p w:rsidR="00B44ED4" w:rsidRPr="00B44ED4" w:rsidRDefault="00890D79" w:rsidP="002A175A">
      <w:pPr>
        <w:pStyle w:val="Heading4"/>
      </w:pPr>
      <w:r w:rsidRPr="00B44ED4">
        <w:lastRenderedPageBreak/>
        <w:t xml:space="preserve">Victoria </w:t>
      </w:r>
    </w:p>
    <w:p w:rsidR="00B44ED4" w:rsidRDefault="000774CC" w:rsidP="00B44ED4">
      <w:pPr>
        <w:pStyle w:val="Text"/>
      </w:pPr>
      <w:r>
        <w:t xml:space="preserve">In 2009 </w:t>
      </w:r>
      <w:r w:rsidR="00B44ED4">
        <w:t xml:space="preserve">Victoria </w:t>
      </w:r>
      <w:r>
        <w:t>became</w:t>
      </w:r>
      <w:r w:rsidR="00890D79">
        <w:t xml:space="preserve"> the first state to introduce an entitlement model</w:t>
      </w:r>
      <w:r>
        <w:t>,</w:t>
      </w:r>
      <w:r w:rsidR="00890D79">
        <w:t xml:space="preserve"> </w:t>
      </w:r>
      <w:r w:rsidR="00B44ED4">
        <w:t>called the Victorian Training Guarantee</w:t>
      </w:r>
      <w:r w:rsidR="00C22FB7">
        <w:t xml:space="preserve">, with the aim </w:t>
      </w:r>
      <w:r>
        <w:t>of creating</w:t>
      </w:r>
      <w:r w:rsidR="00C22FB7">
        <w:t xml:space="preserve"> a more market-based system.</w:t>
      </w:r>
      <w:r w:rsidR="00890D79">
        <w:t xml:space="preserve"> </w:t>
      </w:r>
      <w:r w:rsidR="00B44ED4">
        <w:t>The</w:t>
      </w:r>
      <w:r w:rsidR="0049044D">
        <w:t xml:space="preserve"> original entitlement </w:t>
      </w:r>
      <w:r w:rsidR="00B44ED4">
        <w:t>model operated between July 2009 and January 2011 and consisted of bro</w:t>
      </w:r>
      <w:r w:rsidR="008407CA">
        <w:t>ad student eligibility criteria,</w:t>
      </w:r>
      <w:r w:rsidR="00B44ED4">
        <w:t xml:space="preserve"> uncapped training places for those</w:t>
      </w:r>
      <w:r w:rsidR="00824BC8">
        <w:t xml:space="preserve"> who were eligible</w:t>
      </w:r>
      <w:r w:rsidR="00BF7294">
        <w:t>,</w:t>
      </w:r>
      <w:r w:rsidR="00B44ED4">
        <w:t xml:space="preserve"> a</w:t>
      </w:r>
      <w:r w:rsidR="00824BC8">
        <w:t>nd a</w:t>
      </w:r>
      <w:r w:rsidR="00B44ED4">
        <w:t xml:space="preserve"> wide </w:t>
      </w:r>
      <w:r w:rsidR="00824BC8">
        <w:t>range of courses.</w:t>
      </w:r>
      <w:r w:rsidR="00B44ED4">
        <w:t xml:space="preserve"> </w:t>
      </w:r>
      <w:r w:rsidR="00824BC8">
        <w:t xml:space="preserve">While TAFEs were paid a higher rate per paid hour </w:t>
      </w:r>
      <w:r w:rsidR="00997EBC">
        <w:t>than</w:t>
      </w:r>
      <w:r w:rsidR="00824BC8">
        <w:t xml:space="preserve"> other providers, there was </w:t>
      </w:r>
      <w:r w:rsidR="00B44ED4">
        <w:t xml:space="preserve">full contestability between public and private </w:t>
      </w:r>
      <w:r w:rsidR="00824BC8">
        <w:t>RTO</w:t>
      </w:r>
      <w:r w:rsidR="00AB1B3A">
        <w:t xml:space="preserve">s </w:t>
      </w:r>
      <w:r w:rsidR="00824BC8">
        <w:t>a</w:t>
      </w:r>
      <w:r w:rsidR="00B44ED4">
        <w:t xml:space="preserve">nd greater flexibility for all </w:t>
      </w:r>
      <w:r w:rsidR="00824BC8">
        <w:t>RTOs</w:t>
      </w:r>
      <w:r w:rsidR="00B44ED4">
        <w:t xml:space="preserve"> to set course fees</w:t>
      </w:r>
      <w:r w:rsidR="009A69CC">
        <w:t xml:space="preserve"> (Bowman &amp; McKenna 2016</w:t>
      </w:r>
      <w:r w:rsidR="00824BC8">
        <w:t>)</w:t>
      </w:r>
      <w:r w:rsidR="00B44ED4">
        <w:t xml:space="preserve">. </w:t>
      </w:r>
    </w:p>
    <w:p w:rsidR="00610AB5" w:rsidRDefault="00B44ED4" w:rsidP="00B44ED4">
      <w:pPr>
        <w:pStyle w:val="Text"/>
      </w:pPr>
      <w:r>
        <w:t xml:space="preserve">As the first ‘experimental’ model, </w:t>
      </w:r>
      <w:r w:rsidR="00824BC8">
        <w:t xml:space="preserve">the Victorian student demand-driven and competitive system led to </w:t>
      </w:r>
      <w:r>
        <w:t>rapid growth in</w:t>
      </w:r>
      <w:r w:rsidR="009A69CC">
        <w:t xml:space="preserve"> VET enrolments (</w:t>
      </w:r>
      <w:r w:rsidR="009A69CC" w:rsidRPr="00AC76A9">
        <w:t>see figure</w:t>
      </w:r>
      <w:r w:rsidR="00BF7294">
        <w:t xml:space="preserve"> </w:t>
      </w:r>
      <w:r w:rsidR="00AC76A9" w:rsidRPr="00AC76A9">
        <w:t>19</w:t>
      </w:r>
      <w:r w:rsidR="00824BC8" w:rsidRPr="00AC76A9">
        <w:t>).</w:t>
      </w:r>
      <w:r w:rsidR="000774CC">
        <w:t xml:space="preserve"> Leung et al. (2014) fou</w:t>
      </w:r>
      <w:r w:rsidR="00D4457E">
        <w:t>nd</w:t>
      </w:r>
      <w:r w:rsidR="00D4457E" w:rsidRPr="00D4457E">
        <w:t xml:space="preserve"> that, between 2008 (pre-reform) and 2011 (post-reform), the Victorian Training Guarantee was estimated to have led to a 35-percentage-point growth in enrolments,</w:t>
      </w:r>
      <w:r w:rsidR="00C22FB7">
        <w:t xml:space="preserve"> an</w:t>
      </w:r>
      <w:r w:rsidR="00D4457E">
        <w:t xml:space="preserve"> </w:t>
      </w:r>
      <w:r w:rsidR="00D4457E" w:rsidRPr="00D4457E">
        <w:t xml:space="preserve">increase far greater than </w:t>
      </w:r>
      <w:r w:rsidR="002A175A">
        <w:t>those</w:t>
      </w:r>
      <w:r w:rsidR="00D4457E" w:rsidRPr="00D4457E">
        <w:t xml:space="preserve"> occurr</w:t>
      </w:r>
      <w:r w:rsidR="00D4457E">
        <w:t>ing</w:t>
      </w:r>
      <w:r w:rsidR="00D4457E" w:rsidRPr="00D4457E">
        <w:t xml:space="preserve"> in other </w:t>
      </w:r>
      <w:r w:rsidR="00610AB5">
        <w:t>jurisdictions</w:t>
      </w:r>
      <w:r w:rsidR="000774CC">
        <w:t xml:space="preserve"> (figure </w:t>
      </w:r>
      <w:r w:rsidR="007D7C38">
        <w:t>19</w:t>
      </w:r>
      <w:r w:rsidR="000774CC">
        <w:t>)</w:t>
      </w:r>
      <w:r w:rsidR="00610AB5">
        <w:t>, with</w:t>
      </w:r>
      <w:r w:rsidR="00D4457E" w:rsidRPr="00D4457E">
        <w:t xml:space="preserve"> </w:t>
      </w:r>
      <w:r w:rsidR="00610AB5">
        <w:t>m</w:t>
      </w:r>
      <w:r w:rsidR="00D4457E">
        <w:t xml:space="preserve">uch of this </w:t>
      </w:r>
      <w:r w:rsidR="00D4457E" w:rsidRPr="00D4457E">
        <w:t xml:space="preserve">growth </w:t>
      </w:r>
      <w:r w:rsidR="000774CC">
        <w:t>occurring</w:t>
      </w:r>
      <w:r w:rsidR="00D4457E">
        <w:t xml:space="preserve"> </w:t>
      </w:r>
      <w:r w:rsidR="00D4457E" w:rsidRPr="00D4457E">
        <w:t>in private providers</w:t>
      </w:r>
      <w:r w:rsidR="00D4457E">
        <w:t>.</w:t>
      </w:r>
      <w:r w:rsidR="00D4457E" w:rsidRPr="00D4457E">
        <w:t xml:space="preserve"> </w:t>
      </w:r>
      <w:r w:rsidR="00610AB5">
        <w:t>The rapid growth halted from 2012 onwards</w:t>
      </w:r>
      <w:r w:rsidR="000774CC">
        <w:t>,</w:t>
      </w:r>
      <w:r w:rsidR="00610AB5">
        <w:t xml:space="preserve"> when the initial model was reformed. </w:t>
      </w:r>
      <w:r w:rsidR="00F27EFE">
        <w:t>This</w:t>
      </w:r>
      <w:r w:rsidR="000E299C">
        <w:t xml:space="preserve"> is also highlighted in figure </w:t>
      </w:r>
      <w:r w:rsidR="007D7C38">
        <w:t>20</w:t>
      </w:r>
      <w:r w:rsidR="00F27EFE">
        <w:t xml:space="preserve">, </w:t>
      </w:r>
      <w:r w:rsidR="000774CC">
        <w:t xml:space="preserve">which </w:t>
      </w:r>
      <w:r w:rsidR="00F27EFE">
        <w:t>show</w:t>
      </w:r>
      <w:r w:rsidR="000774CC">
        <w:t>s</w:t>
      </w:r>
      <w:r w:rsidR="00F27EFE">
        <w:t xml:space="preserve"> trends in enrolments for certificate III/IV qualifications since 2009 (as a p</w:t>
      </w:r>
      <w:r w:rsidR="00BF7294">
        <w:t>roportion of the labour force). T</w:t>
      </w:r>
      <w:r w:rsidR="008416B7">
        <w:t xml:space="preserve">he </w:t>
      </w:r>
      <w:r w:rsidR="000E299C" w:rsidRPr="000E299C">
        <w:t>model is</w:t>
      </w:r>
      <w:r w:rsidR="00F27EFE" w:rsidRPr="000E299C">
        <w:t xml:space="preserve"> largely </w:t>
      </w:r>
      <w:r w:rsidR="00BF7294">
        <w:t>intended to increase</w:t>
      </w:r>
      <w:r w:rsidR="007A3E8D">
        <w:t xml:space="preserve"> </w:t>
      </w:r>
      <w:r w:rsidR="000E299C" w:rsidRPr="000E299C">
        <w:t xml:space="preserve">participation in </w:t>
      </w:r>
      <w:r w:rsidR="00F27EFE" w:rsidRPr="000E299C">
        <w:t>these qualification levels.</w:t>
      </w:r>
      <w:r w:rsidR="005C022C">
        <w:t xml:space="preserve"> </w:t>
      </w:r>
    </w:p>
    <w:p w:rsidR="00466192" w:rsidRDefault="00D4457E" w:rsidP="00B44ED4">
      <w:pPr>
        <w:pStyle w:val="Text"/>
      </w:pPr>
      <w:r>
        <w:t xml:space="preserve">While the </w:t>
      </w:r>
      <w:r w:rsidR="00824BC8">
        <w:t>benefits</w:t>
      </w:r>
      <w:r>
        <w:t xml:space="preserve"> of this</w:t>
      </w:r>
      <w:r w:rsidR="00610AB5">
        <w:t xml:space="preserve"> growth</w:t>
      </w:r>
      <w:r w:rsidR="00824BC8">
        <w:t xml:space="preserve"> included </w:t>
      </w:r>
      <w:r w:rsidR="000774CC">
        <w:t>the capacity to address</w:t>
      </w:r>
      <w:r w:rsidR="00B44ED4">
        <w:t xml:space="preserve"> </w:t>
      </w:r>
      <w:r w:rsidR="00824BC8">
        <w:t xml:space="preserve">skills shortage areas and </w:t>
      </w:r>
      <w:r w:rsidR="007A3E8D">
        <w:t>the creation of</w:t>
      </w:r>
      <w:r w:rsidR="00824BC8">
        <w:t xml:space="preserve"> providers</w:t>
      </w:r>
      <w:r w:rsidR="007A3E8D">
        <w:t xml:space="preserve"> who are more responsive to students and employers</w:t>
      </w:r>
      <w:r>
        <w:t>,</w:t>
      </w:r>
      <w:r w:rsidR="00B44ED4">
        <w:t xml:space="preserve"> </w:t>
      </w:r>
      <w:r>
        <w:t>Bowman and McKenna</w:t>
      </w:r>
      <w:r w:rsidR="009A69CC">
        <w:t xml:space="preserve"> (2016</w:t>
      </w:r>
      <w:r w:rsidR="00466192">
        <w:t>)</w:t>
      </w:r>
      <w:r>
        <w:t xml:space="preserve"> argue</w:t>
      </w:r>
      <w:r w:rsidR="00466192">
        <w:t xml:space="preserve"> </w:t>
      </w:r>
      <w:r w:rsidR="00B44ED4">
        <w:t xml:space="preserve">there were </w:t>
      </w:r>
      <w:r>
        <w:t xml:space="preserve">also </w:t>
      </w:r>
      <w:r w:rsidR="00B44ED4">
        <w:t>some unintend</w:t>
      </w:r>
      <w:r w:rsidR="00466192">
        <w:t>ed and detrimental consequences to these reforms. These include:</w:t>
      </w:r>
    </w:p>
    <w:p w:rsidR="00466192" w:rsidRDefault="00974A2D" w:rsidP="00112623">
      <w:pPr>
        <w:pStyle w:val="Dotpoint1"/>
      </w:pPr>
      <w:r>
        <w:t>b</w:t>
      </w:r>
      <w:r w:rsidR="00B44ED4">
        <w:t xml:space="preserve">udget </w:t>
      </w:r>
      <w:r w:rsidR="00445BEB">
        <w:t>over</w:t>
      </w:r>
      <w:r w:rsidR="00D11831">
        <w:t>-</w:t>
      </w:r>
      <w:r w:rsidR="00445BEB">
        <w:t>run</w:t>
      </w:r>
      <w:r w:rsidR="00466192">
        <w:t>s</w:t>
      </w:r>
      <w:r w:rsidR="00B44ED4">
        <w:t xml:space="preserve"> as student demand and</w:t>
      </w:r>
      <w:r w:rsidR="00466192">
        <w:t xml:space="preserve"> places outpaced available funds</w:t>
      </w:r>
    </w:p>
    <w:p w:rsidR="00550A8B" w:rsidRDefault="00974A2D" w:rsidP="00112623">
      <w:pPr>
        <w:pStyle w:val="Dotpoint1"/>
      </w:pPr>
      <w:r>
        <w:t>m</w:t>
      </w:r>
      <w:r w:rsidR="00484048">
        <w:t>ismatch between</w:t>
      </w:r>
      <w:r w:rsidR="00B44ED4">
        <w:t xml:space="preserve"> </w:t>
      </w:r>
      <w:r>
        <w:t xml:space="preserve">growth in </w:t>
      </w:r>
      <w:r w:rsidR="00484048">
        <w:t>s</w:t>
      </w:r>
      <w:r w:rsidR="00B44ED4">
        <w:t xml:space="preserve">ome areas of training </w:t>
      </w:r>
      <w:r w:rsidR="00484048">
        <w:t xml:space="preserve">and </w:t>
      </w:r>
      <w:r w:rsidR="00B44ED4">
        <w:t>the</w:t>
      </w:r>
      <w:r w:rsidR="00484048">
        <w:t xml:space="preserve"> act</w:t>
      </w:r>
      <w:r w:rsidR="00550A8B">
        <w:t>ual skills needs of businesses</w:t>
      </w:r>
    </w:p>
    <w:p w:rsidR="00EE4C1A" w:rsidRDefault="00974A2D" w:rsidP="00112623">
      <w:pPr>
        <w:pStyle w:val="Dotpoint1"/>
      </w:pPr>
      <w:r>
        <w:t xml:space="preserve">issues </w:t>
      </w:r>
      <w:r w:rsidR="00B264DA">
        <w:t>with training providers</w:t>
      </w:r>
      <w:r w:rsidR="00B44ED4">
        <w:t xml:space="preserve"> who did not aspire to deliver high-</w:t>
      </w:r>
      <w:r w:rsidR="00B264DA">
        <w:t xml:space="preserve">quality training and </w:t>
      </w:r>
      <w:r w:rsidR="00B44ED4">
        <w:t>manipulated the system for their own financial gain, delivering onl</w:t>
      </w:r>
      <w:r w:rsidR="00997EBC">
        <w:t>y limited benefits for students</w:t>
      </w:r>
    </w:p>
    <w:p w:rsidR="00B44ED4" w:rsidRDefault="00974A2D" w:rsidP="00112623">
      <w:pPr>
        <w:pStyle w:val="Dotpoint1"/>
      </w:pPr>
      <w:proofErr w:type="gramStart"/>
      <w:r>
        <w:t>d</w:t>
      </w:r>
      <w:r w:rsidR="00EE4C1A">
        <w:t>ecreasing</w:t>
      </w:r>
      <w:proofErr w:type="gramEnd"/>
      <w:r w:rsidR="00B44ED4">
        <w:t xml:space="preserve"> </w:t>
      </w:r>
      <w:r w:rsidR="00EE4C1A">
        <w:t>course subsidy rates and market share for TAFEs</w:t>
      </w:r>
      <w:r>
        <w:t>,</w:t>
      </w:r>
      <w:r w:rsidR="00B44ED4">
        <w:t xml:space="preserve"> result</w:t>
      </w:r>
      <w:r w:rsidR="00EE4C1A">
        <w:t>ing in</w:t>
      </w:r>
      <w:r w:rsidR="00B44ED4">
        <w:t xml:space="preserve"> TAFE job losses, course cuts an</w:t>
      </w:r>
      <w:r w:rsidR="00EE4C1A">
        <w:t>d campus and facility closures.</w:t>
      </w:r>
    </w:p>
    <w:p w:rsidR="00112623" w:rsidRDefault="002B0BC7" w:rsidP="00D00EBB">
      <w:pPr>
        <w:pStyle w:val="Text"/>
      </w:pPr>
      <w:r w:rsidRPr="00415C47">
        <w:t xml:space="preserve">To </w:t>
      </w:r>
      <w:r w:rsidR="000774CC">
        <w:t>address</w:t>
      </w:r>
      <w:r w:rsidRPr="00E04207">
        <w:t xml:space="preserve"> these unintended consequences, Victoria has reformed the entitlement model over the past few years. This has included adjusting subsidies, altering the eligibility criteria</w:t>
      </w:r>
      <w:r w:rsidR="00974A2D" w:rsidRPr="00E04207">
        <w:t xml:space="preserve"> </w:t>
      </w:r>
      <w:r w:rsidR="00805848" w:rsidRPr="00E04207">
        <w:t xml:space="preserve">of </w:t>
      </w:r>
      <w:r w:rsidR="00586218">
        <w:t xml:space="preserve">the </w:t>
      </w:r>
      <w:r w:rsidR="00805848" w:rsidRPr="00E04207">
        <w:t>course</w:t>
      </w:r>
      <w:r w:rsidR="00E04207" w:rsidRPr="00E04207">
        <w:t xml:space="preserve">s </w:t>
      </w:r>
      <w:r w:rsidR="00805848" w:rsidRPr="00E04207">
        <w:t>students can undertake</w:t>
      </w:r>
      <w:r w:rsidRPr="00E04207">
        <w:t xml:space="preserve"> </w:t>
      </w:r>
      <w:r w:rsidR="00B44ED4" w:rsidRPr="00E04207">
        <w:t xml:space="preserve">and tightening </w:t>
      </w:r>
      <w:r w:rsidR="00415C47" w:rsidRPr="00E04207">
        <w:t xml:space="preserve">the </w:t>
      </w:r>
      <w:r w:rsidR="00B44ED4" w:rsidRPr="00E04207">
        <w:t xml:space="preserve">contractual requirements for </w:t>
      </w:r>
      <w:r w:rsidR="00BF7294">
        <w:t>RTOs</w:t>
      </w:r>
      <w:r w:rsidR="003A4381" w:rsidRPr="00E04207">
        <w:t xml:space="preserve"> and </w:t>
      </w:r>
      <w:r w:rsidR="00997EBC">
        <w:t xml:space="preserve">the </w:t>
      </w:r>
      <w:r w:rsidR="003A4381" w:rsidRPr="00E04207">
        <w:t>processes</w:t>
      </w:r>
      <w:r w:rsidR="00415C47" w:rsidRPr="00E04207">
        <w:t xml:space="preserve"> for their entry into the market</w:t>
      </w:r>
      <w:r w:rsidR="00550A8B" w:rsidRPr="00E04207">
        <w:t xml:space="preserve">. </w:t>
      </w:r>
    </w:p>
    <w:p w:rsidR="00E50A01" w:rsidRDefault="00550A8B" w:rsidP="00D00EBB">
      <w:pPr>
        <w:pStyle w:val="Text"/>
      </w:pPr>
      <w:r w:rsidRPr="00E04207">
        <w:t xml:space="preserve">More detailed information about the </w:t>
      </w:r>
      <w:r w:rsidR="00FC0039" w:rsidRPr="00E04207">
        <w:t xml:space="preserve">reform of </w:t>
      </w:r>
      <w:r w:rsidRPr="00E04207">
        <w:t xml:space="preserve">Victorian Training Guarantee can be found </w:t>
      </w:r>
      <w:r w:rsidR="00443E29">
        <w:t xml:space="preserve">in the Victorian </w:t>
      </w:r>
      <w:r w:rsidR="00D00EBB" w:rsidRPr="00E04207">
        <w:t xml:space="preserve">Department of Education and Early Childhood Development </w:t>
      </w:r>
      <w:r w:rsidR="000774CC">
        <w:t>(</w:t>
      </w:r>
      <w:r w:rsidR="00D00EBB" w:rsidRPr="00E04207">
        <w:t>2013</w:t>
      </w:r>
      <w:r w:rsidR="000774CC">
        <w:t>)</w:t>
      </w:r>
      <w:r w:rsidR="00974A2D" w:rsidRPr="00E04207">
        <w:t xml:space="preserve"> </w:t>
      </w:r>
      <w:r w:rsidR="00D11831">
        <w:t xml:space="preserve">publication </w:t>
      </w:r>
      <w:r w:rsidR="00974A2D" w:rsidRPr="00E04207">
        <w:t>and further</w:t>
      </w:r>
      <w:r w:rsidR="000774CC">
        <w:t xml:space="preserve"> analyse</w:t>
      </w:r>
      <w:r w:rsidR="00FC0039" w:rsidRPr="00E04207">
        <w:t xml:space="preserve">s of the reforms can be found in </w:t>
      </w:r>
      <w:r w:rsidR="00914CFA" w:rsidRPr="00E04207">
        <w:t xml:space="preserve">Bowman </w:t>
      </w:r>
      <w:r w:rsidR="000774CC">
        <w:t>and</w:t>
      </w:r>
      <w:r w:rsidR="00914CFA" w:rsidRPr="00E04207">
        <w:t xml:space="preserve"> McKenna </w:t>
      </w:r>
      <w:r w:rsidRPr="00E04207">
        <w:t>(</w:t>
      </w:r>
      <w:r w:rsidR="009A69CC" w:rsidRPr="00E04207">
        <w:t>2016</w:t>
      </w:r>
      <w:r w:rsidR="00914CFA" w:rsidRPr="00E04207">
        <w:t>).</w:t>
      </w:r>
    </w:p>
    <w:p w:rsidR="00B44ED4" w:rsidRDefault="00F72E06" w:rsidP="008B6637">
      <w:pPr>
        <w:pStyle w:val="Text"/>
      </w:pPr>
      <w:r>
        <w:t>More recently, i</w:t>
      </w:r>
      <w:r w:rsidR="003A4381">
        <w:t>n late 2015</w:t>
      </w:r>
      <w:r>
        <w:t>,</w:t>
      </w:r>
      <w:r w:rsidR="003A4381">
        <w:t xml:space="preserve"> the </w:t>
      </w:r>
      <w:r w:rsidR="00B44ED4">
        <w:t xml:space="preserve">Victorian Government </w:t>
      </w:r>
      <w:r w:rsidR="003A4381">
        <w:t xml:space="preserve">published a review of </w:t>
      </w:r>
      <w:r w:rsidR="00B12F46">
        <w:t xml:space="preserve">VET funding and </w:t>
      </w:r>
      <w:r w:rsidR="00B44ED4">
        <w:t>quality assurance in Victoria’s VET system to help restore public confidence in the quality and value of VET (</w:t>
      </w:r>
      <w:r w:rsidR="00997EBC">
        <w:t>Mackenzie &amp; Coulson</w:t>
      </w:r>
      <w:r w:rsidR="00B44ED4">
        <w:t xml:space="preserve"> 2015)</w:t>
      </w:r>
      <w:r w:rsidR="00B12F46">
        <w:t xml:space="preserve">. The review recommended a range of strategies </w:t>
      </w:r>
      <w:r w:rsidR="000774CC">
        <w:t>for stabilising</w:t>
      </w:r>
      <w:r w:rsidR="00B12F46">
        <w:t xml:space="preserve"> the funding ar</w:t>
      </w:r>
      <w:r w:rsidR="000774CC">
        <w:t>rangements in the sector, ensuring</w:t>
      </w:r>
      <w:r w:rsidR="00B12F46">
        <w:t xml:space="preserve"> quality in </w:t>
      </w:r>
      <w:r w:rsidR="00B12F46">
        <w:lastRenderedPageBreak/>
        <w:t>training and protect</w:t>
      </w:r>
      <w:r w:rsidR="000774CC">
        <w:t>ing</w:t>
      </w:r>
      <w:r w:rsidR="00B12F46">
        <w:t xml:space="preserve"> students. The Victorian Government has agreed in principle to the recommendations and has </w:t>
      </w:r>
      <w:r w:rsidR="00997EBC">
        <w:t xml:space="preserve">made a </w:t>
      </w:r>
      <w:r w:rsidR="00B12F46">
        <w:t>commit</w:t>
      </w:r>
      <w:r w:rsidR="00997EBC">
        <w:t>ment</w:t>
      </w:r>
      <w:r w:rsidR="00B12F46">
        <w:t xml:space="preserve"> to implementing a more stable and sustainable funding system</w:t>
      </w:r>
      <w:r w:rsidR="00415C47">
        <w:t>,</w:t>
      </w:r>
      <w:r w:rsidR="00B12F46">
        <w:t xml:space="preserve"> with an emphasis on quality </w:t>
      </w:r>
      <w:r w:rsidR="00864B8E">
        <w:t xml:space="preserve">and </w:t>
      </w:r>
      <w:r w:rsidR="000774CC">
        <w:t xml:space="preserve">on </w:t>
      </w:r>
      <w:r w:rsidR="00864B8E">
        <w:t xml:space="preserve">restoring </w:t>
      </w:r>
      <w:r w:rsidR="00BF7294">
        <w:t xml:space="preserve">the </w:t>
      </w:r>
      <w:r w:rsidR="0042357A">
        <w:t>pos</w:t>
      </w:r>
      <w:r w:rsidR="001D5C2C">
        <w:t>i</w:t>
      </w:r>
      <w:r w:rsidR="0042357A">
        <w:t xml:space="preserve">tion and funding of </w:t>
      </w:r>
      <w:r w:rsidR="00415C47">
        <w:t>TAFEs</w:t>
      </w:r>
      <w:r w:rsidR="0042357A">
        <w:t xml:space="preserve">, </w:t>
      </w:r>
      <w:r w:rsidR="00982586">
        <w:t>with new</w:t>
      </w:r>
      <w:r w:rsidR="0042357A">
        <w:t xml:space="preserve"> </w:t>
      </w:r>
      <w:r w:rsidR="00415C47">
        <w:t xml:space="preserve">measures introduced </w:t>
      </w:r>
      <w:r w:rsidR="0042357A">
        <w:t xml:space="preserve">more recently in </w:t>
      </w:r>
      <w:r w:rsidR="00415C47">
        <w:t>2016.</w:t>
      </w:r>
      <w:r w:rsidR="00597397">
        <w:t xml:space="preserve"> </w:t>
      </w:r>
    </w:p>
    <w:p w:rsidR="00B44ED4" w:rsidRPr="00B44ED4" w:rsidRDefault="00B44ED4" w:rsidP="002A175A">
      <w:pPr>
        <w:pStyle w:val="Heading4"/>
      </w:pPr>
      <w:r w:rsidRPr="00B44ED4">
        <w:t xml:space="preserve">South Australia </w:t>
      </w:r>
    </w:p>
    <w:p w:rsidR="005E24C4" w:rsidRDefault="000774CC" w:rsidP="005E24C4">
      <w:pPr>
        <w:pStyle w:val="Text"/>
      </w:pPr>
      <w:r>
        <w:t xml:space="preserve">In July 2012 </w:t>
      </w:r>
      <w:r w:rsidR="0049044D">
        <w:t xml:space="preserve">South Australia </w:t>
      </w:r>
      <w:r>
        <w:t>became</w:t>
      </w:r>
      <w:r w:rsidR="0049044D">
        <w:t xml:space="preserve"> the second state to introduce an entitlement model</w:t>
      </w:r>
      <w:r w:rsidR="00A6034F">
        <w:t>,</w:t>
      </w:r>
      <w:r w:rsidR="0049044D">
        <w:t xml:space="preserve"> called </w:t>
      </w:r>
      <w:r w:rsidR="0049044D" w:rsidRPr="000774CC">
        <w:t>Skills for All.</w:t>
      </w:r>
      <w:r w:rsidR="0049044D">
        <w:t xml:space="preserve"> Under this model</w:t>
      </w:r>
      <w:r>
        <w:t xml:space="preserve">, students </w:t>
      </w:r>
      <w:r w:rsidR="00BF5086">
        <w:t>aged 16 yea</w:t>
      </w:r>
      <w:r>
        <w:t>rs and older and not at school</w:t>
      </w:r>
      <w:r w:rsidR="00BF5086">
        <w:t xml:space="preserve"> were entitled</w:t>
      </w:r>
      <w:r>
        <w:t xml:space="preserve"> to foundation skills courses, c</w:t>
      </w:r>
      <w:r w:rsidR="00BF5086">
        <w:t xml:space="preserve">ertificate I and II qualifications and other priority area qualifications free of charge. </w:t>
      </w:r>
      <w:r w:rsidR="00974A2D">
        <w:t>RTOs could charge for h</w:t>
      </w:r>
      <w:r>
        <w:t>igher-</w:t>
      </w:r>
      <w:r w:rsidR="00BF5086">
        <w:t>level qualifications. The aim</w:t>
      </w:r>
      <w:r w:rsidR="00A907DE">
        <w:t xml:space="preserve"> of the model was to </w:t>
      </w:r>
      <w:r w:rsidR="00BF5086">
        <w:t xml:space="preserve">encourage </w:t>
      </w:r>
      <w:r w:rsidR="00A907DE">
        <w:t>people with low education levels</w:t>
      </w:r>
      <w:r w:rsidR="00BF5086">
        <w:t xml:space="preserve"> </w:t>
      </w:r>
      <w:r w:rsidR="0036299A">
        <w:t>to undertake an initial VET qualification. Acco</w:t>
      </w:r>
      <w:r w:rsidR="009A69CC">
        <w:t xml:space="preserve">rding to Bowman </w:t>
      </w:r>
      <w:r>
        <w:t>and</w:t>
      </w:r>
      <w:r w:rsidR="009A69CC">
        <w:t xml:space="preserve"> McKenna (2016</w:t>
      </w:r>
      <w:r w:rsidR="001561ED">
        <w:t>)</w:t>
      </w:r>
      <w:r w:rsidR="00A6034F">
        <w:t>,</w:t>
      </w:r>
      <w:r w:rsidR="001561ED">
        <w:t xml:space="preserve"> the model led to a 60%</w:t>
      </w:r>
      <w:r w:rsidR="0036299A">
        <w:t xml:space="preserve"> </w:t>
      </w:r>
      <w:r w:rsidR="000E299C">
        <w:t xml:space="preserve">increase in enrolments and </w:t>
      </w:r>
      <w:r w:rsidR="00997EBC">
        <w:t xml:space="preserve">a </w:t>
      </w:r>
      <w:r w:rsidR="000E299C">
        <w:t>44%</w:t>
      </w:r>
      <w:r w:rsidR="0036299A">
        <w:t xml:space="preserve"> growth in government funding for training in the first year. Not surprisingly</w:t>
      </w:r>
      <w:r>
        <w:t>, this led to budget over-</w:t>
      </w:r>
      <w:r w:rsidR="0036299A">
        <w:t>runs</w:t>
      </w:r>
      <w:r w:rsidR="00974A2D">
        <w:t>. As in</w:t>
      </w:r>
      <w:r w:rsidR="0036299A">
        <w:t xml:space="preserve"> Victoria, South Australia was required to refine the entitlement mode</w:t>
      </w:r>
      <w:r>
        <w:t>l to prevent future budget blow-</w:t>
      </w:r>
      <w:r w:rsidR="0036299A" w:rsidRPr="000E299C">
        <w:t>outs.</w:t>
      </w:r>
      <w:r w:rsidR="00363E04" w:rsidRPr="000E299C">
        <w:t xml:space="preserve"> </w:t>
      </w:r>
      <w:proofErr w:type="gramStart"/>
      <w:r w:rsidR="000E299C" w:rsidRPr="000E299C">
        <w:t>Figure</w:t>
      </w:r>
      <w:r>
        <w:t>s</w:t>
      </w:r>
      <w:r w:rsidR="000E299C" w:rsidRPr="000E299C">
        <w:t xml:space="preserve"> </w:t>
      </w:r>
      <w:r w:rsidR="00982586">
        <w:t>19</w:t>
      </w:r>
      <w:r w:rsidR="005E24C4" w:rsidRPr="000E299C">
        <w:t xml:space="preserve"> </w:t>
      </w:r>
      <w:r w:rsidR="000E299C" w:rsidRPr="000E299C">
        <w:t xml:space="preserve">and </w:t>
      </w:r>
      <w:r w:rsidR="00982586">
        <w:t>20</w:t>
      </w:r>
      <w:r w:rsidR="00697639" w:rsidRPr="000E299C">
        <w:t xml:space="preserve"> </w:t>
      </w:r>
      <w:r>
        <w:t>show</w:t>
      </w:r>
      <w:r w:rsidR="005E24C4" w:rsidRPr="000E299C">
        <w:t xml:space="preserve"> this increase in enrolments in South Australia, followed by a decrease from 2013 onwards</w:t>
      </w:r>
      <w:r w:rsidR="00B201A6">
        <w:t>,</w:t>
      </w:r>
      <w:r w:rsidR="005E24C4" w:rsidRPr="000E299C">
        <w:t xml:space="preserve"> after the entitlement model </w:t>
      </w:r>
      <w:r w:rsidR="00997EBC">
        <w:t>had been tightened</w:t>
      </w:r>
      <w:r w:rsidR="005E24C4" w:rsidRPr="000E299C">
        <w:t>.</w:t>
      </w:r>
      <w:proofErr w:type="gramEnd"/>
      <w:r w:rsidR="005E24C4">
        <w:t xml:space="preserve"> </w:t>
      </w:r>
    </w:p>
    <w:p w:rsidR="00D00EBB" w:rsidRDefault="000774CC" w:rsidP="008B6637">
      <w:pPr>
        <w:pStyle w:val="Text"/>
      </w:pPr>
      <w:r w:rsidRPr="00BF7294">
        <w:t>The</w:t>
      </w:r>
      <w:r w:rsidR="00BF7294">
        <w:rPr>
          <w:i/>
        </w:rPr>
        <w:t xml:space="preserve"> </w:t>
      </w:r>
      <w:r w:rsidR="00BF7294">
        <w:t>review of the South Australian scheme,</w:t>
      </w:r>
      <w:r w:rsidR="00BF7294">
        <w:rPr>
          <w:i/>
        </w:rPr>
        <w:t xml:space="preserve"> E</w:t>
      </w:r>
      <w:r w:rsidR="00D00EBB" w:rsidRPr="00D00EBB">
        <w:rPr>
          <w:i/>
        </w:rPr>
        <w:t xml:space="preserve">valuation of Skills for </w:t>
      </w:r>
      <w:proofErr w:type="gramStart"/>
      <w:r w:rsidR="00D00EBB" w:rsidRPr="00D00EBB">
        <w:rPr>
          <w:i/>
        </w:rPr>
        <w:t>All</w:t>
      </w:r>
      <w:proofErr w:type="gramEnd"/>
      <w:r>
        <w:t xml:space="preserve">, </w:t>
      </w:r>
      <w:r w:rsidR="00D00EBB">
        <w:t>publi</w:t>
      </w:r>
      <w:r w:rsidR="00A907DE">
        <w:t>shed in February 2015</w:t>
      </w:r>
      <w:r>
        <w:t>,</w:t>
      </w:r>
      <w:r w:rsidR="00A907DE">
        <w:t xml:space="preserve"> </w:t>
      </w:r>
      <w:r w:rsidR="00EF6244">
        <w:t>identified principles for future reform. Some of these included</w:t>
      </w:r>
      <w:r w:rsidR="005E24C4">
        <w:t>:</w:t>
      </w:r>
      <w:r w:rsidR="00EF6244">
        <w:t xml:space="preserve"> introducing me</w:t>
      </w:r>
      <w:r>
        <w:t>asures to constrain expenditure;</w:t>
      </w:r>
      <w:r w:rsidR="00EF6244">
        <w:t xml:space="preserve"> co-contribution</w:t>
      </w:r>
      <w:r>
        <w:t>s</w:t>
      </w:r>
      <w:r w:rsidR="00EF6244">
        <w:t xml:space="preserve"> through student and employer contributions</w:t>
      </w:r>
      <w:r>
        <w:t>;</w:t>
      </w:r>
      <w:r w:rsidR="00EF6244">
        <w:t xml:space="preserve"> clear articulati</w:t>
      </w:r>
      <w:r>
        <w:t>on of</w:t>
      </w:r>
      <w:r w:rsidR="00EF6244">
        <w:t xml:space="preserve"> the role of the public</w:t>
      </w:r>
      <w:r w:rsidR="005E24C4">
        <w:t xml:space="preserve"> provider</w:t>
      </w:r>
      <w:r>
        <w:t>,</w:t>
      </w:r>
      <w:r w:rsidR="005E24C4">
        <w:t xml:space="preserve"> TAFE</w:t>
      </w:r>
      <w:r w:rsidR="003D0F5A">
        <w:t xml:space="preserve"> </w:t>
      </w:r>
      <w:r w:rsidR="00997EBC">
        <w:t>SA;</w:t>
      </w:r>
      <w:r w:rsidR="005E24C4">
        <w:t xml:space="preserve"> and better monitoring of the market-driven system</w:t>
      </w:r>
      <w:r w:rsidR="00D72396">
        <w:t xml:space="preserve"> (A</w:t>
      </w:r>
      <w:r>
        <w:t>CIL</w:t>
      </w:r>
      <w:r w:rsidR="00D72396">
        <w:t xml:space="preserve"> Allen </w:t>
      </w:r>
      <w:r w:rsidR="00997EBC">
        <w:t xml:space="preserve">Consulting </w:t>
      </w:r>
      <w:r w:rsidR="00D72396">
        <w:t>2015</w:t>
      </w:r>
      <w:r w:rsidR="00B264B5">
        <w:t>c</w:t>
      </w:r>
      <w:r w:rsidR="00D72396">
        <w:t>)</w:t>
      </w:r>
      <w:r w:rsidR="00E811B2">
        <w:t>.</w:t>
      </w:r>
    </w:p>
    <w:p w:rsidR="003729EE" w:rsidRDefault="00091FCC" w:rsidP="008B6637">
      <w:pPr>
        <w:pStyle w:val="Text"/>
      </w:pPr>
      <w:r>
        <w:t>As at March 2015 t</w:t>
      </w:r>
      <w:r w:rsidR="00684533">
        <w:t>he entitlement</w:t>
      </w:r>
      <w:r w:rsidR="001A492C">
        <w:t xml:space="preserve"> range o</w:t>
      </w:r>
      <w:r w:rsidR="005532A0">
        <w:t>f qualifications is quite broad;</w:t>
      </w:r>
      <w:r w:rsidR="001A492C">
        <w:t xml:space="preserve"> however</w:t>
      </w:r>
      <w:r w:rsidR="005532A0">
        <w:t>,</w:t>
      </w:r>
      <w:r w:rsidR="001A492C">
        <w:t xml:space="preserve"> all eligible courses are limited to those on the Skills for All Funded Training List</w:t>
      </w:r>
      <w:r w:rsidR="005532A0">
        <w:t>,</w:t>
      </w:r>
      <w:r w:rsidR="001A492C">
        <w:t xml:space="preserve"> </w:t>
      </w:r>
      <w:r w:rsidR="0014592C">
        <w:t>a</w:t>
      </w:r>
      <w:r w:rsidR="00D11831">
        <w:t xml:space="preserve"> list </w:t>
      </w:r>
      <w:r w:rsidR="001A492C">
        <w:t xml:space="preserve">linked to state-based employment opportunities. </w:t>
      </w:r>
      <w:r w:rsidR="00780F72">
        <w:t xml:space="preserve">The subsidies vary for different courses, depending on their perceived public value. There are also more </w:t>
      </w:r>
      <w:r w:rsidR="005532A0">
        <w:t>con</w:t>
      </w:r>
      <w:r w:rsidR="00997EBC">
        <w:t>trols</w:t>
      </w:r>
      <w:r w:rsidR="00CF1092">
        <w:t xml:space="preserve"> </w:t>
      </w:r>
      <w:r w:rsidR="005532A0">
        <w:t>in</w:t>
      </w:r>
      <w:r w:rsidR="00780F72">
        <w:t xml:space="preserve"> place to prevent budget over</w:t>
      </w:r>
      <w:r w:rsidR="005532A0">
        <w:t>-</w:t>
      </w:r>
      <w:r w:rsidR="00780F72">
        <w:t>runs. The entitlements are paid to training providers who have attracted eligible students, and providers are able to set additional fees. The providers must</w:t>
      </w:r>
      <w:r w:rsidR="005532A0">
        <w:t xml:space="preserve"> meet the requirements </w:t>
      </w:r>
      <w:r w:rsidR="00997EBC">
        <w:t>of</w:t>
      </w:r>
      <w:r w:rsidR="005532A0">
        <w:t xml:space="preserve"> the N</w:t>
      </w:r>
      <w:r w:rsidR="00780F72">
        <w:t>ational Standards for RTOs 2015 and are subject to a range of selection criteria.</w:t>
      </w:r>
      <w:r w:rsidR="005C022C">
        <w:t xml:space="preserve"> </w:t>
      </w:r>
    </w:p>
    <w:p w:rsidR="003D0F5A" w:rsidRPr="003D0F5A" w:rsidRDefault="00D15549" w:rsidP="008B6637">
      <w:pPr>
        <w:pStyle w:val="Text"/>
      </w:pPr>
      <w:r>
        <w:t xml:space="preserve">In July 2015 </w:t>
      </w:r>
      <w:r w:rsidRPr="005532A0">
        <w:t>Skills for All</w:t>
      </w:r>
      <w:r>
        <w:t xml:space="preserve"> became </w:t>
      </w:r>
      <w:r w:rsidRPr="005532A0">
        <w:t>Work Ready</w:t>
      </w:r>
      <w:r w:rsidR="005532A0">
        <w:t xml:space="preserve"> and</w:t>
      </w:r>
      <w:r>
        <w:t xml:space="preserve"> the number of eligible courses was reduced</w:t>
      </w:r>
      <w:r w:rsidR="00355F33">
        <w:t>. A</w:t>
      </w:r>
      <w:r>
        <w:t>round 90% of places were reserved for T</w:t>
      </w:r>
      <w:r w:rsidR="003D0F5A">
        <w:t xml:space="preserve">AFE SA (Bowman &amp; McKenna 2016). </w:t>
      </w:r>
      <w:r w:rsidR="005532A0">
        <w:t>This new approach</w:t>
      </w:r>
      <w:r w:rsidR="00997EBC">
        <w:t>,</w:t>
      </w:r>
      <w:r w:rsidR="005532A0">
        <w:t xml:space="preserve"> whereby</w:t>
      </w:r>
      <w:r w:rsidR="003D0F5A">
        <w:t xml:space="preserve"> the training place</w:t>
      </w:r>
      <w:r w:rsidR="00355F33">
        <w:t>s</w:t>
      </w:r>
      <w:r w:rsidR="003D0F5A">
        <w:t xml:space="preserve"> </w:t>
      </w:r>
      <w:r w:rsidR="005532A0">
        <w:t>were reserved for TAFE SA</w:t>
      </w:r>
      <w:r w:rsidR="00997EBC">
        <w:t>,</w:t>
      </w:r>
      <w:r w:rsidR="003D0F5A">
        <w:t xml:space="preserve"> </w:t>
      </w:r>
      <w:r w:rsidR="00355F33">
        <w:t xml:space="preserve">was contentious because in </w:t>
      </w:r>
      <w:r w:rsidR="003D0F5A">
        <w:t>strengthen</w:t>
      </w:r>
      <w:r w:rsidR="00355F33">
        <w:t>ing</w:t>
      </w:r>
      <w:r w:rsidR="003D0F5A">
        <w:t xml:space="preserve"> the position of the public provider</w:t>
      </w:r>
      <w:r w:rsidR="00355F33">
        <w:t xml:space="preserve"> </w:t>
      </w:r>
      <w:r w:rsidR="003D0F5A">
        <w:t xml:space="preserve">it challenges the notion of contestable training markets. </w:t>
      </w:r>
    </w:p>
    <w:p w:rsidR="00C05DF1" w:rsidRDefault="00C05DF1" w:rsidP="002A175A">
      <w:pPr>
        <w:pStyle w:val="Heading4"/>
      </w:pPr>
      <w:r>
        <w:t>Other jurisdictions</w:t>
      </w:r>
    </w:p>
    <w:p w:rsidR="00B1759E" w:rsidRDefault="00355F33" w:rsidP="00C05DF1">
      <w:pPr>
        <w:pStyle w:val="Text"/>
      </w:pPr>
      <w:r w:rsidRPr="00982586">
        <w:t>F</w:t>
      </w:r>
      <w:r w:rsidR="0023344D" w:rsidRPr="00982586">
        <w:t>igure</w:t>
      </w:r>
      <w:r w:rsidR="005532A0" w:rsidRPr="00982586">
        <w:t>s</w:t>
      </w:r>
      <w:r w:rsidR="0023344D" w:rsidRPr="00982586">
        <w:t xml:space="preserve"> </w:t>
      </w:r>
      <w:r w:rsidR="00AC76A9" w:rsidRPr="00982586">
        <w:t>19</w:t>
      </w:r>
      <w:r w:rsidR="005309A5" w:rsidRPr="00982586">
        <w:t xml:space="preserve"> and </w:t>
      </w:r>
      <w:r w:rsidR="00AC76A9" w:rsidRPr="00982586">
        <w:t>20</w:t>
      </w:r>
      <w:r w:rsidR="00697639" w:rsidRPr="00982586">
        <w:t xml:space="preserve"> </w:t>
      </w:r>
      <w:r w:rsidRPr="00982586">
        <w:t>show rates of participation i</w:t>
      </w:r>
      <w:r w:rsidR="00684533" w:rsidRPr="00982586">
        <w:t>n VET, with</w:t>
      </w:r>
      <w:r w:rsidR="00C05DF1" w:rsidRPr="00982586">
        <w:t xml:space="preserve"> </w:t>
      </w:r>
      <w:r w:rsidR="00AD5ADB" w:rsidRPr="00982586">
        <w:t xml:space="preserve">sudden </w:t>
      </w:r>
      <w:r w:rsidR="00C05DF1" w:rsidRPr="00982586">
        <w:t>increase</w:t>
      </w:r>
      <w:r w:rsidRPr="00982586">
        <w:t>s</w:t>
      </w:r>
      <w:r w:rsidR="00C05DF1" w:rsidRPr="00982586">
        <w:t xml:space="preserve"> for Victoria and South Australia</w:t>
      </w:r>
      <w:r w:rsidR="00BF7294">
        <w:t>,</w:t>
      </w:r>
      <w:r w:rsidRPr="00982586">
        <w:t xml:space="preserve"> </w:t>
      </w:r>
      <w:r w:rsidR="00AD5ADB" w:rsidRPr="00982586">
        <w:t xml:space="preserve">followed by just as sudden decreases, </w:t>
      </w:r>
      <w:r w:rsidRPr="00982586">
        <w:t>and considerable</w:t>
      </w:r>
      <w:r w:rsidR="00684533" w:rsidRPr="00982586">
        <w:t xml:space="preserve"> </w:t>
      </w:r>
      <w:r w:rsidR="00B1759E" w:rsidRPr="00982586">
        <w:t>volatility in other jurisdictions.</w:t>
      </w:r>
    </w:p>
    <w:p w:rsidR="00AA6B43" w:rsidRDefault="00AA6B43" w:rsidP="00C05DF1">
      <w:pPr>
        <w:pStyle w:val="Text"/>
      </w:pPr>
      <w:r>
        <w:t xml:space="preserve">In particular, decreases in VET participation rates in Queensland have been sustained since the early 2000s. However, with the introduction of </w:t>
      </w:r>
      <w:r w:rsidR="00A6034F">
        <w:t xml:space="preserve">the </w:t>
      </w:r>
      <w:r>
        <w:t xml:space="preserve">Certificate 3 Guarantee in July 2013, </w:t>
      </w:r>
      <w:r w:rsidR="005532A0">
        <w:t>an increase in participation rates becomes evident</w:t>
      </w:r>
      <w:r>
        <w:t xml:space="preserve">. Similarly, </w:t>
      </w:r>
      <w:r w:rsidR="005532A0">
        <w:t xml:space="preserve">from 2013 </w:t>
      </w:r>
      <w:r>
        <w:t xml:space="preserve">the </w:t>
      </w:r>
      <w:r>
        <w:lastRenderedPageBreak/>
        <w:t xml:space="preserve">Northern Territory </w:t>
      </w:r>
      <w:r w:rsidR="00997EBC">
        <w:t>show</w:t>
      </w:r>
      <w:r w:rsidR="00AD5ADB">
        <w:t>ed an</w:t>
      </w:r>
      <w:r w:rsidR="00997EBC">
        <w:t xml:space="preserve"> </w:t>
      </w:r>
      <w:r>
        <w:t>increas</w:t>
      </w:r>
      <w:r w:rsidR="007E7745">
        <w:t>e</w:t>
      </w:r>
      <w:r>
        <w:t xml:space="preserve"> in VET participation rates</w:t>
      </w:r>
      <w:r w:rsidR="005532A0">
        <w:t>,</w:t>
      </w:r>
      <w:r>
        <w:t xml:space="preserve"> which may coincide with the introduction of </w:t>
      </w:r>
      <w:r w:rsidR="00A6034F">
        <w:t xml:space="preserve">the </w:t>
      </w:r>
      <w:r>
        <w:t xml:space="preserve">entitlement in </w:t>
      </w:r>
      <w:r w:rsidRPr="00AC76A9">
        <w:t>2013</w:t>
      </w:r>
      <w:r w:rsidR="005532A0" w:rsidRPr="00AC76A9">
        <w:t xml:space="preserve"> (f</w:t>
      </w:r>
      <w:r w:rsidR="005309A5" w:rsidRPr="00AC76A9">
        <w:t xml:space="preserve">igure </w:t>
      </w:r>
      <w:r w:rsidR="00AC76A9" w:rsidRPr="00AC76A9">
        <w:t>19</w:t>
      </w:r>
      <w:r w:rsidR="00B1759E" w:rsidRPr="00AC76A9">
        <w:t>)</w:t>
      </w:r>
      <w:r w:rsidRPr="00AC76A9">
        <w:t>.</w:t>
      </w:r>
      <w:r>
        <w:t xml:space="preserve"> </w:t>
      </w:r>
    </w:p>
    <w:p w:rsidR="00AA6B43" w:rsidRDefault="00AA6B43" w:rsidP="00C05DF1">
      <w:pPr>
        <w:pStyle w:val="Text"/>
      </w:pPr>
      <w:r>
        <w:t>Tasmania, along with the Norther</w:t>
      </w:r>
      <w:r w:rsidR="00B63B63">
        <w:t>n</w:t>
      </w:r>
      <w:r>
        <w:t xml:space="preserve"> Territory and Victoria</w:t>
      </w:r>
      <w:r w:rsidR="005532A0">
        <w:t>,</w:t>
      </w:r>
      <w:r>
        <w:t xml:space="preserve"> has comparatively high VET participation rates. However, we have seen </w:t>
      </w:r>
      <w:r w:rsidR="00355F33">
        <w:t xml:space="preserve">both </w:t>
      </w:r>
      <w:r>
        <w:t xml:space="preserve">sharp increases and decreases in the participation rate in recent years. An ‘entitlement’ </w:t>
      </w:r>
      <w:r w:rsidR="00942298">
        <w:t>has operated in Tasmania for many years</w:t>
      </w:r>
      <w:r w:rsidR="00355F33">
        <w:t>, with</w:t>
      </w:r>
      <w:r w:rsidR="00942298">
        <w:t xml:space="preserve"> government subsidies for all levels of qualifications </w:t>
      </w:r>
      <w:r w:rsidR="00684533">
        <w:t>going to</w:t>
      </w:r>
      <w:r w:rsidR="00942298">
        <w:t xml:space="preserve"> the large public provider</w:t>
      </w:r>
      <w:r w:rsidR="007E01FA">
        <w:t xml:space="preserve"> </w:t>
      </w:r>
      <w:proofErr w:type="spellStart"/>
      <w:r w:rsidR="007E01FA">
        <w:t>TasTAFE</w:t>
      </w:r>
      <w:proofErr w:type="spellEnd"/>
      <w:r w:rsidR="007E01FA">
        <w:t xml:space="preserve"> (Bowman &amp; McKenna 2016</w:t>
      </w:r>
      <w:r w:rsidR="00942298">
        <w:t xml:space="preserve">). In </w:t>
      </w:r>
      <w:r w:rsidR="00355F33">
        <w:t xml:space="preserve">response </w:t>
      </w:r>
      <w:r w:rsidR="00942298">
        <w:t>to the National Partnership Agreem</w:t>
      </w:r>
      <w:r w:rsidR="00A6034F">
        <w:t>ent on Skills Reform, Tasmania implemented an</w:t>
      </w:r>
      <w:r w:rsidR="00942298">
        <w:t xml:space="preserve"> official entitlement model</w:t>
      </w:r>
      <w:r w:rsidR="00A6034F">
        <w:t>, which</w:t>
      </w:r>
      <w:r w:rsidR="00942298">
        <w:t xml:space="preserve"> commenced in January 2014. </w:t>
      </w:r>
    </w:p>
    <w:p w:rsidR="0070471D" w:rsidRDefault="0070471D" w:rsidP="002A175A">
      <w:pPr>
        <w:pStyle w:val="Figuretitle"/>
        <w:ind w:left="993" w:hanging="993"/>
      </w:pPr>
      <w:bookmarkStart w:id="93" w:name="_Toc455670413"/>
      <w:bookmarkStart w:id="94" w:name="_Toc457809802"/>
      <w:r w:rsidRPr="00AC76A9">
        <w:t>Figure</w:t>
      </w:r>
      <w:r w:rsidR="005309A5" w:rsidRPr="00AC76A9">
        <w:t xml:space="preserve"> </w:t>
      </w:r>
      <w:r w:rsidR="00AC76A9" w:rsidRPr="00AC76A9">
        <w:t>19</w:t>
      </w:r>
      <w:r w:rsidR="002A175A">
        <w:tab/>
      </w:r>
      <w:r w:rsidRPr="00AC76A9">
        <w:t>Rates of</w:t>
      </w:r>
      <w:r>
        <w:t xml:space="preserve"> par</w:t>
      </w:r>
      <w:r w:rsidR="005532A0">
        <w:t>ticipation in VET by state 1996–</w:t>
      </w:r>
      <w:r>
        <w:t>201</w:t>
      </w:r>
      <w:r w:rsidR="00B855CB">
        <w:t>5</w:t>
      </w:r>
      <w:r w:rsidR="0046269B">
        <w:t xml:space="preserve"> (%)</w:t>
      </w:r>
      <w:bookmarkEnd w:id="93"/>
      <w:bookmarkEnd w:id="94"/>
    </w:p>
    <w:p w:rsidR="0070471D" w:rsidRDefault="00897C85" w:rsidP="00946BA3">
      <w:pPr>
        <w:pStyle w:val="Tabletext"/>
      </w:pPr>
      <w:r>
        <w:rPr>
          <w:noProof/>
          <w:lang w:eastAsia="en-AU"/>
        </w:rPr>
        <w:drawing>
          <wp:inline distT="0" distB="0" distL="0" distR="0" wp14:anchorId="567E550C" wp14:editId="47919223">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532A0" w:rsidRDefault="005532A0" w:rsidP="00A6034F">
      <w:pPr>
        <w:pStyle w:val="Source"/>
      </w:pPr>
      <w:r>
        <w:t xml:space="preserve">Note: </w:t>
      </w:r>
      <w:r w:rsidR="00D26FBA">
        <w:tab/>
      </w:r>
      <w:r>
        <w:t>The rate is expressed as students as a proportion of the 15 to 64-year-old population in each state and territory.</w:t>
      </w:r>
    </w:p>
    <w:p w:rsidR="00773A6B" w:rsidRDefault="005532A0" w:rsidP="00A6034F">
      <w:pPr>
        <w:pStyle w:val="Source"/>
      </w:pPr>
      <w:r>
        <w:t xml:space="preserve">Source: </w:t>
      </w:r>
      <w:r w:rsidR="00D26FBA">
        <w:tab/>
      </w:r>
      <w:r>
        <w:t xml:space="preserve">NCVER </w:t>
      </w:r>
      <w:r w:rsidR="000F096F">
        <w:t>H</w:t>
      </w:r>
      <w:r w:rsidR="00773A6B">
        <w:t>istorical time serie</w:t>
      </w:r>
      <w:r>
        <w:t>s of</w:t>
      </w:r>
      <w:r w:rsidR="00B855CB">
        <w:t xml:space="preserve"> government-funded VET 1996–2015</w:t>
      </w:r>
      <w:r>
        <w:t>;</w:t>
      </w:r>
      <w:r w:rsidR="00773A6B">
        <w:t xml:space="preserve"> ABS </w:t>
      </w:r>
      <w:r>
        <w:t>demographic statistics, cat.no.</w:t>
      </w:r>
      <w:r w:rsidR="00773A6B">
        <w:t>3101.0, Sept</w:t>
      </w:r>
      <w:r>
        <w:t>ember</w:t>
      </w:r>
      <w:r w:rsidR="00773A6B">
        <w:t xml:space="preserve"> 2015</w:t>
      </w:r>
      <w:r>
        <w:t>.</w:t>
      </w:r>
    </w:p>
    <w:p w:rsidR="00B1759E" w:rsidRDefault="00B1759E">
      <w:pPr>
        <w:spacing w:before="0" w:line="240" w:lineRule="auto"/>
        <w:rPr>
          <w:rFonts w:ascii="Tahoma" w:hAnsi="Tahoma"/>
          <w:b/>
          <w:sz w:val="17"/>
        </w:rPr>
      </w:pPr>
      <w:r>
        <w:br w:type="page"/>
      </w:r>
    </w:p>
    <w:p w:rsidR="00B63B63" w:rsidRDefault="00B63B63" w:rsidP="002A175A">
      <w:pPr>
        <w:pStyle w:val="Figuretitle"/>
        <w:ind w:left="993" w:hanging="993"/>
      </w:pPr>
      <w:bookmarkStart w:id="95" w:name="_Toc455670415"/>
      <w:bookmarkStart w:id="96" w:name="_Toc457809803"/>
      <w:r w:rsidRPr="00AC76A9">
        <w:lastRenderedPageBreak/>
        <w:t>Figure</w:t>
      </w:r>
      <w:r w:rsidR="005309A5" w:rsidRPr="00AC76A9">
        <w:t xml:space="preserve"> </w:t>
      </w:r>
      <w:r w:rsidR="00AC76A9" w:rsidRPr="00AC76A9">
        <w:t>20</w:t>
      </w:r>
      <w:r w:rsidR="002A175A">
        <w:tab/>
      </w:r>
      <w:r w:rsidRPr="00AC76A9">
        <w:t xml:space="preserve">Rates of participation in VET by state for certificate III and IV qualifications </w:t>
      </w:r>
      <w:r w:rsidR="00C06345" w:rsidRPr="00AC76A9">
        <w:t>2009</w:t>
      </w:r>
      <w:r w:rsidR="005532A0" w:rsidRPr="00AC76A9">
        <w:t>–</w:t>
      </w:r>
      <w:r w:rsidRPr="00AC76A9">
        <w:t>1</w:t>
      </w:r>
      <w:r w:rsidR="00B855CB" w:rsidRPr="00AC76A9">
        <w:t>5</w:t>
      </w:r>
      <w:r w:rsidR="0046269B" w:rsidRPr="00AC76A9">
        <w:t xml:space="preserve"> (%)</w:t>
      </w:r>
      <w:bookmarkEnd w:id="95"/>
      <w:bookmarkEnd w:id="96"/>
    </w:p>
    <w:p w:rsidR="00C06345" w:rsidRDefault="00897C85" w:rsidP="00946BA3">
      <w:pPr>
        <w:pStyle w:val="Tabletext"/>
      </w:pPr>
      <w:r>
        <w:rPr>
          <w:noProof/>
          <w:lang w:eastAsia="en-AU"/>
        </w:rPr>
        <w:drawing>
          <wp:inline distT="0" distB="0" distL="0" distR="0" wp14:anchorId="63A93C34" wp14:editId="6E778FD3">
            <wp:extent cx="4860290" cy="257309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532A0" w:rsidRDefault="005532A0" w:rsidP="00A6034F">
      <w:pPr>
        <w:pStyle w:val="Source"/>
      </w:pPr>
      <w:r>
        <w:t xml:space="preserve">Note: </w:t>
      </w:r>
      <w:r w:rsidR="00D26FBA">
        <w:tab/>
      </w:r>
      <w:r>
        <w:t>The rate is expressed as students as a proportion of the 15-64 year old population in each state and territory</w:t>
      </w:r>
      <w:r w:rsidR="00A6034F">
        <w:t>.</w:t>
      </w:r>
    </w:p>
    <w:p w:rsidR="00773A6B" w:rsidRDefault="00773A6B" w:rsidP="00A6034F">
      <w:pPr>
        <w:pStyle w:val="Source"/>
      </w:pPr>
      <w:r>
        <w:t xml:space="preserve">Source: </w:t>
      </w:r>
      <w:r w:rsidR="00D26FBA">
        <w:tab/>
      </w:r>
      <w:r w:rsidR="007400CA">
        <w:t>NCVER National VET Provider Collection</w:t>
      </w:r>
      <w:r w:rsidR="00B855CB">
        <w:t xml:space="preserve"> 2009–15</w:t>
      </w:r>
      <w:r w:rsidR="005532A0">
        <w:t>;</w:t>
      </w:r>
      <w:r>
        <w:t xml:space="preserve"> ABS </w:t>
      </w:r>
      <w:r w:rsidR="005532A0">
        <w:t>demographic statistics, cat.no.</w:t>
      </w:r>
      <w:r>
        <w:t>3101.0, Sept</w:t>
      </w:r>
      <w:r w:rsidR="005532A0">
        <w:t>ember</w:t>
      </w:r>
      <w:r>
        <w:t xml:space="preserve"> 2015</w:t>
      </w:r>
      <w:r w:rsidR="005532A0">
        <w:t>.</w:t>
      </w:r>
    </w:p>
    <w:p w:rsidR="00301BD0" w:rsidRDefault="00301BD0" w:rsidP="002A175A">
      <w:pPr>
        <w:pStyle w:val="Heading2"/>
      </w:pPr>
      <w:r>
        <w:t>Summary o</w:t>
      </w:r>
      <w:r w:rsidR="00897C85">
        <w:t>f</w:t>
      </w:r>
      <w:r>
        <w:t xml:space="preserve"> impacts and learnings</w:t>
      </w:r>
    </w:p>
    <w:p w:rsidR="004A7C38" w:rsidRDefault="00863D42" w:rsidP="00863D42">
      <w:pPr>
        <w:pStyle w:val="Text"/>
      </w:pPr>
      <w:r>
        <w:t xml:space="preserve">It is evident that the early entitlement models introduced in Victoria and South Australia had a </w:t>
      </w:r>
      <w:r w:rsidR="004A7C38">
        <w:t xml:space="preserve">major </w:t>
      </w:r>
      <w:r>
        <w:t>impact on</w:t>
      </w:r>
      <w:r w:rsidR="003E23C2">
        <w:t xml:space="preserve"> increasing</w:t>
      </w:r>
      <w:r>
        <w:t xml:space="preserve"> participat</w:t>
      </w:r>
      <w:r w:rsidR="00D11831">
        <w:t>ion rates, particularly at the c</w:t>
      </w:r>
      <w:r>
        <w:t xml:space="preserve">ertificate III and IV levels. </w:t>
      </w:r>
      <w:r w:rsidR="00190BB7">
        <w:t>The s</w:t>
      </w:r>
      <w:r w:rsidR="003E23C2">
        <w:t xml:space="preserve">ubsequent tightening of the </w:t>
      </w:r>
      <w:r w:rsidR="004E260C">
        <w:t>models</w:t>
      </w:r>
      <w:r w:rsidR="003E23C2">
        <w:t xml:space="preserve"> also led to sharp contractions </w:t>
      </w:r>
      <w:r w:rsidR="0065490E">
        <w:t xml:space="preserve">in the participation rates </w:t>
      </w:r>
      <w:r w:rsidR="00DD59C1">
        <w:t>in</w:t>
      </w:r>
      <w:r w:rsidR="0065490E">
        <w:t xml:space="preserve"> both states. </w:t>
      </w:r>
    </w:p>
    <w:p w:rsidR="004A7C38" w:rsidRDefault="00BF1011" w:rsidP="00863D42">
      <w:pPr>
        <w:pStyle w:val="Text"/>
      </w:pPr>
      <w:r>
        <w:t>Overall, t</w:t>
      </w:r>
      <w:r w:rsidR="0018466D">
        <w:t>he t</w:t>
      </w:r>
      <w:r>
        <w:t xml:space="preserve">rend in </w:t>
      </w:r>
      <w:r w:rsidR="00DD59C1">
        <w:t xml:space="preserve">the number of </w:t>
      </w:r>
      <w:r>
        <w:t>g</w:t>
      </w:r>
      <w:r w:rsidR="0018466D">
        <w:t xml:space="preserve">overnment-funded VET students </w:t>
      </w:r>
      <w:r>
        <w:t>shows</w:t>
      </w:r>
      <w:r w:rsidR="0018466D">
        <w:t xml:space="preserve"> a national decline from a peak in 2011, </w:t>
      </w:r>
      <w:r>
        <w:t xml:space="preserve">broadly </w:t>
      </w:r>
      <w:r w:rsidR="0018466D">
        <w:t xml:space="preserve">indicating a tightening of </w:t>
      </w:r>
      <w:r w:rsidR="00DD59C1">
        <w:t xml:space="preserve">the </w:t>
      </w:r>
      <w:r w:rsidR="0018466D">
        <w:t>‘entitlement’ models</w:t>
      </w:r>
      <w:r w:rsidR="002A175A">
        <w:t>,</w:t>
      </w:r>
      <w:r w:rsidR="00190BB7">
        <w:t xml:space="preserve"> such that the system now represents</w:t>
      </w:r>
      <w:r w:rsidR="0018466D">
        <w:t xml:space="preserve"> a ‘managed demand’ system</w:t>
      </w:r>
      <w:r w:rsidR="00190BB7">
        <w:t>, one</w:t>
      </w:r>
      <w:r w:rsidR="0018466D">
        <w:t xml:space="preserve"> </w:t>
      </w:r>
      <w:r>
        <w:t>more</w:t>
      </w:r>
      <w:r w:rsidR="0018466D">
        <w:t xml:space="preserve"> targeted to priority training and job opportunities to optimise public value.</w:t>
      </w:r>
      <w:r w:rsidR="00597397">
        <w:t xml:space="preserve"> </w:t>
      </w:r>
      <w:r w:rsidR="00C54FEE">
        <w:t>This has likely influenced the development of models in other states and territories</w:t>
      </w:r>
      <w:r>
        <w:t>,</w:t>
      </w:r>
      <w:r w:rsidR="00C54FEE">
        <w:t xml:space="preserve"> as indicated by the most recent review of </w:t>
      </w:r>
      <w:r w:rsidR="00DD59C1">
        <w:t xml:space="preserve">the </w:t>
      </w:r>
      <w:r w:rsidR="00C54FEE">
        <w:t>models adopted in NSW</w:t>
      </w:r>
      <w:r>
        <w:t xml:space="preserve"> (see Nous Group</w:t>
      </w:r>
      <w:r w:rsidR="00982586">
        <w:t xml:space="preserve"> 2016).</w:t>
      </w:r>
      <w:r w:rsidR="00C54FEE">
        <w:t xml:space="preserve"> </w:t>
      </w:r>
    </w:p>
    <w:p w:rsidR="00B04556" w:rsidRDefault="00B04556" w:rsidP="00863D42">
      <w:pPr>
        <w:pStyle w:val="Text"/>
      </w:pPr>
      <w:r>
        <w:t xml:space="preserve">Future </w:t>
      </w:r>
      <w:r w:rsidR="007F2828">
        <w:t xml:space="preserve">policy </w:t>
      </w:r>
      <w:r w:rsidR="00BF1011">
        <w:t>developments</w:t>
      </w:r>
      <w:r w:rsidR="004E260C">
        <w:t xml:space="preserve"> and any subsequent </w:t>
      </w:r>
      <w:r w:rsidR="007F2828">
        <w:t>changes</w:t>
      </w:r>
      <w:r w:rsidR="00BF1011">
        <w:t xml:space="preserve"> in participation</w:t>
      </w:r>
      <w:r>
        <w:t xml:space="preserve"> rates will </w:t>
      </w:r>
      <w:r w:rsidR="00237EDA">
        <w:t xml:space="preserve">depend on </w:t>
      </w:r>
      <w:r>
        <w:t xml:space="preserve">the influence of </w:t>
      </w:r>
      <w:r w:rsidR="007F2828">
        <w:t>a range of</w:t>
      </w:r>
      <w:r>
        <w:t xml:space="preserve"> factors, including: </w:t>
      </w:r>
    </w:p>
    <w:p w:rsidR="00B04556" w:rsidRDefault="00B04556" w:rsidP="00863D42">
      <w:pPr>
        <w:pStyle w:val="Dotpoint1"/>
      </w:pPr>
      <w:r>
        <w:t xml:space="preserve">any </w:t>
      </w:r>
      <w:r w:rsidR="00BF1011">
        <w:t>re</w:t>
      </w:r>
      <w:r w:rsidR="00237EDA">
        <w:t xml:space="preserve">negotiation of the </w:t>
      </w:r>
      <w:r>
        <w:t xml:space="preserve">terms of the </w:t>
      </w:r>
      <w:r w:rsidR="004E260C">
        <w:t>present National Partnership Agreement on Skills Reform and the</w:t>
      </w:r>
      <w:r w:rsidR="00237EDA">
        <w:t xml:space="preserve"> </w:t>
      </w:r>
      <w:r w:rsidR="004E260C">
        <w:t xml:space="preserve">associated </w:t>
      </w:r>
      <w:r w:rsidR="00237EDA">
        <w:t>funding arrangements</w:t>
      </w:r>
    </w:p>
    <w:p w:rsidR="00B04556" w:rsidRDefault="00B04556" w:rsidP="00863D42">
      <w:pPr>
        <w:pStyle w:val="Dotpoint1"/>
      </w:pPr>
      <w:r>
        <w:t>t</w:t>
      </w:r>
      <w:r w:rsidR="00820035">
        <w:t>he outcomes of</w:t>
      </w:r>
      <w:r w:rsidR="00B013D7">
        <w:t xml:space="preserve"> the re</w:t>
      </w:r>
      <w:r w:rsidR="00BF1011">
        <w:t>design of VET FEE-</w:t>
      </w:r>
      <w:r>
        <w:t xml:space="preserve">HELP </w:t>
      </w:r>
    </w:p>
    <w:p w:rsidR="00820035" w:rsidRDefault="00B04556" w:rsidP="00863D42">
      <w:pPr>
        <w:pStyle w:val="Dotpoint1"/>
      </w:pPr>
      <w:proofErr w:type="gramStart"/>
      <w:r>
        <w:t>c</w:t>
      </w:r>
      <w:r w:rsidR="00190BB7">
        <w:t>hanges</w:t>
      </w:r>
      <w:proofErr w:type="gramEnd"/>
      <w:r w:rsidR="00190BB7">
        <w:t xml:space="preserve"> to FEE-</w:t>
      </w:r>
      <w:r w:rsidR="00820035">
        <w:t>HELP and higher education funding arrangements and targets</w:t>
      </w:r>
      <w:r w:rsidR="00D8441F">
        <w:t xml:space="preserve">, especially </w:t>
      </w:r>
      <w:r w:rsidR="00BF1011">
        <w:t>with regard</w:t>
      </w:r>
      <w:r w:rsidR="00D8441F">
        <w:t xml:space="preserve"> to </w:t>
      </w:r>
      <w:r w:rsidR="002A175A">
        <w:t xml:space="preserve">the </w:t>
      </w:r>
      <w:r w:rsidR="00D8441F">
        <w:t>AQF level 6 advanced diploma/associate degree area.</w:t>
      </w:r>
      <w:r w:rsidR="00597397">
        <w:t xml:space="preserve"> </w:t>
      </w:r>
      <w:r w:rsidR="00820035">
        <w:t xml:space="preserve"> </w:t>
      </w:r>
    </w:p>
    <w:p w:rsidR="00517BA8" w:rsidRDefault="00BF1011" w:rsidP="00301BD0">
      <w:pPr>
        <w:pStyle w:val="Text"/>
      </w:pPr>
      <w:r>
        <w:t>In the future</w:t>
      </w:r>
      <w:r w:rsidR="00B013D7">
        <w:t>, VET</w:t>
      </w:r>
      <w:r w:rsidR="00517BA8">
        <w:t xml:space="preserve"> participation under </w:t>
      </w:r>
      <w:r w:rsidR="00B013D7">
        <w:t>entitlement</w:t>
      </w:r>
      <w:r w:rsidR="00517BA8">
        <w:t xml:space="preserve"> models will be </w:t>
      </w:r>
      <w:r w:rsidR="00190BB7">
        <w:t>shown</w:t>
      </w:r>
      <w:r w:rsidR="00517BA8">
        <w:t xml:space="preserve"> as a com</w:t>
      </w:r>
      <w:r w:rsidR="00B013D7">
        <w:t>pon</w:t>
      </w:r>
      <w:r>
        <w:t>ent of total VET a</w:t>
      </w:r>
      <w:r w:rsidR="001E46AC">
        <w:t>ctivity</w:t>
      </w:r>
      <w:r w:rsidR="00B013D7">
        <w:t xml:space="preserve">, </w:t>
      </w:r>
      <w:r w:rsidR="00517BA8">
        <w:t>provid</w:t>
      </w:r>
      <w:r w:rsidR="00DD59C1">
        <w:t>ing</w:t>
      </w:r>
      <w:r>
        <w:t xml:space="preserve"> a </w:t>
      </w:r>
      <w:r w:rsidR="00517BA8">
        <w:t>wh</w:t>
      </w:r>
      <w:r w:rsidR="00190BB7">
        <w:t>ole-of-VET-</w:t>
      </w:r>
      <w:r>
        <w:t>sector</w:t>
      </w:r>
      <w:r w:rsidR="00517BA8">
        <w:t xml:space="preserve"> perspective, of which </w:t>
      </w:r>
      <w:r w:rsidR="00B013D7">
        <w:t>C</w:t>
      </w:r>
      <w:r>
        <w:t>ommonwealth/state-</w:t>
      </w:r>
      <w:r w:rsidR="00517BA8">
        <w:t xml:space="preserve">funded training will be but </w:t>
      </w:r>
      <w:r w:rsidR="00190BB7">
        <w:t xml:space="preserve">one </w:t>
      </w:r>
      <w:r w:rsidR="00517BA8">
        <w:t>part</w:t>
      </w:r>
      <w:r w:rsidR="00B013D7">
        <w:t xml:space="preserve">. </w:t>
      </w:r>
    </w:p>
    <w:p w:rsidR="007F2828" w:rsidRDefault="007F2828">
      <w:pPr>
        <w:spacing w:before="0" w:line="240" w:lineRule="auto"/>
        <w:rPr>
          <w:rFonts w:ascii="Arial" w:hAnsi="Arial" w:cs="Tahoma"/>
          <w:color w:val="000000"/>
          <w:kern w:val="28"/>
          <w:sz w:val="48"/>
          <w:szCs w:val="56"/>
        </w:rPr>
      </w:pPr>
      <w:r>
        <w:br w:type="page"/>
      </w:r>
    </w:p>
    <w:p w:rsidR="00256039" w:rsidRDefault="00D26FBA" w:rsidP="00256039">
      <w:pPr>
        <w:pStyle w:val="Heading1"/>
      </w:pPr>
      <w:bookmarkStart w:id="97" w:name="_Toc455569942"/>
      <w:r>
        <w:rPr>
          <w:noProof/>
          <w:lang w:eastAsia="en-AU"/>
        </w:rPr>
        <w:lastRenderedPageBreak/>
        <w:drawing>
          <wp:anchor distT="0" distB="0" distL="114300" distR="114300" simplePos="0" relativeHeight="252015616" behindDoc="1" locked="0" layoutInCell="1" allowOverlap="1" wp14:anchorId="30BD3909" wp14:editId="6641CDCF">
            <wp:simplePos x="0" y="0"/>
            <wp:positionH relativeFrom="column">
              <wp:posOffset>-17145</wp:posOffset>
            </wp:positionH>
            <wp:positionV relativeFrom="paragraph">
              <wp:posOffset>-20955</wp:posOffset>
            </wp:positionV>
            <wp:extent cx="414655" cy="414655"/>
            <wp:effectExtent l="0" t="0" r="0" b="0"/>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34" name="Picture 34"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LightBulb_Corp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BA8">
        <w:t>S</w:t>
      </w:r>
      <w:r w:rsidR="005D6475">
        <w:t>ome observations</w:t>
      </w:r>
      <w:bookmarkEnd w:id="97"/>
    </w:p>
    <w:p w:rsidR="00761B18" w:rsidRPr="0008268A" w:rsidRDefault="00E34F35" w:rsidP="008B6637">
      <w:pPr>
        <w:pStyle w:val="Text"/>
      </w:pPr>
      <w:r w:rsidRPr="0008268A">
        <w:t xml:space="preserve">We have </w:t>
      </w:r>
      <w:r w:rsidR="00DD59C1">
        <w:t>discussed</w:t>
      </w:r>
      <w:r w:rsidR="00761B18" w:rsidRPr="0008268A">
        <w:t xml:space="preserve"> </w:t>
      </w:r>
      <w:r w:rsidR="00BF7294">
        <w:t>the</w:t>
      </w:r>
      <w:r w:rsidR="00C0525E" w:rsidRPr="0008268A">
        <w:t xml:space="preserve"> considerable policy intervention</w:t>
      </w:r>
      <w:r w:rsidR="00761B18" w:rsidRPr="0008268A">
        <w:t xml:space="preserve"> in the VET</w:t>
      </w:r>
      <w:r w:rsidRPr="0008268A">
        <w:t xml:space="preserve"> sector over the past 20 years,</w:t>
      </w:r>
      <w:r w:rsidR="00761B18" w:rsidRPr="0008268A">
        <w:t xml:space="preserve"> </w:t>
      </w:r>
      <w:r w:rsidR="009A66D6">
        <w:t xml:space="preserve">some of </w:t>
      </w:r>
      <w:r w:rsidR="00D37088" w:rsidRPr="0008268A">
        <w:t>which is reflected in</w:t>
      </w:r>
      <w:r w:rsidR="00161630" w:rsidRPr="0008268A">
        <w:t xml:space="preserve"> </w:t>
      </w:r>
      <w:r w:rsidR="00BF7294">
        <w:t>VET</w:t>
      </w:r>
      <w:r w:rsidR="00D37088" w:rsidRPr="0008268A">
        <w:t xml:space="preserve"> participation rates</w:t>
      </w:r>
      <w:r w:rsidR="00C0525E" w:rsidRPr="0008268A">
        <w:t xml:space="preserve">. </w:t>
      </w:r>
      <w:r w:rsidR="00A6034F">
        <w:t>In</w:t>
      </w:r>
      <w:r w:rsidR="00997EBC">
        <w:t xml:space="preserve"> this chapter we examine</w:t>
      </w:r>
      <w:r w:rsidRPr="0008268A">
        <w:t xml:space="preserve"> some of the common themes and tensions emerging from our </w:t>
      </w:r>
      <w:r w:rsidR="00DD59C1">
        <w:t>investigation</w:t>
      </w:r>
      <w:r w:rsidRPr="0008268A">
        <w:t xml:space="preserve"> o</w:t>
      </w:r>
      <w:r w:rsidR="00355F33" w:rsidRPr="0008268A">
        <w:t>f</w:t>
      </w:r>
      <w:r w:rsidRPr="0008268A">
        <w:t xml:space="preserve"> policy trends and the policy case studies. Despite these policies arising from different contexts with different aims, it is evident </w:t>
      </w:r>
      <w:r w:rsidR="00997EBC">
        <w:t xml:space="preserve">that they share </w:t>
      </w:r>
      <w:r w:rsidRPr="0008268A">
        <w:t>common themes.</w:t>
      </w:r>
      <w:r w:rsidR="00597397">
        <w:t xml:space="preserve"> </w:t>
      </w:r>
    </w:p>
    <w:p w:rsidR="008E1CAE" w:rsidRDefault="008E1CAE" w:rsidP="008E1CAE">
      <w:pPr>
        <w:pStyle w:val="Heading2"/>
      </w:pPr>
      <w:bookmarkStart w:id="98" w:name="_Toc455569943"/>
      <w:r w:rsidRPr="0008268A">
        <w:t>The policy trends</w:t>
      </w:r>
      <w:bookmarkEnd w:id="98"/>
    </w:p>
    <w:p w:rsidR="00761B18" w:rsidRDefault="00761B18" w:rsidP="003E3810">
      <w:pPr>
        <w:pStyle w:val="Text"/>
      </w:pPr>
      <w:r>
        <w:t>In both apprenticeships and traineeships and</w:t>
      </w:r>
      <w:r w:rsidR="00E34F35">
        <w:t xml:space="preserve"> </w:t>
      </w:r>
      <w:r w:rsidR="00BF7294">
        <w:t xml:space="preserve">in </w:t>
      </w:r>
      <w:r w:rsidR="00E34F35">
        <w:t xml:space="preserve">the </w:t>
      </w:r>
      <w:r w:rsidR="00BF7294">
        <w:t>wider</w:t>
      </w:r>
      <w:r w:rsidR="00E34F35">
        <w:t xml:space="preserve"> VET system</w:t>
      </w:r>
      <w:r w:rsidR="00F65883">
        <w:t>,</w:t>
      </w:r>
      <w:r>
        <w:t xml:space="preserve"> we can see moves towards </w:t>
      </w:r>
      <w:r w:rsidR="00A6034F">
        <w:t>the opening-</w:t>
      </w:r>
      <w:r w:rsidR="00C0525E">
        <w:t xml:space="preserve">up </w:t>
      </w:r>
      <w:r w:rsidR="00A6034F">
        <w:t xml:space="preserve">of </w:t>
      </w:r>
      <w:r w:rsidR="00C0525E">
        <w:t>the sector to a</w:t>
      </w:r>
      <w:r>
        <w:t xml:space="preserve"> </w:t>
      </w:r>
      <w:r w:rsidR="00CF1092">
        <w:t xml:space="preserve">broader </w:t>
      </w:r>
      <w:r w:rsidR="00CE0CEC">
        <w:t>group of people</w:t>
      </w:r>
      <w:r w:rsidR="00C0525E">
        <w:t xml:space="preserve">. This includes: </w:t>
      </w:r>
    </w:p>
    <w:p w:rsidR="00C0525E" w:rsidRDefault="00F65883" w:rsidP="000D347F">
      <w:pPr>
        <w:pStyle w:val="Dotpoint1"/>
      </w:pPr>
      <w:r>
        <w:t xml:space="preserve">the </w:t>
      </w:r>
      <w:r w:rsidR="00BF7294">
        <w:t>expansion</w:t>
      </w:r>
      <w:r w:rsidR="00B70E5A">
        <w:t xml:space="preserve"> of the apprenticeship system</w:t>
      </w:r>
      <w:r w:rsidR="00C0525E">
        <w:t xml:space="preserve"> to include traineeships</w:t>
      </w:r>
      <w:r w:rsidR="00D27254">
        <w:t xml:space="preserve"> and a wider range of occupations</w:t>
      </w:r>
      <w:r w:rsidR="00C0525E">
        <w:t xml:space="preserve"> </w:t>
      </w:r>
      <w:r w:rsidR="00E9688E">
        <w:t xml:space="preserve">and age groups over the past 20 years, </w:t>
      </w:r>
      <w:r>
        <w:t>although</w:t>
      </w:r>
      <w:r w:rsidR="00E9688E">
        <w:t xml:space="preserve"> recently there has</w:t>
      </w:r>
      <w:r>
        <w:t xml:space="preserve"> been a decline in traineeships</w:t>
      </w:r>
      <w:r w:rsidR="00597397">
        <w:t xml:space="preserve"> </w:t>
      </w:r>
    </w:p>
    <w:p w:rsidR="00C0525E" w:rsidRDefault="00F65883" w:rsidP="000D347F">
      <w:pPr>
        <w:pStyle w:val="Dotpoint1"/>
      </w:pPr>
      <w:r>
        <w:t>t</w:t>
      </w:r>
      <w:r w:rsidR="003B347C">
        <w:t>he introduction of</w:t>
      </w:r>
      <w:r w:rsidR="00C0525E">
        <w:t xml:space="preserve"> </w:t>
      </w:r>
      <w:r>
        <w:t>accelerated apprenticeships</w:t>
      </w:r>
      <w:r w:rsidR="00C0525E">
        <w:t xml:space="preserve"> </w:t>
      </w:r>
      <w:r w:rsidR="00E26523">
        <w:t>(both</w:t>
      </w:r>
      <w:r w:rsidR="00E26523" w:rsidRPr="00E26523">
        <w:t xml:space="preserve"> </w:t>
      </w:r>
      <w:r w:rsidR="003B347C">
        <w:t xml:space="preserve">as a </w:t>
      </w:r>
      <w:r w:rsidR="00E26523">
        <w:t xml:space="preserve">high-level </w:t>
      </w:r>
      <w:r w:rsidR="00E26523" w:rsidRPr="00E26523">
        <w:t>policy</w:t>
      </w:r>
      <w:r w:rsidR="003B347C">
        <w:t xml:space="preserve"> initiative and</w:t>
      </w:r>
      <w:r w:rsidR="00E26523">
        <w:t xml:space="preserve"> </w:t>
      </w:r>
      <w:r w:rsidR="003B347C">
        <w:t>a</w:t>
      </w:r>
      <w:r w:rsidR="00E26523">
        <w:t xml:space="preserve"> specific</w:t>
      </w:r>
      <w:r w:rsidR="003B347C">
        <w:t xml:space="preserve"> program</w:t>
      </w:r>
      <w:r w:rsidR="00E26523">
        <w:t>)</w:t>
      </w:r>
      <w:r>
        <w:t>,</w:t>
      </w:r>
      <w:r w:rsidR="00E26523" w:rsidRPr="00E26523">
        <w:t xml:space="preserve"> </w:t>
      </w:r>
      <w:r w:rsidR="00FD3362">
        <w:t>with the</w:t>
      </w:r>
      <w:r w:rsidR="00C0525E">
        <w:t xml:space="preserve"> aim </w:t>
      </w:r>
      <w:r w:rsidR="00FD3362">
        <w:t>of attracting</w:t>
      </w:r>
      <w:r w:rsidR="00C0525E">
        <w:t xml:space="preserve"> </w:t>
      </w:r>
      <w:r w:rsidR="007E7450">
        <w:t>more people to complete an apprenticeship</w:t>
      </w:r>
      <w:r w:rsidR="008416B7">
        <w:t xml:space="preserve"> more quickly</w:t>
      </w:r>
      <w:r w:rsidR="007E7450">
        <w:t>, p</w:t>
      </w:r>
      <w:r>
        <w:t>articularly adult apprentices</w:t>
      </w:r>
      <w:r w:rsidR="007E7450">
        <w:t xml:space="preserve"> </w:t>
      </w:r>
    </w:p>
    <w:p w:rsidR="00761B18" w:rsidRDefault="00F65883" w:rsidP="000D347F">
      <w:pPr>
        <w:pStyle w:val="Dotpoint1"/>
      </w:pPr>
      <w:r>
        <w:t>i</w:t>
      </w:r>
      <w:r w:rsidR="00C0525E">
        <w:t>ncentive payments specificall</w:t>
      </w:r>
      <w:r>
        <w:t xml:space="preserve">y targeted to apprentices from </w:t>
      </w:r>
      <w:r w:rsidR="00C0525E">
        <w:t>disadvantage</w:t>
      </w:r>
      <w:r w:rsidR="00884840">
        <w:t>d</w:t>
      </w:r>
      <w:r w:rsidR="00C0525E">
        <w:t xml:space="preserve"> groups</w:t>
      </w:r>
      <w:r w:rsidR="00D27254">
        <w:t xml:space="preserve">, and </w:t>
      </w:r>
      <w:r w:rsidR="00884840">
        <w:t xml:space="preserve">other </w:t>
      </w:r>
      <w:r w:rsidR="00D27254">
        <w:t>groups of people who have not traditionally undertaken apprenticeships</w:t>
      </w:r>
      <w:r w:rsidR="005C022C">
        <w:t xml:space="preserve"> </w:t>
      </w:r>
    </w:p>
    <w:p w:rsidR="00C0525E" w:rsidRDefault="00F65883" w:rsidP="000D347F">
      <w:pPr>
        <w:pStyle w:val="Dotpoint1"/>
      </w:pPr>
      <w:r>
        <w:t>t</w:t>
      </w:r>
      <w:r w:rsidR="003B347C">
        <w:t>he introduction of s</w:t>
      </w:r>
      <w:r w:rsidR="00C0525E">
        <w:t>tudent entitlement models</w:t>
      </w:r>
      <w:r w:rsidR="003B347C">
        <w:t xml:space="preserve"> to </w:t>
      </w:r>
      <w:r>
        <w:t xml:space="preserve">the </w:t>
      </w:r>
      <w:r w:rsidR="003B347C">
        <w:t xml:space="preserve">funding </w:t>
      </w:r>
      <w:r>
        <w:t xml:space="preserve">of </w:t>
      </w:r>
      <w:r w:rsidR="003B347C">
        <w:t>VET,</w:t>
      </w:r>
      <w:r w:rsidR="00C0525E">
        <w:t xml:space="preserve"> with the aim of </w:t>
      </w:r>
      <w:r w:rsidR="00E26523">
        <w:t xml:space="preserve">assisting people with low </w:t>
      </w:r>
      <w:r w:rsidR="00C0525E">
        <w:t>levels of</w:t>
      </w:r>
      <w:r w:rsidR="00E26523">
        <w:t xml:space="preserve"> education t</w:t>
      </w:r>
      <w:r>
        <w:t>o gain an initial qualification</w:t>
      </w:r>
      <w:r w:rsidR="005C022C">
        <w:t xml:space="preserve"> </w:t>
      </w:r>
    </w:p>
    <w:p w:rsidR="00E34EDE" w:rsidRDefault="00F65883" w:rsidP="000D347F">
      <w:pPr>
        <w:pStyle w:val="Dotpoint1"/>
      </w:pPr>
      <w:proofErr w:type="gramStart"/>
      <w:r>
        <w:t>t</w:t>
      </w:r>
      <w:r w:rsidR="003A4A7B">
        <w:t>he</w:t>
      </w:r>
      <w:proofErr w:type="gramEnd"/>
      <w:r w:rsidR="003A4A7B">
        <w:t xml:space="preserve"> introduction of t</w:t>
      </w:r>
      <w:r w:rsidR="00E34EDE">
        <w:t>argets</w:t>
      </w:r>
      <w:r w:rsidR="003A4A7B">
        <w:t xml:space="preserve"> for increasing the p</w:t>
      </w:r>
      <w:r>
        <w:t>roportion of people with higher-</w:t>
      </w:r>
      <w:r w:rsidR="003A4A7B">
        <w:t>level VET qualifications</w:t>
      </w:r>
      <w:r w:rsidR="00E34EDE">
        <w:t xml:space="preserve">, despite static funding for the sector. </w:t>
      </w:r>
    </w:p>
    <w:p w:rsidR="008E1CAE" w:rsidRDefault="006413FF" w:rsidP="008E1CAE">
      <w:pPr>
        <w:pStyle w:val="Text"/>
      </w:pPr>
      <w:r>
        <w:t>O</w:t>
      </w:r>
      <w:r w:rsidR="00CE0CEC">
        <w:t>verall</w:t>
      </w:r>
      <w:r>
        <w:t>, there has been an</w:t>
      </w:r>
      <w:r w:rsidR="00CE0CEC">
        <w:t xml:space="preserve"> </w:t>
      </w:r>
      <w:r w:rsidR="008E1CAE">
        <w:t>expan</w:t>
      </w:r>
      <w:r w:rsidR="00884840">
        <w:t xml:space="preserve">sion of the sector </w:t>
      </w:r>
      <w:r>
        <w:t>in the last few decades</w:t>
      </w:r>
      <w:r w:rsidR="00E34F35">
        <w:t>, particularly at c</w:t>
      </w:r>
      <w:r w:rsidR="00A6034F">
        <w:t>ertificate III level</w:t>
      </w:r>
      <w:r w:rsidR="008E1CAE">
        <w:t xml:space="preserve"> and above. But the focus of policy has</w:t>
      </w:r>
      <w:r w:rsidR="00E44006">
        <w:t xml:space="preserve"> </w:t>
      </w:r>
      <w:r w:rsidR="008E1CAE">
        <w:t>n</w:t>
      </w:r>
      <w:r w:rsidR="006E540F">
        <w:t>o</w:t>
      </w:r>
      <w:r w:rsidR="008E1CAE">
        <w:t xml:space="preserve">t been </w:t>
      </w:r>
      <w:r w:rsidR="00BF7294">
        <w:t xml:space="preserve">merely </w:t>
      </w:r>
      <w:r w:rsidR="008E1CAE">
        <w:t>to get more pe</w:t>
      </w:r>
      <w:r w:rsidR="009314DC">
        <w:t>ople more qualified;</w:t>
      </w:r>
      <w:r w:rsidR="008E1CAE">
        <w:t xml:space="preserve"> there has also been an </w:t>
      </w:r>
      <w:r w:rsidR="00F65883">
        <w:t xml:space="preserve">emphasis on empowering </w:t>
      </w:r>
      <w:r w:rsidR="00B04630">
        <w:t>consumer</w:t>
      </w:r>
      <w:r w:rsidR="00F65883">
        <w:t>s</w:t>
      </w:r>
      <w:r w:rsidR="008E1CAE">
        <w:t xml:space="preserve"> by</w:t>
      </w:r>
      <w:r w:rsidR="00F65883">
        <w:t xml:space="preserve"> increasing their choice</w:t>
      </w:r>
      <w:r w:rsidR="00884840">
        <w:t xml:space="preserve"> and providing </w:t>
      </w:r>
      <w:r w:rsidR="00BF7294">
        <w:t xml:space="preserve">them with </w:t>
      </w:r>
      <w:r w:rsidR="00884840">
        <w:t xml:space="preserve">more information on providers, courses and outcomes, </w:t>
      </w:r>
      <w:r w:rsidR="00F65883">
        <w:t>with the aim of</w:t>
      </w:r>
      <w:r w:rsidR="008E1CAE">
        <w:t xml:space="preserve"> </w:t>
      </w:r>
      <w:r w:rsidR="00B04630">
        <w:t>giving students and</w:t>
      </w:r>
      <w:r w:rsidR="00F65883">
        <w:t xml:space="preserve"> </w:t>
      </w:r>
      <w:proofErr w:type="gramStart"/>
      <w:r w:rsidR="00F65883">
        <w:t>employers</w:t>
      </w:r>
      <w:proofErr w:type="gramEnd"/>
      <w:r w:rsidR="00161630">
        <w:t xml:space="preserve"> </w:t>
      </w:r>
      <w:r w:rsidR="008E1CAE">
        <w:t>greater control over their training options. This includes:</w:t>
      </w:r>
    </w:p>
    <w:p w:rsidR="009334B0" w:rsidRDefault="00F65883" w:rsidP="009334B0">
      <w:pPr>
        <w:pStyle w:val="Dotpoint1"/>
      </w:pPr>
      <w:r>
        <w:t>a</w:t>
      </w:r>
      <w:r w:rsidR="009334B0">
        <w:t xml:space="preserve"> move towards contestable training markets and enabling greater employer and student choice when i</w:t>
      </w:r>
      <w:r>
        <w:t>t comes to selecting a provider</w:t>
      </w:r>
      <w:r w:rsidR="009334B0">
        <w:t xml:space="preserve"> </w:t>
      </w:r>
    </w:p>
    <w:p w:rsidR="008E1CAE" w:rsidRDefault="00F65883" w:rsidP="000D347F">
      <w:pPr>
        <w:pStyle w:val="Dotpoint1"/>
      </w:pPr>
      <w:r>
        <w:t>the introduction of user choice</w:t>
      </w:r>
      <w:r w:rsidR="00F57819">
        <w:t xml:space="preserve"> in the mid-1990s</w:t>
      </w:r>
      <w:r w:rsidR="006413FF">
        <w:t xml:space="preserve"> for employ</w:t>
      </w:r>
      <w:r>
        <w:t>ers of apprentices and trainees</w:t>
      </w:r>
      <w:r w:rsidR="006413FF">
        <w:t xml:space="preserve"> </w:t>
      </w:r>
    </w:p>
    <w:p w:rsidR="009334B0" w:rsidRDefault="00F65883" w:rsidP="000D347F">
      <w:pPr>
        <w:pStyle w:val="Dotpoint1"/>
      </w:pPr>
      <w:r>
        <w:t>the i</w:t>
      </w:r>
      <w:r w:rsidR="009334B0">
        <w:t xml:space="preserve">ntroduction of </w:t>
      </w:r>
      <w:r>
        <w:t xml:space="preserve">demand-driven models of funding, in which </w:t>
      </w:r>
      <w:r w:rsidR="00BF7294">
        <w:t xml:space="preserve">from 2009 onwards  </w:t>
      </w:r>
      <w:r w:rsidR="009334B0">
        <w:t>students have a training entitlement</w:t>
      </w:r>
      <w:r w:rsidR="00E865FB">
        <w:t xml:space="preserve"> </w:t>
      </w:r>
    </w:p>
    <w:p w:rsidR="00884840" w:rsidRDefault="00F65883" w:rsidP="000D347F">
      <w:pPr>
        <w:pStyle w:val="Dotpoint1"/>
      </w:pPr>
      <w:r>
        <w:t xml:space="preserve">increased </w:t>
      </w:r>
      <w:r w:rsidR="00884840">
        <w:t xml:space="preserve">support services for apprentices and trainees, including various forms of financial assistance and </w:t>
      </w:r>
      <w:r>
        <w:t>particular programs or services</w:t>
      </w:r>
      <w:r w:rsidR="005C022C">
        <w:t xml:space="preserve"> </w:t>
      </w:r>
    </w:p>
    <w:p w:rsidR="008E1CAE" w:rsidRDefault="00F65883" w:rsidP="00E865FB">
      <w:pPr>
        <w:pStyle w:val="Dotpoint1"/>
      </w:pPr>
      <w:r>
        <w:t>w</w:t>
      </w:r>
      <w:r w:rsidR="00F57819" w:rsidRPr="00F57819">
        <w:t xml:space="preserve">ithin the </w:t>
      </w:r>
      <w:r w:rsidR="00E865FB">
        <w:t xml:space="preserve">context of a </w:t>
      </w:r>
      <w:r w:rsidR="00F57819" w:rsidRPr="00F57819">
        <w:t>competency-based system</w:t>
      </w:r>
      <w:r w:rsidR="00F57819">
        <w:t>,</w:t>
      </w:r>
      <w:r w:rsidR="00E865FB" w:rsidRPr="00E865FB">
        <w:t xml:space="preserve"> </w:t>
      </w:r>
      <w:r w:rsidR="00E865FB">
        <w:t>a</w:t>
      </w:r>
      <w:r w:rsidR="00E865FB" w:rsidRPr="00E865FB">
        <w:t xml:space="preserve"> more concerted effort</w:t>
      </w:r>
      <w:r w:rsidR="00F57819">
        <w:t xml:space="preserve"> to promote </w:t>
      </w:r>
      <w:r w:rsidR="007E7450">
        <w:t>accelerated apprenticeships</w:t>
      </w:r>
      <w:r w:rsidR="008E1CAE">
        <w:t xml:space="preserve"> </w:t>
      </w:r>
      <w:r w:rsidR="00F57819">
        <w:t>to</w:t>
      </w:r>
      <w:r w:rsidR="008E1CAE">
        <w:t xml:space="preserve"> facilitate </w:t>
      </w:r>
      <w:r>
        <w:t>earlier completion</w:t>
      </w:r>
      <w:r w:rsidR="008E1CAE">
        <w:t xml:space="preserve"> </w:t>
      </w:r>
    </w:p>
    <w:p w:rsidR="008E1CAE" w:rsidRDefault="00F65883" w:rsidP="000D347F">
      <w:pPr>
        <w:pStyle w:val="Dotpoint1"/>
      </w:pPr>
      <w:proofErr w:type="gramStart"/>
      <w:r>
        <w:lastRenderedPageBreak/>
        <w:t>the</w:t>
      </w:r>
      <w:proofErr w:type="gramEnd"/>
      <w:r>
        <w:t xml:space="preserve"> d</w:t>
      </w:r>
      <w:r w:rsidR="00E865FB">
        <w:t xml:space="preserve">evelopment of </w:t>
      </w:r>
      <w:proofErr w:type="spellStart"/>
      <w:r w:rsidR="008E1CAE">
        <w:t>MySkills</w:t>
      </w:r>
      <w:proofErr w:type="spellEnd"/>
      <w:r w:rsidR="008E1CAE">
        <w:t xml:space="preserve"> and other forums for potential students to </w:t>
      </w:r>
      <w:r w:rsidR="00CF1092">
        <w:t xml:space="preserve">enable them to investigate </w:t>
      </w:r>
      <w:r w:rsidR="008E1CAE">
        <w:t>their course of interest and</w:t>
      </w:r>
      <w:r w:rsidR="006F4D1D">
        <w:t xml:space="preserve"> emplo</w:t>
      </w:r>
      <w:r w:rsidR="002A175A">
        <w:t>yment and income outcomes (see a</w:t>
      </w:r>
      <w:r w:rsidR="006F4D1D">
        <w:t>ppendix A).</w:t>
      </w:r>
      <w:r w:rsidR="008E1CAE">
        <w:t xml:space="preserve"> </w:t>
      </w:r>
    </w:p>
    <w:p w:rsidR="003B347C" w:rsidRDefault="009314DC" w:rsidP="003E3810">
      <w:pPr>
        <w:pStyle w:val="Text"/>
      </w:pPr>
      <w:r>
        <w:t xml:space="preserve">Despite this emphasis on expanding the sector, </w:t>
      </w:r>
      <w:r w:rsidR="00F65883">
        <w:t xml:space="preserve">the </w:t>
      </w:r>
      <w:r>
        <w:t>pressure to curb</w:t>
      </w:r>
      <w:r w:rsidR="00237BF8">
        <w:t xml:space="preserve"> government</w:t>
      </w:r>
      <w:r>
        <w:t xml:space="preserve"> spending</w:t>
      </w:r>
      <w:r w:rsidR="00237BF8">
        <w:t xml:space="preserve"> on education</w:t>
      </w:r>
      <w:r>
        <w:t xml:space="preserve"> and </w:t>
      </w:r>
      <w:r w:rsidR="002A175A">
        <w:t xml:space="preserve">to </w:t>
      </w:r>
      <w:r w:rsidR="00F65883">
        <w:t>prevent</w:t>
      </w:r>
      <w:r>
        <w:t xml:space="preserve"> budget </w:t>
      </w:r>
      <w:r w:rsidR="00445BEB">
        <w:t>over</w:t>
      </w:r>
      <w:r w:rsidR="00752D6B">
        <w:t>-</w:t>
      </w:r>
      <w:r w:rsidR="00445BEB">
        <w:t>run</w:t>
      </w:r>
      <w:r>
        <w:t>s has also led to a more targeted approach to</w:t>
      </w:r>
      <w:r w:rsidR="00237BF8">
        <w:t xml:space="preserve"> the allocation of</w:t>
      </w:r>
      <w:r>
        <w:t xml:space="preserve"> funding. I</w:t>
      </w:r>
      <w:r w:rsidR="00E865FB">
        <w:t>t would appear that</w:t>
      </w:r>
      <w:r>
        <w:t xml:space="preserve"> funding is</w:t>
      </w:r>
      <w:r w:rsidR="00E865FB">
        <w:t xml:space="preserve"> increasingly</w:t>
      </w:r>
      <w:r>
        <w:t xml:space="preserve"> </w:t>
      </w:r>
      <w:r w:rsidR="00BF7294">
        <w:t>directed towards</w:t>
      </w:r>
      <w:r w:rsidR="00761B18">
        <w:t xml:space="preserve"> </w:t>
      </w:r>
      <w:r w:rsidR="00F65883">
        <w:t xml:space="preserve">the </w:t>
      </w:r>
      <w:r w:rsidR="00761B18">
        <w:t>skills and occupations need</w:t>
      </w:r>
      <w:r w:rsidR="00884840">
        <w:t>ed</w:t>
      </w:r>
      <w:r w:rsidR="00A6034F">
        <w:t xml:space="preserve"> in the labour market</w:t>
      </w:r>
      <w:r w:rsidR="00B70E5A">
        <w:t xml:space="preserve"> or </w:t>
      </w:r>
      <w:r w:rsidR="00CF1092">
        <w:t xml:space="preserve">to </w:t>
      </w:r>
      <w:r>
        <w:t xml:space="preserve">local </w:t>
      </w:r>
      <w:r w:rsidR="00B70E5A">
        <w:t>employment outcomes</w:t>
      </w:r>
      <w:r>
        <w:t xml:space="preserve"> at the state and territory</w:t>
      </w:r>
      <w:r w:rsidR="00884840">
        <w:t xml:space="preserve"> or regional</w:t>
      </w:r>
      <w:r>
        <w:t xml:space="preserve"> level</w:t>
      </w:r>
      <w:r w:rsidR="00A6034F">
        <w:t>s</w:t>
      </w:r>
      <w:r>
        <w:t>.</w:t>
      </w:r>
      <w:r w:rsidR="00761B18">
        <w:t xml:space="preserve"> </w:t>
      </w:r>
      <w:r>
        <w:t>As such, funding decisions are guided by</w:t>
      </w:r>
      <w:r w:rsidR="003B347C">
        <w:t xml:space="preserve"> </w:t>
      </w:r>
      <w:r w:rsidR="00761B18">
        <w:t xml:space="preserve">various priority skills and occupations </w:t>
      </w:r>
      <w:r w:rsidR="003B347C">
        <w:t>lists</w:t>
      </w:r>
      <w:r w:rsidR="00DD59C1">
        <w:t>,</w:t>
      </w:r>
      <w:r w:rsidR="003B347C">
        <w:t xml:space="preserve"> at both the </w:t>
      </w:r>
      <w:r w:rsidR="00B1616E">
        <w:t>federal</w:t>
      </w:r>
      <w:r w:rsidR="003B347C">
        <w:t xml:space="preserve"> and </w:t>
      </w:r>
      <w:r w:rsidR="00F65883">
        <w:t xml:space="preserve">state and territory </w:t>
      </w:r>
      <w:r w:rsidR="003B347C">
        <w:t>levels</w:t>
      </w:r>
      <w:r w:rsidR="007E7450">
        <w:t>. This</w:t>
      </w:r>
      <w:r w:rsidR="00761B18">
        <w:t xml:space="preserve"> </w:t>
      </w:r>
      <w:r>
        <w:t xml:space="preserve">more targeted approach to funding is </w:t>
      </w:r>
      <w:r w:rsidR="00761B18">
        <w:t>particularly evident through</w:t>
      </w:r>
      <w:r w:rsidR="003B347C">
        <w:t>:</w:t>
      </w:r>
    </w:p>
    <w:p w:rsidR="003B347C" w:rsidRDefault="00F65883" w:rsidP="000D347F">
      <w:pPr>
        <w:pStyle w:val="Dotpoint1"/>
      </w:pPr>
      <w:r>
        <w:t xml:space="preserve">the </w:t>
      </w:r>
      <w:r w:rsidR="00EF17B8">
        <w:t>re</w:t>
      </w:r>
      <w:r>
        <w:t>-</w:t>
      </w:r>
      <w:r w:rsidR="00EF17B8">
        <w:t>engineering</w:t>
      </w:r>
      <w:r w:rsidR="00761B18">
        <w:t xml:space="preserve"> </w:t>
      </w:r>
      <w:r>
        <w:t xml:space="preserve">of </w:t>
      </w:r>
      <w:r w:rsidR="00761B18">
        <w:t xml:space="preserve">employer incentive payments for apprenticeships </w:t>
      </w:r>
      <w:r>
        <w:t>and traineeships</w:t>
      </w:r>
      <w:r w:rsidR="00A6034F">
        <w:t>,</w:t>
      </w:r>
      <w:r>
        <w:t xml:space="preserve"> such that</w:t>
      </w:r>
      <w:r w:rsidR="003B347C">
        <w:t xml:space="preserve"> financial incentives to employers are payable only in areas deemed to be experiencing skills shortage</w:t>
      </w:r>
      <w:r>
        <w:t>, as</w:t>
      </w:r>
      <w:r w:rsidR="003B347C">
        <w:t xml:space="preserve"> </w:t>
      </w:r>
      <w:r w:rsidR="00B70E5A">
        <w:t>outlined i</w:t>
      </w:r>
      <w:r w:rsidR="003B347C">
        <w:t>n the</w:t>
      </w:r>
      <w:r w:rsidR="00B70E5A">
        <w:t xml:space="preserve"> </w:t>
      </w:r>
      <w:r w:rsidR="00B1616E">
        <w:t>Australian Government</w:t>
      </w:r>
      <w:r w:rsidR="00B70E5A">
        <w:t>’s</w:t>
      </w:r>
      <w:r>
        <w:t xml:space="preserve"> National Skills Needs List</w:t>
      </w:r>
    </w:p>
    <w:p w:rsidR="00043816" w:rsidRDefault="00F65883" w:rsidP="000D347F">
      <w:pPr>
        <w:pStyle w:val="Dotpoint1"/>
      </w:pPr>
      <w:r>
        <w:t>t</w:t>
      </w:r>
      <w:r w:rsidR="00043816">
        <w:t>he reformed Victorian entitlement model, which now varies</w:t>
      </w:r>
      <w:r w:rsidR="00043816" w:rsidRPr="00043816">
        <w:t xml:space="preserve"> the subsidy levels of courses according to the</w:t>
      </w:r>
      <w:r w:rsidR="00237BF8">
        <w:t xml:space="preserve"> perceived</w:t>
      </w:r>
      <w:r w:rsidR="00043816" w:rsidRPr="00043816">
        <w:t xml:space="preserve"> ‘public value’ of a course</w:t>
      </w:r>
    </w:p>
    <w:p w:rsidR="00043816" w:rsidRDefault="00F65883" w:rsidP="000D347F">
      <w:pPr>
        <w:pStyle w:val="Dotpoint1"/>
      </w:pPr>
      <w:r>
        <w:t>t</w:t>
      </w:r>
      <w:r w:rsidR="003B347C">
        <w:t>he r</w:t>
      </w:r>
      <w:r w:rsidR="0056095E">
        <w:t>eformed entitlement model in</w:t>
      </w:r>
      <w:r w:rsidR="003B347C">
        <w:t xml:space="preserve"> South Australia</w:t>
      </w:r>
      <w:r w:rsidR="00043816">
        <w:t>, which is</w:t>
      </w:r>
      <w:r w:rsidR="003B347C">
        <w:t xml:space="preserve"> now guided by </w:t>
      </w:r>
      <w:r w:rsidR="00CF1092">
        <w:t xml:space="preserve">the </w:t>
      </w:r>
      <w:r w:rsidR="00043816">
        <w:t>Funded Training List/Subsidised Training List</w:t>
      </w:r>
      <w:r w:rsidR="00A6034F">
        <w:t>,</w:t>
      </w:r>
      <w:r w:rsidR="00043816">
        <w:t xml:space="preserve"> </w:t>
      </w:r>
      <w:r w:rsidR="00752D6B">
        <w:t xml:space="preserve">which is </w:t>
      </w:r>
      <w:r w:rsidR="00043816">
        <w:t xml:space="preserve">linked </w:t>
      </w:r>
      <w:r>
        <w:t>to local employment opportunities</w:t>
      </w:r>
      <w:r w:rsidR="00043816">
        <w:t xml:space="preserve"> </w:t>
      </w:r>
    </w:p>
    <w:p w:rsidR="00C54FEE" w:rsidRDefault="00CF1092" w:rsidP="000D347F">
      <w:pPr>
        <w:pStyle w:val="Dotpoint1"/>
      </w:pPr>
      <w:r>
        <w:t xml:space="preserve">the </w:t>
      </w:r>
      <w:r w:rsidR="00043816">
        <w:t xml:space="preserve">varying subsidy levels and </w:t>
      </w:r>
      <w:r w:rsidR="00EF17B8">
        <w:t xml:space="preserve">priority </w:t>
      </w:r>
      <w:r w:rsidR="00043816">
        <w:t xml:space="preserve">skills lists </w:t>
      </w:r>
      <w:r>
        <w:t xml:space="preserve">that have also </w:t>
      </w:r>
      <w:r w:rsidR="00A6034F">
        <w:t xml:space="preserve">been </w:t>
      </w:r>
      <w:r>
        <w:t xml:space="preserve">introduced in other states and territories </w:t>
      </w:r>
      <w:r w:rsidR="00043816">
        <w:t>according to the perceived public value and skills needs</w:t>
      </w:r>
      <w:r w:rsidR="00EF17B8">
        <w:t xml:space="preserve"> in the labour market</w:t>
      </w:r>
    </w:p>
    <w:p w:rsidR="00B70E5A" w:rsidRDefault="00C54FEE" w:rsidP="000D347F">
      <w:pPr>
        <w:pStyle w:val="Dotpoint1"/>
      </w:pPr>
      <w:proofErr w:type="gramStart"/>
      <w:r>
        <w:t>the</w:t>
      </w:r>
      <w:proofErr w:type="gramEnd"/>
      <w:r>
        <w:t xml:space="preserve"> nature of </w:t>
      </w:r>
      <w:r w:rsidR="00752D6B">
        <w:t>the options made in the VET FEE-</w:t>
      </w:r>
      <w:r>
        <w:t xml:space="preserve">HELP </w:t>
      </w:r>
      <w:r w:rsidR="004711F1">
        <w:t>r</w:t>
      </w:r>
      <w:r>
        <w:t>edesign paper</w:t>
      </w:r>
      <w:r w:rsidR="00043816">
        <w:t>.</w:t>
      </w:r>
      <w:r w:rsidR="005C022C">
        <w:t xml:space="preserve"> </w:t>
      </w:r>
    </w:p>
    <w:p w:rsidR="003A4A7B" w:rsidRDefault="003A4A7B" w:rsidP="003A4A7B">
      <w:pPr>
        <w:pStyle w:val="Heading2"/>
      </w:pPr>
      <w:bookmarkStart w:id="99" w:name="_Toc455569944"/>
      <w:r>
        <w:t>Tensions in the system</w:t>
      </w:r>
      <w:bookmarkEnd w:id="99"/>
    </w:p>
    <w:p w:rsidR="00864CDA" w:rsidRDefault="00237BF8" w:rsidP="00D27254">
      <w:pPr>
        <w:pStyle w:val="Text"/>
      </w:pPr>
      <w:r>
        <w:t>In some regards there</w:t>
      </w:r>
      <w:r w:rsidR="00744B58">
        <w:t xml:space="preserve"> is now a tension in the system</w:t>
      </w:r>
      <w:r w:rsidR="00CF1092">
        <w:t xml:space="preserve">, given that it </w:t>
      </w:r>
      <w:r w:rsidR="00BF7294">
        <w:t>has become</w:t>
      </w:r>
      <w:r w:rsidR="00CF1092">
        <w:t xml:space="preserve"> difficult to identify the</w:t>
      </w:r>
      <w:r w:rsidR="00864CDA">
        <w:t xml:space="preserve"> factors </w:t>
      </w:r>
      <w:r w:rsidR="00CF1092">
        <w:t xml:space="preserve">that </w:t>
      </w:r>
      <w:r w:rsidR="00864CDA">
        <w:t>drive</w:t>
      </w:r>
      <w:r>
        <w:t xml:space="preserve"> go</w:t>
      </w:r>
      <w:r w:rsidR="00744B58">
        <w:t xml:space="preserve">vernment investment in training. </w:t>
      </w:r>
      <w:r w:rsidR="00A6034F">
        <w:t>On</w:t>
      </w:r>
      <w:r w:rsidR="00864CDA">
        <w:t xml:space="preserve"> the one hand t</w:t>
      </w:r>
      <w:r w:rsidR="00744B58">
        <w:t>here is a</w:t>
      </w:r>
      <w:r>
        <w:t xml:space="preserve"> desire to have a more contestable training market</w:t>
      </w:r>
      <w:r w:rsidR="00A6034F">
        <w:t>, one</w:t>
      </w:r>
      <w:r>
        <w:t xml:space="preserve"> predicated </w:t>
      </w:r>
      <w:r w:rsidR="009F4052">
        <w:t>on concepts of user choice</w:t>
      </w:r>
      <w:r w:rsidR="00864CDA">
        <w:t>,</w:t>
      </w:r>
      <w:r w:rsidR="009F4052">
        <w:t xml:space="preserve"> student choice and a demand-driven</w:t>
      </w:r>
      <w:r w:rsidR="00864CDA">
        <w:t xml:space="preserve"> system; on the other hand, that</w:t>
      </w:r>
      <w:r w:rsidR="009F4052">
        <w:t xml:space="preserve"> choice</w:t>
      </w:r>
      <w:r>
        <w:t xml:space="preserve"> is limited, as it is </w:t>
      </w:r>
      <w:r w:rsidR="00CF1092">
        <w:t>partially constrained</w:t>
      </w:r>
      <w:r>
        <w:t xml:space="preserve"> by pre-identified skills</w:t>
      </w:r>
      <w:r w:rsidR="00744B58">
        <w:t xml:space="preserve"> needs a</w:t>
      </w:r>
      <w:r w:rsidR="00864CDA">
        <w:t>nd various eligibility criteria</w:t>
      </w:r>
      <w:r w:rsidR="00A6034F">
        <w:t>,</w:t>
      </w:r>
      <w:r w:rsidR="00864CDA">
        <w:t xml:space="preserve"> imposed to provide some guidance and control over the system. </w:t>
      </w:r>
      <w:r w:rsidR="00CF1092">
        <w:t>The</w:t>
      </w:r>
      <w:r w:rsidR="00AA1272">
        <w:t xml:space="preserve"> tension between providi</w:t>
      </w:r>
      <w:r w:rsidR="009F4052">
        <w:t>ng skills for the labour mar</w:t>
      </w:r>
      <w:r w:rsidR="00CF1092">
        <w:t>ket and enabling student choice begs the question of</w:t>
      </w:r>
      <w:r w:rsidR="00AA1272">
        <w:t xml:space="preserve"> how do governments mediate between demand for certain ‘popular’ qualifications and their actual occupational outcomes?</w:t>
      </w:r>
    </w:p>
    <w:p w:rsidR="00237BF8" w:rsidRDefault="00E865FB" w:rsidP="00D27254">
      <w:pPr>
        <w:pStyle w:val="Text"/>
      </w:pPr>
      <w:r>
        <w:t>Related to this is t</w:t>
      </w:r>
      <w:r w:rsidR="00A307AD">
        <w:t>he rise of the contestable VET system</w:t>
      </w:r>
      <w:r>
        <w:t>, which</w:t>
      </w:r>
      <w:r w:rsidR="006E540F">
        <w:t xml:space="preserve"> </w:t>
      </w:r>
      <w:r w:rsidR="00E44006">
        <w:t>produces</w:t>
      </w:r>
      <w:r w:rsidR="0064416D">
        <w:t xml:space="preserve"> another tension. </w:t>
      </w:r>
      <w:r w:rsidR="00A307AD">
        <w:t>How can governments find a balance between</w:t>
      </w:r>
      <w:r w:rsidR="0064416D">
        <w:t xml:space="preserve"> </w:t>
      </w:r>
      <w:r w:rsidR="00A307AD">
        <w:t xml:space="preserve">the </w:t>
      </w:r>
      <w:proofErr w:type="gramStart"/>
      <w:r w:rsidR="00A307AD">
        <w:t>creation</w:t>
      </w:r>
      <w:proofErr w:type="gramEnd"/>
      <w:r w:rsidR="0064416D">
        <w:t xml:space="preserve"> </w:t>
      </w:r>
      <w:r w:rsidR="00A307AD">
        <w:t>of</w:t>
      </w:r>
      <w:r w:rsidR="0064416D">
        <w:t xml:space="preserve"> contestable training markets</w:t>
      </w:r>
      <w:r w:rsidR="00A307AD">
        <w:t xml:space="preserve"> and then </w:t>
      </w:r>
      <w:r w:rsidR="00DA7E52">
        <w:t>appropriately</w:t>
      </w:r>
      <w:r w:rsidR="007E7450">
        <w:t xml:space="preserve"> regulat</w:t>
      </w:r>
      <w:r w:rsidR="00E44006">
        <w:t>e</w:t>
      </w:r>
      <w:r w:rsidR="00A307AD">
        <w:t xml:space="preserve"> these markets</w:t>
      </w:r>
      <w:r w:rsidR="0064416D">
        <w:t>?</w:t>
      </w:r>
      <w:r w:rsidR="00597397">
        <w:t xml:space="preserve"> </w:t>
      </w:r>
      <w:r w:rsidR="005C022C">
        <w:t xml:space="preserve"> </w:t>
      </w:r>
    </w:p>
    <w:p w:rsidR="003C1369" w:rsidRDefault="0064416D" w:rsidP="00864CDA">
      <w:pPr>
        <w:pStyle w:val="Text"/>
      </w:pPr>
      <w:r>
        <w:t xml:space="preserve">Consecutive governments at both national and </w:t>
      </w:r>
      <w:r w:rsidR="00E44006">
        <w:t xml:space="preserve">state </w:t>
      </w:r>
      <w:r>
        <w:t>leve</w:t>
      </w:r>
      <w:r w:rsidR="009F4052">
        <w:t xml:space="preserve">ls have been actively </w:t>
      </w:r>
      <w:r w:rsidR="00CF1092">
        <w:t>establishing</w:t>
      </w:r>
      <w:r w:rsidR="009F4052">
        <w:t xml:space="preserve"> contestable</w:t>
      </w:r>
      <w:r>
        <w:t xml:space="preserve"> training markets for some time, notably through </w:t>
      </w:r>
      <w:r w:rsidR="00864CDA">
        <w:t>user choice</w:t>
      </w:r>
      <w:r w:rsidR="009F4052">
        <w:t>, student choice</w:t>
      </w:r>
      <w:r w:rsidR="00DA7E52">
        <w:t xml:space="preserve"> entitlement models</w:t>
      </w:r>
      <w:r w:rsidR="00864CDA">
        <w:t xml:space="preserve"> </w:t>
      </w:r>
      <w:r w:rsidR="009F4052">
        <w:t>and VET FEE-</w:t>
      </w:r>
      <w:r>
        <w:t xml:space="preserve">HELP. But the creation of contestable training markets has led to unintended consequences, including budget </w:t>
      </w:r>
      <w:r w:rsidR="00964B95">
        <w:t>over</w:t>
      </w:r>
      <w:r w:rsidR="00752D6B">
        <w:t>-</w:t>
      </w:r>
      <w:r w:rsidR="00964B95">
        <w:t>runs</w:t>
      </w:r>
      <w:r w:rsidR="00DA7E52">
        <w:t xml:space="preserve"> and</w:t>
      </w:r>
      <w:r>
        <w:t xml:space="preserve"> </w:t>
      </w:r>
      <w:r w:rsidR="00BF3FE2">
        <w:t xml:space="preserve">multiple </w:t>
      </w:r>
      <w:r w:rsidR="00C54FEE">
        <w:t>providers co</w:t>
      </w:r>
      <w:r w:rsidR="00F7391D">
        <w:t>mpeting</w:t>
      </w:r>
      <w:r w:rsidR="00C54FEE">
        <w:t xml:space="preserve"> for both private and public funding</w:t>
      </w:r>
      <w:r w:rsidR="004711F1">
        <w:t>,</w:t>
      </w:r>
      <w:r w:rsidR="00C54FEE">
        <w:t xml:space="preserve"> </w:t>
      </w:r>
      <w:r w:rsidR="004167C2">
        <w:t xml:space="preserve">raising questions about </w:t>
      </w:r>
      <w:r w:rsidR="004167C2">
        <w:lastRenderedPageBreak/>
        <w:t xml:space="preserve">whether the training market is overcrowded and </w:t>
      </w:r>
      <w:r w:rsidR="006E540F">
        <w:t>the need for</w:t>
      </w:r>
      <w:r w:rsidR="004167C2">
        <w:t xml:space="preserve"> mechanisms</w:t>
      </w:r>
      <w:r w:rsidR="00AA1272">
        <w:t xml:space="preserve"> to </w:t>
      </w:r>
      <w:r w:rsidR="009F4052">
        <w:t xml:space="preserve">appropriately </w:t>
      </w:r>
      <w:r w:rsidR="00AA1272">
        <w:t>regulate the expanded</w:t>
      </w:r>
      <w:r w:rsidR="009F4052">
        <w:t xml:space="preserve"> training market</w:t>
      </w:r>
      <w:r w:rsidR="004167C2">
        <w:t xml:space="preserve">. </w:t>
      </w:r>
    </w:p>
    <w:p w:rsidR="00BB3169" w:rsidRDefault="00744B58" w:rsidP="00D27254">
      <w:pPr>
        <w:pStyle w:val="Text"/>
      </w:pPr>
      <w:r>
        <w:t xml:space="preserve">The discussion shows that </w:t>
      </w:r>
      <w:r w:rsidR="00D27254">
        <w:t>t</w:t>
      </w:r>
      <w:r w:rsidR="007838DF">
        <w:t xml:space="preserve">here are </w:t>
      </w:r>
      <w:r>
        <w:t xml:space="preserve">other </w:t>
      </w:r>
      <w:r w:rsidR="007838DF">
        <w:t>inhere</w:t>
      </w:r>
      <w:r w:rsidR="00D27254">
        <w:t>nt</w:t>
      </w:r>
      <w:r w:rsidR="00CB7773">
        <w:t xml:space="preserve"> and interrelated</w:t>
      </w:r>
      <w:r w:rsidR="00D27254">
        <w:t xml:space="preserve"> tensions in the system</w:t>
      </w:r>
      <w:r>
        <w:t xml:space="preserve">. </w:t>
      </w:r>
      <w:r w:rsidR="00D27254">
        <w:t>Bowman and McKenna</w:t>
      </w:r>
      <w:r>
        <w:t xml:space="preserve"> (2016)</w:t>
      </w:r>
      <w:r w:rsidR="00D27254">
        <w:t xml:space="preserve"> </w:t>
      </w:r>
      <w:r w:rsidR="00E44006">
        <w:t xml:space="preserve">also </w:t>
      </w:r>
      <w:r w:rsidR="00D27254">
        <w:t xml:space="preserve">identified the </w:t>
      </w:r>
      <w:r w:rsidR="00CF1092">
        <w:t>issue of</w:t>
      </w:r>
      <w:r w:rsidR="00D27254">
        <w:t xml:space="preserve"> </w:t>
      </w:r>
      <w:r w:rsidR="00BB3169">
        <w:t xml:space="preserve">ensuring consistency and flexibility in the </w:t>
      </w:r>
      <w:r w:rsidR="00322322">
        <w:t>system. Co</w:t>
      </w:r>
      <w:r w:rsidR="00F7391D">
        <w:t xml:space="preserve">nsistency </w:t>
      </w:r>
      <w:r w:rsidR="00417075">
        <w:t>in the sector is achieved</w:t>
      </w:r>
      <w:r w:rsidR="00322322">
        <w:t xml:space="preserve"> </w:t>
      </w:r>
      <w:r w:rsidR="009F4052">
        <w:t>through the application</w:t>
      </w:r>
      <w:r w:rsidR="00322322">
        <w:t xml:space="preserve"> of national </w:t>
      </w:r>
      <w:r w:rsidR="00322322" w:rsidRPr="00322322">
        <w:t>frameworks for policy, regulation and products</w:t>
      </w:r>
      <w:r w:rsidR="009F4052">
        <w:t>,</w:t>
      </w:r>
      <w:r>
        <w:t xml:space="preserve"> </w:t>
      </w:r>
      <w:r w:rsidR="009D2480">
        <w:t xml:space="preserve">frameworks that </w:t>
      </w:r>
      <w:r>
        <w:t>ha</w:t>
      </w:r>
      <w:r w:rsidR="009D2480">
        <w:t>ve</w:t>
      </w:r>
      <w:r>
        <w:t xml:space="preserve"> evolved over the past few decades and continue to </w:t>
      </w:r>
      <w:r w:rsidR="009F4052">
        <w:t>be reformed</w:t>
      </w:r>
      <w:r>
        <w:t xml:space="preserve"> as governments change.</w:t>
      </w:r>
      <w:r w:rsidR="00322322">
        <w:t xml:space="preserve"> </w:t>
      </w:r>
      <w:r w:rsidR="00417075">
        <w:t xml:space="preserve">However, this </w:t>
      </w:r>
      <w:r>
        <w:t xml:space="preserve">national </w:t>
      </w:r>
      <w:r w:rsidR="00417075">
        <w:t xml:space="preserve">system co-exists with jurisdictional approaches to funding and delivering VET. </w:t>
      </w:r>
      <w:r w:rsidR="0056095E">
        <w:t xml:space="preserve">This is particularly pertinent to the introduction of entitlement models, which are state-based in their implementation. </w:t>
      </w:r>
      <w:r w:rsidR="00417075">
        <w:t>While this creates some f</w:t>
      </w:r>
      <w:r w:rsidR="00322322">
        <w:t xml:space="preserve">lexibility </w:t>
      </w:r>
      <w:r w:rsidR="00417075">
        <w:t>within the sector, persistent</w:t>
      </w:r>
      <w:r w:rsidR="00A825DE">
        <w:t xml:space="preserve"> challenge</w:t>
      </w:r>
      <w:r w:rsidR="00417075">
        <w:t>s remain in find</w:t>
      </w:r>
      <w:r w:rsidR="00CF1092">
        <w:t>ing</w:t>
      </w:r>
      <w:r w:rsidR="002A175A">
        <w:t xml:space="preserve"> a</w:t>
      </w:r>
      <w:r w:rsidR="00417075">
        <w:t xml:space="preserve"> balance between the two.</w:t>
      </w:r>
      <w:r w:rsidR="00597397">
        <w:t xml:space="preserve"> </w:t>
      </w:r>
    </w:p>
    <w:p w:rsidR="00F93E76" w:rsidRDefault="00BB3169" w:rsidP="00D27254">
      <w:pPr>
        <w:pStyle w:val="Text"/>
      </w:pPr>
      <w:r>
        <w:t xml:space="preserve">Related to </w:t>
      </w:r>
      <w:r w:rsidR="0082111C">
        <w:t>this is the tension created by f</w:t>
      </w:r>
      <w:r>
        <w:t>ederalism</w:t>
      </w:r>
      <w:r w:rsidR="0056095E">
        <w:t xml:space="preserve"> in the tertiary education system. The university system is centrally funded and</w:t>
      </w:r>
      <w:r w:rsidR="009F4052">
        <w:t xml:space="preserve"> regulated by the </w:t>
      </w:r>
      <w:r w:rsidR="00B1616E">
        <w:t>Australian</w:t>
      </w:r>
      <w:r w:rsidR="00CF1092">
        <w:t xml:space="preserve"> </w:t>
      </w:r>
      <w:r w:rsidR="009F4052">
        <w:t>G</w:t>
      </w:r>
      <w:r w:rsidR="0056095E">
        <w:t xml:space="preserve">overnment, but </w:t>
      </w:r>
      <w:r w:rsidR="00CF1092">
        <w:t>the situation</w:t>
      </w:r>
      <w:r w:rsidR="0056095E">
        <w:t xml:space="preserve"> in the VET system</w:t>
      </w:r>
      <w:r w:rsidR="000D347F">
        <w:t xml:space="preserve"> </w:t>
      </w:r>
      <w:r w:rsidR="00CF1092">
        <w:t xml:space="preserve">is much more complex </w:t>
      </w:r>
      <w:r w:rsidR="000D347F">
        <w:t xml:space="preserve">due to the involvement of the federal government </w:t>
      </w:r>
      <w:r w:rsidR="000D347F" w:rsidRPr="009D2480">
        <w:rPr>
          <w:i/>
        </w:rPr>
        <w:t>and</w:t>
      </w:r>
      <w:r w:rsidR="000D347F">
        <w:t xml:space="preserve"> the states and territories</w:t>
      </w:r>
      <w:r w:rsidR="00F7391D">
        <w:t xml:space="preserve">. </w:t>
      </w:r>
      <w:r w:rsidR="0056095E">
        <w:t>As discussed previously, states and territories</w:t>
      </w:r>
      <w:r w:rsidR="00CB7773">
        <w:t xml:space="preserve"> have </w:t>
      </w:r>
      <w:r w:rsidR="00164E15">
        <w:t>traditionally</w:t>
      </w:r>
      <w:r w:rsidR="00CB7773">
        <w:t xml:space="preserve"> had</w:t>
      </w:r>
      <w:r w:rsidR="0056095E">
        <w:t xml:space="preserve"> responsibility for</w:t>
      </w:r>
      <w:r w:rsidR="00CF1092">
        <w:t xml:space="preserve"> VET in their own jurisdictions, although</w:t>
      </w:r>
      <w:r w:rsidR="0056095E">
        <w:t xml:space="preserve"> the system has become more centralised over the past few decades</w:t>
      </w:r>
      <w:r w:rsidR="00F7391D">
        <w:t>,</w:t>
      </w:r>
      <w:r w:rsidR="0056095E">
        <w:t xml:space="preserve"> with greater in</w:t>
      </w:r>
      <w:r w:rsidR="009D2480">
        <w:t>put</w:t>
      </w:r>
      <w:r w:rsidR="0056095E">
        <w:t xml:space="preserve"> from the </w:t>
      </w:r>
      <w:r w:rsidR="00B1616E">
        <w:t>federal government</w:t>
      </w:r>
      <w:r w:rsidR="0082111C">
        <w:t>, including:</w:t>
      </w:r>
    </w:p>
    <w:p w:rsidR="00F93E76" w:rsidRDefault="00654996" w:rsidP="00F93E76">
      <w:pPr>
        <w:pStyle w:val="Dotpoint1"/>
      </w:pPr>
      <w:r>
        <w:t>a</w:t>
      </w:r>
      <w:r w:rsidR="0003271D">
        <w:t xml:space="preserve"> m</w:t>
      </w:r>
      <w:r w:rsidR="00F93E76">
        <w:t xml:space="preserve">ove towards </w:t>
      </w:r>
      <w:r w:rsidR="0003271D">
        <w:t xml:space="preserve">a </w:t>
      </w:r>
      <w:r w:rsidR="00F93E76">
        <w:t>national system of regulation, frameworks and standards</w:t>
      </w:r>
      <w:r w:rsidR="00CB7773">
        <w:t xml:space="preserve"> and curriculum development</w:t>
      </w:r>
    </w:p>
    <w:p w:rsidR="00CB7773" w:rsidRPr="0003271D" w:rsidRDefault="00654996" w:rsidP="00F93E76">
      <w:pPr>
        <w:pStyle w:val="Dotpoint1"/>
      </w:pPr>
      <w:r>
        <w:t>c</w:t>
      </w:r>
      <w:r w:rsidR="0003271D" w:rsidRPr="0003271D">
        <w:t xml:space="preserve">omplicated funding arrangements between </w:t>
      </w:r>
      <w:r w:rsidR="00B1616E">
        <w:t>federal</w:t>
      </w:r>
      <w:r w:rsidR="0003271D" w:rsidRPr="0003271D">
        <w:t xml:space="preserve"> and juris</w:t>
      </w:r>
      <w:r w:rsidR="00B1616E">
        <w:t>dictional governments</w:t>
      </w:r>
      <w:r w:rsidR="0003271D" w:rsidRPr="0003271D">
        <w:t xml:space="preserve"> </w:t>
      </w:r>
    </w:p>
    <w:p w:rsidR="00F93E76" w:rsidRDefault="00654996" w:rsidP="00F93E76">
      <w:pPr>
        <w:pStyle w:val="Dotpoint1"/>
      </w:pPr>
      <w:r>
        <w:t>g</w:t>
      </w:r>
      <w:r w:rsidR="00F93E76">
        <w:t xml:space="preserve">reater </w:t>
      </w:r>
      <w:r w:rsidR="00B1616E">
        <w:t>federal</w:t>
      </w:r>
      <w:r w:rsidR="00F93E76">
        <w:t xml:space="preserve"> investment </w:t>
      </w:r>
      <w:r w:rsidR="00CB7773">
        <w:t xml:space="preserve">in and coordination of </w:t>
      </w:r>
      <w:r w:rsidR="00F93E76">
        <w:t>the apprenticeship and traineeship system</w:t>
      </w:r>
    </w:p>
    <w:p w:rsidR="00F93E76" w:rsidRDefault="00752D6B" w:rsidP="00F93E76">
      <w:pPr>
        <w:pStyle w:val="Dotpoint1"/>
      </w:pPr>
      <w:r>
        <w:t xml:space="preserve">the </w:t>
      </w:r>
      <w:r w:rsidR="00654996">
        <w:t>i</w:t>
      </w:r>
      <w:r w:rsidR="00F93E76">
        <w:t>ntroduction of National Partnerships</w:t>
      </w:r>
      <w:r w:rsidR="009F4052">
        <w:t>,</w:t>
      </w:r>
      <w:r w:rsidR="00F93E76">
        <w:t xml:space="preserve"> which guide the direction of </w:t>
      </w:r>
      <w:r w:rsidR="00F7391D">
        <w:t xml:space="preserve">the </w:t>
      </w:r>
      <w:r w:rsidR="00F93E76">
        <w:t xml:space="preserve">states and territories </w:t>
      </w:r>
    </w:p>
    <w:p w:rsidR="00F93E76" w:rsidRDefault="00752D6B" w:rsidP="00F93E76">
      <w:pPr>
        <w:pStyle w:val="Dotpoint1"/>
      </w:pPr>
      <w:proofErr w:type="gramStart"/>
      <w:r>
        <w:t>the</w:t>
      </w:r>
      <w:proofErr w:type="gramEnd"/>
      <w:r>
        <w:t xml:space="preserve"> </w:t>
      </w:r>
      <w:r w:rsidR="00654996">
        <w:t>i</w:t>
      </w:r>
      <w:r w:rsidR="00F93E76">
        <w:t xml:space="preserve">ntroduction of </w:t>
      </w:r>
      <w:r w:rsidR="00B1616E">
        <w:t>Australian Government</w:t>
      </w:r>
      <w:r w:rsidR="00923EB0">
        <w:t>-driven initiatives such as the Productivity Places Program</w:t>
      </w:r>
      <w:r w:rsidR="00F7391D">
        <w:t xml:space="preserve"> from 2010 to 2012</w:t>
      </w:r>
      <w:r w:rsidR="009F4052">
        <w:t xml:space="preserve"> and VET FEE-</w:t>
      </w:r>
      <w:r w:rsidR="00923EB0">
        <w:t>HELP.</w:t>
      </w:r>
      <w:r w:rsidR="00597397">
        <w:t xml:space="preserve"> </w:t>
      </w:r>
    </w:p>
    <w:p w:rsidR="00CB7773" w:rsidRPr="00D902D1" w:rsidRDefault="008E6C78" w:rsidP="00D27254">
      <w:pPr>
        <w:pStyle w:val="Text"/>
      </w:pPr>
      <w:r>
        <w:t>The</w:t>
      </w:r>
      <w:r w:rsidR="00CB7773">
        <w:t xml:space="preserve"> split between </w:t>
      </w:r>
      <w:r w:rsidR="00B1616E">
        <w:t>federal</w:t>
      </w:r>
      <w:r w:rsidR="00CB7773">
        <w:t xml:space="preserve"> and state-based roles has led to a blurring of the boundaries when it comes to res</w:t>
      </w:r>
      <w:r w:rsidR="00A93C19">
        <w:t>ponsibility for VET, masking</w:t>
      </w:r>
      <w:r w:rsidR="008051D9">
        <w:t xml:space="preserve"> </w:t>
      </w:r>
      <w:r w:rsidR="00CF1092">
        <w:t>who is</w:t>
      </w:r>
      <w:r w:rsidR="00A93C19">
        <w:t xml:space="preserve"> </w:t>
      </w:r>
      <w:r w:rsidR="009D2480">
        <w:t xml:space="preserve">ultimately </w:t>
      </w:r>
      <w:r w:rsidR="00A93C19">
        <w:t>accountab</w:t>
      </w:r>
      <w:r w:rsidR="009D2480">
        <w:t>le</w:t>
      </w:r>
      <w:r w:rsidR="00A93C19">
        <w:t xml:space="preserve"> for the </w:t>
      </w:r>
      <w:r w:rsidR="00A93C19" w:rsidRPr="000D347F">
        <w:t>sector</w:t>
      </w:r>
      <w:r w:rsidR="0003271D" w:rsidRPr="000D347F">
        <w:t xml:space="preserve"> and</w:t>
      </w:r>
      <w:r w:rsidR="008051D9" w:rsidRPr="000D347F">
        <w:t xml:space="preserve"> </w:t>
      </w:r>
      <w:r w:rsidR="00A93C19" w:rsidRPr="000D347F">
        <w:t xml:space="preserve">preventing a </w:t>
      </w:r>
      <w:r w:rsidR="008051D9" w:rsidRPr="000D347F">
        <w:t>clear</w:t>
      </w:r>
      <w:r w:rsidR="008E3B9C" w:rsidRPr="000D347F">
        <w:t xml:space="preserve"> o</w:t>
      </w:r>
      <w:r w:rsidR="000D347F" w:rsidRPr="000D347F">
        <w:t>r coherent</w:t>
      </w:r>
      <w:r w:rsidR="008051D9" w:rsidRPr="000D347F">
        <w:t xml:space="preserve"> direction</w:t>
      </w:r>
      <w:r w:rsidR="00A93C19" w:rsidRPr="000D347F">
        <w:t xml:space="preserve"> for the </w:t>
      </w:r>
      <w:r w:rsidR="009D2480">
        <w:t>future</w:t>
      </w:r>
      <w:r w:rsidR="008051D9" w:rsidRPr="000D347F">
        <w:t>.</w:t>
      </w:r>
      <w:r w:rsidR="008E3B9C" w:rsidRPr="000D347F">
        <w:t xml:space="preserve"> The</w:t>
      </w:r>
      <w:r w:rsidR="008E3B9C">
        <w:t xml:space="preserve"> tension between</w:t>
      </w:r>
      <w:r w:rsidR="009F4052">
        <w:t xml:space="preserve"> a</w:t>
      </w:r>
      <w:r w:rsidR="008E3B9C">
        <w:t xml:space="preserve"> centralised VET system and the state-based system </w:t>
      </w:r>
      <w:r w:rsidR="00BF3FE2">
        <w:t xml:space="preserve">was </w:t>
      </w:r>
      <w:r w:rsidR="008E3B9C">
        <w:t xml:space="preserve">recently </w:t>
      </w:r>
      <w:r w:rsidR="00DA7E52">
        <w:t>exacerbated</w:t>
      </w:r>
      <w:r w:rsidR="008E3B9C">
        <w:t xml:space="preserve"> </w:t>
      </w:r>
      <w:r w:rsidR="00BF3FE2">
        <w:t xml:space="preserve">by </w:t>
      </w:r>
      <w:r w:rsidR="008051D9">
        <w:t xml:space="preserve">discussions and speculation about </w:t>
      </w:r>
      <w:r w:rsidR="008051D9" w:rsidRPr="00D902D1">
        <w:t xml:space="preserve">a federal takeover of VET, </w:t>
      </w:r>
      <w:r w:rsidR="008E3B9C" w:rsidRPr="00D902D1">
        <w:t xml:space="preserve">which was fuelled </w:t>
      </w:r>
      <w:r w:rsidR="00F7391D" w:rsidRPr="00D902D1">
        <w:t>in February 2016</w:t>
      </w:r>
      <w:r w:rsidR="00F7391D">
        <w:t xml:space="preserve"> </w:t>
      </w:r>
      <w:r w:rsidR="008E3B9C" w:rsidRPr="00D902D1">
        <w:t>by a leaked C</w:t>
      </w:r>
      <w:r w:rsidR="00A93C19" w:rsidRPr="00D902D1">
        <w:t>OAG document</w:t>
      </w:r>
      <w:r w:rsidR="00BF3FE2">
        <w:t>.</w:t>
      </w:r>
      <w:r w:rsidR="00597397">
        <w:t xml:space="preserve"> </w:t>
      </w:r>
      <w:r w:rsidR="00BF3FE2">
        <w:t>These are ultimately matters of national policy to be resolved by governments</w:t>
      </w:r>
      <w:r w:rsidR="00A93C19" w:rsidRPr="00D902D1">
        <w:t xml:space="preserve">. </w:t>
      </w:r>
      <w:r w:rsidR="0033529B">
        <w:t xml:space="preserve">All of these tensions can be seen as competing rather than contradictory. </w:t>
      </w:r>
      <w:r w:rsidR="009F4052">
        <w:t>Although there is nothing</w:t>
      </w:r>
      <w:r w:rsidR="0033529B">
        <w:t xml:space="preserve"> inherently wrong with these tensions</w:t>
      </w:r>
      <w:r w:rsidR="009F4052">
        <w:t xml:space="preserve"> co-existing</w:t>
      </w:r>
      <w:r w:rsidR="0033529B">
        <w:t>, some careful and skilfu</w:t>
      </w:r>
      <w:r w:rsidR="003B7D14">
        <w:t>l policy navigation is required. T</w:t>
      </w:r>
      <w:r w:rsidR="0033529B">
        <w:t>his is an ongoing challenge</w:t>
      </w:r>
      <w:r w:rsidR="003B7D14">
        <w:t xml:space="preserve"> with a</w:t>
      </w:r>
      <w:r w:rsidR="0033529B">
        <w:t xml:space="preserve"> system </w:t>
      </w:r>
      <w:r w:rsidR="003B7D14">
        <w:t xml:space="preserve">that </w:t>
      </w:r>
      <w:r w:rsidR="0033529B">
        <w:t>is fluid rather than static.</w:t>
      </w:r>
      <w:r w:rsidR="00597397">
        <w:t xml:space="preserve"> </w:t>
      </w:r>
    </w:p>
    <w:p w:rsidR="00C43DB0" w:rsidRDefault="00C43DB0">
      <w:pPr>
        <w:spacing w:before="0" w:line="240" w:lineRule="auto"/>
        <w:rPr>
          <w:rFonts w:ascii="Arial" w:hAnsi="Arial" w:cs="Tahoma"/>
          <w:sz w:val="28"/>
        </w:rPr>
      </w:pPr>
      <w:bookmarkStart w:id="100" w:name="_Toc455569945"/>
      <w:r>
        <w:br w:type="page"/>
      </w:r>
    </w:p>
    <w:p w:rsidR="00A60A51" w:rsidRDefault="00A60A51" w:rsidP="008E1CAE">
      <w:pPr>
        <w:pStyle w:val="Heading2"/>
      </w:pPr>
      <w:r>
        <w:lastRenderedPageBreak/>
        <w:t>Policy influencing participation</w:t>
      </w:r>
      <w:bookmarkEnd w:id="100"/>
    </w:p>
    <w:p w:rsidR="00A60A51" w:rsidRDefault="00A60A51" w:rsidP="00A60A51">
      <w:pPr>
        <w:pStyle w:val="Text"/>
      </w:pPr>
      <w:r>
        <w:t>The policy activity o</w:t>
      </w:r>
      <w:r w:rsidR="009F4052">
        <w:t>f</w:t>
      </w:r>
      <w:r>
        <w:t xml:space="preserve"> the past few decades has </w:t>
      </w:r>
      <w:r w:rsidR="009D2480">
        <w:t>exerted</w:t>
      </w:r>
      <w:r>
        <w:t xml:space="preserve"> an influence on participation trends. In particular</w:t>
      </w:r>
      <w:r w:rsidR="00333C6B">
        <w:t xml:space="preserve">, in the three case studies </w:t>
      </w:r>
      <w:r w:rsidR="003B7D14">
        <w:t>used in</w:t>
      </w:r>
      <w:r>
        <w:t xml:space="preserve"> our analysis</w:t>
      </w:r>
      <w:r w:rsidR="006548A8">
        <w:t>:</w:t>
      </w:r>
    </w:p>
    <w:p w:rsidR="00A60A51" w:rsidRDefault="00333C6B" w:rsidP="006548A8">
      <w:pPr>
        <w:pStyle w:val="Dotpoint1"/>
      </w:pPr>
      <w:r>
        <w:t>The i</w:t>
      </w:r>
      <w:r w:rsidR="006548A8">
        <w:t>njection of i</w:t>
      </w:r>
      <w:r w:rsidR="00A60A51">
        <w:t>ncentives</w:t>
      </w:r>
      <w:r>
        <w:t xml:space="preserve"> payments to employers has</w:t>
      </w:r>
      <w:r w:rsidR="006548A8">
        <w:t xml:space="preserve"> influenced the growth of </w:t>
      </w:r>
      <w:r w:rsidR="003A0010">
        <w:t>apprenticeships and</w:t>
      </w:r>
      <w:r w:rsidR="00DA7E52">
        <w:t>,</w:t>
      </w:r>
      <w:r w:rsidR="003A0010">
        <w:t xml:space="preserve"> </w:t>
      </w:r>
      <w:r w:rsidR="00E865FB">
        <w:t>in particular</w:t>
      </w:r>
      <w:r w:rsidR="00DA7E52">
        <w:t>,</w:t>
      </w:r>
      <w:r w:rsidR="00E865FB">
        <w:t xml:space="preserve"> </w:t>
      </w:r>
      <w:r w:rsidR="003A0010">
        <w:t>traineeships. The removal of the incentives</w:t>
      </w:r>
      <w:r w:rsidR="00A60A51">
        <w:t xml:space="preserve"> </w:t>
      </w:r>
      <w:r w:rsidR="003A0010">
        <w:t>for occupations not on the National Skills Needs List</w:t>
      </w:r>
      <w:r w:rsidR="00A60A51">
        <w:t xml:space="preserve"> </w:t>
      </w:r>
      <w:r w:rsidR="00BF33B3">
        <w:t>has</w:t>
      </w:r>
      <w:r w:rsidR="003A0010">
        <w:t xml:space="preserve"> significant</w:t>
      </w:r>
      <w:r w:rsidR="00DA7E52">
        <w:t>ly</w:t>
      </w:r>
      <w:r w:rsidR="003A0010">
        <w:t xml:space="preserve"> impact</w:t>
      </w:r>
      <w:r w:rsidR="00DA7E52">
        <w:t>ed</w:t>
      </w:r>
      <w:r w:rsidR="003A0010">
        <w:t xml:space="preserve"> on participation in the non-trades. </w:t>
      </w:r>
    </w:p>
    <w:p w:rsidR="00A60A51" w:rsidRDefault="00B64F0B" w:rsidP="00B64F0B">
      <w:pPr>
        <w:pStyle w:val="Dotpoint1"/>
      </w:pPr>
      <w:r>
        <w:t>The i</w:t>
      </w:r>
      <w:r w:rsidR="006548A8">
        <w:t>ntroduction</w:t>
      </w:r>
      <w:r>
        <w:t xml:space="preserve"> of entitlement mode</w:t>
      </w:r>
      <w:r w:rsidR="003B7D14">
        <w:t>l</w:t>
      </w:r>
      <w:r>
        <w:t>s</w:t>
      </w:r>
      <w:r w:rsidR="006548A8">
        <w:t xml:space="preserve"> </w:t>
      </w:r>
      <w:r>
        <w:t xml:space="preserve">has </w:t>
      </w:r>
      <w:r w:rsidR="00DA7E52">
        <w:t>affected</w:t>
      </w:r>
      <w:r w:rsidR="006548A8">
        <w:t xml:space="preserve"> participation trends, particularly in Victoria and South Australia</w:t>
      </w:r>
      <w:r w:rsidR="009F4052">
        <w:t>,</w:t>
      </w:r>
      <w:r>
        <w:t xml:space="preserve"> where we saw significant growth</w:t>
      </w:r>
      <w:r w:rsidR="00F7391D">
        <w:t xml:space="preserve"> in commencements</w:t>
      </w:r>
      <w:r>
        <w:t>. The subsequent t</w:t>
      </w:r>
      <w:r w:rsidRPr="00B64F0B">
        <w:t xml:space="preserve">ightening of </w:t>
      </w:r>
      <w:r>
        <w:t>their entitlement models also impacted upon participation, leading to declines in s</w:t>
      </w:r>
      <w:r w:rsidR="00E865FB">
        <w:t>tudent numbers</w:t>
      </w:r>
      <w:r>
        <w:t xml:space="preserve">. It is too early to </w:t>
      </w:r>
      <w:r w:rsidR="009F4052">
        <w:t>discern</w:t>
      </w:r>
      <w:r>
        <w:t xml:space="preserve"> clear </w:t>
      </w:r>
      <w:r w:rsidR="00E865FB">
        <w:t>trends i</w:t>
      </w:r>
      <w:r>
        <w:t>n o</w:t>
      </w:r>
      <w:r w:rsidR="009D2480">
        <w:t>ther jurisdictions</w:t>
      </w:r>
      <w:r>
        <w:t>.</w:t>
      </w:r>
      <w:r w:rsidR="00597397">
        <w:t xml:space="preserve"> </w:t>
      </w:r>
    </w:p>
    <w:p w:rsidR="00A60A51" w:rsidRDefault="00B64F0B" w:rsidP="006548A8">
      <w:pPr>
        <w:pStyle w:val="Dotpoint1"/>
      </w:pPr>
      <w:r>
        <w:t>The policy focus on a</w:t>
      </w:r>
      <w:r w:rsidR="00A60A51">
        <w:t xml:space="preserve">ccelerated </w:t>
      </w:r>
      <w:r>
        <w:t>apprenticeships and traineeships appears to have had an i</w:t>
      </w:r>
      <w:r w:rsidR="0033529B">
        <w:t>nfluence on completions</w:t>
      </w:r>
      <w:r>
        <w:t xml:space="preserve">, with </w:t>
      </w:r>
      <w:r w:rsidR="00333C6B">
        <w:t xml:space="preserve">more trade </w:t>
      </w:r>
      <w:r>
        <w:t>a</w:t>
      </w:r>
      <w:r w:rsidR="00333C6B">
        <w:t>pprenticeships and traineeships</w:t>
      </w:r>
      <w:r>
        <w:t xml:space="preserve"> </w:t>
      </w:r>
      <w:r w:rsidR="00333C6B">
        <w:t>being completed in shorter duration</w:t>
      </w:r>
      <w:r w:rsidR="009F4052">
        <w:t>s</w:t>
      </w:r>
      <w:r w:rsidR="00333C6B">
        <w:t xml:space="preserve">, particularly among adult apprentices. </w:t>
      </w:r>
    </w:p>
    <w:p w:rsidR="00A60A51" w:rsidRPr="00A60A51" w:rsidRDefault="00333C6B" w:rsidP="00A60A51">
      <w:pPr>
        <w:pStyle w:val="Text"/>
      </w:pPr>
      <w:r>
        <w:t>It is i</w:t>
      </w:r>
      <w:r w:rsidR="00446A65">
        <w:t xml:space="preserve">mportant to note that </w:t>
      </w:r>
      <w:r w:rsidR="00A60A51">
        <w:t xml:space="preserve">policy </w:t>
      </w:r>
      <w:r w:rsidR="00446A65">
        <w:t>can take a while to be realised</w:t>
      </w:r>
      <w:r w:rsidR="0033529B">
        <w:t xml:space="preserve"> and </w:t>
      </w:r>
      <w:r w:rsidR="009F4052">
        <w:t>may not become</w:t>
      </w:r>
      <w:r>
        <w:t xml:space="preserve"> evident in participation trends for some time. Participation is also</w:t>
      </w:r>
      <w:r w:rsidR="00446A65">
        <w:t xml:space="preserve"> influenced by a range of facto</w:t>
      </w:r>
      <w:r>
        <w:t>rs, including</w:t>
      </w:r>
      <w:r w:rsidR="009D2480">
        <w:t>,</w:t>
      </w:r>
      <w:r>
        <w:t xml:space="preserve"> but not limited to</w:t>
      </w:r>
      <w:r w:rsidR="009D2480">
        <w:t>,</w:t>
      </w:r>
      <w:r>
        <w:t xml:space="preserve"> the labour market</w:t>
      </w:r>
      <w:r w:rsidR="00F9476F">
        <w:t xml:space="preserve"> and the economic cycle</w:t>
      </w:r>
      <w:r w:rsidR="0071188B">
        <w:t>, jurisdictional policy interventions,</w:t>
      </w:r>
      <w:r w:rsidR="009F4052">
        <w:t xml:space="preserve"> </w:t>
      </w:r>
      <w:r w:rsidR="0071188B">
        <w:t>and</w:t>
      </w:r>
      <w:r w:rsidR="0033529B">
        <w:t xml:space="preserve"> policy interventions in the other education sectors</w:t>
      </w:r>
      <w:r>
        <w:t>.</w:t>
      </w:r>
      <w:r w:rsidR="005C022C">
        <w:t xml:space="preserve"> </w:t>
      </w:r>
    </w:p>
    <w:p w:rsidR="008E1CAE" w:rsidRDefault="008E1CAE" w:rsidP="008E1CAE">
      <w:pPr>
        <w:pStyle w:val="Heading2"/>
      </w:pPr>
      <w:bookmarkStart w:id="101" w:name="_Toc455569946"/>
      <w:r w:rsidRPr="00D902D1">
        <w:t>Final reflections</w:t>
      </w:r>
      <w:bookmarkEnd w:id="101"/>
    </w:p>
    <w:p w:rsidR="00D902D1" w:rsidRDefault="005D6475" w:rsidP="0067238E">
      <w:pPr>
        <w:pStyle w:val="Text"/>
      </w:pPr>
      <w:r>
        <w:t>The</w:t>
      </w:r>
      <w:r w:rsidR="00D902D1">
        <w:t xml:space="preserve"> p</w:t>
      </w:r>
      <w:r>
        <w:t xml:space="preserve">olicy trends and initiatives </w:t>
      </w:r>
      <w:r w:rsidR="001C3246">
        <w:t xml:space="preserve">in </w:t>
      </w:r>
      <w:r w:rsidR="009F4052">
        <w:t xml:space="preserve">the </w:t>
      </w:r>
      <w:r w:rsidR="001C3246">
        <w:t xml:space="preserve">VET </w:t>
      </w:r>
      <w:r w:rsidR="009F4052">
        <w:t xml:space="preserve">sector </w:t>
      </w:r>
      <w:r w:rsidR="003B7D14">
        <w:t xml:space="preserve">discussed in this paper </w:t>
      </w:r>
      <w:r>
        <w:t xml:space="preserve">have </w:t>
      </w:r>
      <w:r w:rsidR="009F4052">
        <w:t>aimed to</w:t>
      </w:r>
      <w:r w:rsidR="00D902D1">
        <w:t xml:space="preserve"> </w:t>
      </w:r>
      <w:r w:rsidR="009F61F6">
        <w:t>stimulat</w:t>
      </w:r>
      <w:r w:rsidR="009F4052">
        <w:t>e</w:t>
      </w:r>
      <w:r w:rsidR="009F61F6">
        <w:t xml:space="preserve"> engagement in the sector and </w:t>
      </w:r>
      <w:r>
        <w:t>develop</w:t>
      </w:r>
      <w:r w:rsidR="009F4052">
        <w:t xml:space="preserve"> </w:t>
      </w:r>
      <w:r w:rsidR="003B7D14">
        <w:t xml:space="preserve">skills </w:t>
      </w:r>
      <w:r w:rsidR="009F61F6">
        <w:t xml:space="preserve">relevant </w:t>
      </w:r>
      <w:r>
        <w:t>for the labour mar</w:t>
      </w:r>
      <w:r w:rsidR="009F61F6">
        <w:t>ket</w:t>
      </w:r>
      <w:r w:rsidR="00654996">
        <w:t xml:space="preserve">. </w:t>
      </w:r>
      <w:r w:rsidR="00A60A51">
        <w:t>Although</w:t>
      </w:r>
      <w:r w:rsidR="008416B7">
        <w:t xml:space="preserve"> participation rates are complex and</w:t>
      </w:r>
      <w:r w:rsidR="00A60A51">
        <w:t xml:space="preserve"> nuanced, this</w:t>
      </w:r>
      <w:r w:rsidR="00863111">
        <w:t xml:space="preserve"> has led</w:t>
      </w:r>
      <w:r>
        <w:t xml:space="preserve"> to an overall expansion in the system. </w:t>
      </w:r>
      <w:r w:rsidR="009F61F6">
        <w:t>The collection of reliable data is integ</w:t>
      </w:r>
      <w:r w:rsidR="00752D6B">
        <w:t>ral for monitoring these trends</w:t>
      </w:r>
      <w:r w:rsidR="00DA7E52">
        <w:t>,</w:t>
      </w:r>
      <w:r w:rsidR="00F7391D">
        <w:t xml:space="preserve"> and research and analyse</w:t>
      </w:r>
      <w:r w:rsidR="009F61F6">
        <w:t xml:space="preserve">s </w:t>
      </w:r>
      <w:r w:rsidR="009D2480">
        <w:t>are</w:t>
      </w:r>
      <w:r w:rsidR="009F4052">
        <w:t xml:space="preserve"> </w:t>
      </w:r>
      <w:r w:rsidR="009F61F6">
        <w:t>vital for understanding them. I</w:t>
      </w:r>
      <w:r w:rsidR="009F61F6" w:rsidRPr="009F61F6">
        <w:t>n time</w:t>
      </w:r>
      <w:r w:rsidR="009F4052">
        <w:t>, with the advent of total VET a</w:t>
      </w:r>
      <w:r w:rsidR="009F61F6">
        <w:t>ctivity,</w:t>
      </w:r>
      <w:r w:rsidR="009F61F6" w:rsidRPr="009F61F6">
        <w:t xml:space="preserve"> we will have access to </w:t>
      </w:r>
      <w:r w:rsidR="003B7D14">
        <w:t>expanded</w:t>
      </w:r>
      <w:r w:rsidR="009F61F6" w:rsidRPr="009F61F6">
        <w:t xml:space="preserve"> data on how policy influences pa</w:t>
      </w:r>
      <w:r w:rsidR="009F61F6">
        <w:t>rticipation in the VET sector.</w:t>
      </w:r>
      <w:r w:rsidR="00597397">
        <w:t xml:space="preserve"> </w:t>
      </w:r>
    </w:p>
    <w:p w:rsidR="008B1046" w:rsidRDefault="003B7D14" w:rsidP="008B1046">
      <w:pPr>
        <w:pStyle w:val="Text"/>
      </w:pPr>
      <w:r>
        <w:t>T</w:t>
      </w:r>
      <w:r w:rsidR="00863111">
        <w:t>he sector face</w:t>
      </w:r>
      <w:r w:rsidR="001C3246">
        <w:t>s</w:t>
      </w:r>
      <w:r w:rsidR="00863111">
        <w:t xml:space="preserve"> </w:t>
      </w:r>
      <w:r w:rsidR="005D6475">
        <w:t>a variety of challenges</w:t>
      </w:r>
      <w:r>
        <w:t xml:space="preserve"> in the future</w:t>
      </w:r>
      <w:r w:rsidR="005D6475">
        <w:t xml:space="preserve">, including </w:t>
      </w:r>
      <w:r w:rsidR="009D2480">
        <w:t xml:space="preserve">contestable — and variable — </w:t>
      </w:r>
      <w:r w:rsidR="00863111">
        <w:t>training market</w:t>
      </w:r>
      <w:r w:rsidR="005D6475">
        <w:t>s</w:t>
      </w:r>
      <w:r w:rsidR="00863111">
        <w:t xml:space="preserve"> </w:t>
      </w:r>
      <w:r w:rsidR="005D6475">
        <w:t xml:space="preserve">and </w:t>
      </w:r>
      <w:r w:rsidR="00863111">
        <w:t xml:space="preserve">ongoing tensions between </w:t>
      </w:r>
      <w:r w:rsidR="00813B82">
        <w:t>federal</w:t>
      </w:r>
      <w:r w:rsidR="00863111">
        <w:t xml:space="preserve"> and jurisdictional approaches to </w:t>
      </w:r>
      <w:r w:rsidR="009D2480">
        <w:t>the funding, delivery</w:t>
      </w:r>
      <w:r w:rsidR="00863111">
        <w:t xml:space="preserve"> and regulati</w:t>
      </w:r>
      <w:r w:rsidR="009D2480">
        <w:t>on of</w:t>
      </w:r>
      <w:r w:rsidR="00863111">
        <w:t xml:space="preserve"> </w:t>
      </w:r>
      <w:r w:rsidR="004E1E77">
        <w:t>vocational education and training</w:t>
      </w:r>
      <w:r w:rsidR="00863111">
        <w:t>.</w:t>
      </w:r>
      <w:r w:rsidR="005D6475">
        <w:t xml:space="preserve"> It is evident that VET is a complex </w:t>
      </w:r>
      <w:r w:rsidR="007B2147">
        <w:t xml:space="preserve">multi-faceted </w:t>
      </w:r>
      <w:r w:rsidR="005D6475">
        <w:t xml:space="preserve">system </w:t>
      </w:r>
      <w:r w:rsidR="007B2147">
        <w:t>supporting</w:t>
      </w:r>
      <w:r w:rsidR="005310B1">
        <w:t xml:space="preserve"> many players,</w:t>
      </w:r>
      <w:r w:rsidR="005D6475">
        <w:t xml:space="preserve"> </w:t>
      </w:r>
      <w:r w:rsidR="005310B1">
        <w:t>s</w:t>
      </w:r>
      <w:r w:rsidR="005D6475">
        <w:t xml:space="preserve">o necessarily the approach to policy is not straightforward. </w:t>
      </w:r>
      <w:r w:rsidR="008B1046">
        <w:t>It takes time for policy to be established</w:t>
      </w:r>
      <w:r>
        <w:t>,</w:t>
      </w:r>
      <w:r w:rsidR="008B1046">
        <w:t xml:space="preserve"> and adjusted </w:t>
      </w:r>
      <w:r w:rsidR="004E1E77">
        <w:t>where necessary</w:t>
      </w:r>
      <w:r w:rsidR="008B1046">
        <w:t>, and it takes time for the providers and consumers to respond and adapt to policy changes.</w:t>
      </w:r>
      <w:r w:rsidR="005D6475">
        <w:t xml:space="preserve"> </w:t>
      </w:r>
      <w:r w:rsidR="008B1046">
        <w:t>R</w:t>
      </w:r>
      <w:r w:rsidR="005D6475">
        <w:t>ealistically</w:t>
      </w:r>
      <w:r w:rsidR="004E1E77">
        <w:t>,</w:t>
      </w:r>
      <w:r w:rsidR="005D6475">
        <w:t xml:space="preserve"> we have to accept the nature of the system</w:t>
      </w:r>
      <w:r w:rsidR="00E16389">
        <w:t xml:space="preserve"> and</w:t>
      </w:r>
      <w:r w:rsidR="00FA4339">
        <w:t xml:space="preserve"> its need to res</w:t>
      </w:r>
      <w:r w:rsidR="00E16389">
        <w:t>pond to the broader environment;</w:t>
      </w:r>
      <w:r w:rsidR="00FA4339">
        <w:t xml:space="preserve"> </w:t>
      </w:r>
      <w:r w:rsidR="004E1E77">
        <w:t xml:space="preserve">we also have to </w:t>
      </w:r>
      <w:r w:rsidR="005D6475">
        <w:t>understand that it is dynamic and evolving</w:t>
      </w:r>
      <w:r w:rsidR="005310B1">
        <w:t>,</w:t>
      </w:r>
      <w:r w:rsidR="005D6475">
        <w:t xml:space="preserve"> </w:t>
      </w:r>
      <w:r w:rsidR="004E1E77">
        <w:t xml:space="preserve">with </w:t>
      </w:r>
      <w:r w:rsidR="00DA7E52">
        <w:t xml:space="preserve">VET </w:t>
      </w:r>
      <w:r w:rsidR="005D6475">
        <w:t xml:space="preserve">policy </w:t>
      </w:r>
      <w:r>
        <w:t xml:space="preserve">influenced by a myriad of pressures, including the political, economic and social philosophies and ideologies of the </w:t>
      </w:r>
      <w:r w:rsidR="007B2147">
        <w:t>day</w:t>
      </w:r>
      <w:r>
        <w:t xml:space="preserve">. </w:t>
      </w:r>
      <w:r w:rsidR="008B1046">
        <w:t>However, it is clear that the sector would benefit f</w:t>
      </w:r>
      <w:r w:rsidR="00DA7E52">
        <w:t>rom some stability and coherence</w:t>
      </w:r>
      <w:r w:rsidR="008B1046">
        <w:t>.</w:t>
      </w:r>
      <w:r w:rsidR="005C022C">
        <w:t xml:space="preserve"> </w:t>
      </w:r>
    </w:p>
    <w:p w:rsidR="009314DC" w:rsidRPr="008D47D6" w:rsidRDefault="005D6475" w:rsidP="008D47D6">
      <w:pPr>
        <w:pStyle w:val="Text"/>
      </w:pPr>
      <w:r>
        <w:t>There is no one perfect policy to address the needs of the system. Ultimately</w:t>
      </w:r>
      <w:r w:rsidR="004E1E77">
        <w:t>,</w:t>
      </w:r>
      <w:r>
        <w:t xml:space="preserve"> however, all policy needs to </w:t>
      </w:r>
      <w:r w:rsidR="00DA7E52">
        <w:t>be mindful of a fundamental</w:t>
      </w:r>
      <w:r>
        <w:t xml:space="preserve"> central</w:t>
      </w:r>
      <w:r w:rsidR="00F7391D">
        <w:t xml:space="preserve"> tenet</w:t>
      </w:r>
      <w:r w:rsidR="003B7D14">
        <w:t>:</w:t>
      </w:r>
      <w:r>
        <w:t xml:space="preserve"> VET </w:t>
      </w:r>
      <w:r w:rsidR="003B7D14">
        <w:t xml:space="preserve">exists </w:t>
      </w:r>
      <w:r>
        <w:t>to develop skills for the benefit of individual</w:t>
      </w:r>
      <w:r w:rsidR="004E1E77">
        <w:t>s</w:t>
      </w:r>
      <w:r>
        <w:t>, industry</w:t>
      </w:r>
      <w:r w:rsidR="008416B7">
        <w:t>,</w:t>
      </w:r>
      <w:r>
        <w:t xml:space="preserve"> the economy</w:t>
      </w:r>
      <w:r w:rsidR="008416B7">
        <w:t xml:space="preserve"> and society at large</w:t>
      </w:r>
      <w:r>
        <w:t xml:space="preserve">. </w:t>
      </w:r>
      <w:bookmarkStart w:id="102" w:name="_Toc456000800"/>
      <w:bookmarkStart w:id="103" w:name="_Toc457122465"/>
      <w:bookmarkStart w:id="104" w:name="_Toc188077643"/>
      <w:bookmarkStart w:id="105" w:name="_Toc275543018"/>
      <w:bookmarkEnd w:id="31"/>
      <w:r w:rsidR="009314DC">
        <w:br w:type="page"/>
      </w:r>
    </w:p>
    <w:p w:rsidR="00324917" w:rsidRDefault="00D26FBA" w:rsidP="00324917">
      <w:pPr>
        <w:pStyle w:val="Heading1"/>
      </w:pPr>
      <w:bookmarkStart w:id="106" w:name="_Toc455569947"/>
      <w:r>
        <w:rPr>
          <w:noProof/>
          <w:lang w:eastAsia="en-AU"/>
        </w:rPr>
        <w:lastRenderedPageBreak/>
        <w:drawing>
          <wp:anchor distT="0" distB="0" distL="114300" distR="114300" simplePos="0" relativeHeight="252017664" behindDoc="1" locked="0" layoutInCell="1" allowOverlap="1" wp14:anchorId="0581593E" wp14:editId="4E49473C">
            <wp:simplePos x="0" y="0"/>
            <wp:positionH relativeFrom="column">
              <wp:posOffset>-34290</wp:posOffset>
            </wp:positionH>
            <wp:positionV relativeFrom="paragraph">
              <wp:posOffset>-20955</wp:posOffset>
            </wp:positionV>
            <wp:extent cx="414655" cy="414655"/>
            <wp:effectExtent l="0" t="0" r="0" b="0"/>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38" name="Picture 38"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02"/>
      <w:bookmarkEnd w:id="103"/>
      <w:bookmarkEnd w:id="104"/>
      <w:bookmarkEnd w:id="105"/>
      <w:bookmarkEnd w:id="106"/>
      <w:r w:rsidR="00324917">
        <w:t xml:space="preserve"> </w:t>
      </w:r>
    </w:p>
    <w:p w:rsidR="00FE1C5B" w:rsidRDefault="00FE1C5B" w:rsidP="000D1B5A">
      <w:pPr>
        <w:pStyle w:val="References"/>
      </w:pPr>
      <w:bookmarkStart w:id="107" w:name="_Toc275543019"/>
      <w:proofErr w:type="gramStart"/>
      <w:r>
        <w:t xml:space="preserve">ABS (Australian Bureau of Statistics) 2015, </w:t>
      </w:r>
      <w:r w:rsidRPr="00B264B5">
        <w:rPr>
          <w:i/>
        </w:rPr>
        <w:t>Australian System of National Accounts</w:t>
      </w:r>
      <w:r w:rsidR="00B264B5" w:rsidRPr="00B264B5">
        <w:rPr>
          <w:i/>
        </w:rPr>
        <w:t>,</w:t>
      </w:r>
      <w:r w:rsidRPr="00B264B5">
        <w:rPr>
          <w:i/>
        </w:rPr>
        <w:t xml:space="preserve"> 2014—2015</w:t>
      </w:r>
      <w:r>
        <w:t>, ABS, Canberra.</w:t>
      </w:r>
      <w:proofErr w:type="gramEnd"/>
    </w:p>
    <w:p w:rsidR="00215D87" w:rsidRDefault="00752D6B" w:rsidP="000D1B5A">
      <w:pPr>
        <w:pStyle w:val="References"/>
      </w:pPr>
      <w:r>
        <w:t>——</w:t>
      </w:r>
      <w:r w:rsidR="00215D87">
        <w:t xml:space="preserve">2016 </w:t>
      </w:r>
      <w:r w:rsidR="00215D87" w:rsidRPr="00215D87">
        <w:rPr>
          <w:i/>
        </w:rPr>
        <w:t>Labour force Australia, detailed electronic delivery, May 2016</w:t>
      </w:r>
      <w:r w:rsidR="00215D87">
        <w:t>, cat. no. 6291.0.55.001, table 1, ABS, Canberra.</w:t>
      </w:r>
    </w:p>
    <w:p w:rsidR="002509E1" w:rsidRDefault="000D1B5A" w:rsidP="00B264B5">
      <w:pPr>
        <w:pStyle w:val="References"/>
      </w:pPr>
      <w:r>
        <w:t>ACIL Allen Consulting</w:t>
      </w:r>
      <w:r w:rsidR="00B264B5">
        <w:t xml:space="preserve"> </w:t>
      </w:r>
      <w:r w:rsidR="002509E1" w:rsidRPr="00AC3767">
        <w:t>2</w:t>
      </w:r>
      <w:r w:rsidR="00B264B5">
        <w:t xml:space="preserve">015a, </w:t>
      </w:r>
      <w:r w:rsidR="00B264B5" w:rsidRPr="00B264B5">
        <w:rPr>
          <w:i/>
        </w:rPr>
        <w:t>Australia’s skills reform journey: t</w:t>
      </w:r>
      <w:r w:rsidR="002509E1" w:rsidRPr="00B264B5">
        <w:rPr>
          <w:i/>
        </w:rPr>
        <w:t>he case</w:t>
      </w:r>
      <w:r w:rsidR="00B264B5" w:rsidRPr="00B264B5">
        <w:rPr>
          <w:i/>
        </w:rPr>
        <w:t xml:space="preserve"> for VET reform and progress to </w:t>
      </w:r>
      <w:r w:rsidR="002509E1" w:rsidRPr="00B264B5">
        <w:rPr>
          <w:i/>
        </w:rPr>
        <w:t>date</w:t>
      </w:r>
      <w:r w:rsidR="002326EC">
        <w:t>, viewed 3 May 2016</w:t>
      </w:r>
      <w:r w:rsidR="00B264B5">
        <w:t>,</w:t>
      </w:r>
      <w:r w:rsidR="002326EC">
        <w:t xml:space="preserve"> &lt;</w:t>
      </w:r>
      <w:r w:rsidR="002326EC" w:rsidRPr="002326EC">
        <w:t>http://www.acilallen.com.au/cms_files/ACILAllen_SkillsReformJourney_2015.pdf</w:t>
      </w:r>
      <w:r w:rsidR="002326EC">
        <w:t>&gt;</w:t>
      </w:r>
    </w:p>
    <w:p w:rsidR="002326EC" w:rsidRDefault="00B264B5" w:rsidP="002326EC">
      <w:pPr>
        <w:pStyle w:val="References"/>
      </w:pPr>
      <w:r>
        <w:t>——</w:t>
      </w:r>
      <w:r w:rsidR="002326EC">
        <w:t>2015b</w:t>
      </w:r>
      <w:r>
        <w:t>,</w:t>
      </w:r>
      <w:r w:rsidR="002326EC">
        <w:t xml:space="preserve"> </w:t>
      </w:r>
      <w:r w:rsidR="002326EC" w:rsidRPr="00B264B5">
        <w:rPr>
          <w:i/>
        </w:rPr>
        <w:t>Review of the National Partnership Agreement on Skills Reform</w:t>
      </w:r>
      <w:r w:rsidR="002326EC">
        <w:t>, ACIL Allen Consulting, viewed 3 May 2016</w:t>
      </w:r>
      <w:r>
        <w:t>,</w:t>
      </w:r>
      <w:r w:rsidR="002326EC">
        <w:t xml:space="preserve"> </w:t>
      </w:r>
      <w:r>
        <w:t>&lt;</w:t>
      </w:r>
      <w:hyperlink r:id="rId66" w:history="1">
        <w:r w:rsidR="006848F9" w:rsidRPr="004351C9">
          <w:rPr>
            <w:rStyle w:val="Hyperlink"/>
            <w:sz w:val="18"/>
          </w:rPr>
          <w:t>http://www.acilallen.com.au/cms_files/ACILAllen_NationalPartnership_2015.pdf</w:t>
        </w:r>
      </w:hyperlink>
      <w:r>
        <w:t>&gt;</w:t>
      </w:r>
      <w:r w:rsidR="006848F9">
        <w:t>.</w:t>
      </w:r>
    </w:p>
    <w:p w:rsidR="00B264B5" w:rsidRDefault="00B264B5" w:rsidP="002326EC">
      <w:pPr>
        <w:pStyle w:val="References"/>
      </w:pPr>
      <w:r>
        <w:t xml:space="preserve">——2015c, </w:t>
      </w:r>
      <w:r w:rsidRPr="00B264B5">
        <w:rPr>
          <w:i/>
        </w:rPr>
        <w:t>Evaluation of Skills for All: review of the first phase of implementation,</w:t>
      </w:r>
      <w:r>
        <w:t xml:space="preserve"> ACIL Allen Consulting, Adelaide, viewed 15 March 2016, &lt;http://www.acilallen.com.au/cms_files/0ACILAllen_SkillsForAll_2015.pdf&gt;.</w:t>
      </w:r>
    </w:p>
    <w:p w:rsidR="006848F9" w:rsidRDefault="006848F9" w:rsidP="002326EC">
      <w:pPr>
        <w:pStyle w:val="References"/>
      </w:pPr>
      <w:r>
        <w:t>Apprenticeships for the 21</w:t>
      </w:r>
      <w:r w:rsidRPr="006848F9">
        <w:t>st</w:t>
      </w:r>
      <w:r>
        <w:rPr>
          <w:vertAlign w:val="superscript"/>
        </w:rPr>
        <w:t xml:space="preserve"> </w:t>
      </w:r>
      <w:r>
        <w:t xml:space="preserve">Century Expert Panel 2011, </w:t>
      </w:r>
      <w:proofErr w:type="gramStart"/>
      <w:r w:rsidRPr="00B264B5">
        <w:rPr>
          <w:i/>
        </w:rPr>
        <w:t>A</w:t>
      </w:r>
      <w:proofErr w:type="gramEnd"/>
      <w:r w:rsidRPr="00B264B5">
        <w:rPr>
          <w:i/>
        </w:rPr>
        <w:t xml:space="preserve"> shared responsibility: apprenticeships for the 21st century</w:t>
      </w:r>
      <w:r>
        <w:t>, DEEWR, Canberra, viewed 15 Mar</w:t>
      </w:r>
      <w:r w:rsidR="00B264B5">
        <w:t>ch</w:t>
      </w:r>
      <w:r>
        <w:t xml:space="preserve"> 2016, </w:t>
      </w:r>
      <w:r w:rsidR="00B264B5">
        <w:t>&lt;</w:t>
      </w:r>
      <w:hyperlink r:id="rId67" w:history="1">
        <w:r w:rsidRPr="00F32F47">
          <w:rPr>
            <w:rStyle w:val="Hyperlink"/>
            <w:sz w:val="18"/>
          </w:rPr>
          <w:t>http://www.australianapprenticeships.gov.au/sites/ausapps/files/publication-documents/apprenticeshipsforthe21stcenturyexpertpanel_0.pdf</w:t>
        </w:r>
      </w:hyperlink>
      <w:r w:rsidR="00B264B5">
        <w:t>&gt;.</w:t>
      </w:r>
    </w:p>
    <w:p w:rsidR="00EB6683" w:rsidRDefault="00EB6683" w:rsidP="002326EC">
      <w:pPr>
        <w:pStyle w:val="References"/>
      </w:pPr>
      <w:proofErr w:type="spellStart"/>
      <w:r>
        <w:t>Asialink</w:t>
      </w:r>
      <w:proofErr w:type="spellEnd"/>
      <w:r>
        <w:t xml:space="preserve"> Business 2015</w:t>
      </w:r>
      <w:r w:rsidR="00DF6AD6">
        <w:t>,</w:t>
      </w:r>
      <w:r>
        <w:t xml:space="preserve"> </w:t>
      </w:r>
      <w:r w:rsidRPr="00EB6683">
        <w:rPr>
          <w:i/>
        </w:rPr>
        <w:t>Australia’s jobs future: the rise of Asia and the services opportunity,</w:t>
      </w:r>
      <w:r>
        <w:t xml:space="preserve"> </w:t>
      </w:r>
      <w:r w:rsidR="00D25154">
        <w:t>viewed 13 July 2016</w:t>
      </w:r>
      <w:r w:rsidR="00DF6AD6">
        <w:t>,</w:t>
      </w:r>
      <w:r>
        <w:t xml:space="preserve"> </w:t>
      </w:r>
      <w:r w:rsidR="00D25154">
        <w:t>&lt;</w:t>
      </w:r>
      <w:hyperlink r:id="rId68" w:history="1">
        <w:r w:rsidRPr="00F733F5">
          <w:rPr>
            <w:rStyle w:val="Hyperlink"/>
            <w:sz w:val="18"/>
          </w:rPr>
          <w:t>https://asialinkbusiness.com.au/research-resources/report-australias-jobs-future</w:t>
        </w:r>
      </w:hyperlink>
      <w:r w:rsidR="00D25154">
        <w:t>&gt;</w:t>
      </w:r>
      <w:r>
        <w:t xml:space="preserve">. </w:t>
      </w:r>
    </w:p>
    <w:p w:rsidR="00F07C47" w:rsidRDefault="00687C72" w:rsidP="00256897">
      <w:pPr>
        <w:pStyle w:val="References"/>
      </w:pPr>
      <w:r>
        <w:t>Australian Government 2011</w:t>
      </w:r>
      <w:r w:rsidR="00F07C47" w:rsidRPr="00F07C47">
        <w:t>, ‘The Australian Government’s response to the Expert P</w:t>
      </w:r>
      <w:r w:rsidR="00F07C47">
        <w:t>anel recommendations’, viewed 13 May 2016</w:t>
      </w:r>
      <w:r w:rsidR="00F07C47" w:rsidRPr="00F07C47">
        <w:t>, &lt;http://www.australianapprenticeships.gov.au/ publications/australian-government%E2%80%99s-response-expert-panel-recommendations&gt;.</w:t>
      </w:r>
    </w:p>
    <w:p w:rsidR="00B60B3C" w:rsidRDefault="00B60B3C" w:rsidP="00B60B3C">
      <w:pPr>
        <w:pStyle w:val="FootnoteText"/>
      </w:pPr>
      <w:r>
        <w:t>——</w:t>
      </w:r>
      <w:r w:rsidRPr="00DF6AD6">
        <w:rPr>
          <w:sz w:val="18"/>
          <w:szCs w:val="18"/>
        </w:rPr>
        <w:t>2016, Redesigning VET FEE-HELP: discussion paper, viewed 23 July 2016, &lt;https://docs.education.gov.au/system/files/doc/other/redesigning_vet_fee-help_-_discussion_paper_0_0.pdf&gt;.</w:t>
      </w:r>
    </w:p>
    <w:p w:rsidR="00256897" w:rsidRDefault="00256897" w:rsidP="00256897">
      <w:pPr>
        <w:pStyle w:val="References"/>
      </w:pPr>
      <w:r w:rsidRPr="00256897">
        <w:t xml:space="preserve">Australian Industry Group 2010, </w:t>
      </w:r>
      <w:r w:rsidRPr="005C022C">
        <w:rPr>
          <w:i/>
        </w:rPr>
        <w:t>Faster, Smarter, Higher Trade Outcomes Project: final report,</w:t>
      </w:r>
      <w:r>
        <w:t xml:space="preserve"> Ai Group, Sydney, viewed 15</w:t>
      </w:r>
      <w:r w:rsidRPr="00256897">
        <w:t xml:space="preserve"> </w:t>
      </w:r>
      <w:r>
        <w:t>March 2016</w:t>
      </w:r>
      <w:r w:rsidRPr="00256897">
        <w:t>, &lt;http://www.aigroup.com.au/portal/binary/ com.epicentric.contentmanagement.servlet.ContentDeliveryServlet/LIVE_CONTENT/Publications/Reports/2010/9151_faster_smarter_higher_trade_outcomes_project_web.pdf&gt;.</w:t>
      </w:r>
    </w:p>
    <w:p w:rsidR="00B264B5" w:rsidRDefault="00B264B5" w:rsidP="00256897">
      <w:pPr>
        <w:pStyle w:val="References"/>
      </w:pPr>
      <w:r>
        <w:t xml:space="preserve">——2016, ‘Urgent reform of apprenticeships required to address dire situation’, media release 14 April 2016, viewed 3 May 2016, </w:t>
      </w:r>
      <w:r w:rsidR="007B2147">
        <w:t>&lt;</w:t>
      </w:r>
      <w:hyperlink r:id="rId69" w:history="1">
        <w:r w:rsidRPr="004351C9">
          <w:rPr>
            <w:rStyle w:val="Hyperlink"/>
            <w:sz w:val="18"/>
          </w:rPr>
          <w:t>http://www.aigroup.com.au/portal/site/aig/template.MAXIMIZE/mediacentre/releases/?javax.portlet.tpst=576c3f2a4adc0f512aec2f100141a0a0_ws_MX&amp;javax.portlet.prp_576c3f2a4adc0f512aec2f100141a0a0=index%3D17%26docName%3DUrgent%2Breform%2Bof%2Bapprenticeships%2Brequired%2Bto%2Baddress%2Bdire%2Bsituation%26folderPath%3D%252FLIVE_CONTENT%252FMedia%2BReleases%252F2016%252FApril%252F%26viewID%3Dcontent&amp;javax.portlet.begCacheTok=com.vignette.cachetoken&amp;javax.portlet.endCacheTok=com.vignette.cachetoken</w:t>
        </w:r>
      </w:hyperlink>
      <w:r w:rsidR="007B2147">
        <w:t>&gt;.</w:t>
      </w:r>
    </w:p>
    <w:p w:rsidR="00E76409" w:rsidRDefault="00E76409" w:rsidP="000D1B5A">
      <w:pPr>
        <w:pStyle w:val="References"/>
      </w:pPr>
      <w:proofErr w:type="gramStart"/>
      <w:r w:rsidRPr="00E76409">
        <w:t>Australian Wo</w:t>
      </w:r>
      <w:r w:rsidR="00B264B5">
        <w:t>rkforce and Productivity Agency</w:t>
      </w:r>
      <w:r w:rsidRPr="00E76409">
        <w:t xml:space="preserve"> 2014, </w:t>
      </w:r>
      <w:r w:rsidRPr="00921B43">
        <w:rPr>
          <w:i/>
        </w:rPr>
        <w:t xml:space="preserve">Manufacturing </w:t>
      </w:r>
      <w:r w:rsidR="00DF6AD6" w:rsidRPr="00921B43">
        <w:rPr>
          <w:i/>
        </w:rPr>
        <w:t>workforce study</w:t>
      </w:r>
      <w:r w:rsidR="00DF6AD6" w:rsidRPr="00E76409">
        <w:t xml:space="preserve">, </w:t>
      </w:r>
      <w:r w:rsidRPr="00E76409">
        <w:t>viewed 11 Mar</w:t>
      </w:r>
      <w:r w:rsidR="00921B43">
        <w:t>ch</w:t>
      </w:r>
      <w:r w:rsidRPr="00E76409">
        <w:t xml:space="preserve"> 2016</w:t>
      </w:r>
      <w:r>
        <w:t>,</w:t>
      </w:r>
      <w:r w:rsidRPr="00E76409">
        <w:t xml:space="preserve"> </w:t>
      </w:r>
      <w:r w:rsidR="00921B43">
        <w:t>&lt;</w:t>
      </w:r>
      <w:r w:rsidRPr="00E76409">
        <w:t>https://docs.education.gov.au/system/files/doc/other/manufacturing-workforce-study-2014.pdf</w:t>
      </w:r>
      <w:r w:rsidR="00921B43">
        <w:t>&gt;.</w:t>
      </w:r>
      <w:proofErr w:type="gramEnd"/>
    </w:p>
    <w:p w:rsidR="00562D5F" w:rsidRDefault="00562D5F" w:rsidP="00562D5F">
      <w:pPr>
        <w:pStyle w:val="References"/>
      </w:pPr>
      <w:r w:rsidRPr="00562D5F">
        <w:t xml:space="preserve">——2013 </w:t>
      </w:r>
      <w:r w:rsidRPr="00562D5F">
        <w:rPr>
          <w:i/>
          <w:iCs/>
        </w:rPr>
        <w:t>Future focus: 2013 national workforce development strategy</w:t>
      </w:r>
      <w:r w:rsidRPr="00562D5F">
        <w:t>, viewed 1</w:t>
      </w:r>
      <w:r w:rsidR="00C43DB0">
        <w:t xml:space="preserve"> </w:t>
      </w:r>
      <w:r w:rsidRPr="00562D5F">
        <w:t>August 2016, &lt;</w:t>
      </w:r>
      <w:hyperlink r:id="rId70" w:history="1">
        <w:r w:rsidRPr="00562D5F">
          <w:rPr>
            <w:rStyle w:val="Hyperlink"/>
          </w:rPr>
          <w:t>https://docs.education.gov.au/system/files/doc/other/futurefocus2013nwds-2013.pdf</w:t>
        </w:r>
      </w:hyperlink>
      <w:r w:rsidRPr="00562D5F">
        <w:t>&gt;</w:t>
      </w:r>
      <w:r>
        <w:t xml:space="preserve"> </w:t>
      </w:r>
    </w:p>
    <w:p w:rsidR="004F1B2B" w:rsidRDefault="004F1B2B" w:rsidP="00AC3767">
      <w:pPr>
        <w:pStyle w:val="References"/>
      </w:pPr>
      <w:r w:rsidRPr="004F1B2B">
        <w:t>Ball, K (ed.)</w:t>
      </w:r>
      <w:r w:rsidR="00DF6AD6">
        <w:t xml:space="preserve"> </w:t>
      </w:r>
      <w:r w:rsidRPr="004F1B2B">
        <w:t xml:space="preserve">2005, </w:t>
      </w:r>
      <w:r w:rsidRPr="00DF6AD6">
        <w:rPr>
          <w:i/>
        </w:rPr>
        <w:t>Funding and financing vocational education and training: research readings</w:t>
      </w:r>
      <w:r w:rsidRPr="004F1B2B">
        <w:t>, NCVER, Adelaide, viewed 23 Jun</w:t>
      </w:r>
      <w:r w:rsidR="00DF6AD6">
        <w:t>e</w:t>
      </w:r>
      <w:r w:rsidRPr="004F1B2B">
        <w:t xml:space="preserve"> 2016, &lt;http://www.ncver.edu.au/publications/1594.html&gt;.</w:t>
      </w:r>
    </w:p>
    <w:p w:rsidR="00AC3767" w:rsidRDefault="00921B43" w:rsidP="00AC3767">
      <w:pPr>
        <w:pStyle w:val="References"/>
      </w:pPr>
      <w:proofErr w:type="spellStart"/>
      <w:r>
        <w:t>Beddie</w:t>
      </w:r>
      <w:proofErr w:type="spellEnd"/>
      <w:r>
        <w:t>, F</w:t>
      </w:r>
      <w:r w:rsidR="00AC3767">
        <w:t xml:space="preserve"> 2010, 'Dustman, milliner and watchcase maker: skilling Australia', NCVER, Adelaide, pap</w:t>
      </w:r>
      <w:r w:rsidR="00DF6AD6">
        <w:t>er presented at the Islands of History C</w:t>
      </w:r>
      <w:r w:rsidR="00AC3767">
        <w:t>onference, viewed 27 Apr</w:t>
      </w:r>
      <w:r w:rsidR="00B264B5">
        <w:t>il</w:t>
      </w:r>
      <w:r w:rsidR="00AC3767">
        <w:t xml:space="preserve"> 2016, &lt;http://www.ncver.edu.au/publications/2295.html&gt;.</w:t>
      </w:r>
    </w:p>
    <w:p w:rsidR="000D1B5A" w:rsidRDefault="00B264B5" w:rsidP="000D1B5A">
      <w:pPr>
        <w:pStyle w:val="References"/>
      </w:pPr>
      <w:r>
        <w:t>Bowman, K &amp;</w:t>
      </w:r>
      <w:r w:rsidR="000D1B5A">
        <w:t xml:space="preserve"> McKenna, S 2016, </w:t>
      </w:r>
      <w:r w:rsidR="000D1B5A" w:rsidRPr="00B264B5">
        <w:rPr>
          <w:i/>
        </w:rPr>
        <w:t>Jurisdictional approaches to student training entitlements: commonalities and differences</w:t>
      </w:r>
      <w:r w:rsidR="000D1B5A">
        <w:t>, NCVER, Adelaide, viewed 15 Mar</w:t>
      </w:r>
      <w:r>
        <w:t>ch</w:t>
      </w:r>
      <w:r w:rsidR="000D1B5A">
        <w:t xml:space="preserve"> 2016, &lt;http://www.ncver.edu.au/publications/2847.html&gt;.</w:t>
      </w:r>
    </w:p>
    <w:p w:rsidR="000D1B5A" w:rsidRDefault="000D1B5A" w:rsidP="000D1B5A">
      <w:pPr>
        <w:pStyle w:val="References"/>
      </w:pPr>
      <w:r>
        <w:t xml:space="preserve">Bowman, K, McKenna, S &amp; Griffin, T 2016, </w:t>
      </w:r>
      <w:r w:rsidRPr="00B264B5">
        <w:rPr>
          <w:i/>
        </w:rPr>
        <w:t>Balancing consistency and flexibility in student training entitlements: research overview</w:t>
      </w:r>
      <w:r>
        <w:t>, NCVER, Adelaide, viewed 15 Mar</w:t>
      </w:r>
      <w:r w:rsidR="00B264B5">
        <w:t>ch</w:t>
      </w:r>
      <w:r>
        <w:t xml:space="preserve"> 2016, &lt;http://www.ncver.edu.au/publications/2850.html&gt;.</w:t>
      </w:r>
    </w:p>
    <w:p w:rsidR="00847D15" w:rsidRDefault="00847D15" w:rsidP="000D1B5A">
      <w:pPr>
        <w:pStyle w:val="References"/>
      </w:pPr>
      <w:r w:rsidRPr="00847D15">
        <w:t xml:space="preserve">Bradley, D, Noonan, P, Nugent, H &amp; Scales, B 2008, </w:t>
      </w:r>
      <w:r w:rsidRPr="00DF6AD6">
        <w:rPr>
          <w:i/>
        </w:rPr>
        <w:t>Review of Australian higher education: final report</w:t>
      </w:r>
      <w:r w:rsidR="00C43DB0">
        <w:t>, Bradley R</w:t>
      </w:r>
      <w:r w:rsidR="00DF6AD6">
        <w:t>eview</w:t>
      </w:r>
      <w:r w:rsidRPr="00847D15">
        <w:t>, DEEWR, Canberra.</w:t>
      </w:r>
    </w:p>
    <w:p w:rsidR="00AC3767" w:rsidRDefault="00921B43" w:rsidP="000D1B5A">
      <w:pPr>
        <w:pStyle w:val="References"/>
      </w:pPr>
      <w:r>
        <w:t>Brown, K</w:t>
      </w:r>
      <w:r w:rsidR="00AC3767">
        <w:t xml:space="preserve"> 2013</w:t>
      </w:r>
      <w:r w:rsidR="00B264B5">
        <w:t>,</w:t>
      </w:r>
      <w:r w:rsidR="00AC3767">
        <w:t xml:space="preserve"> ‘How do providers respond to changes in structures in a period of reform?</w:t>
      </w:r>
      <w:proofErr w:type="gramStart"/>
      <w:r w:rsidR="00AC3767">
        <w:t>’,</w:t>
      </w:r>
      <w:proofErr w:type="gramEnd"/>
      <w:r w:rsidR="00AC3767">
        <w:t xml:space="preserve"> in</w:t>
      </w:r>
      <w:r w:rsidR="00AC3767" w:rsidRPr="00AC3767">
        <w:t xml:space="preserve"> </w:t>
      </w:r>
      <w:r w:rsidR="00B264B5">
        <w:t xml:space="preserve">F </w:t>
      </w:r>
      <w:proofErr w:type="spellStart"/>
      <w:r w:rsidR="00AC3767" w:rsidRPr="00AC3767">
        <w:t>Beddie</w:t>
      </w:r>
      <w:proofErr w:type="spellEnd"/>
      <w:r w:rsidR="00AC3767" w:rsidRPr="00AC3767">
        <w:t xml:space="preserve">, </w:t>
      </w:r>
      <w:r w:rsidR="00B264B5">
        <w:t>L</w:t>
      </w:r>
      <w:r w:rsidR="00AC3767" w:rsidRPr="00AC3767">
        <w:t xml:space="preserve"> O’</w:t>
      </w:r>
      <w:r w:rsidR="00AC3767">
        <w:t xml:space="preserve">Connor &amp; </w:t>
      </w:r>
      <w:r w:rsidR="00B264B5">
        <w:t>P Curtin</w:t>
      </w:r>
      <w:r w:rsidR="00AC3767">
        <w:t xml:space="preserve"> (</w:t>
      </w:r>
      <w:proofErr w:type="spellStart"/>
      <w:r w:rsidR="00AC3767">
        <w:t>eds</w:t>
      </w:r>
      <w:proofErr w:type="spellEnd"/>
      <w:r w:rsidR="00AC3767">
        <w:t>)</w:t>
      </w:r>
      <w:r w:rsidR="00AC3767" w:rsidRPr="00AC3767">
        <w:t xml:space="preserve"> </w:t>
      </w:r>
      <w:r w:rsidR="00AC3767" w:rsidRPr="00B264B5">
        <w:rPr>
          <w:i/>
        </w:rPr>
        <w:t xml:space="preserve">Structures in tertiary education and training: a </w:t>
      </w:r>
      <w:r w:rsidR="00AC3767" w:rsidRPr="00B264B5">
        <w:rPr>
          <w:i/>
        </w:rPr>
        <w:lastRenderedPageBreak/>
        <w:t>kale</w:t>
      </w:r>
      <w:r w:rsidR="00B264B5" w:rsidRPr="00B264B5">
        <w:rPr>
          <w:i/>
        </w:rPr>
        <w:t xml:space="preserve">idoscope or merely fragments? </w:t>
      </w:r>
      <w:proofErr w:type="gramStart"/>
      <w:r w:rsidR="00B264B5" w:rsidRPr="00B264B5">
        <w:rPr>
          <w:i/>
        </w:rPr>
        <w:t>R</w:t>
      </w:r>
      <w:r w:rsidR="00AC3767" w:rsidRPr="00B264B5">
        <w:rPr>
          <w:i/>
        </w:rPr>
        <w:t>esearch readings</w:t>
      </w:r>
      <w:r w:rsidR="00AC3767" w:rsidRPr="00AC3767">
        <w:t>, NCVER, Adelaide, viewed 27 Apr</w:t>
      </w:r>
      <w:r w:rsidR="00B264B5">
        <w:t>il</w:t>
      </w:r>
      <w:r w:rsidR="00AC3767" w:rsidRPr="00AC3767">
        <w:t xml:space="preserve"> 2016, &lt;http://www.ncver.edu.au/publications/2616.html&gt;.</w:t>
      </w:r>
      <w:proofErr w:type="gramEnd"/>
      <w:r w:rsidR="00597397">
        <w:t xml:space="preserve"> </w:t>
      </w:r>
    </w:p>
    <w:p w:rsidR="002326EC" w:rsidRDefault="002326EC" w:rsidP="000D1B5A">
      <w:pPr>
        <w:pStyle w:val="References"/>
      </w:pPr>
      <w:r>
        <w:t>Burke, G</w:t>
      </w:r>
      <w:r w:rsidR="00DF6AD6">
        <w:t xml:space="preserve"> 2016</w:t>
      </w:r>
      <w:r>
        <w:t xml:space="preserve">, </w:t>
      </w:r>
      <w:r w:rsidRPr="00B264B5">
        <w:rPr>
          <w:i/>
        </w:rPr>
        <w:t>Data on Investment in VET: what is needed and can it be collected</w:t>
      </w:r>
      <w:proofErr w:type="gramStart"/>
      <w:r>
        <w:t>?,</w:t>
      </w:r>
      <w:proofErr w:type="gramEnd"/>
      <w:r>
        <w:t xml:space="preserve"> NCVER, Adelaide</w:t>
      </w:r>
      <w:r w:rsidR="00B264B5">
        <w:t>.</w:t>
      </w:r>
    </w:p>
    <w:p w:rsidR="000D1B5A" w:rsidRDefault="00B264B5" w:rsidP="000D1B5A">
      <w:pPr>
        <w:pStyle w:val="References"/>
      </w:pPr>
      <w:r>
        <w:t>Callan, V</w:t>
      </w:r>
      <w:r w:rsidR="000D1B5A">
        <w:t xml:space="preserve"> 2008, </w:t>
      </w:r>
      <w:r w:rsidR="000D1B5A" w:rsidRPr="00B264B5">
        <w:rPr>
          <w:i/>
        </w:rPr>
        <w:t>Accelerated apprenticeships: apprentice, employer and teaching staff perceptions</w:t>
      </w:r>
      <w:r w:rsidR="000D1B5A">
        <w:t>, NCVER, Adelaide, viewed 15 Mar</w:t>
      </w:r>
      <w:r>
        <w:t>ch</w:t>
      </w:r>
      <w:r w:rsidR="000D1B5A">
        <w:t xml:space="preserve"> 2016, &lt;http://www.ncver.edu.au/publications/1991.html&gt;.</w:t>
      </w:r>
    </w:p>
    <w:p w:rsidR="000D1B5A" w:rsidRDefault="000D1B5A" w:rsidP="000D1B5A">
      <w:pPr>
        <w:pStyle w:val="References"/>
      </w:pPr>
      <w:r>
        <w:t xml:space="preserve">Clayton, B, Guthrie, H, Every, P &amp; Harding, R 2015, </w:t>
      </w:r>
      <w:r w:rsidRPr="00B264B5">
        <w:rPr>
          <w:i/>
        </w:rPr>
        <w:t>Competency progression and completion: how is the policy being enacted in three trades</w:t>
      </w:r>
      <w:proofErr w:type="gramStart"/>
      <w:r w:rsidRPr="00B264B5">
        <w:rPr>
          <w:i/>
        </w:rPr>
        <w:t>?</w:t>
      </w:r>
      <w:r>
        <w:t>,</w:t>
      </w:r>
      <w:proofErr w:type="gramEnd"/>
      <w:r>
        <w:t xml:space="preserve"> NCVER, Adelaide, viewed 15 Mar</w:t>
      </w:r>
      <w:r w:rsidR="00B264B5">
        <w:t>ch</w:t>
      </w:r>
      <w:r>
        <w:t xml:space="preserve"> 2016, &lt;http://www.ncver.edu.au/publications/2813.html&gt;.</w:t>
      </w:r>
    </w:p>
    <w:p w:rsidR="00447045" w:rsidRDefault="00447045" w:rsidP="000D1B5A">
      <w:pPr>
        <w:pStyle w:val="References"/>
      </w:pPr>
      <w:r>
        <w:t xml:space="preserve">Committee of Inquiry into Labour Market Programs 1985, </w:t>
      </w:r>
      <w:r w:rsidRPr="00447045">
        <w:rPr>
          <w:i/>
        </w:rPr>
        <w:t>Report</w:t>
      </w:r>
      <w:r>
        <w:t xml:space="preserve"> (the Kirby Review), AGPS, Canberra.</w:t>
      </w:r>
    </w:p>
    <w:p w:rsidR="00E76409" w:rsidRDefault="00921B43" w:rsidP="000D1B5A">
      <w:pPr>
        <w:pStyle w:val="References"/>
      </w:pPr>
      <w:r>
        <w:t>Cully, M</w:t>
      </w:r>
      <w:r w:rsidR="00C43DB0">
        <w:t xml:space="preserve"> 2008, ‘</w:t>
      </w:r>
      <w:r w:rsidR="00E76409" w:rsidRPr="00E76409">
        <w:t>Working in harmony: the links between the labour market and the education and training market in Australia</w:t>
      </w:r>
      <w:r w:rsidR="00C43DB0">
        <w:t>’</w:t>
      </w:r>
      <w:r w:rsidR="00E76409" w:rsidRPr="00E76409">
        <w:t xml:space="preserve">, NCVER, Adelaide, paper presented at the International Seminar on Linkage between Higher Education and </w:t>
      </w:r>
      <w:proofErr w:type="spellStart"/>
      <w:r w:rsidR="00E76409" w:rsidRPr="00E76409">
        <w:t>Labor</w:t>
      </w:r>
      <w:proofErr w:type="spellEnd"/>
      <w:r w:rsidR="00E76409" w:rsidRPr="00E76409">
        <w:t xml:space="preserve"> Market, viewed 11 Mar</w:t>
      </w:r>
      <w:r w:rsidR="00B264B5">
        <w:t>ch</w:t>
      </w:r>
      <w:r w:rsidR="00E76409" w:rsidRPr="00E76409">
        <w:t xml:space="preserve"> 2016, &lt;http://www.ncver.edu.au/publications/1993.html&gt;.</w:t>
      </w:r>
    </w:p>
    <w:p w:rsidR="00F07C47" w:rsidRDefault="00F07C47" w:rsidP="000D1B5A">
      <w:pPr>
        <w:pStyle w:val="References"/>
      </w:pPr>
      <w:r w:rsidRPr="00F07C47">
        <w:t xml:space="preserve">Curtin University Centre for Labour Market Research1997, </w:t>
      </w:r>
      <w:r w:rsidRPr="00DF6AD6">
        <w:rPr>
          <w:i/>
        </w:rPr>
        <w:t>Evaluation of the impact of financial incentives on the recruitment of entry level trainees</w:t>
      </w:r>
      <w:r w:rsidRPr="00F07C47">
        <w:t>, EMB report 3/97, DEETYA, Canberra.</w:t>
      </w:r>
    </w:p>
    <w:p w:rsidR="009C5CA4" w:rsidRDefault="009C5CA4" w:rsidP="000D1B5A">
      <w:pPr>
        <w:pStyle w:val="References"/>
      </w:pPr>
      <w:r w:rsidRPr="009C5CA4">
        <w:t>Deloitte Access Economics</w:t>
      </w:r>
      <w:r>
        <w:t xml:space="preserve"> 2012, </w:t>
      </w:r>
      <w:r w:rsidR="00831410" w:rsidRPr="00831410">
        <w:rPr>
          <w:i/>
        </w:rPr>
        <w:t>Econometric a</w:t>
      </w:r>
      <w:r w:rsidRPr="00831410">
        <w:rPr>
          <w:i/>
        </w:rPr>
        <w:t>nalysis of the Australian Apprenticeships Incentives Programme</w:t>
      </w:r>
      <w:r>
        <w:t>, Australian Government, viewed 15 Mar</w:t>
      </w:r>
      <w:r w:rsidR="00831410">
        <w:t>ch</w:t>
      </w:r>
      <w:r>
        <w:t xml:space="preserve"> 2016, </w:t>
      </w:r>
      <w:r w:rsidR="00921B43">
        <w:t>&lt;</w:t>
      </w:r>
      <w:hyperlink r:id="rId71" w:history="1">
        <w:r w:rsidRPr="00F32F47">
          <w:rPr>
            <w:rStyle w:val="Hyperlink"/>
            <w:sz w:val="18"/>
          </w:rPr>
          <w:t>http://www.australianapprenticeships.gov.au/sites/ausapps/files/publication-documents/econometricanalysisaaip.pdf</w:t>
        </w:r>
      </w:hyperlink>
      <w:r w:rsidR="00921B43">
        <w:t>&gt;.</w:t>
      </w:r>
      <w:r w:rsidR="00597397">
        <w:t xml:space="preserve"> </w:t>
      </w:r>
    </w:p>
    <w:p w:rsidR="00542F1B" w:rsidRDefault="00542F1B" w:rsidP="00542F1B">
      <w:pPr>
        <w:pStyle w:val="References"/>
      </w:pPr>
      <w:r>
        <w:t>Department of Education and Training 2016, Higher Education Statistics Data Cube (</w:t>
      </w:r>
      <w:proofErr w:type="spellStart"/>
      <w:r>
        <w:t>uCube</w:t>
      </w:r>
      <w:proofErr w:type="spellEnd"/>
      <w:r>
        <w:t>), viewed 12 May 2016, &lt;</w:t>
      </w:r>
      <w:hyperlink r:id="rId72" w:history="1">
        <w:r w:rsidRPr="00542F1B">
          <w:t>http://highereducationstatistics.education.gov.au/</w:t>
        </w:r>
      </w:hyperlink>
      <w:r>
        <w:t>&gt;</w:t>
      </w:r>
    </w:p>
    <w:p w:rsidR="00963F6D" w:rsidRDefault="00C43DB0" w:rsidP="000D1B5A">
      <w:pPr>
        <w:pStyle w:val="References"/>
      </w:pPr>
      <w:r>
        <w:t xml:space="preserve">—— </w:t>
      </w:r>
      <w:r w:rsidR="00963F6D">
        <w:t xml:space="preserve">2015, </w:t>
      </w:r>
      <w:r w:rsidR="00921B43">
        <w:t>‘</w:t>
      </w:r>
      <w:r w:rsidR="00963F6D" w:rsidRPr="00963F6D">
        <w:t xml:space="preserve">Vocational </w:t>
      </w:r>
      <w:r w:rsidR="00921B43" w:rsidRPr="00963F6D">
        <w:t>education and training reform</w:t>
      </w:r>
      <w:r w:rsidR="00921B43">
        <w:t>’</w:t>
      </w:r>
      <w:r w:rsidR="00963F6D">
        <w:t>, viewed 15 Mar</w:t>
      </w:r>
      <w:r w:rsidR="00921B43">
        <w:t>ch</w:t>
      </w:r>
      <w:r w:rsidR="00963F6D">
        <w:t xml:space="preserve"> 2016, </w:t>
      </w:r>
      <w:r w:rsidR="007B2147">
        <w:t>&lt;</w:t>
      </w:r>
      <w:hyperlink r:id="rId73" w:history="1">
        <w:r w:rsidR="00963F6D" w:rsidRPr="00F32F47">
          <w:rPr>
            <w:rStyle w:val="Hyperlink"/>
            <w:sz w:val="18"/>
          </w:rPr>
          <w:t>http://www.education.gov.au/vocational-education-and-training-reform</w:t>
        </w:r>
      </w:hyperlink>
      <w:r w:rsidR="007B2147">
        <w:t>&gt;.</w:t>
      </w:r>
      <w:r w:rsidR="00963F6D">
        <w:t xml:space="preserve"> </w:t>
      </w:r>
    </w:p>
    <w:p w:rsidR="00E76409" w:rsidRDefault="00E76409" w:rsidP="000D1B5A">
      <w:pPr>
        <w:pStyle w:val="References"/>
      </w:pPr>
      <w:proofErr w:type="gramStart"/>
      <w:r w:rsidRPr="00E76409">
        <w:t>Department of Employment 201</w:t>
      </w:r>
      <w:r w:rsidR="00EB6683">
        <w:t>6</w:t>
      </w:r>
      <w:r w:rsidR="00831410">
        <w:t>,</w:t>
      </w:r>
      <w:r w:rsidRPr="00E76409">
        <w:t xml:space="preserve"> </w:t>
      </w:r>
      <w:r w:rsidR="00EB6683">
        <w:rPr>
          <w:i/>
        </w:rPr>
        <w:t>Industry employment projections</w:t>
      </w:r>
      <w:r w:rsidRPr="00E76409">
        <w:t xml:space="preserve">, </w:t>
      </w:r>
      <w:r w:rsidR="00D25154" w:rsidRPr="00E76409">
        <w:t>viewed 13</w:t>
      </w:r>
      <w:r w:rsidR="00EB6683">
        <w:t xml:space="preserve"> July </w:t>
      </w:r>
      <w:r w:rsidRPr="00E76409">
        <w:t>Mar</w:t>
      </w:r>
      <w:r w:rsidR="00831410">
        <w:t>ch</w:t>
      </w:r>
      <w:r w:rsidRPr="00E76409">
        <w:t xml:space="preserve"> 2016</w:t>
      </w:r>
      <w:r>
        <w:t xml:space="preserve">, </w:t>
      </w:r>
      <w:r w:rsidR="00D25154" w:rsidRPr="00D25154">
        <w:t>http://lmip.gov.au/default.aspx?LMIP/EmploymentProjections</w:t>
      </w:r>
      <w:r w:rsidR="00831410">
        <w:t>&gt;.</w:t>
      </w:r>
      <w:proofErr w:type="gramEnd"/>
    </w:p>
    <w:p w:rsidR="004F5316" w:rsidRDefault="004F5316" w:rsidP="000D1B5A">
      <w:pPr>
        <w:pStyle w:val="References"/>
      </w:pPr>
      <w:r>
        <w:t>Departmen</w:t>
      </w:r>
      <w:r w:rsidR="00831410">
        <w:t>t of Prime Minister and Cabinet</w:t>
      </w:r>
      <w:r>
        <w:t xml:space="preserve"> 2014, </w:t>
      </w:r>
      <w:r w:rsidRPr="00921B43">
        <w:rPr>
          <w:i/>
        </w:rPr>
        <w:t xml:space="preserve">Reform of the Federation </w:t>
      </w:r>
      <w:r w:rsidR="00831410" w:rsidRPr="00921B43">
        <w:rPr>
          <w:i/>
        </w:rPr>
        <w:t>white paper: roles and responsibilities in education</w:t>
      </w:r>
      <w:r w:rsidRPr="00921B43">
        <w:rPr>
          <w:i/>
        </w:rPr>
        <w:t xml:space="preserve">, Part B: Vocational </w:t>
      </w:r>
      <w:r w:rsidR="00831410" w:rsidRPr="00921B43">
        <w:rPr>
          <w:i/>
        </w:rPr>
        <w:t>education and training and higher education</w:t>
      </w:r>
      <w:r w:rsidR="00831410">
        <w:t>, issues paper</w:t>
      </w:r>
      <w:r>
        <w:t xml:space="preserve"> 4, Australian Government, Canberra</w:t>
      </w:r>
      <w:r w:rsidR="00831410">
        <w:t>.</w:t>
      </w:r>
      <w:r>
        <w:t xml:space="preserve"> </w:t>
      </w:r>
    </w:p>
    <w:p w:rsidR="00414CB9" w:rsidRDefault="00414CB9" w:rsidP="000D1B5A">
      <w:pPr>
        <w:pStyle w:val="References"/>
      </w:pPr>
      <w:r w:rsidRPr="00414CB9">
        <w:t xml:space="preserve">Dickie, M, McDonald, R &amp; </w:t>
      </w:r>
      <w:proofErr w:type="spellStart"/>
      <w:r w:rsidRPr="00414CB9">
        <w:t>Pedic</w:t>
      </w:r>
      <w:proofErr w:type="spellEnd"/>
      <w:r w:rsidRPr="00414CB9">
        <w:t xml:space="preserve">, F 2011, </w:t>
      </w:r>
      <w:r w:rsidRPr="00C43DB0">
        <w:rPr>
          <w:i/>
        </w:rPr>
        <w:t>A fair deal: apprentices and their employers in NSW: integrated research report</w:t>
      </w:r>
      <w:r w:rsidRPr="00414CB9">
        <w:t>, BVET, Sydney, viewed 12 May 2016, &lt;http://www.bvet.nsw.gov.au/pdf/afairdealfinalreport.pdf&gt;.</w:t>
      </w:r>
    </w:p>
    <w:p w:rsidR="00733234" w:rsidRDefault="00733234" w:rsidP="00733234">
      <w:pPr>
        <w:pStyle w:val="References"/>
      </w:pPr>
      <w:r>
        <w:t>Education and E</w:t>
      </w:r>
      <w:r w:rsidR="00831410">
        <w:t>mployment Legislation Committee</w:t>
      </w:r>
      <w:r>
        <w:t xml:space="preserve"> 2015, Higher Education Support Amendment (VET FEE-HELP Reform) Bill 2015 [Provisions], </w:t>
      </w:r>
      <w:r w:rsidRPr="00733234">
        <w:t>Commonwealth of Australia</w:t>
      </w:r>
      <w:r>
        <w:t>, Canberra</w:t>
      </w:r>
    </w:p>
    <w:p w:rsidR="000D1B5A" w:rsidRDefault="000D1B5A" w:rsidP="000D1B5A">
      <w:pPr>
        <w:pStyle w:val="References"/>
      </w:pPr>
      <w:proofErr w:type="spellStart"/>
      <w:r>
        <w:t>Goozee</w:t>
      </w:r>
      <w:proofErr w:type="spellEnd"/>
      <w:r>
        <w:t xml:space="preserve">, G 2001, </w:t>
      </w:r>
      <w:proofErr w:type="gramStart"/>
      <w:r w:rsidRPr="00831410">
        <w:rPr>
          <w:i/>
        </w:rPr>
        <w:t>The</w:t>
      </w:r>
      <w:proofErr w:type="gramEnd"/>
      <w:r w:rsidRPr="00831410">
        <w:rPr>
          <w:i/>
        </w:rPr>
        <w:t xml:space="preserve"> development of TAFE in Australia</w:t>
      </w:r>
      <w:r>
        <w:t>, NCVER, Adelaide, viewed 15 Mar</w:t>
      </w:r>
      <w:r w:rsidR="00831410">
        <w:t>ch</w:t>
      </w:r>
      <w:r>
        <w:t xml:space="preserve"> 2016, &lt;http://www.ncver.edu.au/publications/574.html&gt;.</w:t>
      </w:r>
    </w:p>
    <w:p w:rsidR="000D1B5A" w:rsidRDefault="00831410" w:rsidP="000D1B5A">
      <w:pPr>
        <w:pStyle w:val="References"/>
      </w:pPr>
      <w:r>
        <w:t>Hargreaves, J &amp;</w:t>
      </w:r>
      <w:r w:rsidR="000D1B5A">
        <w:t xml:space="preserve"> Blomberg, D 2015, </w:t>
      </w:r>
      <w:r w:rsidR="000D1B5A" w:rsidRPr="00831410">
        <w:rPr>
          <w:i/>
        </w:rPr>
        <w:t>Adult trade apprentices: exploring the significance of recognition of prior learning and skill sets for earlier completion</w:t>
      </w:r>
      <w:r w:rsidR="000D1B5A">
        <w:t>, NCVER, Adelaide, viewed 15 Mar</w:t>
      </w:r>
      <w:r>
        <w:t>ch</w:t>
      </w:r>
      <w:r w:rsidR="000D1B5A">
        <w:t xml:space="preserve"> 2016, &lt;http://www.ncver.edu.au/publications/2815.html&gt;.</w:t>
      </w:r>
    </w:p>
    <w:p w:rsidR="00414CB9" w:rsidRDefault="00414CB9" w:rsidP="000D1B5A">
      <w:pPr>
        <w:pStyle w:val="References"/>
      </w:pPr>
      <w:proofErr w:type="gramStart"/>
      <w:r w:rsidRPr="00414CB9">
        <w:t>Independent Committee of Inquiry into Competition Policy in Australia</w:t>
      </w:r>
      <w:r w:rsidR="00C43DB0">
        <w:t xml:space="preserve"> </w:t>
      </w:r>
      <w:r w:rsidRPr="00414CB9">
        <w:t>199</w:t>
      </w:r>
      <w:r w:rsidR="00DF6AD6">
        <w:t xml:space="preserve">3, </w:t>
      </w:r>
      <w:r w:rsidR="00DF6AD6" w:rsidRPr="00C43DB0">
        <w:rPr>
          <w:i/>
        </w:rPr>
        <w:t xml:space="preserve">National competition policy </w:t>
      </w:r>
      <w:r w:rsidR="00DF6AD6">
        <w:t>(</w:t>
      </w:r>
      <w:proofErr w:type="spellStart"/>
      <w:r w:rsidR="00DF6AD6">
        <w:t>Hilmer</w:t>
      </w:r>
      <w:proofErr w:type="spellEnd"/>
      <w:r w:rsidR="00DF6AD6">
        <w:t xml:space="preserve"> report)</w:t>
      </w:r>
      <w:r w:rsidRPr="00414CB9">
        <w:t xml:space="preserve">, </w:t>
      </w:r>
      <w:r w:rsidR="00DF6AD6">
        <w:t>AGPS</w:t>
      </w:r>
      <w:r w:rsidRPr="00414CB9">
        <w:t>, Canberra, viewed 12 May 2016, &lt;http://ncp.ncc.gov.au/docs/National%20Competition%20Policy%20Review%20report%2C%20The%20Hilmer%20Report%2C%20August%201993.pdf&gt;.</w:t>
      </w:r>
      <w:proofErr w:type="gramEnd"/>
    </w:p>
    <w:p w:rsidR="00C43DB0" w:rsidRDefault="00C43DB0" w:rsidP="00C43DB0">
      <w:pPr>
        <w:pStyle w:val="References"/>
      </w:pPr>
      <w:proofErr w:type="spellStart"/>
      <w:r>
        <w:t>Karmel</w:t>
      </w:r>
      <w:proofErr w:type="spellEnd"/>
      <w:r>
        <w:t xml:space="preserve">, T 2009, 'The contribution of VET to Australia’s skill base’, </w:t>
      </w:r>
      <w:r w:rsidRPr="00831410">
        <w:rPr>
          <w:i/>
        </w:rPr>
        <w:t>Insights: Melbourne Economics and Commerce</w:t>
      </w:r>
      <w:r>
        <w:t>, vol.6, pp.41—6, viewed 11 March 2016, &lt;http://insights.unimelb.edu.au/vol6/06_Karmel.html&gt;.</w:t>
      </w:r>
    </w:p>
    <w:p w:rsidR="00C43DB0" w:rsidRDefault="00C43DB0" w:rsidP="00C43DB0">
      <w:pPr>
        <w:pStyle w:val="References"/>
      </w:pPr>
      <w:proofErr w:type="spellStart"/>
      <w:r>
        <w:t>Karmel</w:t>
      </w:r>
      <w:proofErr w:type="spellEnd"/>
      <w:r>
        <w:t xml:space="preserve">, T &amp; </w:t>
      </w:r>
      <w:proofErr w:type="spellStart"/>
      <w:r>
        <w:t>Lui</w:t>
      </w:r>
      <w:proofErr w:type="spellEnd"/>
      <w:r>
        <w:t xml:space="preserve">, S-H 2011, </w:t>
      </w:r>
      <w:r>
        <w:rPr>
          <w:i/>
          <w:iCs/>
        </w:rPr>
        <w:t>Which paths work for which young people</w:t>
      </w:r>
      <w:proofErr w:type="gramStart"/>
      <w:r>
        <w:rPr>
          <w:i/>
          <w:iCs/>
        </w:rPr>
        <w:t>?</w:t>
      </w:r>
      <w:r>
        <w:t>,</w:t>
      </w:r>
      <w:proofErr w:type="gramEnd"/>
      <w:r>
        <w:t xml:space="preserve"> LSAY research report no. 57, NCVER, Adelaide, viewed 19 April 2016, &lt;http://www.ncver.edu.au/publications/2397.html&gt;.</w:t>
      </w:r>
    </w:p>
    <w:p w:rsidR="00414CB9" w:rsidRDefault="00DF6AD6" w:rsidP="000D1B5A">
      <w:pPr>
        <w:pStyle w:val="References"/>
      </w:pPr>
      <w:proofErr w:type="spellStart"/>
      <w:r>
        <w:t>Karmel</w:t>
      </w:r>
      <w:proofErr w:type="spellEnd"/>
      <w:r>
        <w:t>, T &amp;</w:t>
      </w:r>
      <w:r w:rsidR="00414CB9" w:rsidRPr="00414CB9">
        <w:t xml:space="preserve"> Misko, J 2009, </w:t>
      </w:r>
      <w:r w:rsidR="00414CB9" w:rsidRPr="00DF6AD6">
        <w:rPr>
          <w:i/>
        </w:rPr>
        <w:t>Apprenticeships and traineeships in the downturn</w:t>
      </w:r>
      <w:r w:rsidR="00414CB9" w:rsidRPr="00414CB9">
        <w:t>, NCVER occasional paper, NCVER, Adelaide, viewed 12 May 2016, &lt;http://www.ncver.edu.au/publications/2197.html&gt;.</w:t>
      </w:r>
    </w:p>
    <w:p w:rsidR="00C43DB0" w:rsidRDefault="00C43DB0" w:rsidP="00C43DB0">
      <w:pPr>
        <w:pStyle w:val="References"/>
      </w:pPr>
      <w:proofErr w:type="spellStart"/>
      <w:r>
        <w:t>Karmel</w:t>
      </w:r>
      <w:proofErr w:type="spellEnd"/>
      <w:r>
        <w:t xml:space="preserve">, T, Cully, M, Knight, B &amp; Mlotkowski, P 2008, </w:t>
      </w:r>
      <w:r w:rsidRPr="00C43DB0">
        <w:t>‘The efficiency and effectiveness of apprenticeship and traineeship incentives’</w:t>
      </w:r>
      <w:r>
        <w:t>, report commissioned by DEEWR (confidential),</w:t>
      </w:r>
      <w:r w:rsidRPr="00DF6AD6">
        <w:t xml:space="preserve"> </w:t>
      </w:r>
      <w:r>
        <w:t>NCVER, Adelaide.</w:t>
      </w:r>
    </w:p>
    <w:p w:rsidR="00831410" w:rsidRDefault="00831410" w:rsidP="00831410">
      <w:pPr>
        <w:pStyle w:val="References"/>
      </w:pPr>
      <w:r>
        <w:t xml:space="preserve">Knight, B, 2012, </w:t>
      </w:r>
      <w:r w:rsidRPr="00831410">
        <w:rPr>
          <w:i/>
        </w:rPr>
        <w:t>Evolution of apprenticeships and traineeships in Australia: an unfinished history,</w:t>
      </w:r>
      <w:r>
        <w:t xml:space="preserve"> NCVER occasional paper, NCVER, Adelaide, viewed 15 March 2016, &lt;http://www.ncver.edu.au/publications/2444.html&gt;.</w:t>
      </w:r>
    </w:p>
    <w:p w:rsidR="00414CB9" w:rsidRDefault="001A2CC2" w:rsidP="00831410">
      <w:pPr>
        <w:pStyle w:val="References"/>
      </w:pPr>
      <w:r>
        <w:lastRenderedPageBreak/>
        <w:t>Knight, B &amp;</w:t>
      </w:r>
      <w:r w:rsidR="00414CB9" w:rsidRPr="00414CB9">
        <w:t xml:space="preserve"> </w:t>
      </w:r>
      <w:proofErr w:type="spellStart"/>
      <w:r w:rsidR="00414CB9" w:rsidRPr="00414CB9">
        <w:t>Karmel</w:t>
      </w:r>
      <w:proofErr w:type="spellEnd"/>
      <w:r w:rsidR="00414CB9" w:rsidRPr="00414CB9">
        <w:t xml:space="preserve">, T 2011, </w:t>
      </w:r>
      <w:r w:rsidR="00414CB9" w:rsidRPr="00C43DB0">
        <w:rPr>
          <w:i/>
        </w:rPr>
        <w:t>Apprenticeships and traineeships in Australia</w:t>
      </w:r>
      <w:r w:rsidR="00414CB9" w:rsidRPr="00414CB9">
        <w:t>, Institute for Public Policy Researc</w:t>
      </w:r>
      <w:r w:rsidR="00C43DB0">
        <w:t xml:space="preserve">h, London, viewed 12 May 2016, </w:t>
      </w:r>
      <w:r>
        <w:t>&lt;</w:t>
      </w:r>
      <w:r w:rsidRPr="001A2CC2">
        <w:t>http://www.ippr.org/files/images/media/files/publication/2011/11/apprenticeships_Nov2011_8028.pdf?noredirect=1</w:t>
      </w:r>
      <w:r>
        <w:t>&gt;.</w:t>
      </w:r>
    </w:p>
    <w:p w:rsidR="000D1B5A" w:rsidRDefault="00831410" w:rsidP="000D1B5A">
      <w:pPr>
        <w:pStyle w:val="References"/>
      </w:pPr>
      <w:r>
        <w:t>Knight, B &amp;</w:t>
      </w:r>
      <w:r w:rsidR="000D1B5A">
        <w:t xml:space="preserve"> Mlotkowski, P 2009, </w:t>
      </w:r>
      <w:r w:rsidR="000D1B5A" w:rsidRPr="00831410">
        <w:rPr>
          <w:i/>
        </w:rPr>
        <w:t>An overview of vocational education and training in Australia and its links to the labour market</w:t>
      </w:r>
      <w:r w:rsidR="000D1B5A">
        <w:t>, NCVER, Adelaide, viewed 11 Mar</w:t>
      </w:r>
      <w:r>
        <w:t>ch</w:t>
      </w:r>
      <w:r w:rsidR="000D1B5A">
        <w:t xml:space="preserve"> 2016, &lt;http://www.ncver.edu.au/publications/2117.html&gt;.</w:t>
      </w:r>
    </w:p>
    <w:p w:rsidR="009D02DE" w:rsidRDefault="009D02DE" w:rsidP="009D02DE">
      <w:pPr>
        <w:pStyle w:val="References"/>
      </w:pPr>
      <w:r>
        <w:t>Korbel, P</w:t>
      </w:r>
      <w:r w:rsidR="00831410">
        <w:t xml:space="preserve"> &amp; Misko, J</w:t>
      </w:r>
      <w:r>
        <w:t xml:space="preserve"> </w:t>
      </w:r>
      <w:r w:rsidR="006F4D1D">
        <w:t>2016</w:t>
      </w:r>
      <w:r>
        <w:t xml:space="preserve">, </w:t>
      </w:r>
      <w:r w:rsidR="00831410">
        <w:rPr>
          <w:i/>
        </w:rPr>
        <w:t xml:space="preserve">VET </w:t>
      </w:r>
      <w:r w:rsidR="006F4D1D">
        <w:rPr>
          <w:i/>
        </w:rPr>
        <w:t xml:space="preserve">provider </w:t>
      </w:r>
      <w:r w:rsidR="00831410">
        <w:rPr>
          <w:i/>
        </w:rPr>
        <w:t>market structures</w:t>
      </w:r>
      <w:r w:rsidR="006F4D1D">
        <w:rPr>
          <w:i/>
        </w:rPr>
        <w:t>:</w:t>
      </w:r>
      <w:r w:rsidR="003E00F0" w:rsidRPr="003E00F0">
        <w:rPr>
          <w:i/>
        </w:rPr>
        <w:t xml:space="preserve"> history, growth and </w:t>
      </w:r>
      <w:r w:rsidR="006F4D1D">
        <w:rPr>
          <w:i/>
        </w:rPr>
        <w:t>change</w:t>
      </w:r>
      <w:r>
        <w:t>, NCVER, Adelaide</w:t>
      </w:r>
      <w:r w:rsidR="00831410">
        <w:t>.</w:t>
      </w:r>
    </w:p>
    <w:p w:rsidR="000D1B5A" w:rsidRDefault="000D1B5A" w:rsidP="000D1B5A">
      <w:pPr>
        <w:pStyle w:val="References"/>
      </w:pPr>
      <w:r>
        <w:t xml:space="preserve">Leung, F, </w:t>
      </w:r>
      <w:proofErr w:type="spellStart"/>
      <w:r>
        <w:t>McVicar</w:t>
      </w:r>
      <w:proofErr w:type="spellEnd"/>
      <w:r>
        <w:t xml:space="preserve">, D, </w:t>
      </w:r>
      <w:proofErr w:type="spellStart"/>
      <w:r>
        <w:t>Polidano</w:t>
      </w:r>
      <w:proofErr w:type="spellEnd"/>
      <w:r>
        <w:t xml:space="preserve">, C &amp; Zhang, R 2014, </w:t>
      </w:r>
      <w:r w:rsidRPr="00831410">
        <w:rPr>
          <w:i/>
        </w:rPr>
        <w:t>Early impacts of the Victorian Training Guarantee on VET enrolments and graduate outcomes</w:t>
      </w:r>
      <w:r>
        <w:t>, National Vocational Education and Training Research Program research report, Promoting social inclusion for disadvantaged groups through education and training, NCVER, Adelaide, viewed 15 Mar</w:t>
      </w:r>
      <w:r w:rsidR="00831410">
        <w:t>ch</w:t>
      </w:r>
      <w:r>
        <w:t xml:space="preserve"> 2016, &lt;http://www.ncver.edu.au/publications/2724.html&gt;.</w:t>
      </w:r>
    </w:p>
    <w:p w:rsidR="00423D60" w:rsidRDefault="00423D60" w:rsidP="00423D60">
      <w:pPr>
        <w:pStyle w:val="References"/>
      </w:pPr>
      <w:r>
        <w:t>Mackenzie, B</w:t>
      </w:r>
      <w:r w:rsidR="008A6C4C">
        <w:t xml:space="preserve"> &amp; Coulson, N 2015, </w:t>
      </w:r>
      <w:r w:rsidR="008A6C4C" w:rsidRPr="008A6C4C">
        <w:rPr>
          <w:i/>
        </w:rPr>
        <w:t>Final r</w:t>
      </w:r>
      <w:r w:rsidRPr="008A6C4C">
        <w:rPr>
          <w:i/>
        </w:rPr>
        <w:t>eport of the VET Funding Review</w:t>
      </w:r>
      <w:r>
        <w:t>, Victorian Government, viewed 15 Mar</w:t>
      </w:r>
      <w:r w:rsidR="008A6C4C">
        <w:t>ch</w:t>
      </w:r>
      <w:r>
        <w:t xml:space="preserve"> 2016, </w:t>
      </w:r>
      <w:r w:rsidR="00921B43">
        <w:t>&lt;</w:t>
      </w:r>
      <w:r w:rsidRPr="00423D60">
        <w:t>http://www.education.vic.gov.au/Documents/about/department/VET_Funding_Review.pdf</w:t>
      </w:r>
      <w:r w:rsidR="00921B43">
        <w:t>&gt;.</w:t>
      </w:r>
      <w:r>
        <w:t xml:space="preserve"> </w:t>
      </w:r>
    </w:p>
    <w:p w:rsidR="006E4375" w:rsidRDefault="00831410" w:rsidP="006E4375">
      <w:pPr>
        <w:pStyle w:val="References"/>
      </w:pPr>
      <w:proofErr w:type="gramStart"/>
      <w:r>
        <w:t>NCVER (</w:t>
      </w:r>
      <w:r w:rsidR="009D02DE">
        <w:t>National Centre for Vocational Education Research</w:t>
      </w:r>
      <w:r>
        <w:t>)</w:t>
      </w:r>
      <w:r w:rsidR="006E4375" w:rsidRPr="006E4375">
        <w:t xml:space="preserve"> </w:t>
      </w:r>
      <w:r w:rsidR="006E4375">
        <w:t xml:space="preserve">2011, </w:t>
      </w:r>
      <w:r w:rsidR="006E4375" w:rsidRPr="006E4375">
        <w:rPr>
          <w:i/>
        </w:rPr>
        <w:t>Overview of the Australian apprenticeship and traineeship system</w:t>
      </w:r>
      <w:r w:rsidR="006E4375">
        <w:t>, DEEWR, Canberra.</w:t>
      </w:r>
      <w:proofErr w:type="gramEnd"/>
      <w:r w:rsidR="006E4375">
        <w:t xml:space="preserve"> </w:t>
      </w:r>
    </w:p>
    <w:p w:rsidR="00414CB9" w:rsidRDefault="006E4375" w:rsidP="000D1B5A">
      <w:pPr>
        <w:pStyle w:val="References"/>
      </w:pPr>
      <w:r>
        <w:t>——</w:t>
      </w:r>
      <w:r w:rsidR="00414CB9">
        <w:t xml:space="preserve">2015a, </w:t>
      </w:r>
      <w:r w:rsidR="00414CB9" w:rsidRPr="006E4375">
        <w:rPr>
          <w:i/>
        </w:rPr>
        <w:t>Total VET students and courses 2014</w:t>
      </w:r>
      <w:r w:rsidR="00C43DB0">
        <w:rPr>
          <w:i/>
        </w:rPr>
        <w:t>: s</w:t>
      </w:r>
      <w:r w:rsidR="00414CB9" w:rsidRPr="006E4375">
        <w:rPr>
          <w:i/>
        </w:rPr>
        <w:t>napshot of vocational education and training in Australia: infographics November 2015</w:t>
      </w:r>
      <w:r w:rsidR="00414CB9">
        <w:t>, NCVER, Adelaide, viewed 15 Mar</w:t>
      </w:r>
      <w:r w:rsidR="0014592C">
        <w:t>ch</w:t>
      </w:r>
      <w:r w:rsidR="00414CB9">
        <w:t xml:space="preserve"> 2016, &lt;http://tinyurl.com/jp2svq2&gt;.</w:t>
      </w:r>
    </w:p>
    <w:p w:rsidR="000D1B5A" w:rsidRDefault="00414CB9" w:rsidP="00E43270">
      <w:pPr>
        <w:pStyle w:val="References"/>
      </w:pPr>
      <w:r>
        <w:t>——</w:t>
      </w:r>
      <w:r w:rsidR="000D1B5A">
        <w:t>2015</w:t>
      </w:r>
      <w:r>
        <w:t>b</w:t>
      </w:r>
      <w:r w:rsidR="000D1B5A">
        <w:t xml:space="preserve">, </w:t>
      </w:r>
      <w:proofErr w:type="gramStart"/>
      <w:r w:rsidR="000D1B5A" w:rsidRPr="00DF6AD6">
        <w:rPr>
          <w:i/>
        </w:rPr>
        <w:t>A</w:t>
      </w:r>
      <w:proofErr w:type="gramEnd"/>
      <w:r w:rsidR="000D1B5A" w:rsidRPr="00DF6AD6">
        <w:rPr>
          <w:i/>
        </w:rPr>
        <w:t xml:space="preserve"> preliminary analysis of the outcomes of students assisted by VET FEE-HELP: summary</w:t>
      </w:r>
      <w:r w:rsidR="000D1B5A">
        <w:t>, NCVER, Adelaide, viewed 15 Mar</w:t>
      </w:r>
      <w:r w:rsidR="006E4375">
        <w:t>ch</w:t>
      </w:r>
      <w:r w:rsidR="000D1B5A">
        <w:t xml:space="preserve"> 2016, &lt;https://www.ncver.edu.au/public</w:t>
      </w:r>
      <w:r w:rsidR="00E43270">
        <w:t>ations/2827.html&gt;.</w:t>
      </w:r>
    </w:p>
    <w:p w:rsidR="00733E1A" w:rsidRDefault="00733E1A" w:rsidP="00E43270">
      <w:pPr>
        <w:pStyle w:val="References"/>
      </w:pPr>
      <w:r>
        <w:t>——2016a</w:t>
      </w:r>
      <w:r w:rsidR="00DF6AD6">
        <w:t>,</w:t>
      </w:r>
      <w:r>
        <w:t xml:space="preserve"> </w:t>
      </w:r>
      <w:r w:rsidRPr="00DF6AD6">
        <w:rPr>
          <w:i/>
        </w:rPr>
        <w:t>Government-funded students and courses 2015</w:t>
      </w:r>
      <w:r>
        <w:t>, NCVER, Adelaide</w:t>
      </w:r>
      <w:r w:rsidR="00DF6AD6">
        <w:t>.</w:t>
      </w:r>
    </w:p>
    <w:p w:rsidR="00733E1A" w:rsidRDefault="00733E1A" w:rsidP="00733E1A">
      <w:pPr>
        <w:pStyle w:val="References"/>
      </w:pPr>
      <w:r>
        <w:t>——2016b</w:t>
      </w:r>
      <w:r w:rsidR="00DF6AD6">
        <w:t>,</w:t>
      </w:r>
      <w:r>
        <w:t xml:space="preserve"> </w:t>
      </w:r>
      <w:r w:rsidR="00C43DB0">
        <w:rPr>
          <w:i/>
        </w:rPr>
        <w:t>Total VET a</w:t>
      </w:r>
      <w:r w:rsidRPr="00DF6AD6">
        <w:rPr>
          <w:i/>
        </w:rPr>
        <w:t>ctivity 2015</w:t>
      </w:r>
      <w:r>
        <w:t>, NCVER, Adelaide</w:t>
      </w:r>
      <w:r w:rsidR="00DF6AD6">
        <w:t>.</w:t>
      </w:r>
    </w:p>
    <w:p w:rsidR="00733E1A" w:rsidRDefault="00733E1A" w:rsidP="00733E1A">
      <w:pPr>
        <w:pStyle w:val="References"/>
      </w:pPr>
      <w:r>
        <w:t>——2016c</w:t>
      </w:r>
      <w:r w:rsidR="00DF6AD6">
        <w:t>,</w:t>
      </w:r>
      <w:r>
        <w:t xml:space="preserve"> </w:t>
      </w:r>
      <w:r w:rsidRPr="00DF6AD6">
        <w:rPr>
          <w:i/>
        </w:rPr>
        <w:t>Apprent</w:t>
      </w:r>
      <w:r w:rsidR="00DF6AD6" w:rsidRPr="00DF6AD6">
        <w:rPr>
          <w:i/>
        </w:rPr>
        <w:t>ices and trainees 2015 —</w:t>
      </w:r>
      <w:r w:rsidRPr="00DF6AD6">
        <w:rPr>
          <w:i/>
        </w:rPr>
        <w:t xml:space="preserve"> December quarter</w:t>
      </w:r>
      <w:r>
        <w:t>, NCVER, Adelaide</w:t>
      </w:r>
    </w:p>
    <w:p w:rsidR="006E4375" w:rsidRDefault="006E4375" w:rsidP="006E4375">
      <w:pPr>
        <w:pStyle w:val="References"/>
      </w:pPr>
      <w:r>
        <w:t xml:space="preserve">——forthcoming, </w:t>
      </w:r>
      <w:r w:rsidRPr="006E4375">
        <w:rPr>
          <w:i/>
        </w:rPr>
        <w:t>Trends in public and private VET provision: participation, finances, and outcomes</w:t>
      </w:r>
      <w:r>
        <w:t>, NCVER, Adelaide.</w:t>
      </w:r>
      <w:r w:rsidR="00597397">
        <w:t xml:space="preserve"> </w:t>
      </w:r>
      <w:r>
        <w:t xml:space="preserve"> </w:t>
      </w:r>
    </w:p>
    <w:p w:rsidR="00414CB9" w:rsidRDefault="00414CB9" w:rsidP="000D1B5A">
      <w:pPr>
        <w:pStyle w:val="References"/>
      </w:pPr>
      <w:r w:rsidRPr="00414CB9">
        <w:t>National VET Equity Advisory Cou</w:t>
      </w:r>
      <w:r w:rsidR="00DF6AD6">
        <w:t xml:space="preserve">ncil 2011, </w:t>
      </w:r>
      <w:r w:rsidR="00DF6AD6" w:rsidRPr="00DF6AD6">
        <w:rPr>
          <w:i/>
        </w:rPr>
        <w:t>Equity blueprint 2011—</w:t>
      </w:r>
      <w:r w:rsidRPr="00DF6AD6">
        <w:rPr>
          <w:i/>
        </w:rPr>
        <w:t>2016: creating futures: achieving potential through VET</w:t>
      </w:r>
      <w:r w:rsidR="00DF6AD6">
        <w:t xml:space="preserve">, NVEAC, </w:t>
      </w:r>
      <w:proofErr w:type="gramStart"/>
      <w:r w:rsidR="00DF6AD6">
        <w:t>Melbourne</w:t>
      </w:r>
      <w:proofErr w:type="gramEnd"/>
      <w:r w:rsidRPr="00414CB9">
        <w:t>, viewed 12 May 2016, &lt;http://www.acpet.edu.au/uploads/files/NMU2012/May/NVEAC%20Equity%20Blueprint%202011%20to%202016%20Creating%20Futures%20%20Achieving%20Potential%20through%20VET.pdf&gt;.</w:t>
      </w:r>
    </w:p>
    <w:p w:rsidR="00AC3767" w:rsidRDefault="006E4375" w:rsidP="000D1B5A">
      <w:pPr>
        <w:pStyle w:val="References"/>
      </w:pPr>
      <w:r>
        <w:t>Noonan, P</w:t>
      </w:r>
      <w:r w:rsidR="00AC3767" w:rsidRPr="00AC3767">
        <w:t xml:space="preserve"> 2016, </w:t>
      </w:r>
      <w:r w:rsidR="00AC3767" w:rsidRPr="006E4375">
        <w:rPr>
          <w:i/>
        </w:rPr>
        <w:t xml:space="preserve">VET funding in Australia: background, trends and future directions, </w:t>
      </w:r>
      <w:r w:rsidR="00AC3767" w:rsidRPr="006E4375">
        <w:t>Mitchell policy paper</w:t>
      </w:r>
      <w:r w:rsidR="00AC3767" w:rsidRPr="00AC3767">
        <w:t>, Mitchell Institute, Victoria University, Melbourne, viewed 27 Apr</w:t>
      </w:r>
      <w:r>
        <w:t>il</w:t>
      </w:r>
      <w:r w:rsidR="00AC3767" w:rsidRPr="00AC3767">
        <w:t xml:space="preserve"> 2016, &lt;http://www.mitchellinstitute.org.au/reports/vet-funding-in-australia-background-trends-and-future-options/&gt;.</w:t>
      </w:r>
    </w:p>
    <w:p w:rsidR="00982586" w:rsidRDefault="00982586" w:rsidP="000D1B5A">
      <w:pPr>
        <w:pStyle w:val="References"/>
      </w:pPr>
      <w:r>
        <w:t>Nous Group 2016</w:t>
      </w:r>
      <w:r w:rsidR="00C43DB0">
        <w:t>,</w:t>
      </w:r>
      <w:r>
        <w:t xml:space="preserve"> </w:t>
      </w:r>
      <w:r w:rsidRPr="00982586">
        <w:rPr>
          <w:i/>
        </w:rPr>
        <w:t>Smart and skilled year one program review, stage 1 and stage 2</w:t>
      </w:r>
      <w:r>
        <w:t>, viewed 13 July 2016</w:t>
      </w:r>
      <w:r w:rsidR="00C43DB0">
        <w:t>, &lt;</w:t>
      </w:r>
      <w:hyperlink r:id="rId74" w:history="1">
        <w:r w:rsidRPr="00F733F5">
          <w:rPr>
            <w:rStyle w:val="Hyperlink"/>
            <w:sz w:val="18"/>
          </w:rPr>
          <w:t>http://www.skillsboard.nsw.gov.au/publications/smart-and-skilled-year-one-program-review</w:t>
        </w:r>
      </w:hyperlink>
      <w:r w:rsidR="00C43DB0">
        <w:rPr>
          <w:rStyle w:val="Hyperlink"/>
          <w:sz w:val="18"/>
        </w:rPr>
        <w:t>&gt;</w:t>
      </w:r>
      <w:r>
        <w:t>.</w:t>
      </w:r>
    </w:p>
    <w:p w:rsidR="00A84E95" w:rsidRDefault="00A84E95" w:rsidP="00A84E95">
      <w:pPr>
        <w:pStyle w:val="References"/>
      </w:pPr>
      <w:proofErr w:type="gramStart"/>
      <w:r>
        <w:t xml:space="preserve">Oliver, D, 2010, 'Modern awards and skill development through apprenticeships and traineeships', </w:t>
      </w:r>
      <w:r>
        <w:rPr>
          <w:i/>
          <w:iCs/>
        </w:rPr>
        <w:t>Economic and Labour Relations Review</w:t>
      </w:r>
      <w:r w:rsidR="00B4184A">
        <w:t>, vol.21, no.2, pp.99—</w:t>
      </w:r>
      <w:r>
        <w:t>120.</w:t>
      </w:r>
      <w:proofErr w:type="gramEnd"/>
    </w:p>
    <w:p w:rsidR="000D1B5A" w:rsidRDefault="006E4375" w:rsidP="000D1B5A">
      <w:pPr>
        <w:pStyle w:val="References"/>
      </w:pPr>
      <w:r>
        <w:t>Ray, J</w:t>
      </w:r>
      <w:r w:rsidR="000D1B5A">
        <w:t xml:space="preserve"> 2001, </w:t>
      </w:r>
      <w:r w:rsidR="000D1B5A" w:rsidRPr="006E4375">
        <w:rPr>
          <w:i/>
        </w:rPr>
        <w:t>Apprenticeship in Australia: an historical snapshot</w:t>
      </w:r>
      <w:r w:rsidR="000D1B5A">
        <w:t>, NCVER, Adelaide, viewed 15 Mar</w:t>
      </w:r>
      <w:r>
        <w:t>ch</w:t>
      </w:r>
      <w:r w:rsidR="000D1B5A">
        <w:t xml:space="preserve"> 2016, &lt;http://www.ncver.edu.au/publications/548.html&gt;.</w:t>
      </w:r>
    </w:p>
    <w:p w:rsidR="000D1B5A" w:rsidRDefault="006E4375" w:rsidP="000D1B5A">
      <w:pPr>
        <w:pStyle w:val="References"/>
      </w:pPr>
      <w:r>
        <w:t>Ryan, R</w:t>
      </w:r>
      <w:r w:rsidR="000D1B5A">
        <w:t xml:space="preserve"> 2011, </w:t>
      </w:r>
      <w:r w:rsidR="000D1B5A" w:rsidRPr="006E4375">
        <w:rPr>
          <w:i/>
        </w:rPr>
        <w:t>How VET responds: a historical policy perspective</w:t>
      </w:r>
      <w:r w:rsidR="000D1B5A">
        <w:t>, NCVER, Adelaide, viewed 15 Mar</w:t>
      </w:r>
      <w:r>
        <w:t>ch</w:t>
      </w:r>
      <w:r w:rsidR="000D1B5A">
        <w:t xml:space="preserve"> 2016, &lt;http://www.ncver.edu.au/wps/poc?urile=wcm:path:/wps/wcm/connect/NCVER_Shared/Publications/2338&gt;.</w:t>
      </w:r>
    </w:p>
    <w:p w:rsidR="008A6C4C" w:rsidRDefault="006E4375" w:rsidP="008A6C4C">
      <w:pPr>
        <w:pStyle w:val="References"/>
      </w:pPr>
      <w:proofErr w:type="gramStart"/>
      <w:r>
        <w:t>Skujins, P</w:t>
      </w:r>
      <w:r w:rsidR="002509E1">
        <w:t xml:space="preserve"> </w:t>
      </w:r>
      <w:r>
        <w:t>&amp;</w:t>
      </w:r>
      <w:r w:rsidR="00E76409" w:rsidRPr="00E76409">
        <w:t xml:space="preserve"> Lim, P 2015, </w:t>
      </w:r>
      <w:r w:rsidR="00E76409" w:rsidRPr="006E4375">
        <w:rPr>
          <w:i/>
        </w:rPr>
        <w:t>How young people are faring in the transition from school to work 2015</w:t>
      </w:r>
      <w:r w:rsidR="00E76409" w:rsidRPr="00E76409">
        <w:t>, Foundation for Young Australians, Melbourne, viewed 11 Mar</w:t>
      </w:r>
      <w:r>
        <w:t>ch</w:t>
      </w:r>
      <w:r w:rsidR="00E76409" w:rsidRPr="00E76409">
        <w:t xml:space="preserve"> 2016, &lt;http://unlimitedpotential.fya.org.au/wp-content/uploads/2015/11/HYPAF-NCVER-report-9Nov2015_Final-for-web.pdf&gt;.</w:t>
      </w:r>
      <w:proofErr w:type="gramEnd"/>
      <w:r w:rsidR="008A6C4C" w:rsidRPr="008A6C4C">
        <w:t xml:space="preserve"> </w:t>
      </w:r>
    </w:p>
    <w:p w:rsidR="00DF6AD6" w:rsidRDefault="00DF6AD6" w:rsidP="008A6C4C">
      <w:pPr>
        <w:pStyle w:val="References"/>
      </w:pPr>
      <w:r w:rsidRPr="00414CB9">
        <w:t>Training Costs Review Committee</w:t>
      </w:r>
      <w:r w:rsidR="00C43DB0">
        <w:t xml:space="preserve"> </w:t>
      </w:r>
      <w:r w:rsidRPr="00414CB9">
        <w:t xml:space="preserve">1990, </w:t>
      </w:r>
      <w:r w:rsidRPr="00DF6AD6">
        <w:rPr>
          <w:i/>
        </w:rPr>
        <w:t>Training costs of award restructuring: report of the Training Costs Review Committee</w:t>
      </w:r>
      <w:r>
        <w:t xml:space="preserve"> (</w:t>
      </w:r>
      <w:proofErr w:type="spellStart"/>
      <w:r>
        <w:t>Deveson</w:t>
      </w:r>
      <w:proofErr w:type="spellEnd"/>
      <w:r>
        <w:t xml:space="preserve"> report)</w:t>
      </w:r>
      <w:r w:rsidRPr="00414CB9">
        <w:t xml:space="preserve">, </w:t>
      </w:r>
      <w:r>
        <w:t>AGPS,</w:t>
      </w:r>
      <w:r w:rsidRPr="00414CB9">
        <w:t xml:space="preserve"> </w:t>
      </w:r>
      <w:proofErr w:type="gramStart"/>
      <w:r w:rsidRPr="00414CB9">
        <w:t>Canberra</w:t>
      </w:r>
      <w:proofErr w:type="gramEnd"/>
      <w:r>
        <w:t>.</w:t>
      </w:r>
    </w:p>
    <w:p w:rsidR="008A6C4C" w:rsidRDefault="008A6C4C" w:rsidP="008A6C4C">
      <w:pPr>
        <w:pStyle w:val="References"/>
      </w:pPr>
      <w:r>
        <w:t xml:space="preserve">Victorian Department of Education and Early Childhood Development 2013, </w:t>
      </w:r>
      <w:r w:rsidRPr="008A6C4C">
        <w:rPr>
          <w:i/>
        </w:rPr>
        <w:t>Next steps for ref</w:t>
      </w:r>
      <w:r w:rsidR="00921B43">
        <w:rPr>
          <w:i/>
        </w:rPr>
        <w:t>ocusing vocational training in Victoria —</w:t>
      </w:r>
      <w:r w:rsidRPr="008A6C4C">
        <w:rPr>
          <w:i/>
        </w:rPr>
        <w:t xml:space="preserve"> supporting a modern workforce</w:t>
      </w:r>
      <w:r>
        <w:t>, State of Victoria, Melbourne.</w:t>
      </w:r>
    </w:p>
    <w:p w:rsidR="002509E1" w:rsidRDefault="006E4375" w:rsidP="002509E1">
      <w:pPr>
        <w:pStyle w:val="References"/>
      </w:pPr>
      <w:r>
        <w:t>Wibrow, B</w:t>
      </w:r>
      <w:r w:rsidR="002509E1">
        <w:t xml:space="preserve"> 2014, </w:t>
      </w:r>
      <w:r w:rsidR="002509E1">
        <w:rPr>
          <w:i/>
          <w:iCs/>
        </w:rPr>
        <w:t>Qualification utilisation: occupational outcomes: overview</w:t>
      </w:r>
      <w:r w:rsidR="002509E1">
        <w:t>, NCVER, Adelaide, viewed 19 Apr</w:t>
      </w:r>
      <w:r>
        <w:t>il</w:t>
      </w:r>
      <w:r w:rsidR="002509E1">
        <w:t xml:space="preserve"> 2016, &lt;http://www.ncver.edu.au/publications/2708.html&gt;.</w:t>
      </w:r>
    </w:p>
    <w:p w:rsidR="00B00E55" w:rsidRDefault="00B00E55">
      <w:pPr>
        <w:spacing w:before="0" w:line="240" w:lineRule="auto"/>
        <w:rPr>
          <w:sz w:val="18"/>
        </w:rPr>
      </w:pPr>
      <w:r>
        <w:br w:type="page"/>
      </w:r>
    </w:p>
    <w:p w:rsidR="002509E1" w:rsidRDefault="00D26FBA" w:rsidP="00B00E55">
      <w:pPr>
        <w:pStyle w:val="Heading1"/>
      </w:pPr>
      <w:bookmarkStart w:id="108" w:name="_Toc455569948"/>
      <w:r>
        <w:rPr>
          <w:noProof/>
          <w:lang w:eastAsia="en-AU"/>
        </w:rPr>
        <w:lastRenderedPageBreak/>
        <w:drawing>
          <wp:anchor distT="0" distB="0" distL="114300" distR="114300" simplePos="0" relativeHeight="252019712" behindDoc="1" locked="0" layoutInCell="1" allowOverlap="1" wp14:anchorId="6C3EACF9" wp14:editId="3B7EC70A">
            <wp:simplePos x="0" y="0"/>
            <wp:positionH relativeFrom="column">
              <wp:posOffset>-59055</wp:posOffset>
            </wp:positionH>
            <wp:positionV relativeFrom="paragraph">
              <wp:posOffset>-40005</wp:posOffset>
            </wp:positionV>
            <wp:extent cx="414655" cy="414655"/>
            <wp:effectExtent l="0" t="0" r="0" b="0"/>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39" name="Picture 3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E55">
        <w:t>Appendix A</w:t>
      </w:r>
      <w:bookmarkEnd w:id="108"/>
    </w:p>
    <w:p w:rsidR="00B00E55" w:rsidRDefault="00B00E55" w:rsidP="00B00E55">
      <w:pPr>
        <w:pStyle w:val="Heading2"/>
      </w:pPr>
      <w:bookmarkStart w:id="109" w:name="_Toc455569949"/>
      <w:r>
        <w:t xml:space="preserve">VET policy developments over the past 20 years: moving towards a </w:t>
      </w:r>
      <w:r w:rsidR="00B60B3C">
        <w:t xml:space="preserve">nationally directed, jurisdictionally </w:t>
      </w:r>
      <w:r w:rsidRPr="00B00E55">
        <w:t>implemented and industry-driven system</w:t>
      </w:r>
      <w:bookmarkEnd w:id="109"/>
    </w:p>
    <w:p w:rsidR="00907B72" w:rsidRDefault="00D535CB" w:rsidP="00B00E55">
      <w:pPr>
        <w:pStyle w:val="Text"/>
      </w:pPr>
      <w:r w:rsidRPr="00897F5B">
        <w:t>Traditionally</w:t>
      </w:r>
      <w:r>
        <w:t xml:space="preserve"> and in large part constitutionally,</w:t>
      </w:r>
      <w:r w:rsidRPr="00897F5B">
        <w:t xml:space="preserve"> the states and territories have had responsibility for VET provision</w:t>
      </w:r>
      <w:r>
        <w:t>;</w:t>
      </w:r>
      <w:r w:rsidRPr="00897F5B">
        <w:t xml:space="preserve"> the jurisdictional approach to funding and delivering VET enabl</w:t>
      </w:r>
      <w:r>
        <w:t>es</w:t>
      </w:r>
      <w:r w:rsidRPr="00897F5B">
        <w:t xml:space="preserve"> the system to respond to local and regional skills and labour market needs.</w:t>
      </w:r>
      <w:r>
        <w:t xml:space="preserve"> However, since the 1960s and 1970s a key trend has been the increasing involvement of the federal government in terms of infrastructure development, curriculum development, research, financial contributions and programs, overarching policy directions and the regulation of the </w:t>
      </w:r>
      <w:r w:rsidRPr="00D535CB">
        <w:t>sector (Department of Prime Minister and Cabinet 2014; Bowman &amp; McKenna 2016).</w:t>
      </w:r>
      <w:r>
        <w:t xml:space="preserve"> </w:t>
      </w:r>
      <w:r w:rsidR="00B00E55">
        <w:t xml:space="preserve">By the early 1990s, this had culminated in the federal and state and territory governments agreeing on a national approach to VET, which was embodied first in the National Training Board (NTB) in 1990, and subsequently with the establishment of the Australian National Training Authority (ANTA) in 1992. </w:t>
      </w:r>
      <w:r w:rsidR="00647BF8">
        <w:t xml:space="preserve"> </w:t>
      </w:r>
      <w:r w:rsidR="00B00E55">
        <w:t xml:space="preserve">ANTA was abolished in 2005, </w:t>
      </w:r>
      <w:r w:rsidR="00647BF8">
        <w:t xml:space="preserve">and since that time </w:t>
      </w:r>
      <w:r w:rsidR="00B00E55">
        <w:t>the national approach to VET has been maintained through various national agreements and partnerships on VET.</w:t>
      </w:r>
      <w:r w:rsidR="00C43DB0">
        <w:t xml:space="preserve"> The current agreements are the COAG </w:t>
      </w:r>
      <w:r w:rsidR="00B00E55">
        <w:t xml:space="preserve">National Agreement for Skills and Workforce Development and the National Partnership on Skills Reform. </w:t>
      </w:r>
    </w:p>
    <w:p w:rsidR="00B00E55" w:rsidRDefault="00B00E55" w:rsidP="00B00E55">
      <w:pPr>
        <w:pStyle w:val="Text"/>
      </w:pPr>
      <w:r>
        <w:t>The move towards a national system has seen the recent creation of another national body, the Australian Skills Quality Authority (ASQA), which like the earlier national bodies — ANTA and the National Training Board — is responsible for overseeing the various national frameworks and standards. It is these national frameworks and standards that aim to deliver consistency and quality in the sector. ASQA, the Nation</w:t>
      </w:r>
      <w:r w:rsidR="00D535CB">
        <w:t>al VET Regulator for the sector</w:t>
      </w:r>
      <w:r>
        <w:t>, seeks to ensure that the sector's quality is maintained through the regulation of VET providers,</w:t>
      </w:r>
      <w:r w:rsidR="00B4184A">
        <w:t xml:space="preserve"> accredited VET courses and CRI</w:t>
      </w:r>
      <w:r>
        <w:t>COS</w:t>
      </w:r>
      <w:r w:rsidR="00B4184A">
        <w:rPr>
          <w:rStyle w:val="FootnoteReference"/>
        </w:rPr>
        <w:footnoteReference w:id="10"/>
      </w:r>
      <w:r>
        <w:t xml:space="preserve"> providers.</w:t>
      </w:r>
      <w:r w:rsidR="00597397">
        <w:t xml:space="preserve"> </w:t>
      </w:r>
      <w:r>
        <w:t xml:space="preserve">The regulatory approach taken by ASQA is based on risk assessment, and its functions include registration of providers and accreditation of VET courses by means of compliance audits. Despite being the national regulator, ASQA is quasi-national, as only six states and territories have transferred regulatory powers to the authority. Western Australia and Victoria maintain their own regulatory functions, although </w:t>
      </w:r>
      <w:r w:rsidR="00647BF8">
        <w:t>RTOs</w:t>
      </w:r>
      <w:r>
        <w:t xml:space="preserve"> in Victoria or Western Australia providing courses to overseas students or in the other states are regulated by ASQA. </w:t>
      </w:r>
    </w:p>
    <w:p w:rsidR="00B00E55" w:rsidRDefault="00B00E55" w:rsidP="00B00E55">
      <w:pPr>
        <w:pStyle w:val="Text"/>
      </w:pPr>
      <w:r>
        <w:t xml:space="preserve">More recently, in May 2015, the national Australian Industry and Skills Committee (AISC) was established by the COAG Industry and Skills Council to give industry a formal expanded role in policy direction and decision-making for the VET sector (Department of Education and Training 2015). </w:t>
      </w:r>
    </w:p>
    <w:p w:rsidR="00B00E55" w:rsidRDefault="00B00E55" w:rsidP="00B00E55">
      <w:pPr>
        <w:pStyle w:val="Text"/>
      </w:pPr>
      <w:r>
        <w:t xml:space="preserve">As Bowman and McKenna (2016) argue, there is an inherent tension in Australia’s national approach, which aims to promote both consistency and flexibility in the training system. Consistency is important for ensuring the quality of RTOs in delivering outcomes, </w:t>
      </w:r>
      <w:r>
        <w:lastRenderedPageBreak/>
        <w:t xml:space="preserve">maintaining high standards across the country and enabling the portability of skills. Flexibility is important for the training market, as it is critical that public funding meets industry needs (at all levels), enables individuals’ choice when it comes to training and allows providers to be competitive. </w:t>
      </w:r>
    </w:p>
    <w:p w:rsidR="00B00E55" w:rsidRDefault="00B00E55" w:rsidP="00B00E55">
      <w:pPr>
        <w:pStyle w:val="Text"/>
      </w:pPr>
      <w:r>
        <w:t>In the context of consistency and flexibility, the nationwide system of national frameworks for policy, regulation and products is overseen by the federal government and implemented by the states and territories to ensure that the various regional requirements are accommodated (Department of Prime Minister and Cabinet 2014). This has led to arguments that Australia has eight different approaches</w:t>
      </w:r>
      <w:r w:rsidR="00B4184A">
        <w:t>,</w:t>
      </w:r>
      <w:r>
        <w:t xml:space="preserve"> which reflect the </w:t>
      </w:r>
      <w:r w:rsidR="00647BF8">
        <w:t xml:space="preserve">nuances of the </w:t>
      </w:r>
      <w:r>
        <w:t>policies and funding conditions of each jurisdiction and the different views on public and private investment in vocational education. While this nationally driven system, implemented by numerous jurisdictions, has its benefits, it also has challenges. With the state and territory-based approaches to providing and funding VET, specifically the implementation of different funding models, fee policies, concessions and subsidies, and skills priority lists, the system as a whole is becoming increasingly divergent and fragmented. This can be complicated for prov</w:t>
      </w:r>
      <w:r w:rsidR="00411EF3">
        <w:t>iders, industry, employers</w:t>
      </w:r>
      <w:r>
        <w:t xml:space="preserve"> and individual students, </w:t>
      </w:r>
      <w:r w:rsidR="00411EF3">
        <w:t xml:space="preserve">all of </w:t>
      </w:r>
      <w:r>
        <w:t>who</w:t>
      </w:r>
      <w:r w:rsidR="00411EF3">
        <w:t>m</w:t>
      </w:r>
      <w:r>
        <w:t xml:space="preserve"> are operating in a system with different and constantly changing arrangements. The challenges associated with this complex and changing environment can be exacerbated by the limited provision of information for learners and </w:t>
      </w:r>
      <w:r w:rsidR="00C43DB0">
        <w:t>providers;</w:t>
      </w:r>
      <w:r>
        <w:t xml:space="preserve"> yet ironically information is critical for enabling consumers to make informed choices in a consumer-driven market (Department of Prime Minister and Cabinet 2014).</w:t>
      </w:r>
      <w:r w:rsidR="00597397">
        <w:t xml:space="preserve"> </w:t>
      </w:r>
      <w:r>
        <w:t xml:space="preserve"> </w:t>
      </w:r>
    </w:p>
    <w:p w:rsidR="00486804" w:rsidRDefault="00B00E55" w:rsidP="00486804">
      <w:pPr>
        <w:pStyle w:val="Text"/>
      </w:pPr>
      <w:r>
        <w:t>The national approach to VET in Australia is underpinned by particular features and arrangements, the majority of which have evolved over the past two decades. The system is based on</w:t>
      </w:r>
      <w:r w:rsidR="00647BF8">
        <w:t xml:space="preserve"> competency-based training</w:t>
      </w:r>
      <w:r>
        <w:t>, the major manifestation of which is training packages, introduced in 1997.</w:t>
      </w:r>
      <w:r w:rsidR="00597397">
        <w:t xml:space="preserve"> </w:t>
      </w:r>
      <w:r>
        <w:t>Another key feature of the Australian VET system is the evolution of the concept of the ‘industry-driven system’, which is characterised by industry-informed qualifications, predominantly developed through the industry-directed training packages, devised and managed by industry-led skills bodies. In April 2015, the Australian Government announced an overhaul of training package and training product development. This new approach saw the creation of ‘skills service organisations’ (SSOs), whose remit is to develop and manage training products, based on advice from the relevant industry reference committees (IRCs). Skills service organisations are commissioned by the Australian Industry and Skills Committee and are professional service organisations; they replace the former industry skills councils (ISCs). In addition to the development and management of training products, these organisations are also responsible for facilitating engagement across industry and the training sector and providing various support services to their relevant industry reference committees. The reference committees, which are comprised of people with experience, skills and knowledge of their particular industry sector, aim to ensure that training packages meet the needs of employers; they play a key advisory role in the industry-focused approach to training product development (Department of Education and Training 2015).</w:t>
      </w:r>
    </w:p>
    <w:p w:rsidR="00486804" w:rsidRDefault="00486804" w:rsidP="00486804">
      <w:pPr>
        <w:pStyle w:val="Heading3"/>
      </w:pPr>
      <w:r>
        <w:t xml:space="preserve">Broadening the </w:t>
      </w:r>
      <w:r w:rsidRPr="007A448E">
        <w:t>apprenticeship</w:t>
      </w:r>
      <w:r>
        <w:t xml:space="preserve"> system </w:t>
      </w:r>
    </w:p>
    <w:p w:rsidR="00486804" w:rsidRDefault="00486804" w:rsidP="00486804">
      <w:pPr>
        <w:pStyle w:val="Text"/>
      </w:pPr>
      <w:r>
        <w:t xml:space="preserve">Considerable extension and broadening of the Australian apprenticeship system has occurred over the past few decades. Apprenticeships in Australia traditionally referred to trade qualifications; however, with the introduction of traineeships in 1985 as a result </w:t>
      </w:r>
      <w:r w:rsidR="00C43DB0">
        <w:lastRenderedPageBreak/>
        <w:t>of the Kirby r</w:t>
      </w:r>
      <w:r>
        <w:t xml:space="preserve">eport (Committee of Inquiry into Labour Market Programs 1985), the system has expanded to </w:t>
      </w:r>
      <w:r w:rsidR="00C43DB0">
        <w:t xml:space="preserve">include </w:t>
      </w:r>
      <w:r>
        <w:t xml:space="preserve">non-trade occupations. </w:t>
      </w:r>
    </w:p>
    <w:p w:rsidR="00486804" w:rsidRDefault="00486804" w:rsidP="00486804">
      <w:pPr>
        <w:pStyle w:val="Text"/>
      </w:pPr>
      <w:r>
        <w:t xml:space="preserve">Initially, apprenticeships tended to refer to higher-level qualifications, typically certificate III, and took three to four years to complete. In contrast, traineeships were generally shorter, at one to two years, and were lower-level qualifications (certificate I/II and some certificate III). However, over time the </w:t>
      </w:r>
      <w:r w:rsidRPr="0044023B">
        <w:t>situation has become less straightforward.</w:t>
      </w:r>
      <w:r>
        <w:t xml:space="preserve"> </w:t>
      </w:r>
    </w:p>
    <w:p w:rsidR="00486804" w:rsidRDefault="00486804" w:rsidP="00486804">
      <w:pPr>
        <w:pStyle w:val="Text"/>
      </w:pPr>
      <w:r>
        <w:t>Traineeships aimed to expand opportunities for work-based training beyond traditional apprenticeships, particularly for young people and those re-entering the labour market (Apprenticeships for the 21</w:t>
      </w:r>
      <w:r w:rsidRPr="006848F9">
        <w:t>st</w:t>
      </w:r>
      <w:r>
        <w:rPr>
          <w:vertAlign w:val="superscript"/>
        </w:rPr>
        <w:t xml:space="preserve"> </w:t>
      </w:r>
      <w:r>
        <w:t xml:space="preserve">Century Expert Panel 2011). According to Knight (2012), traineeships were </w:t>
      </w:r>
      <w:r w:rsidRPr="00167833">
        <w:t>essentially a labour market program aimed at disa</w:t>
      </w:r>
      <w:r>
        <w:t>dvantaged early school leavers, although it has been argued that, over time, traineeships have changed in their purpose and outcomes (Cully 2008).</w:t>
      </w:r>
    </w:p>
    <w:p w:rsidR="00486804" w:rsidRDefault="00486804" w:rsidP="00486804">
      <w:pPr>
        <w:pStyle w:val="Text"/>
      </w:pPr>
      <w:r>
        <w:t xml:space="preserve">For the first decade, </w:t>
      </w:r>
      <w:r w:rsidR="00647BF8">
        <w:t xml:space="preserve">the </w:t>
      </w:r>
      <w:r>
        <w:t>uptake of traineeships was particularly slow. However, uptake accelerated considerably from the mid-1990s, reflecting the introduction of a national training wage and the provision of employer incentives associated with apprentices (Apprenticeships for the 21</w:t>
      </w:r>
      <w:r w:rsidRPr="006848F9">
        <w:t>st</w:t>
      </w:r>
      <w:r>
        <w:rPr>
          <w:vertAlign w:val="superscript"/>
        </w:rPr>
        <w:t xml:space="preserve"> </w:t>
      </w:r>
      <w:r>
        <w:t>Century Expert Panel 2011). Incentive payments to employers are designed to facilitate the successful completion of apprenticeships and traineeships, particularly at the certificate III and above levels. The economic rationale for incentive payments to employers is that they offset wages and the other costs associated with apprenticeships and encourage employers to provide more training places (Knight 2012). Due to their importance as a lever to stimulate employer demand for apprenticeships,</w:t>
      </w:r>
      <w:r w:rsidR="00C43DB0">
        <w:t xml:space="preserve"> the concept of</w:t>
      </w:r>
      <w:r>
        <w:t xml:space="preserve"> incentive payments </w:t>
      </w:r>
      <w:r w:rsidR="006F4D1D">
        <w:t>is</w:t>
      </w:r>
      <w:r>
        <w:t xml:space="preserve"> discussed in more detail as one of the policy case studies in this paper.</w:t>
      </w:r>
    </w:p>
    <w:p w:rsidR="00486804" w:rsidRDefault="00486804" w:rsidP="00486804">
      <w:pPr>
        <w:pStyle w:val="Text"/>
      </w:pPr>
      <w:r>
        <w:t>The introduction of government incentive payments to employers was complemented by various forms of financial support to the apprentices themselves, including living-away-from-home allowances, assistance or loans for tools, and other types of travel, transport and accommodation assistance. Apprentices and their employers were also supported more widely through a number of programs and initiatives. The expansion of the apprenticeship and traineeship system also opened up new arrangements for part-time workers, existing workers, school-based apprenticeships and traineeships, pre-apprenticeships</w:t>
      </w:r>
      <w:r w:rsidR="00C43DB0">
        <w:t>,</w:t>
      </w:r>
      <w:r>
        <w:t xml:space="preserve"> and apprentices and trainees from disadvantaged backgrounds. The system attempted to move away from providing training mainly to ‘traditional’ apprentices (young males) to supporting and </w:t>
      </w:r>
      <w:r w:rsidRPr="00381DB0">
        <w:t>promoting participation by a wider range of learners across</w:t>
      </w:r>
      <w:r w:rsidR="00411EF3">
        <w:t xml:space="preserve"> all age groups (Knight 2012;</w:t>
      </w:r>
      <w:r w:rsidRPr="00381DB0">
        <w:t xml:space="preserve"> NCVER 2011). Adult apprentices (25 years and over) now represent an important component of all apprenticeships.</w:t>
      </w:r>
    </w:p>
    <w:p w:rsidR="00486804" w:rsidRDefault="00486804" w:rsidP="00486804">
      <w:pPr>
        <w:pStyle w:val="Text"/>
      </w:pPr>
      <w:r>
        <w:t xml:space="preserve">This broadening of the apprenticeship and traineeship system coincided with the increasing focus on competency-based training and accelerated apprenticeships. An accelerated apprenticeship enables apprentices, particularly older apprentices with existing industry experience, to be judged on their competency, potentially enabling them to complete their apprenticeships more quickly. Although overall there has been a trend towards apprenticeships being completed in shorter periods of time, there remains an emphasis on increasing the uptake of accelerated apprenticeship approaches in the sector. </w:t>
      </w:r>
    </w:p>
    <w:p w:rsidR="00A84180" w:rsidRDefault="00A84180" w:rsidP="00486804">
      <w:pPr>
        <w:pStyle w:val="Heading3"/>
      </w:pPr>
    </w:p>
    <w:p w:rsidR="00486804" w:rsidRDefault="00486804" w:rsidP="00486804">
      <w:pPr>
        <w:pStyle w:val="Heading3"/>
      </w:pPr>
      <w:r>
        <w:lastRenderedPageBreak/>
        <w:t>The opening-up of the training market</w:t>
      </w:r>
    </w:p>
    <w:p w:rsidR="00486804" w:rsidRDefault="00486804" w:rsidP="00486804">
      <w:pPr>
        <w:pStyle w:val="Text"/>
      </w:pPr>
      <w:r>
        <w:t>The second significant overarching policy trend over the past two decades has been the opening-up of the training market through more contestable funding arrangements and demand-driven consumer choice. The</w:t>
      </w:r>
      <w:r w:rsidR="00647BF8">
        <w:t xml:space="preserve"> aim of the former</w:t>
      </w:r>
      <w:r>
        <w:t xml:space="preserve"> is the establishment of a more efficient and integrated VET system, one which is more responsive to the needs of the consumers, the students and the employers (Ryan 2011; Bowman &amp; McKenna 2016). </w:t>
      </w:r>
    </w:p>
    <w:p w:rsidR="00486804" w:rsidRDefault="00486804" w:rsidP="00486804">
      <w:pPr>
        <w:pStyle w:val="Text"/>
      </w:pPr>
      <w:r>
        <w:t xml:space="preserve">Until the early 1990s, TAFE delivered most of the publically funded VET training in Australia. But a desire for economic reform in the early 1990s, evidenced by various reports, including the </w:t>
      </w:r>
      <w:proofErr w:type="spellStart"/>
      <w:r>
        <w:t>Deveson</w:t>
      </w:r>
      <w:proofErr w:type="spellEnd"/>
      <w:r>
        <w:t xml:space="preserve"> </w:t>
      </w:r>
      <w:r w:rsidR="00C43DB0">
        <w:t>r</w:t>
      </w:r>
      <w:r>
        <w:t xml:space="preserve">eport (1990) on the training costs of award restructuring and the </w:t>
      </w:r>
      <w:proofErr w:type="spellStart"/>
      <w:r>
        <w:t>Hilmer</w:t>
      </w:r>
      <w:proofErr w:type="spellEnd"/>
      <w:r>
        <w:t xml:space="preserve"> </w:t>
      </w:r>
      <w:r w:rsidR="00C43DB0">
        <w:t>r</w:t>
      </w:r>
      <w:r>
        <w:t>eport (1993) on contestability and national competitiveness, saw successive governments send VET down a path towards increasingly contestable funding arrangements. The objective was to create a training market in which both public and private providers could access public funding. The rationale for contestable markets is that the introduction of private providers into the education space could introduce innovation, improve value for money, increase responsiveness to industry, and pressure public providers into becoming more efficient (</w:t>
      </w:r>
      <w:r w:rsidRPr="00D83D0C">
        <w:t>Brown 2013</w:t>
      </w:r>
      <w:r>
        <w:t>,</w:t>
      </w:r>
      <w:r w:rsidRPr="00D83D0C">
        <w:t xml:space="preserve"> in </w:t>
      </w:r>
      <w:proofErr w:type="spellStart"/>
      <w:r w:rsidRPr="00D83D0C">
        <w:t>Beddie</w:t>
      </w:r>
      <w:proofErr w:type="spellEnd"/>
      <w:r w:rsidRPr="00D83D0C">
        <w:t xml:space="preserve">, O’Connor </w:t>
      </w:r>
      <w:r>
        <w:t>&amp; Curtin</w:t>
      </w:r>
      <w:r w:rsidRPr="00D83D0C">
        <w:t xml:space="preserve"> 2013</w:t>
      </w:r>
      <w:r>
        <w:t xml:space="preserve">). According to Brown, the two concepts of ‘contestability’ and ‘consumer choice’, which are used extensively in the sphere of VET reform, are allied. </w:t>
      </w:r>
    </w:p>
    <w:p w:rsidR="00486804" w:rsidRDefault="00486804" w:rsidP="00486804">
      <w:pPr>
        <w:pStyle w:val="Text"/>
      </w:pPr>
      <w:r>
        <w:t xml:space="preserve">The move towards contestability and consumer choice is characterised by a number of specific policy changes during the 1990s and 2000s. In the early 1990s measures to enable </w:t>
      </w:r>
      <w:r w:rsidR="00647BF8">
        <w:t xml:space="preserve">the </w:t>
      </w:r>
      <w:r>
        <w:t xml:space="preserve">contestability of funding included the promotion of fee-for-service courses, joint ventures, some tendering for government funds and the reintroduction of tuition fees for TAFE. This was followed in the mid-1990s by the introduction of competitive tendering and user choice, which directed public training funds to approved providers. This approach gave consumers, particularly employers of apprentices, more choice over their preferred provider and promoted the diversification of providers and training in the sector (Ryan 2011). </w:t>
      </w:r>
    </w:p>
    <w:p w:rsidR="00486804" w:rsidRPr="00454546" w:rsidRDefault="00486804" w:rsidP="002D23AE">
      <w:pPr>
        <w:pStyle w:val="Text"/>
        <w:ind w:right="-143"/>
        <w:rPr>
          <w:highlight w:val="yellow"/>
        </w:rPr>
      </w:pPr>
      <w:r>
        <w:t>The trend towards opening up the system and having more contestable training markets and a consumer-driven system has continued with the 2012 COAG National Partnership Agreement on Skills Reform, with its introduction of a minimum training entitlement for students. The contemporary policy direction towards entitlement models is discussed in greater detail as the second case study in this paper. In summary, however, the entitlement is for a government-subsidised certificate III qualification (for those who do not currently have a qualification to this level), the aim being to improve VET participation and attainment by those with low skills levels. While there are set criteria, the initiative is flexible enough to allow for jurisdictional variability in its design and implementation (Bowman &amp; McKenna 2016</w:t>
      </w:r>
      <w:r w:rsidRPr="008F2E20">
        <w:t>)</w:t>
      </w:r>
      <w:r>
        <w:t>, but the jurisdictional application, implementation an</w:t>
      </w:r>
      <w:r w:rsidR="00D11691">
        <w:t>d funding of the entitlement have</w:t>
      </w:r>
      <w:r>
        <w:t xml:space="preserve"> led to different approaches and outcomes across the states and territories (Noonan 2016)</w:t>
      </w:r>
      <w:r w:rsidRPr="008F2E20">
        <w:t xml:space="preserve">. </w:t>
      </w:r>
      <w:r>
        <w:t xml:space="preserve">The National Partnership Agreement on Skills Reform </w:t>
      </w:r>
      <w:r w:rsidRPr="0044023B">
        <w:t>was reviewed in late 2015, with the findings made public in April 2016 (A</w:t>
      </w:r>
      <w:r>
        <w:t>CIL</w:t>
      </w:r>
      <w:r w:rsidRPr="0044023B">
        <w:t xml:space="preserve"> Allen </w:t>
      </w:r>
      <w:r>
        <w:t xml:space="preserve">Consulting </w:t>
      </w:r>
      <w:r w:rsidRPr="0044023B">
        <w:t>2015</w:t>
      </w:r>
      <w:r>
        <w:t>b</w:t>
      </w:r>
      <w:r w:rsidRPr="0044023B">
        <w:t xml:space="preserve">). With </w:t>
      </w:r>
      <w:r>
        <w:t>fewer</w:t>
      </w:r>
      <w:r w:rsidRPr="0044023B">
        <w:t xml:space="preserve"> than two years of the partnership remaining, the review was commissioned to determine the extent to which the reforms are delivering the intended outcomes. The review examined the progress of the reforms and </w:t>
      </w:r>
      <w:r>
        <w:t xml:space="preserve">the </w:t>
      </w:r>
      <w:r w:rsidRPr="0044023B">
        <w:t>training outcomes, noting that the jurisdictions were at different s</w:t>
      </w:r>
      <w:r>
        <w:t>tages of implementation and that</w:t>
      </w:r>
      <w:r w:rsidRPr="0044023B">
        <w:t xml:space="preserve"> implementation differed across the jurisdictions</w:t>
      </w:r>
      <w:r>
        <w:t>,</w:t>
      </w:r>
      <w:r w:rsidRPr="0044023B">
        <w:t xml:space="preserve"> leading to different outcomes. The review notes that further work is required to enable a better </w:t>
      </w:r>
      <w:r w:rsidRPr="0044023B">
        <w:lastRenderedPageBreak/>
        <w:t xml:space="preserve">understanding of VET activity in each jurisdiction and to provide students and consumers with the information they need. But in order for this to be achieved, the review called for </w:t>
      </w:r>
      <w:r>
        <w:t xml:space="preserve">a </w:t>
      </w:r>
      <w:r w:rsidRPr="0044023B">
        <w:t>well-articulated co</w:t>
      </w:r>
      <w:r>
        <w:t xml:space="preserve">ntext, objectives and outcomes; highlighted the need for </w:t>
      </w:r>
      <w:r w:rsidRPr="0044023B">
        <w:t>greater coherence between the different initiative</w:t>
      </w:r>
      <w:r>
        <w:t>s in the VET sector;</w:t>
      </w:r>
      <w:r w:rsidRPr="0044023B">
        <w:t xml:space="preserve"> and </w:t>
      </w:r>
      <w:r>
        <w:t>urged that the</w:t>
      </w:r>
      <w:r w:rsidRPr="0044023B">
        <w:t xml:space="preserve"> ‘good practices and conditions’ occurring in different jurisdictions</w:t>
      </w:r>
      <w:r>
        <w:t xml:space="preserve"> are built upon</w:t>
      </w:r>
      <w:r w:rsidRPr="0044023B">
        <w:t>.</w:t>
      </w:r>
      <w:r w:rsidR="00597397">
        <w:t xml:space="preserve"> </w:t>
      </w:r>
    </w:p>
    <w:p w:rsidR="00486804" w:rsidRDefault="00486804" w:rsidP="002D23AE">
      <w:pPr>
        <w:pStyle w:val="Text"/>
        <w:ind w:right="-143"/>
      </w:pPr>
      <w:r>
        <w:t>The emphasis of the entitlement models is</w:t>
      </w:r>
      <w:r w:rsidRPr="008F2E20">
        <w:t xml:space="preserve"> on </w:t>
      </w:r>
      <w:r>
        <w:t xml:space="preserve">creating a demand-driven system by </w:t>
      </w:r>
      <w:r w:rsidRPr="008F2E20">
        <w:t xml:space="preserve">enabling greater student choice, </w:t>
      </w:r>
      <w:r>
        <w:t xml:space="preserve">although </w:t>
      </w:r>
      <w:r w:rsidRPr="008F2E20">
        <w:t>the funding arrangements and subsidy levels can influence this choice and the options for learners. Hence we see a focus on fundi</w:t>
      </w:r>
      <w:r>
        <w:t xml:space="preserve">ng higher-level qualifications, as mirrored in the participation trends, </w:t>
      </w:r>
      <w:r w:rsidRPr="008F2E20">
        <w:t xml:space="preserve">and </w:t>
      </w:r>
      <w:r>
        <w:t xml:space="preserve">the </w:t>
      </w:r>
      <w:r w:rsidRPr="008F2E20">
        <w:t>funding of particular priority skills.</w:t>
      </w:r>
      <w:r>
        <w:t xml:space="preserve"> </w:t>
      </w:r>
    </w:p>
    <w:p w:rsidR="00486804" w:rsidRDefault="00486804" w:rsidP="002D23AE">
      <w:pPr>
        <w:pStyle w:val="Text"/>
        <w:ind w:right="-143"/>
      </w:pPr>
      <w:r>
        <w:t>Along with an emphasis on student choice,</w:t>
      </w:r>
      <w:r w:rsidRPr="005E1DF2">
        <w:t xml:space="preserve"> we also see</w:t>
      </w:r>
      <w:r>
        <w:t xml:space="preserve"> a greater focus on ensuring that potential students have adequate information to assist them to make decisions about courses and providers, the result being the introduction of the </w:t>
      </w:r>
      <w:proofErr w:type="spellStart"/>
      <w:r>
        <w:t>MySkills</w:t>
      </w:r>
      <w:proofErr w:type="spellEnd"/>
      <w:r>
        <w:t xml:space="preserve"> website in 2013. </w:t>
      </w:r>
      <w:proofErr w:type="spellStart"/>
      <w:r>
        <w:t>MySkills</w:t>
      </w:r>
      <w:proofErr w:type="spellEnd"/>
      <w:r>
        <w:t xml:space="preserve"> is an Australian Government initiative designed to</w:t>
      </w:r>
      <w:r w:rsidRPr="00FA5B8C">
        <w:t xml:space="preserve"> enable consumers to search for, and compare, VET courses and training providers.</w:t>
      </w:r>
      <w:r>
        <w:t xml:space="preserve"> The website uses data on the labour market, apprenticeships, RTOs, student statistics, course outcome information from sources such as NCVER, the Australian Government Department of Employment, state and territory training authorities, and t</w:t>
      </w:r>
      <w:r w:rsidRPr="00CF535C">
        <w:t>raining.gov.au</w:t>
      </w:r>
      <w:r>
        <w:t xml:space="preserve">, </w:t>
      </w:r>
      <w:r w:rsidRPr="00CF535C">
        <w:t xml:space="preserve">the National Register </w:t>
      </w:r>
      <w:r>
        <w:t xml:space="preserve">of </w:t>
      </w:r>
      <w:r w:rsidRPr="00CF535C">
        <w:t>VE</w:t>
      </w:r>
      <w:r>
        <w:t xml:space="preserve">T. </w:t>
      </w:r>
      <w:proofErr w:type="spellStart"/>
      <w:r>
        <w:t>MySkills</w:t>
      </w:r>
      <w:proofErr w:type="spellEnd"/>
      <w:r>
        <w:t xml:space="preserve"> was enhanced in mid-2015 with the intention of making it more user-friendly and easier for potential students and employers to locate and compare information. In addition to </w:t>
      </w:r>
      <w:proofErr w:type="spellStart"/>
      <w:r>
        <w:t>MySkills</w:t>
      </w:r>
      <w:proofErr w:type="spellEnd"/>
      <w:r>
        <w:t xml:space="preserve">, the states and territories have their own information portals or skills gateways to provide state-based information to consumers on entitlement eligibility, fees and subsidies, RTOs, courses and outcomes. </w:t>
      </w:r>
    </w:p>
    <w:p w:rsidR="00486804" w:rsidRDefault="00486804" w:rsidP="002D23AE">
      <w:pPr>
        <w:pStyle w:val="Text"/>
        <w:ind w:right="-143"/>
      </w:pPr>
      <w:r>
        <w:t>Despite the online sources of information, Bowman and McKenna (2016) argue that information for students is basic and limited in many cases. They suggest that more needs to be done to assist students to have: a better understanding of the diverse sector; greater awareness of their entitlement; greater ability to judge quality providers and training; and a better understanding of the expected outcomes from the training. It is not just about ensuring that information is adequate and accessible; information for students also needs to be consistent across all of the sources and be relevant to students.</w:t>
      </w:r>
      <w:r w:rsidR="00597397">
        <w:t xml:space="preserve"> </w:t>
      </w:r>
    </w:p>
    <w:p w:rsidR="00486804" w:rsidRDefault="00486804" w:rsidP="002D23AE">
      <w:pPr>
        <w:pStyle w:val="Text"/>
        <w:ind w:right="-143"/>
      </w:pPr>
      <w:r>
        <w:t xml:space="preserve">The consequence of creating a demand-driven system and opening up the system to student choice has been </w:t>
      </w:r>
      <w:r w:rsidR="00C43DB0">
        <w:t>a</w:t>
      </w:r>
      <w:r>
        <w:t xml:space="preserve"> growth in the number of, and amount of training provided by, private RTOs. The growth in the private RTO market was particularly high in the late 1990s, with the high number of registrations in 1998 (over 1600) due to the introduction of the Australian Recognition Framework. Between 2000 and 2010, the number of initial registrations each year steadied, to between 400 and 600. However, the number has declined in recent years, to between 200 and 400 each year. The proportion of private providers making up initial registrations has grown since the mid-1990s, and, as of 2014, they make up over 90% of initial registrations </w:t>
      </w:r>
      <w:r w:rsidR="00D11691">
        <w:t>per</w:t>
      </w:r>
      <w:r>
        <w:t xml:space="preserve"> year (Korbel &amp; Misko</w:t>
      </w:r>
      <w:r w:rsidR="006F4D1D">
        <w:t xml:space="preserve"> 2016</w:t>
      </w:r>
      <w:r>
        <w:t>).</w:t>
      </w:r>
      <w:r w:rsidRPr="007114DE">
        <w:t xml:space="preserve"> </w:t>
      </w:r>
      <w:r>
        <w:t xml:space="preserve">The advent of TVA data collection in 2015 </w:t>
      </w:r>
      <w:r w:rsidR="00D11691">
        <w:t>has shown</w:t>
      </w:r>
      <w:r>
        <w:t xml:space="preserve"> that private RTOs account for over 60% of all provider</w:t>
      </w:r>
      <w:r w:rsidR="00E478F0">
        <w:t>s who provided training in 2014,</w:t>
      </w:r>
      <w:r>
        <w:t xml:space="preserve"> to nearly 60% of all students (NCVER 2015</w:t>
      </w:r>
      <w:r w:rsidR="006F4D1D">
        <w:t>a</w:t>
      </w:r>
      <w:r>
        <w:t>). Forthcoming research by NCVER will be looking more closely at the growth in private RTOs. And as TVA becomes more robust over the next few years,</w:t>
      </w:r>
      <w:r w:rsidRPr="007114DE">
        <w:t xml:space="preserve"> </w:t>
      </w:r>
      <w:r w:rsidR="00E478F0">
        <w:t xml:space="preserve">further </w:t>
      </w:r>
      <w:r w:rsidRPr="007114DE">
        <w:t xml:space="preserve">information </w:t>
      </w:r>
      <w:r>
        <w:t>will</w:t>
      </w:r>
      <w:r w:rsidRPr="007114DE">
        <w:t xml:space="preserve"> be </w:t>
      </w:r>
      <w:r w:rsidR="00C43DB0">
        <w:t>available</w:t>
      </w:r>
      <w:r w:rsidRPr="007114DE">
        <w:t xml:space="preserve"> which</w:t>
      </w:r>
      <w:r>
        <w:t>, it is hoped,</w:t>
      </w:r>
      <w:r w:rsidRPr="007114DE">
        <w:t xml:space="preserve"> will </w:t>
      </w:r>
      <w:r>
        <w:t>shed more light on the private RTO training market.</w:t>
      </w:r>
      <w:r w:rsidR="00597397">
        <w:t xml:space="preserve"> </w:t>
      </w:r>
    </w:p>
    <w:bookmarkEnd w:id="32"/>
    <w:bookmarkEnd w:id="107"/>
    <w:p w:rsidR="009F3844" w:rsidRDefault="009F3844" w:rsidP="00324917">
      <w:pPr>
        <w:pStyle w:val="Text"/>
        <w:sectPr w:rsidR="009F3844" w:rsidSect="00EB3190">
          <w:footerReference w:type="default" r:id="rId75"/>
          <w:type w:val="continuous"/>
          <w:pgSz w:w="11907" w:h="16840" w:code="9"/>
          <w:pgMar w:top="1276" w:right="2835" w:bottom="992" w:left="1418" w:header="709" w:footer="556" w:gutter="0"/>
          <w:cols w:space="708"/>
          <w:docGrid w:linePitch="360"/>
        </w:sectPr>
      </w:pPr>
    </w:p>
    <w:p w:rsidR="00606061" w:rsidRPr="009F3844" w:rsidRDefault="00A93A9F"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3E3AEEC2" wp14:editId="75E65760">
            <wp:simplePos x="0" y="0"/>
            <wp:positionH relativeFrom="column">
              <wp:posOffset>3272155</wp:posOffset>
            </wp:positionH>
            <wp:positionV relativeFrom="paragraph">
              <wp:posOffset>8871956</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20B2E1FB" wp14:editId="09942770">
            <wp:simplePos x="0" y="0"/>
            <wp:positionH relativeFrom="column">
              <wp:posOffset>1880870</wp:posOffset>
            </wp:positionH>
            <wp:positionV relativeFrom="paragraph">
              <wp:posOffset>8875024</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3C7D01">
        <w:rPr>
          <w:noProof/>
          <w:lang w:eastAsia="en-AU"/>
        </w:rPr>
        <mc:AlternateContent>
          <mc:Choice Requires="wps">
            <w:drawing>
              <wp:anchor distT="0" distB="0" distL="114300" distR="114300" simplePos="0" relativeHeight="251902976" behindDoc="0" locked="0" layoutInCell="1" allowOverlap="1">
                <wp:simplePos x="0" y="0"/>
                <wp:positionH relativeFrom="column">
                  <wp:posOffset>304800</wp:posOffset>
                </wp:positionH>
                <wp:positionV relativeFrom="paragraph">
                  <wp:posOffset>7743190</wp:posOffset>
                </wp:positionV>
                <wp:extent cx="5143500" cy="16383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5378" w:rsidRPr="006E0B9E" w:rsidRDefault="00B25378" w:rsidP="009F3844">
                            <w:pPr>
                              <w:jc w:val="right"/>
                              <w:rPr>
                                <w:rFonts w:ascii="Arial" w:hAnsi="Arial" w:cs="Arial"/>
                                <w:b/>
                              </w:rPr>
                            </w:pPr>
                            <w:r w:rsidRPr="006E0B9E">
                              <w:rPr>
                                <w:rFonts w:ascii="Arial" w:hAnsi="Arial" w:cs="Arial"/>
                                <w:b/>
                              </w:rPr>
                              <w:t>National Centre for Vocational Education Research</w:t>
                            </w:r>
                          </w:p>
                          <w:p w:rsidR="00B25378" w:rsidRPr="006E0B9E" w:rsidRDefault="00B25378"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25378" w:rsidRPr="006E0B9E" w:rsidRDefault="00B25378"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25378" w:rsidRPr="006E0B9E" w:rsidRDefault="00B25378"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77" w:history="1">
                              <w:r w:rsidRPr="006C271D">
                                <w:rPr>
                                  <w:rStyle w:val="Hyperlink"/>
                                  <w:rFonts w:ascii="Arial" w:hAnsi="Arial" w:cs="Arial"/>
                                  <w:sz w:val="16"/>
                                  <w:szCs w:val="16"/>
                                </w:rPr>
                                <w:t>http://www.lsay.edu.au</w:t>
                              </w:r>
                            </w:hyperlink>
                            <w:r w:rsidRPr="006C271D">
                              <w:rPr>
                                <w:rFonts w:ascii="Arial" w:hAnsi="Arial" w:cs="Arial"/>
                                <w:szCs w:val="16"/>
                              </w:rPr>
                              <w:t>&gt;</w:t>
                            </w:r>
                          </w:p>
                          <w:p w:rsidR="00B25378" w:rsidRPr="006E0B9E" w:rsidRDefault="00B2537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B25378" w:rsidRPr="009F3844" w:rsidRDefault="00B2537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" filled="f" stroked="f" strokeweight=".5pt">
                <v:path arrowok="t"/>
                <v:textbox>
                  <w:txbxContent>
                    <w:p w:rsidR="00B25378" w:rsidRPr="006E0B9E" w:rsidRDefault="00B25378" w:rsidP="009F3844">
                      <w:pPr>
                        <w:jc w:val="right"/>
                        <w:rPr>
                          <w:rFonts w:ascii="Arial" w:hAnsi="Arial" w:cs="Arial"/>
                          <w:b/>
                        </w:rPr>
                      </w:pPr>
                      <w:r w:rsidRPr="006E0B9E">
                        <w:rPr>
                          <w:rFonts w:ascii="Arial" w:hAnsi="Arial" w:cs="Arial"/>
                          <w:b/>
                        </w:rPr>
                        <w:t>National Centre for Vocational Education Research</w:t>
                      </w:r>
                    </w:p>
                    <w:p w:rsidR="00B25378" w:rsidRPr="006E0B9E" w:rsidRDefault="00B25378"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25378" w:rsidRPr="006E0B9E" w:rsidRDefault="00B25378"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25378" w:rsidRPr="006E0B9E" w:rsidRDefault="00B25378"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80" w:history="1">
                        <w:r w:rsidRPr="006C271D">
                          <w:rPr>
                            <w:rStyle w:val="Hyperlink"/>
                            <w:rFonts w:ascii="Arial" w:hAnsi="Arial" w:cs="Arial"/>
                            <w:sz w:val="16"/>
                            <w:szCs w:val="16"/>
                          </w:rPr>
                          <w:t>http://www.lsay.edu.au</w:t>
                        </w:r>
                      </w:hyperlink>
                      <w:r w:rsidRPr="006C271D">
                        <w:rPr>
                          <w:rFonts w:ascii="Arial" w:hAnsi="Arial" w:cs="Arial"/>
                          <w:szCs w:val="16"/>
                        </w:rPr>
                        <w:t>&gt;</w:t>
                      </w:r>
                    </w:p>
                    <w:p w:rsidR="00B25378" w:rsidRPr="006E0B9E" w:rsidRDefault="00B2537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1"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B25378" w:rsidRPr="009F3844" w:rsidRDefault="00B25378"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13B9B195" wp14:editId="55DE55F4">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F3844" w:rsidRPr="009F3844">
        <w:rPr>
          <w:noProof/>
          <w:lang w:eastAsia="en-AU"/>
        </w:rPr>
        <w:drawing>
          <wp:anchor distT="0" distB="0" distL="114300" distR="114300" simplePos="0" relativeHeight="251901952" behindDoc="0" locked="0" layoutInCell="1" allowOverlap="1" wp14:anchorId="4D944DA7" wp14:editId="4D73DB9B">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9F3844">
      <w:footerReference w:type="even" r:id="rId84"/>
      <w:footerReference w:type="default" r:id="rId85"/>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378" w:rsidRDefault="00B25378">
      <w:r>
        <w:separator/>
      </w:r>
    </w:p>
    <w:p w:rsidR="00B25378" w:rsidRDefault="00B25378"/>
  </w:endnote>
  <w:endnote w:type="continuationSeparator" w:id="0">
    <w:p w:rsidR="00B25378" w:rsidRDefault="00B25378">
      <w:r>
        <w:continuationSeparator/>
      </w:r>
    </w:p>
    <w:p w:rsidR="00B25378" w:rsidRDefault="00B25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C83D73" w:rsidRDefault="00B25378"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9F3844" w:rsidRDefault="00B25378"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C83D73" w:rsidRDefault="00B25378"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4B031A" w:rsidRDefault="00B25378"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214ED0" w:rsidRDefault="00B25378"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606061" w:rsidRDefault="00B25378"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C33889">
      <w:rPr>
        <w:noProof/>
        <w:color w:val="000000" w:themeColor="text1"/>
      </w:rPr>
      <w:t>24</w:t>
    </w:r>
    <w:r w:rsidRPr="00606061">
      <w:rPr>
        <w:b w:val="0"/>
        <w:color w:val="000000" w:themeColor="text1"/>
      </w:rPr>
      <w:fldChar w:fldCharType="end"/>
    </w:r>
    <w:r w:rsidRPr="00606061">
      <w:rPr>
        <w:color w:val="000000" w:themeColor="text1"/>
      </w:rPr>
      <w:tab/>
    </w:r>
    <w:r>
      <w:rPr>
        <w:color w:val="000000" w:themeColor="text1"/>
      </w:rPr>
      <w:tab/>
      <w:t>Trends in VET: policy and participation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513938" w:rsidRDefault="00B25378"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C33889">
      <w:rPr>
        <w:rStyle w:val="PageNumber"/>
        <w:rFonts w:ascii="Arial" w:hAnsi="Arial"/>
        <w:noProof/>
        <w:color w:val="000000" w:themeColor="text1"/>
        <w:sz w:val="17"/>
      </w:rPr>
      <w:t>23</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AC706A" w:rsidRDefault="00B25378" w:rsidP="00AC706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B741D1" w:rsidRDefault="00B25378" w:rsidP="00B741D1">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C33889">
      <w:rPr>
        <w:rStyle w:val="PageNumber"/>
        <w:rFonts w:ascii="Arial" w:hAnsi="Arial"/>
        <w:noProof/>
        <w:color w:val="000000" w:themeColor="text1"/>
        <w:sz w:val="17"/>
      </w:rPr>
      <w:t>53</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9F3844" w:rsidRDefault="00B25378"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378" w:rsidRDefault="00B25378">
      <w:r>
        <w:separator/>
      </w:r>
    </w:p>
    <w:p w:rsidR="00B25378" w:rsidRDefault="00B25378"/>
  </w:footnote>
  <w:footnote w:type="continuationSeparator" w:id="0">
    <w:p w:rsidR="00B25378" w:rsidRDefault="00B25378">
      <w:r>
        <w:continuationSeparator/>
      </w:r>
    </w:p>
    <w:p w:rsidR="00B25378" w:rsidRDefault="00B25378"/>
  </w:footnote>
  <w:footnote w:id="1">
    <w:p w:rsidR="00B25378" w:rsidRDefault="00B25378">
      <w:pPr>
        <w:pStyle w:val="FootnoteText"/>
      </w:pPr>
      <w:r w:rsidRPr="00D26FBA">
        <w:rPr>
          <w:rStyle w:val="FootnoteReference"/>
          <w:vertAlign w:val="baseline"/>
        </w:rPr>
        <w:footnoteRef/>
      </w:r>
      <w:r>
        <w:t xml:space="preserve"> </w:t>
      </w:r>
      <w:r w:rsidRPr="004A034A">
        <w:t>Noting that the participation trends are for government-funded VET onl</w:t>
      </w:r>
      <w:r>
        <w:t xml:space="preserve">y, as the total VET activity </w:t>
      </w:r>
      <w:r w:rsidRPr="004A034A">
        <w:t xml:space="preserve">collection </w:t>
      </w:r>
      <w:r>
        <w:t xml:space="preserve">is </w:t>
      </w:r>
      <w:r w:rsidRPr="004A034A">
        <w:t xml:space="preserve">only available for 2014 </w:t>
      </w:r>
      <w:r>
        <w:t>and 2015 activity</w:t>
      </w:r>
      <w:r w:rsidRPr="004A034A">
        <w:t xml:space="preserve">. </w:t>
      </w:r>
      <w:r>
        <w:t xml:space="preserve"> </w:t>
      </w:r>
    </w:p>
  </w:footnote>
  <w:footnote w:id="2">
    <w:p w:rsidR="00B25378" w:rsidRDefault="00B25378" w:rsidP="00C457A8">
      <w:pPr>
        <w:pStyle w:val="FootnoteText"/>
      </w:pPr>
      <w:r w:rsidRPr="00D26FBA">
        <w:rPr>
          <w:rStyle w:val="FootnoteReference"/>
          <w:vertAlign w:val="baseline"/>
        </w:rPr>
        <w:footnoteRef/>
      </w:r>
      <w:r>
        <w:t xml:space="preserve"> </w:t>
      </w:r>
      <w:r>
        <w:tab/>
        <w:t xml:space="preserve">Field of education is examined here rather than intended occupation of the course as it is more illuminating in terms of students’ course preferences. </w:t>
      </w:r>
    </w:p>
  </w:footnote>
  <w:footnote w:id="3">
    <w:p w:rsidR="00B25378" w:rsidRDefault="00B25378" w:rsidP="00F1501D">
      <w:pPr>
        <w:pStyle w:val="FootnoteText"/>
      </w:pPr>
      <w:r w:rsidRPr="0053038D">
        <w:rPr>
          <w:rStyle w:val="FootnoteReference"/>
          <w:vertAlign w:val="baseline"/>
        </w:rPr>
        <w:footnoteRef/>
      </w:r>
      <w:r>
        <w:t xml:space="preserve"> </w:t>
      </w:r>
      <w:r>
        <w:tab/>
        <w:t>Total VET a</w:t>
      </w:r>
      <w:r w:rsidRPr="000B123C">
        <w:t>ctivity includes information on all accredited training from public and private providers, including government-funded and fee-for-service training.</w:t>
      </w:r>
    </w:p>
  </w:footnote>
  <w:footnote w:id="4">
    <w:p w:rsidR="00B25378" w:rsidRPr="00562D5F" w:rsidRDefault="00B25378" w:rsidP="00562D5F">
      <w:pPr>
        <w:pStyle w:val="FootnoteText"/>
        <w:rPr>
          <w:rStyle w:val="FootnoteReference"/>
          <w:vertAlign w:val="baseline"/>
        </w:rPr>
      </w:pPr>
      <w:r w:rsidRPr="00562D5F">
        <w:rPr>
          <w:rStyle w:val="FootnoteReference"/>
          <w:vertAlign w:val="baseline"/>
        </w:rPr>
        <w:footnoteRef/>
      </w:r>
      <w:r w:rsidRPr="00562D5F">
        <w:rPr>
          <w:rStyle w:val="FootnoteReference"/>
          <w:vertAlign w:val="baseline"/>
        </w:rPr>
        <w:t xml:space="preserve"> See for example COAG’s National Agreement for S</w:t>
      </w:r>
      <w:r>
        <w:t>k</w:t>
      </w:r>
      <w:r w:rsidRPr="00562D5F">
        <w:rPr>
          <w:rStyle w:val="FootnoteReference"/>
          <w:vertAlign w:val="baseline"/>
        </w:rPr>
        <w:t>i</w:t>
      </w:r>
      <w:r>
        <w:rPr>
          <w:rStyle w:val="FootnoteReference"/>
          <w:vertAlign w:val="baseline"/>
        </w:rPr>
        <w:t>lls and Workforce Development</w:t>
      </w:r>
      <w:r w:rsidRPr="00562D5F">
        <w:rPr>
          <w:rStyle w:val="FootnoteReference"/>
          <w:vertAlign w:val="baseline"/>
        </w:rPr>
        <w:t xml:space="preserve">: </w:t>
      </w:r>
      <w:r>
        <w:t>&lt;</w:t>
      </w:r>
      <w:hyperlink r:id="rId1" w:history="1">
        <w:r w:rsidRPr="00562D5F">
          <w:rPr>
            <w:rStyle w:val="FootnoteReference"/>
            <w:vertAlign w:val="baseline"/>
          </w:rPr>
          <w:t>www.coag.gov.au/skills_and_training</w:t>
        </w:r>
      </w:hyperlink>
      <w:r>
        <w:rPr>
          <w:rStyle w:val="FootnoteReference"/>
          <w:vertAlign w:val="baseline"/>
        </w:rPr>
        <w:t>&gt;.</w:t>
      </w:r>
      <w:r w:rsidRPr="00562D5F">
        <w:rPr>
          <w:rStyle w:val="FootnoteReference"/>
          <w:vertAlign w:val="baseline"/>
        </w:rPr>
        <w:t xml:space="preserve"> </w:t>
      </w:r>
    </w:p>
    <w:p w:rsidR="00B25378" w:rsidRDefault="00B25378">
      <w:pPr>
        <w:pStyle w:val="FootnoteText"/>
      </w:pPr>
    </w:p>
  </w:footnote>
  <w:footnote w:id="5">
    <w:p w:rsidR="00B25378" w:rsidRDefault="00B25378" w:rsidP="009305F7">
      <w:pPr>
        <w:pStyle w:val="FootnoteText"/>
      </w:pPr>
      <w:r w:rsidRPr="00AC706A">
        <w:rPr>
          <w:rStyle w:val="FootnoteReference"/>
          <w:vertAlign w:val="baseline"/>
        </w:rPr>
        <w:footnoteRef/>
      </w:r>
      <w:r w:rsidRPr="00C23CC6">
        <w:t xml:space="preserve"> </w:t>
      </w:r>
      <w:r>
        <w:tab/>
      </w:r>
      <w:r w:rsidRPr="00C23CC6">
        <w:t>Certificate I and II level qualifications impart more basic or introductory level knowledge and skills than</w:t>
      </w:r>
      <w:r>
        <w:t xml:space="preserve"> certificate III level or higher.</w:t>
      </w:r>
    </w:p>
  </w:footnote>
  <w:footnote w:id="6">
    <w:p w:rsidR="00B25378" w:rsidRDefault="00B25378" w:rsidP="00877B9D">
      <w:pPr>
        <w:pStyle w:val="FootnoteText"/>
      </w:pPr>
      <w:r w:rsidRPr="00AC706A">
        <w:rPr>
          <w:rStyle w:val="FootnoteReference"/>
          <w:vertAlign w:val="baseline"/>
        </w:rPr>
        <w:footnoteRef/>
      </w:r>
      <w:r>
        <w:t xml:space="preserve"> </w:t>
      </w:r>
      <w:r>
        <w:tab/>
        <w:t>Trade and non-trade apprenticeships are coded using ANZSCO, with trade apprenticeships being coded to the trades and technicians major group and the non-trades to the other major groups.</w:t>
      </w:r>
    </w:p>
  </w:footnote>
  <w:footnote w:id="7">
    <w:p w:rsidR="00B25378" w:rsidRDefault="00B25378">
      <w:pPr>
        <w:pStyle w:val="FootnoteText"/>
      </w:pPr>
      <w:r w:rsidRPr="00562D5F">
        <w:rPr>
          <w:rStyle w:val="FootnoteReference"/>
          <w:vertAlign w:val="baseline"/>
        </w:rPr>
        <w:footnoteRef/>
      </w:r>
      <w:r>
        <w:t xml:space="preserve"> </w:t>
      </w:r>
      <w:r>
        <w:tab/>
        <w:t>See &lt;</w:t>
      </w:r>
      <w:hyperlink r:id="rId2" w:history="1">
        <w:r w:rsidRPr="00562D5F">
          <w:t>https://www.australianapprenticeships.gov.au/publications/summary-australian-government-australian-apprenticeships-incentives-programme</w:t>
        </w:r>
      </w:hyperlink>
      <w:r>
        <w:t>&gt;.</w:t>
      </w:r>
    </w:p>
  </w:footnote>
  <w:footnote w:id="8">
    <w:p w:rsidR="00B25378" w:rsidRDefault="00B25378" w:rsidP="00304E6B">
      <w:pPr>
        <w:pStyle w:val="FootnoteText"/>
      </w:pPr>
      <w:r w:rsidRPr="00D26FBA">
        <w:rPr>
          <w:rStyle w:val="FootnoteReference"/>
          <w:vertAlign w:val="baseline"/>
        </w:rPr>
        <w:footnoteRef/>
      </w:r>
      <w:r>
        <w:t xml:space="preserve"> </w:t>
      </w:r>
      <w:r>
        <w:tab/>
        <w:t xml:space="preserve">The National Skills Needs List identifies traditional trades experiencing a national skills shortage. The list is based on detailed labour market research and analyses and is reviewed regularly. Under the </w:t>
      </w:r>
      <w:r w:rsidRPr="004013F4">
        <w:t>A</w:t>
      </w:r>
      <w:r>
        <w:t xml:space="preserve">ustralian Apprenticeships Incentives Programme, an apprentice undertaking a certificate III or IV qualification that leads to an occupation listed on the National Skills Needs List may be eligible for employer incentives and personal support. </w:t>
      </w:r>
    </w:p>
    <w:p w:rsidR="00B25378" w:rsidRDefault="00B25378" w:rsidP="00FC0C14">
      <w:pPr>
        <w:pStyle w:val="FootnoteText"/>
      </w:pPr>
    </w:p>
  </w:footnote>
  <w:footnote w:id="9">
    <w:p w:rsidR="00B25378" w:rsidRDefault="00B25378">
      <w:pPr>
        <w:pStyle w:val="FootnoteText"/>
      </w:pPr>
      <w:r w:rsidRPr="00D26FBA">
        <w:rPr>
          <w:rStyle w:val="FootnoteReference"/>
          <w:vertAlign w:val="baseline"/>
        </w:rPr>
        <w:footnoteRef/>
      </w:r>
      <w:r>
        <w:t xml:space="preserve"> See for example, &lt;</w:t>
      </w:r>
      <w:r w:rsidRPr="00443E29">
        <w:t>https://www.australianapprenticeships.gov.au/content/trade-support-loans</w:t>
      </w:r>
      <w:r>
        <w:t>&gt;.</w:t>
      </w:r>
    </w:p>
  </w:footnote>
  <w:footnote w:id="10">
    <w:p w:rsidR="00B25378" w:rsidRDefault="00B25378">
      <w:pPr>
        <w:pStyle w:val="FootnoteText"/>
      </w:pPr>
      <w:r w:rsidRPr="00D26FBA">
        <w:rPr>
          <w:rStyle w:val="FootnoteReference"/>
          <w:vertAlign w:val="baseline"/>
        </w:rPr>
        <w:footnoteRef/>
      </w:r>
      <w:r>
        <w:t xml:space="preserve"> </w:t>
      </w:r>
      <w:proofErr w:type="gramStart"/>
      <w:r>
        <w:t>Commonwealth Register of Institutions and Courses for Overseas Students.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Default="00B25378" w:rsidP="004E1A1B">
    <w:pPr>
      <w:tabs>
        <w:tab w:val="left" w:pos="5972"/>
      </w:tabs>
    </w:pPr>
    <w:r w:rsidRPr="00214ED0">
      <w:rPr>
        <w:noProof/>
        <w:lang w:eastAsia="en-AU"/>
      </w:rPr>
      <w:drawing>
        <wp:anchor distT="0" distB="0" distL="114300" distR="114300" simplePos="0" relativeHeight="251659264" behindDoc="1" locked="0" layoutInCell="1" allowOverlap="1" wp14:anchorId="5E258C02" wp14:editId="61790ACE">
          <wp:simplePos x="0" y="0"/>
          <wp:positionH relativeFrom="column">
            <wp:posOffset>34925</wp:posOffset>
          </wp:positionH>
          <wp:positionV relativeFrom="paragraph">
            <wp:posOffset>8621</wp:posOffset>
          </wp:positionV>
          <wp:extent cx="5930153" cy="101167"/>
          <wp:effectExtent l="0" t="0" r="0" b="0"/>
          <wp:wrapNone/>
          <wp:docPr id="293" name="Picture 29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78" w:rsidRPr="00D66D9A" w:rsidRDefault="00B25378"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B5C0CA9"/>
    <w:multiLevelType w:val="hybridMultilevel"/>
    <w:tmpl w:val="C608A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0E71F0"/>
    <w:multiLevelType w:val="hybridMultilevel"/>
    <w:tmpl w:val="8CCAC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EEA3462"/>
    <w:multiLevelType w:val="hybridMultilevel"/>
    <w:tmpl w:val="A94C6E8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nsid w:val="28377A77"/>
    <w:multiLevelType w:val="hybridMultilevel"/>
    <w:tmpl w:val="9B5A51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634D0D"/>
    <w:multiLevelType w:val="hybridMultilevel"/>
    <w:tmpl w:val="7C70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0DE3B59"/>
    <w:multiLevelType w:val="hybridMultilevel"/>
    <w:tmpl w:val="81F2AF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nsid w:val="5EDD0A22"/>
    <w:multiLevelType w:val="multilevel"/>
    <w:tmpl w:val="A5EE06D0"/>
    <w:lvl w:ilvl="0">
      <w:start w:val="1"/>
      <w:numFmt w:val="decimal"/>
      <w:pStyle w:val="MtgPaperNumberedList"/>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5">
    <w:nsid w:val="65C44EA2"/>
    <w:multiLevelType w:val="hybridMultilevel"/>
    <w:tmpl w:val="B3043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754D22"/>
    <w:multiLevelType w:val="hybridMultilevel"/>
    <w:tmpl w:val="8CAA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3E27583"/>
    <w:multiLevelType w:val="hybridMultilevel"/>
    <w:tmpl w:val="CC0C7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B000B49"/>
    <w:multiLevelType w:val="hybridMultilevel"/>
    <w:tmpl w:val="3BA6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0E197B"/>
    <w:multiLevelType w:val="hybridMultilevel"/>
    <w:tmpl w:val="6D888F40"/>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num w:numId="1">
    <w:abstractNumId w:val="9"/>
  </w:num>
  <w:num w:numId="2">
    <w:abstractNumId w:val="26"/>
  </w:num>
  <w:num w:numId="3">
    <w:abstractNumId w:val="22"/>
  </w:num>
  <w:num w:numId="4">
    <w:abstractNumId w:val="23"/>
  </w:num>
  <w:num w:numId="5">
    <w:abstractNumId w:val="12"/>
  </w:num>
  <w:num w:numId="6">
    <w:abstractNumId w:val="2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7"/>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0"/>
  </w:num>
  <w:num w:numId="22">
    <w:abstractNumId w:val="27"/>
  </w:num>
  <w:num w:numId="23">
    <w:abstractNumId w:val="25"/>
  </w:num>
  <w:num w:numId="24">
    <w:abstractNumId w:val="29"/>
  </w:num>
  <w:num w:numId="25">
    <w:abstractNumId w:val="18"/>
  </w:num>
  <w:num w:numId="26">
    <w:abstractNumId w:val="15"/>
  </w:num>
  <w:num w:numId="27">
    <w:abstractNumId w:val="13"/>
  </w:num>
  <w:num w:numId="28">
    <w:abstractNumId w:val="30"/>
  </w:num>
  <w:num w:numId="29">
    <w:abstractNumId w:val="31"/>
  </w:num>
  <w:num w:numId="30">
    <w:abstractNumId w:val="11"/>
  </w:num>
  <w:num w:numId="31">
    <w:abstractNumId w:val="14"/>
  </w:num>
  <w:num w:numId="3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556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FA2D6C"/>
    <w:rsid w:val="000108B2"/>
    <w:rsid w:val="00013767"/>
    <w:rsid w:val="000138F5"/>
    <w:rsid w:val="00014650"/>
    <w:rsid w:val="00017F25"/>
    <w:rsid w:val="000207E3"/>
    <w:rsid w:val="00022290"/>
    <w:rsid w:val="0002340E"/>
    <w:rsid w:val="00024BAE"/>
    <w:rsid w:val="00030ACF"/>
    <w:rsid w:val="0003188F"/>
    <w:rsid w:val="0003271D"/>
    <w:rsid w:val="00037815"/>
    <w:rsid w:val="0004032D"/>
    <w:rsid w:val="00040343"/>
    <w:rsid w:val="00040EC0"/>
    <w:rsid w:val="000432F0"/>
    <w:rsid w:val="000435A6"/>
    <w:rsid w:val="00043816"/>
    <w:rsid w:val="00044BB7"/>
    <w:rsid w:val="00045E77"/>
    <w:rsid w:val="0004657F"/>
    <w:rsid w:val="00047D88"/>
    <w:rsid w:val="00051512"/>
    <w:rsid w:val="000515A6"/>
    <w:rsid w:val="0005267A"/>
    <w:rsid w:val="00053379"/>
    <w:rsid w:val="000533F9"/>
    <w:rsid w:val="0005424F"/>
    <w:rsid w:val="00055A4C"/>
    <w:rsid w:val="0006125F"/>
    <w:rsid w:val="00062C31"/>
    <w:rsid w:val="00063A28"/>
    <w:rsid w:val="000656A6"/>
    <w:rsid w:val="00067A26"/>
    <w:rsid w:val="0007046C"/>
    <w:rsid w:val="00074BD4"/>
    <w:rsid w:val="000757C4"/>
    <w:rsid w:val="00077455"/>
    <w:rsid w:val="000774CC"/>
    <w:rsid w:val="0008175B"/>
    <w:rsid w:val="0008268A"/>
    <w:rsid w:val="00082924"/>
    <w:rsid w:val="00083C29"/>
    <w:rsid w:val="00084F8F"/>
    <w:rsid w:val="00086629"/>
    <w:rsid w:val="00090B4E"/>
    <w:rsid w:val="00091FCC"/>
    <w:rsid w:val="000929A6"/>
    <w:rsid w:val="000939E6"/>
    <w:rsid w:val="00093D4C"/>
    <w:rsid w:val="00093F6F"/>
    <w:rsid w:val="0009526B"/>
    <w:rsid w:val="00097E2D"/>
    <w:rsid w:val="000A0407"/>
    <w:rsid w:val="000A06B0"/>
    <w:rsid w:val="000A1A90"/>
    <w:rsid w:val="000A1ACD"/>
    <w:rsid w:val="000A24FF"/>
    <w:rsid w:val="000A4472"/>
    <w:rsid w:val="000A5295"/>
    <w:rsid w:val="000A6A74"/>
    <w:rsid w:val="000A6B4B"/>
    <w:rsid w:val="000A70D4"/>
    <w:rsid w:val="000B0050"/>
    <w:rsid w:val="000B123C"/>
    <w:rsid w:val="000B390D"/>
    <w:rsid w:val="000B61BB"/>
    <w:rsid w:val="000B7E2B"/>
    <w:rsid w:val="000C388A"/>
    <w:rsid w:val="000C40CF"/>
    <w:rsid w:val="000C46CB"/>
    <w:rsid w:val="000D1083"/>
    <w:rsid w:val="000D1B5A"/>
    <w:rsid w:val="000D347F"/>
    <w:rsid w:val="000D3611"/>
    <w:rsid w:val="000D439B"/>
    <w:rsid w:val="000D5F7E"/>
    <w:rsid w:val="000D675B"/>
    <w:rsid w:val="000D7EF9"/>
    <w:rsid w:val="000E097E"/>
    <w:rsid w:val="000E24C9"/>
    <w:rsid w:val="000E299C"/>
    <w:rsid w:val="000E769E"/>
    <w:rsid w:val="000E7710"/>
    <w:rsid w:val="000F096F"/>
    <w:rsid w:val="000F125B"/>
    <w:rsid w:val="000F13D3"/>
    <w:rsid w:val="000F14E2"/>
    <w:rsid w:val="000F3E27"/>
    <w:rsid w:val="000F5C33"/>
    <w:rsid w:val="000F5FDF"/>
    <w:rsid w:val="000F63E7"/>
    <w:rsid w:val="00102147"/>
    <w:rsid w:val="001036EF"/>
    <w:rsid w:val="0010761A"/>
    <w:rsid w:val="0011044F"/>
    <w:rsid w:val="00110634"/>
    <w:rsid w:val="001106EB"/>
    <w:rsid w:val="00111396"/>
    <w:rsid w:val="001115A7"/>
    <w:rsid w:val="00112623"/>
    <w:rsid w:val="00112D05"/>
    <w:rsid w:val="00113805"/>
    <w:rsid w:val="001209BE"/>
    <w:rsid w:val="00122036"/>
    <w:rsid w:val="00122BE8"/>
    <w:rsid w:val="001238E5"/>
    <w:rsid w:val="00123B5C"/>
    <w:rsid w:val="00124E32"/>
    <w:rsid w:val="00130223"/>
    <w:rsid w:val="00131C09"/>
    <w:rsid w:val="00133FC3"/>
    <w:rsid w:val="00134202"/>
    <w:rsid w:val="00134DF5"/>
    <w:rsid w:val="00135C75"/>
    <w:rsid w:val="00136788"/>
    <w:rsid w:val="00136B53"/>
    <w:rsid w:val="00137DEE"/>
    <w:rsid w:val="0014295E"/>
    <w:rsid w:val="001450E8"/>
    <w:rsid w:val="0014592C"/>
    <w:rsid w:val="001467E4"/>
    <w:rsid w:val="00146D7E"/>
    <w:rsid w:val="0015081F"/>
    <w:rsid w:val="00150874"/>
    <w:rsid w:val="001509F3"/>
    <w:rsid w:val="00151ED1"/>
    <w:rsid w:val="00152A77"/>
    <w:rsid w:val="00152E26"/>
    <w:rsid w:val="001538C5"/>
    <w:rsid w:val="001553B3"/>
    <w:rsid w:val="00156177"/>
    <w:rsid w:val="001561ED"/>
    <w:rsid w:val="00156333"/>
    <w:rsid w:val="00161630"/>
    <w:rsid w:val="001628D1"/>
    <w:rsid w:val="00162D2F"/>
    <w:rsid w:val="00163133"/>
    <w:rsid w:val="001647B6"/>
    <w:rsid w:val="00164E15"/>
    <w:rsid w:val="00164E7C"/>
    <w:rsid w:val="00165584"/>
    <w:rsid w:val="00167833"/>
    <w:rsid w:val="00172D41"/>
    <w:rsid w:val="00174E96"/>
    <w:rsid w:val="00177849"/>
    <w:rsid w:val="00181791"/>
    <w:rsid w:val="00183DB3"/>
    <w:rsid w:val="0018466D"/>
    <w:rsid w:val="00187637"/>
    <w:rsid w:val="00187BF6"/>
    <w:rsid w:val="00190BB7"/>
    <w:rsid w:val="0019138F"/>
    <w:rsid w:val="001913E8"/>
    <w:rsid w:val="00191D1C"/>
    <w:rsid w:val="001934C2"/>
    <w:rsid w:val="001945C2"/>
    <w:rsid w:val="001952BC"/>
    <w:rsid w:val="001A00D1"/>
    <w:rsid w:val="001A2CC2"/>
    <w:rsid w:val="001A2DFE"/>
    <w:rsid w:val="001A492C"/>
    <w:rsid w:val="001A4BAF"/>
    <w:rsid w:val="001B363F"/>
    <w:rsid w:val="001B43CF"/>
    <w:rsid w:val="001B548C"/>
    <w:rsid w:val="001B6A8E"/>
    <w:rsid w:val="001C004A"/>
    <w:rsid w:val="001C143D"/>
    <w:rsid w:val="001C3246"/>
    <w:rsid w:val="001C52AE"/>
    <w:rsid w:val="001C5BDF"/>
    <w:rsid w:val="001C7AAB"/>
    <w:rsid w:val="001D1A82"/>
    <w:rsid w:val="001D2513"/>
    <w:rsid w:val="001D31D8"/>
    <w:rsid w:val="001D41AD"/>
    <w:rsid w:val="001D4AF6"/>
    <w:rsid w:val="001D582B"/>
    <w:rsid w:val="001D5C2C"/>
    <w:rsid w:val="001E46AC"/>
    <w:rsid w:val="001E5B30"/>
    <w:rsid w:val="001E7E4A"/>
    <w:rsid w:val="001F3740"/>
    <w:rsid w:val="001F4DA1"/>
    <w:rsid w:val="001F7D84"/>
    <w:rsid w:val="00200B67"/>
    <w:rsid w:val="00200BEA"/>
    <w:rsid w:val="002028AC"/>
    <w:rsid w:val="00202C7B"/>
    <w:rsid w:val="00203253"/>
    <w:rsid w:val="00203399"/>
    <w:rsid w:val="00211950"/>
    <w:rsid w:val="00212092"/>
    <w:rsid w:val="0021370E"/>
    <w:rsid w:val="002140DD"/>
    <w:rsid w:val="00214ED0"/>
    <w:rsid w:val="00215140"/>
    <w:rsid w:val="00215CB5"/>
    <w:rsid w:val="00215D87"/>
    <w:rsid w:val="0021756C"/>
    <w:rsid w:val="002206CD"/>
    <w:rsid w:val="00220A0A"/>
    <w:rsid w:val="00225058"/>
    <w:rsid w:val="002275C5"/>
    <w:rsid w:val="002277A9"/>
    <w:rsid w:val="00231FA1"/>
    <w:rsid w:val="002326EC"/>
    <w:rsid w:val="0023344D"/>
    <w:rsid w:val="00233613"/>
    <w:rsid w:val="00233AA7"/>
    <w:rsid w:val="00233BFA"/>
    <w:rsid w:val="00234F98"/>
    <w:rsid w:val="00237BF8"/>
    <w:rsid w:val="00237EDA"/>
    <w:rsid w:val="002423DC"/>
    <w:rsid w:val="002427B9"/>
    <w:rsid w:val="0024319E"/>
    <w:rsid w:val="002464AA"/>
    <w:rsid w:val="002475D6"/>
    <w:rsid w:val="002509E1"/>
    <w:rsid w:val="00250B5F"/>
    <w:rsid w:val="00251024"/>
    <w:rsid w:val="00251025"/>
    <w:rsid w:val="0025445E"/>
    <w:rsid w:val="00255D6F"/>
    <w:rsid w:val="00256039"/>
    <w:rsid w:val="002565E4"/>
    <w:rsid w:val="00256897"/>
    <w:rsid w:val="00262B49"/>
    <w:rsid w:val="002637C6"/>
    <w:rsid w:val="0026498F"/>
    <w:rsid w:val="00267FE2"/>
    <w:rsid w:val="00271267"/>
    <w:rsid w:val="00271311"/>
    <w:rsid w:val="00271952"/>
    <w:rsid w:val="00271FB2"/>
    <w:rsid w:val="00273313"/>
    <w:rsid w:val="00273FEB"/>
    <w:rsid w:val="00274E92"/>
    <w:rsid w:val="002762B7"/>
    <w:rsid w:val="0027781F"/>
    <w:rsid w:val="0028464B"/>
    <w:rsid w:val="00284FCB"/>
    <w:rsid w:val="00291ACA"/>
    <w:rsid w:val="002936E4"/>
    <w:rsid w:val="002947D3"/>
    <w:rsid w:val="00296119"/>
    <w:rsid w:val="00297501"/>
    <w:rsid w:val="002A0DB9"/>
    <w:rsid w:val="002A175A"/>
    <w:rsid w:val="002B07F1"/>
    <w:rsid w:val="002B0BC7"/>
    <w:rsid w:val="002B2B90"/>
    <w:rsid w:val="002B51CE"/>
    <w:rsid w:val="002C1F9A"/>
    <w:rsid w:val="002C61C4"/>
    <w:rsid w:val="002C630F"/>
    <w:rsid w:val="002C766F"/>
    <w:rsid w:val="002D1D5B"/>
    <w:rsid w:val="002D23AE"/>
    <w:rsid w:val="002D2920"/>
    <w:rsid w:val="002D3706"/>
    <w:rsid w:val="002D4415"/>
    <w:rsid w:val="002D61F7"/>
    <w:rsid w:val="002D67AA"/>
    <w:rsid w:val="002D6C63"/>
    <w:rsid w:val="002D7E26"/>
    <w:rsid w:val="002E1540"/>
    <w:rsid w:val="002E196B"/>
    <w:rsid w:val="002E61A4"/>
    <w:rsid w:val="002E6537"/>
    <w:rsid w:val="002E7E18"/>
    <w:rsid w:val="002F3424"/>
    <w:rsid w:val="002F4CC4"/>
    <w:rsid w:val="002F70B1"/>
    <w:rsid w:val="00301BD0"/>
    <w:rsid w:val="003028F7"/>
    <w:rsid w:val="00304E6B"/>
    <w:rsid w:val="00312620"/>
    <w:rsid w:val="00312FFE"/>
    <w:rsid w:val="00313F7A"/>
    <w:rsid w:val="00314F9A"/>
    <w:rsid w:val="0031565F"/>
    <w:rsid w:val="003162D3"/>
    <w:rsid w:val="003175A5"/>
    <w:rsid w:val="003200C6"/>
    <w:rsid w:val="003220D3"/>
    <w:rsid w:val="00322322"/>
    <w:rsid w:val="00323C21"/>
    <w:rsid w:val="00324917"/>
    <w:rsid w:val="00327014"/>
    <w:rsid w:val="00327B75"/>
    <w:rsid w:val="00332032"/>
    <w:rsid w:val="00333693"/>
    <w:rsid w:val="0033376E"/>
    <w:rsid w:val="00333C6B"/>
    <w:rsid w:val="0033529B"/>
    <w:rsid w:val="003356D7"/>
    <w:rsid w:val="003364D3"/>
    <w:rsid w:val="0034004F"/>
    <w:rsid w:val="00340A4F"/>
    <w:rsid w:val="00342A09"/>
    <w:rsid w:val="00343A0F"/>
    <w:rsid w:val="00346CD6"/>
    <w:rsid w:val="00350433"/>
    <w:rsid w:val="00355F33"/>
    <w:rsid w:val="00360FAD"/>
    <w:rsid w:val="0036101C"/>
    <w:rsid w:val="00361B7C"/>
    <w:rsid w:val="0036299A"/>
    <w:rsid w:val="003630A4"/>
    <w:rsid w:val="00363E04"/>
    <w:rsid w:val="00364479"/>
    <w:rsid w:val="003644D1"/>
    <w:rsid w:val="00366E4E"/>
    <w:rsid w:val="00370478"/>
    <w:rsid w:val="00370C8E"/>
    <w:rsid w:val="0037124B"/>
    <w:rsid w:val="003718CB"/>
    <w:rsid w:val="00371C13"/>
    <w:rsid w:val="003729EE"/>
    <w:rsid w:val="00373100"/>
    <w:rsid w:val="00373F5B"/>
    <w:rsid w:val="003743C6"/>
    <w:rsid w:val="00377F04"/>
    <w:rsid w:val="003813E4"/>
    <w:rsid w:val="00381DB0"/>
    <w:rsid w:val="0038337E"/>
    <w:rsid w:val="00383DBC"/>
    <w:rsid w:val="003879DF"/>
    <w:rsid w:val="00390479"/>
    <w:rsid w:val="00391D71"/>
    <w:rsid w:val="0039263D"/>
    <w:rsid w:val="0039377D"/>
    <w:rsid w:val="00394920"/>
    <w:rsid w:val="003952A8"/>
    <w:rsid w:val="00395440"/>
    <w:rsid w:val="00395447"/>
    <w:rsid w:val="003A0010"/>
    <w:rsid w:val="003A0C5C"/>
    <w:rsid w:val="003A4381"/>
    <w:rsid w:val="003A49A5"/>
    <w:rsid w:val="003A4A7B"/>
    <w:rsid w:val="003A6171"/>
    <w:rsid w:val="003A670B"/>
    <w:rsid w:val="003A76FA"/>
    <w:rsid w:val="003B0363"/>
    <w:rsid w:val="003B0A57"/>
    <w:rsid w:val="003B16DA"/>
    <w:rsid w:val="003B1794"/>
    <w:rsid w:val="003B1F9E"/>
    <w:rsid w:val="003B3077"/>
    <w:rsid w:val="003B347C"/>
    <w:rsid w:val="003B3785"/>
    <w:rsid w:val="003B483E"/>
    <w:rsid w:val="003B7706"/>
    <w:rsid w:val="003B7D14"/>
    <w:rsid w:val="003B7FC0"/>
    <w:rsid w:val="003C0CC1"/>
    <w:rsid w:val="003C1369"/>
    <w:rsid w:val="003C5540"/>
    <w:rsid w:val="003C5640"/>
    <w:rsid w:val="003C6ACA"/>
    <w:rsid w:val="003C78C4"/>
    <w:rsid w:val="003C7D01"/>
    <w:rsid w:val="003D0F5A"/>
    <w:rsid w:val="003D14BA"/>
    <w:rsid w:val="003D421E"/>
    <w:rsid w:val="003D4654"/>
    <w:rsid w:val="003D4B3E"/>
    <w:rsid w:val="003E00F0"/>
    <w:rsid w:val="003E23C2"/>
    <w:rsid w:val="003E2A69"/>
    <w:rsid w:val="003E2C7C"/>
    <w:rsid w:val="003E3257"/>
    <w:rsid w:val="003E3705"/>
    <w:rsid w:val="003E3810"/>
    <w:rsid w:val="003E3889"/>
    <w:rsid w:val="003E56CA"/>
    <w:rsid w:val="003E67CB"/>
    <w:rsid w:val="003F0B08"/>
    <w:rsid w:val="003F1BA1"/>
    <w:rsid w:val="003F3748"/>
    <w:rsid w:val="003F5A07"/>
    <w:rsid w:val="003F5B20"/>
    <w:rsid w:val="004013F4"/>
    <w:rsid w:val="00405ABA"/>
    <w:rsid w:val="00405E14"/>
    <w:rsid w:val="004064CC"/>
    <w:rsid w:val="00406BB7"/>
    <w:rsid w:val="004070C3"/>
    <w:rsid w:val="00411EF3"/>
    <w:rsid w:val="00414CB9"/>
    <w:rsid w:val="00415C47"/>
    <w:rsid w:val="004167C2"/>
    <w:rsid w:val="00417075"/>
    <w:rsid w:val="00417A23"/>
    <w:rsid w:val="00423034"/>
    <w:rsid w:val="00423191"/>
    <w:rsid w:val="0042357A"/>
    <w:rsid w:val="00423D60"/>
    <w:rsid w:val="00424885"/>
    <w:rsid w:val="00425185"/>
    <w:rsid w:val="00427211"/>
    <w:rsid w:val="00430143"/>
    <w:rsid w:val="00430892"/>
    <w:rsid w:val="00432394"/>
    <w:rsid w:val="00432F30"/>
    <w:rsid w:val="0043422F"/>
    <w:rsid w:val="0044023B"/>
    <w:rsid w:val="004404E3"/>
    <w:rsid w:val="00441279"/>
    <w:rsid w:val="004417BE"/>
    <w:rsid w:val="00441B04"/>
    <w:rsid w:val="00442C9B"/>
    <w:rsid w:val="00443305"/>
    <w:rsid w:val="00443C06"/>
    <w:rsid w:val="00443E29"/>
    <w:rsid w:val="004442A8"/>
    <w:rsid w:val="0044473A"/>
    <w:rsid w:val="00445BEB"/>
    <w:rsid w:val="00446A65"/>
    <w:rsid w:val="00446BEA"/>
    <w:rsid w:val="00447045"/>
    <w:rsid w:val="00447553"/>
    <w:rsid w:val="00450AD2"/>
    <w:rsid w:val="00450B9B"/>
    <w:rsid w:val="00452372"/>
    <w:rsid w:val="00453BF9"/>
    <w:rsid w:val="00454546"/>
    <w:rsid w:val="00456222"/>
    <w:rsid w:val="0046002F"/>
    <w:rsid w:val="004617BE"/>
    <w:rsid w:val="0046269B"/>
    <w:rsid w:val="00466192"/>
    <w:rsid w:val="004671B6"/>
    <w:rsid w:val="00470896"/>
    <w:rsid w:val="004711F1"/>
    <w:rsid w:val="0047187F"/>
    <w:rsid w:val="0047224C"/>
    <w:rsid w:val="00473D52"/>
    <w:rsid w:val="00474609"/>
    <w:rsid w:val="00476C11"/>
    <w:rsid w:val="00484048"/>
    <w:rsid w:val="0048580C"/>
    <w:rsid w:val="00486804"/>
    <w:rsid w:val="00487C98"/>
    <w:rsid w:val="0049044D"/>
    <w:rsid w:val="00490532"/>
    <w:rsid w:val="0049170B"/>
    <w:rsid w:val="0049204C"/>
    <w:rsid w:val="004938A2"/>
    <w:rsid w:val="00494CED"/>
    <w:rsid w:val="004A034A"/>
    <w:rsid w:val="004A0B52"/>
    <w:rsid w:val="004A18CF"/>
    <w:rsid w:val="004A23D7"/>
    <w:rsid w:val="004A25C2"/>
    <w:rsid w:val="004A2720"/>
    <w:rsid w:val="004A2936"/>
    <w:rsid w:val="004A6951"/>
    <w:rsid w:val="004A71B6"/>
    <w:rsid w:val="004A7C38"/>
    <w:rsid w:val="004B031A"/>
    <w:rsid w:val="004B11F5"/>
    <w:rsid w:val="004B190D"/>
    <w:rsid w:val="004B2F96"/>
    <w:rsid w:val="004B5E86"/>
    <w:rsid w:val="004B640D"/>
    <w:rsid w:val="004C630C"/>
    <w:rsid w:val="004D1595"/>
    <w:rsid w:val="004D18DD"/>
    <w:rsid w:val="004D1BC4"/>
    <w:rsid w:val="004D2688"/>
    <w:rsid w:val="004E0626"/>
    <w:rsid w:val="004E1A1B"/>
    <w:rsid w:val="004E1E77"/>
    <w:rsid w:val="004E260C"/>
    <w:rsid w:val="004E5AC1"/>
    <w:rsid w:val="004E5E91"/>
    <w:rsid w:val="004E6BBD"/>
    <w:rsid w:val="004E7227"/>
    <w:rsid w:val="004F063C"/>
    <w:rsid w:val="004F0872"/>
    <w:rsid w:val="004F0B76"/>
    <w:rsid w:val="004F14FF"/>
    <w:rsid w:val="004F1B2B"/>
    <w:rsid w:val="004F5316"/>
    <w:rsid w:val="004F6417"/>
    <w:rsid w:val="004F66CE"/>
    <w:rsid w:val="00500293"/>
    <w:rsid w:val="00502006"/>
    <w:rsid w:val="00503147"/>
    <w:rsid w:val="00503208"/>
    <w:rsid w:val="00505430"/>
    <w:rsid w:val="00513938"/>
    <w:rsid w:val="00517BA8"/>
    <w:rsid w:val="00521575"/>
    <w:rsid w:val="0052276C"/>
    <w:rsid w:val="005229D5"/>
    <w:rsid w:val="00524714"/>
    <w:rsid w:val="005257F4"/>
    <w:rsid w:val="005269D6"/>
    <w:rsid w:val="00527399"/>
    <w:rsid w:val="005274D6"/>
    <w:rsid w:val="0053038D"/>
    <w:rsid w:val="005308BB"/>
    <w:rsid w:val="005309A5"/>
    <w:rsid w:val="005310B1"/>
    <w:rsid w:val="0053113A"/>
    <w:rsid w:val="00531219"/>
    <w:rsid w:val="00533039"/>
    <w:rsid w:val="005338AE"/>
    <w:rsid w:val="0053496B"/>
    <w:rsid w:val="005367CA"/>
    <w:rsid w:val="00537053"/>
    <w:rsid w:val="005378DA"/>
    <w:rsid w:val="005428F4"/>
    <w:rsid w:val="00542F1B"/>
    <w:rsid w:val="00543BFF"/>
    <w:rsid w:val="00544408"/>
    <w:rsid w:val="00544A2E"/>
    <w:rsid w:val="0054514C"/>
    <w:rsid w:val="00545D19"/>
    <w:rsid w:val="00550A8B"/>
    <w:rsid w:val="0055162D"/>
    <w:rsid w:val="00552388"/>
    <w:rsid w:val="005532A0"/>
    <w:rsid w:val="00556CDB"/>
    <w:rsid w:val="0055799D"/>
    <w:rsid w:val="00557B56"/>
    <w:rsid w:val="005604FF"/>
    <w:rsid w:val="0056095E"/>
    <w:rsid w:val="00562D5F"/>
    <w:rsid w:val="00563264"/>
    <w:rsid w:val="005636B1"/>
    <w:rsid w:val="005674AD"/>
    <w:rsid w:val="00570758"/>
    <w:rsid w:val="00572E4F"/>
    <w:rsid w:val="00573A76"/>
    <w:rsid w:val="00577147"/>
    <w:rsid w:val="005807FA"/>
    <w:rsid w:val="005816FE"/>
    <w:rsid w:val="00581F49"/>
    <w:rsid w:val="0058431F"/>
    <w:rsid w:val="00586218"/>
    <w:rsid w:val="00586385"/>
    <w:rsid w:val="005904CD"/>
    <w:rsid w:val="00590B22"/>
    <w:rsid w:val="00591D38"/>
    <w:rsid w:val="00591E2A"/>
    <w:rsid w:val="005935DF"/>
    <w:rsid w:val="005955B2"/>
    <w:rsid w:val="00595617"/>
    <w:rsid w:val="00595FD9"/>
    <w:rsid w:val="005963E4"/>
    <w:rsid w:val="00597397"/>
    <w:rsid w:val="005A6213"/>
    <w:rsid w:val="005B05A6"/>
    <w:rsid w:val="005B0748"/>
    <w:rsid w:val="005B1B25"/>
    <w:rsid w:val="005B3DD7"/>
    <w:rsid w:val="005B40D6"/>
    <w:rsid w:val="005B5647"/>
    <w:rsid w:val="005B66A0"/>
    <w:rsid w:val="005C022C"/>
    <w:rsid w:val="005C277E"/>
    <w:rsid w:val="005C2A62"/>
    <w:rsid w:val="005C39E0"/>
    <w:rsid w:val="005C50F8"/>
    <w:rsid w:val="005C605A"/>
    <w:rsid w:val="005C771C"/>
    <w:rsid w:val="005D35CB"/>
    <w:rsid w:val="005D4370"/>
    <w:rsid w:val="005D491C"/>
    <w:rsid w:val="005D63CE"/>
    <w:rsid w:val="005D6475"/>
    <w:rsid w:val="005D731C"/>
    <w:rsid w:val="005E10C4"/>
    <w:rsid w:val="005E1DF2"/>
    <w:rsid w:val="005E24C4"/>
    <w:rsid w:val="005E38DB"/>
    <w:rsid w:val="005E46E9"/>
    <w:rsid w:val="005E4764"/>
    <w:rsid w:val="005E7580"/>
    <w:rsid w:val="005F130C"/>
    <w:rsid w:val="005F31FA"/>
    <w:rsid w:val="005F3369"/>
    <w:rsid w:val="005F35CC"/>
    <w:rsid w:val="005F587A"/>
    <w:rsid w:val="005F6150"/>
    <w:rsid w:val="005F7B05"/>
    <w:rsid w:val="00600AD1"/>
    <w:rsid w:val="00602355"/>
    <w:rsid w:val="00602D57"/>
    <w:rsid w:val="0060433B"/>
    <w:rsid w:val="006045BD"/>
    <w:rsid w:val="00605281"/>
    <w:rsid w:val="006052D0"/>
    <w:rsid w:val="00605E1B"/>
    <w:rsid w:val="00606061"/>
    <w:rsid w:val="00606763"/>
    <w:rsid w:val="00607332"/>
    <w:rsid w:val="00607B37"/>
    <w:rsid w:val="00610AB5"/>
    <w:rsid w:val="00610B4F"/>
    <w:rsid w:val="00611190"/>
    <w:rsid w:val="006130A2"/>
    <w:rsid w:val="006203DE"/>
    <w:rsid w:val="00621FAA"/>
    <w:rsid w:val="00622400"/>
    <w:rsid w:val="0062278E"/>
    <w:rsid w:val="00624F96"/>
    <w:rsid w:val="0062590D"/>
    <w:rsid w:val="00626B30"/>
    <w:rsid w:val="006275EE"/>
    <w:rsid w:val="00631679"/>
    <w:rsid w:val="00635765"/>
    <w:rsid w:val="00640A3F"/>
    <w:rsid w:val="006413FF"/>
    <w:rsid w:val="0064416D"/>
    <w:rsid w:val="006445F6"/>
    <w:rsid w:val="006447AB"/>
    <w:rsid w:val="00644BD0"/>
    <w:rsid w:val="00646ACB"/>
    <w:rsid w:val="006475E3"/>
    <w:rsid w:val="00647BF8"/>
    <w:rsid w:val="00650E89"/>
    <w:rsid w:val="00652973"/>
    <w:rsid w:val="0065312A"/>
    <w:rsid w:val="006548A8"/>
    <w:rsid w:val="0065490E"/>
    <w:rsid w:val="00654996"/>
    <w:rsid w:val="006564B7"/>
    <w:rsid w:val="0065668B"/>
    <w:rsid w:val="00661742"/>
    <w:rsid w:val="00662513"/>
    <w:rsid w:val="00664DD3"/>
    <w:rsid w:val="00665EE5"/>
    <w:rsid w:val="006669D0"/>
    <w:rsid w:val="0067238E"/>
    <w:rsid w:val="00676354"/>
    <w:rsid w:val="00676EB4"/>
    <w:rsid w:val="0067712D"/>
    <w:rsid w:val="00681B93"/>
    <w:rsid w:val="006839C8"/>
    <w:rsid w:val="00684473"/>
    <w:rsid w:val="00684533"/>
    <w:rsid w:val="006848F9"/>
    <w:rsid w:val="00687C72"/>
    <w:rsid w:val="006931D4"/>
    <w:rsid w:val="00693325"/>
    <w:rsid w:val="00693511"/>
    <w:rsid w:val="00696A48"/>
    <w:rsid w:val="00697639"/>
    <w:rsid w:val="00697C22"/>
    <w:rsid w:val="006A1C8A"/>
    <w:rsid w:val="006A369B"/>
    <w:rsid w:val="006A469F"/>
    <w:rsid w:val="006A679B"/>
    <w:rsid w:val="006A68AE"/>
    <w:rsid w:val="006A6EEA"/>
    <w:rsid w:val="006B0912"/>
    <w:rsid w:val="006B0B10"/>
    <w:rsid w:val="006B282D"/>
    <w:rsid w:val="006B2B19"/>
    <w:rsid w:val="006B5DC6"/>
    <w:rsid w:val="006B6763"/>
    <w:rsid w:val="006C271D"/>
    <w:rsid w:val="006C3104"/>
    <w:rsid w:val="006C5DA9"/>
    <w:rsid w:val="006C6D13"/>
    <w:rsid w:val="006C7C59"/>
    <w:rsid w:val="006D1016"/>
    <w:rsid w:val="006D21C7"/>
    <w:rsid w:val="006D2EFC"/>
    <w:rsid w:val="006D421E"/>
    <w:rsid w:val="006D53EE"/>
    <w:rsid w:val="006D546E"/>
    <w:rsid w:val="006D6EFB"/>
    <w:rsid w:val="006E00B4"/>
    <w:rsid w:val="006E0926"/>
    <w:rsid w:val="006E1CEB"/>
    <w:rsid w:val="006E3CBA"/>
    <w:rsid w:val="006E4375"/>
    <w:rsid w:val="006E540F"/>
    <w:rsid w:val="006E5C52"/>
    <w:rsid w:val="006E5E45"/>
    <w:rsid w:val="006F127D"/>
    <w:rsid w:val="006F2525"/>
    <w:rsid w:val="006F3C62"/>
    <w:rsid w:val="006F4D1D"/>
    <w:rsid w:val="006F4E92"/>
    <w:rsid w:val="006F7837"/>
    <w:rsid w:val="00702446"/>
    <w:rsid w:val="00702C20"/>
    <w:rsid w:val="00702C62"/>
    <w:rsid w:val="00703119"/>
    <w:rsid w:val="00703272"/>
    <w:rsid w:val="007032C8"/>
    <w:rsid w:val="007036C4"/>
    <w:rsid w:val="007037A4"/>
    <w:rsid w:val="00703D32"/>
    <w:rsid w:val="007045B4"/>
    <w:rsid w:val="0070471D"/>
    <w:rsid w:val="00704A99"/>
    <w:rsid w:val="00704F86"/>
    <w:rsid w:val="00705981"/>
    <w:rsid w:val="007114DE"/>
    <w:rsid w:val="0071188B"/>
    <w:rsid w:val="0071247D"/>
    <w:rsid w:val="00714F64"/>
    <w:rsid w:val="00722F36"/>
    <w:rsid w:val="00723354"/>
    <w:rsid w:val="00723C07"/>
    <w:rsid w:val="00725CB9"/>
    <w:rsid w:val="00725F93"/>
    <w:rsid w:val="007263A7"/>
    <w:rsid w:val="00727D9C"/>
    <w:rsid w:val="00730B04"/>
    <w:rsid w:val="00731BB7"/>
    <w:rsid w:val="00731EC8"/>
    <w:rsid w:val="00732F22"/>
    <w:rsid w:val="00733234"/>
    <w:rsid w:val="00733E1A"/>
    <w:rsid w:val="007354C7"/>
    <w:rsid w:val="007400CA"/>
    <w:rsid w:val="007412E2"/>
    <w:rsid w:val="00742D04"/>
    <w:rsid w:val="00744B58"/>
    <w:rsid w:val="007454FA"/>
    <w:rsid w:val="00752D6B"/>
    <w:rsid w:val="00753998"/>
    <w:rsid w:val="007540EE"/>
    <w:rsid w:val="00756A04"/>
    <w:rsid w:val="00760BFC"/>
    <w:rsid w:val="00761196"/>
    <w:rsid w:val="00761B18"/>
    <w:rsid w:val="00763D7C"/>
    <w:rsid w:val="00764232"/>
    <w:rsid w:val="007716F8"/>
    <w:rsid w:val="0077379D"/>
    <w:rsid w:val="00773A6B"/>
    <w:rsid w:val="007740C3"/>
    <w:rsid w:val="00774214"/>
    <w:rsid w:val="00774E29"/>
    <w:rsid w:val="007753D4"/>
    <w:rsid w:val="00775BBD"/>
    <w:rsid w:val="00775DDA"/>
    <w:rsid w:val="00777402"/>
    <w:rsid w:val="0078049F"/>
    <w:rsid w:val="00780F72"/>
    <w:rsid w:val="00781BDC"/>
    <w:rsid w:val="00782E5F"/>
    <w:rsid w:val="0078360C"/>
    <w:rsid w:val="0078371C"/>
    <w:rsid w:val="007838DF"/>
    <w:rsid w:val="00783F44"/>
    <w:rsid w:val="00784ADF"/>
    <w:rsid w:val="007854E4"/>
    <w:rsid w:val="0079005D"/>
    <w:rsid w:val="007975FD"/>
    <w:rsid w:val="007A02C7"/>
    <w:rsid w:val="007A0955"/>
    <w:rsid w:val="007A113D"/>
    <w:rsid w:val="007A3E8D"/>
    <w:rsid w:val="007A448E"/>
    <w:rsid w:val="007A54C2"/>
    <w:rsid w:val="007A6B1D"/>
    <w:rsid w:val="007A78DC"/>
    <w:rsid w:val="007A7B4A"/>
    <w:rsid w:val="007B147E"/>
    <w:rsid w:val="007B1542"/>
    <w:rsid w:val="007B2147"/>
    <w:rsid w:val="007B2CE2"/>
    <w:rsid w:val="007B65C2"/>
    <w:rsid w:val="007B778F"/>
    <w:rsid w:val="007B7D23"/>
    <w:rsid w:val="007C0D34"/>
    <w:rsid w:val="007C248A"/>
    <w:rsid w:val="007C2B88"/>
    <w:rsid w:val="007C3429"/>
    <w:rsid w:val="007C39D8"/>
    <w:rsid w:val="007C50A7"/>
    <w:rsid w:val="007C53F2"/>
    <w:rsid w:val="007C5F12"/>
    <w:rsid w:val="007C667B"/>
    <w:rsid w:val="007D0D8F"/>
    <w:rsid w:val="007D301B"/>
    <w:rsid w:val="007D37D8"/>
    <w:rsid w:val="007D67EE"/>
    <w:rsid w:val="007D7153"/>
    <w:rsid w:val="007D79FF"/>
    <w:rsid w:val="007D7C38"/>
    <w:rsid w:val="007E01FA"/>
    <w:rsid w:val="007E6A4D"/>
    <w:rsid w:val="007E734F"/>
    <w:rsid w:val="007E73EB"/>
    <w:rsid w:val="007E7450"/>
    <w:rsid w:val="007E7745"/>
    <w:rsid w:val="007E7A8A"/>
    <w:rsid w:val="007F2828"/>
    <w:rsid w:val="007F51BD"/>
    <w:rsid w:val="007F5DF5"/>
    <w:rsid w:val="0080044E"/>
    <w:rsid w:val="0080101F"/>
    <w:rsid w:val="00803236"/>
    <w:rsid w:val="0080472D"/>
    <w:rsid w:val="008051D9"/>
    <w:rsid w:val="00805848"/>
    <w:rsid w:val="00806C1C"/>
    <w:rsid w:val="00807698"/>
    <w:rsid w:val="00807913"/>
    <w:rsid w:val="00810A99"/>
    <w:rsid w:val="008118DC"/>
    <w:rsid w:val="008134A9"/>
    <w:rsid w:val="008137FF"/>
    <w:rsid w:val="00813B82"/>
    <w:rsid w:val="0081408B"/>
    <w:rsid w:val="00814689"/>
    <w:rsid w:val="00820035"/>
    <w:rsid w:val="0082111C"/>
    <w:rsid w:val="008221B7"/>
    <w:rsid w:val="00823A94"/>
    <w:rsid w:val="0082447D"/>
    <w:rsid w:val="00824BC8"/>
    <w:rsid w:val="0082630A"/>
    <w:rsid w:val="00826757"/>
    <w:rsid w:val="00826CAB"/>
    <w:rsid w:val="00827B92"/>
    <w:rsid w:val="00831410"/>
    <w:rsid w:val="00833644"/>
    <w:rsid w:val="008407CA"/>
    <w:rsid w:val="00840DBE"/>
    <w:rsid w:val="008410B8"/>
    <w:rsid w:val="0084119E"/>
    <w:rsid w:val="008416B7"/>
    <w:rsid w:val="0084209E"/>
    <w:rsid w:val="0084222C"/>
    <w:rsid w:val="008442AF"/>
    <w:rsid w:val="00844B1E"/>
    <w:rsid w:val="00846CDA"/>
    <w:rsid w:val="00847D15"/>
    <w:rsid w:val="00852404"/>
    <w:rsid w:val="00852618"/>
    <w:rsid w:val="00857B90"/>
    <w:rsid w:val="0086073D"/>
    <w:rsid w:val="00862088"/>
    <w:rsid w:val="00862EC0"/>
    <w:rsid w:val="00863111"/>
    <w:rsid w:val="00863817"/>
    <w:rsid w:val="00863D42"/>
    <w:rsid w:val="00864B8E"/>
    <w:rsid w:val="00864CDA"/>
    <w:rsid w:val="00864DCD"/>
    <w:rsid w:val="008665A5"/>
    <w:rsid w:val="00872298"/>
    <w:rsid w:val="00872923"/>
    <w:rsid w:val="00872B75"/>
    <w:rsid w:val="008764B3"/>
    <w:rsid w:val="00877B9D"/>
    <w:rsid w:val="008821D2"/>
    <w:rsid w:val="00882585"/>
    <w:rsid w:val="00882D30"/>
    <w:rsid w:val="0088361A"/>
    <w:rsid w:val="008841C1"/>
    <w:rsid w:val="00884840"/>
    <w:rsid w:val="0088565A"/>
    <w:rsid w:val="00886569"/>
    <w:rsid w:val="008873BB"/>
    <w:rsid w:val="008906D7"/>
    <w:rsid w:val="00890D79"/>
    <w:rsid w:val="00890ED8"/>
    <w:rsid w:val="00897C85"/>
    <w:rsid w:val="00897F5B"/>
    <w:rsid w:val="008A1568"/>
    <w:rsid w:val="008A15B0"/>
    <w:rsid w:val="008A2367"/>
    <w:rsid w:val="008A4927"/>
    <w:rsid w:val="008A6C4C"/>
    <w:rsid w:val="008A7855"/>
    <w:rsid w:val="008B1046"/>
    <w:rsid w:val="008B2874"/>
    <w:rsid w:val="008B3151"/>
    <w:rsid w:val="008B6637"/>
    <w:rsid w:val="008C0A74"/>
    <w:rsid w:val="008C0C99"/>
    <w:rsid w:val="008C3889"/>
    <w:rsid w:val="008C3CD3"/>
    <w:rsid w:val="008D1BD5"/>
    <w:rsid w:val="008D33D2"/>
    <w:rsid w:val="008D3F66"/>
    <w:rsid w:val="008D47D6"/>
    <w:rsid w:val="008D6A5B"/>
    <w:rsid w:val="008E0833"/>
    <w:rsid w:val="008E1CAE"/>
    <w:rsid w:val="008E2372"/>
    <w:rsid w:val="008E33E4"/>
    <w:rsid w:val="008E34D0"/>
    <w:rsid w:val="008E3B9C"/>
    <w:rsid w:val="008E3BCF"/>
    <w:rsid w:val="008E5DED"/>
    <w:rsid w:val="008E6294"/>
    <w:rsid w:val="008E6C78"/>
    <w:rsid w:val="008E7B57"/>
    <w:rsid w:val="008E7C4D"/>
    <w:rsid w:val="008F20BA"/>
    <w:rsid w:val="008F34D5"/>
    <w:rsid w:val="008F49DF"/>
    <w:rsid w:val="008F4EFD"/>
    <w:rsid w:val="008F5023"/>
    <w:rsid w:val="008F63F9"/>
    <w:rsid w:val="008F6B7E"/>
    <w:rsid w:val="00901D16"/>
    <w:rsid w:val="00904849"/>
    <w:rsid w:val="00905057"/>
    <w:rsid w:val="009058B5"/>
    <w:rsid w:val="00905FF9"/>
    <w:rsid w:val="00906C62"/>
    <w:rsid w:val="00906D01"/>
    <w:rsid w:val="00906F99"/>
    <w:rsid w:val="00907B72"/>
    <w:rsid w:val="009102A6"/>
    <w:rsid w:val="00910C9E"/>
    <w:rsid w:val="00914715"/>
    <w:rsid w:val="00914CFA"/>
    <w:rsid w:val="009156BF"/>
    <w:rsid w:val="00921878"/>
    <w:rsid w:val="00921B43"/>
    <w:rsid w:val="00923241"/>
    <w:rsid w:val="00923EB0"/>
    <w:rsid w:val="0092402B"/>
    <w:rsid w:val="009272DF"/>
    <w:rsid w:val="00927BC6"/>
    <w:rsid w:val="009305F7"/>
    <w:rsid w:val="00930F8C"/>
    <w:rsid w:val="009314DC"/>
    <w:rsid w:val="00933317"/>
    <w:rsid w:val="009334B0"/>
    <w:rsid w:val="009346F4"/>
    <w:rsid w:val="009357BD"/>
    <w:rsid w:val="00936588"/>
    <w:rsid w:val="00937F22"/>
    <w:rsid w:val="009400E6"/>
    <w:rsid w:val="009401AE"/>
    <w:rsid w:val="00940924"/>
    <w:rsid w:val="00940C1E"/>
    <w:rsid w:val="00942298"/>
    <w:rsid w:val="00943ABA"/>
    <w:rsid w:val="00943EB4"/>
    <w:rsid w:val="00945A22"/>
    <w:rsid w:val="00946BA3"/>
    <w:rsid w:val="00952F16"/>
    <w:rsid w:val="00952F7A"/>
    <w:rsid w:val="009538E6"/>
    <w:rsid w:val="009575E9"/>
    <w:rsid w:val="00957BAC"/>
    <w:rsid w:val="00960539"/>
    <w:rsid w:val="00960673"/>
    <w:rsid w:val="00963F6D"/>
    <w:rsid w:val="009647B4"/>
    <w:rsid w:val="00964B95"/>
    <w:rsid w:val="00966E30"/>
    <w:rsid w:val="009704E4"/>
    <w:rsid w:val="00970694"/>
    <w:rsid w:val="00973E31"/>
    <w:rsid w:val="00974A2D"/>
    <w:rsid w:val="00977032"/>
    <w:rsid w:val="009775C7"/>
    <w:rsid w:val="00982586"/>
    <w:rsid w:val="00985D65"/>
    <w:rsid w:val="00986BEA"/>
    <w:rsid w:val="00987EAF"/>
    <w:rsid w:val="009924DB"/>
    <w:rsid w:val="00993011"/>
    <w:rsid w:val="0099311F"/>
    <w:rsid w:val="009931B3"/>
    <w:rsid w:val="00993409"/>
    <w:rsid w:val="0099417F"/>
    <w:rsid w:val="00997B2B"/>
    <w:rsid w:val="00997EBC"/>
    <w:rsid w:val="009A0289"/>
    <w:rsid w:val="009A1C83"/>
    <w:rsid w:val="009A5D4D"/>
    <w:rsid w:val="009A5E17"/>
    <w:rsid w:val="009A66D6"/>
    <w:rsid w:val="009A69CC"/>
    <w:rsid w:val="009A7052"/>
    <w:rsid w:val="009B2096"/>
    <w:rsid w:val="009B2200"/>
    <w:rsid w:val="009B4BF4"/>
    <w:rsid w:val="009B6EAD"/>
    <w:rsid w:val="009B73B9"/>
    <w:rsid w:val="009B78AB"/>
    <w:rsid w:val="009C22BE"/>
    <w:rsid w:val="009C388D"/>
    <w:rsid w:val="009C3E37"/>
    <w:rsid w:val="009C5CA4"/>
    <w:rsid w:val="009C7B64"/>
    <w:rsid w:val="009D02DE"/>
    <w:rsid w:val="009D205C"/>
    <w:rsid w:val="009D2480"/>
    <w:rsid w:val="009D28A7"/>
    <w:rsid w:val="009D307F"/>
    <w:rsid w:val="009D4721"/>
    <w:rsid w:val="009E0D93"/>
    <w:rsid w:val="009E0E4D"/>
    <w:rsid w:val="009E108B"/>
    <w:rsid w:val="009E231A"/>
    <w:rsid w:val="009E2F64"/>
    <w:rsid w:val="009E38BA"/>
    <w:rsid w:val="009E65B7"/>
    <w:rsid w:val="009E7947"/>
    <w:rsid w:val="009F1C9D"/>
    <w:rsid w:val="009F1F6B"/>
    <w:rsid w:val="009F3844"/>
    <w:rsid w:val="009F4052"/>
    <w:rsid w:val="009F5676"/>
    <w:rsid w:val="009F61F6"/>
    <w:rsid w:val="009F74EA"/>
    <w:rsid w:val="00A0035F"/>
    <w:rsid w:val="00A006BE"/>
    <w:rsid w:val="00A0109A"/>
    <w:rsid w:val="00A03305"/>
    <w:rsid w:val="00A04C56"/>
    <w:rsid w:val="00A0574F"/>
    <w:rsid w:val="00A06F2C"/>
    <w:rsid w:val="00A071F8"/>
    <w:rsid w:val="00A1077F"/>
    <w:rsid w:val="00A10E2B"/>
    <w:rsid w:val="00A13173"/>
    <w:rsid w:val="00A147CC"/>
    <w:rsid w:val="00A14D4F"/>
    <w:rsid w:val="00A1540D"/>
    <w:rsid w:val="00A15F77"/>
    <w:rsid w:val="00A16557"/>
    <w:rsid w:val="00A17B12"/>
    <w:rsid w:val="00A22D6B"/>
    <w:rsid w:val="00A2676C"/>
    <w:rsid w:val="00A30084"/>
    <w:rsid w:val="00A307AD"/>
    <w:rsid w:val="00A35232"/>
    <w:rsid w:val="00A41776"/>
    <w:rsid w:val="00A41916"/>
    <w:rsid w:val="00A41B4A"/>
    <w:rsid w:val="00A42F95"/>
    <w:rsid w:val="00A44B35"/>
    <w:rsid w:val="00A454AE"/>
    <w:rsid w:val="00A467EA"/>
    <w:rsid w:val="00A47864"/>
    <w:rsid w:val="00A5047F"/>
    <w:rsid w:val="00A50895"/>
    <w:rsid w:val="00A6034F"/>
    <w:rsid w:val="00A60A51"/>
    <w:rsid w:val="00A620C0"/>
    <w:rsid w:val="00A625E9"/>
    <w:rsid w:val="00A63489"/>
    <w:rsid w:val="00A64051"/>
    <w:rsid w:val="00A66FA6"/>
    <w:rsid w:val="00A67479"/>
    <w:rsid w:val="00A70795"/>
    <w:rsid w:val="00A71010"/>
    <w:rsid w:val="00A721F3"/>
    <w:rsid w:val="00A73318"/>
    <w:rsid w:val="00A7447E"/>
    <w:rsid w:val="00A74AC3"/>
    <w:rsid w:val="00A806F5"/>
    <w:rsid w:val="00A80DFE"/>
    <w:rsid w:val="00A81BEB"/>
    <w:rsid w:val="00A81D32"/>
    <w:rsid w:val="00A81F3C"/>
    <w:rsid w:val="00A825A5"/>
    <w:rsid w:val="00A825DE"/>
    <w:rsid w:val="00A83136"/>
    <w:rsid w:val="00A84180"/>
    <w:rsid w:val="00A84E95"/>
    <w:rsid w:val="00A85857"/>
    <w:rsid w:val="00A86228"/>
    <w:rsid w:val="00A87EED"/>
    <w:rsid w:val="00A9072B"/>
    <w:rsid w:val="00A907DE"/>
    <w:rsid w:val="00A92BA6"/>
    <w:rsid w:val="00A92FE0"/>
    <w:rsid w:val="00A934AE"/>
    <w:rsid w:val="00A93A9F"/>
    <w:rsid w:val="00A93C19"/>
    <w:rsid w:val="00A9427A"/>
    <w:rsid w:val="00A95879"/>
    <w:rsid w:val="00AA11A5"/>
    <w:rsid w:val="00AA1272"/>
    <w:rsid w:val="00AA1743"/>
    <w:rsid w:val="00AA42E2"/>
    <w:rsid w:val="00AA44D4"/>
    <w:rsid w:val="00AA5405"/>
    <w:rsid w:val="00AA55D9"/>
    <w:rsid w:val="00AA5949"/>
    <w:rsid w:val="00AA6222"/>
    <w:rsid w:val="00AA6B43"/>
    <w:rsid w:val="00AB04A8"/>
    <w:rsid w:val="00AB1B3A"/>
    <w:rsid w:val="00AB4C31"/>
    <w:rsid w:val="00AB7201"/>
    <w:rsid w:val="00AC0A71"/>
    <w:rsid w:val="00AC142C"/>
    <w:rsid w:val="00AC3767"/>
    <w:rsid w:val="00AC38DC"/>
    <w:rsid w:val="00AC4AC7"/>
    <w:rsid w:val="00AC5497"/>
    <w:rsid w:val="00AC6BB5"/>
    <w:rsid w:val="00AC6E16"/>
    <w:rsid w:val="00AC706A"/>
    <w:rsid w:val="00AC76A9"/>
    <w:rsid w:val="00AC79A9"/>
    <w:rsid w:val="00AD0034"/>
    <w:rsid w:val="00AD051A"/>
    <w:rsid w:val="00AD1024"/>
    <w:rsid w:val="00AD1238"/>
    <w:rsid w:val="00AD17F8"/>
    <w:rsid w:val="00AD2921"/>
    <w:rsid w:val="00AD457E"/>
    <w:rsid w:val="00AD4D89"/>
    <w:rsid w:val="00AD4E6D"/>
    <w:rsid w:val="00AD5ADB"/>
    <w:rsid w:val="00AD5C57"/>
    <w:rsid w:val="00AD7468"/>
    <w:rsid w:val="00AE2233"/>
    <w:rsid w:val="00AE4F2B"/>
    <w:rsid w:val="00AE5923"/>
    <w:rsid w:val="00AF1005"/>
    <w:rsid w:val="00AF1824"/>
    <w:rsid w:val="00AF44FD"/>
    <w:rsid w:val="00AF5CBC"/>
    <w:rsid w:val="00AF6116"/>
    <w:rsid w:val="00B00E55"/>
    <w:rsid w:val="00B013D7"/>
    <w:rsid w:val="00B01B45"/>
    <w:rsid w:val="00B03483"/>
    <w:rsid w:val="00B04556"/>
    <w:rsid w:val="00B04630"/>
    <w:rsid w:val="00B10D56"/>
    <w:rsid w:val="00B11082"/>
    <w:rsid w:val="00B112D8"/>
    <w:rsid w:val="00B12094"/>
    <w:rsid w:val="00B12F46"/>
    <w:rsid w:val="00B1616E"/>
    <w:rsid w:val="00B1759E"/>
    <w:rsid w:val="00B201A6"/>
    <w:rsid w:val="00B22D6F"/>
    <w:rsid w:val="00B23A0B"/>
    <w:rsid w:val="00B24AF8"/>
    <w:rsid w:val="00B25378"/>
    <w:rsid w:val="00B264B5"/>
    <w:rsid w:val="00B264DA"/>
    <w:rsid w:val="00B27020"/>
    <w:rsid w:val="00B3093E"/>
    <w:rsid w:val="00B31156"/>
    <w:rsid w:val="00B32CD1"/>
    <w:rsid w:val="00B32F0D"/>
    <w:rsid w:val="00B33200"/>
    <w:rsid w:val="00B33C76"/>
    <w:rsid w:val="00B346B2"/>
    <w:rsid w:val="00B370D4"/>
    <w:rsid w:val="00B37FD0"/>
    <w:rsid w:val="00B41272"/>
    <w:rsid w:val="00B4184A"/>
    <w:rsid w:val="00B4218D"/>
    <w:rsid w:val="00B432CE"/>
    <w:rsid w:val="00B44CDA"/>
    <w:rsid w:val="00B44ED4"/>
    <w:rsid w:val="00B47D46"/>
    <w:rsid w:val="00B5207C"/>
    <w:rsid w:val="00B520A2"/>
    <w:rsid w:val="00B52F40"/>
    <w:rsid w:val="00B53B07"/>
    <w:rsid w:val="00B54B8D"/>
    <w:rsid w:val="00B56E1C"/>
    <w:rsid w:val="00B60B3C"/>
    <w:rsid w:val="00B62415"/>
    <w:rsid w:val="00B62554"/>
    <w:rsid w:val="00B63B63"/>
    <w:rsid w:val="00B6403D"/>
    <w:rsid w:val="00B64F0B"/>
    <w:rsid w:val="00B67AF2"/>
    <w:rsid w:val="00B67BEF"/>
    <w:rsid w:val="00B706AE"/>
    <w:rsid w:val="00B70E5A"/>
    <w:rsid w:val="00B71237"/>
    <w:rsid w:val="00B71261"/>
    <w:rsid w:val="00B71EA4"/>
    <w:rsid w:val="00B72DC9"/>
    <w:rsid w:val="00B741D1"/>
    <w:rsid w:val="00B74661"/>
    <w:rsid w:val="00B7561F"/>
    <w:rsid w:val="00B77576"/>
    <w:rsid w:val="00B82422"/>
    <w:rsid w:val="00B82735"/>
    <w:rsid w:val="00B82F92"/>
    <w:rsid w:val="00B83597"/>
    <w:rsid w:val="00B840A3"/>
    <w:rsid w:val="00B84465"/>
    <w:rsid w:val="00B84A4D"/>
    <w:rsid w:val="00B855CB"/>
    <w:rsid w:val="00B85CAC"/>
    <w:rsid w:val="00B86D06"/>
    <w:rsid w:val="00B879D0"/>
    <w:rsid w:val="00B87CDD"/>
    <w:rsid w:val="00B90179"/>
    <w:rsid w:val="00B926C7"/>
    <w:rsid w:val="00B939BD"/>
    <w:rsid w:val="00B94514"/>
    <w:rsid w:val="00B950CC"/>
    <w:rsid w:val="00B973BE"/>
    <w:rsid w:val="00BA4B2A"/>
    <w:rsid w:val="00BA4CAA"/>
    <w:rsid w:val="00BA6F9E"/>
    <w:rsid w:val="00BB1F68"/>
    <w:rsid w:val="00BB2393"/>
    <w:rsid w:val="00BB244D"/>
    <w:rsid w:val="00BB2995"/>
    <w:rsid w:val="00BB3169"/>
    <w:rsid w:val="00BB3EA2"/>
    <w:rsid w:val="00BB4BB1"/>
    <w:rsid w:val="00BB5088"/>
    <w:rsid w:val="00BB55CD"/>
    <w:rsid w:val="00BB6A45"/>
    <w:rsid w:val="00BB6B2D"/>
    <w:rsid w:val="00BB738F"/>
    <w:rsid w:val="00BC0CF7"/>
    <w:rsid w:val="00BC5A60"/>
    <w:rsid w:val="00BD02A6"/>
    <w:rsid w:val="00BD281D"/>
    <w:rsid w:val="00BD2E58"/>
    <w:rsid w:val="00BD3816"/>
    <w:rsid w:val="00BD405F"/>
    <w:rsid w:val="00BD4B9F"/>
    <w:rsid w:val="00BD4C1C"/>
    <w:rsid w:val="00BD5509"/>
    <w:rsid w:val="00BD6B76"/>
    <w:rsid w:val="00BD6D7D"/>
    <w:rsid w:val="00BD7320"/>
    <w:rsid w:val="00BE01D2"/>
    <w:rsid w:val="00BE2A42"/>
    <w:rsid w:val="00BE3528"/>
    <w:rsid w:val="00BE461E"/>
    <w:rsid w:val="00BE4B07"/>
    <w:rsid w:val="00BE5A71"/>
    <w:rsid w:val="00BE5DCB"/>
    <w:rsid w:val="00BF0D10"/>
    <w:rsid w:val="00BF1011"/>
    <w:rsid w:val="00BF12B1"/>
    <w:rsid w:val="00BF33B3"/>
    <w:rsid w:val="00BF3FE2"/>
    <w:rsid w:val="00BF5086"/>
    <w:rsid w:val="00BF6640"/>
    <w:rsid w:val="00BF690E"/>
    <w:rsid w:val="00BF7294"/>
    <w:rsid w:val="00C01813"/>
    <w:rsid w:val="00C02E20"/>
    <w:rsid w:val="00C03788"/>
    <w:rsid w:val="00C0525E"/>
    <w:rsid w:val="00C053D5"/>
    <w:rsid w:val="00C058A8"/>
    <w:rsid w:val="00C05DF1"/>
    <w:rsid w:val="00C06345"/>
    <w:rsid w:val="00C067B5"/>
    <w:rsid w:val="00C07A42"/>
    <w:rsid w:val="00C12EDA"/>
    <w:rsid w:val="00C149CE"/>
    <w:rsid w:val="00C14E15"/>
    <w:rsid w:val="00C14E9F"/>
    <w:rsid w:val="00C15AC2"/>
    <w:rsid w:val="00C16AE6"/>
    <w:rsid w:val="00C20BEA"/>
    <w:rsid w:val="00C20F37"/>
    <w:rsid w:val="00C21C05"/>
    <w:rsid w:val="00C2227C"/>
    <w:rsid w:val="00C22B8C"/>
    <w:rsid w:val="00C22FB7"/>
    <w:rsid w:val="00C23CC6"/>
    <w:rsid w:val="00C23DB0"/>
    <w:rsid w:val="00C24869"/>
    <w:rsid w:val="00C26C32"/>
    <w:rsid w:val="00C26E8A"/>
    <w:rsid w:val="00C32832"/>
    <w:rsid w:val="00C33889"/>
    <w:rsid w:val="00C33ACF"/>
    <w:rsid w:val="00C3718F"/>
    <w:rsid w:val="00C40215"/>
    <w:rsid w:val="00C412C4"/>
    <w:rsid w:val="00C432BE"/>
    <w:rsid w:val="00C436BB"/>
    <w:rsid w:val="00C43DB0"/>
    <w:rsid w:val="00C44E82"/>
    <w:rsid w:val="00C457A8"/>
    <w:rsid w:val="00C47ADC"/>
    <w:rsid w:val="00C5220C"/>
    <w:rsid w:val="00C53A86"/>
    <w:rsid w:val="00C540A5"/>
    <w:rsid w:val="00C54125"/>
    <w:rsid w:val="00C54FEE"/>
    <w:rsid w:val="00C56620"/>
    <w:rsid w:val="00C56DDC"/>
    <w:rsid w:val="00C57C15"/>
    <w:rsid w:val="00C604A6"/>
    <w:rsid w:val="00C60962"/>
    <w:rsid w:val="00C61885"/>
    <w:rsid w:val="00C61925"/>
    <w:rsid w:val="00C61A20"/>
    <w:rsid w:val="00C63294"/>
    <w:rsid w:val="00C668CB"/>
    <w:rsid w:val="00C66F63"/>
    <w:rsid w:val="00C75A4E"/>
    <w:rsid w:val="00C77DC6"/>
    <w:rsid w:val="00C77EDE"/>
    <w:rsid w:val="00C8121E"/>
    <w:rsid w:val="00C83D73"/>
    <w:rsid w:val="00C9015F"/>
    <w:rsid w:val="00C90DCA"/>
    <w:rsid w:val="00C9217C"/>
    <w:rsid w:val="00C926F0"/>
    <w:rsid w:val="00C92E88"/>
    <w:rsid w:val="00C97215"/>
    <w:rsid w:val="00C9777B"/>
    <w:rsid w:val="00C9781B"/>
    <w:rsid w:val="00C97916"/>
    <w:rsid w:val="00CA314D"/>
    <w:rsid w:val="00CA655D"/>
    <w:rsid w:val="00CA6A33"/>
    <w:rsid w:val="00CB15D6"/>
    <w:rsid w:val="00CB1B79"/>
    <w:rsid w:val="00CB3780"/>
    <w:rsid w:val="00CB3E9D"/>
    <w:rsid w:val="00CB73C6"/>
    <w:rsid w:val="00CB7773"/>
    <w:rsid w:val="00CC097D"/>
    <w:rsid w:val="00CC2B2F"/>
    <w:rsid w:val="00CC377B"/>
    <w:rsid w:val="00CC5526"/>
    <w:rsid w:val="00CC6C72"/>
    <w:rsid w:val="00CD0CEB"/>
    <w:rsid w:val="00CD3EFC"/>
    <w:rsid w:val="00CD5F32"/>
    <w:rsid w:val="00CD68DF"/>
    <w:rsid w:val="00CE0CEC"/>
    <w:rsid w:val="00CE0E71"/>
    <w:rsid w:val="00CE248F"/>
    <w:rsid w:val="00CE25C1"/>
    <w:rsid w:val="00CE284D"/>
    <w:rsid w:val="00CE4291"/>
    <w:rsid w:val="00CE4D1A"/>
    <w:rsid w:val="00CF1092"/>
    <w:rsid w:val="00CF140F"/>
    <w:rsid w:val="00CF15DA"/>
    <w:rsid w:val="00CF272C"/>
    <w:rsid w:val="00CF2D05"/>
    <w:rsid w:val="00CF4409"/>
    <w:rsid w:val="00CF50FA"/>
    <w:rsid w:val="00CF535C"/>
    <w:rsid w:val="00D00DEC"/>
    <w:rsid w:val="00D00EBB"/>
    <w:rsid w:val="00D026AC"/>
    <w:rsid w:val="00D056F3"/>
    <w:rsid w:val="00D107AE"/>
    <w:rsid w:val="00D113B6"/>
    <w:rsid w:val="00D11691"/>
    <w:rsid w:val="00D11831"/>
    <w:rsid w:val="00D145E3"/>
    <w:rsid w:val="00D15549"/>
    <w:rsid w:val="00D20C0B"/>
    <w:rsid w:val="00D20E6E"/>
    <w:rsid w:val="00D235BA"/>
    <w:rsid w:val="00D23FA9"/>
    <w:rsid w:val="00D25075"/>
    <w:rsid w:val="00D25154"/>
    <w:rsid w:val="00D25F9D"/>
    <w:rsid w:val="00D26FBA"/>
    <w:rsid w:val="00D27254"/>
    <w:rsid w:val="00D30B0C"/>
    <w:rsid w:val="00D32F4B"/>
    <w:rsid w:val="00D359C6"/>
    <w:rsid w:val="00D35C64"/>
    <w:rsid w:val="00D366BC"/>
    <w:rsid w:val="00D36771"/>
    <w:rsid w:val="00D37088"/>
    <w:rsid w:val="00D37303"/>
    <w:rsid w:val="00D3765B"/>
    <w:rsid w:val="00D37E40"/>
    <w:rsid w:val="00D37F97"/>
    <w:rsid w:val="00D4457E"/>
    <w:rsid w:val="00D44F06"/>
    <w:rsid w:val="00D4749C"/>
    <w:rsid w:val="00D503F4"/>
    <w:rsid w:val="00D529C7"/>
    <w:rsid w:val="00D535CB"/>
    <w:rsid w:val="00D5422D"/>
    <w:rsid w:val="00D54880"/>
    <w:rsid w:val="00D54C4B"/>
    <w:rsid w:val="00D55A40"/>
    <w:rsid w:val="00D5690B"/>
    <w:rsid w:val="00D5763F"/>
    <w:rsid w:val="00D60127"/>
    <w:rsid w:val="00D62846"/>
    <w:rsid w:val="00D63DC2"/>
    <w:rsid w:val="00D63E8D"/>
    <w:rsid w:val="00D64023"/>
    <w:rsid w:val="00D66D9A"/>
    <w:rsid w:val="00D67BD6"/>
    <w:rsid w:val="00D704BB"/>
    <w:rsid w:val="00D72396"/>
    <w:rsid w:val="00D7248C"/>
    <w:rsid w:val="00D739C2"/>
    <w:rsid w:val="00D73AC7"/>
    <w:rsid w:val="00D74F87"/>
    <w:rsid w:val="00D76875"/>
    <w:rsid w:val="00D80F0F"/>
    <w:rsid w:val="00D83D0C"/>
    <w:rsid w:val="00D8441F"/>
    <w:rsid w:val="00D848F7"/>
    <w:rsid w:val="00D8716A"/>
    <w:rsid w:val="00D902D1"/>
    <w:rsid w:val="00D908F2"/>
    <w:rsid w:val="00D92F2A"/>
    <w:rsid w:val="00D96E35"/>
    <w:rsid w:val="00DA1F82"/>
    <w:rsid w:val="00DA4C87"/>
    <w:rsid w:val="00DA53CC"/>
    <w:rsid w:val="00DA56E7"/>
    <w:rsid w:val="00DA7192"/>
    <w:rsid w:val="00DA7539"/>
    <w:rsid w:val="00DA76DE"/>
    <w:rsid w:val="00DA7709"/>
    <w:rsid w:val="00DA7E52"/>
    <w:rsid w:val="00DB0D48"/>
    <w:rsid w:val="00DB11D0"/>
    <w:rsid w:val="00DB2057"/>
    <w:rsid w:val="00DB3555"/>
    <w:rsid w:val="00DB599C"/>
    <w:rsid w:val="00DB6660"/>
    <w:rsid w:val="00DB6B66"/>
    <w:rsid w:val="00DC0C83"/>
    <w:rsid w:val="00DC44DF"/>
    <w:rsid w:val="00DC452F"/>
    <w:rsid w:val="00DC5F5C"/>
    <w:rsid w:val="00DD1414"/>
    <w:rsid w:val="00DD55B7"/>
    <w:rsid w:val="00DD59C1"/>
    <w:rsid w:val="00DD69EE"/>
    <w:rsid w:val="00DE11CE"/>
    <w:rsid w:val="00DE1F2E"/>
    <w:rsid w:val="00DE2DBA"/>
    <w:rsid w:val="00DF2B88"/>
    <w:rsid w:val="00DF37D2"/>
    <w:rsid w:val="00DF578C"/>
    <w:rsid w:val="00DF5BEE"/>
    <w:rsid w:val="00DF6053"/>
    <w:rsid w:val="00DF6AD6"/>
    <w:rsid w:val="00DF6EBE"/>
    <w:rsid w:val="00DF7609"/>
    <w:rsid w:val="00E005F3"/>
    <w:rsid w:val="00E03886"/>
    <w:rsid w:val="00E04207"/>
    <w:rsid w:val="00E05869"/>
    <w:rsid w:val="00E05A95"/>
    <w:rsid w:val="00E06B95"/>
    <w:rsid w:val="00E11138"/>
    <w:rsid w:val="00E1157F"/>
    <w:rsid w:val="00E123CB"/>
    <w:rsid w:val="00E1455E"/>
    <w:rsid w:val="00E16389"/>
    <w:rsid w:val="00E16B3E"/>
    <w:rsid w:val="00E214C6"/>
    <w:rsid w:val="00E2334E"/>
    <w:rsid w:val="00E25F86"/>
    <w:rsid w:val="00E26523"/>
    <w:rsid w:val="00E277C8"/>
    <w:rsid w:val="00E3269F"/>
    <w:rsid w:val="00E333AC"/>
    <w:rsid w:val="00E34EDE"/>
    <w:rsid w:val="00E34F35"/>
    <w:rsid w:val="00E35147"/>
    <w:rsid w:val="00E36563"/>
    <w:rsid w:val="00E365F8"/>
    <w:rsid w:val="00E40501"/>
    <w:rsid w:val="00E418CD"/>
    <w:rsid w:val="00E41DB5"/>
    <w:rsid w:val="00E42503"/>
    <w:rsid w:val="00E43270"/>
    <w:rsid w:val="00E44006"/>
    <w:rsid w:val="00E44A23"/>
    <w:rsid w:val="00E453CB"/>
    <w:rsid w:val="00E45672"/>
    <w:rsid w:val="00E45BF2"/>
    <w:rsid w:val="00E4621D"/>
    <w:rsid w:val="00E46694"/>
    <w:rsid w:val="00E478F0"/>
    <w:rsid w:val="00E50A01"/>
    <w:rsid w:val="00E52313"/>
    <w:rsid w:val="00E55837"/>
    <w:rsid w:val="00E56EC1"/>
    <w:rsid w:val="00E57675"/>
    <w:rsid w:val="00E624A5"/>
    <w:rsid w:val="00E6294E"/>
    <w:rsid w:val="00E66814"/>
    <w:rsid w:val="00E70019"/>
    <w:rsid w:val="00E70BE3"/>
    <w:rsid w:val="00E726AE"/>
    <w:rsid w:val="00E7412B"/>
    <w:rsid w:val="00E74ED5"/>
    <w:rsid w:val="00E76161"/>
    <w:rsid w:val="00E76409"/>
    <w:rsid w:val="00E76D2E"/>
    <w:rsid w:val="00E77BBA"/>
    <w:rsid w:val="00E811B2"/>
    <w:rsid w:val="00E811C3"/>
    <w:rsid w:val="00E81A91"/>
    <w:rsid w:val="00E820CD"/>
    <w:rsid w:val="00E84356"/>
    <w:rsid w:val="00E85101"/>
    <w:rsid w:val="00E865FB"/>
    <w:rsid w:val="00E906C7"/>
    <w:rsid w:val="00E9290B"/>
    <w:rsid w:val="00E92D2C"/>
    <w:rsid w:val="00E92DE7"/>
    <w:rsid w:val="00E9374D"/>
    <w:rsid w:val="00E9493E"/>
    <w:rsid w:val="00E956CF"/>
    <w:rsid w:val="00E95948"/>
    <w:rsid w:val="00E960FD"/>
    <w:rsid w:val="00E9688E"/>
    <w:rsid w:val="00E97618"/>
    <w:rsid w:val="00E97F95"/>
    <w:rsid w:val="00EA1D65"/>
    <w:rsid w:val="00EA2ED8"/>
    <w:rsid w:val="00EA3DF2"/>
    <w:rsid w:val="00EA3E7E"/>
    <w:rsid w:val="00EA70AB"/>
    <w:rsid w:val="00EB0AD7"/>
    <w:rsid w:val="00EB1768"/>
    <w:rsid w:val="00EB3190"/>
    <w:rsid w:val="00EB6683"/>
    <w:rsid w:val="00EC083B"/>
    <w:rsid w:val="00EC22A8"/>
    <w:rsid w:val="00EC30F3"/>
    <w:rsid w:val="00EC4979"/>
    <w:rsid w:val="00EC4EDD"/>
    <w:rsid w:val="00EC4FB3"/>
    <w:rsid w:val="00EC6968"/>
    <w:rsid w:val="00ED01AC"/>
    <w:rsid w:val="00ED0C08"/>
    <w:rsid w:val="00ED14D2"/>
    <w:rsid w:val="00ED4269"/>
    <w:rsid w:val="00ED759F"/>
    <w:rsid w:val="00EE0532"/>
    <w:rsid w:val="00EE252B"/>
    <w:rsid w:val="00EE2F29"/>
    <w:rsid w:val="00EE3B69"/>
    <w:rsid w:val="00EE42D9"/>
    <w:rsid w:val="00EE4C1A"/>
    <w:rsid w:val="00EE5BC7"/>
    <w:rsid w:val="00EE7EE4"/>
    <w:rsid w:val="00EF0343"/>
    <w:rsid w:val="00EF17B8"/>
    <w:rsid w:val="00EF2E7D"/>
    <w:rsid w:val="00EF5058"/>
    <w:rsid w:val="00EF6244"/>
    <w:rsid w:val="00EF68B8"/>
    <w:rsid w:val="00EF7DF9"/>
    <w:rsid w:val="00F00B2F"/>
    <w:rsid w:val="00F00F42"/>
    <w:rsid w:val="00F010FB"/>
    <w:rsid w:val="00F0164F"/>
    <w:rsid w:val="00F01C87"/>
    <w:rsid w:val="00F032B6"/>
    <w:rsid w:val="00F04491"/>
    <w:rsid w:val="00F04D56"/>
    <w:rsid w:val="00F052C0"/>
    <w:rsid w:val="00F055D7"/>
    <w:rsid w:val="00F0565E"/>
    <w:rsid w:val="00F05F22"/>
    <w:rsid w:val="00F06393"/>
    <w:rsid w:val="00F0662B"/>
    <w:rsid w:val="00F07C47"/>
    <w:rsid w:val="00F11BFF"/>
    <w:rsid w:val="00F11C12"/>
    <w:rsid w:val="00F12DFE"/>
    <w:rsid w:val="00F1501D"/>
    <w:rsid w:val="00F1599E"/>
    <w:rsid w:val="00F163BC"/>
    <w:rsid w:val="00F22156"/>
    <w:rsid w:val="00F24373"/>
    <w:rsid w:val="00F258D2"/>
    <w:rsid w:val="00F27EFE"/>
    <w:rsid w:val="00F27FB3"/>
    <w:rsid w:val="00F27FBB"/>
    <w:rsid w:val="00F30AFA"/>
    <w:rsid w:val="00F31BFF"/>
    <w:rsid w:val="00F322C8"/>
    <w:rsid w:val="00F3339C"/>
    <w:rsid w:val="00F33784"/>
    <w:rsid w:val="00F340FD"/>
    <w:rsid w:val="00F379D0"/>
    <w:rsid w:val="00F430AF"/>
    <w:rsid w:val="00F43EBB"/>
    <w:rsid w:val="00F44F34"/>
    <w:rsid w:val="00F45C1A"/>
    <w:rsid w:val="00F475E2"/>
    <w:rsid w:val="00F50B93"/>
    <w:rsid w:val="00F52B84"/>
    <w:rsid w:val="00F537F8"/>
    <w:rsid w:val="00F55554"/>
    <w:rsid w:val="00F57819"/>
    <w:rsid w:val="00F613B3"/>
    <w:rsid w:val="00F62331"/>
    <w:rsid w:val="00F64A99"/>
    <w:rsid w:val="00F65437"/>
    <w:rsid w:val="00F65883"/>
    <w:rsid w:val="00F6742E"/>
    <w:rsid w:val="00F675AF"/>
    <w:rsid w:val="00F67F71"/>
    <w:rsid w:val="00F70412"/>
    <w:rsid w:val="00F72E06"/>
    <w:rsid w:val="00F7391D"/>
    <w:rsid w:val="00F7424D"/>
    <w:rsid w:val="00F746AB"/>
    <w:rsid w:val="00F7522B"/>
    <w:rsid w:val="00F7649B"/>
    <w:rsid w:val="00F76E1F"/>
    <w:rsid w:val="00F773BF"/>
    <w:rsid w:val="00F77594"/>
    <w:rsid w:val="00F80D2D"/>
    <w:rsid w:val="00F864AE"/>
    <w:rsid w:val="00F87ABF"/>
    <w:rsid w:val="00F93E76"/>
    <w:rsid w:val="00F944EA"/>
    <w:rsid w:val="00F9476F"/>
    <w:rsid w:val="00F94A89"/>
    <w:rsid w:val="00FA05E5"/>
    <w:rsid w:val="00FA21E1"/>
    <w:rsid w:val="00FA2785"/>
    <w:rsid w:val="00FA2D6C"/>
    <w:rsid w:val="00FA34C9"/>
    <w:rsid w:val="00FA37FC"/>
    <w:rsid w:val="00FA4339"/>
    <w:rsid w:val="00FA5B8C"/>
    <w:rsid w:val="00FA6044"/>
    <w:rsid w:val="00FA79F7"/>
    <w:rsid w:val="00FA7D3F"/>
    <w:rsid w:val="00FB5304"/>
    <w:rsid w:val="00FB5BA4"/>
    <w:rsid w:val="00FB5D4B"/>
    <w:rsid w:val="00FB68B6"/>
    <w:rsid w:val="00FC0039"/>
    <w:rsid w:val="00FC0C14"/>
    <w:rsid w:val="00FC0E9D"/>
    <w:rsid w:val="00FC1D32"/>
    <w:rsid w:val="00FC1ED2"/>
    <w:rsid w:val="00FC5665"/>
    <w:rsid w:val="00FC6532"/>
    <w:rsid w:val="00FC75ED"/>
    <w:rsid w:val="00FD133D"/>
    <w:rsid w:val="00FD3362"/>
    <w:rsid w:val="00FD542B"/>
    <w:rsid w:val="00FD75CA"/>
    <w:rsid w:val="00FE12BC"/>
    <w:rsid w:val="00FE1C5B"/>
    <w:rsid w:val="00FE2219"/>
    <w:rsid w:val="00FE2273"/>
    <w:rsid w:val="00FE3CE3"/>
    <w:rsid w:val="00FE3F74"/>
    <w:rsid w:val="00FE4A2D"/>
    <w:rsid w:val="00FF102D"/>
    <w:rsid w:val="00FF25D8"/>
    <w:rsid w:val="00FF3E1F"/>
    <w:rsid w:val="00FF51BB"/>
    <w:rsid w:val="00FF5931"/>
    <w:rsid w:val="00FF5C1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56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F04D56"/>
    <w:rPr>
      <w:vertAlign w:val="superscript"/>
    </w:rPr>
  </w:style>
  <w:style w:type="paragraph" w:customStyle="1" w:styleId="tabletitle0">
    <w:name w:val="tabletitle"/>
    <w:next w:val="Text"/>
    <w:rsid w:val="00BF5086"/>
    <w:pPr>
      <w:spacing w:before="360" w:after="80"/>
      <w:ind w:left="851" w:hanging="851"/>
    </w:pPr>
    <w:rPr>
      <w:rFonts w:ascii="Tahoma" w:hAnsi="Tahoma"/>
      <w:b/>
      <w:sz w:val="17"/>
      <w:szCs w:val="24"/>
      <w:lang w:val="en-AU"/>
    </w:rPr>
  </w:style>
  <w:style w:type="paragraph" w:styleId="ListParagraph">
    <w:name w:val="List Paragraph"/>
    <w:basedOn w:val="Normal"/>
    <w:uiPriority w:val="34"/>
    <w:qFormat/>
    <w:rsid w:val="00043816"/>
    <w:pPr>
      <w:ind w:left="720"/>
      <w:contextualSpacing/>
    </w:pPr>
  </w:style>
  <w:style w:type="paragraph" w:customStyle="1" w:styleId="MtgPaperNumberedList">
    <w:name w:val="Mtg Paper Numbered List"/>
    <w:basedOn w:val="Normal"/>
    <w:link w:val="MtgPaperNumberedListChar"/>
    <w:rsid w:val="004A7C38"/>
    <w:pPr>
      <w:numPr>
        <w:numId w:val="32"/>
      </w:numPr>
      <w:spacing w:before="0" w:after="120" w:line="240" w:lineRule="auto"/>
    </w:pPr>
    <w:rPr>
      <w:rFonts w:ascii="Verdana" w:hAnsi="Verdana" w:cs="Arial"/>
      <w:sz w:val="20"/>
      <w:szCs w:val="19"/>
    </w:rPr>
  </w:style>
  <w:style w:type="character" w:customStyle="1" w:styleId="MtgPaperNumberedListChar">
    <w:name w:val="Mtg Paper Numbered List Char"/>
    <w:basedOn w:val="DefaultParagraphFont"/>
    <w:link w:val="MtgPaperNumberedList"/>
    <w:rsid w:val="004A7C38"/>
    <w:rPr>
      <w:rFonts w:ascii="Verdana" w:hAnsi="Verdana" w:cs="Arial"/>
      <w:szCs w:val="19"/>
      <w:lang w:val="en-AU"/>
    </w:rPr>
  </w:style>
  <w:style w:type="paragraph" w:styleId="BodyText">
    <w:name w:val="Body Text"/>
    <w:basedOn w:val="Normal"/>
    <w:link w:val="BodyTextChar"/>
    <w:uiPriority w:val="99"/>
    <w:semiHidden/>
    <w:unhideWhenUsed/>
    <w:rsid w:val="00503208"/>
    <w:pPr>
      <w:spacing w:before="0" w:after="113" w:line="240" w:lineRule="auto"/>
    </w:pPr>
    <w:rPr>
      <w:rFonts w:ascii="Arial" w:eastAsiaTheme="minorHAnsi" w:hAnsi="Arial" w:cs="Arial"/>
      <w:sz w:val="16"/>
      <w:szCs w:val="16"/>
      <w:lang w:eastAsia="ko-KR"/>
    </w:rPr>
  </w:style>
  <w:style w:type="character" w:customStyle="1" w:styleId="BodyTextChar">
    <w:name w:val="Body Text Char"/>
    <w:basedOn w:val="DefaultParagraphFont"/>
    <w:link w:val="BodyText"/>
    <w:uiPriority w:val="99"/>
    <w:semiHidden/>
    <w:rsid w:val="00503208"/>
    <w:rPr>
      <w:rFonts w:ascii="Arial" w:eastAsiaTheme="minorHAnsi" w:hAnsi="Arial" w:cs="Arial"/>
      <w:sz w:val="16"/>
      <w:szCs w:val="16"/>
      <w:lang w:val="en-A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semiHidden/>
    <w:rsid w:val="00F04D56"/>
    <w:rPr>
      <w:vertAlign w:val="superscript"/>
    </w:rPr>
  </w:style>
  <w:style w:type="paragraph" w:customStyle="1" w:styleId="tabletitle0">
    <w:name w:val="tabletitle"/>
    <w:next w:val="Text"/>
    <w:rsid w:val="00BF5086"/>
    <w:pPr>
      <w:spacing w:before="360" w:after="80"/>
      <w:ind w:left="851" w:hanging="851"/>
    </w:pPr>
    <w:rPr>
      <w:rFonts w:ascii="Tahoma" w:hAnsi="Tahoma"/>
      <w:b/>
      <w:sz w:val="17"/>
      <w:szCs w:val="24"/>
      <w:lang w:val="en-AU"/>
    </w:rPr>
  </w:style>
  <w:style w:type="paragraph" w:styleId="ListParagraph">
    <w:name w:val="List Paragraph"/>
    <w:basedOn w:val="Normal"/>
    <w:uiPriority w:val="34"/>
    <w:qFormat/>
    <w:rsid w:val="00043816"/>
    <w:pPr>
      <w:ind w:left="720"/>
      <w:contextualSpacing/>
    </w:pPr>
  </w:style>
  <w:style w:type="paragraph" w:customStyle="1" w:styleId="MtgPaperNumberedList">
    <w:name w:val="Mtg Paper Numbered List"/>
    <w:basedOn w:val="Normal"/>
    <w:link w:val="MtgPaperNumberedListChar"/>
    <w:rsid w:val="004A7C38"/>
    <w:pPr>
      <w:numPr>
        <w:numId w:val="32"/>
      </w:numPr>
      <w:spacing w:before="0" w:after="120" w:line="240" w:lineRule="auto"/>
    </w:pPr>
    <w:rPr>
      <w:rFonts w:ascii="Verdana" w:hAnsi="Verdana" w:cs="Arial"/>
      <w:sz w:val="20"/>
      <w:szCs w:val="19"/>
    </w:rPr>
  </w:style>
  <w:style w:type="character" w:customStyle="1" w:styleId="MtgPaperNumberedListChar">
    <w:name w:val="Mtg Paper Numbered List Char"/>
    <w:basedOn w:val="DefaultParagraphFont"/>
    <w:link w:val="MtgPaperNumberedList"/>
    <w:rsid w:val="004A7C38"/>
    <w:rPr>
      <w:rFonts w:ascii="Verdana" w:hAnsi="Verdana" w:cs="Arial"/>
      <w:szCs w:val="19"/>
      <w:lang w:val="en-AU"/>
    </w:rPr>
  </w:style>
  <w:style w:type="paragraph" w:styleId="BodyText">
    <w:name w:val="Body Text"/>
    <w:basedOn w:val="Normal"/>
    <w:link w:val="BodyTextChar"/>
    <w:uiPriority w:val="99"/>
    <w:semiHidden/>
    <w:unhideWhenUsed/>
    <w:rsid w:val="00503208"/>
    <w:pPr>
      <w:spacing w:before="0" w:after="113" w:line="240" w:lineRule="auto"/>
    </w:pPr>
    <w:rPr>
      <w:rFonts w:ascii="Arial" w:eastAsiaTheme="minorHAnsi" w:hAnsi="Arial" w:cs="Arial"/>
      <w:sz w:val="16"/>
      <w:szCs w:val="16"/>
      <w:lang w:eastAsia="ko-KR"/>
    </w:rPr>
  </w:style>
  <w:style w:type="character" w:customStyle="1" w:styleId="BodyTextChar">
    <w:name w:val="Body Text Char"/>
    <w:basedOn w:val="DefaultParagraphFont"/>
    <w:link w:val="BodyText"/>
    <w:uiPriority w:val="99"/>
    <w:semiHidden/>
    <w:rsid w:val="00503208"/>
    <w:rPr>
      <w:rFonts w:ascii="Arial" w:eastAsiaTheme="minorHAnsi" w:hAnsi="Arial" w:cs="Arial"/>
      <w:sz w:val="16"/>
      <w:szCs w:val="16"/>
      <w:lang w:val="en-A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6284992">
      <w:bodyDiv w:val="1"/>
      <w:marLeft w:val="0"/>
      <w:marRight w:val="0"/>
      <w:marTop w:val="0"/>
      <w:marBottom w:val="0"/>
      <w:divBdr>
        <w:top w:val="none" w:sz="0" w:space="0" w:color="auto"/>
        <w:left w:val="none" w:sz="0" w:space="0" w:color="auto"/>
        <w:bottom w:val="none" w:sz="0" w:space="0" w:color="auto"/>
        <w:right w:val="none" w:sz="0" w:space="0" w:color="auto"/>
      </w:divBdr>
    </w:div>
    <w:div w:id="195315961">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275709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56553415">
      <w:bodyDiv w:val="1"/>
      <w:marLeft w:val="0"/>
      <w:marRight w:val="0"/>
      <w:marTop w:val="0"/>
      <w:marBottom w:val="0"/>
      <w:divBdr>
        <w:top w:val="none" w:sz="0" w:space="0" w:color="auto"/>
        <w:left w:val="none" w:sz="0" w:space="0" w:color="auto"/>
        <w:bottom w:val="none" w:sz="0" w:space="0" w:color="auto"/>
        <w:right w:val="none" w:sz="0" w:space="0" w:color="auto"/>
      </w:divBdr>
    </w:div>
    <w:div w:id="613023882">
      <w:bodyDiv w:val="1"/>
      <w:marLeft w:val="0"/>
      <w:marRight w:val="0"/>
      <w:marTop w:val="0"/>
      <w:marBottom w:val="0"/>
      <w:divBdr>
        <w:top w:val="none" w:sz="0" w:space="0" w:color="auto"/>
        <w:left w:val="none" w:sz="0" w:space="0" w:color="auto"/>
        <w:bottom w:val="none" w:sz="0" w:space="0" w:color="auto"/>
        <w:right w:val="none" w:sz="0" w:space="0" w:color="auto"/>
      </w:divBdr>
    </w:div>
    <w:div w:id="697584476">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14583506">
      <w:bodyDiv w:val="1"/>
      <w:marLeft w:val="0"/>
      <w:marRight w:val="0"/>
      <w:marTop w:val="0"/>
      <w:marBottom w:val="0"/>
      <w:divBdr>
        <w:top w:val="none" w:sz="0" w:space="0" w:color="auto"/>
        <w:left w:val="none" w:sz="0" w:space="0" w:color="auto"/>
        <w:bottom w:val="none" w:sz="0" w:space="0" w:color="auto"/>
        <w:right w:val="none" w:sz="0" w:space="0" w:color="auto"/>
      </w:divBdr>
    </w:div>
    <w:div w:id="977955609">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74493147">
      <w:bodyDiv w:val="1"/>
      <w:marLeft w:val="0"/>
      <w:marRight w:val="0"/>
      <w:marTop w:val="0"/>
      <w:marBottom w:val="0"/>
      <w:divBdr>
        <w:top w:val="none" w:sz="0" w:space="0" w:color="auto"/>
        <w:left w:val="none" w:sz="0" w:space="0" w:color="auto"/>
        <w:bottom w:val="none" w:sz="0" w:space="0" w:color="auto"/>
        <w:right w:val="none" w:sz="0" w:space="0" w:color="auto"/>
      </w:divBdr>
    </w:div>
    <w:div w:id="1215115247">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427681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4238943">
      <w:bodyDiv w:val="1"/>
      <w:marLeft w:val="0"/>
      <w:marRight w:val="0"/>
      <w:marTop w:val="0"/>
      <w:marBottom w:val="0"/>
      <w:divBdr>
        <w:top w:val="none" w:sz="0" w:space="0" w:color="auto"/>
        <w:left w:val="none" w:sz="0" w:space="0" w:color="auto"/>
        <w:bottom w:val="none" w:sz="0" w:space="0" w:color="auto"/>
        <w:right w:val="none" w:sz="0" w:space="0" w:color="auto"/>
      </w:divBdr>
    </w:div>
    <w:div w:id="1950579178">
      <w:bodyDiv w:val="1"/>
      <w:marLeft w:val="0"/>
      <w:marRight w:val="0"/>
      <w:marTop w:val="0"/>
      <w:marBottom w:val="0"/>
      <w:divBdr>
        <w:top w:val="none" w:sz="0" w:space="0" w:color="auto"/>
        <w:left w:val="none" w:sz="0" w:space="0" w:color="auto"/>
        <w:bottom w:val="none" w:sz="0" w:space="0" w:color="auto"/>
        <w:right w:val="none" w:sz="0" w:space="0" w:color="auto"/>
      </w:divBdr>
    </w:div>
    <w:div w:id="1954363159">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 TargetMode="External"/><Relationship Id="rId26" Type="http://schemas.openxmlformats.org/officeDocument/2006/relationships/image" Target="media/image8.emf"/><Relationship Id="rId39" Type="http://schemas.openxmlformats.org/officeDocument/2006/relationships/image" Target="media/image19.emf"/><Relationship Id="rId21" Type="http://schemas.openxmlformats.org/officeDocument/2006/relationships/hyperlink" Target="http://creativecommons.org/licenses/by/3.0/au" TargetMode="External"/><Relationship Id="rId34" Type="http://schemas.openxmlformats.org/officeDocument/2006/relationships/image" Target="media/image14.emf"/><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footer" Target="footer7.xml"/><Relationship Id="rId68" Type="http://schemas.openxmlformats.org/officeDocument/2006/relationships/hyperlink" Target="https://asialinkbusiness.com.au/research-resources/report-australias-jobs-future" TargetMode="External"/><Relationship Id="rId76" Type="http://schemas.openxmlformats.org/officeDocument/2006/relationships/hyperlink" Target="mailto:ncver@ncver.edu.au" TargetMode="External"/><Relationship Id="rId84"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www.australianapprenticeships.gov.au/sites/ausapps/files/publication-documents/econometricanalysisaaip.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emf"/><Relationship Id="rId11" Type="http://schemas.openxmlformats.org/officeDocument/2006/relationships/image" Target="media/image3.wmf"/><Relationship Id="rId24" Type="http://schemas.openxmlformats.org/officeDocument/2006/relationships/footer" Target="footer3.xm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7.xml"/><Relationship Id="rId66" Type="http://schemas.openxmlformats.org/officeDocument/2006/relationships/hyperlink" Target="http://www.acilallen.com.au/cms_files/ACILAllen_NationalPartnership_2015.pdf" TargetMode="External"/><Relationship Id="rId74" Type="http://schemas.openxmlformats.org/officeDocument/2006/relationships/hyperlink" Target="http://www.skillsboard.nsw.gov.au/publications/smart-and-skilled-year-one-program-review" TargetMode="External"/><Relationship Id="rId79" Type="http://schemas.openxmlformats.org/officeDocument/2006/relationships/hyperlink" Target="mailto:ncver@ncver.edu.au"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image" Target="media/image21.wmf"/><Relationship Id="rId19" Type="http://schemas.openxmlformats.org/officeDocument/2006/relationships/hyperlink" Target="mailto:ncver@ncver.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19.xml"/><Relationship Id="rId69" Type="http://schemas.openxmlformats.org/officeDocument/2006/relationships/hyperlink" Target="http://www.aigroup.com.au/portal/site/aig/template.MAXIMIZE/mediacentre/releases/?javax.portlet.tpst=576c3f2a4adc0f512aec2f100141a0a0_ws_MX&amp;javax.portlet.prp_576c3f2a4adc0f512aec2f100141a0a0=index%3D17%26docName%3DUrgent%2Breform%2Bof%2Bapprenticeships%2Brequired%2Bto%2Baddress%2Bdire%2Bsituation%26folderPath%3D%252FLIVE_CONTENT%252FMedia%2BReleases%252F2016%252FApril%252F%26viewID%3Dcontent&amp;javax.portlet.begCacheTok=com.vignette.cachetoken&amp;javax.portlet.endCacheTok=com.vignette.cachetoken" TargetMode="External"/><Relationship Id="rId77" Type="http://schemas.openxmlformats.org/officeDocument/2006/relationships/hyperlink" Target="http://www.lsay.edu.au" TargetMode="Externa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hyperlink" Target="http://highereducationstatistics.education.gov.au/" TargetMode="External"/><Relationship Id="rId80" Type="http://schemas.openxmlformats.org/officeDocument/2006/relationships/hyperlink" Target="http://www.lsay.edu.au"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footer" Target="footer4.xml"/><Relationship Id="rId38" Type="http://schemas.openxmlformats.org/officeDocument/2006/relationships/image" Target="media/image18.emf"/><Relationship Id="rId46" Type="http://schemas.openxmlformats.org/officeDocument/2006/relationships/chart" Target="charts/chart6.xml"/><Relationship Id="rId59" Type="http://schemas.openxmlformats.org/officeDocument/2006/relationships/chart" Target="charts/chart18.xml"/><Relationship Id="rId67" Type="http://schemas.openxmlformats.org/officeDocument/2006/relationships/hyperlink" Target="http://www.australianapprenticeships.gov.au/sites/ausapps/files/publication-documents/apprenticeshipsforthe21stcenturyexpertpanel_0.pdf" TargetMode="External"/><Relationship Id="rId20" Type="http://schemas.openxmlformats.org/officeDocument/2006/relationships/image" Target="media/image60.wmf"/><Relationship Id="rId41" Type="http://schemas.openxmlformats.org/officeDocument/2006/relationships/chart" Target="charts/chart1.xml"/><Relationship Id="rId54" Type="http://schemas.openxmlformats.org/officeDocument/2006/relationships/chart" Target="charts/chart14.xml"/><Relationship Id="rId62" Type="http://schemas.openxmlformats.org/officeDocument/2006/relationships/footer" Target="footer6.xml"/><Relationship Id="rId70" Type="http://schemas.openxmlformats.org/officeDocument/2006/relationships/hyperlink" Target="https://docs.education.gov.au/system/files/doc/other/futurefocus2013nwds-2013.pdf" TargetMode="External"/><Relationship Id="rId75" Type="http://schemas.openxmlformats.org/officeDocument/2006/relationships/footer" Target="footer8.xml"/><Relationship Id="rId83"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0.emf"/><Relationship Id="rId36" Type="http://schemas.openxmlformats.org/officeDocument/2006/relationships/image" Target="media/image16.emf"/><Relationship Id="rId49" Type="http://schemas.openxmlformats.org/officeDocument/2006/relationships/chart" Target="charts/chart9.xml"/><Relationship Id="rId57" Type="http://schemas.openxmlformats.org/officeDocument/2006/relationships/hyperlink" Target="http://www.aigroup.com.au/portal/binary/com.epicentric.contentmanagement.servlet.ContentDeliveryServlet/LIVE_CONTENT/Publications/Reports/2010/9151_faster_smarter_higher_trade_outcomes_project_web.pdf" TargetMode="External"/><Relationship Id="rId10" Type="http://schemas.openxmlformats.org/officeDocument/2006/relationships/image" Target="media/image2.jpeg"/><Relationship Id="rId31" Type="http://schemas.openxmlformats.org/officeDocument/2006/relationships/image" Target="media/image13.emf"/><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header" Target="header2.xml"/><Relationship Id="rId65" Type="http://schemas.openxmlformats.org/officeDocument/2006/relationships/chart" Target="charts/chart20.xml"/><Relationship Id="rId73" Type="http://schemas.openxmlformats.org/officeDocument/2006/relationships/hyperlink" Target="http://www.education.gov.au/vocational-education-and-training-reform" TargetMode="External"/><Relationship Id="rId78" Type="http://schemas.openxmlformats.org/officeDocument/2006/relationships/hyperlink" Target="http://twitter.com/ncver" TargetMode="External"/><Relationship Id="rId81" Type="http://schemas.openxmlformats.org/officeDocument/2006/relationships/hyperlink" Target="http://twitter.com/ncver"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ustralianapprenticeships.gov.au/publications/summary-australian-government-australian-apprenticeships-incentives-programme" TargetMode="External"/><Relationship Id="rId1" Type="http://schemas.openxmlformats.org/officeDocument/2006/relationships/hyperlink" Target="http://www.coag.gov.au/skills_and_trai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ohnstanwick\AppData\Roaming\OpenText\DM\Temp\NCVER_DMS-%23167621-v1-Final_charts_for_VET_trends_report.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hnstanwick\AppData\Roaming\OpenText\DM\Temp\NCVER_DMS-%23167621-v1-Final_charts_for_VET_trends_repo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ohnstanwick\AppData\Roaming\OpenText\DM\Temp\NCVER_DMS-%23167621-v1-Final_charts_for_VET_trends_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ohnstanwick\AppData\Roaming\OpenText\DM\Temp\NCVER_DMS-%23167621-v1-Final_charts_for_VET_trends_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ohnstanwick\AppData\Roaming\OpenText\DM\Temp\NCVER_DMS-%23167621-v1-Final_charts_for_VET_trends_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users\johnstanwick\History_of_VET_Excel_data_graphs_apprentices_and_studen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cver.edu.au\data\users\johnstanwick\History_of_VET_Excel_data_graphs_apprentices_and_stude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ristielegedza\AppData\Roaming\OpenText\DM\Temp\NCVER_DMS-%23175280-v1-Updated_charts_for_VET_trends_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hnstanwick\AppData\Roaming\OpenText\DM\Temp\NCVER_DMS-%23173768-v1-New_VET_trends_tables_and_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eorginaatkinson\AppData\Roaming\OpenText\DM\Temp\NCVER_DMS-%23173768-v1-New_VET_trends_tables_and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[1]rev_exp!$H$19</c:f>
              <c:strCache>
                <c:ptCount val="1"/>
                <c:pt idx="0">
                  <c:v>Total revenue</c:v>
                </c:pt>
              </c:strCache>
            </c:strRef>
          </c:tx>
          <c:spPr>
            <a:ln>
              <a:solidFill>
                <a:srgbClr val="78278B"/>
              </a:solidFill>
            </a:ln>
          </c:spPr>
          <c:marker>
            <c:symbol val="none"/>
          </c:marker>
          <c:cat>
            <c:numRef>
              <c:f>[1]rev_exp!$G$20:$G$29</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[1]rev_exp!$H$20:$H$29</c:f>
              <c:numCache>
                <c:formatCode>General</c:formatCode>
                <c:ptCount val="10"/>
                <c:pt idx="0">
                  <c:v>6728.6836461126013</c:v>
                </c:pt>
                <c:pt idx="1">
                  <c:v>6761.128826530613</c:v>
                </c:pt>
                <c:pt idx="2">
                  <c:v>7004.3661800486616</c:v>
                </c:pt>
                <c:pt idx="3">
                  <c:v>7130.4504084013997</c:v>
                </c:pt>
                <c:pt idx="4">
                  <c:v>7418.9701986754981</c:v>
                </c:pt>
                <c:pt idx="5">
                  <c:v>7762.5929978118165</c:v>
                </c:pt>
                <c:pt idx="6">
                  <c:v>8138.884416924664</c:v>
                </c:pt>
                <c:pt idx="7">
                  <c:v>8539.5233739837386</c:v>
                </c:pt>
                <c:pt idx="8">
                  <c:v>8650.8130081300806</c:v>
                </c:pt>
                <c:pt idx="9">
                  <c:v>8653.4</c:v>
                </c:pt>
              </c:numCache>
            </c:numRef>
          </c:val>
          <c:smooth val="0"/>
        </c:ser>
        <c:ser>
          <c:idx val="1"/>
          <c:order val="1"/>
          <c:tx>
            <c:strRef>
              <c:f>[1]rev_exp!$I$19</c:f>
              <c:strCache>
                <c:ptCount val="1"/>
                <c:pt idx="0">
                  <c:v>Total expenditure</c:v>
                </c:pt>
              </c:strCache>
            </c:strRef>
          </c:tx>
          <c:spPr>
            <a:ln>
              <a:solidFill>
                <a:srgbClr val="439539"/>
              </a:solidFill>
            </a:ln>
          </c:spPr>
          <c:marker>
            <c:symbol val="none"/>
          </c:marker>
          <c:cat>
            <c:numRef>
              <c:f>[1]rev_exp!$G$20:$G$29</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[1]rev_exp!$I$20:$I$29</c:f>
              <c:numCache>
                <c:formatCode>General</c:formatCode>
                <c:ptCount val="10"/>
                <c:pt idx="0">
                  <c:v>7052.6916890080429</c:v>
                </c:pt>
                <c:pt idx="1">
                  <c:v>6982.2130102040819</c:v>
                </c:pt>
                <c:pt idx="2">
                  <c:v>7266.675182481752</c:v>
                </c:pt>
                <c:pt idx="3">
                  <c:v>7416.3978996499409</c:v>
                </c:pt>
                <c:pt idx="4">
                  <c:v>7513.5772626931584</c:v>
                </c:pt>
                <c:pt idx="5">
                  <c:v>8286.8041575492334</c:v>
                </c:pt>
                <c:pt idx="6">
                  <c:v>8156.2528379772957</c:v>
                </c:pt>
                <c:pt idx="7">
                  <c:v>8455.3201219512193</c:v>
                </c:pt>
                <c:pt idx="8">
                  <c:v>8124.623983739838</c:v>
                </c:pt>
                <c:pt idx="9">
                  <c:v>7578.8770000000004</c:v>
                </c:pt>
              </c:numCache>
            </c:numRef>
          </c:val>
          <c:smooth val="0"/>
        </c:ser>
        <c:dLbls>
          <c:showLegendKey val="0"/>
          <c:showVal val="0"/>
          <c:showCatName val="0"/>
          <c:showSerName val="0"/>
          <c:showPercent val="0"/>
          <c:showBubbleSize val="0"/>
        </c:dLbls>
        <c:marker val="1"/>
        <c:smooth val="0"/>
        <c:axId val="176081920"/>
        <c:axId val="177730688"/>
      </c:lineChart>
      <c:catAx>
        <c:axId val="17608192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77730688"/>
        <c:crosses val="autoZero"/>
        <c:auto val="1"/>
        <c:lblAlgn val="ctr"/>
        <c:lblOffset val="100"/>
        <c:noMultiLvlLbl val="0"/>
      </c:catAx>
      <c:valAx>
        <c:axId val="177730688"/>
        <c:scaling>
          <c:orientation val="minMax"/>
        </c:scaling>
        <c:delete val="0"/>
        <c:axPos val="l"/>
        <c:majorGridlines/>
        <c:title>
          <c:tx>
            <c:rich>
              <a:bodyPr rot="-5400000" vert="horz"/>
              <a:lstStyle/>
              <a:p>
                <a:pPr>
                  <a:defRPr/>
                </a:pPr>
                <a:r>
                  <a:rPr lang="en-US"/>
                  <a:t>$ Million</a:t>
                </a:r>
              </a:p>
            </c:rich>
          </c:tx>
          <c:overlay val="0"/>
        </c:title>
        <c:numFmt formatCode="0" sourceLinked="0"/>
        <c:majorTickMark val="out"/>
        <c:minorTickMark val="none"/>
        <c:tickLblPos val="nextTo"/>
        <c:crossAx val="176081920"/>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2'!$M$4</c:f>
              <c:strCache>
                <c:ptCount val="1"/>
                <c:pt idx="0">
                  <c:v>Male</c:v>
                </c:pt>
              </c:strCache>
            </c:strRef>
          </c:tx>
          <c:spPr>
            <a:ln>
              <a:solidFill>
                <a:srgbClr val="78278B"/>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2'!$M$5:$M$24</c:f>
              <c:numCache>
                <c:formatCode>0.0</c:formatCode>
                <c:ptCount val="20"/>
                <c:pt idx="0">
                  <c:v>11.282349368022723</c:v>
                </c:pt>
                <c:pt idx="1">
                  <c:v>11.82845720457235</c:v>
                </c:pt>
                <c:pt idx="2">
                  <c:v>12.269923799031549</c:v>
                </c:pt>
                <c:pt idx="3">
                  <c:v>13.074166674331471</c:v>
                </c:pt>
                <c:pt idx="4">
                  <c:v>13.652508444752028</c:v>
                </c:pt>
                <c:pt idx="5">
                  <c:v>13.372133151219334</c:v>
                </c:pt>
                <c:pt idx="6">
                  <c:v>13.343429288175624</c:v>
                </c:pt>
                <c:pt idx="7">
                  <c:v>13.023696279452265</c:v>
                </c:pt>
                <c:pt idx="8">
                  <c:v>12.251020038169226</c:v>
                </c:pt>
                <c:pt idx="9">
                  <c:v>12.29096864606861</c:v>
                </c:pt>
                <c:pt idx="10">
                  <c:v>12.527406965470952</c:v>
                </c:pt>
                <c:pt idx="11">
                  <c:v>12.163856703304322</c:v>
                </c:pt>
                <c:pt idx="12">
                  <c:v>12.217571942271022</c:v>
                </c:pt>
                <c:pt idx="13">
                  <c:v>12.050648570336998</c:v>
                </c:pt>
                <c:pt idx="14">
                  <c:v>12.51367229019405</c:v>
                </c:pt>
                <c:pt idx="15">
                  <c:v>12.815243815832822</c:v>
                </c:pt>
                <c:pt idx="16">
                  <c:v>13.051059262698672</c:v>
                </c:pt>
                <c:pt idx="17">
                  <c:v>12.520473369713148</c:v>
                </c:pt>
                <c:pt idx="18">
                  <c:v>11.971273984341343</c:v>
                </c:pt>
                <c:pt idx="19">
                  <c:v>10.702089452956542</c:v>
                </c:pt>
              </c:numCache>
            </c:numRef>
          </c:val>
          <c:smooth val="0"/>
        </c:ser>
        <c:ser>
          <c:idx val="1"/>
          <c:order val="1"/>
          <c:tx>
            <c:strRef>
              <c:f>'Figure 2'!$N$4</c:f>
              <c:strCache>
                <c:ptCount val="1"/>
                <c:pt idx="0">
                  <c:v>Female</c:v>
                </c:pt>
              </c:strCache>
            </c:strRef>
          </c:tx>
          <c:spPr>
            <a:ln>
              <a:solidFill>
                <a:srgbClr val="449539"/>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2'!$N$5:$N$24</c:f>
              <c:numCache>
                <c:formatCode>0.0</c:formatCode>
                <c:ptCount val="20"/>
                <c:pt idx="0">
                  <c:v>10.356077366822722</c:v>
                </c:pt>
                <c:pt idx="1">
                  <c:v>11.034181094936997</c:v>
                </c:pt>
                <c:pt idx="2">
                  <c:v>11.640182592496684</c:v>
                </c:pt>
                <c:pt idx="3">
                  <c:v>12.696420040711731</c:v>
                </c:pt>
                <c:pt idx="4">
                  <c:v>13.308079063592118</c:v>
                </c:pt>
                <c:pt idx="5">
                  <c:v>12.793214654764</c:v>
                </c:pt>
                <c:pt idx="6">
                  <c:v>12.531390505405934</c:v>
                </c:pt>
                <c:pt idx="7">
                  <c:v>12.099198104861907</c:v>
                </c:pt>
                <c:pt idx="8">
                  <c:v>11.140614891619467</c:v>
                </c:pt>
                <c:pt idx="9">
                  <c:v>11.272440372429658</c:v>
                </c:pt>
                <c:pt idx="10">
                  <c:v>11.194133347289094</c:v>
                </c:pt>
                <c:pt idx="11">
                  <c:v>10.996132110676404</c:v>
                </c:pt>
                <c:pt idx="12">
                  <c:v>11.000771315457952</c:v>
                </c:pt>
                <c:pt idx="13">
                  <c:v>10.795954612308801</c:v>
                </c:pt>
                <c:pt idx="14">
                  <c:v>11.30306364569811</c:v>
                </c:pt>
                <c:pt idx="15">
                  <c:v>11.892832264413547</c:v>
                </c:pt>
                <c:pt idx="16">
                  <c:v>12.198013117817668</c:v>
                </c:pt>
                <c:pt idx="17">
                  <c:v>11.499376426923019</c:v>
                </c:pt>
                <c:pt idx="18">
                  <c:v>10.95426401251285</c:v>
                </c:pt>
                <c:pt idx="19">
                  <c:v>9.5697999654549708</c:v>
                </c:pt>
              </c:numCache>
            </c:numRef>
          </c:val>
          <c:smooth val="0"/>
        </c:ser>
        <c:ser>
          <c:idx val="2"/>
          <c:order val="2"/>
          <c:tx>
            <c:strRef>
              <c:f>'Figure 2'!$O$4</c:f>
              <c:strCache>
                <c:ptCount val="1"/>
                <c:pt idx="0">
                  <c:v>Persons</c:v>
                </c:pt>
              </c:strCache>
            </c:strRef>
          </c:tx>
          <c:spPr>
            <a:ln>
              <a:solidFill>
                <a:schemeClr val="tx1"/>
              </a:solidFill>
            </a:ln>
          </c:spPr>
          <c:marker>
            <c:symbol val="none"/>
          </c:marker>
          <c:cat>
            <c:numRef>
              <c:f>'Figure 2'!$L$5:$L$24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2'!$O$5:$O$24</c:f>
              <c:numCache>
                <c:formatCode>0.0</c:formatCode>
                <c:ptCount val="20"/>
                <c:pt idx="0">
                  <c:v>11.04950081323507</c:v>
                </c:pt>
                <c:pt idx="1">
                  <c:v>11.825670901116169</c:v>
                </c:pt>
                <c:pt idx="2">
                  <c:v>12.236235896240252</c:v>
                </c:pt>
                <c:pt idx="3">
                  <c:v>12.952859046544505</c:v>
                </c:pt>
                <c:pt idx="4">
                  <c:v>13.531938810804014</c:v>
                </c:pt>
                <c:pt idx="5">
                  <c:v>13.139571186558159</c:v>
                </c:pt>
                <c:pt idx="6">
                  <c:v>12.976895790143622</c:v>
                </c:pt>
                <c:pt idx="7">
                  <c:v>12.609272341505768</c:v>
                </c:pt>
                <c:pt idx="8">
                  <c:v>11.733239718885006</c:v>
                </c:pt>
                <c:pt idx="9">
                  <c:v>11.809109901400255</c:v>
                </c:pt>
                <c:pt idx="10">
                  <c:v>11.87494808486189</c:v>
                </c:pt>
                <c:pt idx="11">
                  <c:v>11.600530356017979</c:v>
                </c:pt>
                <c:pt idx="12">
                  <c:v>11.625274974733548</c:v>
                </c:pt>
                <c:pt idx="13">
                  <c:v>11.454870014417082</c:v>
                </c:pt>
                <c:pt idx="14">
                  <c:v>11.939599809435009</c:v>
                </c:pt>
                <c:pt idx="15">
                  <c:v>12.385151646302894</c:v>
                </c:pt>
                <c:pt idx="16">
                  <c:v>12.650676712175304</c:v>
                </c:pt>
                <c:pt idx="17">
                  <c:v>12.031639751266592</c:v>
                </c:pt>
                <c:pt idx="18">
                  <c:v>11.483248889955751</c:v>
                </c:pt>
                <c:pt idx="19">
                  <c:v>10.15577117188727</c:v>
                </c:pt>
              </c:numCache>
            </c:numRef>
          </c:val>
          <c:smooth val="0"/>
        </c:ser>
        <c:dLbls>
          <c:showLegendKey val="0"/>
          <c:showVal val="0"/>
          <c:showCatName val="0"/>
          <c:showSerName val="0"/>
          <c:showPercent val="0"/>
          <c:showBubbleSize val="0"/>
        </c:dLbls>
        <c:marker val="1"/>
        <c:smooth val="0"/>
        <c:axId val="114606080"/>
        <c:axId val="114608000"/>
      </c:lineChart>
      <c:catAx>
        <c:axId val="1146060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4608000"/>
        <c:crosses val="autoZero"/>
        <c:auto val="1"/>
        <c:lblAlgn val="ctr"/>
        <c:lblOffset val="100"/>
        <c:noMultiLvlLbl val="0"/>
      </c:catAx>
      <c:valAx>
        <c:axId val="114608000"/>
        <c:scaling>
          <c:orientation val="minMax"/>
        </c:scaling>
        <c:delete val="0"/>
        <c:axPos val="l"/>
        <c:majorGridlines/>
        <c:title>
          <c:tx>
            <c:rich>
              <a:bodyPr rot="-5400000" vert="horz"/>
              <a:lstStyle/>
              <a:p>
                <a:pPr>
                  <a:defRPr/>
                </a:pPr>
                <a:r>
                  <a:rPr lang="en-US"/>
                  <a:t>Percentage</a:t>
                </a:r>
              </a:p>
            </c:rich>
          </c:tx>
          <c:overlay val="0"/>
        </c:title>
        <c:numFmt formatCode="0" sourceLinked="0"/>
        <c:majorTickMark val="out"/>
        <c:minorTickMark val="none"/>
        <c:tickLblPos val="nextTo"/>
        <c:crossAx val="114606080"/>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4'!$B$46</c:f>
              <c:strCache>
                <c:ptCount val="1"/>
                <c:pt idx="0">
                  <c:v>Cert III and above</c:v>
                </c:pt>
              </c:strCache>
            </c:strRef>
          </c:tx>
          <c:spPr>
            <a:ln>
              <a:solidFill>
                <a:srgbClr val="78278B"/>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4'!$C$46:$V$46</c:f>
              <c:numCache>
                <c:formatCode>#\ ##0.0</c:formatCode>
                <c:ptCount val="20"/>
                <c:pt idx="0">
                  <c:v>4.0088014920486534</c:v>
                </c:pt>
                <c:pt idx="1">
                  <c:v>4.5021314783171826</c:v>
                </c:pt>
                <c:pt idx="2">
                  <c:v>4.9380309088561019</c:v>
                </c:pt>
                <c:pt idx="3">
                  <c:v>5.4702782179111802</c:v>
                </c:pt>
                <c:pt idx="4">
                  <c:v>5.6314184196459456</c:v>
                </c:pt>
                <c:pt idx="5">
                  <c:v>5.9096896427702426</c:v>
                </c:pt>
                <c:pt idx="6">
                  <c:v>5.9173887968061081</c:v>
                </c:pt>
                <c:pt idx="7">
                  <c:v>5.9155991042423031</c:v>
                </c:pt>
                <c:pt idx="8">
                  <c:v>5.7468032165936433</c:v>
                </c:pt>
                <c:pt idx="9">
                  <c:v>5.7789399078486774</c:v>
                </c:pt>
                <c:pt idx="10">
                  <c:v>5.8320441451875515</c:v>
                </c:pt>
                <c:pt idx="11">
                  <c:v>5.8902385768993755</c:v>
                </c:pt>
                <c:pt idx="12">
                  <c:v>6.1259615749303356</c:v>
                </c:pt>
                <c:pt idx="13">
                  <c:v>6.4188689690062448</c:v>
                </c:pt>
                <c:pt idx="14">
                  <c:v>6.9742335116506924</c:v>
                </c:pt>
                <c:pt idx="15">
                  <c:v>7.8013982754602704</c:v>
                </c:pt>
                <c:pt idx="16">
                  <c:v>8.2956381302583164</c:v>
                </c:pt>
                <c:pt idx="17">
                  <c:v>7.8776179197603406</c:v>
                </c:pt>
                <c:pt idx="18">
                  <c:v>7.8150324188117679</c:v>
                </c:pt>
                <c:pt idx="19">
                  <c:v>6.830679117716393</c:v>
                </c:pt>
              </c:numCache>
            </c:numRef>
          </c:val>
          <c:smooth val="0"/>
        </c:ser>
        <c:ser>
          <c:idx val="1"/>
          <c:order val="1"/>
          <c:tx>
            <c:strRef>
              <c:f>'Figure 4'!$B$47</c:f>
              <c:strCache>
                <c:ptCount val="1"/>
                <c:pt idx="0">
                  <c:v>Cert I/II</c:v>
                </c:pt>
              </c:strCache>
            </c:strRef>
          </c:tx>
          <c:spPr>
            <a:ln>
              <a:solidFill>
                <a:srgbClr val="449539"/>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4'!$C$47:$V$47</c:f>
              <c:numCache>
                <c:formatCode>#\ ##0.0</c:formatCode>
                <c:ptCount val="20"/>
                <c:pt idx="0">
                  <c:v>0.93909659479341712</c:v>
                </c:pt>
                <c:pt idx="1">
                  <c:v>1.5413317994866904</c:v>
                </c:pt>
                <c:pt idx="2">
                  <c:v>2.1056173831681249</c:v>
                </c:pt>
                <c:pt idx="3">
                  <c:v>2.6837362524328183</c:v>
                </c:pt>
                <c:pt idx="4">
                  <c:v>2.8764660566613207</c:v>
                </c:pt>
                <c:pt idx="5">
                  <c:v>2.9129461533486531</c:v>
                </c:pt>
                <c:pt idx="6">
                  <c:v>2.8898880859338334</c:v>
                </c:pt>
                <c:pt idx="7">
                  <c:v>2.6221056741215705</c:v>
                </c:pt>
                <c:pt idx="8">
                  <c:v>2.4448117677182579</c:v>
                </c:pt>
                <c:pt idx="9">
                  <c:v>2.4910882935954222</c:v>
                </c:pt>
                <c:pt idx="10">
                  <c:v>2.7818824238647442</c:v>
                </c:pt>
                <c:pt idx="11">
                  <c:v>2.6742307171149085</c:v>
                </c:pt>
                <c:pt idx="12">
                  <c:v>2.6007910682852127</c:v>
                </c:pt>
                <c:pt idx="13">
                  <c:v>2.5891332589453651</c:v>
                </c:pt>
                <c:pt idx="14">
                  <c:v>2.663457892790952</c:v>
                </c:pt>
                <c:pt idx="15">
                  <c:v>2.6236708060059293</c:v>
                </c:pt>
                <c:pt idx="16">
                  <c:v>2.5808042701126079</c:v>
                </c:pt>
                <c:pt idx="17">
                  <c:v>2.4498157344031317</c:v>
                </c:pt>
                <c:pt idx="18">
                  <c:v>2.1159709020144466</c:v>
                </c:pt>
                <c:pt idx="19">
                  <c:v>1.7965348746319851</c:v>
                </c:pt>
              </c:numCache>
            </c:numRef>
          </c:val>
          <c:smooth val="0"/>
        </c:ser>
        <c:ser>
          <c:idx val="2"/>
          <c:order val="2"/>
          <c:tx>
            <c:strRef>
              <c:f>'Figure 4'!$B$48</c:f>
              <c:strCache>
                <c:ptCount val="1"/>
                <c:pt idx="0">
                  <c:v>Non AQF level</c:v>
                </c:pt>
              </c:strCache>
            </c:strRef>
          </c:tx>
          <c:spPr>
            <a:ln>
              <a:solidFill>
                <a:schemeClr val="tx1"/>
              </a:solidFill>
            </a:ln>
          </c:spPr>
          <c:marker>
            <c:symbol val="none"/>
          </c:marker>
          <c:cat>
            <c:numRef>
              <c:f>'Figure 4'!$C$45:$V$45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4'!$C$48:$V$48</c:f>
              <c:numCache>
                <c:formatCode>#\ ##0.0</c:formatCode>
                <c:ptCount val="20"/>
                <c:pt idx="0">
                  <c:v>6.1016027263929917</c:v>
                </c:pt>
                <c:pt idx="1">
                  <c:v>5.7822076233122894</c:v>
                </c:pt>
                <c:pt idx="2">
                  <c:v>5.1925876042160066</c:v>
                </c:pt>
                <c:pt idx="3">
                  <c:v>4.7988445762004925</c:v>
                </c:pt>
                <c:pt idx="4">
                  <c:v>5.0240543344967339</c:v>
                </c:pt>
                <c:pt idx="5">
                  <c:v>4.31693539043928</c:v>
                </c:pt>
                <c:pt idx="6">
                  <c:v>4.169618907403672</c:v>
                </c:pt>
                <c:pt idx="7">
                  <c:v>4.0715675631419073</c:v>
                </c:pt>
                <c:pt idx="8">
                  <c:v>3.5416247345731131</c:v>
                </c:pt>
                <c:pt idx="9">
                  <c:v>3.5390816999561308</c:v>
                </c:pt>
                <c:pt idx="10">
                  <c:v>3.2610215158095892</c:v>
                </c:pt>
                <c:pt idx="11">
                  <c:v>3.036061062003677</c:v>
                </c:pt>
                <c:pt idx="12">
                  <c:v>2.8985223315180169</c:v>
                </c:pt>
                <c:pt idx="13">
                  <c:v>2.4468677864654809</c:v>
                </c:pt>
                <c:pt idx="14">
                  <c:v>2.3019084049933527</c:v>
                </c:pt>
                <c:pt idx="15">
                  <c:v>1.9600825648367086</c:v>
                </c:pt>
                <c:pt idx="16">
                  <c:v>1.7742343118043737</c:v>
                </c:pt>
                <c:pt idx="17">
                  <c:v>1.7042060971031161</c:v>
                </c:pt>
                <c:pt idx="18">
                  <c:v>1.5522455691295403</c:v>
                </c:pt>
                <c:pt idx="19">
                  <c:v>1.5285571795388941</c:v>
                </c:pt>
              </c:numCache>
            </c:numRef>
          </c:val>
          <c:smooth val="0"/>
        </c:ser>
        <c:dLbls>
          <c:showLegendKey val="0"/>
          <c:showVal val="0"/>
          <c:showCatName val="0"/>
          <c:showSerName val="0"/>
          <c:showPercent val="0"/>
          <c:showBubbleSize val="0"/>
        </c:dLbls>
        <c:marker val="1"/>
        <c:smooth val="0"/>
        <c:axId val="114899968"/>
        <c:axId val="114910336"/>
      </c:lineChart>
      <c:catAx>
        <c:axId val="11489996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4910336"/>
        <c:crosses val="autoZero"/>
        <c:auto val="1"/>
        <c:lblAlgn val="ctr"/>
        <c:lblOffset val="100"/>
        <c:noMultiLvlLbl val="0"/>
      </c:catAx>
      <c:valAx>
        <c:axId val="114910336"/>
        <c:scaling>
          <c:orientation val="minMax"/>
        </c:scaling>
        <c:delete val="0"/>
        <c:axPos val="l"/>
        <c:majorGridlines/>
        <c:title>
          <c:tx>
            <c:rich>
              <a:bodyPr rot="-5400000" vert="horz"/>
              <a:lstStyle/>
              <a:p>
                <a:pPr>
                  <a:defRPr/>
                </a:pPr>
                <a:r>
                  <a:rPr lang="en-US"/>
                  <a:t>Percentage</a:t>
                </a:r>
              </a:p>
            </c:rich>
          </c:tx>
          <c:overlay val="0"/>
        </c:title>
        <c:numFmt formatCode="#,##0" sourceLinked="0"/>
        <c:majorTickMark val="out"/>
        <c:minorTickMark val="none"/>
        <c:tickLblPos val="nextTo"/>
        <c:crossAx val="114899968"/>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5'!$U$6</c:f>
              <c:strCache>
                <c:ptCount val="1"/>
                <c:pt idx="0">
                  <c:v>15-24</c:v>
                </c:pt>
              </c:strCache>
            </c:strRef>
          </c:tx>
          <c:spPr>
            <a:ln>
              <a:solidFill>
                <a:srgbClr val="78278B"/>
              </a:solidFill>
            </a:ln>
          </c:spPr>
          <c:marker>
            <c:symbol val="none"/>
          </c:marker>
          <c:cat>
            <c:numRef>
              <c:f>'Figure 5'!$T$7:$T$26</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5'!$U$7:$U$26</c:f>
              <c:numCache>
                <c:formatCode>#\ ##0.0</c:formatCode>
                <c:ptCount val="20"/>
                <c:pt idx="0">
                  <c:v>18.732408977736082</c:v>
                </c:pt>
                <c:pt idx="1">
                  <c:v>19.004020811095177</c:v>
                </c:pt>
                <c:pt idx="2">
                  <c:v>20.903037061868019</c:v>
                </c:pt>
                <c:pt idx="3">
                  <c:v>22.825969996508697</c:v>
                </c:pt>
                <c:pt idx="4">
                  <c:v>23.943150822147889</c:v>
                </c:pt>
                <c:pt idx="5">
                  <c:v>24.056742766000728</c:v>
                </c:pt>
                <c:pt idx="6">
                  <c:v>24.206382230579255</c:v>
                </c:pt>
                <c:pt idx="7">
                  <c:v>23.793379526118109</c:v>
                </c:pt>
                <c:pt idx="8">
                  <c:v>23.256549207509899</c:v>
                </c:pt>
                <c:pt idx="9">
                  <c:v>23.578294884366759</c:v>
                </c:pt>
                <c:pt idx="10">
                  <c:v>24.970882930903556</c:v>
                </c:pt>
                <c:pt idx="11">
                  <c:v>24.575031458106491</c:v>
                </c:pt>
                <c:pt idx="12">
                  <c:v>24.577484537524526</c:v>
                </c:pt>
                <c:pt idx="13">
                  <c:v>24.357664430218168</c:v>
                </c:pt>
                <c:pt idx="14">
                  <c:v>25.256973503655018</c:v>
                </c:pt>
                <c:pt idx="15">
                  <c:v>26.330599565041783</c:v>
                </c:pt>
                <c:pt idx="16">
                  <c:v>26.827033025620008</c:v>
                </c:pt>
                <c:pt idx="17">
                  <c:v>25.149163197842526</c:v>
                </c:pt>
                <c:pt idx="18">
                  <c:v>23.947739683738011</c:v>
                </c:pt>
                <c:pt idx="19">
                  <c:v>21.567552727964927</c:v>
                </c:pt>
              </c:numCache>
            </c:numRef>
          </c:val>
          <c:smooth val="0"/>
        </c:ser>
        <c:ser>
          <c:idx val="1"/>
          <c:order val="1"/>
          <c:tx>
            <c:strRef>
              <c:f>'Figure 5'!$V$6</c:f>
              <c:strCache>
                <c:ptCount val="1"/>
                <c:pt idx="0">
                  <c:v>25-64</c:v>
                </c:pt>
              </c:strCache>
            </c:strRef>
          </c:tx>
          <c:spPr>
            <a:ln>
              <a:solidFill>
                <a:srgbClr val="449539"/>
              </a:solidFill>
            </a:ln>
          </c:spPr>
          <c:marker>
            <c:symbol val="none"/>
          </c:marker>
          <c:cat>
            <c:numRef>
              <c:f>'Figure 5'!$T$7:$T$26</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5'!$V$7:$V$26</c:f>
              <c:numCache>
                <c:formatCode>#\ ##0.0</c:formatCode>
                <c:ptCount val="20"/>
                <c:pt idx="0">
                  <c:v>7.8686834304511324</c:v>
                </c:pt>
                <c:pt idx="1">
                  <c:v>8.2214523800722983</c:v>
                </c:pt>
                <c:pt idx="2">
                  <c:v>8.6978008023854461</c:v>
                </c:pt>
                <c:pt idx="3">
                  <c:v>9.3753445417569772</c:v>
                </c:pt>
                <c:pt idx="4">
                  <c:v>9.8192890072253025</c:v>
                </c:pt>
                <c:pt idx="5">
                  <c:v>9.3942660908617928</c:v>
                </c:pt>
                <c:pt idx="6">
                  <c:v>9.2785645868496545</c:v>
                </c:pt>
                <c:pt idx="7">
                  <c:v>8.9814662067337245</c:v>
                </c:pt>
                <c:pt idx="8">
                  <c:v>8.2148517898651061</c:v>
                </c:pt>
                <c:pt idx="9">
                  <c:v>8.1819483000250059</c:v>
                </c:pt>
                <c:pt idx="10">
                  <c:v>7.8988171681227346</c:v>
                </c:pt>
                <c:pt idx="11">
                  <c:v>7.8213231272545984</c:v>
                </c:pt>
                <c:pt idx="12">
                  <c:v>7.8573513157785948</c:v>
                </c:pt>
                <c:pt idx="13">
                  <c:v>7.7127685942682582</c:v>
                </c:pt>
                <c:pt idx="14">
                  <c:v>8.2026690659542361</c:v>
                </c:pt>
                <c:pt idx="15">
                  <c:v>8.5429407486318762</c:v>
                </c:pt>
                <c:pt idx="16">
                  <c:v>8.8039610394429868</c:v>
                </c:pt>
                <c:pt idx="17">
                  <c:v>8.4634148145336923</c:v>
                </c:pt>
                <c:pt idx="18">
                  <c:v>8.1114081016044679</c:v>
                </c:pt>
                <c:pt idx="19">
                  <c:v>7.1087133925424464</c:v>
                </c:pt>
              </c:numCache>
            </c:numRef>
          </c:val>
          <c:smooth val="0"/>
        </c:ser>
        <c:dLbls>
          <c:showLegendKey val="0"/>
          <c:showVal val="0"/>
          <c:showCatName val="0"/>
          <c:showSerName val="0"/>
          <c:showPercent val="0"/>
          <c:showBubbleSize val="0"/>
        </c:dLbls>
        <c:marker val="1"/>
        <c:smooth val="0"/>
        <c:axId val="114935680"/>
        <c:axId val="114941952"/>
      </c:lineChart>
      <c:catAx>
        <c:axId val="1149356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4941952"/>
        <c:crosses val="autoZero"/>
        <c:auto val="1"/>
        <c:lblAlgn val="ctr"/>
        <c:lblOffset val="100"/>
        <c:noMultiLvlLbl val="0"/>
      </c:catAx>
      <c:valAx>
        <c:axId val="114941952"/>
        <c:scaling>
          <c:orientation val="minMax"/>
        </c:scaling>
        <c:delete val="0"/>
        <c:axPos val="l"/>
        <c:majorGridlines/>
        <c:title>
          <c:tx>
            <c:rich>
              <a:bodyPr rot="-5400000" vert="horz"/>
              <a:lstStyle/>
              <a:p>
                <a:pPr>
                  <a:defRPr/>
                </a:pPr>
                <a:r>
                  <a:rPr lang="en-US"/>
                  <a:t>Rate</a:t>
                </a:r>
              </a:p>
            </c:rich>
          </c:tx>
          <c:overlay val="0"/>
        </c:title>
        <c:numFmt formatCode="#,##0" sourceLinked="0"/>
        <c:majorTickMark val="out"/>
        <c:minorTickMark val="none"/>
        <c:tickLblPos val="nextTo"/>
        <c:crossAx val="114935680"/>
        <c:crosses val="autoZero"/>
        <c:crossBetween val="between"/>
      </c:valAx>
    </c:plotArea>
    <c:legend>
      <c:legendPos val="b"/>
      <c:layout>
        <c:manualLayout>
          <c:xMode val="edge"/>
          <c:yMode val="edge"/>
          <c:x val="0.36011657917760276"/>
          <c:y val="0.86182596967045788"/>
          <c:w val="0.29643350831146109"/>
          <c:h val="6.8729585885097699E-2"/>
        </c:manualLayout>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'New figure'!$H$6</c:f>
              <c:strCache>
                <c:ptCount val="1"/>
                <c:pt idx="0">
                  <c:v>Part-time%</c:v>
                </c:pt>
              </c:strCache>
            </c:strRef>
          </c:tx>
          <c:spPr>
            <a:ln>
              <a:solidFill>
                <a:srgbClr val="78278B"/>
              </a:solidFill>
            </a:ln>
          </c:spPr>
          <c:marker>
            <c:symbol val="none"/>
          </c:marker>
          <c:cat>
            <c:numRef>
              <c:f>'New figure'!$G$7:$G$26</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'New figure'!$H$7:$H$26</c:f>
              <c:numCache>
                <c:formatCode>0.0</c:formatCode>
                <c:ptCount val="20"/>
                <c:pt idx="0">
                  <c:v>90.432021903067593</c:v>
                </c:pt>
                <c:pt idx="1">
                  <c:v>90.632145749880138</c:v>
                </c:pt>
                <c:pt idx="2">
                  <c:v>91.301857350723708</c:v>
                </c:pt>
                <c:pt idx="3">
                  <c:v>91.655946230842289</c:v>
                </c:pt>
                <c:pt idx="4">
                  <c:v>91.764497436716681</c:v>
                </c:pt>
                <c:pt idx="5">
                  <c:v>90.563503305004716</c:v>
                </c:pt>
                <c:pt idx="6">
                  <c:v>90.022371998020347</c:v>
                </c:pt>
                <c:pt idx="7">
                  <c:v>89.615947910520418</c:v>
                </c:pt>
                <c:pt idx="8">
                  <c:v>89.194078152310098</c:v>
                </c:pt>
                <c:pt idx="9">
                  <c:v>89.059040578902298</c:v>
                </c:pt>
                <c:pt idx="10">
                  <c:v>88.789324236485328</c:v>
                </c:pt>
                <c:pt idx="11">
                  <c:v>87.92042209777091</c:v>
                </c:pt>
                <c:pt idx="12">
                  <c:v>87.303687293431778</c:v>
                </c:pt>
                <c:pt idx="13">
                  <c:v>85.771357302207889</c:v>
                </c:pt>
                <c:pt idx="14">
                  <c:v>85.200705405286485</c:v>
                </c:pt>
                <c:pt idx="15">
                  <c:v>84.434621604418126</c:v>
                </c:pt>
                <c:pt idx="16">
                  <c:v>83.146010772649689</c:v>
                </c:pt>
                <c:pt idx="17">
                  <c:v>82.603831616853171</c:v>
                </c:pt>
                <c:pt idx="18">
                  <c:v>80.809415457568178</c:v>
                </c:pt>
                <c:pt idx="19">
                  <c:v>82.115132353014616</c:v>
                </c:pt>
              </c:numCache>
            </c:numRef>
          </c:val>
          <c:smooth val="0"/>
        </c:ser>
        <c:dLbls>
          <c:showLegendKey val="0"/>
          <c:showVal val="0"/>
          <c:showCatName val="0"/>
          <c:showSerName val="0"/>
          <c:showPercent val="0"/>
          <c:showBubbleSize val="0"/>
        </c:dLbls>
        <c:marker val="1"/>
        <c:smooth val="0"/>
        <c:axId val="115802112"/>
        <c:axId val="115804032"/>
      </c:lineChart>
      <c:catAx>
        <c:axId val="11580211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15804032"/>
        <c:crosses val="autoZero"/>
        <c:auto val="1"/>
        <c:lblAlgn val="ctr"/>
        <c:lblOffset val="100"/>
        <c:noMultiLvlLbl val="0"/>
      </c:catAx>
      <c:valAx>
        <c:axId val="115804032"/>
        <c:scaling>
          <c:orientation val="minMax"/>
          <c:min val="0"/>
        </c:scaling>
        <c:delete val="0"/>
        <c:axPos val="l"/>
        <c:majorGridlines/>
        <c:title>
          <c:tx>
            <c:rich>
              <a:bodyPr rot="-5400000" vert="horz"/>
              <a:lstStyle/>
              <a:p>
                <a:pPr>
                  <a:defRPr/>
                </a:pPr>
                <a:r>
                  <a:rPr lang="en-US"/>
                  <a:t>Percentage part-time</a:t>
                </a:r>
              </a:p>
            </c:rich>
          </c:tx>
          <c:layout/>
          <c:overlay val="0"/>
        </c:title>
        <c:numFmt formatCode="0" sourceLinked="0"/>
        <c:majorTickMark val="out"/>
        <c:minorTickMark val="none"/>
        <c:tickLblPos val="nextTo"/>
        <c:crossAx val="115802112"/>
        <c:crosses val="autoZero"/>
        <c:crossBetween val="between"/>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Apprenticeships_2!$AJ$9</c:f>
              <c:strCache>
                <c:ptCount val="1"/>
                <c:pt idx="0">
                  <c:v>Trades</c:v>
                </c:pt>
              </c:strCache>
            </c:strRef>
          </c:tx>
          <c:spPr>
            <a:ln>
              <a:solidFill>
                <a:srgbClr val="78278B"/>
              </a:solidFill>
            </a:ln>
          </c:spPr>
          <c:marker>
            <c:symbol val="none"/>
          </c:marker>
          <c:cat>
            <c:numRef>
              <c:f>Apprenticeships_2!$AI$10:$AI$29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Apprenticeships_2!$AJ$10:$AJ$29</c:f>
              <c:numCache>
                <c:formatCode>#,##0.0</c:formatCode>
                <c:ptCount val="20"/>
                <c:pt idx="0">
                  <c:v>0.45493028725012596</c:v>
                </c:pt>
                <c:pt idx="1">
                  <c:v>0.46104648571556012</c:v>
                </c:pt>
                <c:pt idx="2">
                  <c:v>0.49643495728571224</c:v>
                </c:pt>
                <c:pt idx="3">
                  <c:v>0.58011770249980821</c:v>
                </c:pt>
                <c:pt idx="4">
                  <c:v>0.58945394137505724</c:v>
                </c:pt>
                <c:pt idx="5">
                  <c:v>0.51392724027508063</c:v>
                </c:pt>
                <c:pt idx="6">
                  <c:v>0.56675249403204453</c:v>
                </c:pt>
                <c:pt idx="7">
                  <c:v>0.66463737427210356</c:v>
                </c:pt>
                <c:pt idx="8">
                  <c:v>0.68641519334786449</c:v>
                </c:pt>
                <c:pt idx="9">
                  <c:v>0.7083791100996627</c:v>
                </c:pt>
                <c:pt idx="10">
                  <c:v>0.72791703178714839</c:v>
                </c:pt>
                <c:pt idx="11">
                  <c:v>0.75908821843670671</c:v>
                </c:pt>
                <c:pt idx="12">
                  <c:v>0.82393043350773865</c:v>
                </c:pt>
                <c:pt idx="13">
                  <c:v>0.68389471515955058</c:v>
                </c:pt>
                <c:pt idx="14">
                  <c:v>0.79816048603019063</c:v>
                </c:pt>
                <c:pt idx="15">
                  <c:v>0.82135903681779765</c:v>
                </c:pt>
                <c:pt idx="16">
                  <c:v>0.85705060871661531</c:v>
                </c:pt>
                <c:pt idx="17">
                  <c:v>0.75017458397915204</c:v>
                </c:pt>
                <c:pt idx="18">
                  <c:v>0.7827557058326271</c:v>
                </c:pt>
                <c:pt idx="19">
                  <c:v>0.70715623084188062</c:v>
                </c:pt>
              </c:numCache>
            </c:numRef>
          </c:val>
          <c:smooth val="0"/>
        </c:ser>
        <c:ser>
          <c:idx val="1"/>
          <c:order val="1"/>
          <c:tx>
            <c:strRef>
              <c:f>Apprenticeships_2!$AK$9</c:f>
              <c:strCache>
                <c:ptCount val="1"/>
                <c:pt idx="0">
                  <c:v>Non-trades</c:v>
                </c:pt>
              </c:strCache>
            </c:strRef>
          </c:tx>
          <c:spPr>
            <a:ln>
              <a:solidFill>
                <a:srgbClr val="449539"/>
              </a:solidFill>
            </a:ln>
          </c:spPr>
          <c:marker>
            <c:symbol val="none"/>
          </c:marker>
          <c:cat>
            <c:numRef>
              <c:f>Apprenticeships_2!$AI$10:$AI$29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Apprenticeships_2!$AK$10:$AK$29</c:f>
              <c:numCache>
                <c:formatCode>#,##0.0</c:formatCode>
                <c:ptCount val="20"/>
                <c:pt idx="0">
                  <c:v>0.39830897586651243</c:v>
                </c:pt>
                <c:pt idx="1">
                  <c:v>0.60813611445380578</c:v>
                </c:pt>
                <c:pt idx="2">
                  <c:v>0.89583011412551594</c:v>
                </c:pt>
                <c:pt idx="3">
                  <c:v>1.5804903174898859</c:v>
                </c:pt>
                <c:pt idx="4">
                  <c:v>1.5715127806655591</c:v>
                </c:pt>
                <c:pt idx="5">
                  <c:v>1.7462858942726651</c:v>
                </c:pt>
                <c:pt idx="6">
                  <c:v>1.9799226511273929</c:v>
                </c:pt>
                <c:pt idx="7">
                  <c:v>2.2674084782343202</c:v>
                </c:pt>
                <c:pt idx="8">
                  <c:v>1.8833050779042544</c:v>
                </c:pt>
                <c:pt idx="9">
                  <c:v>1.8500255041983871</c:v>
                </c:pt>
                <c:pt idx="10">
                  <c:v>1.8312132271514818</c:v>
                </c:pt>
                <c:pt idx="11">
                  <c:v>1.7915887587029815</c:v>
                </c:pt>
                <c:pt idx="12">
                  <c:v>1.825249924404168</c:v>
                </c:pt>
                <c:pt idx="13">
                  <c:v>1.72841418963093</c:v>
                </c:pt>
                <c:pt idx="14">
                  <c:v>1.8126239759475542</c:v>
                </c:pt>
                <c:pt idx="15">
                  <c:v>1.9823812392501985</c:v>
                </c:pt>
                <c:pt idx="16">
                  <c:v>2.3872884128596765</c:v>
                </c:pt>
                <c:pt idx="17">
                  <c:v>1.2354158505220478</c:v>
                </c:pt>
                <c:pt idx="18">
                  <c:v>1.0746661031276417</c:v>
                </c:pt>
                <c:pt idx="19">
                  <c:v>0.82139247427634088</c:v>
                </c:pt>
              </c:numCache>
            </c:numRef>
          </c:val>
          <c:smooth val="0"/>
        </c:ser>
        <c:dLbls>
          <c:showLegendKey val="0"/>
          <c:showVal val="0"/>
          <c:showCatName val="0"/>
          <c:showSerName val="0"/>
          <c:showPercent val="0"/>
          <c:showBubbleSize val="0"/>
        </c:dLbls>
        <c:marker val="1"/>
        <c:smooth val="0"/>
        <c:axId val="115841664"/>
        <c:axId val="115852032"/>
      </c:lineChart>
      <c:catAx>
        <c:axId val="1158416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5852032"/>
        <c:crosses val="autoZero"/>
        <c:auto val="1"/>
        <c:lblAlgn val="ctr"/>
        <c:lblOffset val="100"/>
        <c:noMultiLvlLbl val="0"/>
      </c:catAx>
      <c:valAx>
        <c:axId val="115852032"/>
        <c:scaling>
          <c:orientation val="minMax"/>
        </c:scaling>
        <c:delete val="0"/>
        <c:axPos val="l"/>
        <c:majorGridlines/>
        <c:title>
          <c:tx>
            <c:rich>
              <a:bodyPr rot="-5400000" vert="horz"/>
              <a:lstStyle/>
              <a:p>
                <a:pPr>
                  <a:defRPr/>
                </a:pPr>
                <a:r>
                  <a:rPr lang="en-US"/>
                  <a:t>Rate</a:t>
                </a:r>
              </a:p>
            </c:rich>
          </c:tx>
          <c:overlay val="0"/>
        </c:title>
        <c:numFmt formatCode="#,##0.0" sourceLinked="1"/>
        <c:majorTickMark val="out"/>
        <c:minorTickMark val="none"/>
        <c:tickLblPos val="nextTo"/>
        <c:crossAx val="115841664"/>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Apprenticeships_2!$Q$9</c:f>
              <c:strCache>
                <c:ptCount val="1"/>
                <c:pt idx="0">
                  <c:v>Male trade occupation</c:v>
                </c:pt>
              </c:strCache>
            </c:strRef>
          </c:tx>
          <c:marker>
            <c:symbol val="none"/>
          </c:marker>
          <c:cat>
            <c:numRef>
              <c:f>Apprenticeships_2!$P$10:$P$29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Apprenticeships_2!$Q$10:$Q$29</c:f>
              <c:numCache>
                <c:formatCode>0.00</c:formatCode>
                <c:ptCount val="20"/>
                <c:pt idx="0">
                  <c:v>0.67100507574111945</c:v>
                </c:pt>
                <c:pt idx="1">
                  <c:v>0.6876170204379275</c:v>
                </c:pt>
                <c:pt idx="2">
                  <c:v>0.74861295616160062</c:v>
                </c:pt>
                <c:pt idx="3">
                  <c:v>0.87418507346502172</c:v>
                </c:pt>
                <c:pt idx="4">
                  <c:v>0.89780530496835853</c:v>
                </c:pt>
                <c:pt idx="5">
                  <c:v>0.76982092329896323</c:v>
                </c:pt>
                <c:pt idx="6">
                  <c:v>0.83836659663865554</c:v>
                </c:pt>
                <c:pt idx="7">
                  <c:v>0.9677821156348787</c:v>
                </c:pt>
                <c:pt idx="8">
                  <c:v>1.0671942551476434</c:v>
                </c:pt>
                <c:pt idx="9">
                  <c:v>1.1073587172911026</c:v>
                </c:pt>
                <c:pt idx="10">
                  <c:v>1.1476312760116878</c:v>
                </c:pt>
                <c:pt idx="11">
                  <c:v>1.1966267888894608</c:v>
                </c:pt>
                <c:pt idx="12">
                  <c:v>1.2911313332545458</c:v>
                </c:pt>
                <c:pt idx="13">
                  <c:v>1.0575603936773001</c:v>
                </c:pt>
                <c:pt idx="14">
                  <c:v>1.246813327427531</c:v>
                </c:pt>
                <c:pt idx="15">
                  <c:v>1.3001180103137817</c:v>
                </c:pt>
                <c:pt idx="16">
                  <c:v>1.3436829119805229</c:v>
                </c:pt>
                <c:pt idx="17">
                  <c:v>1.1856910260666127</c:v>
                </c:pt>
                <c:pt idx="18">
                  <c:v>1.2451557885760307</c:v>
                </c:pt>
                <c:pt idx="19">
                  <c:v>1.1448100092678442</c:v>
                </c:pt>
              </c:numCache>
            </c:numRef>
          </c:val>
          <c:smooth val="0"/>
        </c:ser>
        <c:ser>
          <c:idx val="1"/>
          <c:order val="1"/>
          <c:tx>
            <c:strRef>
              <c:f>Apprenticeships_2!$R$9</c:f>
              <c:strCache>
                <c:ptCount val="1"/>
                <c:pt idx="0">
                  <c:v>Male non-trade occupation</c:v>
                </c:pt>
              </c:strCache>
            </c:strRef>
          </c:tx>
          <c:marker>
            <c:symbol val="none"/>
          </c:marker>
          <c:cat>
            <c:numRef>
              <c:f>Apprenticeships_2!$P$10:$P$29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Apprenticeships_2!$R$10:$R$29</c:f>
              <c:numCache>
                <c:formatCode>0.00</c:formatCode>
                <c:ptCount val="20"/>
                <c:pt idx="0">
                  <c:v>0.38630932395868495</c:v>
                </c:pt>
                <c:pt idx="1">
                  <c:v>0.54902540452118043</c:v>
                </c:pt>
                <c:pt idx="2">
                  <c:v>0.76641009611627764</c:v>
                </c:pt>
                <c:pt idx="3">
                  <c:v>1.3261652233141958</c:v>
                </c:pt>
                <c:pt idx="4">
                  <c:v>1.4419588759160593</c:v>
                </c:pt>
                <c:pt idx="5">
                  <c:v>1.564328984599024</c:v>
                </c:pt>
                <c:pt idx="6">
                  <c:v>1.7857518007202882</c:v>
                </c:pt>
                <c:pt idx="7">
                  <c:v>2.0062651050380973</c:v>
                </c:pt>
                <c:pt idx="8">
                  <c:v>1.6611892723675532</c:v>
                </c:pt>
                <c:pt idx="9">
                  <c:v>1.6621231414889621</c:v>
                </c:pt>
                <c:pt idx="10">
                  <c:v>1.6269547507305411</c:v>
                </c:pt>
                <c:pt idx="11">
                  <c:v>1.5522295302708582</c:v>
                </c:pt>
                <c:pt idx="12">
                  <c:v>1.5501679863584947</c:v>
                </c:pt>
                <c:pt idx="13">
                  <c:v>1.4737382774961016</c:v>
                </c:pt>
                <c:pt idx="14">
                  <c:v>1.5066358252538681</c:v>
                </c:pt>
                <c:pt idx="15">
                  <c:v>1.6274753875749648</c:v>
                </c:pt>
                <c:pt idx="16">
                  <c:v>2.0406293056490115</c:v>
                </c:pt>
                <c:pt idx="17">
                  <c:v>1.0291332732647278</c:v>
                </c:pt>
                <c:pt idx="18">
                  <c:v>0.89736746521800859</c:v>
                </c:pt>
                <c:pt idx="19">
                  <c:v>0.69836268149520953</c:v>
                </c:pt>
              </c:numCache>
            </c:numRef>
          </c:val>
          <c:smooth val="0"/>
        </c:ser>
        <c:ser>
          <c:idx val="2"/>
          <c:order val="2"/>
          <c:tx>
            <c:strRef>
              <c:f>Apprenticeships_2!$S$9</c:f>
              <c:strCache>
                <c:ptCount val="1"/>
                <c:pt idx="0">
                  <c:v>Female trade occupation</c:v>
                </c:pt>
              </c:strCache>
            </c:strRef>
          </c:tx>
          <c:marker>
            <c:symbol val="none"/>
          </c:marker>
          <c:cat>
            <c:numRef>
              <c:f>Apprenticeships_2!$P$10:$P$29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Apprenticeships_2!$S$10:$S$29</c:f>
              <c:numCache>
                <c:formatCode>0.00</c:formatCode>
                <c:ptCount val="20"/>
                <c:pt idx="0">
                  <c:v>0.17195178728467228</c:v>
                </c:pt>
                <c:pt idx="1">
                  <c:v>0.1663504922067269</c:v>
                </c:pt>
                <c:pt idx="2">
                  <c:v>0.16892474755163192</c:v>
                </c:pt>
                <c:pt idx="3">
                  <c:v>0.20104360042145444</c:v>
                </c:pt>
                <c:pt idx="4">
                  <c:v>0.2014473811598422</c:v>
                </c:pt>
                <c:pt idx="5">
                  <c:v>0.19750622270229704</c:v>
                </c:pt>
                <c:pt idx="6">
                  <c:v>0.22697515076143379</c:v>
                </c:pt>
                <c:pt idx="7">
                  <c:v>0.29769566587155138</c:v>
                </c:pt>
                <c:pt idx="8">
                  <c:v>0.21939875977352391</c:v>
                </c:pt>
                <c:pt idx="9">
                  <c:v>0.22673046528243934</c:v>
                </c:pt>
                <c:pt idx="10">
                  <c:v>0.22774951984972891</c:v>
                </c:pt>
                <c:pt idx="11">
                  <c:v>0.23652632881118321</c:v>
                </c:pt>
                <c:pt idx="12">
                  <c:v>0.26938260224836291</c:v>
                </c:pt>
                <c:pt idx="13">
                  <c:v>0.24432316538349091</c:v>
                </c:pt>
                <c:pt idx="14">
                  <c:v>0.26674957251670983</c:v>
                </c:pt>
                <c:pt idx="15">
                  <c:v>0.25915942139033371</c:v>
                </c:pt>
                <c:pt idx="16">
                  <c:v>0.29171009529482023</c:v>
                </c:pt>
                <c:pt idx="17">
                  <c:v>0.24148372445117341</c:v>
                </c:pt>
                <c:pt idx="18">
                  <c:v>0.25016370779976732</c:v>
                </c:pt>
                <c:pt idx="19">
                  <c:v>0.20088982596576488</c:v>
                </c:pt>
              </c:numCache>
            </c:numRef>
          </c:val>
          <c:smooth val="0"/>
        </c:ser>
        <c:ser>
          <c:idx val="3"/>
          <c:order val="3"/>
          <c:tx>
            <c:strRef>
              <c:f>Apprenticeships_2!$T$9</c:f>
              <c:strCache>
                <c:ptCount val="1"/>
                <c:pt idx="0">
                  <c:v>Female non-trade occupation</c:v>
                </c:pt>
              </c:strCache>
            </c:strRef>
          </c:tx>
          <c:marker>
            <c:symbol val="none"/>
          </c:marker>
          <c:cat>
            <c:numRef>
              <c:f>Apprenticeships_2!$P$10:$P$29</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Apprenticeships_2!$T$10:$T$29</c:f>
              <c:numCache>
                <c:formatCode>0.00</c:formatCode>
                <c:ptCount val="20"/>
                <c:pt idx="0">
                  <c:v>0.41402410635766579</c:v>
                </c:pt>
                <c:pt idx="1">
                  <c:v>0.68503896636587591</c:v>
                </c:pt>
                <c:pt idx="2">
                  <c:v>1.0639113005531018</c:v>
                </c:pt>
                <c:pt idx="3">
                  <c:v>1.9083337514424759</c:v>
                </c:pt>
                <c:pt idx="4">
                  <c:v>1.7345338367702585</c:v>
                </c:pt>
                <c:pt idx="5">
                  <c:v>1.9712816418541299</c:v>
                </c:pt>
                <c:pt idx="6">
                  <c:v>2.2228218785930496</c:v>
                </c:pt>
                <c:pt idx="7">
                  <c:v>2.5835096088932894</c:v>
                </c:pt>
                <c:pt idx="8">
                  <c:v>2.1557248135166711</c:v>
                </c:pt>
                <c:pt idx="9">
                  <c:v>2.0768614545218327</c:v>
                </c:pt>
                <c:pt idx="10">
                  <c:v>2.0746712817374138</c:v>
                </c:pt>
                <c:pt idx="11">
                  <c:v>2.0774607232691427</c:v>
                </c:pt>
                <c:pt idx="12">
                  <c:v>2.1517143257920401</c:v>
                </c:pt>
                <c:pt idx="13">
                  <c:v>2.0280089659877207</c:v>
                </c:pt>
                <c:pt idx="14">
                  <c:v>2.1750544069640907</c:v>
                </c:pt>
                <c:pt idx="15">
                  <c:v>2.3991419567941077</c:v>
                </c:pt>
                <c:pt idx="16">
                  <c:v>2.7900163787969126</c:v>
                </c:pt>
                <c:pt idx="17">
                  <c:v>1.4763575266335633</c:v>
                </c:pt>
                <c:pt idx="18">
                  <c:v>1.2789035215366742</c:v>
                </c:pt>
                <c:pt idx="19">
                  <c:v>0.96371010970946647</c:v>
                </c:pt>
              </c:numCache>
            </c:numRef>
          </c:val>
          <c:smooth val="0"/>
        </c:ser>
        <c:dLbls>
          <c:showLegendKey val="0"/>
          <c:showVal val="0"/>
          <c:showCatName val="0"/>
          <c:showSerName val="0"/>
          <c:showPercent val="0"/>
          <c:showBubbleSize val="0"/>
        </c:dLbls>
        <c:marker val="1"/>
        <c:smooth val="0"/>
        <c:axId val="115904896"/>
        <c:axId val="115906816"/>
      </c:lineChart>
      <c:catAx>
        <c:axId val="11590489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5906816"/>
        <c:crosses val="autoZero"/>
        <c:auto val="1"/>
        <c:lblAlgn val="ctr"/>
        <c:lblOffset val="100"/>
        <c:noMultiLvlLbl val="0"/>
      </c:catAx>
      <c:valAx>
        <c:axId val="115906816"/>
        <c:scaling>
          <c:orientation val="minMax"/>
        </c:scaling>
        <c:delete val="0"/>
        <c:axPos val="l"/>
        <c:majorGridlines/>
        <c:title>
          <c:tx>
            <c:rich>
              <a:bodyPr rot="-5400000" vert="horz"/>
              <a:lstStyle/>
              <a:p>
                <a:pPr>
                  <a:defRPr/>
                </a:pPr>
                <a:r>
                  <a:rPr lang="en-US"/>
                  <a:t>Rate</a:t>
                </a:r>
              </a:p>
            </c:rich>
          </c:tx>
          <c:layout>
            <c:manualLayout>
              <c:xMode val="edge"/>
              <c:yMode val="edge"/>
              <c:x val="3.0555555555555582E-2"/>
              <c:y val="0.27083953047535725"/>
            </c:manualLayout>
          </c:layout>
          <c:overlay val="0"/>
        </c:title>
        <c:numFmt formatCode="0.0" sourceLinked="0"/>
        <c:majorTickMark val="out"/>
        <c:minorTickMark val="none"/>
        <c:tickLblPos val="nextTo"/>
        <c:crossAx val="115904896"/>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Apprenticeships_2!$Q$32</c:f>
              <c:strCache>
                <c:ptCount val="1"/>
                <c:pt idx="0">
                  <c:v>Male Trade</c:v>
                </c:pt>
              </c:strCache>
            </c:strRef>
          </c:tx>
          <c:marker>
            <c:symbol val="none"/>
          </c:marker>
          <c:cat>
            <c:numRef>
              <c:f>Apprenticeships_2!$P$33:$P$52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Apprenticeships_2!$Q$33:$Q$52</c:f>
              <c:numCache>
                <c:formatCode>0.00</c:formatCode>
                <c:ptCount val="20"/>
                <c:pt idx="0">
                  <c:v>0.36764560662018825</c:v>
                </c:pt>
                <c:pt idx="1">
                  <c:v>0.43443899170263683</c:v>
                </c:pt>
                <c:pt idx="2">
                  <c:v>0.47520903336719539</c:v>
                </c:pt>
                <c:pt idx="3">
                  <c:v>0.46023158509292594</c:v>
                </c:pt>
                <c:pt idx="4">
                  <c:v>0.43716940121949038</c:v>
                </c:pt>
                <c:pt idx="5">
                  <c:v>0.42910043867145231</c:v>
                </c:pt>
                <c:pt idx="6">
                  <c:v>0.44815426170468325</c:v>
                </c:pt>
                <c:pt idx="7">
                  <c:v>0.49204313069343725</c:v>
                </c:pt>
                <c:pt idx="8">
                  <c:v>0.48648054517476569</c:v>
                </c:pt>
                <c:pt idx="9">
                  <c:v>0.44527144573775496</c:v>
                </c:pt>
                <c:pt idx="10">
                  <c:v>0.48989639599752227</c:v>
                </c:pt>
                <c:pt idx="11">
                  <c:v>0.54670533602638038</c:v>
                </c:pt>
                <c:pt idx="12">
                  <c:v>0.60549374482956553</c:v>
                </c:pt>
                <c:pt idx="13">
                  <c:v>0.65150611392782587</c:v>
                </c:pt>
                <c:pt idx="14">
                  <c:v>0.6864018898567843</c:v>
                </c:pt>
                <c:pt idx="15">
                  <c:v>0.73864756947251065</c:v>
                </c:pt>
                <c:pt idx="16">
                  <c:v>0.79765452273382675</c:v>
                </c:pt>
                <c:pt idx="17">
                  <c:v>0.73795861589289036</c:v>
                </c:pt>
                <c:pt idx="18">
                  <c:v>0.94608594033763349</c:v>
                </c:pt>
                <c:pt idx="19">
                  <c:v>0.69536607970342856</c:v>
                </c:pt>
              </c:numCache>
            </c:numRef>
          </c:val>
          <c:smooth val="0"/>
        </c:ser>
        <c:ser>
          <c:idx val="1"/>
          <c:order val="1"/>
          <c:tx>
            <c:strRef>
              <c:f>Apprenticeships_2!$R$32</c:f>
              <c:strCache>
                <c:ptCount val="1"/>
                <c:pt idx="0">
                  <c:v>Male non-trade</c:v>
                </c:pt>
              </c:strCache>
            </c:strRef>
          </c:tx>
          <c:marker>
            <c:symbol val="none"/>
          </c:marker>
          <c:cat>
            <c:numRef>
              <c:f>Apprenticeships_2!$P$33:$P$52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Apprenticeships_2!$R$33:$R$52</c:f>
              <c:numCache>
                <c:formatCode>0.00</c:formatCode>
                <c:ptCount val="20"/>
                <c:pt idx="0">
                  <c:v>9.0790591116465563E-2</c:v>
                </c:pt>
                <c:pt idx="1">
                  <c:v>0.18547862590906405</c:v>
                </c:pt>
                <c:pt idx="2">
                  <c:v>0.24830038290224343</c:v>
                </c:pt>
                <c:pt idx="3">
                  <c:v>0.33042716746132228</c:v>
                </c:pt>
                <c:pt idx="4">
                  <c:v>0.51258920156186849</c:v>
                </c:pt>
                <c:pt idx="5">
                  <c:v>0.50088303993619321</c:v>
                </c:pt>
                <c:pt idx="6">
                  <c:v>0.67920918367347283</c:v>
                </c:pt>
                <c:pt idx="7">
                  <c:v>0.78075850529838264</c:v>
                </c:pt>
                <c:pt idx="8">
                  <c:v>0.897669817542319</c:v>
                </c:pt>
                <c:pt idx="9">
                  <c:v>0.9047653209462464</c:v>
                </c:pt>
                <c:pt idx="10">
                  <c:v>0.888373328610642</c:v>
                </c:pt>
                <c:pt idx="11">
                  <c:v>0.86034146425673685</c:v>
                </c:pt>
                <c:pt idx="12">
                  <c:v>0.82009420742516803</c:v>
                </c:pt>
                <c:pt idx="13">
                  <c:v>0.84885840209431296</c:v>
                </c:pt>
                <c:pt idx="14">
                  <c:v>0.83188149023082081</c:v>
                </c:pt>
                <c:pt idx="15">
                  <c:v>0.83965146542944646</c:v>
                </c:pt>
                <c:pt idx="16">
                  <c:v>0.90890448268127955</c:v>
                </c:pt>
                <c:pt idx="17">
                  <c:v>1.0946554749371689</c:v>
                </c:pt>
                <c:pt idx="18">
                  <c:v>0.71623264848475277</c:v>
                </c:pt>
                <c:pt idx="19">
                  <c:v>0.52516218721037822</c:v>
                </c:pt>
              </c:numCache>
            </c:numRef>
          </c:val>
          <c:smooth val="0"/>
        </c:ser>
        <c:ser>
          <c:idx val="2"/>
          <c:order val="2"/>
          <c:tx>
            <c:strRef>
              <c:f>Apprenticeships_2!$S$32</c:f>
              <c:strCache>
                <c:ptCount val="1"/>
                <c:pt idx="0">
                  <c:v>Female trade</c:v>
                </c:pt>
              </c:strCache>
            </c:strRef>
          </c:tx>
          <c:marker>
            <c:symbol val="none"/>
          </c:marker>
          <c:cat>
            <c:numRef>
              <c:f>Apprenticeships_2!$P$33:$P$52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Apprenticeships_2!$S$33:$S$52</c:f>
              <c:numCache>
                <c:formatCode>0.00</c:formatCode>
                <c:ptCount val="20"/>
                <c:pt idx="0">
                  <c:v>9.1174796958253743E-2</c:v>
                </c:pt>
                <c:pt idx="1">
                  <c:v>0.1026456111566862</c:v>
                </c:pt>
                <c:pt idx="2">
                  <c:v>9.5245344293905715E-2</c:v>
                </c:pt>
                <c:pt idx="3">
                  <c:v>8.183232150920676E-2</c:v>
                </c:pt>
                <c:pt idx="4">
                  <c:v>7.989640817116879E-2</c:v>
                </c:pt>
                <c:pt idx="5">
                  <c:v>7.9415770440989991E-2</c:v>
                </c:pt>
                <c:pt idx="6">
                  <c:v>9.3718469155501735E-2</c:v>
                </c:pt>
                <c:pt idx="7">
                  <c:v>0.11305639317701065</c:v>
                </c:pt>
                <c:pt idx="8">
                  <c:v>0.11076660375662849</c:v>
                </c:pt>
                <c:pt idx="9">
                  <c:v>0.10632862060753026</c:v>
                </c:pt>
                <c:pt idx="10">
                  <c:v>0.10280492180409855</c:v>
                </c:pt>
                <c:pt idx="11">
                  <c:v>0.10968619850727809</c:v>
                </c:pt>
                <c:pt idx="12">
                  <c:v>0.11175680820792337</c:v>
                </c:pt>
                <c:pt idx="13">
                  <c:v>0.11994932267810154</c:v>
                </c:pt>
                <c:pt idx="14">
                  <c:v>0.14215762474739624</c:v>
                </c:pt>
                <c:pt idx="15">
                  <c:v>0.14358935418960525</c:v>
                </c:pt>
                <c:pt idx="16">
                  <c:v>0.14915872543180464</c:v>
                </c:pt>
                <c:pt idx="17">
                  <c:v>0.1534683628441138</c:v>
                </c:pt>
                <c:pt idx="18">
                  <c:v>0.17220241559953481</c:v>
                </c:pt>
                <c:pt idx="19">
                  <c:v>0.11439088017725049</c:v>
                </c:pt>
              </c:numCache>
            </c:numRef>
          </c:val>
          <c:smooth val="0"/>
        </c:ser>
        <c:ser>
          <c:idx val="3"/>
          <c:order val="3"/>
          <c:tx>
            <c:strRef>
              <c:f>Apprenticeships_2!$T$32</c:f>
              <c:strCache>
                <c:ptCount val="1"/>
                <c:pt idx="0">
                  <c:v>Female non-trade</c:v>
                </c:pt>
              </c:strCache>
            </c:strRef>
          </c:tx>
          <c:marker>
            <c:symbol val="none"/>
          </c:marker>
          <c:cat>
            <c:numRef>
              <c:f>Apprenticeships_2!$P$33:$P$52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Apprenticeships_2!$T$33:$T$52</c:f>
              <c:numCache>
                <c:formatCode>0.00</c:formatCode>
                <c:ptCount val="20"/>
                <c:pt idx="0">
                  <c:v>0.12842067146034869</c:v>
                </c:pt>
                <c:pt idx="1">
                  <c:v>0.23443908941755592</c:v>
                </c:pt>
                <c:pt idx="2">
                  <c:v>0.34201045313847961</c:v>
                </c:pt>
                <c:pt idx="3">
                  <c:v>0.51668255481410852</c:v>
                </c:pt>
                <c:pt idx="4">
                  <c:v>0.82098944718753064</c:v>
                </c:pt>
                <c:pt idx="5">
                  <c:v>0.78164185413046772</c:v>
                </c:pt>
                <c:pt idx="6">
                  <c:v>0.97097402445033665</c:v>
                </c:pt>
                <c:pt idx="7">
                  <c:v>1.0747783428597146</c:v>
                </c:pt>
                <c:pt idx="8">
                  <c:v>1.1964365956681946</c:v>
                </c:pt>
                <c:pt idx="9">
                  <c:v>1.2170091151189688</c:v>
                </c:pt>
                <c:pt idx="10">
                  <c:v>1.1819505709039524</c:v>
                </c:pt>
                <c:pt idx="11">
                  <c:v>1.1691476640138601</c:v>
                </c:pt>
                <c:pt idx="12">
                  <c:v>1.1725747951024943</c:v>
                </c:pt>
                <c:pt idx="13">
                  <c:v>1.1858688237013941</c:v>
                </c:pt>
                <c:pt idx="14">
                  <c:v>1.2589771490750821</c:v>
                </c:pt>
                <c:pt idx="15">
                  <c:v>1.2894946657048432</c:v>
                </c:pt>
                <c:pt idx="16">
                  <c:v>1.358602590827874</c:v>
                </c:pt>
                <c:pt idx="17">
                  <c:v>1.6621184985506181</c:v>
                </c:pt>
                <c:pt idx="18">
                  <c:v>0.97859065774155984</c:v>
                </c:pt>
                <c:pt idx="19">
                  <c:v>0.7785977200443126</c:v>
                </c:pt>
              </c:numCache>
            </c:numRef>
          </c:val>
          <c:smooth val="0"/>
        </c:ser>
        <c:dLbls>
          <c:showLegendKey val="0"/>
          <c:showVal val="0"/>
          <c:showCatName val="0"/>
          <c:showSerName val="0"/>
          <c:showPercent val="0"/>
          <c:showBubbleSize val="0"/>
        </c:dLbls>
        <c:marker val="1"/>
        <c:smooth val="0"/>
        <c:axId val="115936640"/>
        <c:axId val="115951104"/>
      </c:lineChart>
      <c:catAx>
        <c:axId val="11593664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5951104"/>
        <c:crosses val="autoZero"/>
        <c:auto val="1"/>
        <c:lblAlgn val="ctr"/>
        <c:lblOffset val="100"/>
        <c:noMultiLvlLbl val="0"/>
      </c:catAx>
      <c:valAx>
        <c:axId val="115951104"/>
        <c:scaling>
          <c:orientation val="minMax"/>
        </c:scaling>
        <c:delete val="0"/>
        <c:axPos val="l"/>
        <c:majorGridlines/>
        <c:title>
          <c:tx>
            <c:rich>
              <a:bodyPr rot="-5400000" vert="horz"/>
              <a:lstStyle/>
              <a:p>
                <a:pPr>
                  <a:defRPr/>
                </a:pPr>
                <a:r>
                  <a:rPr lang="en-US"/>
                  <a:t>Rate</a:t>
                </a:r>
              </a:p>
            </c:rich>
          </c:tx>
          <c:overlay val="0"/>
        </c:title>
        <c:numFmt formatCode="0.0" sourceLinked="0"/>
        <c:majorTickMark val="out"/>
        <c:minorTickMark val="none"/>
        <c:tickLblPos val="nextTo"/>
        <c:crossAx val="115936640"/>
        <c:crosses val="autoZero"/>
        <c:crossBetween val="between"/>
        <c:majorUnit val="0.4"/>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Apprenticeships_2!$U$172</c:f>
              <c:strCache>
                <c:ptCount val="1"/>
                <c:pt idx="0">
                  <c:v>0-2 years</c:v>
                </c:pt>
              </c:strCache>
            </c:strRef>
          </c:tx>
          <c:spPr>
            <a:ln>
              <a:solidFill>
                <a:srgbClr val="78278B"/>
              </a:solidFill>
            </a:ln>
          </c:spPr>
          <c:marker>
            <c:symbol val="none"/>
          </c:marker>
          <c:cat>
            <c:numRef>
              <c:f>Apprenticeships_2!$T$173:$T$192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Apprenticeships_2!$U$173:$U$192</c:f>
              <c:numCache>
                <c:formatCode>0.0</c:formatCode>
                <c:ptCount val="20"/>
                <c:pt idx="0">
                  <c:v>23.035230352303522</c:v>
                </c:pt>
                <c:pt idx="1">
                  <c:v>21.015855952700935</c:v>
                </c:pt>
                <c:pt idx="2">
                  <c:v>20.335482032835859</c:v>
                </c:pt>
                <c:pt idx="3">
                  <c:v>20.099587529263122</c:v>
                </c:pt>
                <c:pt idx="4">
                  <c:v>22.801490645049753</c:v>
                </c:pt>
                <c:pt idx="5">
                  <c:v>23.885595503887846</c:v>
                </c:pt>
                <c:pt idx="6">
                  <c:v>25.367567955246361</c:v>
                </c:pt>
                <c:pt idx="7">
                  <c:v>29.214696262424184</c:v>
                </c:pt>
                <c:pt idx="8">
                  <c:v>29.127231150352603</c:v>
                </c:pt>
                <c:pt idx="9">
                  <c:v>29.282399623377408</c:v>
                </c:pt>
                <c:pt idx="10">
                  <c:v>28.300494882119686</c:v>
                </c:pt>
                <c:pt idx="11">
                  <c:v>28.501527398556405</c:v>
                </c:pt>
                <c:pt idx="12">
                  <c:v>26.633044569387803</c:v>
                </c:pt>
                <c:pt idx="13">
                  <c:v>28.142935678944475</c:v>
                </c:pt>
                <c:pt idx="14">
                  <c:v>29.924527534226968</c:v>
                </c:pt>
                <c:pt idx="15">
                  <c:v>33.277001652395974</c:v>
                </c:pt>
                <c:pt idx="16">
                  <c:v>37.265146534722106</c:v>
                </c:pt>
                <c:pt idx="17">
                  <c:v>42.463088224598152</c:v>
                </c:pt>
                <c:pt idx="18">
                  <c:v>46.497347785977858</c:v>
                </c:pt>
                <c:pt idx="19">
                  <c:v>42.721562068496084</c:v>
                </c:pt>
              </c:numCache>
            </c:numRef>
          </c:val>
          <c:smooth val="0"/>
        </c:ser>
        <c:ser>
          <c:idx val="1"/>
          <c:order val="1"/>
          <c:tx>
            <c:strRef>
              <c:f>Apprenticeships_2!$V$172</c:f>
              <c:strCache>
                <c:ptCount val="1"/>
                <c:pt idx="0">
                  <c:v>2-3 years</c:v>
                </c:pt>
              </c:strCache>
            </c:strRef>
          </c:tx>
          <c:spPr>
            <a:ln>
              <a:solidFill>
                <a:srgbClr val="449539"/>
              </a:solidFill>
            </a:ln>
          </c:spPr>
          <c:marker>
            <c:symbol val="none"/>
          </c:marker>
          <c:cat>
            <c:numRef>
              <c:f>Apprenticeships_2!$T$173:$T$192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Apprenticeships_2!$V$173:$V$192</c:f>
              <c:numCache>
                <c:formatCode>0.0</c:formatCode>
                <c:ptCount val="20"/>
                <c:pt idx="0">
                  <c:v>9.7515808491418241</c:v>
                </c:pt>
                <c:pt idx="1">
                  <c:v>9.9589204130993974</c:v>
                </c:pt>
                <c:pt idx="2">
                  <c:v>9.9896719968659848</c:v>
                </c:pt>
                <c:pt idx="3">
                  <c:v>9.0409126379547402</c:v>
                </c:pt>
                <c:pt idx="4">
                  <c:v>10.157900802950548</c:v>
                </c:pt>
                <c:pt idx="5">
                  <c:v>11.975517745784931</c:v>
                </c:pt>
                <c:pt idx="6">
                  <c:v>14.476798393459084</c:v>
                </c:pt>
                <c:pt idx="7">
                  <c:v>13.991299101330506</c:v>
                </c:pt>
                <c:pt idx="8">
                  <c:v>14.527091405704118</c:v>
                </c:pt>
                <c:pt idx="9">
                  <c:v>16.695810074651959</c:v>
                </c:pt>
                <c:pt idx="10">
                  <c:v>16.795254049734112</c:v>
                </c:pt>
                <c:pt idx="11">
                  <c:v>17.404233462193506</c:v>
                </c:pt>
                <c:pt idx="12">
                  <c:v>16.756352404623428</c:v>
                </c:pt>
                <c:pt idx="13">
                  <c:v>16.787245739417262</c:v>
                </c:pt>
                <c:pt idx="14">
                  <c:v>18.292410033158973</c:v>
                </c:pt>
                <c:pt idx="15">
                  <c:v>17.767012167643081</c:v>
                </c:pt>
                <c:pt idx="16">
                  <c:v>16.298743988097197</c:v>
                </c:pt>
                <c:pt idx="17">
                  <c:v>19.232307804203874</c:v>
                </c:pt>
                <c:pt idx="18">
                  <c:v>16.915071494464947</c:v>
                </c:pt>
                <c:pt idx="19">
                  <c:v>17.586884225675327</c:v>
                </c:pt>
              </c:numCache>
            </c:numRef>
          </c:val>
          <c:smooth val="0"/>
        </c:ser>
        <c:ser>
          <c:idx val="2"/>
          <c:order val="2"/>
          <c:tx>
            <c:strRef>
              <c:f>Apprenticeships_2!$W$172</c:f>
              <c:strCache>
                <c:ptCount val="1"/>
                <c:pt idx="0">
                  <c:v>3 years and over</c:v>
                </c:pt>
              </c:strCache>
            </c:strRef>
          </c:tx>
          <c:spPr>
            <a:ln>
              <a:solidFill>
                <a:schemeClr val="tx1"/>
              </a:solidFill>
            </a:ln>
          </c:spPr>
          <c:marker>
            <c:symbol val="none"/>
          </c:marker>
          <c:cat>
            <c:numRef>
              <c:f>Apprenticeships_2!$T$173:$T$192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Apprenticeships_2!$W$173:$W$192</c:f>
              <c:numCache>
                <c:formatCode>0.0</c:formatCode>
                <c:ptCount val="20"/>
                <c:pt idx="0">
                  <c:v>67.21318879855437</c:v>
                </c:pt>
                <c:pt idx="1">
                  <c:v>69.025223634199733</c:v>
                </c:pt>
                <c:pt idx="2">
                  <c:v>69.67484597029808</c:v>
                </c:pt>
                <c:pt idx="3">
                  <c:v>70.859499832781651</c:v>
                </c:pt>
                <c:pt idx="4">
                  <c:v>67.040608551999682</c:v>
                </c:pt>
                <c:pt idx="5">
                  <c:v>64.138886750327188</c:v>
                </c:pt>
                <c:pt idx="6">
                  <c:v>60.155633651294359</c:v>
                </c:pt>
                <c:pt idx="7">
                  <c:v>56.794004636245276</c:v>
                </c:pt>
                <c:pt idx="8">
                  <c:v>56.345677443943153</c:v>
                </c:pt>
                <c:pt idx="9">
                  <c:v>54.021790301970562</c:v>
                </c:pt>
                <c:pt idx="10">
                  <c:v>54.904251068146003</c:v>
                </c:pt>
                <c:pt idx="11">
                  <c:v>54.094239139250092</c:v>
                </c:pt>
                <c:pt idx="12">
                  <c:v>56.610603025988759</c:v>
                </c:pt>
                <c:pt idx="13">
                  <c:v>55.069818581638245</c:v>
                </c:pt>
                <c:pt idx="14">
                  <c:v>51.783062432613846</c:v>
                </c:pt>
                <c:pt idx="15">
                  <c:v>48.955986179960945</c:v>
                </c:pt>
                <c:pt idx="16">
                  <c:v>46.436109477180722</c:v>
                </c:pt>
                <c:pt idx="17">
                  <c:v>38.304603971197793</c:v>
                </c:pt>
                <c:pt idx="18">
                  <c:v>36.587580719557195</c:v>
                </c:pt>
                <c:pt idx="19">
                  <c:v>39.691553705828589</c:v>
                </c:pt>
              </c:numCache>
            </c:numRef>
          </c:val>
          <c:smooth val="0"/>
        </c:ser>
        <c:dLbls>
          <c:showLegendKey val="0"/>
          <c:showVal val="0"/>
          <c:showCatName val="0"/>
          <c:showSerName val="0"/>
          <c:showPercent val="0"/>
          <c:showBubbleSize val="0"/>
        </c:dLbls>
        <c:marker val="1"/>
        <c:smooth val="0"/>
        <c:axId val="115960832"/>
        <c:axId val="115967104"/>
      </c:lineChart>
      <c:catAx>
        <c:axId val="1159608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5967104"/>
        <c:crosses val="autoZero"/>
        <c:auto val="1"/>
        <c:lblAlgn val="ctr"/>
        <c:lblOffset val="100"/>
        <c:noMultiLvlLbl val="0"/>
      </c:catAx>
      <c:valAx>
        <c:axId val="115967104"/>
        <c:scaling>
          <c:orientation val="minMax"/>
        </c:scaling>
        <c:delete val="0"/>
        <c:axPos val="l"/>
        <c:majorGridlines/>
        <c:title>
          <c:tx>
            <c:rich>
              <a:bodyPr rot="-5400000" vert="horz"/>
              <a:lstStyle/>
              <a:p>
                <a:pPr>
                  <a:defRPr/>
                </a:pPr>
                <a:r>
                  <a:rPr lang="en-US"/>
                  <a:t>Proportion of all</a:t>
                </a:r>
              </a:p>
            </c:rich>
          </c:tx>
          <c:overlay val="0"/>
        </c:title>
        <c:numFmt formatCode="0" sourceLinked="0"/>
        <c:majorTickMark val="out"/>
        <c:minorTickMark val="none"/>
        <c:tickLblPos val="nextTo"/>
        <c:crossAx val="115960832"/>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Apprenticeships_2!$Z$172</c:f>
              <c:strCache>
                <c:ptCount val="1"/>
                <c:pt idx="0">
                  <c:v>24 and under</c:v>
                </c:pt>
              </c:strCache>
            </c:strRef>
          </c:tx>
          <c:spPr>
            <a:ln>
              <a:solidFill>
                <a:srgbClr val="78278B"/>
              </a:solidFill>
            </a:ln>
          </c:spPr>
          <c:marker>
            <c:symbol val="none"/>
          </c:marker>
          <c:cat>
            <c:numRef>
              <c:f>Apprenticeships_2!$Y$173:$Y$192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Apprenticeships_2!$Z$173:$Z$192</c:f>
              <c:numCache>
                <c:formatCode>0.0</c:formatCode>
                <c:ptCount val="20"/>
                <c:pt idx="0">
                  <c:v>22.468098035244076</c:v>
                </c:pt>
                <c:pt idx="1">
                  <c:v>19.460043196544206</c:v>
                </c:pt>
                <c:pt idx="2">
                  <c:v>18.763421255216564</c:v>
                </c:pt>
                <c:pt idx="3">
                  <c:v>18.661716382878829</c:v>
                </c:pt>
                <c:pt idx="4">
                  <c:v>20.100162425554991</c:v>
                </c:pt>
                <c:pt idx="5">
                  <c:v>21.367599816429529</c:v>
                </c:pt>
                <c:pt idx="6">
                  <c:v>22.299925696053151</c:v>
                </c:pt>
                <c:pt idx="7">
                  <c:v>23.694075462472625</c:v>
                </c:pt>
                <c:pt idx="8">
                  <c:v>24.057865305130147</c:v>
                </c:pt>
                <c:pt idx="9">
                  <c:v>25.318148483671969</c:v>
                </c:pt>
                <c:pt idx="10">
                  <c:v>24.813876128623555</c:v>
                </c:pt>
                <c:pt idx="11">
                  <c:v>23.672284378983129</c:v>
                </c:pt>
                <c:pt idx="12">
                  <c:v>22.850122850122769</c:v>
                </c:pt>
                <c:pt idx="13">
                  <c:v>23.73713751169317</c:v>
                </c:pt>
                <c:pt idx="14">
                  <c:v>23.270655270655272</c:v>
                </c:pt>
                <c:pt idx="15">
                  <c:v>24.895567579691029</c:v>
                </c:pt>
                <c:pt idx="16">
                  <c:v>27.139698053454975</c:v>
                </c:pt>
                <c:pt idx="17">
                  <c:v>30.183374083129582</c:v>
                </c:pt>
                <c:pt idx="18">
                  <c:v>30.407564565980405</c:v>
                </c:pt>
                <c:pt idx="19">
                  <c:v>29.7993093780984</c:v>
                </c:pt>
              </c:numCache>
            </c:numRef>
          </c:val>
          <c:smooth val="0"/>
        </c:ser>
        <c:ser>
          <c:idx val="1"/>
          <c:order val="1"/>
          <c:tx>
            <c:strRef>
              <c:f>Apprenticeships_2!$AA$172</c:f>
              <c:strCache>
                <c:ptCount val="1"/>
                <c:pt idx="0">
                  <c:v>25 and over</c:v>
                </c:pt>
              </c:strCache>
            </c:strRef>
          </c:tx>
          <c:spPr>
            <a:ln>
              <a:solidFill>
                <a:srgbClr val="449539"/>
              </a:solidFill>
            </a:ln>
          </c:spPr>
          <c:marker>
            <c:symbol val="none"/>
          </c:marker>
          <c:cat>
            <c:numRef>
              <c:f>Apprenticeships_2!$Y$173:$Y$192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Apprenticeships_2!$AA$173:$AA$192</c:f>
              <c:numCache>
                <c:formatCode>0.0</c:formatCode>
                <c:ptCount val="20"/>
                <c:pt idx="0">
                  <c:v>27.717391304347828</c:v>
                </c:pt>
                <c:pt idx="1">
                  <c:v>33.448394891266794</c:v>
                </c:pt>
                <c:pt idx="2">
                  <c:v>31.753972925250206</c:v>
                </c:pt>
                <c:pt idx="3">
                  <c:v>29.787234042553116</c:v>
                </c:pt>
                <c:pt idx="4">
                  <c:v>38.292367399741266</c:v>
                </c:pt>
                <c:pt idx="5">
                  <c:v>36.986628462272968</c:v>
                </c:pt>
                <c:pt idx="6">
                  <c:v>39.384861194327783</c:v>
                </c:pt>
                <c:pt idx="7">
                  <c:v>48.712044898546544</c:v>
                </c:pt>
                <c:pt idx="8">
                  <c:v>47.502937720329143</c:v>
                </c:pt>
                <c:pt idx="9">
                  <c:v>43.297239591276494</c:v>
                </c:pt>
                <c:pt idx="10">
                  <c:v>40.392803186375502</c:v>
                </c:pt>
                <c:pt idx="11">
                  <c:v>44.09511832628349</c:v>
                </c:pt>
                <c:pt idx="12">
                  <c:v>39.020113460546675</c:v>
                </c:pt>
                <c:pt idx="13">
                  <c:v>41.519481672139875</c:v>
                </c:pt>
                <c:pt idx="14">
                  <c:v>46.539090844419263</c:v>
                </c:pt>
                <c:pt idx="15">
                  <c:v>50.275771876954678</c:v>
                </c:pt>
                <c:pt idx="16">
                  <c:v>54.782033722193361</c:v>
                </c:pt>
                <c:pt idx="17">
                  <c:v>60.500089782725809</c:v>
                </c:pt>
                <c:pt idx="18">
                  <c:v>66.186935059939515</c:v>
                </c:pt>
                <c:pt idx="19">
                  <c:v>59.767263542465386</c:v>
                </c:pt>
              </c:numCache>
            </c:numRef>
          </c:val>
          <c:smooth val="0"/>
        </c:ser>
        <c:dLbls>
          <c:showLegendKey val="0"/>
          <c:showVal val="0"/>
          <c:showCatName val="0"/>
          <c:showSerName val="0"/>
          <c:showPercent val="0"/>
          <c:showBubbleSize val="0"/>
        </c:dLbls>
        <c:marker val="1"/>
        <c:smooth val="0"/>
        <c:axId val="116004736"/>
        <c:axId val="116006912"/>
      </c:lineChart>
      <c:catAx>
        <c:axId val="11600473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6006912"/>
        <c:crosses val="autoZero"/>
        <c:auto val="1"/>
        <c:lblAlgn val="ctr"/>
        <c:lblOffset val="100"/>
        <c:noMultiLvlLbl val="0"/>
      </c:catAx>
      <c:valAx>
        <c:axId val="116006912"/>
        <c:scaling>
          <c:orientation val="minMax"/>
        </c:scaling>
        <c:delete val="0"/>
        <c:axPos val="l"/>
        <c:majorGridlines/>
        <c:title>
          <c:tx>
            <c:rich>
              <a:bodyPr rot="-5400000" vert="horz"/>
              <a:lstStyle/>
              <a:p>
                <a:pPr>
                  <a:defRPr/>
                </a:pPr>
                <a:r>
                  <a:rPr lang="en-US"/>
                  <a:t>Proportion of all</a:t>
                </a:r>
              </a:p>
            </c:rich>
          </c:tx>
          <c:overlay val="0"/>
        </c:title>
        <c:numFmt formatCode="0" sourceLinked="0"/>
        <c:majorTickMark val="out"/>
        <c:minorTickMark val="none"/>
        <c:tickLblPos val="nextTo"/>
        <c:crossAx val="116004736"/>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77296587926515E-2"/>
          <c:y val="2.0682779235928841E-2"/>
          <c:w val="0.85701159230096235"/>
          <c:h val="0.62837160979877515"/>
        </c:manualLayout>
      </c:layout>
      <c:lineChart>
        <c:grouping val="standard"/>
        <c:varyColors val="0"/>
        <c:ser>
          <c:idx val="0"/>
          <c:order val="0"/>
          <c:tx>
            <c:strRef>
              <c:f>'[1]Figure 16'!$W$5</c:f>
              <c:strCache>
                <c:ptCount val="1"/>
                <c:pt idx="0">
                  <c:v>NSW</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16'!$W$6:$W$25</c:f>
              <c:numCache>
                <c:formatCode>General</c:formatCode>
                <c:ptCount val="20"/>
                <c:pt idx="0">
                  <c:v>11.838090822414095</c:v>
                </c:pt>
                <c:pt idx="1">
                  <c:v>12.223559240559622</c:v>
                </c:pt>
                <c:pt idx="2">
                  <c:v>12.299565546411698</c:v>
                </c:pt>
                <c:pt idx="3">
                  <c:v>12.559682453293716</c:v>
                </c:pt>
                <c:pt idx="4">
                  <c:v>14.896163635090012</c:v>
                </c:pt>
                <c:pt idx="5">
                  <c:v>13.138428091411781</c:v>
                </c:pt>
                <c:pt idx="6">
                  <c:v>12.623362176681535</c:v>
                </c:pt>
                <c:pt idx="7">
                  <c:v>13.150992609766702</c:v>
                </c:pt>
                <c:pt idx="8">
                  <c:v>11.55728633654984</c:v>
                </c:pt>
                <c:pt idx="9">
                  <c:v>12.224747338160755</c:v>
                </c:pt>
                <c:pt idx="10">
                  <c:v>12.385669726555964</c:v>
                </c:pt>
                <c:pt idx="11">
                  <c:v>11.926761391294765</c:v>
                </c:pt>
                <c:pt idx="12">
                  <c:v>11.769496754035789</c:v>
                </c:pt>
                <c:pt idx="13">
                  <c:v>11.551388459544377</c:v>
                </c:pt>
                <c:pt idx="14">
                  <c:v>12.128104022956803</c:v>
                </c:pt>
                <c:pt idx="15">
                  <c:v>12.119926751734274</c:v>
                </c:pt>
                <c:pt idx="16">
                  <c:v>12.303701659799493</c:v>
                </c:pt>
                <c:pt idx="17">
                  <c:v>11.465754585896411</c:v>
                </c:pt>
                <c:pt idx="18">
                  <c:v>11.341979564741173</c:v>
                </c:pt>
                <c:pt idx="19">
                  <c:v>9.4900271091579551</c:v>
                </c:pt>
              </c:numCache>
            </c:numRef>
          </c:val>
          <c:smooth val="0"/>
        </c:ser>
        <c:ser>
          <c:idx val="1"/>
          <c:order val="1"/>
          <c:tx>
            <c:strRef>
              <c:f>'[1]Figure 16'!$X$5</c:f>
              <c:strCache>
                <c:ptCount val="1"/>
                <c:pt idx="0">
                  <c:v>Vic.</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16'!$X$6:$X$25</c:f>
              <c:numCache>
                <c:formatCode>General</c:formatCode>
                <c:ptCount val="20"/>
                <c:pt idx="0">
                  <c:v>13.069711450289356</c:v>
                </c:pt>
                <c:pt idx="1">
                  <c:v>13.671648427025643</c:v>
                </c:pt>
                <c:pt idx="2">
                  <c:v>13.936965608767505</c:v>
                </c:pt>
                <c:pt idx="3">
                  <c:v>15.304199329656676</c:v>
                </c:pt>
                <c:pt idx="4">
                  <c:v>14.878617613943856</c:v>
                </c:pt>
                <c:pt idx="5">
                  <c:v>14.766289817551536</c:v>
                </c:pt>
                <c:pt idx="6">
                  <c:v>15.368396631324966</c:v>
                </c:pt>
                <c:pt idx="7">
                  <c:v>14.300197703225493</c:v>
                </c:pt>
                <c:pt idx="8">
                  <c:v>13.796410570389314</c:v>
                </c:pt>
                <c:pt idx="9">
                  <c:v>12.902338474956199</c:v>
                </c:pt>
                <c:pt idx="10">
                  <c:v>13.042300284379028</c:v>
                </c:pt>
                <c:pt idx="11">
                  <c:v>12.851583585299299</c:v>
                </c:pt>
                <c:pt idx="12">
                  <c:v>13.152972555625746</c:v>
                </c:pt>
                <c:pt idx="13">
                  <c:v>12.920176913418805</c:v>
                </c:pt>
                <c:pt idx="14">
                  <c:v>13.528734247445637</c:v>
                </c:pt>
                <c:pt idx="15">
                  <c:v>15.528934655241692</c:v>
                </c:pt>
                <c:pt idx="16">
                  <c:v>16.643654021314738</c:v>
                </c:pt>
                <c:pt idx="17">
                  <c:v>16.079784182055295</c:v>
                </c:pt>
                <c:pt idx="18">
                  <c:v>15.05264279755939</c:v>
                </c:pt>
                <c:pt idx="19">
                  <c:v>12.717438981984683</c:v>
                </c:pt>
              </c:numCache>
            </c:numRef>
          </c:val>
          <c:smooth val="0"/>
        </c:ser>
        <c:ser>
          <c:idx val="2"/>
          <c:order val="2"/>
          <c:tx>
            <c:strRef>
              <c:f>'[1]Figure 16'!$Y$5</c:f>
              <c:strCache>
                <c:ptCount val="1"/>
                <c:pt idx="0">
                  <c:v>Qld</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16'!$Y$6:$Y$25</c:f>
              <c:numCache>
                <c:formatCode>General</c:formatCode>
                <c:ptCount val="20"/>
                <c:pt idx="0">
                  <c:v>8.8366814332968016</c:v>
                </c:pt>
                <c:pt idx="1">
                  <c:v>9.6068485311970218</c:v>
                </c:pt>
                <c:pt idx="2">
                  <c:v>10.873423945199544</c:v>
                </c:pt>
                <c:pt idx="3">
                  <c:v>12.579708692615466</c:v>
                </c:pt>
                <c:pt idx="4">
                  <c:v>11.32248924157912</c:v>
                </c:pt>
                <c:pt idx="5">
                  <c:v>12.454944112537321</c:v>
                </c:pt>
                <c:pt idx="6">
                  <c:v>12.174514393967504</c:v>
                </c:pt>
                <c:pt idx="7">
                  <c:v>11.822818043193754</c:v>
                </c:pt>
                <c:pt idx="8">
                  <c:v>10.810068830898407</c:v>
                </c:pt>
                <c:pt idx="9">
                  <c:v>10.994864106102684</c:v>
                </c:pt>
                <c:pt idx="10">
                  <c:v>10.842679578588124</c:v>
                </c:pt>
                <c:pt idx="11">
                  <c:v>10.340201052459401</c:v>
                </c:pt>
                <c:pt idx="12">
                  <c:v>10.197395662994243</c:v>
                </c:pt>
                <c:pt idx="13">
                  <c:v>9.8847615901634018</c:v>
                </c:pt>
                <c:pt idx="14">
                  <c:v>10.143709008397387</c:v>
                </c:pt>
                <c:pt idx="15">
                  <c:v>10.126208662237429</c:v>
                </c:pt>
                <c:pt idx="16">
                  <c:v>9.5275071274470804</c:v>
                </c:pt>
                <c:pt idx="17">
                  <c:v>8.142385543672205</c:v>
                </c:pt>
                <c:pt idx="18">
                  <c:v>8.4523544351762236</c:v>
                </c:pt>
                <c:pt idx="19">
                  <c:v>8.9970679478938269</c:v>
                </c:pt>
              </c:numCache>
            </c:numRef>
          </c:val>
          <c:smooth val="0"/>
        </c:ser>
        <c:ser>
          <c:idx val="3"/>
          <c:order val="3"/>
          <c:tx>
            <c:strRef>
              <c:f>'[1]Figure 16'!$Z$5</c:f>
              <c:strCache>
                <c:ptCount val="1"/>
                <c:pt idx="0">
                  <c:v>SA</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16'!$Z$6:$Z$25</c:f>
              <c:numCache>
                <c:formatCode>General</c:formatCode>
                <c:ptCount val="20"/>
                <c:pt idx="0">
                  <c:v>10.289900747040761</c:v>
                </c:pt>
                <c:pt idx="1">
                  <c:v>14.590737051895575</c:v>
                </c:pt>
                <c:pt idx="2">
                  <c:v>15.291246462495018</c:v>
                </c:pt>
                <c:pt idx="3">
                  <c:v>13.634687624774896</c:v>
                </c:pt>
                <c:pt idx="4">
                  <c:v>14.789205644932757</c:v>
                </c:pt>
                <c:pt idx="5">
                  <c:v>14.488818824078939</c:v>
                </c:pt>
                <c:pt idx="6">
                  <c:v>14.010200398537428</c:v>
                </c:pt>
                <c:pt idx="7">
                  <c:v>11.353210895383324</c:v>
                </c:pt>
                <c:pt idx="8">
                  <c:v>11.36754496686652</c:v>
                </c:pt>
                <c:pt idx="9">
                  <c:v>11.560707206912097</c:v>
                </c:pt>
                <c:pt idx="10">
                  <c:v>11.038284359116519</c:v>
                </c:pt>
                <c:pt idx="11">
                  <c:v>11.069214619241198</c:v>
                </c:pt>
                <c:pt idx="12">
                  <c:v>11.234835797535924</c:v>
                </c:pt>
                <c:pt idx="13">
                  <c:v>11.373901939754752</c:v>
                </c:pt>
                <c:pt idx="14">
                  <c:v>11.446399988170624</c:v>
                </c:pt>
                <c:pt idx="15">
                  <c:v>11.315274949832714</c:v>
                </c:pt>
                <c:pt idx="16">
                  <c:v>13.055720742967674</c:v>
                </c:pt>
                <c:pt idx="17">
                  <c:v>15.130238197848112</c:v>
                </c:pt>
                <c:pt idx="18">
                  <c:v>11.801076832469297</c:v>
                </c:pt>
                <c:pt idx="19">
                  <c:v>9.7890436767449867</c:v>
                </c:pt>
              </c:numCache>
            </c:numRef>
          </c:val>
          <c:smooth val="0"/>
        </c:ser>
        <c:ser>
          <c:idx val="4"/>
          <c:order val="4"/>
          <c:tx>
            <c:strRef>
              <c:f>'[1]Figure 16'!$AA$5</c:f>
              <c:strCache>
                <c:ptCount val="1"/>
                <c:pt idx="0">
                  <c:v>WA</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16'!$AA$6:$AA$25</c:f>
              <c:numCache>
                <c:formatCode>General</c:formatCode>
                <c:ptCount val="20"/>
                <c:pt idx="0">
                  <c:v>9.2144519149786586</c:v>
                </c:pt>
                <c:pt idx="1">
                  <c:v>9.129274943816613</c:v>
                </c:pt>
                <c:pt idx="2">
                  <c:v>9.2351955637504375</c:v>
                </c:pt>
                <c:pt idx="3">
                  <c:v>10.000039840161273</c:v>
                </c:pt>
                <c:pt idx="4">
                  <c:v>10.100508903854697</c:v>
                </c:pt>
                <c:pt idx="5">
                  <c:v>10.466207566190249</c:v>
                </c:pt>
                <c:pt idx="6">
                  <c:v>10.060167003469706</c:v>
                </c:pt>
                <c:pt idx="7">
                  <c:v>9.8055463027781151</c:v>
                </c:pt>
                <c:pt idx="8">
                  <c:v>9.3693578893792555</c:v>
                </c:pt>
                <c:pt idx="9">
                  <c:v>9.4742116233037041</c:v>
                </c:pt>
                <c:pt idx="10">
                  <c:v>9.7959521637522062</c:v>
                </c:pt>
                <c:pt idx="11">
                  <c:v>9.8821325694433355</c:v>
                </c:pt>
                <c:pt idx="12">
                  <c:v>10.018655325232116</c:v>
                </c:pt>
                <c:pt idx="13">
                  <c:v>10.227509995882613</c:v>
                </c:pt>
                <c:pt idx="14">
                  <c:v>10.560947314899604</c:v>
                </c:pt>
                <c:pt idx="15">
                  <c:v>10.390676296782665</c:v>
                </c:pt>
                <c:pt idx="16">
                  <c:v>10.017356598442099</c:v>
                </c:pt>
                <c:pt idx="17">
                  <c:v>9.5257513188763507</c:v>
                </c:pt>
                <c:pt idx="18">
                  <c:v>8.7749384712587037</c:v>
                </c:pt>
                <c:pt idx="19">
                  <c:v>8.2738265420547954</c:v>
                </c:pt>
              </c:numCache>
            </c:numRef>
          </c:val>
          <c:smooth val="0"/>
        </c:ser>
        <c:ser>
          <c:idx val="5"/>
          <c:order val="5"/>
          <c:tx>
            <c:strRef>
              <c:f>'[1]Figure 16'!$AB$5</c:f>
              <c:strCache>
                <c:ptCount val="1"/>
                <c:pt idx="0">
                  <c:v>Tas.</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16'!$AB$6:$AB$25</c:f>
              <c:numCache>
                <c:formatCode>General</c:formatCode>
                <c:ptCount val="20"/>
                <c:pt idx="0">
                  <c:v>7.8864710834790488</c:v>
                </c:pt>
                <c:pt idx="1">
                  <c:v>8.5947615101766015</c:v>
                </c:pt>
                <c:pt idx="2">
                  <c:v>9.3853271645736953</c:v>
                </c:pt>
                <c:pt idx="3">
                  <c:v>10.271478097869622</c:v>
                </c:pt>
                <c:pt idx="4">
                  <c:v>10.367869156034407</c:v>
                </c:pt>
                <c:pt idx="5">
                  <c:v>10.564301064132772</c:v>
                </c:pt>
                <c:pt idx="6">
                  <c:v>10.514273543440238</c:v>
                </c:pt>
                <c:pt idx="7">
                  <c:v>11.405822851838501</c:v>
                </c:pt>
                <c:pt idx="8">
                  <c:v>12.155854804629602</c:v>
                </c:pt>
                <c:pt idx="9">
                  <c:v>12.435640463513936</c:v>
                </c:pt>
                <c:pt idx="10">
                  <c:v>13.008982222166928</c:v>
                </c:pt>
                <c:pt idx="11">
                  <c:v>13.563867586991046</c:v>
                </c:pt>
                <c:pt idx="12">
                  <c:v>14.157244216441894</c:v>
                </c:pt>
                <c:pt idx="13">
                  <c:v>13.108551783933233</c:v>
                </c:pt>
                <c:pt idx="14">
                  <c:v>14.907723546664661</c:v>
                </c:pt>
                <c:pt idx="15">
                  <c:v>14.230371048327806</c:v>
                </c:pt>
                <c:pt idx="16">
                  <c:v>12.976160996321775</c:v>
                </c:pt>
                <c:pt idx="17">
                  <c:v>13.044217428922721</c:v>
                </c:pt>
                <c:pt idx="18">
                  <c:v>13.318520096793341</c:v>
                </c:pt>
                <c:pt idx="19">
                  <c:v>11.157343713298211</c:v>
                </c:pt>
              </c:numCache>
            </c:numRef>
          </c:val>
          <c:smooth val="0"/>
        </c:ser>
        <c:ser>
          <c:idx val="6"/>
          <c:order val="6"/>
          <c:tx>
            <c:strRef>
              <c:f>'[1]Figure 16'!$AC$5</c:f>
              <c:strCache>
                <c:ptCount val="1"/>
                <c:pt idx="0">
                  <c:v>NT</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16'!$AC$6:$AC$25</c:f>
              <c:numCache>
                <c:formatCode>General</c:formatCode>
                <c:ptCount val="20"/>
                <c:pt idx="0">
                  <c:v>11.214342406274802</c:v>
                </c:pt>
                <c:pt idx="1">
                  <c:v>12.137435619409054</c:v>
                </c:pt>
                <c:pt idx="2">
                  <c:v>12.926868913746988</c:v>
                </c:pt>
                <c:pt idx="3">
                  <c:v>13.849520331565371</c:v>
                </c:pt>
                <c:pt idx="4">
                  <c:v>15.486076490278469</c:v>
                </c:pt>
                <c:pt idx="5">
                  <c:v>15.36846850654382</c:v>
                </c:pt>
                <c:pt idx="6">
                  <c:v>15.672735175150192</c:v>
                </c:pt>
                <c:pt idx="7">
                  <c:v>13.980799505228831</c:v>
                </c:pt>
                <c:pt idx="8">
                  <c:v>13.74526230402372</c:v>
                </c:pt>
                <c:pt idx="9">
                  <c:v>14.523917307982495</c:v>
                </c:pt>
                <c:pt idx="10">
                  <c:v>14.717133893330633</c:v>
                </c:pt>
                <c:pt idx="11">
                  <c:v>14.956716368783121</c:v>
                </c:pt>
                <c:pt idx="12">
                  <c:v>14.119566394973138</c:v>
                </c:pt>
                <c:pt idx="13">
                  <c:v>14.563898533354749</c:v>
                </c:pt>
                <c:pt idx="14">
                  <c:v>14.586278233120794</c:v>
                </c:pt>
                <c:pt idx="15">
                  <c:v>14.728284795889444</c:v>
                </c:pt>
                <c:pt idx="16">
                  <c:v>14.374370221089444</c:v>
                </c:pt>
                <c:pt idx="17">
                  <c:v>13.220145642254691</c:v>
                </c:pt>
                <c:pt idx="18">
                  <c:v>14.43821616421152</c:v>
                </c:pt>
                <c:pt idx="19">
                  <c:v>13.866754244954166</c:v>
                </c:pt>
              </c:numCache>
            </c:numRef>
          </c:val>
          <c:smooth val="0"/>
        </c:ser>
        <c:ser>
          <c:idx val="7"/>
          <c:order val="7"/>
          <c:tx>
            <c:strRef>
              <c:f>'[1]Figure 16'!$AD$5</c:f>
              <c:strCache>
                <c:ptCount val="1"/>
                <c:pt idx="0">
                  <c:v>ACT</c:v>
                </c:pt>
              </c:strCache>
            </c:strRef>
          </c:tx>
          <c:marker>
            <c:symbol val="none"/>
          </c:marker>
          <c:cat>
            <c:numRef>
              <c:f>'[1]Figure 16'!$V$6:$V$25</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'[1]Figure 16'!$AD$6:$AD$25</c:f>
              <c:numCache>
                <c:formatCode>General</c:formatCode>
                <c:ptCount val="20"/>
                <c:pt idx="0">
                  <c:v>8.4870899253475791</c:v>
                </c:pt>
                <c:pt idx="1">
                  <c:v>8.5178829109746488</c:v>
                </c:pt>
                <c:pt idx="2">
                  <c:v>8.3661546689388544</c:v>
                </c:pt>
                <c:pt idx="3">
                  <c:v>8.3762127959806403</c:v>
                </c:pt>
                <c:pt idx="4">
                  <c:v>8.9789656245830916</c:v>
                </c:pt>
                <c:pt idx="5">
                  <c:v>9.0821425440518979</c:v>
                </c:pt>
                <c:pt idx="6">
                  <c:v>8.5449605920508169</c:v>
                </c:pt>
                <c:pt idx="7">
                  <c:v>9.3590825554446493</c:v>
                </c:pt>
                <c:pt idx="8">
                  <c:v>9.4952321812876939</c:v>
                </c:pt>
                <c:pt idx="9">
                  <c:v>9.6793229026166721</c:v>
                </c:pt>
                <c:pt idx="10">
                  <c:v>9.8165893783354008</c:v>
                </c:pt>
                <c:pt idx="11">
                  <c:v>9.7724448428300779</c:v>
                </c:pt>
                <c:pt idx="12">
                  <c:v>9.8889080296298673</c:v>
                </c:pt>
                <c:pt idx="13">
                  <c:v>10.429947905387047</c:v>
                </c:pt>
                <c:pt idx="14">
                  <c:v>11.354431408046977</c:v>
                </c:pt>
                <c:pt idx="15">
                  <c:v>11.229354998664988</c:v>
                </c:pt>
                <c:pt idx="16">
                  <c:v>11.341065535124942</c:v>
                </c:pt>
                <c:pt idx="17">
                  <c:v>10.66069101855596</c:v>
                </c:pt>
                <c:pt idx="18">
                  <c:v>9.6549253998634477</c:v>
                </c:pt>
                <c:pt idx="19">
                  <c:v>8.6162247994716896</c:v>
                </c:pt>
              </c:numCache>
            </c:numRef>
          </c:val>
          <c:smooth val="0"/>
        </c:ser>
        <c:dLbls>
          <c:showLegendKey val="0"/>
          <c:showVal val="0"/>
          <c:showCatName val="0"/>
          <c:showSerName val="0"/>
          <c:showPercent val="0"/>
          <c:showBubbleSize val="0"/>
        </c:dLbls>
        <c:marker val="1"/>
        <c:smooth val="0"/>
        <c:axId val="116045312"/>
        <c:axId val="116047232"/>
      </c:lineChart>
      <c:catAx>
        <c:axId val="1160453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6047232"/>
        <c:crosses val="autoZero"/>
        <c:auto val="1"/>
        <c:lblAlgn val="ctr"/>
        <c:lblOffset val="100"/>
        <c:noMultiLvlLbl val="0"/>
      </c:catAx>
      <c:valAx>
        <c:axId val="116047232"/>
        <c:scaling>
          <c:orientation val="minMax"/>
          <c:min val="6"/>
        </c:scaling>
        <c:delete val="0"/>
        <c:axPos val="l"/>
        <c:majorGridlines/>
        <c:title>
          <c:tx>
            <c:rich>
              <a:bodyPr rot="-5400000" vert="horz"/>
              <a:lstStyle/>
              <a:p>
                <a:pPr>
                  <a:defRPr/>
                </a:pPr>
                <a:r>
                  <a:rPr lang="en-US"/>
                  <a:t>Rate</a:t>
                </a:r>
              </a:p>
            </c:rich>
          </c:tx>
          <c:overlay val="0"/>
        </c:title>
        <c:numFmt formatCode="0" sourceLinked="0"/>
        <c:majorTickMark val="out"/>
        <c:minorTickMark val="none"/>
        <c:tickLblPos val="nextTo"/>
        <c:crossAx val="116045312"/>
        <c:crosses val="autoZero"/>
        <c:crossBetween val="between"/>
      </c:valAx>
    </c:plotArea>
    <c:legend>
      <c:legendPos val="b"/>
      <c:layout>
        <c:manualLayout>
          <c:xMode val="edge"/>
          <c:yMode val="edge"/>
          <c:x val="0.05"/>
          <c:y val="0.85719634004082823"/>
          <c:w val="0.9"/>
          <c:h val="6.8729585885097699E-2"/>
        </c:manualLayout>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'[1]Higher education comparison'!$C$3</c:f>
              <c:strCache>
                <c:ptCount val="1"/>
                <c:pt idx="0">
                  <c:v>Higher education</c:v>
                </c:pt>
              </c:strCache>
            </c:strRef>
          </c:tx>
          <c:spPr>
            <a:ln>
              <a:solidFill>
                <a:srgbClr val="78278B"/>
              </a:solidFill>
            </a:ln>
          </c:spPr>
          <c:marker>
            <c:symbol val="none"/>
          </c:marker>
          <c:cat>
            <c:numRef>
              <c:f>'[1]Higher education comparison'!$B$4:$B$17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'[1]Higher education comparison'!$C$4:$C$17</c:f>
              <c:numCache>
                <c:formatCode>General</c:formatCode>
                <c:ptCount val="14"/>
                <c:pt idx="0">
                  <c:v>5.3091122698009983</c:v>
                </c:pt>
                <c:pt idx="1">
                  <c:v>5.4443621955504451</c:v>
                </c:pt>
                <c:pt idx="2">
                  <c:v>5.4342748539071897</c:v>
                </c:pt>
                <c:pt idx="3">
                  <c:v>5.3453224743101835</c:v>
                </c:pt>
                <c:pt idx="4">
                  <c:v>5.2825976018986873</c:v>
                </c:pt>
                <c:pt idx="5">
                  <c:v>5.3186140426995347</c:v>
                </c:pt>
                <c:pt idx="6">
                  <c:v>5.3877939641718626</c:v>
                </c:pt>
                <c:pt idx="7">
                  <c:v>5.38011960144566</c:v>
                </c:pt>
                <c:pt idx="8">
                  <c:v>5.5573128150388502</c:v>
                </c:pt>
                <c:pt idx="9">
                  <c:v>5.7743944724325615</c:v>
                </c:pt>
                <c:pt idx="10">
                  <c:v>5.9017188875715574</c:v>
                </c:pt>
                <c:pt idx="11">
                  <c:v>6.1270869414002265</c:v>
                </c:pt>
                <c:pt idx="12">
                  <c:v>6.3943810386863431</c:v>
                </c:pt>
                <c:pt idx="13">
                  <c:v>6.5755659980615571</c:v>
                </c:pt>
              </c:numCache>
            </c:numRef>
          </c:val>
          <c:smooth val="0"/>
        </c:ser>
        <c:ser>
          <c:idx val="1"/>
          <c:order val="1"/>
          <c:tx>
            <c:strRef>
              <c:f>'[1]Higher education comparison'!$D$3</c:f>
              <c:strCache>
                <c:ptCount val="1"/>
                <c:pt idx="0">
                  <c:v>VET</c:v>
                </c:pt>
              </c:strCache>
            </c:strRef>
          </c:tx>
          <c:spPr>
            <a:ln>
              <a:solidFill>
                <a:srgbClr val="439539"/>
              </a:solidFill>
            </a:ln>
          </c:spPr>
          <c:marker>
            <c:symbol val="none"/>
          </c:marker>
          <c:cat>
            <c:numRef>
              <c:f>'[1]Higher education comparison'!$B$4:$B$17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'[1]Higher education comparison'!$D$4:$D$17</c:f>
              <c:numCache>
                <c:formatCode>General</c:formatCode>
                <c:ptCount val="14"/>
                <c:pt idx="0">
                  <c:v>13.139571186558182</c:v>
                </c:pt>
                <c:pt idx="1">
                  <c:v>12.976895790143617</c:v>
                </c:pt>
                <c:pt idx="2">
                  <c:v>12.609272341505772</c:v>
                </c:pt>
                <c:pt idx="3">
                  <c:v>11.733239718885006</c:v>
                </c:pt>
                <c:pt idx="4">
                  <c:v>11.809109901400236</c:v>
                </c:pt>
                <c:pt idx="5">
                  <c:v>11.87494808486189</c:v>
                </c:pt>
                <c:pt idx="6">
                  <c:v>11.600530356017961</c:v>
                </c:pt>
                <c:pt idx="7">
                  <c:v>11.625274974733559</c:v>
                </c:pt>
                <c:pt idx="8">
                  <c:v>11.454870014417082</c:v>
                </c:pt>
                <c:pt idx="9">
                  <c:v>11.93959980943499</c:v>
                </c:pt>
                <c:pt idx="10">
                  <c:v>12.385151646302893</c:v>
                </c:pt>
                <c:pt idx="11">
                  <c:v>12.650676712175295</c:v>
                </c:pt>
                <c:pt idx="12">
                  <c:v>12.031639751266592</c:v>
                </c:pt>
                <c:pt idx="13">
                  <c:v>11.483248889955751</c:v>
                </c:pt>
              </c:numCache>
            </c:numRef>
          </c:val>
          <c:smooth val="0"/>
        </c:ser>
        <c:dLbls>
          <c:showLegendKey val="0"/>
          <c:showVal val="0"/>
          <c:showCatName val="0"/>
          <c:showSerName val="0"/>
          <c:showPercent val="0"/>
          <c:showBubbleSize val="0"/>
        </c:dLbls>
        <c:marker val="1"/>
        <c:smooth val="0"/>
        <c:axId val="178337664"/>
        <c:axId val="178352128"/>
      </c:lineChart>
      <c:catAx>
        <c:axId val="1783376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78352128"/>
        <c:crosses val="autoZero"/>
        <c:auto val="1"/>
        <c:lblAlgn val="ctr"/>
        <c:lblOffset val="100"/>
        <c:noMultiLvlLbl val="0"/>
      </c:catAx>
      <c:valAx>
        <c:axId val="178352128"/>
        <c:scaling>
          <c:orientation val="minMax"/>
        </c:scaling>
        <c:delete val="0"/>
        <c:axPos val="l"/>
        <c:majorGridlines/>
        <c:title>
          <c:tx>
            <c:rich>
              <a:bodyPr rot="-5400000" vert="horz"/>
              <a:lstStyle/>
              <a:p>
                <a:pPr>
                  <a:defRPr/>
                </a:pPr>
                <a:r>
                  <a:rPr lang="en-US"/>
                  <a:t>Rate</a:t>
                </a:r>
              </a:p>
            </c:rich>
          </c:tx>
          <c:overlay val="0"/>
        </c:title>
        <c:numFmt formatCode="0" sourceLinked="0"/>
        <c:majorTickMark val="out"/>
        <c:minorTickMark val="none"/>
        <c:tickLblPos val="nextTo"/>
        <c:crossAx val="178337664"/>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'[1]Figure 17'!$D$71</c:f>
              <c:strCache>
                <c:ptCount val="1"/>
                <c:pt idx="0">
                  <c:v>NSW</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17'!$D$72:$D$78</c:f>
              <c:numCache>
                <c:formatCode>General</c:formatCode>
                <c:ptCount val="7"/>
                <c:pt idx="0">
                  <c:v>4.5596493187000009</c:v>
                </c:pt>
                <c:pt idx="1">
                  <c:v>4.8546815217753805</c:v>
                </c:pt>
                <c:pt idx="2">
                  <c:v>5.1042230198958913</c:v>
                </c:pt>
                <c:pt idx="3">
                  <c:v>5.2254179468339181</c:v>
                </c:pt>
                <c:pt idx="4">
                  <c:v>4.9708238171350132</c:v>
                </c:pt>
                <c:pt idx="5">
                  <c:v>4.7476542891999838</c:v>
                </c:pt>
                <c:pt idx="6">
                  <c:v>3.796963798333171</c:v>
                </c:pt>
              </c:numCache>
            </c:numRef>
          </c:val>
          <c:smooth val="0"/>
        </c:ser>
        <c:ser>
          <c:idx val="1"/>
          <c:order val="1"/>
          <c:tx>
            <c:strRef>
              <c:f>'[1]Figure 17'!$E$71</c:f>
              <c:strCache>
                <c:ptCount val="1"/>
                <c:pt idx="0">
                  <c:v>Vic.</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17'!$E$72:$E$78</c:f>
              <c:numCache>
                <c:formatCode>General</c:formatCode>
                <c:ptCount val="7"/>
                <c:pt idx="0">
                  <c:v>5.2583544352758107</c:v>
                </c:pt>
                <c:pt idx="1">
                  <c:v>5.9447102696903213</c:v>
                </c:pt>
                <c:pt idx="2">
                  <c:v>7.7732109317745239</c:v>
                </c:pt>
                <c:pt idx="3">
                  <c:v>9.2091279859962167</c:v>
                </c:pt>
                <c:pt idx="4">
                  <c:v>8.8422517934976845</c:v>
                </c:pt>
                <c:pt idx="5">
                  <c:v>8.7411433642611041</c:v>
                </c:pt>
                <c:pt idx="6">
                  <c:v>6.8219874702621377</c:v>
                </c:pt>
              </c:numCache>
            </c:numRef>
          </c:val>
          <c:smooth val="0"/>
        </c:ser>
        <c:ser>
          <c:idx val="2"/>
          <c:order val="2"/>
          <c:tx>
            <c:strRef>
              <c:f>'[1]Figure 17'!$F$71</c:f>
              <c:strCache>
                <c:ptCount val="1"/>
                <c:pt idx="0">
                  <c:v>Qld</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17'!$F$72:$F$78</c:f>
              <c:numCache>
                <c:formatCode>General</c:formatCode>
                <c:ptCount val="7"/>
                <c:pt idx="0">
                  <c:v>5.5846385299871475</c:v>
                </c:pt>
                <c:pt idx="1">
                  <c:v>5.6072853125150717</c:v>
                </c:pt>
                <c:pt idx="2">
                  <c:v>5.9367785378722484</c:v>
                </c:pt>
                <c:pt idx="3">
                  <c:v>5.8132041816104323</c:v>
                </c:pt>
                <c:pt idx="4">
                  <c:v>5.3294356545148709</c:v>
                </c:pt>
                <c:pt idx="5">
                  <c:v>5.9218038721702486</c:v>
                </c:pt>
                <c:pt idx="6">
                  <c:v>6.0989351620123937</c:v>
                </c:pt>
              </c:numCache>
            </c:numRef>
          </c:val>
          <c:smooth val="0"/>
        </c:ser>
        <c:ser>
          <c:idx val="3"/>
          <c:order val="3"/>
          <c:tx>
            <c:strRef>
              <c:f>'[1]Figure 17'!$G$71</c:f>
              <c:strCache>
                <c:ptCount val="1"/>
                <c:pt idx="0">
                  <c:v>SA</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17'!$G$72:$G$78</c:f>
              <c:numCache>
                <c:formatCode>General</c:formatCode>
                <c:ptCount val="7"/>
                <c:pt idx="0">
                  <c:v>4.1667250058572547</c:v>
                </c:pt>
                <c:pt idx="1">
                  <c:v>4.4769567451471834</c:v>
                </c:pt>
                <c:pt idx="2">
                  <c:v>5.0765982257978486</c:v>
                </c:pt>
                <c:pt idx="3">
                  <c:v>6.4833284922476961</c:v>
                </c:pt>
                <c:pt idx="4">
                  <c:v>7.4123649591316481</c:v>
                </c:pt>
                <c:pt idx="5">
                  <c:v>5.7007227356343568</c:v>
                </c:pt>
                <c:pt idx="6">
                  <c:v>4.0498360536946798</c:v>
                </c:pt>
              </c:numCache>
            </c:numRef>
          </c:val>
          <c:smooth val="0"/>
        </c:ser>
        <c:ser>
          <c:idx val="4"/>
          <c:order val="4"/>
          <c:tx>
            <c:strRef>
              <c:f>'[1]Figure 17'!$H$71</c:f>
              <c:strCache>
                <c:ptCount val="1"/>
                <c:pt idx="0">
                  <c:v>WA</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17'!$H$72:$H$78</c:f>
              <c:numCache>
                <c:formatCode>General</c:formatCode>
                <c:ptCount val="7"/>
                <c:pt idx="0">
                  <c:v>5.2003957374317267</c:v>
                </c:pt>
                <c:pt idx="1">
                  <c:v>5.4672460960742155</c:v>
                </c:pt>
                <c:pt idx="2">
                  <c:v>5.465194068311054</c:v>
                </c:pt>
                <c:pt idx="3">
                  <c:v>5.4151628873042892</c:v>
                </c:pt>
                <c:pt idx="4">
                  <c:v>5.3545594525434286</c:v>
                </c:pt>
                <c:pt idx="5">
                  <c:v>4.9815140698308813</c:v>
                </c:pt>
                <c:pt idx="6">
                  <c:v>4.7009081098725636</c:v>
                </c:pt>
              </c:numCache>
            </c:numRef>
          </c:val>
          <c:smooth val="0"/>
        </c:ser>
        <c:ser>
          <c:idx val="5"/>
          <c:order val="5"/>
          <c:tx>
            <c:strRef>
              <c:f>'[1]Figure 17'!$I$71</c:f>
              <c:strCache>
                <c:ptCount val="1"/>
                <c:pt idx="0">
                  <c:v>Tas.</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17'!$I$72:$I$78</c:f>
              <c:numCache>
                <c:formatCode>General</c:formatCode>
                <c:ptCount val="7"/>
                <c:pt idx="0">
                  <c:v>7.0299307890293177</c:v>
                </c:pt>
                <c:pt idx="1">
                  <c:v>7.8041663533127759</c:v>
                </c:pt>
                <c:pt idx="2">
                  <c:v>7.6877372503713488</c:v>
                </c:pt>
                <c:pt idx="3">
                  <c:v>7.4401005019055502</c:v>
                </c:pt>
                <c:pt idx="4">
                  <c:v>6.761183381654245</c:v>
                </c:pt>
                <c:pt idx="5">
                  <c:v>6.7527051912277241</c:v>
                </c:pt>
                <c:pt idx="6">
                  <c:v>6.1578165467296708</c:v>
                </c:pt>
              </c:numCache>
            </c:numRef>
          </c:val>
          <c:smooth val="0"/>
        </c:ser>
        <c:ser>
          <c:idx val="6"/>
          <c:order val="6"/>
          <c:tx>
            <c:strRef>
              <c:f>'[1]Figure 17'!$J$71</c:f>
              <c:strCache>
                <c:ptCount val="1"/>
                <c:pt idx="0">
                  <c:v>NT</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17'!$J$72:$J$78</c:f>
              <c:numCache>
                <c:formatCode>General</c:formatCode>
                <c:ptCount val="7"/>
                <c:pt idx="0">
                  <c:v>6.3861465656777829</c:v>
                </c:pt>
                <c:pt idx="1">
                  <c:v>6.6661408819835843</c:v>
                </c:pt>
                <c:pt idx="2">
                  <c:v>6.8533383187489818</c:v>
                </c:pt>
                <c:pt idx="3">
                  <c:v>6.7103313377985891</c:v>
                </c:pt>
                <c:pt idx="4">
                  <c:v>5.9397612573166798</c:v>
                </c:pt>
                <c:pt idx="5">
                  <c:v>6.2299445215778224</c:v>
                </c:pt>
                <c:pt idx="6">
                  <c:v>6.291808549254144</c:v>
                </c:pt>
              </c:numCache>
            </c:numRef>
          </c:val>
          <c:smooth val="0"/>
        </c:ser>
        <c:ser>
          <c:idx val="7"/>
          <c:order val="7"/>
          <c:tx>
            <c:strRef>
              <c:f>'[1]Figure 17'!$K$71</c:f>
              <c:strCache>
                <c:ptCount val="1"/>
                <c:pt idx="0">
                  <c:v>ACT</c:v>
                </c:pt>
              </c:strCache>
            </c:strRef>
          </c:tx>
          <c:marker>
            <c:symbol val="none"/>
          </c:marker>
          <c:cat>
            <c:numRef>
              <c:f>'[1]Figure 17'!$C$72:$C$78</c:f>
              <c:numCache>
                <c:formatCode>General</c:formatCode>
                <c:ptCount val="7"/>
                <c:pt idx="0">
                  <c:v>2009</c:v>
                </c:pt>
                <c:pt idx="1">
                  <c:v>2010</c:v>
                </c:pt>
                <c:pt idx="2">
                  <c:v>2011</c:v>
                </c:pt>
                <c:pt idx="3">
                  <c:v>2012</c:v>
                </c:pt>
                <c:pt idx="4">
                  <c:v>2013</c:v>
                </c:pt>
                <c:pt idx="5">
                  <c:v>2014</c:v>
                </c:pt>
                <c:pt idx="6">
                  <c:v>2015</c:v>
                </c:pt>
              </c:numCache>
            </c:numRef>
          </c:cat>
          <c:val>
            <c:numRef>
              <c:f>'[1]Figure 17'!$K$72:$K$78</c:f>
              <c:numCache>
                <c:formatCode>General</c:formatCode>
                <c:ptCount val="7"/>
                <c:pt idx="0">
                  <c:v>4.7952244635987418</c:v>
                </c:pt>
                <c:pt idx="1">
                  <c:v>5.2838027596931605</c:v>
                </c:pt>
                <c:pt idx="2">
                  <c:v>5.5505969409161988</c:v>
                </c:pt>
                <c:pt idx="3">
                  <c:v>6.4837340876944847</c:v>
                </c:pt>
                <c:pt idx="4">
                  <c:v>6.0254451782959668</c:v>
                </c:pt>
                <c:pt idx="5">
                  <c:v>5.8437706367594551</c:v>
                </c:pt>
                <c:pt idx="6">
                  <c:v>5.4678746596027272</c:v>
                </c:pt>
              </c:numCache>
            </c:numRef>
          </c:val>
          <c:smooth val="0"/>
        </c:ser>
        <c:dLbls>
          <c:showLegendKey val="0"/>
          <c:showVal val="0"/>
          <c:showCatName val="0"/>
          <c:showSerName val="0"/>
          <c:showPercent val="0"/>
          <c:showBubbleSize val="0"/>
        </c:dLbls>
        <c:marker val="1"/>
        <c:smooth val="0"/>
        <c:axId val="116237440"/>
        <c:axId val="116239360"/>
      </c:lineChart>
      <c:catAx>
        <c:axId val="11623744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6239360"/>
        <c:crosses val="autoZero"/>
        <c:auto val="1"/>
        <c:lblAlgn val="ctr"/>
        <c:lblOffset val="100"/>
        <c:noMultiLvlLbl val="0"/>
      </c:catAx>
      <c:valAx>
        <c:axId val="116239360"/>
        <c:scaling>
          <c:orientation val="minMax"/>
        </c:scaling>
        <c:delete val="0"/>
        <c:axPos val="l"/>
        <c:majorGridlines/>
        <c:title>
          <c:tx>
            <c:rich>
              <a:bodyPr rot="-5400000" vert="horz"/>
              <a:lstStyle/>
              <a:p>
                <a:pPr>
                  <a:defRPr/>
                </a:pPr>
                <a:r>
                  <a:rPr lang="en-US"/>
                  <a:t>Rate</a:t>
                </a:r>
              </a:p>
            </c:rich>
          </c:tx>
          <c:overlay val="0"/>
        </c:title>
        <c:numFmt formatCode="0" sourceLinked="0"/>
        <c:majorTickMark val="out"/>
        <c:minorTickMark val="none"/>
        <c:tickLblPos val="nextTo"/>
        <c:crossAx val="116237440"/>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Employment!$T$31</c:f>
              <c:strCache>
                <c:ptCount val="1"/>
                <c:pt idx="0">
                  <c:v>Full-time employed to population</c:v>
                </c:pt>
              </c:strCache>
            </c:strRef>
          </c:tx>
          <c:spPr>
            <a:ln>
              <a:solidFill>
                <a:srgbClr val="78278B"/>
              </a:solidFill>
            </a:ln>
          </c:spPr>
          <c:marker>
            <c:symbol val="none"/>
          </c:marker>
          <c:cat>
            <c:numRef>
              <c:f>Employment!$S$32:$S$51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Employment!$T$32:$T$51</c:f>
              <c:numCache>
                <c:formatCode>0.0</c:formatCode>
                <c:ptCount val="20"/>
                <c:pt idx="0">
                  <c:v>36.663507109004762</c:v>
                </c:pt>
                <c:pt idx="1">
                  <c:v>33.46934062127103</c:v>
                </c:pt>
                <c:pt idx="2">
                  <c:v>33.773702207025323</c:v>
                </c:pt>
                <c:pt idx="3">
                  <c:v>34.284601907728245</c:v>
                </c:pt>
                <c:pt idx="4">
                  <c:v>34.074819141939763</c:v>
                </c:pt>
                <c:pt idx="5">
                  <c:v>32.792827165204095</c:v>
                </c:pt>
                <c:pt idx="6">
                  <c:v>31.959693186945323</c:v>
                </c:pt>
                <c:pt idx="7">
                  <c:v>31.730875985344731</c:v>
                </c:pt>
                <c:pt idx="8">
                  <c:v>31.880357468539124</c:v>
                </c:pt>
                <c:pt idx="9">
                  <c:v>33.562946220356615</c:v>
                </c:pt>
                <c:pt idx="10">
                  <c:v>34.352733686067005</c:v>
                </c:pt>
                <c:pt idx="11">
                  <c:v>34.50643480661077</c:v>
                </c:pt>
                <c:pt idx="12">
                  <c:v>34.729934376577646</c:v>
                </c:pt>
                <c:pt idx="13">
                  <c:v>30.093279277497587</c:v>
                </c:pt>
                <c:pt idx="14">
                  <c:v>30.352979806271527</c:v>
                </c:pt>
                <c:pt idx="15">
                  <c:v>30.577943778258305</c:v>
                </c:pt>
                <c:pt idx="16">
                  <c:v>29.051460542580188</c:v>
                </c:pt>
                <c:pt idx="17">
                  <c:v>27.736519212140713</c:v>
                </c:pt>
                <c:pt idx="18">
                  <c:v>26.833809508522986</c:v>
                </c:pt>
                <c:pt idx="19">
                  <c:v>26.186443386277119</c:v>
                </c:pt>
              </c:numCache>
            </c:numRef>
          </c:val>
          <c:smooth val="0"/>
        </c:ser>
        <c:ser>
          <c:idx val="1"/>
          <c:order val="1"/>
          <c:tx>
            <c:strRef>
              <c:f>Employment!$U$31</c:f>
              <c:strCache>
                <c:ptCount val="1"/>
                <c:pt idx="0">
                  <c:v>Part-time employed to population</c:v>
                </c:pt>
              </c:strCache>
            </c:strRef>
          </c:tx>
          <c:spPr>
            <a:ln>
              <a:solidFill>
                <a:srgbClr val="449539"/>
              </a:solidFill>
            </a:ln>
          </c:spPr>
          <c:marker>
            <c:symbol val="none"/>
          </c:marker>
          <c:cat>
            <c:numRef>
              <c:f>Employment!$S$32:$S$51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Employment!$U$32:$U$51</c:f>
              <c:numCache>
                <c:formatCode>0.0</c:formatCode>
                <c:ptCount val="20"/>
                <c:pt idx="0">
                  <c:v>22.923222748815107</c:v>
                </c:pt>
                <c:pt idx="1">
                  <c:v>22.722198698949089</c:v>
                </c:pt>
                <c:pt idx="2">
                  <c:v>24.172365557973269</c:v>
                </c:pt>
                <c:pt idx="3">
                  <c:v>24.547401206930086</c:v>
                </c:pt>
                <c:pt idx="4">
                  <c:v>25.966188247127469</c:v>
                </c:pt>
                <c:pt idx="5">
                  <c:v>27.203357497138498</c:v>
                </c:pt>
                <c:pt idx="6">
                  <c:v>27.545495563242596</c:v>
                </c:pt>
                <c:pt idx="7">
                  <c:v>28.377928278005992</c:v>
                </c:pt>
                <c:pt idx="8">
                  <c:v>27.269742841509995</c:v>
                </c:pt>
                <c:pt idx="9">
                  <c:v>28.540164316722272</c:v>
                </c:pt>
                <c:pt idx="10">
                  <c:v>28.123456790123459</c:v>
                </c:pt>
                <c:pt idx="11">
                  <c:v>27.73694924610972</c:v>
                </c:pt>
                <c:pt idx="12">
                  <c:v>28.282012451623661</c:v>
                </c:pt>
                <c:pt idx="13">
                  <c:v>28.623224232835589</c:v>
                </c:pt>
                <c:pt idx="14">
                  <c:v>27.936299458217039</c:v>
                </c:pt>
                <c:pt idx="15">
                  <c:v>28.353318917502133</c:v>
                </c:pt>
                <c:pt idx="16">
                  <c:v>28.459436601392166</c:v>
                </c:pt>
                <c:pt idx="17">
                  <c:v>29.128188569583468</c:v>
                </c:pt>
                <c:pt idx="18">
                  <c:v>29.771114891977724</c:v>
                </c:pt>
                <c:pt idx="19">
                  <c:v>30.267489054360613</c:v>
                </c:pt>
              </c:numCache>
            </c:numRef>
          </c:val>
          <c:smooth val="0"/>
        </c:ser>
        <c:ser>
          <c:idx val="2"/>
          <c:order val="2"/>
          <c:tx>
            <c:strRef>
              <c:f>Employment!$V$31</c:f>
              <c:strCache>
                <c:ptCount val="1"/>
                <c:pt idx="0">
                  <c:v>Unemployment rate</c:v>
                </c:pt>
              </c:strCache>
            </c:strRef>
          </c:tx>
          <c:spPr>
            <a:ln>
              <a:solidFill>
                <a:schemeClr val="tx1"/>
              </a:solidFill>
            </a:ln>
          </c:spPr>
          <c:marker>
            <c:symbol val="none"/>
          </c:marker>
          <c:cat>
            <c:numRef>
              <c:f>Employment!$S$32:$S$51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Employment!$V$32:$V$51</c:f>
              <c:numCache>
                <c:formatCode>General</c:formatCode>
                <c:ptCount val="20"/>
                <c:pt idx="0">
                  <c:v>14.9</c:v>
                </c:pt>
                <c:pt idx="1">
                  <c:v>15.7</c:v>
                </c:pt>
                <c:pt idx="2">
                  <c:v>14</c:v>
                </c:pt>
                <c:pt idx="3">
                  <c:v>13</c:v>
                </c:pt>
                <c:pt idx="4">
                  <c:v>11.8</c:v>
                </c:pt>
                <c:pt idx="5">
                  <c:v>12.7</c:v>
                </c:pt>
                <c:pt idx="6">
                  <c:v>12.6</c:v>
                </c:pt>
                <c:pt idx="7">
                  <c:v>11.2</c:v>
                </c:pt>
                <c:pt idx="8">
                  <c:v>11.5</c:v>
                </c:pt>
                <c:pt idx="9">
                  <c:v>9.6</c:v>
                </c:pt>
                <c:pt idx="10">
                  <c:v>9.4</c:v>
                </c:pt>
                <c:pt idx="11">
                  <c:v>9.3000000000000007</c:v>
                </c:pt>
                <c:pt idx="12">
                  <c:v>7.4</c:v>
                </c:pt>
                <c:pt idx="13">
                  <c:v>11.3</c:v>
                </c:pt>
                <c:pt idx="14">
                  <c:v>11.2</c:v>
                </c:pt>
                <c:pt idx="15">
                  <c:v>10.8</c:v>
                </c:pt>
                <c:pt idx="16">
                  <c:v>11.1</c:v>
                </c:pt>
                <c:pt idx="17">
                  <c:v>12.3</c:v>
                </c:pt>
                <c:pt idx="18">
                  <c:v>12.9</c:v>
                </c:pt>
                <c:pt idx="19">
                  <c:v>12.9</c:v>
                </c:pt>
              </c:numCache>
            </c:numRef>
          </c:val>
          <c:smooth val="0"/>
        </c:ser>
        <c:dLbls>
          <c:showLegendKey val="0"/>
          <c:showVal val="0"/>
          <c:showCatName val="0"/>
          <c:showSerName val="0"/>
          <c:showPercent val="0"/>
          <c:showBubbleSize val="0"/>
        </c:dLbls>
        <c:marker val="1"/>
        <c:smooth val="0"/>
        <c:axId val="179807744"/>
        <c:axId val="179809664"/>
      </c:lineChart>
      <c:catAx>
        <c:axId val="17980774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79809664"/>
        <c:crosses val="autoZero"/>
        <c:auto val="1"/>
        <c:lblAlgn val="ctr"/>
        <c:lblOffset val="100"/>
        <c:noMultiLvlLbl val="0"/>
      </c:catAx>
      <c:valAx>
        <c:axId val="179809664"/>
        <c:scaling>
          <c:orientation val="minMax"/>
        </c:scaling>
        <c:delete val="0"/>
        <c:axPos val="l"/>
        <c:majorGridlines/>
        <c:title>
          <c:tx>
            <c:rich>
              <a:bodyPr rot="-5400000" vert="horz"/>
              <a:lstStyle/>
              <a:p>
                <a:pPr>
                  <a:defRPr/>
                </a:pPr>
                <a:r>
                  <a:rPr lang="en-US"/>
                  <a:t>Rate</a:t>
                </a:r>
              </a:p>
            </c:rich>
          </c:tx>
          <c:layout/>
          <c:overlay val="0"/>
        </c:title>
        <c:numFmt formatCode="0" sourceLinked="0"/>
        <c:majorTickMark val="out"/>
        <c:minorTickMark val="none"/>
        <c:tickLblPos val="nextTo"/>
        <c:crossAx val="179807744"/>
        <c:crosses val="autoZero"/>
        <c:crossBetween val="between"/>
      </c:valAx>
    </c:plotArea>
    <c:legend>
      <c:legendPos val="b"/>
      <c:layout>
        <c:manualLayout>
          <c:xMode val="edge"/>
          <c:yMode val="edge"/>
          <c:x val="0.10716491688538932"/>
          <c:y val="0.83410142871241155"/>
          <c:w val="0.86900349956255463"/>
          <c:h val="0.115932098893356"/>
        </c:manualLayout>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Employment!$X$31</c:f>
              <c:strCache>
                <c:ptCount val="1"/>
                <c:pt idx="0">
                  <c:v>Full-time employed to population</c:v>
                </c:pt>
              </c:strCache>
            </c:strRef>
          </c:tx>
          <c:spPr>
            <a:ln>
              <a:solidFill>
                <a:srgbClr val="78278B"/>
              </a:solidFill>
            </a:ln>
          </c:spPr>
          <c:marker>
            <c:symbol val="none"/>
          </c:marker>
          <c:cat>
            <c:numRef>
              <c:f>Employment!$W$32:$W$51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Employment!$X$32:$X$51</c:f>
              <c:numCache>
                <c:formatCode>0.0</c:formatCode>
                <c:ptCount val="20"/>
                <c:pt idx="0">
                  <c:v>44.925002142796011</c:v>
                </c:pt>
                <c:pt idx="1">
                  <c:v>44.375173527852802</c:v>
                </c:pt>
                <c:pt idx="2">
                  <c:v>44.560416838971364</c:v>
                </c:pt>
                <c:pt idx="3">
                  <c:v>44.554278229316473</c:v>
                </c:pt>
                <c:pt idx="4">
                  <c:v>45.193748147436061</c:v>
                </c:pt>
                <c:pt idx="5">
                  <c:v>43.958757356305505</c:v>
                </c:pt>
                <c:pt idx="6">
                  <c:v>44.246224704939593</c:v>
                </c:pt>
                <c:pt idx="7">
                  <c:v>44.308868219909762</c:v>
                </c:pt>
                <c:pt idx="8">
                  <c:v>44.681946948235911</c:v>
                </c:pt>
                <c:pt idx="9">
                  <c:v>45.444026396727274</c:v>
                </c:pt>
                <c:pt idx="10">
                  <c:v>45.708556444327044</c:v>
                </c:pt>
                <c:pt idx="11">
                  <c:v>46.370047035604237</c:v>
                </c:pt>
                <c:pt idx="12">
                  <c:v>46.884293909538094</c:v>
                </c:pt>
                <c:pt idx="13">
                  <c:v>45.416106225211244</c:v>
                </c:pt>
                <c:pt idx="14">
                  <c:v>45.875932671604808</c:v>
                </c:pt>
                <c:pt idx="15">
                  <c:v>45.709879210514067</c:v>
                </c:pt>
                <c:pt idx="16">
                  <c:v>45.623419948396013</c:v>
                </c:pt>
                <c:pt idx="17">
                  <c:v>45.089214363800245</c:v>
                </c:pt>
                <c:pt idx="18">
                  <c:v>44.804680626429708</c:v>
                </c:pt>
                <c:pt idx="19">
                  <c:v>44.719637141126888</c:v>
                </c:pt>
              </c:numCache>
            </c:numRef>
          </c:val>
          <c:smooth val="0"/>
        </c:ser>
        <c:ser>
          <c:idx val="1"/>
          <c:order val="1"/>
          <c:tx>
            <c:strRef>
              <c:f>Employment!$Y$31</c:f>
              <c:strCache>
                <c:ptCount val="1"/>
                <c:pt idx="0">
                  <c:v>Part-time employed to population</c:v>
                </c:pt>
              </c:strCache>
            </c:strRef>
          </c:tx>
          <c:spPr>
            <a:ln>
              <a:solidFill>
                <a:srgbClr val="449539"/>
              </a:solidFill>
            </a:ln>
          </c:spPr>
          <c:marker>
            <c:symbol val="none"/>
          </c:marker>
          <c:cat>
            <c:numRef>
              <c:f>Employment!$W$32:$W$51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Employment!$Y$32:$Y$51</c:f>
              <c:numCache>
                <c:formatCode>0.0</c:formatCode>
                <c:ptCount val="20"/>
                <c:pt idx="0">
                  <c:v>12.453072769349452</c:v>
                </c:pt>
                <c:pt idx="1">
                  <c:v>12.756505716954004</c:v>
                </c:pt>
                <c:pt idx="2">
                  <c:v>13.035315523943428</c:v>
                </c:pt>
                <c:pt idx="3">
                  <c:v>13.149951591776299</c:v>
                </c:pt>
                <c:pt idx="4">
                  <c:v>13.764650275981976</c:v>
                </c:pt>
                <c:pt idx="5">
                  <c:v>14.413625534466172</c:v>
                </c:pt>
                <c:pt idx="6">
                  <c:v>14.632040020850678</c:v>
                </c:pt>
                <c:pt idx="7">
                  <c:v>14.803388894005005</c:v>
                </c:pt>
                <c:pt idx="8">
                  <c:v>14.705882352941179</c:v>
                </c:pt>
                <c:pt idx="9">
                  <c:v>15.31696975126162</c:v>
                </c:pt>
                <c:pt idx="10">
                  <c:v>15.510896630748556</c:v>
                </c:pt>
                <c:pt idx="11">
                  <c:v>15.593059187069173</c:v>
                </c:pt>
                <c:pt idx="12">
                  <c:v>15.40163784233302</c:v>
                </c:pt>
                <c:pt idx="13">
                  <c:v>16.152440075875077</c:v>
                </c:pt>
                <c:pt idx="14">
                  <c:v>16.406218262082415</c:v>
                </c:pt>
                <c:pt idx="15">
                  <c:v>16.326856215971866</c:v>
                </c:pt>
                <c:pt idx="16">
                  <c:v>16.227944434308942</c:v>
                </c:pt>
                <c:pt idx="17">
                  <c:v>16.248457687906289</c:v>
                </c:pt>
                <c:pt idx="18">
                  <c:v>16.829642291546119</c:v>
                </c:pt>
                <c:pt idx="19">
                  <c:v>16.654307713222845</c:v>
                </c:pt>
              </c:numCache>
            </c:numRef>
          </c:val>
          <c:smooth val="0"/>
        </c:ser>
        <c:ser>
          <c:idx val="2"/>
          <c:order val="2"/>
          <c:tx>
            <c:strRef>
              <c:f>Employment!$Z$31</c:f>
              <c:strCache>
                <c:ptCount val="1"/>
                <c:pt idx="0">
                  <c:v>Unemployment rate</c:v>
                </c:pt>
              </c:strCache>
            </c:strRef>
          </c:tx>
          <c:spPr>
            <a:ln>
              <a:solidFill>
                <a:schemeClr val="tx1"/>
              </a:solidFill>
            </a:ln>
          </c:spPr>
          <c:marker>
            <c:symbol val="none"/>
          </c:marker>
          <c:cat>
            <c:numRef>
              <c:f>Employment!$W$32:$W$51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Employment!$Z$32:$Z$51</c:f>
              <c:numCache>
                <c:formatCode>General</c:formatCode>
                <c:ptCount val="20"/>
                <c:pt idx="0">
                  <c:v>6.8</c:v>
                </c:pt>
                <c:pt idx="1">
                  <c:v>6.5</c:v>
                </c:pt>
                <c:pt idx="2">
                  <c:v>6</c:v>
                </c:pt>
                <c:pt idx="3">
                  <c:v>5.3</c:v>
                </c:pt>
                <c:pt idx="4">
                  <c:v>4.5</c:v>
                </c:pt>
                <c:pt idx="5">
                  <c:v>5.2</c:v>
                </c:pt>
                <c:pt idx="6">
                  <c:v>4.5999999999999996</c:v>
                </c:pt>
                <c:pt idx="7">
                  <c:v>4.3</c:v>
                </c:pt>
                <c:pt idx="8">
                  <c:v>3.9</c:v>
                </c:pt>
                <c:pt idx="9">
                  <c:v>3.6</c:v>
                </c:pt>
                <c:pt idx="10">
                  <c:v>3.4</c:v>
                </c:pt>
                <c:pt idx="11">
                  <c:v>3</c:v>
                </c:pt>
                <c:pt idx="12">
                  <c:v>3.1</c:v>
                </c:pt>
                <c:pt idx="13">
                  <c:v>4.3</c:v>
                </c:pt>
                <c:pt idx="14">
                  <c:v>3.5</c:v>
                </c:pt>
                <c:pt idx="15">
                  <c:v>3.9</c:v>
                </c:pt>
                <c:pt idx="16">
                  <c:v>3.8</c:v>
                </c:pt>
                <c:pt idx="17">
                  <c:v>4.3</c:v>
                </c:pt>
                <c:pt idx="18">
                  <c:v>4.5999999999999996</c:v>
                </c:pt>
                <c:pt idx="19">
                  <c:v>4.8</c:v>
                </c:pt>
              </c:numCache>
            </c:numRef>
          </c:val>
          <c:smooth val="0"/>
        </c:ser>
        <c:dLbls>
          <c:showLegendKey val="0"/>
          <c:showVal val="0"/>
          <c:showCatName val="0"/>
          <c:showSerName val="0"/>
          <c:showPercent val="0"/>
          <c:showBubbleSize val="0"/>
        </c:dLbls>
        <c:marker val="1"/>
        <c:smooth val="0"/>
        <c:axId val="180593408"/>
        <c:axId val="180595328"/>
      </c:lineChart>
      <c:catAx>
        <c:axId val="18059340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80595328"/>
        <c:crosses val="autoZero"/>
        <c:auto val="1"/>
        <c:lblAlgn val="ctr"/>
        <c:lblOffset val="100"/>
        <c:noMultiLvlLbl val="0"/>
      </c:catAx>
      <c:valAx>
        <c:axId val="180595328"/>
        <c:scaling>
          <c:orientation val="minMax"/>
        </c:scaling>
        <c:delete val="0"/>
        <c:axPos val="l"/>
        <c:majorGridlines/>
        <c:title>
          <c:tx>
            <c:rich>
              <a:bodyPr rot="-5400000" vert="horz"/>
              <a:lstStyle/>
              <a:p>
                <a:pPr>
                  <a:defRPr/>
                </a:pPr>
                <a:r>
                  <a:rPr lang="en-US"/>
                  <a:t>Rate</a:t>
                </a:r>
              </a:p>
            </c:rich>
          </c:tx>
          <c:overlay val="0"/>
        </c:title>
        <c:numFmt formatCode="0" sourceLinked="0"/>
        <c:majorTickMark val="out"/>
        <c:minorTickMark val="none"/>
        <c:tickLblPos val="nextTo"/>
        <c:crossAx val="180593408"/>
        <c:crosses val="autoZero"/>
        <c:crossBetween val="between"/>
      </c:valAx>
    </c:plotArea>
    <c:legend>
      <c:legendPos val="b"/>
      <c:layout>
        <c:manualLayout>
          <c:xMode val="edge"/>
          <c:yMode val="edge"/>
          <c:x val="0.10716491688538932"/>
          <c:y val="0.80467045785943425"/>
          <c:w val="0.85789238845144344"/>
          <c:h val="0.13051472732575095"/>
        </c:manualLayout>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[1]Sheet1!$B$169</c:f>
              <c:strCache>
                <c:ptCount val="1"/>
                <c:pt idx="0">
                  <c:v>Trade</c:v>
                </c:pt>
              </c:strCache>
            </c:strRef>
          </c:tx>
          <c:spPr>
            <a:ln>
              <a:solidFill>
                <a:srgbClr val="78278B"/>
              </a:solidFill>
            </a:ln>
          </c:spPr>
          <c:marker>
            <c:symbol val="none"/>
          </c:marker>
          <c:cat>
            <c:numRef>
              <c:f>[1]Sheet1!$C$164:$V$164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[1]Sheet1!$C$169:$V$169</c:f>
              <c:numCache>
                <c:formatCode>General</c:formatCode>
                <c:ptCount val="20"/>
                <c:pt idx="0">
                  <c:v>9.1315606911862162</c:v>
                </c:pt>
                <c:pt idx="1">
                  <c:v>9.192371212376873</c:v>
                </c:pt>
                <c:pt idx="2">
                  <c:v>9.1452473371775973</c:v>
                </c:pt>
                <c:pt idx="3">
                  <c:v>9.5125855936297938</c:v>
                </c:pt>
                <c:pt idx="4">
                  <c:v>9.6291633438117881</c:v>
                </c:pt>
                <c:pt idx="5">
                  <c:v>9.7907616796982335</c:v>
                </c:pt>
                <c:pt idx="6">
                  <c:v>10.046112323100807</c:v>
                </c:pt>
                <c:pt idx="7">
                  <c:v>10.454075049859568</c:v>
                </c:pt>
                <c:pt idx="8">
                  <c:v>10.759384909867485</c:v>
                </c:pt>
                <c:pt idx="9">
                  <c:v>11.347719721504442</c:v>
                </c:pt>
                <c:pt idx="10">
                  <c:v>11.932532945489159</c:v>
                </c:pt>
                <c:pt idx="11">
                  <c:v>12.284091877176722</c:v>
                </c:pt>
                <c:pt idx="12">
                  <c:v>12.998187215489729</c:v>
                </c:pt>
                <c:pt idx="13">
                  <c:v>12.487405865725865</c:v>
                </c:pt>
                <c:pt idx="14">
                  <c:v>13.051089982884781</c:v>
                </c:pt>
                <c:pt idx="15">
                  <c:v>13.08280605552323</c:v>
                </c:pt>
                <c:pt idx="16">
                  <c:v>12.945855718984605</c:v>
                </c:pt>
                <c:pt idx="17">
                  <c:v>12.648721566066007</c:v>
                </c:pt>
                <c:pt idx="18">
                  <c:v>11.727954400875321</c:v>
                </c:pt>
                <c:pt idx="19">
                  <c:v>10.847258603319036</c:v>
                </c:pt>
              </c:numCache>
            </c:numRef>
          </c:val>
          <c:smooth val="0"/>
        </c:ser>
        <c:dLbls>
          <c:showLegendKey val="0"/>
          <c:showVal val="0"/>
          <c:showCatName val="0"/>
          <c:showSerName val="0"/>
          <c:showPercent val="0"/>
          <c:showBubbleSize val="0"/>
        </c:dLbls>
        <c:marker val="1"/>
        <c:smooth val="0"/>
        <c:axId val="202658560"/>
        <c:axId val="202660480"/>
      </c:lineChart>
      <c:lineChart>
        <c:grouping val="standard"/>
        <c:varyColors val="0"/>
        <c:ser>
          <c:idx val="2"/>
          <c:order val="1"/>
          <c:tx>
            <c:strRef>
              <c:f>[1]Sheet1!$B$174</c:f>
              <c:strCache>
                <c:ptCount val="1"/>
                <c:pt idx="0">
                  <c:v>Unemployment rate</c:v>
                </c:pt>
              </c:strCache>
            </c:strRef>
          </c:tx>
          <c:spPr>
            <a:ln>
              <a:solidFill>
                <a:srgbClr val="439539"/>
              </a:solidFill>
            </a:ln>
          </c:spPr>
          <c:marker>
            <c:symbol val="none"/>
          </c:marker>
          <c:cat>
            <c:numRef>
              <c:f>[1]Sheet1!$C$164:$V$164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[1]Sheet1!$C$174:$V$174</c:f>
              <c:numCache>
                <c:formatCode>General</c:formatCode>
                <c:ptCount val="20"/>
                <c:pt idx="0">
                  <c:v>8.4817026999999996</c:v>
                </c:pt>
                <c:pt idx="1">
                  <c:v>8.4847131999999998</c:v>
                </c:pt>
                <c:pt idx="2">
                  <c:v>7.7979219999999998</c:v>
                </c:pt>
                <c:pt idx="3">
                  <c:v>6.8495124000000001</c:v>
                </c:pt>
                <c:pt idx="4">
                  <c:v>6.1412990000000001</c:v>
                </c:pt>
                <c:pt idx="5">
                  <c:v>6.8726028000000001</c:v>
                </c:pt>
                <c:pt idx="6">
                  <c:v>6.3196748999999999</c:v>
                </c:pt>
                <c:pt idx="7">
                  <c:v>6.0187040999999999</c:v>
                </c:pt>
                <c:pt idx="8">
                  <c:v>5.4565842</c:v>
                </c:pt>
                <c:pt idx="9">
                  <c:v>5.0045719999999996</c:v>
                </c:pt>
                <c:pt idx="10">
                  <c:v>4.7659922000000003</c:v>
                </c:pt>
                <c:pt idx="11">
                  <c:v>4.2814136999999999</c:v>
                </c:pt>
                <c:pt idx="12">
                  <c:v>4.1885572</c:v>
                </c:pt>
                <c:pt idx="13">
                  <c:v>5.7683080000000002</c:v>
                </c:pt>
                <c:pt idx="14">
                  <c:v>5.2250012999999997</c:v>
                </c:pt>
                <c:pt idx="15">
                  <c:v>5.0285194999999998</c:v>
                </c:pt>
                <c:pt idx="16">
                  <c:v>5.1549620999999997</c:v>
                </c:pt>
                <c:pt idx="17">
                  <c:v>5.6579125000000001</c:v>
                </c:pt>
                <c:pt idx="18">
                  <c:v>6.0319957000000004</c:v>
                </c:pt>
                <c:pt idx="19">
                  <c:v>6.1292536999999996</c:v>
                </c:pt>
              </c:numCache>
            </c:numRef>
          </c:val>
          <c:smooth val="0"/>
        </c:ser>
        <c:dLbls>
          <c:showLegendKey val="0"/>
          <c:showVal val="0"/>
          <c:showCatName val="0"/>
          <c:showSerName val="0"/>
          <c:showPercent val="0"/>
          <c:showBubbleSize val="0"/>
        </c:dLbls>
        <c:marker val="1"/>
        <c:smooth val="0"/>
        <c:axId val="202668672"/>
        <c:axId val="202666752"/>
      </c:lineChart>
      <c:catAx>
        <c:axId val="20265856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02660480"/>
        <c:crosses val="autoZero"/>
        <c:auto val="1"/>
        <c:lblAlgn val="ctr"/>
        <c:lblOffset val="100"/>
        <c:noMultiLvlLbl val="0"/>
      </c:catAx>
      <c:valAx>
        <c:axId val="202660480"/>
        <c:scaling>
          <c:orientation val="minMax"/>
        </c:scaling>
        <c:delete val="0"/>
        <c:axPos val="l"/>
        <c:majorGridlines/>
        <c:title>
          <c:tx>
            <c:rich>
              <a:bodyPr rot="-5400000" vert="horz"/>
              <a:lstStyle/>
              <a:p>
                <a:pPr>
                  <a:defRPr/>
                </a:pPr>
                <a:r>
                  <a:rPr lang="en-AU"/>
                  <a:t>Proportion of respective labour force</a:t>
                </a:r>
              </a:p>
            </c:rich>
          </c:tx>
          <c:overlay val="0"/>
        </c:title>
        <c:numFmt formatCode="General" sourceLinked="1"/>
        <c:majorTickMark val="out"/>
        <c:minorTickMark val="none"/>
        <c:tickLblPos val="nextTo"/>
        <c:crossAx val="202658560"/>
        <c:crosses val="autoZero"/>
        <c:crossBetween val="between"/>
      </c:valAx>
      <c:valAx>
        <c:axId val="202666752"/>
        <c:scaling>
          <c:orientation val="minMax"/>
          <c:max val="14"/>
          <c:min val="0"/>
        </c:scaling>
        <c:delete val="0"/>
        <c:axPos val="r"/>
        <c:title>
          <c:tx>
            <c:rich>
              <a:bodyPr rot="-5400000" vert="horz"/>
              <a:lstStyle/>
              <a:p>
                <a:pPr>
                  <a:defRPr/>
                </a:pPr>
                <a:r>
                  <a:rPr lang="en-AU"/>
                  <a:t>Unemployment rate</a:t>
                </a:r>
              </a:p>
            </c:rich>
          </c:tx>
          <c:overlay val="0"/>
        </c:title>
        <c:numFmt formatCode="0;\-0;0;@" sourceLinked="0"/>
        <c:majorTickMark val="out"/>
        <c:minorTickMark val="none"/>
        <c:tickLblPos val="nextTo"/>
        <c:crossAx val="202668672"/>
        <c:crosses val="max"/>
        <c:crossBetween val="between"/>
      </c:valAx>
      <c:catAx>
        <c:axId val="202668672"/>
        <c:scaling>
          <c:orientation val="minMax"/>
        </c:scaling>
        <c:delete val="1"/>
        <c:axPos val="b"/>
        <c:numFmt formatCode="General" sourceLinked="1"/>
        <c:majorTickMark val="out"/>
        <c:minorTickMark val="none"/>
        <c:tickLblPos val="nextTo"/>
        <c:crossAx val="2026667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'[1]Figure 9_data'!$A$40</c:f>
              <c:strCache>
                <c:ptCount val="1"/>
                <c:pt idx="0">
                  <c:v>1996</c:v>
                </c:pt>
              </c:strCache>
            </c:strRef>
          </c:tx>
          <c:spPr>
            <a:solidFill>
              <a:srgbClr val="78278B"/>
            </a:solidFill>
          </c:spPr>
          <c:invertIfNegative val="0"/>
          <c:cat>
            <c:strRef>
              <c:f>'[1]Figure 9_data'!$B$39:$T$39</c:f>
              <c:strCache>
                <c:ptCount val="19"/>
                <c:pt idx="0">
                  <c:v>Agriculture, Forestry and Fishing</c:v>
                </c:pt>
                <c:pt idx="1">
                  <c:v>Mining </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 </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'[1]Figure 9_data'!$B$40:$T$40</c:f>
              <c:numCache>
                <c:formatCode>General</c:formatCode>
                <c:ptCount val="19"/>
                <c:pt idx="0">
                  <c:v>4.851158562386539</c:v>
                </c:pt>
                <c:pt idx="1">
                  <c:v>1.0468134271238141</c:v>
                </c:pt>
                <c:pt idx="2">
                  <c:v>12.901454727729083</c:v>
                </c:pt>
                <c:pt idx="3">
                  <c:v>0.96987863549304276</c:v>
                </c:pt>
                <c:pt idx="4">
                  <c:v>7.1619263752486377</c:v>
                </c:pt>
                <c:pt idx="5">
                  <c:v>4.9485387017539697</c:v>
                </c:pt>
                <c:pt idx="6">
                  <c:v>11.290773065782455</c:v>
                </c:pt>
                <c:pt idx="7">
                  <c:v>6.5016284370655324</c:v>
                </c:pt>
                <c:pt idx="8">
                  <c:v>5.2014106029880089</c:v>
                </c:pt>
                <c:pt idx="9">
                  <c:v>2.4521231339570462</c:v>
                </c:pt>
                <c:pt idx="10">
                  <c:v>3.8347418749266553</c:v>
                </c:pt>
                <c:pt idx="11">
                  <c:v>1.4132779969837819</c:v>
                </c:pt>
                <c:pt idx="12">
                  <c:v>6.1287687405231157</c:v>
                </c:pt>
                <c:pt idx="13">
                  <c:v>2.8955973704655733</c:v>
                </c:pt>
                <c:pt idx="14">
                  <c:v>5.6645091145949564</c:v>
                </c:pt>
                <c:pt idx="15">
                  <c:v>7.208757577875466</c:v>
                </c:pt>
                <c:pt idx="16">
                  <c:v>9.1625052507626901</c:v>
                </c:pt>
                <c:pt idx="17">
                  <c:v>1.4366820737719725</c:v>
                </c:pt>
                <c:pt idx="18">
                  <c:v>4.9072951861210763</c:v>
                </c:pt>
              </c:numCache>
            </c:numRef>
          </c:val>
        </c:ser>
        <c:ser>
          <c:idx val="1"/>
          <c:order val="1"/>
          <c:tx>
            <c:strRef>
              <c:f>'[1]Figure 9_data'!$A$41</c:f>
              <c:strCache>
                <c:ptCount val="1"/>
                <c:pt idx="0">
                  <c:v>2015</c:v>
                </c:pt>
              </c:strCache>
            </c:strRef>
          </c:tx>
          <c:spPr>
            <a:solidFill>
              <a:srgbClr val="439539"/>
            </a:solidFill>
          </c:spPr>
          <c:invertIfNegative val="0"/>
          <c:cat>
            <c:strRef>
              <c:f>'[1]Figure 9_data'!$B$39:$T$39</c:f>
              <c:strCache>
                <c:ptCount val="19"/>
                <c:pt idx="0">
                  <c:v>Agriculture, Forestry and Fishing</c:v>
                </c:pt>
                <c:pt idx="1">
                  <c:v>Mining </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 </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'[1]Figure 9_data'!$B$41:$T$41</c:f>
              <c:numCache>
                <c:formatCode>General</c:formatCode>
                <c:ptCount val="19"/>
                <c:pt idx="0">
                  <c:v>2.5667362522811596</c:v>
                </c:pt>
                <c:pt idx="1">
                  <c:v>1.9169204245098885</c:v>
                </c:pt>
                <c:pt idx="2">
                  <c:v>7.4945316472102679</c:v>
                </c:pt>
                <c:pt idx="3">
                  <c:v>1.1806676056279317</c:v>
                </c:pt>
                <c:pt idx="4">
                  <c:v>8.83415962034538</c:v>
                </c:pt>
                <c:pt idx="5">
                  <c:v>3.3176249154405402</c:v>
                </c:pt>
                <c:pt idx="6">
                  <c:v>10.55887743010288</c:v>
                </c:pt>
                <c:pt idx="7">
                  <c:v>6.9846144668518475</c:v>
                </c:pt>
                <c:pt idx="8">
                  <c:v>5.1815368925072569</c:v>
                </c:pt>
                <c:pt idx="9">
                  <c:v>1.8051228625968145</c:v>
                </c:pt>
                <c:pt idx="10">
                  <c:v>3.5666492139599235</c:v>
                </c:pt>
                <c:pt idx="11">
                  <c:v>1.8104678760973845</c:v>
                </c:pt>
                <c:pt idx="12">
                  <c:v>8.6151660909689305</c:v>
                </c:pt>
                <c:pt idx="13">
                  <c:v>3.5041943283010886</c:v>
                </c:pt>
                <c:pt idx="14">
                  <c:v>6.2441086975643874</c:v>
                </c:pt>
                <c:pt idx="15">
                  <c:v>7.8680435286284434</c:v>
                </c:pt>
                <c:pt idx="16">
                  <c:v>12.712786820005888</c:v>
                </c:pt>
                <c:pt idx="17">
                  <c:v>1.9361940233740191</c:v>
                </c:pt>
                <c:pt idx="18">
                  <c:v>4.0495776433257742</c:v>
                </c:pt>
              </c:numCache>
            </c:numRef>
          </c:val>
        </c:ser>
        <c:dLbls>
          <c:showLegendKey val="0"/>
          <c:showVal val="0"/>
          <c:showCatName val="0"/>
          <c:showSerName val="0"/>
          <c:showPercent val="0"/>
          <c:showBubbleSize val="0"/>
        </c:dLbls>
        <c:gapWidth val="150"/>
        <c:axId val="219598848"/>
        <c:axId val="219600384"/>
      </c:barChart>
      <c:catAx>
        <c:axId val="219598848"/>
        <c:scaling>
          <c:orientation val="minMax"/>
        </c:scaling>
        <c:delete val="0"/>
        <c:axPos val="b"/>
        <c:majorTickMark val="out"/>
        <c:minorTickMark val="none"/>
        <c:tickLblPos val="nextTo"/>
        <c:crossAx val="219600384"/>
        <c:crosses val="autoZero"/>
        <c:auto val="1"/>
        <c:lblAlgn val="ctr"/>
        <c:lblOffset val="100"/>
        <c:noMultiLvlLbl val="0"/>
      </c:catAx>
      <c:valAx>
        <c:axId val="219600384"/>
        <c:scaling>
          <c:orientation val="minMax"/>
        </c:scaling>
        <c:delete val="0"/>
        <c:axPos val="l"/>
        <c:majorGridlines/>
        <c:title>
          <c:tx>
            <c:rich>
              <a:bodyPr rot="-5400000" vert="horz"/>
              <a:lstStyle/>
              <a:p>
                <a:pPr>
                  <a:defRPr/>
                </a:pPr>
                <a:r>
                  <a:rPr lang="en-US"/>
                  <a:t>Proportion of all</a:t>
                </a:r>
                <a:r>
                  <a:rPr lang="en-US" baseline="0"/>
                  <a:t> industry sectors</a:t>
                </a:r>
                <a:endParaRPr lang="en-US"/>
              </a:p>
            </c:rich>
          </c:tx>
          <c:layout>
            <c:manualLayout>
              <c:xMode val="edge"/>
              <c:yMode val="edge"/>
              <c:x val="2.5188916876574308E-2"/>
              <c:y val="1.9464720194647202E-2"/>
            </c:manualLayout>
          </c:layout>
          <c:overlay val="0"/>
        </c:title>
        <c:numFmt formatCode="#,##0" sourceLinked="0"/>
        <c:majorTickMark val="out"/>
        <c:minorTickMark val="none"/>
        <c:tickLblPos val="nextTo"/>
        <c:crossAx val="219598848"/>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'[1]Figure 10_data'!$A$17</c:f>
              <c:strCache>
                <c:ptCount val="1"/>
                <c:pt idx="0">
                  <c:v>1996</c:v>
                </c:pt>
              </c:strCache>
            </c:strRef>
          </c:tx>
          <c:spPr>
            <a:solidFill>
              <a:srgbClr val="439539"/>
            </a:solidFill>
          </c:spPr>
          <c:invertIfNegative val="0"/>
          <c:cat>
            <c:strRef>
              <c:f>'[1]Figure 10_data'!$B$16:$I$16</c:f>
              <c:strCache>
                <c:ptCount val="8"/>
                <c:pt idx="0">
                  <c:v>Managers </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'[1]Figure 10_data'!$B$17:$I$17</c:f>
              <c:numCache>
                <c:formatCode>General</c:formatCode>
                <c:ptCount val="8"/>
                <c:pt idx="0">
                  <c:v>11.80939230372717</c:v>
                </c:pt>
                <c:pt idx="1">
                  <c:v>17.297471771216589</c:v>
                </c:pt>
                <c:pt idx="2">
                  <c:v>15.957185289120506</c:v>
                </c:pt>
                <c:pt idx="3">
                  <c:v>7.3943568484472229</c:v>
                </c:pt>
                <c:pt idx="4">
                  <c:v>17.01764025689161</c:v>
                </c:pt>
                <c:pt idx="5">
                  <c:v>10.364494320594995</c:v>
                </c:pt>
                <c:pt idx="6">
                  <c:v>7.6345469404058122</c:v>
                </c:pt>
                <c:pt idx="7">
                  <c:v>12.524912269596092</c:v>
                </c:pt>
              </c:numCache>
            </c:numRef>
          </c:val>
        </c:ser>
        <c:ser>
          <c:idx val="1"/>
          <c:order val="1"/>
          <c:tx>
            <c:strRef>
              <c:f>'[1]Figure 10_data'!$A$18</c:f>
              <c:strCache>
                <c:ptCount val="1"/>
                <c:pt idx="0">
                  <c:v>2015</c:v>
                </c:pt>
              </c:strCache>
            </c:strRef>
          </c:tx>
          <c:spPr>
            <a:solidFill>
              <a:srgbClr val="78278B"/>
            </a:solidFill>
          </c:spPr>
          <c:invertIfNegative val="0"/>
          <c:cat>
            <c:strRef>
              <c:f>'[1]Figure 10_data'!$B$16:$I$16</c:f>
              <c:strCache>
                <c:ptCount val="8"/>
                <c:pt idx="0">
                  <c:v>Managers </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'[1]Figure 10_data'!$B$18:$I$18</c:f>
              <c:numCache>
                <c:formatCode>General</c:formatCode>
                <c:ptCount val="8"/>
                <c:pt idx="0">
                  <c:v>13.094124684143441</c:v>
                </c:pt>
                <c:pt idx="1">
                  <c:v>23.109572791522879</c:v>
                </c:pt>
                <c:pt idx="2">
                  <c:v>14.643295673616711</c:v>
                </c:pt>
                <c:pt idx="3">
                  <c:v>10.399842695169918</c:v>
                </c:pt>
                <c:pt idx="4">
                  <c:v>13.826183904056499</c:v>
                </c:pt>
                <c:pt idx="5">
                  <c:v>9.3261210914208608</c:v>
                </c:pt>
                <c:pt idx="6">
                  <c:v>6.2634439188814488</c:v>
                </c:pt>
                <c:pt idx="7">
                  <c:v>9.3374152420439458</c:v>
                </c:pt>
              </c:numCache>
            </c:numRef>
          </c:val>
        </c:ser>
        <c:dLbls>
          <c:showLegendKey val="0"/>
          <c:showVal val="0"/>
          <c:showCatName val="0"/>
          <c:showSerName val="0"/>
          <c:showPercent val="0"/>
          <c:showBubbleSize val="0"/>
        </c:dLbls>
        <c:gapWidth val="150"/>
        <c:axId val="42641664"/>
        <c:axId val="42655744"/>
      </c:barChart>
      <c:catAx>
        <c:axId val="42641664"/>
        <c:scaling>
          <c:orientation val="minMax"/>
        </c:scaling>
        <c:delete val="0"/>
        <c:axPos val="l"/>
        <c:majorTickMark val="out"/>
        <c:minorTickMark val="none"/>
        <c:tickLblPos val="nextTo"/>
        <c:crossAx val="42655744"/>
        <c:crosses val="autoZero"/>
        <c:auto val="1"/>
        <c:lblAlgn val="ctr"/>
        <c:lblOffset val="100"/>
        <c:noMultiLvlLbl val="0"/>
      </c:catAx>
      <c:valAx>
        <c:axId val="42655744"/>
        <c:scaling>
          <c:orientation val="minMax"/>
        </c:scaling>
        <c:delete val="0"/>
        <c:axPos val="b"/>
        <c:majorGridlines/>
        <c:title>
          <c:tx>
            <c:rich>
              <a:bodyPr/>
              <a:lstStyle/>
              <a:p>
                <a:pPr>
                  <a:defRPr/>
                </a:pPr>
                <a:r>
                  <a:rPr lang="en-US"/>
                  <a:t>Proportion of all occupational groups</a:t>
                </a:r>
              </a:p>
            </c:rich>
          </c:tx>
          <c:layout/>
          <c:overlay val="0"/>
        </c:title>
        <c:numFmt formatCode="0" sourceLinked="0"/>
        <c:majorTickMark val="out"/>
        <c:minorTickMark val="none"/>
        <c:tickLblPos val="nextTo"/>
        <c:crossAx val="42641664"/>
        <c:crosses val="autoZero"/>
        <c:crossBetween val="between"/>
      </c:valAx>
    </c:plotArea>
    <c:legend>
      <c:legendPos val="b"/>
      <c:layout/>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'Figure 11'!$B$22</c:f>
              <c:strCache>
                <c:ptCount val="1"/>
                <c:pt idx="0">
                  <c:v>2003</c:v>
                </c:pt>
              </c:strCache>
            </c:strRef>
          </c:tx>
          <c:spPr>
            <a:solidFill>
              <a:srgbClr val="449539"/>
            </a:solidFill>
          </c:spPr>
          <c:invertIfNegative val="0"/>
          <c:cat>
            <c:strRef>
              <c:f>'Figure 11'!$A$23:$A$35</c:f>
              <c:strCache>
                <c:ptCount val="13"/>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pt idx="10">
                  <c:v>Food, hospitality and personal services</c:v>
                </c:pt>
                <c:pt idx="11">
                  <c:v>Mixed field programmes</c:v>
                </c:pt>
                <c:pt idx="12">
                  <c:v>Other</c:v>
                </c:pt>
              </c:strCache>
            </c:strRef>
          </c:cat>
          <c:val>
            <c:numRef>
              <c:f>'Figure 11'!$B$23:$B$35</c:f>
              <c:numCache>
                <c:formatCode>0.0</c:formatCode>
                <c:ptCount val="13"/>
                <c:pt idx="0">
                  <c:v>0.38264442760574741</c:v>
                </c:pt>
                <c:pt idx="1">
                  <c:v>4.3254753853848804</c:v>
                </c:pt>
                <c:pt idx="2">
                  <c:v>15.647928790279325</c:v>
                </c:pt>
                <c:pt idx="3">
                  <c:v>6.0313818747061125</c:v>
                </c:pt>
                <c:pt idx="4">
                  <c:v>4.9526336754650515</c:v>
                </c:pt>
                <c:pt idx="5">
                  <c:v>6.1173990002605674</c:v>
                </c:pt>
                <c:pt idx="6">
                  <c:v>3.3677861072758151</c:v>
                </c:pt>
                <c:pt idx="7">
                  <c:v>21.915558257733871</c:v>
                </c:pt>
                <c:pt idx="8">
                  <c:v>10.708772728497951</c:v>
                </c:pt>
                <c:pt idx="9">
                  <c:v>3.5893580762353752</c:v>
                </c:pt>
                <c:pt idx="10">
                  <c:v>9.4742832155789376</c:v>
                </c:pt>
                <c:pt idx="11">
                  <c:v>9.9498333268441126</c:v>
                </c:pt>
                <c:pt idx="12">
                  <c:v>3.536945134132198</c:v>
                </c:pt>
              </c:numCache>
            </c:numRef>
          </c:val>
        </c:ser>
        <c:ser>
          <c:idx val="1"/>
          <c:order val="1"/>
          <c:tx>
            <c:strRef>
              <c:f>'Figure 11'!$C$22</c:f>
              <c:strCache>
                <c:ptCount val="1"/>
                <c:pt idx="0">
                  <c:v>2015</c:v>
                </c:pt>
              </c:strCache>
            </c:strRef>
          </c:tx>
          <c:spPr>
            <a:solidFill>
              <a:srgbClr val="78278B"/>
            </a:solidFill>
          </c:spPr>
          <c:invertIfNegative val="0"/>
          <c:cat>
            <c:strRef>
              <c:f>'Figure 11'!$A$23:$A$35</c:f>
              <c:strCache>
                <c:ptCount val="13"/>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pt idx="10">
                  <c:v>Food, hospitality and personal services</c:v>
                </c:pt>
                <c:pt idx="11">
                  <c:v>Mixed field programmes</c:v>
                </c:pt>
                <c:pt idx="12">
                  <c:v>Other</c:v>
                </c:pt>
              </c:strCache>
            </c:strRef>
          </c:cat>
          <c:val>
            <c:numRef>
              <c:f>'Figure 11'!$C$23:$C$35</c:f>
              <c:numCache>
                <c:formatCode>0.0</c:formatCode>
                <c:ptCount val="13"/>
                <c:pt idx="0">
                  <c:v>0.68341919882241509</c:v>
                </c:pt>
                <c:pt idx="1">
                  <c:v>2.0733511573065813</c:v>
                </c:pt>
                <c:pt idx="2">
                  <c:v>17.127411368290378</c:v>
                </c:pt>
                <c:pt idx="3">
                  <c:v>8.3685682242616348</c:v>
                </c:pt>
                <c:pt idx="4">
                  <c:v>3.5320631249029937</c:v>
                </c:pt>
                <c:pt idx="5">
                  <c:v>5.1548082170519249</c:v>
                </c:pt>
                <c:pt idx="6">
                  <c:v>5.7320846538594346</c:v>
                </c:pt>
                <c:pt idx="7">
                  <c:v>16.050650625090771</c:v>
                </c:pt>
                <c:pt idx="8">
                  <c:v>12.252917674271893</c:v>
                </c:pt>
                <c:pt idx="9">
                  <c:v>2.1359979171986332</c:v>
                </c:pt>
                <c:pt idx="10">
                  <c:v>8.5873625025659504</c:v>
                </c:pt>
                <c:pt idx="11">
                  <c:v>9.3929460123866857</c:v>
                </c:pt>
                <c:pt idx="12">
                  <c:v>8.9084193239907652</c:v>
                </c:pt>
              </c:numCache>
            </c:numRef>
          </c:val>
        </c:ser>
        <c:dLbls>
          <c:showLegendKey val="0"/>
          <c:showVal val="0"/>
          <c:showCatName val="0"/>
          <c:showSerName val="0"/>
          <c:showPercent val="0"/>
          <c:showBubbleSize val="0"/>
        </c:dLbls>
        <c:gapWidth val="150"/>
        <c:axId val="176198400"/>
        <c:axId val="176199936"/>
      </c:barChart>
      <c:catAx>
        <c:axId val="176198400"/>
        <c:scaling>
          <c:orientation val="minMax"/>
        </c:scaling>
        <c:delete val="0"/>
        <c:axPos val="l"/>
        <c:majorTickMark val="out"/>
        <c:minorTickMark val="none"/>
        <c:tickLblPos val="nextTo"/>
        <c:crossAx val="176199936"/>
        <c:crosses val="autoZero"/>
        <c:auto val="1"/>
        <c:lblAlgn val="ctr"/>
        <c:lblOffset val="100"/>
        <c:noMultiLvlLbl val="0"/>
      </c:catAx>
      <c:valAx>
        <c:axId val="176199936"/>
        <c:scaling>
          <c:orientation val="minMax"/>
        </c:scaling>
        <c:delete val="0"/>
        <c:axPos val="b"/>
        <c:majorGridlines/>
        <c:title>
          <c:tx>
            <c:rich>
              <a:bodyPr/>
              <a:lstStyle/>
              <a:p>
                <a:pPr>
                  <a:defRPr/>
                </a:pPr>
                <a:r>
                  <a:rPr lang="en-US"/>
                  <a:t>Proportion of all students</a:t>
                </a:r>
              </a:p>
            </c:rich>
          </c:tx>
          <c:overlay val="0"/>
        </c:title>
        <c:numFmt formatCode="0" sourceLinked="0"/>
        <c:majorTickMark val="out"/>
        <c:minorTickMark val="none"/>
        <c:tickLblPos val="nextTo"/>
        <c:crossAx val="176198400"/>
        <c:crosses val="autoZero"/>
        <c:crossBetween val="between"/>
      </c:valAx>
    </c:plotArea>
    <c:legend>
      <c:legendPos val="r"/>
      <c:overlay val="0"/>
      <c:spPr>
        <a:ln>
          <a:noFill/>
        </a:ln>
      </c:spPr>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1'!$C$4</c:f>
              <c:strCache>
                <c:ptCount val="1"/>
                <c:pt idx="0">
                  <c:v>Male</c:v>
                </c:pt>
              </c:strCache>
            </c:strRef>
          </c:tx>
          <c:spPr>
            <a:ln>
              <a:solidFill>
                <a:srgbClr val="78278B"/>
              </a:solidFill>
            </a:ln>
          </c:spPr>
          <c:marker>
            <c:symbol val="none"/>
          </c:marker>
          <c:cat>
            <c:numRef>
              <c:f>'Figure 1'!$B$5:$B$24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1'!$C$5:$C$24</c:f>
              <c:numCache>
                <c:formatCode>#\ ##0.0</c:formatCode>
                <c:ptCount val="20"/>
                <c:pt idx="0">
                  <c:v>689.82799999999872</c:v>
                </c:pt>
                <c:pt idx="1">
                  <c:v>730.50599999999997</c:v>
                </c:pt>
                <c:pt idx="2">
                  <c:v>765.36300000000006</c:v>
                </c:pt>
                <c:pt idx="3">
                  <c:v>824.44099999999946</c:v>
                </c:pt>
                <c:pt idx="4">
                  <c:v>871.15099999999939</c:v>
                </c:pt>
                <c:pt idx="5">
                  <c:v>864.09199999999998</c:v>
                </c:pt>
                <c:pt idx="6">
                  <c:v>873.70600000000002</c:v>
                </c:pt>
                <c:pt idx="7">
                  <c:v>863.79900000000055</c:v>
                </c:pt>
                <c:pt idx="8">
                  <c:v>822.37900000000002</c:v>
                </c:pt>
                <c:pt idx="9">
                  <c:v>836.17499999999995</c:v>
                </c:pt>
                <c:pt idx="10">
                  <c:v>865.09699999999998</c:v>
                </c:pt>
                <c:pt idx="11">
                  <c:v>856.25</c:v>
                </c:pt>
                <c:pt idx="12">
                  <c:v>878.97</c:v>
                </c:pt>
                <c:pt idx="13">
                  <c:v>885.68700000000001</c:v>
                </c:pt>
                <c:pt idx="14">
                  <c:v>931.84699999999884</c:v>
                </c:pt>
                <c:pt idx="15">
                  <c:v>964.52099999999996</c:v>
                </c:pt>
                <c:pt idx="16">
                  <c:v>994.45599999999911</c:v>
                </c:pt>
                <c:pt idx="17">
                  <c:v>965.94199999999898</c:v>
                </c:pt>
                <c:pt idx="18">
                  <c:v>932.64699999999948</c:v>
                </c:pt>
                <c:pt idx="19">
                  <c:v>841.76300000000003</c:v>
                </c:pt>
              </c:numCache>
            </c:numRef>
          </c:val>
          <c:smooth val="0"/>
        </c:ser>
        <c:ser>
          <c:idx val="1"/>
          <c:order val="1"/>
          <c:tx>
            <c:strRef>
              <c:f>'Figure 1'!$D$4</c:f>
              <c:strCache>
                <c:ptCount val="1"/>
                <c:pt idx="0">
                  <c:v>Female</c:v>
                </c:pt>
              </c:strCache>
            </c:strRef>
          </c:tx>
          <c:spPr>
            <a:ln>
              <a:solidFill>
                <a:srgbClr val="449539"/>
              </a:solidFill>
            </a:ln>
          </c:spPr>
          <c:marker>
            <c:symbol val="none"/>
          </c:marker>
          <c:cat>
            <c:numRef>
              <c:f>'Figure 1'!$B$5:$B$24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1'!$D$5:$D$24</c:f>
              <c:numCache>
                <c:formatCode>#\ ##0.0</c:formatCode>
                <c:ptCount val="20"/>
                <c:pt idx="0">
                  <c:v>623.82099999999946</c:v>
                </c:pt>
                <c:pt idx="1">
                  <c:v>673.28300000000104</c:v>
                </c:pt>
                <c:pt idx="2">
                  <c:v>718.76300000000003</c:v>
                </c:pt>
                <c:pt idx="3">
                  <c:v>794.12400000000002</c:v>
                </c:pt>
                <c:pt idx="4">
                  <c:v>843.77400000000102</c:v>
                </c:pt>
                <c:pt idx="5">
                  <c:v>823.053</c:v>
                </c:pt>
                <c:pt idx="6">
                  <c:v>816.68299999999999</c:v>
                </c:pt>
                <c:pt idx="7">
                  <c:v>799.42099999999948</c:v>
                </c:pt>
                <c:pt idx="8">
                  <c:v>744.96199999999897</c:v>
                </c:pt>
                <c:pt idx="9">
                  <c:v>764.09199999999998</c:v>
                </c:pt>
                <c:pt idx="10">
                  <c:v>770.03099999999949</c:v>
                </c:pt>
                <c:pt idx="11">
                  <c:v>770.26300000000003</c:v>
                </c:pt>
                <c:pt idx="12">
                  <c:v>786.42599999999948</c:v>
                </c:pt>
                <c:pt idx="13">
                  <c:v>787.38599999999997</c:v>
                </c:pt>
                <c:pt idx="14">
                  <c:v>836.39800000000002</c:v>
                </c:pt>
                <c:pt idx="15">
                  <c:v>891.02800000000002</c:v>
                </c:pt>
                <c:pt idx="16">
                  <c:v>925.82699999999897</c:v>
                </c:pt>
                <c:pt idx="17">
                  <c:v>884.71199999999999</c:v>
                </c:pt>
                <c:pt idx="18">
                  <c:v>853.31</c:v>
                </c:pt>
                <c:pt idx="19">
                  <c:v>752.95099999999911</c:v>
                </c:pt>
              </c:numCache>
            </c:numRef>
          </c:val>
          <c:smooth val="0"/>
        </c:ser>
        <c:ser>
          <c:idx val="2"/>
          <c:order val="2"/>
          <c:tx>
            <c:strRef>
              <c:f>'Figure 1'!$E$4</c:f>
              <c:strCache>
                <c:ptCount val="1"/>
                <c:pt idx="0">
                  <c:v>Persons</c:v>
                </c:pt>
              </c:strCache>
            </c:strRef>
          </c:tx>
          <c:spPr>
            <a:ln>
              <a:solidFill>
                <a:schemeClr val="tx1"/>
              </a:solidFill>
            </a:ln>
          </c:spPr>
          <c:marker>
            <c:symbol val="none"/>
          </c:marker>
          <c:cat>
            <c:numRef>
              <c:f>'Figure 1'!$B$5:$B$24</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'Figure 1'!$E$5:$E$24</c:f>
              <c:numCache>
                <c:formatCode>#\ ##0.0</c:formatCode>
                <c:ptCount val="20"/>
                <c:pt idx="0">
                  <c:v>1341.1819999999998</c:v>
                </c:pt>
                <c:pt idx="1">
                  <c:v>1451.912</c:v>
                </c:pt>
                <c:pt idx="2">
                  <c:v>1518.83</c:v>
                </c:pt>
                <c:pt idx="3">
                  <c:v>1626.9549999999999</c:v>
                </c:pt>
                <c:pt idx="4">
                  <c:v>1721.4250000000011</c:v>
                </c:pt>
                <c:pt idx="5">
                  <c:v>1694.4</c:v>
                </c:pt>
                <c:pt idx="6">
                  <c:v>1695.423</c:v>
                </c:pt>
                <c:pt idx="7">
                  <c:v>1669.4349999999999</c:v>
                </c:pt>
                <c:pt idx="8">
                  <c:v>1572.212</c:v>
                </c:pt>
                <c:pt idx="9">
                  <c:v>1603.8629999999998</c:v>
                </c:pt>
                <c:pt idx="10">
                  <c:v>1636.904</c:v>
                </c:pt>
                <c:pt idx="11">
                  <c:v>1629.1959999999999</c:v>
                </c:pt>
                <c:pt idx="12">
                  <c:v>1667.4290000000001</c:v>
                </c:pt>
                <c:pt idx="13">
                  <c:v>1677.3419999999999</c:v>
                </c:pt>
                <c:pt idx="14">
                  <c:v>1772.598</c:v>
                </c:pt>
                <c:pt idx="15">
                  <c:v>1860.0639999999999</c:v>
                </c:pt>
                <c:pt idx="16">
                  <c:v>1924.1319999999998</c:v>
                </c:pt>
                <c:pt idx="17">
                  <c:v>1853.8909999999998</c:v>
                </c:pt>
                <c:pt idx="18">
                  <c:v>1789.1429999999998</c:v>
                </c:pt>
                <c:pt idx="19">
                  <c:v>1597.848</c:v>
                </c:pt>
              </c:numCache>
            </c:numRef>
          </c:val>
          <c:smooth val="0"/>
        </c:ser>
        <c:dLbls>
          <c:showLegendKey val="0"/>
          <c:showVal val="0"/>
          <c:showCatName val="0"/>
          <c:showSerName val="0"/>
          <c:showPercent val="0"/>
          <c:showBubbleSize val="0"/>
        </c:dLbls>
        <c:marker val="1"/>
        <c:smooth val="0"/>
        <c:axId val="114569600"/>
        <c:axId val="114571520"/>
      </c:lineChart>
      <c:catAx>
        <c:axId val="114569600"/>
        <c:scaling>
          <c:orientation val="minMax"/>
        </c:scaling>
        <c:delete val="0"/>
        <c:axPos val="b"/>
        <c:title>
          <c:tx>
            <c:rich>
              <a:bodyPr/>
              <a:lstStyle/>
              <a:p>
                <a:pPr>
                  <a:defRPr/>
                </a:pPr>
                <a:r>
                  <a:rPr lang="en-AU"/>
                  <a:t>Year</a:t>
                </a:r>
              </a:p>
            </c:rich>
          </c:tx>
          <c:overlay val="0"/>
        </c:title>
        <c:numFmt formatCode="General" sourceLinked="1"/>
        <c:majorTickMark val="out"/>
        <c:minorTickMark val="none"/>
        <c:tickLblPos val="nextTo"/>
        <c:crossAx val="114571520"/>
        <c:crosses val="autoZero"/>
        <c:auto val="1"/>
        <c:lblAlgn val="ctr"/>
        <c:lblOffset val="100"/>
        <c:noMultiLvlLbl val="0"/>
      </c:catAx>
      <c:valAx>
        <c:axId val="114571520"/>
        <c:scaling>
          <c:orientation val="minMax"/>
        </c:scaling>
        <c:delete val="0"/>
        <c:axPos val="l"/>
        <c:majorGridlines/>
        <c:title>
          <c:tx>
            <c:rich>
              <a:bodyPr rot="-5400000" vert="horz"/>
              <a:lstStyle/>
              <a:p>
                <a:pPr>
                  <a:defRPr/>
                </a:pPr>
                <a:r>
                  <a:rPr lang="en-US"/>
                  <a:t>No. of students '000</a:t>
                </a:r>
              </a:p>
            </c:rich>
          </c:tx>
          <c:overlay val="0"/>
        </c:title>
        <c:numFmt formatCode="#,##0" sourceLinked="0"/>
        <c:majorTickMark val="out"/>
        <c:minorTickMark val="none"/>
        <c:tickLblPos val="nextTo"/>
        <c:crossAx val="114569600"/>
        <c:crosses val="autoZero"/>
        <c:crossBetween val="between"/>
      </c:valAx>
    </c:plotArea>
    <c:legend>
      <c:legendPos val="b"/>
      <c:overlay val="0"/>
    </c:legend>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0.44583</cdr:x>
      <cdr:y>0.04167</cdr:y>
    </cdr:from>
    <cdr:to>
      <cdr:x>0.45208</cdr:x>
      <cdr:y>0.5625</cdr:y>
    </cdr:to>
    <cdr:cxnSp macro="">
      <cdr:nvCxnSpPr>
        <cdr:cNvPr id="2" name="Straight Connector 1"/>
        <cdr:cNvCxnSpPr/>
      </cdr:nvCxnSpPr>
      <cdr:spPr>
        <a:xfrm xmlns:a="http://schemas.openxmlformats.org/drawingml/2006/main" flipH="1" flipV="1">
          <a:off x="2038350" y="114300"/>
          <a:ext cx="28575" cy="1428750"/>
        </a:xfrm>
        <a:prstGeom xmlns:a="http://schemas.openxmlformats.org/drawingml/2006/main" prst="line">
          <a:avLst/>
        </a:prstGeom>
        <a:ln xmlns:a="http://schemas.openxmlformats.org/drawingml/2006/main" w="190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0.61667</cdr:x>
      <cdr:y>0.04861</cdr:y>
    </cdr:from>
    <cdr:to>
      <cdr:x>0.62083</cdr:x>
      <cdr:y>0.55556</cdr:y>
    </cdr:to>
    <cdr:cxnSp macro="">
      <cdr:nvCxnSpPr>
        <cdr:cNvPr id="3" name="Straight Connector 2"/>
        <cdr:cNvCxnSpPr/>
      </cdr:nvCxnSpPr>
      <cdr:spPr>
        <a:xfrm xmlns:a="http://schemas.openxmlformats.org/drawingml/2006/main" flipH="1" flipV="1">
          <a:off x="2819400" y="133350"/>
          <a:ext cx="19050" cy="1390650"/>
        </a:xfrm>
        <a:prstGeom xmlns:a="http://schemas.openxmlformats.org/drawingml/2006/main" prst="line">
          <a:avLst/>
        </a:prstGeom>
        <a:ln xmlns:a="http://schemas.openxmlformats.org/drawingml/2006/main" w="190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0.69583</cdr:x>
      <cdr:y>0.05208</cdr:y>
    </cdr:from>
    <cdr:to>
      <cdr:x>0.69792</cdr:x>
      <cdr:y>0.5625</cdr:y>
    </cdr:to>
    <cdr:cxnSp macro="">
      <cdr:nvCxnSpPr>
        <cdr:cNvPr id="5" name="Straight Connector 4"/>
        <cdr:cNvCxnSpPr/>
      </cdr:nvCxnSpPr>
      <cdr:spPr>
        <a:xfrm xmlns:a="http://schemas.openxmlformats.org/drawingml/2006/main" flipH="1" flipV="1">
          <a:off x="3181350" y="142875"/>
          <a:ext cx="9525" cy="1400175"/>
        </a:xfrm>
        <a:prstGeom xmlns:a="http://schemas.openxmlformats.org/drawingml/2006/main" prst="line">
          <a:avLst/>
        </a:prstGeom>
        <a:ln xmlns:a="http://schemas.openxmlformats.org/drawingml/2006/main" w="190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0.82292</cdr:x>
      <cdr:y>0.04514</cdr:y>
    </cdr:from>
    <cdr:to>
      <cdr:x>0.82917</cdr:x>
      <cdr:y>0.5625</cdr:y>
    </cdr:to>
    <cdr:cxnSp macro="">
      <cdr:nvCxnSpPr>
        <cdr:cNvPr id="7" name="Straight Connector 6"/>
        <cdr:cNvCxnSpPr/>
      </cdr:nvCxnSpPr>
      <cdr:spPr>
        <a:xfrm xmlns:a="http://schemas.openxmlformats.org/drawingml/2006/main" flipH="1" flipV="1">
          <a:off x="3762375" y="123825"/>
          <a:ext cx="28575" cy="1419225"/>
        </a:xfrm>
        <a:prstGeom xmlns:a="http://schemas.openxmlformats.org/drawingml/2006/main" prst="line">
          <a:avLst/>
        </a:prstGeom>
        <a:ln xmlns:a="http://schemas.openxmlformats.org/drawingml/2006/main" w="19050"/>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0.86042</cdr:x>
      <cdr:y>0.04514</cdr:y>
    </cdr:from>
    <cdr:to>
      <cdr:x>0.87083</cdr:x>
      <cdr:y>0.55903</cdr:y>
    </cdr:to>
    <cdr:cxnSp macro="">
      <cdr:nvCxnSpPr>
        <cdr:cNvPr id="9" name="Straight Connector 8"/>
        <cdr:cNvCxnSpPr/>
      </cdr:nvCxnSpPr>
      <cdr:spPr>
        <a:xfrm xmlns:a="http://schemas.openxmlformats.org/drawingml/2006/main" flipH="1" flipV="1">
          <a:off x="3933825" y="123825"/>
          <a:ext cx="47625" cy="1409700"/>
        </a:xfrm>
        <a:prstGeom xmlns:a="http://schemas.openxmlformats.org/drawingml/2006/main" prst="line">
          <a:avLst/>
        </a:prstGeom>
        <a:ln xmlns:a="http://schemas.openxmlformats.org/drawingml/2006/main" w="19050"/>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0.66958</cdr:x>
      <cdr:y>0.37986</cdr:y>
    </cdr:from>
    <cdr:to>
      <cdr:x>0.94667</cdr:x>
      <cdr:y>0.51366</cdr:y>
    </cdr:to>
    <cdr:sp macro="" textlink="">
      <cdr:nvSpPr>
        <cdr:cNvPr id="13" name="Text Box 2"/>
        <cdr:cNvSpPr txBox="1">
          <a:spLocks xmlns:a="http://schemas.openxmlformats.org/drawingml/2006/main" noChangeArrowheads="1"/>
        </cdr:cNvSpPr>
      </cdr:nvSpPr>
      <cdr:spPr bwMode="auto">
        <a:xfrm xmlns:a="http://schemas.openxmlformats.org/drawingml/2006/main">
          <a:off x="3061335" y="1042035"/>
          <a:ext cx="1266825" cy="36703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0.72292</cdr:x>
      <cdr:y>0</cdr:y>
    </cdr:from>
    <cdr:to>
      <cdr:x>1</cdr:x>
      <cdr:y>0.1338</cdr:y>
    </cdr:to>
    <cdr:sp macro="" textlink="">
      <cdr:nvSpPr>
        <cdr:cNvPr id="14" name="Text Box 2"/>
        <cdr:cNvSpPr txBox="1">
          <a:spLocks xmlns:a="http://schemas.openxmlformats.org/drawingml/2006/main" noChangeArrowheads="1"/>
        </cdr:cNvSpPr>
      </cdr:nvSpPr>
      <cdr:spPr bwMode="auto">
        <a:xfrm xmlns:a="http://schemas.openxmlformats.org/drawingml/2006/main">
          <a:off x="3305175" y="-1171575"/>
          <a:ext cx="1266825" cy="36703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F02BB-2AEC-4A95-8045-277DDC07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0</TotalTime>
  <Pages>54</Pages>
  <Words>20148</Words>
  <Characters>114845</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Trends in VET: policy and participation</vt:lpstr>
    </vt:vector>
  </TitlesOfParts>
  <Company>UQ</Company>
  <LinksUpToDate>false</LinksUpToDate>
  <CharactersWithSpaces>134724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in VET: policy and participation</dc:title>
  <dc:creator>John Stanwick;GeorginaAtkinson@ncver.edu.au</dc:creator>
  <cp:lastModifiedBy>Amy Mellow</cp:lastModifiedBy>
  <cp:revision>2</cp:revision>
  <cp:lastPrinted>2016-07-24T02:02:00Z</cp:lastPrinted>
  <dcterms:created xsi:type="dcterms:W3CDTF">2017-01-17T04:32:00Z</dcterms:created>
  <dcterms:modified xsi:type="dcterms:W3CDTF">2017-01-17T04:32:00Z</dcterms:modified>
</cp:coreProperties>
</file>