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EC0547" w:rsidP="00AC6E16">
      <w:pPr>
        <w:sectPr w:rsidR="00EB0AD7" w:rsidRPr="00DA7709" w:rsidSect="00011633">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681792" behindDoc="0" locked="0" layoutInCell="1" allowOverlap="1" wp14:anchorId="73EA5D67" wp14:editId="010E3E78">
            <wp:simplePos x="0" y="0"/>
            <wp:positionH relativeFrom="column">
              <wp:posOffset>-589915</wp:posOffset>
            </wp:positionH>
            <wp:positionV relativeFrom="paragraph">
              <wp:posOffset>4275455</wp:posOffset>
            </wp:positionV>
            <wp:extent cx="6998887" cy="4977517"/>
            <wp:effectExtent l="0" t="0" r="0" b="0"/>
            <wp:wrapNone/>
            <wp:docPr id="23" name="Picture 23" descr="P:\WorkInProgress\ShaunPubs\2909 - Making good choices\iStock-49757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WorkInProgress\ShaunPubs\2909 - Making good choices\iStock-4975737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970" r="11903"/>
                    <a:stretch/>
                  </pic:blipFill>
                  <pic:spPr bwMode="auto">
                    <a:xfrm>
                      <a:off x="0" y="0"/>
                      <a:ext cx="6998887" cy="49775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5952" behindDoc="0" locked="0" layoutInCell="1" allowOverlap="1" wp14:anchorId="0CF27612" wp14:editId="4CA836E7">
                <wp:simplePos x="0" y="0"/>
                <wp:positionH relativeFrom="column">
                  <wp:posOffset>-678180</wp:posOffset>
                </wp:positionH>
                <wp:positionV relativeFrom="paragraph">
                  <wp:posOffset>1412875</wp:posOffset>
                </wp:positionV>
                <wp:extent cx="7086600" cy="2671445"/>
                <wp:effectExtent l="0" t="0" r="0" b="1460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671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EED" w:rsidRPr="0093635B" w:rsidRDefault="00085EED" w:rsidP="00EE49F2">
                            <w:pPr>
                              <w:pStyle w:val="Titlepage"/>
                              <w:ind w:left="0"/>
                            </w:pPr>
                            <w:r>
                              <w:rPr>
                                <w:b/>
                                <w:color w:val="0081C6"/>
                              </w:rPr>
                              <w:t xml:space="preserve">Making ‘good’ choices: the </w:t>
                            </w:r>
                            <w:r>
                              <w:rPr>
                                <w:b/>
                                <w:color w:val="0081C6"/>
                              </w:rPr>
                              <w:br/>
                              <w:t xml:space="preserve">impact of entitlement models </w:t>
                            </w:r>
                            <w:r>
                              <w:rPr>
                                <w:b/>
                                <w:color w:val="0081C6"/>
                              </w:rPr>
                              <w:br/>
                              <w:t>on upskilling later in life</w:t>
                            </w:r>
                          </w:p>
                          <w:p w:rsidR="00085EED" w:rsidRDefault="00085EED" w:rsidP="00087FC0">
                            <w:pPr>
                              <w:pStyle w:val="Titlepage"/>
                              <w:spacing w:before="720" w:after="0"/>
                              <w:ind w:left="0"/>
                              <w:rPr>
                                <w:b/>
                                <w:color w:val="595959" w:themeColor="text1" w:themeTint="A6"/>
                                <w:sz w:val="27"/>
                                <w:szCs w:val="27"/>
                              </w:rPr>
                            </w:pPr>
                            <w:r>
                              <w:rPr>
                                <w:b/>
                                <w:color w:val="595959" w:themeColor="text1" w:themeTint="A6"/>
                                <w:sz w:val="27"/>
                                <w:szCs w:val="27"/>
                              </w:rPr>
                              <w:t>Cain Polidano</w:t>
                            </w:r>
                            <w:r>
                              <w:rPr>
                                <w:b/>
                                <w:color w:val="595959" w:themeColor="text1" w:themeTint="A6"/>
                                <w:sz w:val="27"/>
                                <w:szCs w:val="27"/>
                              </w:rPr>
                              <w:br/>
                              <w:t xml:space="preserve">Justin van de </w:t>
                            </w:r>
                            <w:proofErr w:type="spellStart"/>
                            <w:r>
                              <w:rPr>
                                <w:b/>
                                <w:color w:val="595959" w:themeColor="text1" w:themeTint="A6"/>
                                <w:sz w:val="27"/>
                                <w:szCs w:val="27"/>
                              </w:rPr>
                              <w:t>Ven</w:t>
                            </w:r>
                            <w:proofErr w:type="spellEnd"/>
                          </w:p>
                          <w:p w:rsidR="00085EED" w:rsidRPr="00052084" w:rsidRDefault="00085EED" w:rsidP="00087FC0">
                            <w:pPr>
                              <w:pStyle w:val="Authors"/>
                              <w:ind w:left="0"/>
                              <w:rPr>
                                <w:rFonts w:ascii="Arial" w:hAnsi="Arial" w:cs="Arial"/>
                                <w:b/>
                                <w:color w:val="595959" w:themeColor="text1" w:themeTint="A6"/>
                                <w:kern w:val="28"/>
                                <w:sz w:val="27"/>
                                <w:szCs w:val="27"/>
                              </w:rPr>
                            </w:pPr>
                            <w:r w:rsidRPr="00052084">
                              <w:rPr>
                                <w:rFonts w:ascii="Arial" w:hAnsi="Arial" w:cs="Arial"/>
                                <w:b/>
                                <w:color w:val="595959" w:themeColor="text1" w:themeTint="A6"/>
                                <w:kern w:val="28"/>
                                <w:sz w:val="27"/>
                                <w:szCs w:val="27"/>
                              </w:rPr>
                              <w:t xml:space="preserve">Sarah </w:t>
                            </w:r>
                            <w:proofErr w:type="spellStart"/>
                            <w:r w:rsidRPr="00052084">
                              <w:rPr>
                                <w:rFonts w:ascii="Arial" w:hAnsi="Arial" w:cs="Arial"/>
                                <w:b/>
                                <w:color w:val="595959" w:themeColor="text1" w:themeTint="A6"/>
                                <w:kern w:val="28"/>
                                <w:sz w:val="27"/>
                                <w:szCs w:val="27"/>
                              </w:rPr>
                              <w:t>Voitchovsky</w:t>
                            </w:r>
                            <w:proofErr w:type="spellEnd"/>
                          </w:p>
                          <w:p w:rsidR="00085EED" w:rsidRDefault="00085EED">
                            <w:r>
                              <w:rPr>
                                <w:color w:val="595959" w:themeColor="text1" w:themeTint="A6"/>
                                <w:sz w:val="27"/>
                                <w:szCs w:val="27"/>
                              </w:rPr>
                              <w:t>Melbourne Institute of Applied Economic and Social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4pt;margin-top:111.25pt;width:558pt;height:2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" filled="f" stroked="f" strokeweight=".5pt">
                <v:path arrowok="t"/>
                <v:textbox inset=",,,0">
                  <w:txbxContent>
                    <w:p w:rsidR="00085EED" w:rsidRPr="0093635B" w:rsidRDefault="00085EED" w:rsidP="00EE49F2">
                      <w:pPr>
                        <w:pStyle w:val="Titlepage"/>
                        <w:ind w:left="0"/>
                      </w:pPr>
                      <w:r>
                        <w:rPr>
                          <w:b/>
                          <w:color w:val="0081C6"/>
                        </w:rPr>
                        <w:t xml:space="preserve">Making ‘good’ choices: the </w:t>
                      </w:r>
                      <w:r>
                        <w:rPr>
                          <w:b/>
                          <w:color w:val="0081C6"/>
                        </w:rPr>
                        <w:br/>
                        <w:t xml:space="preserve">impact of entitlement models </w:t>
                      </w:r>
                      <w:r>
                        <w:rPr>
                          <w:b/>
                          <w:color w:val="0081C6"/>
                        </w:rPr>
                        <w:br/>
                        <w:t>on upskilling later in life</w:t>
                      </w:r>
                    </w:p>
                    <w:p w:rsidR="00085EED" w:rsidRDefault="00085EED" w:rsidP="00087FC0">
                      <w:pPr>
                        <w:pStyle w:val="Titlepage"/>
                        <w:spacing w:before="720" w:after="0"/>
                        <w:ind w:left="0"/>
                        <w:rPr>
                          <w:b/>
                          <w:color w:val="595959" w:themeColor="text1" w:themeTint="A6"/>
                          <w:sz w:val="27"/>
                          <w:szCs w:val="27"/>
                        </w:rPr>
                      </w:pPr>
                      <w:r>
                        <w:rPr>
                          <w:b/>
                          <w:color w:val="595959" w:themeColor="text1" w:themeTint="A6"/>
                          <w:sz w:val="27"/>
                          <w:szCs w:val="27"/>
                        </w:rPr>
                        <w:t>Cain Polidano</w:t>
                      </w:r>
                      <w:r>
                        <w:rPr>
                          <w:b/>
                          <w:color w:val="595959" w:themeColor="text1" w:themeTint="A6"/>
                          <w:sz w:val="27"/>
                          <w:szCs w:val="27"/>
                        </w:rPr>
                        <w:br/>
                        <w:t xml:space="preserve">Justin van de </w:t>
                      </w:r>
                      <w:proofErr w:type="spellStart"/>
                      <w:r>
                        <w:rPr>
                          <w:b/>
                          <w:color w:val="595959" w:themeColor="text1" w:themeTint="A6"/>
                          <w:sz w:val="27"/>
                          <w:szCs w:val="27"/>
                        </w:rPr>
                        <w:t>Ven</w:t>
                      </w:r>
                      <w:proofErr w:type="spellEnd"/>
                    </w:p>
                    <w:p w:rsidR="00085EED" w:rsidRPr="00052084" w:rsidRDefault="00085EED" w:rsidP="00087FC0">
                      <w:pPr>
                        <w:pStyle w:val="Authors"/>
                        <w:ind w:left="0"/>
                        <w:rPr>
                          <w:rFonts w:ascii="Arial" w:hAnsi="Arial" w:cs="Arial"/>
                          <w:b/>
                          <w:color w:val="595959" w:themeColor="text1" w:themeTint="A6"/>
                          <w:kern w:val="28"/>
                          <w:sz w:val="27"/>
                          <w:szCs w:val="27"/>
                        </w:rPr>
                      </w:pPr>
                      <w:r w:rsidRPr="00052084">
                        <w:rPr>
                          <w:rFonts w:ascii="Arial" w:hAnsi="Arial" w:cs="Arial"/>
                          <w:b/>
                          <w:color w:val="595959" w:themeColor="text1" w:themeTint="A6"/>
                          <w:kern w:val="28"/>
                          <w:sz w:val="27"/>
                          <w:szCs w:val="27"/>
                        </w:rPr>
                        <w:t xml:space="preserve">Sarah </w:t>
                      </w:r>
                      <w:proofErr w:type="spellStart"/>
                      <w:r w:rsidRPr="00052084">
                        <w:rPr>
                          <w:rFonts w:ascii="Arial" w:hAnsi="Arial" w:cs="Arial"/>
                          <w:b/>
                          <w:color w:val="595959" w:themeColor="text1" w:themeTint="A6"/>
                          <w:kern w:val="28"/>
                          <w:sz w:val="27"/>
                          <w:szCs w:val="27"/>
                        </w:rPr>
                        <w:t>Voitchovsky</w:t>
                      </w:r>
                      <w:proofErr w:type="spellEnd"/>
                    </w:p>
                    <w:p w:rsidR="00085EED" w:rsidRDefault="00085EED">
                      <w:r>
                        <w:rPr>
                          <w:color w:val="595959" w:themeColor="text1" w:themeTint="A6"/>
                          <w:sz w:val="27"/>
                          <w:szCs w:val="27"/>
                        </w:rPr>
                        <w:t>Melbourne Institute of Applied Economic and Social Research</w:t>
                      </w:r>
                    </w:p>
                  </w:txbxContent>
                </v:textbox>
              </v:shape>
            </w:pict>
          </mc:Fallback>
        </mc:AlternateContent>
      </w:r>
      <w:r w:rsidR="00683C03">
        <w:rPr>
          <w:noProof/>
          <w:lang w:eastAsia="en-AU"/>
        </w:rPr>
        <mc:AlternateContent>
          <mc:Choice Requires="wps">
            <w:drawing>
              <wp:anchor distT="4294967295" distB="4294967295" distL="114300" distR="114300" simplePos="0" relativeHeight="251646976" behindDoc="0" locked="0" layoutInCell="1" allowOverlap="1" wp14:anchorId="6C4F15C1" wp14:editId="31028526">
                <wp:simplePos x="0" y="0"/>
                <wp:positionH relativeFrom="column">
                  <wp:posOffset>-591820</wp:posOffset>
                </wp:positionH>
                <wp:positionV relativeFrom="paragraph">
                  <wp:posOffset>2880994</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6pt,226.85pt" to="120pt,2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" strokecolor="black [3213]" strokeweight="1pt">
                <o:lock v:ext="edit" shapetype="f"/>
              </v:line>
            </w:pict>
          </mc:Fallback>
        </mc:AlternateContent>
      </w:r>
      <w:r w:rsidR="00683C03">
        <w:rPr>
          <w:noProof/>
          <w:lang w:eastAsia="en-AU"/>
        </w:rPr>
        <mc:AlternateContent>
          <mc:Choice Requires="wps">
            <w:drawing>
              <wp:anchor distT="0" distB="0" distL="114300" distR="114300" simplePos="0" relativeHeight="251644928" behindDoc="0" locked="0" layoutInCell="1" allowOverlap="1" wp14:anchorId="48BADC32" wp14:editId="439E3864">
                <wp:simplePos x="0" y="0"/>
                <wp:positionH relativeFrom="column">
                  <wp:posOffset>4662170</wp:posOffset>
                </wp:positionH>
                <wp:positionV relativeFrom="paragraph">
                  <wp:posOffset>-633730</wp:posOffset>
                </wp:positionV>
                <wp:extent cx="1743075" cy="535940"/>
                <wp:effectExtent l="0" t="0" r="952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53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EED" w:rsidRPr="0088361A" w:rsidRDefault="00085EE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4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" filled="f" stroked="f" strokeweight=".5pt">
                <v:path arrowok="t"/>
                <v:textbox inset="1mm,0,1mm,0">
                  <w:txbxContent>
                    <w:p w:rsidR="00085EED" w:rsidRPr="0088361A" w:rsidRDefault="00085EE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654144" behindDoc="1" locked="0" layoutInCell="1" allowOverlap="1" wp14:anchorId="6703C830" wp14:editId="1723D453">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648000" behindDoc="0" locked="0" layoutInCell="1" allowOverlap="1" wp14:anchorId="5495236E" wp14:editId="787D2466">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Start w:id="7" w:name="_GoBack"/>
      <w:bookmarkEnd w:id="2"/>
      <w:bookmarkEnd w:id="7"/>
    </w:p>
    <w:p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state and territory </w:t>
      </w:r>
      <w:r w:rsidR="0071272F">
        <w:t>government or NCVER</w:t>
      </w:r>
      <w:r w:rsidRPr="007C667B">
        <w:t>.</w:t>
      </w:r>
      <w:r>
        <w:t xml:space="preserve"> </w:t>
      </w:r>
      <w:r w:rsidRPr="007C667B">
        <w:t>Any interpretation of data is the responsibility of the author/project team.</w:t>
      </w:r>
    </w:p>
    <w:p w:rsidR="00DB19C0" w:rsidRPr="00DB19C0" w:rsidRDefault="00CE248F" w:rsidP="00DB19C0">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keywords: </w:t>
      </w:r>
      <w:r w:rsidR="00DB19C0">
        <w:t>s</w:t>
      </w:r>
      <w:r w:rsidR="00DB19C0" w:rsidRPr="00DB19C0">
        <w:t>kill development</w:t>
      </w:r>
      <w:r w:rsidR="00DB19C0">
        <w:t>; s</w:t>
      </w:r>
      <w:r w:rsidR="00DB19C0" w:rsidRPr="00DB19C0">
        <w:t>ubsidy</w:t>
      </w:r>
      <w:r w:rsidR="00DB19C0">
        <w:t>; f</w:t>
      </w:r>
      <w:r w:rsidR="00DB19C0" w:rsidRPr="00DB19C0">
        <w:t>unding</w:t>
      </w:r>
      <w:r w:rsidR="00DB19C0">
        <w:t>; n</w:t>
      </w:r>
      <w:r w:rsidR="00DB19C0" w:rsidRPr="00DB19C0">
        <w:t>on-traditional students</w:t>
      </w:r>
      <w:r w:rsidR="00DB19C0">
        <w:t>; e</w:t>
      </w:r>
      <w:r w:rsidR="00DB19C0" w:rsidRPr="00DB19C0">
        <w:t>nrolment</w:t>
      </w:r>
      <w:r w:rsidR="00DB19C0">
        <w:t>; a</w:t>
      </w:r>
      <w:r w:rsidR="00DB19C0" w:rsidRPr="00DB19C0">
        <w:t>ge</w:t>
      </w:r>
      <w:r w:rsidR="00DB19C0">
        <w:t>; d</w:t>
      </w:r>
      <w:r w:rsidR="00DB19C0" w:rsidRPr="00DB19C0">
        <w:t>ecision making</w:t>
      </w:r>
      <w:r w:rsidR="00F20C76">
        <w:t>.</w:t>
      </w:r>
    </w:p>
    <w:p w:rsidR="00DB19C0" w:rsidRDefault="00DB19C0" w:rsidP="00CE248F">
      <w:pPr>
        <w:pStyle w:val="Imprint"/>
        <w:ind w:right="-1"/>
      </w:pPr>
    </w:p>
    <w:p w:rsidR="00C83D73" w:rsidRDefault="00CE248F" w:rsidP="007C667B">
      <w:pPr>
        <w:sectPr w:rsidR="00C83D73" w:rsidSect="00011633">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640832" behindDoc="0" locked="0" layoutInCell="1" allowOverlap="1" wp14:anchorId="1A7F336C" wp14:editId="1CE4880F">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39808" behindDoc="0" locked="0" layoutInCell="1" allowOverlap="1" wp14:anchorId="064473EB" wp14:editId="0B1FACA5">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683C03">
        <w:rPr>
          <w:noProof/>
          <w:lang w:eastAsia="en-AU"/>
        </w:rPr>
        <mc:AlternateContent>
          <mc:Choice Requires="wps">
            <w:drawing>
              <wp:anchor distT="0" distB="0" distL="114300" distR="114300" simplePos="0" relativeHeight="251638784" behindDoc="0" locked="0" layoutInCell="1" allowOverlap="1" wp14:anchorId="592EDC7E" wp14:editId="75CDA5D9">
                <wp:simplePos x="0" y="0"/>
                <wp:positionH relativeFrom="column">
                  <wp:posOffset>0</wp:posOffset>
                </wp:positionH>
                <wp:positionV relativeFrom="paragraph">
                  <wp:posOffset>956945</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EED" w:rsidRPr="00A021FC" w:rsidRDefault="00085EED" w:rsidP="007C667B">
                            <w:pPr>
                              <w:pStyle w:val="Imprint"/>
                              <w:rPr>
                                <w:b/>
                              </w:rPr>
                            </w:pPr>
                            <w:r w:rsidRPr="003A6A63">
                              <w:rPr>
                                <w:b/>
                              </w:rPr>
                              <w:t>© Commonwealth of Australia</w:t>
                            </w:r>
                            <w:r w:rsidRPr="00A021FC">
                              <w:rPr>
                                <w:b/>
                              </w:rPr>
                              <w:t xml:space="preserve">, </w:t>
                            </w:r>
                            <w:r w:rsidR="006E4D57">
                              <w:rPr>
                                <w:b/>
                              </w:rPr>
                              <w:t>2017</w:t>
                            </w:r>
                          </w:p>
                          <w:p w:rsidR="00085EED" w:rsidRDefault="00085EED" w:rsidP="007C667B">
                            <w:pPr>
                              <w:pStyle w:val="Imprint"/>
                              <w:rPr>
                                <w:sz w:val="20"/>
                              </w:rPr>
                            </w:pPr>
                            <w:r w:rsidRPr="00E80270">
                              <w:rPr>
                                <w:noProof/>
                                <w:sz w:val="20"/>
                                <w:lang w:eastAsia="en-AU"/>
                              </w:rPr>
                              <w:drawing>
                                <wp:inline distT="0" distB="0" distL="0" distR="0" wp14:anchorId="5EDB281D" wp14:editId="189EC338">
                                  <wp:extent cx="850265" cy="302895"/>
                                  <wp:effectExtent l="19050" t="0" r="6985" b="0"/>
                                  <wp:docPr id="1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85EED" w:rsidRDefault="00085EED" w:rsidP="00297BEF">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85EED" w:rsidRDefault="00085EED" w:rsidP="00297BEF">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085EED" w:rsidRDefault="00085EED" w:rsidP="00297BEF">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085EED" w:rsidRDefault="00085EED" w:rsidP="007C667B">
                            <w:pPr>
                              <w:pStyle w:val="Imprint"/>
                            </w:pPr>
                            <w:r w:rsidRPr="00A021FC">
                              <w:t xml:space="preserve">This document should be attributed as </w:t>
                            </w:r>
                            <w:r>
                              <w:t xml:space="preserve">Polidano, C, van de </w:t>
                            </w:r>
                            <w:proofErr w:type="spellStart"/>
                            <w:r>
                              <w:t>Ven</w:t>
                            </w:r>
                            <w:proofErr w:type="spellEnd"/>
                            <w:r>
                              <w:t xml:space="preserve">, J &amp; </w:t>
                            </w:r>
                            <w:proofErr w:type="spellStart"/>
                            <w:r>
                              <w:t>Voitchovsky</w:t>
                            </w:r>
                            <w:proofErr w:type="spellEnd"/>
                            <w:r>
                              <w:t>, S 201</w:t>
                            </w:r>
                            <w:r w:rsidR="0037479E">
                              <w:t>7</w:t>
                            </w:r>
                            <w:r>
                              <w:t xml:space="preserve">, </w:t>
                            </w:r>
                            <w:proofErr w:type="gramStart"/>
                            <w:r w:rsidRPr="007A62A5">
                              <w:rPr>
                                <w:i/>
                              </w:rPr>
                              <w:t>Making</w:t>
                            </w:r>
                            <w:proofErr w:type="gramEnd"/>
                            <w:r w:rsidRPr="007A62A5">
                              <w:rPr>
                                <w:i/>
                              </w:rPr>
                              <w:t xml:space="preserve"> ‘good’ choices: the impact of entitlement models on </w:t>
                            </w:r>
                            <w:r>
                              <w:rPr>
                                <w:i/>
                              </w:rPr>
                              <w:t>upskilling</w:t>
                            </w:r>
                            <w:r w:rsidRPr="007A62A5">
                              <w:rPr>
                                <w:i/>
                              </w:rPr>
                              <w:t xml:space="preserve"> later in life,</w:t>
                            </w:r>
                            <w:r w:rsidRPr="00A021FC">
                              <w:t xml:space="preserve"> NCVER, Adelaide.</w:t>
                            </w:r>
                          </w:p>
                          <w:p w:rsidR="00085EED" w:rsidRPr="00C9777B" w:rsidRDefault="00085EED" w:rsidP="007C667B">
                            <w:pPr>
                              <w:pStyle w:val="Imprint"/>
                              <w:ind w:right="1700"/>
                              <w:rPr>
                                <w:color w:val="000000"/>
                              </w:rPr>
                            </w:pPr>
                            <w:r>
                              <w:rPr>
                                <w:smallCaps/>
                                <w:color w:val="000000"/>
                              </w:rPr>
                              <w:t>COVER IMAGE: GETTY IMAGES/</w:t>
                            </w:r>
                            <w:proofErr w:type="spellStart"/>
                            <w:r>
                              <w:rPr>
                                <w:color w:val="000000"/>
                              </w:rPr>
                              <w:t>iStock</w:t>
                            </w:r>
                            <w:proofErr w:type="spellEnd"/>
                          </w:p>
                          <w:p w:rsidR="00085EED" w:rsidRDefault="00085EED" w:rsidP="007C667B">
                            <w:pPr>
                              <w:pStyle w:val="Imprint"/>
                              <w:rPr>
                                <w:color w:val="000000"/>
                              </w:rPr>
                            </w:pPr>
                            <w:r w:rsidRPr="005C2FCF">
                              <w:rPr>
                                <w:color w:val="000000"/>
                              </w:rPr>
                              <w:t>ISBN</w:t>
                            </w:r>
                            <w:r>
                              <w:rPr>
                                <w:color w:val="000000"/>
                              </w:rPr>
                              <w:t xml:space="preserve"> </w:t>
                            </w:r>
                            <w:r>
                              <w:rPr>
                                <w:color w:val="000000"/>
                              </w:rPr>
                              <w:tab/>
                              <w:t>978 1 925173 73 4</w:t>
                            </w:r>
                            <w:r w:rsidRPr="005C2FCF">
                              <w:rPr>
                                <w:color w:val="000000"/>
                              </w:rPr>
                              <w:tab/>
                            </w:r>
                          </w:p>
                          <w:p w:rsidR="00085EED" w:rsidRPr="005C2FCF" w:rsidRDefault="00085EED" w:rsidP="00CE248F">
                            <w:pPr>
                              <w:pStyle w:val="Imprint"/>
                              <w:spacing w:before="0"/>
                              <w:rPr>
                                <w:color w:val="000000"/>
                              </w:rPr>
                            </w:pPr>
                            <w:r w:rsidRPr="005C2FCF">
                              <w:rPr>
                                <w:color w:val="000000"/>
                              </w:rPr>
                              <w:t>TD/TNC</w:t>
                            </w:r>
                            <w:r>
                              <w:rPr>
                                <w:color w:val="000000"/>
                              </w:rPr>
                              <w:t xml:space="preserve"> </w:t>
                            </w:r>
                            <w:r w:rsidRPr="005C2FCF">
                              <w:rPr>
                                <w:color w:val="000000"/>
                              </w:rPr>
                              <w:tab/>
                            </w:r>
                            <w:r>
                              <w:rPr>
                                <w:color w:val="000000"/>
                              </w:rPr>
                              <w:t>126.23</w:t>
                            </w:r>
                          </w:p>
                          <w:p w:rsidR="00085EED" w:rsidRPr="005C2FCF" w:rsidRDefault="00085EED"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85EED" w:rsidRPr="005C2FCF" w:rsidRDefault="00085EED"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085EED" w:rsidRDefault="00085EED"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085EED" w:rsidRPr="002C3573" w:rsidRDefault="00085EED" w:rsidP="004B031A">
                            <w:pPr>
                              <w:pStyle w:val="Imprint"/>
                              <w:tabs>
                                <w:tab w:val="left" w:pos="2127"/>
                              </w:tabs>
                              <w:spacing w:before="0"/>
                            </w:pP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085EED" w:rsidRPr="00D212FA" w:rsidRDefault="00085EED"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0;margin-top:75.35pt;width:440.7pt;height:4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B1qhoKtQIAALoF&#10;AAAOAAAAAAAAAAAAAAAAAC4CAABkcnMvZTJvRG9jLnhtbFBLAQItABQABgAIAAAAIQC3YeMF3gAA&#10;AAkBAAAPAAAAAAAAAAAAAAAAAA8FAABkcnMvZG93bnJldi54bWxQSwUGAAAAAAQABADzAAAAGgYA&#10;AAAA&#10;" filled="f" stroked="f">
                <v:textbox inset="0,,0">
                  <w:txbxContent>
                    <w:p w:rsidR="00085EED" w:rsidRPr="00A021FC" w:rsidRDefault="00085EED" w:rsidP="007C667B">
                      <w:pPr>
                        <w:pStyle w:val="Imprint"/>
                        <w:rPr>
                          <w:b/>
                        </w:rPr>
                      </w:pPr>
                      <w:r w:rsidRPr="003A6A63">
                        <w:rPr>
                          <w:b/>
                        </w:rPr>
                        <w:t>© Commonwealth of Australia</w:t>
                      </w:r>
                      <w:r w:rsidRPr="00A021FC">
                        <w:rPr>
                          <w:b/>
                        </w:rPr>
                        <w:t xml:space="preserve">, </w:t>
                      </w:r>
                      <w:r w:rsidR="006E4D57">
                        <w:rPr>
                          <w:b/>
                        </w:rPr>
                        <w:t>2017</w:t>
                      </w:r>
                    </w:p>
                    <w:p w:rsidR="00085EED" w:rsidRDefault="00085EED" w:rsidP="007C667B">
                      <w:pPr>
                        <w:pStyle w:val="Imprint"/>
                        <w:rPr>
                          <w:sz w:val="20"/>
                        </w:rPr>
                      </w:pPr>
                      <w:r w:rsidRPr="00E80270">
                        <w:rPr>
                          <w:noProof/>
                          <w:sz w:val="20"/>
                          <w:lang w:eastAsia="en-AU"/>
                        </w:rPr>
                        <w:drawing>
                          <wp:inline distT="0" distB="0" distL="0" distR="0" wp14:anchorId="3ADC0E5A" wp14:editId="271F7933">
                            <wp:extent cx="850265" cy="302895"/>
                            <wp:effectExtent l="19050" t="0" r="6985" b="0"/>
                            <wp:docPr id="2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85EED" w:rsidRDefault="00085EED" w:rsidP="00297BEF">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85EED" w:rsidRDefault="00085EED" w:rsidP="00297BEF">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085EED" w:rsidRDefault="00085EED" w:rsidP="00297BEF">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085EED" w:rsidRDefault="00085EED" w:rsidP="007C667B">
                      <w:pPr>
                        <w:pStyle w:val="Imprint"/>
                      </w:pPr>
                      <w:r w:rsidRPr="00A021FC">
                        <w:t xml:space="preserve">This document should be attributed as </w:t>
                      </w:r>
                      <w:r>
                        <w:t xml:space="preserve">Polidano, C, van de </w:t>
                      </w:r>
                      <w:proofErr w:type="spellStart"/>
                      <w:r>
                        <w:t>Ven</w:t>
                      </w:r>
                      <w:proofErr w:type="spellEnd"/>
                      <w:r>
                        <w:t xml:space="preserve">, J &amp; </w:t>
                      </w:r>
                      <w:proofErr w:type="spellStart"/>
                      <w:r>
                        <w:t>Voitchovsky</w:t>
                      </w:r>
                      <w:proofErr w:type="spellEnd"/>
                      <w:r>
                        <w:t>, S 201</w:t>
                      </w:r>
                      <w:r w:rsidR="0037479E">
                        <w:t>7</w:t>
                      </w:r>
                      <w:r>
                        <w:t xml:space="preserve">, </w:t>
                      </w:r>
                      <w:proofErr w:type="gramStart"/>
                      <w:r w:rsidRPr="007A62A5">
                        <w:rPr>
                          <w:i/>
                        </w:rPr>
                        <w:t>Making</w:t>
                      </w:r>
                      <w:proofErr w:type="gramEnd"/>
                      <w:r w:rsidRPr="007A62A5">
                        <w:rPr>
                          <w:i/>
                        </w:rPr>
                        <w:t xml:space="preserve"> ‘good’ choices: the impact of entitlement models on </w:t>
                      </w:r>
                      <w:r>
                        <w:rPr>
                          <w:i/>
                        </w:rPr>
                        <w:t>upskilling</w:t>
                      </w:r>
                      <w:r w:rsidRPr="007A62A5">
                        <w:rPr>
                          <w:i/>
                        </w:rPr>
                        <w:t xml:space="preserve"> later in life,</w:t>
                      </w:r>
                      <w:r w:rsidRPr="00A021FC">
                        <w:t xml:space="preserve"> NCVER, Adelaide.</w:t>
                      </w:r>
                    </w:p>
                    <w:p w:rsidR="00085EED" w:rsidRPr="00C9777B" w:rsidRDefault="00085EED" w:rsidP="007C667B">
                      <w:pPr>
                        <w:pStyle w:val="Imprint"/>
                        <w:ind w:right="1700"/>
                        <w:rPr>
                          <w:color w:val="000000"/>
                        </w:rPr>
                      </w:pPr>
                      <w:r>
                        <w:rPr>
                          <w:smallCaps/>
                          <w:color w:val="000000"/>
                        </w:rPr>
                        <w:t>COVER IMAGE: GETTY IMAGES/</w:t>
                      </w:r>
                      <w:proofErr w:type="spellStart"/>
                      <w:r>
                        <w:rPr>
                          <w:color w:val="000000"/>
                        </w:rPr>
                        <w:t>iStock</w:t>
                      </w:r>
                      <w:proofErr w:type="spellEnd"/>
                    </w:p>
                    <w:p w:rsidR="00085EED" w:rsidRDefault="00085EED" w:rsidP="007C667B">
                      <w:pPr>
                        <w:pStyle w:val="Imprint"/>
                        <w:rPr>
                          <w:color w:val="000000"/>
                        </w:rPr>
                      </w:pPr>
                      <w:r w:rsidRPr="005C2FCF">
                        <w:rPr>
                          <w:color w:val="000000"/>
                        </w:rPr>
                        <w:t>ISBN</w:t>
                      </w:r>
                      <w:r>
                        <w:rPr>
                          <w:color w:val="000000"/>
                        </w:rPr>
                        <w:t xml:space="preserve"> </w:t>
                      </w:r>
                      <w:r>
                        <w:rPr>
                          <w:color w:val="000000"/>
                        </w:rPr>
                        <w:tab/>
                        <w:t>978 1 925173 73 4</w:t>
                      </w:r>
                      <w:r w:rsidRPr="005C2FCF">
                        <w:rPr>
                          <w:color w:val="000000"/>
                        </w:rPr>
                        <w:tab/>
                      </w:r>
                    </w:p>
                    <w:p w:rsidR="00085EED" w:rsidRPr="005C2FCF" w:rsidRDefault="00085EED" w:rsidP="00CE248F">
                      <w:pPr>
                        <w:pStyle w:val="Imprint"/>
                        <w:spacing w:before="0"/>
                        <w:rPr>
                          <w:color w:val="000000"/>
                        </w:rPr>
                      </w:pPr>
                      <w:r w:rsidRPr="005C2FCF">
                        <w:rPr>
                          <w:color w:val="000000"/>
                        </w:rPr>
                        <w:t>TD/TNC</w:t>
                      </w:r>
                      <w:r>
                        <w:rPr>
                          <w:color w:val="000000"/>
                        </w:rPr>
                        <w:t xml:space="preserve"> </w:t>
                      </w:r>
                      <w:r w:rsidRPr="005C2FCF">
                        <w:rPr>
                          <w:color w:val="000000"/>
                        </w:rPr>
                        <w:tab/>
                      </w:r>
                      <w:r>
                        <w:rPr>
                          <w:color w:val="000000"/>
                        </w:rPr>
                        <w:t>126.23</w:t>
                      </w:r>
                    </w:p>
                    <w:p w:rsidR="00085EED" w:rsidRPr="005C2FCF" w:rsidRDefault="00085EED"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85EED" w:rsidRPr="005C2FCF" w:rsidRDefault="00085EED"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085EED" w:rsidRDefault="00085EED"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085EED" w:rsidRPr="002C3573" w:rsidRDefault="00085EED" w:rsidP="004B031A">
                      <w:pPr>
                        <w:pStyle w:val="Imprint"/>
                        <w:tabs>
                          <w:tab w:val="left" w:pos="2127"/>
                        </w:tabs>
                        <w:spacing w:before="0"/>
                      </w:pPr>
                      <w:r w:rsidRPr="002C3573">
                        <w:rPr>
                          <w:b/>
                        </w:rPr>
                        <w:t>Email</w:t>
                      </w:r>
                      <w:r w:rsidRPr="002C3573">
                        <w:t xml:space="preserve"> </w:t>
                      </w:r>
                      <w:hyperlink r:id="rId26"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085EED" w:rsidRPr="00D212FA" w:rsidRDefault="00085EED"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F33784" w:rsidRPr="000E691E" w:rsidRDefault="00F33784" w:rsidP="006459D9">
      <w:pPr>
        <w:pStyle w:val="Abouttheresearch"/>
      </w:pPr>
      <w:bookmarkStart w:id="11" w:name="_Toc416260892"/>
      <w:bookmarkStart w:id="12" w:name="_Toc416421648"/>
      <w:bookmarkStart w:id="13" w:name="_Toc421789465"/>
      <w:bookmarkStart w:id="14" w:name="_Toc460925670"/>
      <w:r>
        <w:lastRenderedPageBreak/>
        <w:t xml:space="preserve">About </w:t>
      </w:r>
      <w:r w:rsidR="00AC5497">
        <w:t>the</w:t>
      </w:r>
      <w:r>
        <w:t xml:space="preserve"> research</w:t>
      </w:r>
      <w:bookmarkEnd w:id="11"/>
      <w:bookmarkEnd w:id="12"/>
      <w:bookmarkEnd w:id="13"/>
      <w:bookmarkEnd w:id="14"/>
      <w:r w:rsidR="003364D3">
        <w:t xml:space="preserve"> </w:t>
      </w:r>
    </w:p>
    <w:p w:rsidR="006D7691" w:rsidRPr="0033653C" w:rsidRDefault="00B414DA" w:rsidP="0033653C">
      <w:pPr>
        <w:pStyle w:val="Abouttheresearchpubtitle"/>
        <w:spacing w:before="120"/>
        <w:rPr>
          <w:i w:val="0"/>
        </w:rPr>
      </w:pPr>
      <w:bookmarkStart w:id="15" w:name="_Toc98394877"/>
      <w:bookmarkStart w:id="16" w:name="_Toc296423681"/>
      <w:bookmarkStart w:id="17" w:name="_Toc296497512"/>
      <w:bookmarkStart w:id="18" w:name="_Toc98394878"/>
      <w:bookmarkStart w:id="19" w:name="_Toc296423682"/>
      <w:bookmarkStart w:id="20" w:name="_Toc296497513"/>
      <w:r w:rsidRPr="0033653C">
        <w:t xml:space="preserve">Making ‘good’ choices: the impact of entitlement models on </w:t>
      </w:r>
      <w:r w:rsidR="005A4E08" w:rsidRPr="0033653C">
        <w:t>upskilling</w:t>
      </w:r>
      <w:r w:rsidRPr="0033653C">
        <w:t xml:space="preserve"> later in life</w:t>
      </w:r>
    </w:p>
    <w:p w:rsidR="00CE248F" w:rsidRPr="0033653C" w:rsidRDefault="00C86777" w:rsidP="0033653C">
      <w:pPr>
        <w:pStyle w:val="Heading3"/>
        <w:spacing w:before="120"/>
        <w:rPr>
          <w:sz w:val="22"/>
          <w:szCs w:val="22"/>
        </w:rPr>
      </w:pPr>
      <w:r w:rsidRPr="0033653C">
        <w:rPr>
          <w:sz w:val="22"/>
          <w:szCs w:val="22"/>
        </w:rPr>
        <w:t>Ca</w:t>
      </w:r>
      <w:r w:rsidR="005331DE" w:rsidRPr="0033653C">
        <w:rPr>
          <w:sz w:val="22"/>
          <w:szCs w:val="22"/>
        </w:rPr>
        <w:t xml:space="preserve">in Polidano, Justin van de </w:t>
      </w:r>
      <w:proofErr w:type="spellStart"/>
      <w:r w:rsidR="005331DE" w:rsidRPr="0033653C">
        <w:rPr>
          <w:sz w:val="22"/>
          <w:szCs w:val="22"/>
        </w:rPr>
        <w:t>Ven</w:t>
      </w:r>
      <w:proofErr w:type="spellEnd"/>
      <w:r w:rsidR="005331DE" w:rsidRPr="0033653C">
        <w:rPr>
          <w:sz w:val="22"/>
          <w:szCs w:val="22"/>
        </w:rPr>
        <w:t xml:space="preserve"> and </w:t>
      </w:r>
      <w:r w:rsidRPr="0033653C">
        <w:rPr>
          <w:sz w:val="22"/>
          <w:szCs w:val="22"/>
        </w:rPr>
        <w:t xml:space="preserve">Sarah </w:t>
      </w:r>
      <w:proofErr w:type="spellStart"/>
      <w:r w:rsidRPr="0033653C">
        <w:rPr>
          <w:sz w:val="22"/>
          <w:szCs w:val="22"/>
        </w:rPr>
        <w:t>Voitchovsky</w:t>
      </w:r>
      <w:proofErr w:type="spellEnd"/>
      <w:r w:rsidRPr="0033653C">
        <w:rPr>
          <w:sz w:val="22"/>
          <w:szCs w:val="22"/>
        </w:rPr>
        <w:t xml:space="preserve">, </w:t>
      </w:r>
      <w:bookmarkEnd w:id="15"/>
      <w:bookmarkEnd w:id="16"/>
      <w:bookmarkEnd w:id="17"/>
      <w:r w:rsidRPr="0033653C">
        <w:rPr>
          <w:sz w:val="22"/>
          <w:szCs w:val="22"/>
        </w:rPr>
        <w:t>Melbourne Institute of Applied Economic and Social Research</w:t>
      </w:r>
    </w:p>
    <w:p w:rsidR="00F56595" w:rsidRPr="006459D9" w:rsidRDefault="00E92DB2" w:rsidP="0033653C">
      <w:pPr>
        <w:pStyle w:val="Text"/>
        <w:spacing w:before="120" w:line="290" w:lineRule="exact"/>
        <w:ind w:right="-142"/>
        <w:rPr>
          <w:spacing w:val="-2"/>
        </w:rPr>
      </w:pPr>
      <w:r w:rsidRPr="006459D9">
        <w:rPr>
          <w:spacing w:val="-2"/>
        </w:rPr>
        <w:t xml:space="preserve">In 2008, the Council of Australian Governments </w:t>
      </w:r>
      <w:r w:rsidR="003A452E" w:rsidRPr="006459D9">
        <w:rPr>
          <w:spacing w:val="-2"/>
        </w:rPr>
        <w:t xml:space="preserve">(COAG) </w:t>
      </w:r>
      <w:r w:rsidR="00B50782" w:rsidRPr="006459D9">
        <w:rPr>
          <w:spacing w:val="-2"/>
        </w:rPr>
        <w:t xml:space="preserve">initiated </w:t>
      </w:r>
      <w:r w:rsidRPr="006459D9">
        <w:rPr>
          <w:spacing w:val="-2"/>
        </w:rPr>
        <w:t>the National Agreement for Skills and Workforce Development</w:t>
      </w:r>
      <w:r w:rsidR="00F56595" w:rsidRPr="006459D9">
        <w:rPr>
          <w:spacing w:val="-2"/>
        </w:rPr>
        <w:t xml:space="preserve">, a component of </w:t>
      </w:r>
      <w:r w:rsidRPr="006459D9">
        <w:rPr>
          <w:spacing w:val="-2"/>
        </w:rPr>
        <w:t>which focused on reforming the training market to be more learner-driven and responsive to the labour market</w:t>
      </w:r>
      <w:r w:rsidR="00F56595" w:rsidRPr="006459D9">
        <w:rPr>
          <w:spacing w:val="-2"/>
        </w:rPr>
        <w:t xml:space="preserve">. This resulted in the implementation of </w:t>
      </w:r>
      <w:r w:rsidR="00B50782" w:rsidRPr="006459D9">
        <w:rPr>
          <w:spacing w:val="-2"/>
        </w:rPr>
        <w:t>national training entitlements for government-subsidised training places</w:t>
      </w:r>
      <w:r w:rsidR="00E3672E" w:rsidRPr="006459D9">
        <w:rPr>
          <w:spacing w:val="-2"/>
        </w:rPr>
        <w:t>.</w:t>
      </w:r>
      <w:r w:rsidRPr="006459D9">
        <w:rPr>
          <w:spacing w:val="-2"/>
        </w:rPr>
        <w:t xml:space="preserve"> </w:t>
      </w:r>
      <w:r w:rsidR="00B50782" w:rsidRPr="006459D9">
        <w:rPr>
          <w:spacing w:val="-2"/>
        </w:rPr>
        <w:t>An underlying premise of entitlement models is that</w:t>
      </w:r>
      <w:r w:rsidR="005331DE" w:rsidRPr="006459D9">
        <w:rPr>
          <w:spacing w:val="-2"/>
        </w:rPr>
        <w:t>,</w:t>
      </w:r>
      <w:r w:rsidR="00B50782" w:rsidRPr="006459D9">
        <w:rPr>
          <w:spacing w:val="-2"/>
        </w:rPr>
        <w:t xml:space="preserve"> by giving the student a choice </w:t>
      </w:r>
      <w:r w:rsidR="003A452E" w:rsidRPr="006459D9">
        <w:rPr>
          <w:spacing w:val="-2"/>
        </w:rPr>
        <w:t>in where they train and the</w:t>
      </w:r>
      <w:r w:rsidR="008D3FCA" w:rsidRPr="006459D9">
        <w:rPr>
          <w:spacing w:val="-2"/>
        </w:rPr>
        <w:t xml:space="preserve"> capacity to choose their </w:t>
      </w:r>
      <w:r w:rsidR="003A452E" w:rsidRPr="006459D9">
        <w:rPr>
          <w:spacing w:val="-2"/>
        </w:rPr>
        <w:t>course</w:t>
      </w:r>
      <w:r w:rsidR="00B50782" w:rsidRPr="006459D9">
        <w:rPr>
          <w:spacing w:val="-2"/>
        </w:rPr>
        <w:t xml:space="preserve">, they will more likely choose courses that will benefit them economically and, therefore, the wider labour market. </w:t>
      </w:r>
    </w:p>
    <w:p w:rsidR="00B31F53" w:rsidRDefault="00085EED" w:rsidP="0033653C">
      <w:pPr>
        <w:pStyle w:val="Text"/>
        <w:spacing w:before="120" w:line="290" w:lineRule="exact"/>
        <w:ind w:right="-142"/>
      </w:pPr>
      <w:r>
        <w:t>This research looks at the responsiveness of individuals — aged 25</w:t>
      </w:r>
      <w:r w:rsidR="00DD4111">
        <w:t xml:space="preserve"> to </w:t>
      </w:r>
      <w:r w:rsidR="001461A6">
        <w:t>54 — to</w:t>
      </w:r>
      <w:r w:rsidR="001549F2">
        <w:t xml:space="preserve"> government subsidies designed to support upskilling through the Victorian Training Guarantee (VTG). The timeframe for analysis was 1 Jan 2011 — 30 June 2012, reflecting the first 18 months that the reforms introduced through the VTG </w:t>
      </w:r>
      <w:proofErr w:type="gramStart"/>
      <w:r w:rsidR="001549F2">
        <w:t>were</w:t>
      </w:r>
      <w:proofErr w:type="gramEnd"/>
      <w:r w:rsidR="001549F2">
        <w:t xml:space="preserve"> fully implemented for the target age band. This timeframe is also prior to the reforms introduced in July 2012 that focussed on targeting subsidies to influence course choices, and the introduction of Skills First on 1 January 2017, which superseded the Victorian training and TAFE system. Therefore, while this research does not consider reforms post July 2012, the finding</w:t>
      </w:r>
      <w:r w:rsidR="00505449">
        <w:t>s</w:t>
      </w:r>
      <w:r w:rsidR="001549F2">
        <w:t xml:space="preserve"> are still relevant in the current environment as the criteria for ‘older’ learners remains unchanged, namely government</w:t>
      </w:r>
      <w:r w:rsidR="009D77B8">
        <w:t>-</w:t>
      </w:r>
      <w:r w:rsidR="001549F2">
        <w:t xml:space="preserve">subsidised training places available to individuals aged 20 years or older that are looking to upskill. </w:t>
      </w:r>
    </w:p>
    <w:p w:rsidR="001329BC" w:rsidRDefault="00BF502B" w:rsidP="0033653C">
      <w:pPr>
        <w:pStyle w:val="Text"/>
        <w:spacing w:before="120" w:line="290" w:lineRule="exact"/>
        <w:ind w:right="-142"/>
      </w:pPr>
      <w:r>
        <w:t xml:space="preserve">This research builds on that supported previously by NCVER, </w:t>
      </w:r>
      <w:r w:rsidRPr="00395708">
        <w:t xml:space="preserve">which </w:t>
      </w:r>
      <w:r>
        <w:t>explor</w:t>
      </w:r>
      <w:r w:rsidRPr="00395708">
        <w:t>ed the early impacts of the V</w:t>
      </w:r>
      <w:r>
        <w:t>TG</w:t>
      </w:r>
      <w:r w:rsidRPr="00395708">
        <w:t xml:space="preserve"> on enrolment numbers and graduate outcomes</w:t>
      </w:r>
      <w:r>
        <w:t xml:space="preserve"> among 15 to 19-year-olds</w:t>
      </w:r>
      <w:r w:rsidRPr="00395708">
        <w:t xml:space="preserve"> (Leung et al</w:t>
      </w:r>
      <w:r>
        <w:t>. 2014).</w:t>
      </w:r>
      <w:r w:rsidR="002C0A23">
        <w:t xml:space="preserve">A particular focus here is </w:t>
      </w:r>
      <w:r w:rsidR="006D189E">
        <w:t xml:space="preserve">on </w:t>
      </w:r>
      <w:r w:rsidR="002C0A23">
        <w:t>the impact of the subsidies on enrolment</w:t>
      </w:r>
      <w:r w:rsidR="001329BC">
        <w:t>s</w:t>
      </w:r>
      <w:r w:rsidR="005331DE">
        <w:t>,</w:t>
      </w:r>
      <w:r w:rsidR="001329BC">
        <w:t xml:space="preserve"> as well as the alignment of course choices with labour market needs.</w:t>
      </w:r>
      <w:r w:rsidR="002C0A23">
        <w:t xml:space="preserve"> </w:t>
      </w:r>
      <w:r w:rsidR="00430BE3">
        <w:t>The</w:t>
      </w:r>
      <w:r w:rsidR="00067452">
        <w:t xml:space="preserve"> research explored </w:t>
      </w:r>
      <w:r w:rsidR="001329BC">
        <w:t>how enrolment and course choice responses varied by age, gender and across disadvantaged groups in the community</w:t>
      </w:r>
      <w:r w:rsidR="005331DE">
        <w:t>,</w:t>
      </w:r>
      <w:r w:rsidR="001329BC">
        <w:t xml:space="preserve"> including the unemployed, people with little formal education, people from non-English speaking bac</w:t>
      </w:r>
      <w:r w:rsidR="005331DE">
        <w:t>kgrounds, people from low socio</w:t>
      </w:r>
      <w:r w:rsidR="001329BC">
        <w:t>economic a</w:t>
      </w:r>
      <w:r w:rsidR="005331DE">
        <w:t>reas, and people with disabilities</w:t>
      </w:r>
      <w:r w:rsidR="008917CC">
        <w:t>.</w:t>
      </w:r>
    </w:p>
    <w:p w:rsidR="00CE248F" w:rsidRPr="005C2FCF" w:rsidRDefault="00CE248F" w:rsidP="0033653C">
      <w:pPr>
        <w:pStyle w:val="Keymessages"/>
        <w:spacing w:before="120"/>
      </w:pPr>
      <w:r w:rsidRPr="005C2FCF">
        <w:t>Key messages</w:t>
      </w:r>
    </w:p>
    <w:p w:rsidR="00AC073E" w:rsidRDefault="00C71AA1" w:rsidP="0033653C">
      <w:pPr>
        <w:pStyle w:val="Dotpoint1"/>
        <w:spacing w:before="60" w:line="290" w:lineRule="exact"/>
      </w:pPr>
      <w:r>
        <w:t xml:space="preserve">‘Older’ learners </w:t>
      </w:r>
      <w:r w:rsidR="00E3672E">
        <w:t xml:space="preserve">(25 to 54 years) </w:t>
      </w:r>
      <w:r w:rsidR="005331DE">
        <w:t>responded positively to the up</w:t>
      </w:r>
      <w:r>
        <w:t xml:space="preserve">skilling entitlement of the </w:t>
      </w:r>
      <w:r w:rsidR="005331DE" w:rsidRPr="00395708">
        <w:t>Victorian Training Guarantee</w:t>
      </w:r>
      <w:r w:rsidR="003A452E">
        <w:t>,</w:t>
      </w:r>
      <w:r>
        <w:t xml:space="preserve"> with </w:t>
      </w:r>
      <w:r w:rsidR="00F2735B">
        <w:t xml:space="preserve">the </w:t>
      </w:r>
      <w:r>
        <w:t xml:space="preserve">uptake of </w:t>
      </w:r>
      <w:r w:rsidR="003A452E">
        <w:t>vocational education and training (</w:t>
      </w:r>
      <w:r>
        <w:t>VET</w:t>
      </w:r>
      <w:r w:rsidR="003A452E">
        <w:t>)</w:t>
      </w:r>
      <w:r>
        <w:t xml:space="preserve"> by this group </w:t>
      </w:r>
      <w:r w:rsidR="00F2735B">
        <w:t xml:space="preserve">estimated to have increased by 4.2 percentage points </w:t>
      </w:r>
      <w:r w:rsidR="005331DE">
        <w:t>by</w:t>
      </w:r>
      <w:r w:rsidR="00F2735B">
        <w:t xml:space="preserve"> comparison </w:t>
      </w:r>
      <w:r w:rsidR="00763EBF">
        <w:t>with</w:t>
      </w:r>
      <w:r w:rsidR="00F2735B">
        <w:t xml:space="preserve"> the rest of Australia </w:t>
      </w:r>
      <w:r w:rsidR="00AC073E">
        <w:t xml:space="preserve">between January 2011 and June 2012. </w:t>
      </w:r>
    </w:p>
    <w:p w:rsidR="00395708" w:rsidRDefault="00763EBF" w:rsidP="0033653C">
      <w:pPr>
        <w:pStyle w:val="Dotpoint1"/>
        <w:spacing w:before="60" w:line="290" w:lineRule="exact"/>
        <w:rPr>
          <w:rStyle w:val="apple-converted-space"/>
        </w:rPr>
      </w:pPr>
      <w:r>
        <w:rPr>
          <w:rStyle w:val="apple-converted-space"/>
        </w:rPr>
        <w:t>The e</w:t>
      </w:r>
      <w:r w:rsidR="00067452">
        <w:rPr>
          <w:rStyle w:val="apple-converted-space"/>
        </w:rPr>
        <w:t xml:space="preserve">vidence indicates </w:t>
      </w:r>
      <w:r w:rsidR="00C71AA1">
        <w:rPr>
          <w:rStyle w:val="apple-converted-space"/>
        </w:rPr>
        <w:t xml:space="preserve">a significant improvement in the match between course choices and </w:t>
      </w:r>
      <w:r w:rsidR="003A452E">
        <w:rPr>
          <w:rStyle w:val="apple-converted-space"/>
        </w:rPr>
        <w:t xml:space="preserve">the </w:t>
      </w:r>
      <w:r w:rsidR="00C71AA1">
        <w:rPr>
          <w:rStyle w:val="apple-converted-space"/>
        </w:rPr>
        <w:t>officially recognised skills in demand</w:t>
      </w:r>
      <w:r w:rsidR="007D3CC1">
        <w:rPr>
          <w:rStyle w:val="apple-converted-space"/>
        </w:rPr>
        <w:t xml:space="preserve">, with enrolments skewed towards courses </w:t>
      </w:r>
      <w:r>
        <w:rPr>
          <w:rStyle w:val="apple-converted-space"/>
        </w:rPr>
        <w:t>with</w:t>
      </w:r>
      <w:r w:rsidR="007D3CC1">
        <w:rPr>
          <w:rStyle w:val="apple-converted-space"/>
        </w:rPr>
        <w:t xml:space="preserve"> relatively high expected wages upon completion</w:t>
      </w:r>
      <w:r w:rsidR="00395708">
        <w:rPr>
          <w:rStyle w:val="apple-converted-space"/>
        </w:rPr>
        <w:t>.</w:t>
      </w:r>
      <w:r w:rsidR="00B01602">
        <w:rPr>
          <w:rStyle w:val="apple-converted-space"/>
        </w:rPr>
        <w:t xml:space="preserve"> </w:t>
      </w:r>
    </w:p>
    <w:p w:rsidR="00430BE3" w:rsidRDefault="009367D1" w:rsidP="0033653C">
      <w:pPr>
        <w:pStyle w:val="Dotpoint1"/>
        <w:spacing w:before="60" w:line="290" w:lineRule="exact"/>
        <w:rPr>
          <w:rStyle w:val="apple-converted-space"/>
        </w:rPr>
      </w:pPr>
      <w:r>
        <w:rPr>
          <w:rStyle w:val="apple-converted-space"/>
        </w:rPr>
        <w:t>Importantly, these outcomes</w:t>
      </w:r>
      <w:r w:rsidR="000B108C">
        <w:rPr>
          <w:rStyle w:val="apple-converted-space"/>
        </w:rPr>
        <w:t xml:space="preserve"> were </w:t>
      </w:r>
      <w:r w:rsidR="00172167">
        <w:rPr>
          <w:rStyle w:val="apple-converted-space"/>
        </w:rPr>
        <w:t xml:space="preserve">also </w:t>
      </w:r>
      <w:r w:rsidR="00067452">
        <w:rPr>
          <w:rStyle w:val="apple-converted-space"/>
        </w:rPr>
        <w:t xml:space="preserve">applicable </w:t>
      </w:r>
      <w:r w:rsidR="00430BE3">
        <w:rPr>
          <w:rStyle w:val="apple-converted-space"/>
        </w:rPr>
        <w:t>to people</w:t>
      </w:r>
      <w:r w:rsidR="00172167">
        <w:rPr>
          <w:rStyle w:val="apple-converted-space"/>
        </w:rPr>
        <w:t xml:space="preserve"> from </w:t>
      </w:r>
      <w:r w:rsidR="00430BE3">
        <w:rPr>
          <w:rStyle w:val="apple-converted-space"/>
        </w:rPr>
        <w:t xml:space="preserve">more </w:t>
      </w:r>
      <w:r w:rsidR="00172167">
        <w:rPr>
          <w:rStyle w:val="apple-converted-space"/>
        </w:rPr>
        <w:t>dis</w:t>
      </w:r>
      <w:r w:rsidR="000B108C">
        <w:rPr>
          <w:rStyle w:val="apple-converted-space"/>
        </w:rPr>
        <w:t>advantage</w:t>
      </w:r>
      <w:r w:rsidR="00172167">
        <w:rPr>
          <w:rStyle w:val="apple-converted-space"/>
        </w:rPr>
        <w:t>d backgrounds</w:t>
      </w:r>
      <w:r w:rsidR="00932575">
        <w:rPr>
          <w:rStyle w:val="apple-converted-space"/>
        </w:rPr>
        <w:t>,</w:t>
      </w:r>
      <w:r w:rsidR="00172167">
        <w:rPr>
          <w:rStyle w:val="apple-converted-space"/>
        </w:rPr>
        <w:t xml:space="preserve"> such as the unemployed, people from non-English speaking backgr</w:t>
      </w:r>
      <w:r w:rsidR="00763EBF">
        <w:rPr>
          <w:rStyle w:val="apple-converted-space"/>
        </w:rPr>
        <w:t>ounds and people with disabilities</w:t>
      </w:r>
      <w:r w:rsidR="00932575">
        <w:rPr>
          <w:rStyle w:val="apple-converted-space"/>
        </w:rPr>
        <w:t xml:space="preserve">. </w:t>
      </w:r>
      <w:r w:rsidR="00430BE3">
        <w:rPr>
          <w:rStyle w:val="apple-converted-space"/>
        </w:rPr>
        <w:t>Im</w:t>
      </w:r>
      <w:r w:rsidR="00E3672E">
        <w:rPr>
          <w:rStyle w:val="apple-converted-space"/>
        </w:rPr>
        <w:t xml:space="preserve">proved </w:t>
      </w:r>
      <w:r w:rsidR="00172167">
        <w:rPr>
          <w:rStyle w:val="apple-converted-space"/>
        </w:rPr>
        <w:t xml:space="preserve">alignment of course choice with the skills in demand </w:t>
      </w:r>
      <w:r w:rsidR="00E3672E">
        <w:rPr>
          <w:rStyle w:val="apple-converted-space"/>
        </w:rPr>
        <w:t>should</w:t>
      </w:r>
      <w:r w:rsidR="00172167">
        <w:rPr>
          <w:rStyle w:val="apple-converted-space"/>
        </w:rPr>
        <w:t xml:space="preserve"> </w:t>
      </w:r>
      <w:r w:rsidR="00D93E78">
        <w:rPr>
          <w:rStyle w:val="apple-converted-space"/>
        </w:rPr>
        <w:t>impact</w:t>
      </w:r>
      <w:r w:rsidR="00172167">
        <w:rPr>
          <w:rStyle w:val="apple-converted-space"/>
        </w:rPr>
        <w:t xml:space="preserve"> on </w:t>
      </w:r>
      <w:r w:rsidR="00D93E78">
        <w:rPr>
          <w:rStyle w:val="apple-converted-space"/>
        </w:rPr>
        <w:t xml:space="preserve">the </w:t>
      </w:r>
      <w:r w:rsidR="00172167">
        <w:rPr>
          <w:rStyle w:val="apple-converted-space"/>
        </w:rPr>
        <w:t>subsequent living standards</w:t>
      </w:r>
      <w:r w:rsidR="00D93E78">
        <w:rPr>
          <w:rStyle w:val="apple-converted-space"/>
        </w:rPr>
        <w:t xml:space="preserve"> of people from such backgrounds</w:t>
      </w:r>
      <w:r w:rsidR="00172167">
        <w:rPr>
          <w:rStyle w:val="apple-converted-space"/>
        </w:rPr>
        <w:t>.</w:t>
      </w:r>
    </w:p>
    <w:p w:rsidR="006459D9" w:rsidRDefault="00430BE3" w:rsidP="0033653C">
      <w:pPr>
        <w:pStyle w:val="Dotpoint1"/>
        <w:spacing w:before="60" w:line="290" w:lineRule="exact"/>
        <w:rPr>
          <w:rStyle w:val="apple-converted-space"/>
        </w:rPr>
      </w:pPr>
      <w:r>
        <w:rPr>
          <w:rStyle w:val="apple-converted-space"/>
        </w:rPr>
        <w:t>The results underline the capacity of working</w:t>
      </w:r>
      <w:r w:rsidR="0005656E">
        <w:rPr>
          <w:rStyle w:val="apple-converted-space"/>
        </w:rPr>
        <w:t>-</w:t>
      </w:r>
      <w:r>
        <w:rPr>
          <w:rStyle w:val="apple-converted-space"/>
        </w:rPr>
        <w:t xml:space="preserve">age individuals, including those </w:t>
      </w:r>
      <w:r w:rsidR="0005656E">
        <w:rPr>
          <w:rStyle w:val="apple-converted-space"/>
        </w:rPr>
        <w:t xml:space="preserve">who are </w:t>
      </w:r>
      <w:r>
        <w:rPr>
          <w:rStyle w:val="apple-converted-space"/>
        </w:rPr>
        <w:t xml:space="preserve">more disadvantaged, to make sound course choices in relation to jobs if given </w:t>
      </w:r>
      <w:r w:rsidR="0005656E">
        <w:rPr>
          <w:rStyle w:val="apple-converted-space"/>
        </w:rPr>
        <w:t xml:space="preserve">the </w:t>
      </w:r>
      <w:r>
        <w:rPr>
          <w:rStyle w:val="apple-converted-space"/>
        </w:rPr>
        <w:t>opportunity and access to relevant information.</w:t>
      </w:r>
    </w:p>
    <w:p w:rsidR="00F33784" w:rsidRDefault="00763EBF" w:rsidP="0033653C">
      <w:pPr>
        <w:pStyle w:val="Dotpoint1"/>
        <w:numPr>
          <w:ilvl w:val="0"/>
          <w:numId w:val="0"/>
        </w:numPr>
        <w:spacing w:line="290" w:lineRule="atLeast"/>
      </w:pPr>
      <w:r>
        <w:t xml:space="preserve">Dr </w:t>
      </w:r>
      <w:r w:rsidR="00CE248F">
        <w:t>Craig Fowler</w:t>
      </w:r>
      <w:r w:rsidR="00CE248F">
        <w:br/>
      </w:r>
      <w:r w:rsidR="00CE248F" w:rsidRPr="005C2FCF">
        <w:t>Managing Director, NCVER</w:t>
      </w:r>
      <w:bookmarkEnd w:id="18"/>
      <w:bookmarkEnd w:id="19"/>
      <w:bookmarkEnd w:id="20"/>
    </w:p>
    <w:p w:rsidR="001F573F" w:rsidRDefault="001F573F" w:rsidP="0033653C">
      <w:pPr>
        <w:pStyle w:val="Contents"/>
        <w:spacing w:line="290" w:lineRule="atLeast"/>
        <w:sectPr w:rsidR="001F573F" w:rsidSect="00011633">
          <w:headerReference w:type="default" r:id="rId27"/>
          <w:footerReference w:type="even" r:id="rId28"/>
          <w:footerReference w:type="default" r:id="rId29"/>
          <w:pgSz w:w="11907" w:h="16840" w:code="9"/>
          <w:pgMar w:top="1276" w:right="1418" w:bottom="992" w:left="1418" w:header="709" w:footer="420" w:gutter="0"/>
          <w:cols w:space="708"/>
          <w:docGrid w:linePitch="360"/>
        </w:sectPr>
      </w:pPr>
    </w:p>
    <w:p w:rsidR="00F33784" w:rsidRDefault="00F33784" w:rsidP="0033653C">
      <w:pPr>
        <w:pStyle w:val="Contents"/>
        <w:spacing w:line="290" w:lineRule="atLeast"/>
        <w:sectPr w:rsidR="00F33784" w:rsidSect="00011633">
          <w:pgSz w:w="11907" w:h="16840" w:code="9"/>
          <w:pgMar w:top="1276" w:right="1418" w:bottom="992" w:left="1418" w:header="709" w:footer="420" w:gutter="0"/>
          <w:cols w:space="708"/>
          <w:docGrid w:linePitch="360"/>
        </w:sectPr>
      </w:pPr>
    </w:p>
    <w:p w:rsidR="00EB0AD7" w:rsidRPr="003813E4" w:rsidRDefault="00DA1F9E" w:rsidP="004322A5">
      <w:pPr>
        <w:pStyle w:val="Contents"/>
        <w:tabs>
          <w:tab w:val="left" w:pos="6313"/>
        </w:tabs>
      </w:pPr>
      <w:r>
        <w:rPr>
          <w:noProof/>
          <w:lang w:eastAsia="en-AU"/>
        </w:rPr>
        <w:lastRenderedPageBreak/>
        <w:drawing>
          <wp:anchor distT="0" distB="0" distL="114300" distR="114300" simplePos="0" relativeHeight="251677696" behindDoc="1" locked="0" layoutInCell="1" allowOverlap="1" wp14:anchorId="6D6076C8" wp14:editId="28B9C7BA">
            <wp:simplePos x="0" y="0"/>
            <wp:positionH relativeFrom="column">
              <wp:posOffset>4829810</wp:posOffset>
            </wp:positionH>
            <wp:positionV relativeFrom="paragraph">
              <wp:posOffset>529590</wp:posOffset>
            </wp:positionV>
            <wp:extent cx="419100" cy="419100"/>
            <wp:effectExtent l="0" t="0" r="0" b="0"/>
            <wp:wrapNone/>
            <wp:docPr id="2" name="Picture 2" descr="P:\WorkInProgress\ShaunPubs\Making good choices\PaperClip 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Making good choices\PaperClip 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41B">
        <w:rPr>
          <w:noProof/>
          <w:lang w:eastAsia="en-AU"/>
        </w:rPr>
        <w:drawing>
          <wp:anchor distT="0" distB="0" distL="114300" distR="114300" simplePos="0" relativeHeight="251674624" behindDoc="1" locked="0" layoutInCell="1" allowOverlap="1" wp14:anchorId="7A2FE1CA" wp14:editId="19F5FD91">
            <wp:simplePos x="0" y="0"/>
            <wp:positionH relativeFrom="column">
              <wp:posOffset>4335780</wp:posOffset>
            </wp:positionH>
            <wp:positionV relativeFrom="paragraph">
              <wp:posOffset>530225</wp:posOffset>
            </wp:positionV>
            <wp:extent cx="417195" cy="417195"/>
            <wp:effectExtent l="0" t="0" r="1905" b="1905"/>
            <wp:wrapNone/>
            <wp:docPr id="14" name="Picture 14" descr="P:\WorkInProgress\ShaunPubs\Making good choices\PaperClip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Making good choices\PaperClip 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41B">
        <w:rPr>
          <w:noProof/>
          <w:lang w:eastAsia="en-AU"/>
        </w:rPr>
        <w:drawing>
          <wp:anchor distT="0" distB="0" distL="114300" distR="114300" simplePos="0" relativeHeight="251675648" behindDoc="1" locked="0" layoutInCell="1" allowOverlap="1" wp14:anchorId="0D0D6ED5" wp14:editId="57619BF9">
            <wp:simplePos x="0" y="0"/>
            <wp:positionH relativeFrom="column">
              <wp:posOffset>3864610</wp:posOffset>
            </wp:positionH>
            <wp:positionV relativeFrom="paragraph">
              <wp:posOffset>529590</wp:posOffset>
            </wp:positionV>
            <wp:extent cx="419100" cy="419100"/>
            <wp:effectExtent l="0" t="0" r="0" b="0"/>
            <wp:wrapNone/>
            <wp:docPr id="38" name="Picture 38" descr="P:\WorkInProgress\ShaunPubs\Making good choices\PaperClip Corporate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WorkInProgress\ShaunPubs\Making good choices\PaperClip Corporate 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0B1">
        <w:rPr>
          <w:noProof/>
          <w:lang w:eastAsia="en-AU"/>
        </w:rPr>
        <w:drawing>
          <wp:anchor distT="0" distB="0" distL="114300" distR="114300" simplePos="0" relativeHeight="251656192" behindDoc="1" locked="0" layoutInCell="1" allowOverlap="1" wp14:anchorId="56A97AF2" wp14:editId="3EDE6770">
            <wp:simplePos x="0" y="0"/>
            <wp:positionH relativeFrom="column">
              <wp:posOffset>478790</wp:posOffset>
            </wp:positionH>
            <wp:positionV relativeFrom="paragraph">
              <wp:posOffset>535305</wp:posOffset>
            </wp:positionV>
            <wp:extent cx="417600" cy="446400"/>
            <wp:effectExtent l="0" t="0" r="1905" b="0"/>
            <wp:wrapNone/>
            <wp:docPr id="6" name="Picture 6"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2" name="Picture 2" descr="P:\PublicationComponents\Icons\Intro_Green.emf"/>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6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0B1">
        <w:rPr>
          <w:noProof/>
          <w:lang w:eastAsia="en-AU"/>
        </w:rPr>
        <w:drawing>
          <wp:anchor distT="0" distB="0" distL="114300" distR="114300" simplePos="0" relativeHeight="251657216" behindDoc="1" locked="0" layoutInCell="1" allowOverlap="1" wp14:anchorId="7532FF23" wp14:editId="4072DE8C">
            <wp:simplePos x="0" y="0"/>
            <wp:positionH relativeFrom="column">
              <wp:posOffset>3402965</wp:posOffset>
            </wp:positionH>
            <wp:positionV relativeFrom="paragraph">
              <wp:posOffset>526415</wp:posOffset>
            </wp:positionV>
            <wp:extent cx="417600" cy="417600"/>
            <wp:effectExtent l="0" t="0" r="1905" b="1905"/>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0B1">
        <w:rPr>
          <w:noProof/>
          <w:lang w:eastAsia="en-AU"/>
        </w:rPr>
        <w:drawing>
          <wp:anchor distT="0" distB="0" distL="114300" distR="114300" simplePos="0" relativeHeight="251660288" behindDoc="1" locked="0" layoutInCell="1" allowOverlap="1" wp14:anchorId="11D06BDE" wp14:editId="03C6D04F">
            <wp:simplePos x="0" y="0"/>
            <wp:positionH relativeFrom="column">
              <wp:posOffset>968375</wp:posOffset>
            </wp:positionH>
            <wp:positionV relativeFrom="paragraph">
              <wp:posOffset>535305</wp:posOffset>
            </wp:positionV>
            <wp:extent cx="417600" cy="417600"/>
            <wp:effectExtent l="0" t="0" r="1905" b="1905"/>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0B1">
        <w:rPr>
          <w:noProof/>
          <w:lang w:eastAsia="en-AU"/>
        </w:rPr>
        <w:drawing>
          <wp:anchor distT="0" distB="0" distL="114300" distR="114300" simplePos="0" relativeHeight="251661312" behindDoc="1" locked="0" layoutInCell="1" allowOverlap="1" wp14:anchorId="7D322410" wp14:editId="079E70F4">
            <wp:simplePos x="0" y="0"/>
            <wp:positionH relativeFrom="column">
              <wp:posOffset>1470660</wp:posOffset>
            </wp:positionH>
            <wp:positionV relativeFrom="paragraph">
              <wp:posOffset>526415</wp:posOffset>
            </wp:positionV>
            <wp:extent cx="423545" cy="44577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3545" cy="445770"/>
                    </a:xfrm>
                    <a:prstGeom prst="rect">
                      <a:avLst/>
                    </a:prstGeom>
                    <a:noFill/>
                    <a:ln>
                      <a:noFill/>
                    </a:ln>
                  </pic:spPr>
                </pic:pic>
              </a:graphicData>
            </a:graphic>
          </wp:anchor>
        </w:drawing>
      </w:r>
      <w:r w:rsidR="005E50B1">
        <w:rPr>
          <w:noProof/>
          <w:lang w:eastAsia="en-AU"/>
        </w:rPr>
        <w:drawing>
          <wp:anchor distT="0" distB="0" distL="114300" distR="114300" simplePos="0" relativeHeight="251658240" behindDoc="1" locked="0" layoutInCell="1" allowOverlap="1" wp14:anchorId="645FECC6" wp14:editId="4F0B413E">
            <wp:simplePos x="0" y="0"/>
            <wp:positionH relativeFrom="column">
              <wp:posOffset>2928620</wp:posOffset>
            </wp:positionH>
            <wp:positionV relativeFrom="paragraph">
              <wp:posOffset>526415</wp:posOffset>
            </wp:positionV>
            <wp:extent cx="419100" cy="4191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5E50B1">
        <w:rPr>
          <w:noProof/>
          <w:lang w:eastAsia="en-AU"/>
        </w:rPr>
        <w:drawing>
          <wp:anchor distT="0" distB="0" distL="114300" distR="114300" simplePos="0" relativeHeight="251659264" behindDoc="1" locked="0" layoutInCell="1" allowOverlap="1" wp14:anchorId="7DD2D524" wp14:editId="1C47BC51">
            <wp:simplePos x="0" y="0"/>
            <wp:positionH relativeFrom="column">
              <wp:posOffset>2445385</wp:posOffset>
            </wp:positionH>
            <wp:positionV relativeFrom="paragraph">
              <wp:posOffset>526415</wp:posOffset>
            </wp:positionV>
            <wp:extent cx="419100" cy="419100"/>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5E50B1">
        <w:rPr>
          <w:noProof/>
          <w:lang w:eastAsia="en-AU"/>
        </w:rPr>
        <w:drawing>
          <wp:anchor distT="0" distB="0" distL="114300" distR="114300" simplePos="0" relativeHeight="251662336" behindDoc="1" locked="0" layoutInCell="1" allowOverlap="1" wp14:anchorId="07103B08" wp14:editId="14B55FF3">
            <wp:simplePos x="0" y="0"/>
            <wp:positionH relativeFrom="column">
              <wp:posOffset>1953895</wp:posOffset>
            </wp:positionH>
            <wp:positionV relativeFrom="paragraph">
              <wp:posOffset>526415</wp:posOffset>
            </wp:positionV>
            <wp:extent cx="426085" cy="481965"/>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6085" cy="481965"/>
                    </a:xfrm>
                    <a:prstGeom prst="rect">
                      <a:avLst/>
                    </a:prstGeom>
                    <a:noFill/>
                    <a:ln>
                      <a:noFill/>
                    </a:ln>
                  </pic:spPr>
                </pic:pic>
              </a:graphicData>
            </a:graphic>
          </wp:anchor>
        </w:drawing>
      </w:r>
      <w:r w:rsidR="00A16557" w:rsidRPr="00BE5DCB">
        <w:rPr>
          <w:noProof/>
          <w:lang w:eastAsia="en-AU"/>
        </w:rPr>
        <w:drawing>
          <wp:anchor distT="0" distB="0" distL="114300" distR="114300" simplePos="0" relativeHeight="251641856" behindDoc="1" locked="0" layoutInCell="1" allowOverlap="1" wp14:anchorId="0D2EB00B" wp14:editId="53244367">
            <wp:simplePos x="0" y="0"/>
            <wp:positionH relativeFrom="column">
              <wp:posOffset>4445</wp:posOffset>
            </wp:positionH>
            <wp:positionV relativeFrom="paragraph">
              <wp:posOffset>535305</wp:posOffset>
            </wp:positionV>
            <wp:extent cx="417600" cy="417600"/>
            <wp:effectExtent l="0" t="0" r="1905" b="1905"/>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AD7" w:rsidRPr="00BE5DCB">
        <w:t>Contents</w:t>
      </w:r>
      <w:bookmarkEnd w:id="8"/>
      <w:bookmarkEnd w:id="9"/>
      <w:bookmarkEnd w:id="10"/>
      <w:r w:rsidR="004322A5">
        <w:tab/>
      </w:r>
    </w:p>
    <w:p w:rsidR="00407E5D" w:rsidRDefault="004D5632">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407E5D">
        <w:t>Tables and figures</w:t>
      </w:r>
      <w:r w:rsidR="00407E5D">
        <w:tab/>
      </w:r>
      <w:r w:rsidR="00407E5D">
        <w:fldChar w:fldCharType="begin"/>
      </w:r>
      <w:r w:rsidR="00407E5D">
        <w:instrText xml:space="preserve"> PAGEREF _Toc472516994 \h </w:instrText>
      </w:r>
      <w:r w:rsidR="00407E5D">
        <w:fldChar w:fldCharType="separate"/>
      </w:r>
      <w:r w:rsidR="0037479E">
        <w:t>6</w:t>
      </w:r>
      <w:r w:rsidR="00407E5D">
        <w:fldChar w:fldCharType="end"/>
      </w:r>
    </w:p>
    <w:p w:rsidR="00407E5D" w:rsidRDefault="00407E5D">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_Toc472516997 \h </w:instrText>
      </w:r>
      <w:r>
        <w:fldChar w:fldCharType="separate"/>
      </w:r>
      <w:r w:rsidR="0037479E">
        <w:t>7</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_Toc472517000 \h </w:instrText>
      </w:r>
      <w:r>
        <w:fldChar w:fldCharType="separate"/>
      </w:r>
      <w:r w:rsidR="0037479E">
        <w:t>11</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Policy background</w:t>
      </w:r>
      <w:r>
        <w:tab/>
      </w:r>
      <w:r>
        <w:fldChar w:fldCharType="begin"/>
      </w:r>
      <w:r>
        <w:instrText xml:space="preserve"> PAGEREF _Toc472517001 \h </w:instrText>
      </w:r>
      <w:r>
        <w:fldChar w:fldCharType="separate"/>
      </w:r>
      <w:r w:rsidR="0037479E">
        <w:t>13</w:t>
      </w:r>
      <w:r>
        <w:fldChar w:fldCharType="end"/>
      </w:r>
    </w:p>
    <w:p w:rsidR="00407E5D" w:rsidRDefault="00407E5D">
      <w:pPr>
        <w:pStyle w:val="TOC2"/>
        <w:rPr>
          <w:rFonts w:asciiTheme="minorHAnsi" w:eastAsiaTheme="minorEastAsia" w:hAnsiTheme="minorHAnsi" w:cstheme="minorBidi"/>
          <w:color w:val="auto"/>
          <w:sz w:val="22"/>
          <w:szCs w:val="22"/>
          <w:lang w:eastAsia="en-AU"/>
        </w:rPr>
      </w:pPr>
      <w:r>
        <w:t>The Victorian Training Guarantee for people aged 25–54 years</w:t>
      </w:r>
      <w:r>
        <w:tab/>
      </w:r>
      <w:r>
        <w:fldChar w:fldCharType="begin"/>
      </w:r>
      <w:r>
        <w:instrText xml:space="preserve"> PAGEREF _Toc472517002 \h </w:instrText>
      </w:r>
      <w:r>
        <w:fldChar w:fldCharType="separate"/>
      </w:r>
      <w:r w:rsidR="0037479E">
        <w:t>14</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Data and empirical method</w:t>
      </w:r>
      <w:r>
        <w:tab/>
      </w:r>
      <w:r>
        <w:fldChar w:fldCharType="begin"/>
      </w:r>
      <w:r>
        <w:instrText xml:space="preserve"> PAGEREF _Toc472517003 \h </w:instrText>
      </w:r>
      <w:r>
        <w:fldChar w:fldCharType="separate"/>
      </w:r>
      <w:r w:rsidR="0037479E">
        <w:t>17</w:t>
      </w:r>
      <w:r>
        <w:fldChar w:fldCharType="end"/>
      </w:r>
    </w:p>
    <w:p w:rsidR="00407E5D" w:rsidRDefault="00407E5D">
      <w:pPr>
        <w:pStyle w:val="TOC2"/>
        <w:rPr>
          <w:rFonts w:asciiTheme="minorHAnsi" w:eastAsiaTheme="minorEastAsia" w:hAnsiTheme="minorHAnsi" w:cstheme="minorBidi"/>
          <w:color w:val="auto"/>
          <w:sz w:val="22"/>
          <w:szCs w:val="22"/>
          <w:lang w:eastAsia="en-AU"/>
        </w:rPr>
      </w:pPr>
      <w:r w:rsidRPr="00E02069">
        <w:rPr>
          <w:lang w:val="en-GB"/>
        </w:rPr>
        <w:t>Data</w:t>
      </w:r>
      <w:r>
        <w:tab/>
      </w:r>
      <w:r>
        <w:fldChar w:fldCharType="begin"/>
      </w:r>
      <w:r>
        <w:instrText xml:space="preserve"> PAGEREF _Toc472517004 \h </w:instrText>
      </w:r>
      <w:r>
        <w:fldChar w:fldCharType="separate"/>
      </w:r>
      <w:r w:rsidR="0037479E">
        <w:t>17</w:t>
      </w:r>
      <w:r>
        <w:fldChar w:fldCharType="end"/>
      </w:r>
    </w:p>
    <w:p w:rsidR="00407E5D" w:rsidRDefault="00407E5D">
      <w:pPr>
        <w:pStyle w:val="TOC2"/>
        <w:rPr>
          <w:rFonts w:asciiTheme="minorHAnsi" w:eastAsiaTheme="minorEastAsia" w:hAnsiTheme="minorHAnsi" w:cstheme="minorBidi"/>
          <w:color w:val="auto"/>
          <w:sz w:val="22"/>
          <w:szCs w:val="22"/>
          <w:lang w:eastAsia="en-AU"/>
        </w:rPr>
      </w:pPr>
      <w:r>
        <w:t>Difference-in-differences estimation</w:t>
      </w:r>
      <w:r>
        <w:tab/>
      </w:r>
      <w:r>
        <w:fldChar w:fldCharType="begin"/>
      </w:r>
      <w:r>
        <w:instrText xml:space="preserve"> PAGEREF _Toc472517005 \h </w:instrText>
      </w:r>
      <w:r>
        <w:fldChar w:fldCharType="separate"/>
      </w:r>
      <w:r w:rsidR="0037479E">
        <w:t>23</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Results</w:t>
      </w:r>
      <w:r>
        <w:tab/>
      </w:r>
      <w:r>
        <w:fldChar w:fldCharType="begin"/>
      </w:r>
      <w:r>
        <w:instrText xml:space="preserve"> PAGEREF _Toc472517006 \h </w:instrText>
      </w:r>
      <w:r>
        <w:fldChar w:fldCharType="separate"/>
      </w:r>
      <w:r w:rsidR="0037479E">
        <w:t>27</w:t>
      </w:r>
      <w:r>
        <w:fldChar w:fldCharType="end"/>
      </w:r>
    </w:p>
    <w:p w:rsidR="00407E5D" w:rsidRDefault="00407E5D">
      <w:pPr>
        <w:pStyle w:val="TOC2"/>
        <w:rPr>
          <w:rFonts w:asciiTheme="minorHAnsi" w:eastAsiaTheme="minorEastAsia" w:hAnsiTheme="minorHAnsi" w:cstheme="minorBidi"/>
          <w:color w:val="auto"/>
          <w:sz w:val="22"/>
          <w:szCs w:val="22"/>
          <w:lang w:eastAsia="en-AU"/>
        </w:rPr>
      </w:pPr>
      <w:r>
        <w:t>The influence of the Victorian Training Guarantee on participation in VET</w:t>
      </w:r>
      <w:r>
        <w:tab/>
      </w:r>
      <w:r>
        <w:fldChar w:fldCharType="begin"/>
      </w:r>
      <w:r>
        <w:instrText xml:space="preserve"> PAGEREF _Toc472517007 \h </w:instrText>
      </w:r>
      <w:r>
        <w:fldChar w:fldCharType="separate"/>
      </w:r>
      <w:r w:rsidR="0037479E">
        <w:t>27</w:t>
      </w:r>
      <w:r>
        <w:fldChar w:fldCharType="end"/>
      </w:r>
    </w:p>
    <w:p w:rsidR="00407E5D" w:rsidRDefault="00407E5D">
      <w:pPr>
        <w:pStyle w:val="TOC2"/>
        <w:rPr>
          <w:rFonts w:asciiTheme="minorHAnsi" w:eastAsiaTheme="minorEastAsia" w:hAnsiTheme="minorHAnsi" w:cstheme="minorBidi"/>
          <w:color w:val="auto"/>
          <w:sz w:val="22"/>
          <w:szCs w:val="22"/>
          <w:lang w:eastAsia="en-AU"/>
        </w:rPr>
      </w:pPr>
      <w:r>
        <w:t>Alignment of course choice with skill demands</w:t>
      </w:r>
      <w:r>
        <w:tab/>
      </w:r>
      <w:r>
        <w:fldChar w:fldCharType="begin"/>
      </w:r>
      <w:r>
        <w:instrText xml:space="preserve"> PAGEREF _Toc472517008 \h </w:instrText>
      </w:r>
      <w:r>
        <w:fldChar w:fldCharType="separate"/>
      </w:r>
      <w:r w:rsidR="0037479E">
        <w:t>31</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_Toc472517009 \h </w:instrText>
      </w:r>
      <w:r>
        <w:fldChar w:fldCharType="separate"/>
      </w:r>
      <w:r w:rsidR="0037479E">
        <w:t>36</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_Toc472517010 \h </w:instrText>
      </w:r>
      <w:r>
        <w:fldChar w:fldCharType="separate"/>
      </w:r>
      <w:r w:rsidR="0037479E">
        <w:t>38</w:t>
      </w:r>
      <w:r>
        <w:fldChar w:fldCharType="end"/>
      </w:r>
    </w:p>
    <w:p w:rsidR="00407E5D" w:rsidRDefault="00407E5D">
      <w:pPr>
        <w:pStyle w:val="TOC1"/>
        <w:rPr>
          <w:rFonts w:asciiTheme="minorHAnsi" w:eastAsiaTheme="minorEastAsia" w:hAnsiTheme="minorHAnsi" w:cstheme="minorBidi"/>
          <w:color w:val="auto"/>
          <w:sz w:val="22"/>
          <w:szCs w:val="22"/>
          <w:lang w:eastAsia="en-AU"/>
        </w:rPr>
      </w:pPr>
      <w:r w:rsidRPr="00407E5D">
        <w:rPr>
          <w:spacing w:val="-8"/>
        </w:rPr>
        <w:t>Appendix A: VET participation using the ABS Survey of Education and Work</w:t>
      </w:r>
      <w:r>
        <w:tab/>
      </w:r>
      <w:r>
        <w:fldChar w:fldCharType="begin"/>
      </w:r>
      <w:r>
        <w:instrText xml:space="preserve"> PAGEREF _Toc472517011 \h </w:instrText>
      </w:r>
      <w:r>
        <w:fldChar w:fldCharType="separate"/>
      </w:r>
      <w:r w:rsidR="0037479E">
        <w:t>39</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Appendix B: Course participation supplementary statistics</w:t>
      </w:r>
      <w:r>
        <w:tab/>
      </w:r>
      <w:r>
        <w:fldChar w:fldCharType="begin"/>
      </w:r>
      <w:r>
        <w:instrText xml:space="preserve"> PAGEREF _Toc472517012 \h </w:instrText>
      </w:r>
      <w:r>
        <w:fldChar w:fldCharType="separate"/>
      </w:r>
      <w:r w:rsidR="0037479E">
        <w:t>45</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Appendix C: Sensitivity tests</w:t>
      </w:r>
      <w:r>
        <w:tab/>
      </w:r>
      <w:r>
        <w:fldChar w:fldCharType="begin"/>
      </w:r>
      <w:r>
        <w:instrText xml:space="preserve"> PAGEREF _Toc472517013 \h </w:instrText>
      </w:r>
      <w:r>
        <w:fldChar w:fldCharType="separate"/>
      </w:r>
      <w:r w:rsidR="0037479E">
        <w:t>47</w:t>
      </w:r>
      <w:r>
        <w:fldChar w:fldCharType="end"/>
      </w:r>
    </w:p>
    <w:p w:rsidR="00407E5D" w:rsidRDefault="00407E5D">
      <w:pPr>
        <w:pStyle w:val="TOC1"/>
        <w:rPr>
          <w:rFonts w:asciiTheme="minorHAnsi" w:eastAsiaTheme="minorEastAsia" w:hAnsiTheme="minorHAnsi" w:cstheme="minorBidi"/>
          <w:color w:val="auto"/>
          <w:sz w:val="22"/>
          <w:szCs w:val="22"/>
          <w:lang w:eastAsia="en-AU"/>
        </w:rPr>
      </w:pPr>
      <w:r>
        <w:t>Appendix D: Course choice supplementary statistics</w:t>
      </w:r>
      <w:r>
        <w:tab/>
      </w:r>
      <w:r>
        <w:fldChar w:fldCharType="begin"/>
      </w:r>
      <w:r>
        <w:instrText xml:space="preserve"> PAGEREF _Toc472517014 \h </w:instrText>
      </w:r>
      <w:r>
        <w:fldChar w:fldCharType="separate"/>
      </w:r>
      <w:r w:rsidR="0037479E">
        <w:t>48</w:t>
      </w:r>
      <w:r>
        <w:fldChar w:fldCharType="end"/>
      </w:r>
    </w:p>
    <w:p w:rsidR="00ED0C08" w:rsidRDefault="004D5632" w:rsidP="00ED0C08">
      <w:pPr>
        <w:pStyle w:val="Text"/>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21" w:name="_Toc316371579"/>
      <w:bookmarkStart w:id="22" w:name="_Toc460925671"/>
      <w:bookmarkStart w:id="23" w:name="_Toc472516994"/>
      <w:r>
        <w:lastRenderedPageBreak/>
        <w:t>Tables and figures</w:t>
      </w:r>
      <w:bookmarkEnd w:id="21"/>
      <w:bookmarkEnd w:id="22"/>
      <w:bookmarkEnd w:id="23"/>
    </w:p>
    <w:p w:rsidR="00ED0C08" w:rsidRDefault="00ED0C08" w:rsidP="00ED0C08">
      <w:pPr>
        <w:pStyle w:val="Heading2"/>
      </w:pPr>
      <w:bookmarkStart w:id="24" w:name="_Toc296497516"/>
      <w:bookmarkStart w:id="25" w:name="_Toc298162801"/>
      <w:bookmarkStart w:id="26" w:name="_Toc316371580"/>
      <w:bookmarkStart w:id="27" w:name="_Toc460925672"/>
      <w:bookmarkStart w:id="28" w:name="_Toc472334569"/>
      <w:bookmarkStart w:id="29" w:name="_Toc472516995"/>
      <w:r>
        <w:t>Tables</w:t>
      </w:r>
      <w:bookmarkEnd w:id="24"/>
      <w:bookmarkEnd w:id="25"/>
      <w:bookmarkEnd w:id="26"/>
      <w:bookmarkEnd w:id="27"/>
      <w:bookmarkEnd w:id="28"/>
      <w:bookmarkEnd w:id="29"/>
    </w:p>
    <w:p w:rsidR="005D4447" w:rsidRDefault="004D5632" w:rsidP="00FE1D0A">
      <w:pPr>
        <w:pStyle w:val="TableofFigures"/>
        <w:tabs>
          <w:tab w:val="clear" w:pos="6804"/>
          <w:tab w:val="left" w:pos="950"/>
          <w:tab w:val="right" w:pos="7088"/>
        </w:tabs>
        <w:ind w:right="1275"/>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5D4447">
        <w:t>1</w:t>
      </w:r>
      <w:r w:rsidR="005D4447">
        <w:rPr>
          <w:rFonts w:asciiTheme="minorHAnsi" w:eastAsiaTheme="minorEastAsia" w:hAnsiTheme="minorHAnsi" w:cstheme="minorBidi"/>
          <w:color w:val="auto"/>
          <w:sz w:val="22"/>
          <w:szCs w:val="22"/>
          <w:lang w:eastAsia="en-AU"/>
        </w:rPr>
        <w:tab/>
      </w:r>
      <w:r w:rsidR="005D4447">
        <w:t>VET reforms 2009</w:t>
      </w:r>
      <w:r w:rsidR="00BB3C6F">
        <w:t>—</w:t>
      </w:r>
      <w:r w:rsidR="005D4447">
        <w:t>12 relevant for individuals aged 25 years and older</w:t>
      </w:r>
      <w:r w:rsidR="005D4447">
        <w:tab/>
      </w:r>
      <w:r w:rsidR="005D4447">
        <w:fldChar w:fldCharType="begin"/>
      </w:r>
      <w:r w:rsidR="005D4447">
        <w:instrText xml:space="preserve"> PAGEREF _Toc468881914 \h </w:instrText>
      </w:r>
      <w:r w:rsidR="005D4447">
        <w:fldChar w:fldCharType="separate"/>
      </w:r>
      <w:r w:rsidR="0037479E">
        <w:t>16</w:t>
      </w:r>
      <w:r w:rsidR="005D4447">
        <w:fldChar w:fldCharType="end"/>
      </w:r>
    </w:p>
    <w:p w:rsidR="005D4447" w:rsidRDefault="005D4447" w:rsidP="00FE1D0A">
      <w:pPr>
        <w:pStyle w:val="TableofFigures"/>
        <w:tabs>
          <w:tab w:val="clear" w:pos="6804"/>
          <w:tab w:val="left" w:pos="950"/>
          <w:tab w:val="right" w:pos="7088"/>
        </w:tabs>
        <w:ind w:left="284" w:right="1275" w:hanging="284"/>
        <w:rPr>
          <w:rFonts w:asciiTheme="minorHAnsi" w:eastAsiaTheme="minorEastAsia" w:hAnsiTheme="minorHAnsi" w:cstheme="minorBidi"/>
          <w:color w:val="auto"/>
          <w:sz w:val="22"/>
          <w:szCs w:val="22"/>
          <w:lang w:eastAsia="en-AU"/>
        </w:rPr>
      </w:pPr>
      <w:r w:rsidRPr="00726FBC">
        <w:rPr>
          <w:rFonts w:eastAsia="Calibri"/>
        </w:rPr>
        <w:t>2</w:t>
      </w:r>
      <w:r>
        <w:rPr>
          <w:rFonts w:asciiTheme="minorHAnsi" w:eastAsiaTheme="minorEastAsia" w:hAnsiTheme="minorHAnsi" w:cstheme="minorBidi"/>
          <w:color w:val="auto"/>
          <w:sz w:val="22"/>
          <w:szCs w:val="22"/>
          <w:lang w:eastAsia="en-AU"/>
        </w:rPr>
        <w:tab/>
      </w:r>
      <w:r w:rsidRPr="00726FBC">
        <w:rPr>
          <w:rFonts w:eastAsia="Calibri"/>
        </w:rPr>
        <w:t>Distribution of population aged 25 to 54 years by geographic region and census year (% except where otherwise stated)</w:t>
      </w:r>
      <w:r>
        <w:tab/>
      </w:r>
      <w:r>
        <w:fldChar w:fldCharType="begin"/>
      </w:r>
      <w:r>
        <w:instrText xml:space="preserve"> PAGEREF _Toc468881915 \h </w:instrText>
      </w:r>
      <w:r>
        <w:fldChar w:fldCharType="separate"/>
      </w:r>
      <w:r w:rsidR="0037479E">
        <w:t>21</w:t>
      </w:r>
      <w:r>
        <w:fldChar w:fldCharType="end"/>
      </w:r>
    </w:p>
    <w:p w:rsidR="005D4447" w:rsidRDefault="005D4447" w:rsidP="00FE1D0A">
      <w:pPr>
        <w:pStyle w:val="TableofFigures"/>
        <w:tabs>
          <w:tab w:val="clear" w:pos="6804"/>
          <w:tab w:val="left" w:pos="950"/>
          <w:tab w:val="right" w:pos="7088"/>
        </w:tabs>
        <w:ind w:left="284" w:right="1275" w:hanging="284"/>
        <w:rPr>
          <w:rFonts w:asciiTheme="minorHAnsi" w:eastAsiaTheme="minorEastAsia" w:hAnsiTheme="minorHAnsi" w:cstheme="minorBidi"/>
          <w:color w:val="auto"/>
          <w:sz w:val="22"/>
          <w:szCs w:val="22"/>
          <w:lang w:eastAsia="en-AU"/>
        </w:rPr>
      </w:pPr>
      <w:r w:rsidRPr="00726FBC">
        <w:rPr>
          <w:rFonts w:eastAsia="Calibri"/>
        </w:rPr>
        <w:t>3</w:t>
      </w:r>
      <w:r>
        <w:rPr>
          <w:rFonts w:asciiTheme="minorHAnsi" w:eastAsiaTheme="minorEastAsia" w:hAnsiTheme="minorHAnsi" w:cstheme="minorBidi"/>
          <w:color w:val="auto"/>
          <w:sz w:val="22"/>
          <w:szCs w:val="22"/>
          <w:lang w:eastAsia="en-AU"/>
        </w:rPr>
        <w:tab/>
      </w:r>
      <w:r w:rsidRPr="00726FBC">
        <w:rPr>
          <w:rFonts w:eastAsia="Calibri"/>
        </w:rPr>
        <w:t>VET student enrolment rates among population aged 25</w:t>
      </w:r>
      <w:r w:rsidR="00BB3C6F">
        <w:rPr>
          <w:rFonts w:eastAsia="Calibri"/>
        </w:rPr>
        <w:t>—</w:t>
      </w:r>
      <w:r w:rsidRPr="00726FBC">
        <w:rPr>
          <w:rFonts w:eastAsia="Calibri"/>
        </w:rPr>
        <w:t>54 years, by year and population subgroup (%)</w:t>
      </w:r>
      <w:r>
        <w:tab/>
      </w:r>
      <w:r>
        <w:fldChar w:fldCharType="begin"/>
      </w:r>
      <w:r>
        <w:instrText xml:space="preserve"> PAGEREF _Toc468881916 \h </w:instrText>
      </w:r>
      <w:r>
        <w:fldChar w:fldCharType="separate"/>
      </w:r>
      <w:r w:rsidR="0037479E">
        <w:t>30</w:t>
      </w:r>
      <w:r>
        <w:fldChar w:fldCharType="end"/>
      </w:r>
    </w:p>
    <w:p w:rsidR="005D4447" w:rsidRDefault="005D4447" w:rsidP="00FE1D0A">
      <w:pPr>
        <w:pStyle w:val="TableofFigures"/>
        <w:tabs>
          <w:tab w:val="clear" w:pos="6804"/>
          <w:tab w:val="left" w:pos="950"/>
          <w:tab w:val="right" w:pos="7088"/>
        </w:tabs>
        <w:ind w:left="284" w:right="1275"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Estimated marginal effects of the VTG on course choice outcomes for ages 25</w:t>
      </w:r>
      <w:r w:rsidR="005A6279">
        <w:t>—</w:t>
      </w:r>
      <w:r>
        <w:t xml:space="preserve">54 years, January 2011 </w:t>
      </w:r>
      <w:r w:rsidR="005A6279">
        <w:t>—</w:t>
      </w:r>
      <w:r>
        <w:t xml:space="preserve"> June 2012, unconditional difference-in-differences estimation with and without time trends</w:t>
      </w:r>
      <w:r>
        <w:tab/>
      </w:r>
      <w:r>
        <w:fldChar w:fldCharType="begin"/>
      </w:r>
      <w:r>
        <w:instrText xml:space="preserve"> PAGEREF _Toc468881917 \h </w:instrText>
      </w:r>
      <w:r>
        <w:fldChar w:fldCharType="separate"/>
      </w:r>
      <w:r w:rsidR="0037479E">
        <w:t>31</w:t>
      </w:r>
      <w:r>
        <w:fldChar w:fldCharType="end"/>
      </w:r>
    </w:p>
    <w:p w:rsidR="005D4447" w:rsidRDefault="005D4447" w:rsidP="00FE1D0A">
      <w:pPr>
        <w:pStyle w:val="TableofFigures"/>
        <w:tabs>
          <w:tab w:val="clear" w:pos="6804"/>
          <w:tab w:val="left" w:pos="950"/>
          <w:tab w:val="right" w:pos="7088"/>
        </w:tabs>
        <w:ind w:left="284" w:right="1275"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 Estimated marginal effects of the VTG on course choice outcomes for ages 25</w:t>
      </w:r>
      <w:r w:rsidR="005A6279">
        <w:t>—</w:t>
      </w:r>
      <w:r>
        <w:t xml:space="preserve">54 years, January 2011 </w:t>
      </w:r>
      <w:r w:rsidR="005A6279">
        <w:t>—</w:t>
      </w:r>
      <w:r>
        <w:t xml:space="preserve"> June 2012, conditional difference-in-differences estimation with time trends</w:t>
      </w:r>
      <w:r>
        <w:tab/>
      </w:r>
      <w:r>
        <w:fldChar w:fldCharType="begin"/>
      </w:r>
      <w:r>
        <w:instrText xml:space="preserve"> PAGEREF _Toc468881918 \h </w:instrText>
      </w:r>
      <w:r>
        <w:fldChar w:fldCharType="separate"/>
      </w:r>
      <w:r w:rsidR="0037479E">
        <w:t>33</w:t>
      </w:r>
      <w:r>
        <w:fldChar w:fldCharType="end"/>
      </w:r>
    </w:p>
    <w:p w:rsidR="005D4447" w:rsidRDefault="005D4447" w:rsidP="00FE1D0A">
      <w:pPr>
        <w:pStyle w:val="TableofFigures"/>
        <w:tabs>
          <w:tab w:val="clear" w:pos="6804"/>
          <w:tab w:val="left" w:pos="950"/>
          <w:tab w:val="right" w:pos="7088"/>
        </w:tabs>
        <w:ind w:left="284" w:right="1275"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Estimated marginal effects of the VTG on course choice outcomes across various student groups for ages 25</w:t>
      </w:r>
      <w:r w:rsidR="005A6279">
        <w:t>—</w:t>
      </w:r>
      <w:r>
        <w:t>54 years, conditional difference-in-differences estimation with time trends</w:t>
      </w:r>
      <w:r>
        <w:tab/>
      </w:r>
      <w:r>
        <w:fldChar w:fldCharType="begin"/>
      </w:r>
      <w:r>
        <w:instrText xml:space="preserve"> PAGEREF _Toc468881919 \h </w:instrText>
      </w:r>
      <w:r>
        <w:fldChar w:fldCharType="separate"/>
      </w:r>
      <w:r w:rsidR="0037479E">
        <w:t>35</w:t>
      </w:r>
      <w:r>
        <w:fldChar w:fldCharType="end"/>
      </w:r>
    </w:p>
    <w:p w:rsidR="005D4447" w:rsidRDefault="005D4447" w:rsidP="00FE1D0A">
      <w:pPr>
        <w:pStyle w:val="TableofFigures"/>
        <w:tabs>
          <w:tab w:val="clear" w:pos="6804"/>
          <w:tab w:val="left" w:pos="1140"/>
          <w:tab w:val="right" w:pos="7088"/>
        </w:tabs>
        <w:ind w:left="284" w:right="1275" w:hanging="284"/>
        <w:rPr>
          <w:rFonts w:asciiTheme="minorHAnsi" w:eastAsiaTheme="minorEastAsia" w:hAnsiTheme="minorHAnsi" w:cstheme="minorBidi"/>
          <w:color w:val="auto"/>
          <w:sz w:val="22"/>
          <w:szCs w:val="22"/>
          <w:lang w:eastAsia="en-AU"/>
        </w:rPr>
      </w:pPr>
      <w:r w:rsidRPr="00726FBC">
        <w:rPr>
          <w:rFonts w:eastAsia="Calibri"/>
        </w:rPr>
        <w:t>A1</w:t>
      </w:r>
      <w:r>
        <w:rPr>
          <w:rFonts w:asciiTheme="minorHAnsi" w:eastAsiaTheme="minorEastAsia" w:hAnsiTheme="minorHAnsi" w:cstheme="minorBidi"/>
          <w:color w:val="auto"/>
          <w:sz w:val="22"/>
          <w:szCs w:val="22"/>
          <w:lang w:eastAsia="en-AU"/>
        </w:rPr>
        <w:tab/>
      </w:r>
      <w:r w:rsidRPr="00726FBC">
        <w:rPr>
          <w:rFonts w:eastAsia="Calibri"/>
        </w:rPr>
        <w:t>Calculated VET enrolment rates by age group, year, state and data source</w:t>
      </w:r>
      <w:r>
        <w:tab/>
      </w:r>
      <w:r>
        <w:fldChar w:fldCharType="begin"/>
      </w:r>
      <w:r>
        <w:instrText xml:space="preserve"> PAGEREF _Toc468881920 \h </w:instrText>
      </w:r>
      <w:r>
        <w:fldChar w:fldCharType="separate"/>
      </w:r>
      <w:r w:rsidR="0037479E">
        <w:t>41</w:t>
      </w:r>
      <w:r>
        <w:fldChar w:fldCharType="end"/>
      </w:r>
    </w:p>
    <w:p w:rsidR="005D4447" w:rsidRDefault="005D4447" w:rsidP="00FE1D0A">
      <w:pPr>
        <w:pStyle w:val="TableofFigures"/>
        <w:tabs>
          <w:tab w:val="clear" w:pos="6804"/>
          <w:tab w:val="left" w:pos="1140"/>
          <w:tab w:val="right" w:pos="7088"/>
        </w:tabs>
        <w:ind w:left="284" w:right="1275" w:hanging="284"/>
        <w:rPr>
          <w:rFonts w:asciiTheme="minorHAnsi" w:eastAsiaTheme="minorEastAsia" w:hAnsiTheme="minorHAnsi" w:cstheme="minorBidi"/>
          <w:color w:val="auto"/>
          <w:sz w:val="22"/>
          <w:szCs w:val="22"/>
          <w:lang w:eastAsia="en-AU"/>
        </w:rPr>
      </w:pPr>
      <w:r w:rsidRPr="00726FBC">
        <w:rPr>
          <w:rFonts w:eastAsia="Calibri"/>
        </w:rPr>
        <w:t>A2</w:t>
      </w:r>
      <w:r>
        <w:rPr>
          <w:rFonts w:asciiTheme="minorHAnsi" w:eastAsiaTheme="minorEastAsia" w:hAnsiTheme="minorHAnsi" w:cstheme="minorBidi"/>
          <w:color w:val="auto"/>
          <w:sz w:val="22"/>
          <w:szCs w:val="22"/>
          <w:lang w:eastAsia="en-AU"/>
        </w:rPr>
        <w:tab/>
      </w:r>
      <w:r w:rsidRPr="00726FBC">
        <w:rPr>
          <w:rFonts w:eastAsia="Calibri"/>
        </w:rPr>
        <w:t>Module completion rates within the first two years of VET course enrolment among students aged 25</w:t>
      </w:r>
      <w:r w:rsidR="005A6279">
        <w:rPr>
          <w:rFonts w:eastAsia="Calibri"/>
        </w:rPr>
        <w:t>—</w:t>
      </w:r>
      <w:r w:rsidRPr="00726FBC">
        <w:rPr>
          <w:rFonts w:eastAsia="Calibri"/>
        </w:rPr>
        <w:t>54 years (%)</w:t>
      </w:r>
      <w:r>
        <w:tab/>
      </w:r>
      <w:r>
        <w:fldChar w:fldCharType="begin"/>
      </w:r>
      <w:r>
        <w:instrText xml:space="preserve"> PAGEREF _Toc468881921 \h </w:instrText>
      </w:r>
      <w:r>
        <w:fldChar w:fldCharType="separate"/>
      </w:r>
      <w:r w:rsidR="0037479E">
        <w:t>44</w:t>
      </w:r>
      <w:r>
        <w:fldChar w:fldCharType="end"/>
      </w:r>
    </w:p>
    <w:p w:rsidR="005D4447" w:rsidRDefault="005D4447" w:rsidP="00FE1D0A">
      <w:pPr>
        <w:pStyle w:val="TableofFigures"/>
        <w:tabs>
          <w:tab w:val="clear" w:pos="6804"/>
          <w:tab w:val="left" w:pos="1140"/>
          <w:tab w:val="right" w:pos="7088"/>
        </w:tabs>
        <w:ind w:left="284" w:right="1275" w:hanging="284"/>
        <w:rPr>
          <w:rFonts w:asciiTheme="minorHAnsi" w:eastAsiaTheme="minorEastAsia" w:hAnsiTheme="minorHAnsi" w:cstheme="minorBidi"/>
          <w:color w:val="auto"/>
          <w:sz w:val="22"/>
          <w:szCs w:val="22"/>
          <w:lang w:eastAsia="en-AU"/>
        </w:rPr>
      </w:pPr>
      <w:r w:rsidRPr="00726FBC">
        <w:rPr>
          <w:rFonts w:eastAsia="Calibri"/>
        </w:rPr>
        <w:t>B1</w:t>
      </w:r>
      <w:r>
        <w:rPr>
          <w:rFonts w:asciiTheme="minorHAnsi" w:eastAsiaTheme="minorEastAsia" w:hAnsiTheme="minorHAnsi" w:cstheme="minorBidi"/>
          <w:color w:val="auto"/>
          <w:sz w:val="22"/>
          <w:szCs w:val="22"/>
          <w:lang w:eastAsia="en-AU"/>
        </w:rPr>
        <w:tab/>
      </w:r>
      <w:r w:rsidRPr="00726FBC">
        <w:rPr>
          <w:rFonts w:eastAsia="Calibri"/>
        </w:rPr>
        <w:t>VET student enrolment rates among population aged 25</w:t>
      </w:r>
      <w:r w:rsidR="005A6279">
        <w:rPr>
          <w:rFonts w:eastAsia="Calibri"/>
        </w:rPr>
        <w:t>—</w:t>
      </w:r>
      <w:r w:rsidRPr="00726FBC">
        <w:rPr>
          <w:rFonts w:eastAsia="Calibri"/>
        </w:rPr>
        <w:t>54 years, by population subgroup (%)</w:t>
      </w:r>
      <w:r>
        <w:tab/>
      </w:r>
      <w:r>
        <w:fldChar w:fldCharType="begin"/>
      </w:r>
      <w:r>
        <w:instrText xml:space="preserve"> PAGEREF _Toc468881922 \h </w:instrText>
      </w:r>
      <w:r>
        <w:fldChar w:fldCharType="separate"/>
      </w:r>
      <w:r w:rsidR="0037479E">
        <w:t>45</w:t>
      </w:r>
      <w:r>
        <w:fldChar w:fldCharType="end"/>
      </w:r>
    </w:p>
    <w:p w:rsidR="005D4447" w:rsidRDefault="005D4447" w:rsidP="00FE1D0A">
      <w:pPr>
        <w:pStyle w:val="TableofFigures"/>
        <w:tabs>
          <w:tab w:val="clear" w:pos="6804"/>
          <w:tab w:val="left" w:pos="1140"/>
          <w:tab w:val="right" w:pos="7088"/>
        </w:tabs>
        <w:ind w:left="284" w:right="992" w:hanging="284"/>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 xml:space="preserve">Key estimated marginal effects from unconditional difference-in-differences estimation, January 2011 </w:t>
      </w:r>
      <w:r w:rsidR="005A6279">
        <w:t>—</w:t>
      </w:r>
      <w:r>
        <w:t xml:space="preserve"> June 2012, alternative modelling results</w:t>
      </w:r>
      <w:r>
        <w:tab/>
      </w:r>
      <w:r>
        <w:fldChar w:fldCharType="begin"/>
      </w:r>
      <w:r>
        <w:instrText xml:space="preserve"> PAGEREF _Toc468881923 \h </w:instrText>
      </w:r>
      <w:r>
        <w:fldChar w:fldCharType="separate"/>
      </w:r>
      <w:r w:rsidR="0037479E">
        <w:t>47</w:t>
      </w:r>
      <w:r>
        <w:fldChar w:fldCharType="end"/>
      </w:r>
    </w:p>
    <w:p w:rsidR="005D4447" w:rsidRDefault="005D4447" w:rsidP="00FE1D0A">
      <w:pPr>
        <w:pStyle w:val="TableofFigures"/>
        <w:tabs>
          <w:tab w:val="clear" w:pos="6804"/>
          <w:tab w:val="left" w:pos="1140"/>
          <w:tab w:val="right" w:pos="7088"/>
        </w:tabs>
        <w:ind w:left="284" w:right="1275" w:hanging="284"/>
        <w:rPr>
          <w:rFonts w:asciiTheme="minorHAnsi" w:eastAsiaTheme="minorEastAsia" w:hAnsiTheme="minorHAnsi" w:cstheme="minorBidi"/>
          <w:color w:val="auto"/>
          <w:sz w:val="22"/>
          <w:szCs w:val="22"/>
          <w:lang w:eastAsia="en-AU"/>
        </w:rPr>
      </w:pPr>
      <w:r w:rsidRPr="00726FBC">
        <w:rPr>
          <w:rFonts w:eastAsia="Calibri"/>
        </w:rPr>
        <w:t>D1</w:t>
      </w:r>
      <w:r>
        <w:rPr>
          <w:rFonts w:asciiTheme="minorHAnsi" w:eastAsiaTheme="minorEastAsia" w:hAnsiTheme="minorHAnsi" w:cstheme="minorBidi"/>
          <w:color w:val="auto"/>
          <w:sz w:val="22"/>
          <w:szCs w:val="22"/>
          <w:lang w:eastAsia="en-AU"/>
        </w:rPr>
        <w:tab/>
      </w:r>
      <w:r w:rsidRPr="00726FBC">
        <w:rPr>
          <w:rFonts w:eastAsia="Calibri"/>
        </w:rPr>
        <w:t>Unconditional difference</w:t>
      </w:r>
      <w:r w:rsidR="00233D50">
        <w:rPr>
          <w:rFonts w:eastAsia="Calibri"/>
        </w:rPr>
        <w:t>-</w:t>
      </w:r>
      <w:r w:rsidRPr="00726FBC">
        <w:rPr>
          <w:rFonts w:eastAsia="Calibri"/>
        </w:rPr>
        <w:t>in-difference effects for course choice indicators, 2008 to 2011</w:t>
      </w:r>
      <w:r w:rsidR="005A6279">
        <w:rPr>
          <w:rFonts w:eastAsia="Calibri"/>
        </w:rPr>
        <w:t>—</w:t>
      </w:r>
      <w:r w:rsidRPr="00726FBC">
        <w:rPr>
          <w:rFonts w:eastAsia="Calibri"/>
        </w:rPr>
        <w:t>12</w:t>
      </w:r>
      <w:r>
        <w:tab/>
      </w:r>
      <w:r>
        <w:fldChar w:fldCharType="begin"/>
      </w:r>
      <w:r>
        <w:instrText xml:space="preserve"> PAGEREF _Toc468881924 \h </w:instrText>
      </w:r>
      <w:r>
        <w:fldChar w:fldCharType="separate"/>
      </w:r>
      <w:r w:rsidR="0037479E">
        <w:t>48</w:t>
      </w:r>
      <w:r>
        <w:fldChar w:fldCharType="end"/>
      </w:r>
    </w:p>
    <w:p w:rsidR="006A1DCF" w:rsidRDefault="004D5632" w:rsidP="00FE1D0A">
      <w:pPr>
        <w:pStyle w:val="Heading2"/>
        <w:tabs>
          <w:tab w:val="right" w:pos="7088"/>
        </w:tabs>
        <w:ind w:right="1275"/>
        <w:rPr>
          <w:noProof/>
        </w:rPr>
      </w:pPr>
      <w:r>
        <w:fldChar w:fldCharType="end"/>
      </w:r>
      <w:bookmarkStart w:id="30" w:name="_Toc296497517"/>
      <w:bookmarkStart w:id="31" w:name="_Toc298162802"/>
      <w:bookmarkStart w:id="32" w:name="_Toc316371581"/>
      <w:bookmarkStart w:id="33" w:name="_Toc460925673"/>
      <w:bookmarkStart w:id="34" w:name="_Toc472334570"/>
      <w:bookmarkStart w:id="35" w:name="_Toc472516996"/>
      <w:r w:rsidR="00ED0C08">
        <w:t>Figures</w:t>
      </w:r>
      <w:bookmarkEnd w:id="30"/>
      <w:bookmarkEnd w:id="31"/>
      <w:bookmarkEnd w:id="32"/>
      <w:bookmarkEnd w:id="33"/>
      <w:bookmarkEnd w:id="34"/>
      <w:bookmarkEnd w:id="35"/>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6A1DCF" w:rsidRDefault="006A1DCF" w:rsidP="00FE1D0A">
      <w:pPr>
        <w:pStyle w:val="TableofFigures"/>
        <w:tabs>
          <w:tab w:val="clear" w:pos="6804"/>
          <w:tab w:val="left" w:pos="1140"/>
          <w:tab w:val="right" w:pos="7088"/>
        </w:tabs>
        <w:ind w:right="1275"/>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rsidR="00C92C65">
        <w:t>State</w:t>
      </w:r>
      <w:r w:rsidR="00233D50">
        <w:t>-</w:t>
      </w:r>
      <w:r>
        <w:t>specific VET enrolment rates by age band, year and data source</w:t>
      </w:r>
      <w:r>
        <w:tab/>
      </w:r>
      <w:r w:rsidR="004D5632">
        <w:fldChar w:fldCharType="begin"/>
      </w:r>
      <w:r>
        <w:instrText xml:space="preserve"> PAGEREF _Toc452552434 \h </w:instrText>
      </w:r>
      <w:r w:rsidR="004D5632">
        <w:fldChar w:fldCharType="separate"/>
      </w:r>
      <w:r w:rsidR="00DC2FE3">
        <w:t>40</w:t>
      </w:r>
      <w:r w:rsidR="004D5632">
        <w:fldChar w:fldCharType="end"/>
      </w:r>
    </w:p>
    <w:p w:rsidR="00ED0C08" w:rsidRDefault="004D5632" w:rsidP="00FE1D0A">
      <w:pPr>
        <w:pStyle w:val="TableofFigures"/>
        <w:tabs>
          <w:tab w:val="clear" w:pos="6804"/>
          <w:tab w:val="right" w:pos="7088"/>
        </w:tabs>
        <w:ind w:right="1275"/>
      </w:pPr>
      <w:r>
        <w:fldChar w:fldCharType="end"/>
      </w:r>
    </w:p>
    <w:p w:rsidR="00ED0C08" w:rsidRPr="00156177" w:rsidRDefault="00ED0C08" w:rsidP="00ED0C08">
      <w:pPr>
        <w:pStyle w:val="Text"/>
        <w:rPr>
          <w:b/>
          <w:color w:val="C00000"/>
        </w:rPr>
      </w:pPr>
    </w:p>
    <w:p w:rsidR="00ED0C08" w:rsidRPr="00A93867" w:rsidRDefault="00ED0C08" w:rsidP="00ED0C08">
      <w:pPr>
        <w:pStyle w:val="Text"/>
        <w:rPr>
          <w:b/>
        </w:rPr>
      </w:pPr>
    </w:p>
    <w:p w:rsidR="00EB0AD7" w:rsidRDefault="00EB0AD7" w:rsidP="005955B2">
      <w:pPr>
        <w:pStyle w:val="Text"/>
      </w:pPr>
    </w:p>
    <w:p w:rsidR="00606061" w:rsidRPr="009B4D4E" w:rsidRDefault="00606061" w:rsidP="005955B2">
      <w:pPr>
        <w:pStyle w:val="Text"/>
      </w:pPr>
      <w:bookmarkStart w:id="36" w:name="_Toc416260886"/>
      <w:bookmarkEnd w:id="3"/>
      <w:bookmarkEnd w:id="4"/>
      <w:bookmarkEnd w:id="5"/>
      <w:bookmarkEnd w:id="6"/>
    </w:p>
    <w:p w:rsidR="00366E4E" w:rsidRDefault="00366E4E" w:rsidP="00606061">
      <w:pPr>
        <w:spacing w:before="0" w:line="240" w:lineRule="auto"/>
        <w:rPr>
          <w:noProof/>
        </w:rPr>
        <w:sectPr w:rsidR="00366E4E" w:rsidSect="00011633">
          <w:headerReference w:type="default" r:id="rId41"/>
          <w:footerReference w:type="even" r:id="rId42"/>
          <w:footerReference w:type="default" r:id="rId43"/>
          <w:pgSz w:w="11907" w:h="16840" w:code="9"/>
          <w:pgMar w:top="1276" w:right="2835" w:bottom="992" w:left="1134" w:header="709" w:footer="556" w:gutter="0"/>
          <w:cols w:space="708"/>
          <w:docGrid w:linePitch="360"/>
        </w:sectPr>
      </w:pPr>
    </w:p>
    <w:p w:rsidR="00324917" w:rsidRPr="00B86D06" w:rsidRDefault="00124B8F" w:rsidP="00747916">
      <w:pPr>
        <w:pStyle w:val="Heading1"/>
      </w:pPr>
      <w:bookmarkStart w:id="37" w:name="_Toc275542999"/>
      <w:bookmarkStart w:id="38" w:name="_Toc472516997"/>
      <w:r w:rsidRPr="00BE5DCB">
        <w:rPr>
          <w:noProof/>
          <w:lang w:eastAsia="en-AU"/>
        </w:rPr>
        <w:lastRenderedPageBreak/>
        <w:drawing>
          <wp:anchor distT="0" distB="0" distL="114300" distR="114300" simplePos="0" relativeHeight="251665408" behindDoc="1" locked="0" layoutInCell="1" allowOverlap="1" wp14:anchorId="313AA31B" wp14:editId="319010BC">
            <wp:simplePos x="0" y="0"/>
            <wp:positionH relativeFrom="margin">
              <wp:posOffset>5080</wp:posOffset>
            </wp:positionH>
            <wp:positionV relativeFrom="margin">
              <wp:posOffset>-34290</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35" name="Picture 35"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917">
        <w:t>Executive s</w:t>
      </w:r>
      <w:r w:rsidR="00324917" w:rsidRPr="00B86D06">
        <w:t>ummary</w:t>
      </w:r>
      <w:bookmarkEnd w:id="37"/>
      <w:bookmarkEnd w:id="38"/>
      <w:r w:rsidR="00324917">
        <w:t xml:space="preserve"> </w:t>
      </w:r>
    </w:p>
    <w:p w:rsidR="00EA186F" w:rsidRDefault="00EA186F" w:rsidP="00EA186F">
      <w:pPr>
        <w:pStyle w:val="Text"/>
      </w:pPr>
      <w:r w:rsidRPr="00EA186F">
        <w:t xml:space="preserve">Public subsidies for </w:t>
      </w:r>
      <w:r w:rsidR="000955EF">
        <w:t>v</w:t>
      </w:r>
      <w:r w:rsidRPr="00EA186F">
        <w:t xml:space="preserve">ocational </w:t>
      </w:r>
      <w:r w:rsidR="000955EF">
        <w:t>education and t</w:t>
      </w:r>
      <w:r w:rsidRPr="00EA186F">
        <w:t>raining (VET) in Australia have historically been provided directly to select (mostly public) education institutions (providers) on the basis of government</w:t>
      </w:r>
      <w:r w:rsidR="00C175EF">
        <w:t xml:space="preserve"> </w:t>
      </w:r>
      <w:r w:rsidRPr="00EA186F">
        <w:t>projections</w:t>
      </w:r>
      <w:r w:rsidR="0063222A" w:rsidRPr="0063222A">
        <w:t xml:space="preserve"> </w:t>
      </w:r>
      <w:r w:rsidR="0063222A">
        <w:t>of skill demand</w:t>
      </w:r>
      <w:r w:rsidRPr="00EA186F">
        <w:t xml:space="preserve">. This approach defined the number and type of VET courses that benefited from a public subsidy, </w:t>
      </w:r>
      <w:r w:rsidR="003A452E">
        <w:t>and these</w:t>
      </w:r>
      <w:r w:rsidRPr="00EA186F">
        <w:t xml:space="preserve"> were predominantly allocated on a first-come-first-served basis. In 2008 Australia adopted a national reform agenda </w:t>
      </w:r>
      <w:r w:rsidR="00932575">
        <w:t>in which</w:t>
      </w:r>
      <w:r w:rsidRPr="00EA186F">
        <w:t xml:space="preserve"> centralised VET funding </w:t>
      </w:r>
      <w:r w:rsidR="00932575">
        <w:t xml:space="preserve">was replaced by </w:t>
      </w:r>
      <w:r w:rsidRPr="00EA186F">
        <w:t xml:space="preserve">entitlement schemes. </w:t>
      </w:r>
    </w:p>
    <w:p w:rsidR="00EA186F" w:rsidRDefault="00EA186F" w:rsidP="00EA186F">
      <w:pPr>
        <w:pStyle w:val="Text"/>
      </w:pPr>
      <w:r>
        <w:t xml:space="preserve">The fundamental premise underlying the 2008 reform agenda is that students, if given the option, will tend to choose VET courses </w:t>
      </w:r>
      <w:r w:rsidR="0063222A">
        <w:t>to suit</w:t>
      </w:r>
      <w:r>
        <w:t xml:space="preserve"> their own economic interests, to the benefit of the wider labour market. This premise was untested when the reform agenda was introduced, and the </w:t>
      </w:r>
      <w:r w:rsidR="00067452">
        <w:t xml:space="preserve">sparse </w:t>
      </w:r>
      <w:r>
        <w:t>international evidence that did exist gave cause for some pessimism (</w:t>
      </w:r>
      <w:r w:rsidRPr="0028711D">
        <w:t>see Levin</w:t>
      </w:r>
      <w:r w:rsidR="00C74953">
        <w:t xml:space="preserve"> 1991; Ladd 2002; Hastings &amp;</w:t>
      </w:r>
      <w:r w:rsidRPr="0028711D">
        <w:t xml:space="preserve"> Weinstein 2008)</w:t>
      </w:r>
      <w:r>
        <w:t xml:space="preserve">. As such, the reform agenda represented a significant gamble. This study presents some of the first statistical evidence </w:t>
      </w:r>
      <w:r w:rsidR="00932575">
        <w:t>on</w:t>
      </w:r>
      <w:r>
        <w:t xml:space="preserve"> the effects of associated reforms.</w:t>
      </w:r>
    </w:p>
    <w:p w:rsidR="00067452" w:rsidRDefault="00EA186F" w:rsidP="00EA186F">
      <w:pPr>
        <w:pStyle w:val="Text"/>
      </w:pPr>
      <w:r>
        <w:t xml:space="preserve">The </w:t>
      </w:r>
      <w:r w:rsidR="00067452">
        <w:t xml:space="preserve">research </w:t>
      </w:r>
      <w:r>
        <w:t xml:space="preserve">examines the enrolment responses of working-age people </w:t>
      </w:r>
      <w:r w:rsidR="00C175EF">
        <w:t xml:space="preserve">aged </w:t>
      </w:r>
      <w:r w:rsidR="0063222A">
        <w:t>25—</w:t>
      </w:r>
      <w:r>
        <w:t>54</w:t>
      </w:r>
      <w:r w:rsidR="003A452E">
        <w:t xml:space="preserve"> years </w:t>
      </w:r>
      <w:r>
        <w:t xml:space="preserve">to an entitlement introduced in Victoria from </w:t>
      </w:r>
      <w:r w:rsidR="00067452">
        <w:t xml:space="preserve">1 </w:t>
      </w:r>
      <w:r w:rsidR="007B5536">
        <w:t>January 2011</w:t>
      </w:r>
      <w:r>
        <w:t xml:space="preserve"> to </w:t>
      </w:r>
      <w:r w:rsidR="00067452">
        <w:t xml:space="preserve">30 </w:t>
      </w:r>
      <w:r w:rsidR="007B5536">
        <w:t>June 2012</w:t>
      </w:r>
      <w:r w:rsidR="0063222A">
        <w:t xml:space="preserve"> </w:t>
      </w:r>
      <w:r w:rsidR="008E5829">
        <w:t>—</w:t>
      </w:r>
      <w:r w:rsidR="0063222A">
        <w:t xml:space="preserve"> </w:t>
      </w:r>
      <w:r w:rsidR="008E5829">
        <w:t>the Victorian Training Guarantee (VTG)</w:t>
      </w:r>
      <w:r w:rsidR="00031497">
        <w:rPr>
          <w:rStyle w:val="FootnoteReference"/>
        </w:rPr>
        <w:footnoteReference w:id="1"/>
      </w:r>
      <w:r>
        <w:t xml:space="preserve">. </w:t>
      </w:r>
      <w:r w:rsidR="00C175EF">
        <w:t>The age band of the analysis complements companion stud</w:t>
      </w:r>
      <w:r w:rsidR="0063453C">
        <w:t>ies</w:t>
      </w:r>
      <w:r w:rsidR="00C175EF">
        <w:t xml:space="preserve"> by </w:t>
      </w:r>
      <w:r w:rsidR="004170DF">
        <w:t>Leu</w:t>
      </w:r>
      <w:r w:rsidR="0063453C">
        <w:t xml:space="preserve">ng et al. (2014) and </w:t>
      </w:r>
      <w:proofErr w:type="spellStart"/>
      <w:r w:rsidR="00C175EF">
        <w:t>McVicar</w:t>
      </w:r>
      <w:proofErr w:type="spellEnd"/>
      <w:r w:rsidR="00C175EF">
        <w:t xml:space="preserve"> and </w:t>
      </w:r>
      <w:proofErr w:type="spellStart"/>
      <w:r w:rsidR="00C175EF">
        <w:t>Polidano</w:t>
      </w:r>
      <w:proofErr w:type="spellEnd"/>
      <w:r w:rsidR="00C175EF">
        <w:t xml:space="preserve"> (2015), which focused on similar out</w:t>
      </w:r>
      <w:r w:rsidR="0063222A">
        <w:t>comes for individuals aged 15—</w:t>
      </w:r>
      <w:r w:rsidR="00C175EF">
        <w:t xml:space="preserve">19 years. Given that those </w:t>
      </w:r>
      <w:r w:rsidR="00801E72">
        <w:t xml:space="preserve">aged between </w:t>
      </w:r>
      <w:r w:rsidR="0063222A">
        <w:t xml:space="preserve">25 and </w:t>
      </w:r>
      <w:r w:rsidR="00C175EF">
        <w:t>54</w:t>
      </w:r>
      <w:r w:rsidR="00801E72">
        <w:t xml:space="preserve"> years</w:t>
      </w:r>
      <w:r w:rsidR="00C175EF">
        <w:t xml:space="preserve"> are likely to have had greater labour market experience and may enter VET for different reasons, </w:t>
      </w:r>
      <w:r w:rsidR="0063222A">
        <w:t xml:space="preserve">the </w:t>
      </w:r>
      <w:r w:rsidR="00C175EF">
        <w:t xml:space="preserve">outcomes for </w:t>
      </w:r>
      <w:r w:rsidR="00801E72">
        <w:t>this group</w:t>
      </w:r>
      <w:r w:rsidR="00C175EF">
        <w:t xml:space="preserve"> may be different.</w:t>
      </w:r>
    </w:p>
    <w:p w:rsidR="00EA186F" w:rsidRDefault="00EA186F" w:rsidP="00EA186F">
      <w:pPr>
        <w:pStyle w:val="Text"/>
      </w:pPr>
      <w:r>
        <w:t>The focus</w:t>
      </w:r>
      <w:r w:rsidR="00067452">
        <w:t xml:space="preserve"> is</w:t>
      </w:r>
      <w:r>
        <w:t xml:space="preserve"> on the Victoria</w:t>
      </w:r>
      <w:r w:rsidR="0063222A">
        <w:t>n</w:t>
      </w:r>
      <w:r>
        <w:t xml:space="preserve"> reforms because they were more ambitious than reforms introduced in other Australian states and territories. The Victorian reforms to VET funding introduced a genuine entitlement</w:t>
      </w:r>
      <w:r w:rsidR="0063222A">
        <w:t>,</w:t>
      </w:r>
      <w:r>
        <w:t xml:space="preserve"> </w:t>
      </w:r>
      <w:r w:rsidR="00932575">
        <w:t xml:space="preserve">one </w:t>
      </w:r>
      <w:r>
        <w:t xml:space="preserve">which </w:t>
      </w:r>
      <w:r w:rsidR="006D189E">
        <w:t>substantially</w:t>
      </w:r>
      <w:r>
        <w:t xml:space="preserve"> increased rights to and choice of </w:t>
      </w:r>
      <w:r w:rsidR="00EF17D2">
        <w:t>publicly</w:t>
      </w:r>
      <w:r>
        <w:t xml:space="preserve"> subsidised courses for </w:t>
      </w:r>
      <w:r w:rsidRPr="00C175EF">
        <w:t>working-age</w:t>
      </w:r>
      <w:r>
        <w:t xml:space="preserve"> individuals.</w:t>
      </w:r>
      <w:r w:rsidR="00C175EF">
        <w:t xml:space="preserve"> </w:t>
      </w:r>
      <w:r w:rsidR="0063222A">
        <w:t>The time</w:t>
      </w:r>
      <w:r>
        <w:t xml:space="preserve">frame of the analysis reflects </w:t>
      </w:r>
      <w:r w:rsidR="00067452">
        <w:t xml:space="preserve">the time period </w:t>
      </w:r>
      <w:r>
        <w:t>the Victorian reforms were fully implemented for the targeted age band</w:t>
      </w:r>
      <w:r w:rsidR="00067452">
        <w:t xml:space="preserve"> but</w:t>
      </w:r>
      <w:r>
        <w:t xml:space="preserve"> </w:t>
      </w:r>
      <w:r w:rsidR="00BA7C2D">
        <w:t xml:space="preserve">is </w:t>
      </w:r>
      <w:r>
        <w:t>prior to subsequent reforms</w:t>
      </w:r>
      <w:r w:rsidR="00BA7C2D">
        <w:t>,</w:t>
      </w:r>
      <w:r>
        <w:t xml:space="preserve"> introduced from </w:t>
      </w:r>
      <w:r w:rsidR="00067452">
        <w:t xml:space="preserve">1 </w:t>
      </w:r>
      <w:r>
        <w:t>July 2012</w:t>
      </w:r>
      <w:r w:rsidR="0063222A">
        <w:t>, which</w:t>
      </w:r>
      <w:r>
        <w:t xml:space="preserve"> sought (through th</w:t>
      </w:r>
      <w:r w:rsidR="0063222A">
        <w:t>e targeting of subsidies) to re</w:t>
      </w:r>
      <w:r>
        <w:t xml:space="preserve">shape course choices. </w:t>
      </w:r>
    </w:p>
    <w:p w:rsidR="007F31C3" w:rsidRDefault="00EA186F" w:rsidP="00EA186F">
      <w:pPr>
        <w:pStyle w:val="Text"/>
      </w:pPr>
      <w:r>
        <w:t>The study considers the extent to which the new ed</w:t>
      </w:r>
      <w:r w:rsidR="0063222A">
        <w:t xml:space="preserve">ucation entitlements were taken </w:t>
      </w:r>
      <w:r>
        <w:t>up and the alignment between course choice and the needs of the domestic labour market.</w:t>
      </w:r>
      <w:r w:rsidR="007F31C3">
        <w:t xml:space="preserve"> Specifically, we address the following questions:</w:t>
      </w:r>
    </w:p>
    <w:p w:rsidR="007F31C3" w:rsidRDefault="007F31C3" w:rsidP="001B16C6">
      <w:pPr>
        <w:pStyle w:val="Dotpoint1"/>
      </w:pPr>
      <w:r>
        <w:t xml:space="preserve">What effect did the introduction of the </w:t>
      </w:r>
      <w:r w:rsidR="0063222A">
        <w:t>Victorian Training Guarantee</w:t>
      </w:r>
      <w:r>
        <w:t xml:space="preserve"> have on VET enrolment numbers among those</w:t>
      </w:r>
      <w:r w:rsidR="0063222A">
        <w:t xml:space="preserve"> aged 25—</w:t>
      </w:r>
      <w:r w:rsidR="00F87DF3">
        <w:t>54</w:t>
      </w:r>
      <w:r w:rsidR="00BA7C2D">
        <w:t xml:space="preserve"> years</w:t>
      </w:r>
      <w:r>
        <w:t xml:space="preserve">? </w:t>
      </w:r>
    </w:p>
    <w:p w:rsidR="007F31C3" w:rsidRDefault="007F31C3" w:rsidP="001B16C6">
      <w:pPr>
        <w:pStyle w:val="Dotpoint1"/>
      </w:pPr>
      <w:r>
        <w:t xml:space="preserve">What effect did the </w:t>
      </w:r>
      <w:r w:rsidR="0063222A">
        <w:t>Victorian Training Guarantee</w:t>
      </w:r>
      <w:r>
        <w:t xml:space="preserve"> have on course choice? Did it improve the alignment of enrolments with </w:t>
      </w:r>
      <w:r w:rsidR="00BA7C2D">
        <w:t xml:space="preserve">the </w:t>
      </w:r>
      <w:r>
        <w:t>measures of skill demand available at the time of enrolment?</w:t>
      </w:r>
    </w:p>
    <w:p w:rsidR="002C575A" w:rsidRDefault="002C575A" w:rsidP="001B16C6">
      <w:pPr>
        <w:pStyle w:val="Dotpoint1"/>
        <w:sectPr w:rsidR="002C575A" w:rsidSect="00011633">
          <w:pgSz w:w="11907" w:h="16840" w:code="9"/>
          <w:pgMar w:top="1276" w:right="2552" w:bottom="1276" w:left="1418" w:header="709" w:footer="556" w:gutter="0"/>
          <w:cols w:space="708"/>
          <w:docGrid w:linePitch="360"/>
        </w:sectPr>
      </w:pPr>
    </w:p>
    <w:p w:rsidR="007F31C3" w:rsidRDefault="007F31C3" w:rsidP="001B16C6">
      <w:pPr>
        <w:pStyle w:val="Dotpoint1"/>
      </w:pPr>
      <w:r>
        <w:lastRenderedPageBreak/>
        <w:t>How did enrolments and course choices vary by age and gender and across key disadvantaged groups in the community</w:t>
      </w:r>
      <w:r w:rsidR="0063222A">
        <w:t>,</w:t>
      </w:r>
      <w:r>
        <w:t xml:space="preserve"> including the unemployed, people with little formal education, people from non-English speaking backgrounds,</w:t>
      </w:r>
      <w:r w:rsidR="0063222A">
        <w:t xml:space="preserve"> people from low socio</w:t>
      </w:r>
      <w:r>
        <w:t>economic a</w:t>
      </w:r>
      <w:r w:rsidR="0063222A">
        <w:t>reas, and people with disabilities</w:t>
      </w:r>
      <w:r>
        <w:t>?</w:t>
      </w:r>
    </w:p>
    <w:p w:rsidR="00EA186F" w:rsidRDefault="00763EBF" w:rsidP="00EA186F">
      <w:pPr>
        <w:pStyle w:val="Text"/>
      </w:pPr>
      <w:r>
        <w:t>An e</w:t>
      </w:r>
      <w:r w:rsidR="00EA186F">
        <w:t xml:space="preserve">stimation of the effects of the Victorian </w:t>
      </w:r>
      <w:r w:rsidR="001B01FF">
        <w:t>Training Guarantee</w:t>
      </w:r>
      <w:r w:rsidR="00EA186F">
        <w:t xml:space="preserve"> were calculated using a difference-in-differences (</w:t>
      </w:r>
      <w:proofErr w:type="spellStart"/>
      <w:r w:rsidR="00EA186F">
        <w:t>DiD</w:t>
      </w:r>
      <w:proofErr w:type="spellEnd"/>
      <w:r w:rsidR="00EA186F">
        <w:t>) approach. This method is a standard quantitative approach for estimating the effects of real-world policy changes. The fundamental innovation of the approach is to disentangle the effects of policy reform from contemporaneous changes in the wider economic environment (</w:t>
      </w:r>
      <w:r w:rsidR="0063222A">
        <w:t>for example,</w:t>
      </w:r>
      <w:r w:rsidR="00EA186F">
        <w:t xml:space="preserve"> the Global Financial Crisis) by comparing </w:t>
      </w:r>
      <w:r w:rsidR="0063222A">
        <w:t xml:space="preserve">the </w:t>
      </w:r>
      <w:r w:rsidR="00EA186F">
        <w:t>differences observed for a ‘treatment’</w:t>
      </w:r>
      <w:r w:rsidR="005331DE">
        <w:t xml:space="preserve"> population </w:t>
      </w:r>
      <w:r w:rsidR="00EA186F">
        <w:t xml:space="preserve">affected by the reforms with those observed for a ‘control’ population </w:t>
      </w:r>
      <w:r w:rsidR="005331DE">
        <w:t>which was</w:t>
      </w:r>
      <w:r w:rsidR="00EA186F">
        <w:t xml:space="preserve"> not. In the current case, the approach compares </w:t>
      </w:r>
      <w:r w:rsidR="005331DE">
        <w:t xml:space="preserve">the </w:t>
      </w:r>
      <w:r w:rsidR="00EA186F">
        <w:t xml:space="preserve">variation observed for the Victorian population before and after the policy change with </w:t>
      </w:r>
      <w:r w:rsidR="005331DE">
        <w:t xml:space="preserve">the </w:t>
      </w:r>
      <w:r w:rsidR="00EA186F">
        <w:t>variation observed for the population of other Australian states during the same period. The study is based upon administrative data drawn from the National</w:t>
      </w:r>
      <w:r w:rsidR="005331DE">
        <w:t xml:space="preserve"> VET Provider Collection</w:t>
      </w:r>
      <w:r w:rsidR="00EA186F">
        <w:t xml:space="preserve">, augmented by linking information from alternative data sources, including expected graduate earnings estimates from the </w:t>
      </w:r>
      <w:r w:rsidR="007E1AB1">
        <w:t xml:space="preserve">NCVER </w:t>
      </w:r>
      <w:r w:rsidR="00F2109F">
        <w:t xml:space="preserve">National </w:t>
      </w:r>
      <w:r w:rsidR="00EA186F">
        <w:t>Student Outcome</w:t>
      </w:r>
      <w:r w:rsidR="0085322A">
        <w:t>s</w:t>
      </w:r>
      <w:r w:rsidR="00EA186F">
        <w:t xml:space="preserve"> Survey, National Skill Shortage information from the </w:t>
      </w:r>
      <w:r w:rsidR="007E1AB1">
        <w:t xml:space="preserve">federal </w:t>
      </w:r>
      <w:r w:rsidR="00EA186F">
        <w:t>Department o</w:t>
      </w:r>
      <w:r w:rsidR="005331DE">
        <w:t>f Employment</w:t>
      </w:r>
      <w:r w:rsidR="00932575">
        <w:t>,</w:t>
      </w:r>
      <w:r w:rsidR="005331DE">
        <w:t xml:space="preserve"> and regional socio</w:t>
      </w:r>
      <w:r w:rsidR="00EA186F">
        <w:t>economic and population estimates from the Australian Bureau of Statistics</w:t>
      </w:r>
      <w:r w:rsidR="005331DE">
        <w:t xml:space="preserve"> (ABS)</w:t>
      </w:r>
      <w:r w:rsidR="00EA186F">
        <w:t xml:space="preserve">. </w:t>
      </w:r>
    </w:p>
    <w:p w:rsidR="00EA186F" w:rsidRDefault="00EA186F" w:rsidP="00EA186F">
      <w:pPr>
        <w:pStyle w:val="Heading2"/>
      </w:pPr>
      <w:bookmarkStart w:id="39" w:name="_Toc438209973"/>
      <w:bookmarkStart w:id="40" w:name="_Toc460925675"/>
      <w:bookmarkStart w:id="41" w:name="_Toc472334572"/>
      <w:bookmarkStart w:id="42" w:name="_Toc472516998"/>
      <w:r>
        <w:t>Key results</w:t>
      </w:r>
      <w:bookmarkEnd w:id="39"/>
      <w:bookmarkEnd w:id="40"/>
      <w:bookmarkEnd w:id="41"/>
      <w:bookmarkEnd w:id="42"/>
    </w:p>
    <w:p w:rsidR="00EA186F" w:rsidRDefault="007E1AB1" w:rsidP="00EA186F">
      <w:pPr>
        <w:pStyle w:val="Text"/>
      </w:pPr>
      <w:r>
        <w:t>B</w:t>
      </w:r>
      <w:r w:rsidR="00EA186F">
        <w:t xml:space="preserve">etween January 2011 and June 2012, </w:t>
      </w:r>
      <w:r w:rsidR="009034D4">
        <w:t xml:space="preserve">we estimate that </w:t>
      </w:r>
      <w:r w:rsidR="00EA186F">
        <w:t>the introduction of the Victorian entitlement increased the rate of</w:t>
      </w:r>
      <w:r w:rsidR="00DD0343">
        <w:t xml:space="preserve"> VET participation among</w:t>
      </w:r>
      <w:r w:rsidR="00EA186F">
        <w:t xml:space="preserve"> </w:t>
      </w:r>
      <w:r w:rsidR="005331DE">
        <w:t xml:space="preserve">25 to 54-year-olds </w:t>
      </w:r>
      <w:r w:rsidR="00EA186F">
        <w:t>by 4.2 percentage points. This represents a two-thirds increase, relative to the 6.3% participation rate reported in 2008</w:t>
      </w:r>
      <w:r w:rsidR="00DD0343">
        <w:t xml:space="preserve"> for this age group</w:t>
      </w:r>
      <w:r w:rsidR="005331DE">
        <w:t>. A d</w:t>
      </w:r>
      <w:r w:rsidR="00EA186F">
        <w:t>isaggregated analysis indicates that the increase in participation was distributed widely across</w:t>
      </w:r>
      <w:r w:rsidR="005331DE">
        <w:t xml:space="preserve"> the population, including a 36-percentage-</w:t>
      </w:r>
      <w:r w:rsidR="00EA186F">
        <w:t xml:space="preserve">point increase among unemployed people, </w:t>
      </w:r>
      <w:r w:rsidR="00E76220">
        <w:t>a 12</w:t>
      </w:r>
      <w:r w:rsidR="005331DE">
        <w:t>-percentage-</w:t>
      </w:r>
      <w:r w:rsidR="00EA186F">
        <w:t xml:space="preserve">point increase among people with </w:t>
      </w:r>
      <w:r w:rsidR="005331DE">
        <w:t>disabilities</w:t>
      </w:r>
      <w:r w:rsidR="00763EBF">
        <w:t xml:space="preserve"> and a 13-percentage-</w:t>
      </w:r>
      <w:r w:rsidR="00EA186F">
        <w:t>point incr</w:t>
      </w:r>
      <w:r w:rsidR="00763EBF">
        <w:t>ease among people with only low-</w:t>
      </w:r>
      <w:r w:rsidR="00EA186F">
        <w:t xml:space="preserve">level (certificate I </w:t>
      </w:r>
      <w:r w:rsidR="004170DF">
        <w:t>and</w:t>
      </w:r>
      <w:r w:rsidR="00EA186F">
        <w:t xml:space="preserve"> II) VET qualifications.</w:t>
      </w:r>
      <w:r w:rsidR="009034D4">
        <w:t xml:space="preserve"> However, we str</w:t>
      </w:r>
      <w:r w:rsidR="00C3314D">
        <w:t>ess that these effects may over</w:t>
      </w:r>
      <w:r w:rsidR="009034D4">
        <w:t xml:space="preserve">estimate the true enrolment effects because </w:t>
      </w:r>
      <w:r w:rsidR="00FA4672">
        <w:t xml:space="preserve">for the period the study was undertaken, </w:t>
      </w:r>
      <w:r w:rsidR="009034D4">
        <w:t xml:space="preserve">the </w:t>
      </w:r>
      <w:r w:rsidR="00F2109F">
        <w:t xml:space="preserve">National </w:t>
      </w:r>
      <w:r w:rsidR="009034D4">
        <w:t>VET</w:t>
      </w:r>
      <w:r w:rsidR="00763EBF">
        <w:t xml:space="preserve"> Provider Collection</w:t>
      </w:r>
      <w:r w:rsidR="009034D4">
        <w:t xml:space="preserve"> d</w:t>
      </w:r>
      <w:r w:rsidR="00FA4672">
        <w:t>id</w:t>
      </w:r>
      <w:r w:rsidR="009034D4">
        <w:t xml:space="preserve"> not account for</w:t>
      </w:r>
      <w:r w:rsidR="000F0F1C">
        <w:t xml:space="preserve"> private</w:t>
      </w:r>
      <w:r w:rsidR="00763EBF">
        <w:t xml:space="preserve"> fee-for-service enrolments, which</w:t>
      </w:r>
      <w:r w:rsidR="000F0F1C">
        <w:t xml:space="preserve"> are likely to have decreased under the Victorian entitlement.</w:t>
      </w:r>
      <w:r w:rsidR="000F0F1C">
        <w:rPr>
          <w:rStyle w:val="FootnoteReference"/>
        </w:rPr>
        <w:footnoteReference w:id="2"/>
      </w:r>
      <w:r w:rsidR="00FA4672">
        <w:t xml:space="preserve"> From 2014 the National VET Provider Collection commenced collecting fee-for-service activity from private providers, in addition to government-funded trainin</w:t>
      </w:r>
      <w:r w:rsidR="009367D1">
        <w:t>g activity previously collected, thus providing Total VET Activity of the Australian training market.</w:t>
      </w:r>
    </w:p>
    <w:p w:rsidR="00EA186F" w:rsidRDefault="007E1AB1" w:rsidP="00EA186F">
      <w:pPr>
        <w:pStyle w:val="Text"/>
      </w:pPr>
      <w:r>
        <w:t>T</w:t>
      </w:r>
      <w:r w:rsidR="00EA186F">
        <w:t xml:space="preserve">he introduction of the entitlement in Victoria </w:t>
      </w:r>
      <w:r>
        <w:t xml:space="preserve">was also found to </w:t>
      </w:r>
      <w:r w:rsidR="00EA186F">
        <w:t xml:space="preserve">lead to a significant improvement in the match between course choices and officially recognised skills in demand and </w:t>
      </w:r>
      <w:r w:rsidR="00BA7C2D">
        <w:t xml:space="preserve">it </w:t>
      </w:r>
      <w:r w:rsidR="00EA186F">
        <w:t xml:space="preserve">skewed enrolment towards courses </w:t>
      </w:r>
      <w:r w:rsidR="00763EBF">
        <w:t>with</w:t>
      </w:r>
      <w:r w:rsidR="00EA186F">
        <w:t xml:space="preserve"> a relatively high expected graduate wage. To the ext</w:t>
      </w:r>
      <w:r w:rsidR="00763EBF">
        <w:t>ent that graduate wages reflect</w:t>
      </w:r>
      <w:r w:rsidR="00EA186F">
        <w:t xml:space="preserve"> the value of graduate skills, the latter result is further evidence of an improvement in the responsiveness of enrolments to skill needs. </w:t>
      </w:r>
      <w:r w:rsidR="00EA186F">
        <w:lastRenderedPageBreak/>
        <w:t xml:space="preserve">Overall, the greater freedom of choice afforded by the Victorian entitlements is estimated to change the course choice mix in a way that increases the proportion of enrolments in skill shortage areas by </w:t>
      </w:r>
      <w:r w:rsidR="000955EF">
        <w:t>four</w:t>
      </w:r>
      <w:r w:rsidR="00EA186F">
        <w:t xml:space="preserve"> percentage points (a 50% increase, relative to 2008 figures), and increase expected graduate wages by 2.4%.</w:t>
      </w:r>
      <w:r w:rsidR="00EA186F" w:rsidRPr="00984439">
        <w:t xml:space="preserve"> </w:t>
      </w:r>
      <w:r w:rsidR="00EA186F">
        <w:t xml:space="preserve">These estimates are close to similar to those reported by </w:t>
      </w:r>
      <w:proofErr w:type="spellStart"/>
      <w:r w:rsidR="00EA186F">
        <w:t>McV</w:t>
      </w:r>
      <w:r w:rsidR="00763EBF">
        <w:t>icar</w:t>
      </w:r>
      <w:proofErr w:type="spellEnd"/>
      <w:r w:rsidR="00763EBF">
        <w:t xml:space="preserve"> and </w:t>
      </w:r>
      <w:proofErr w:type="spellStart"/>
      <w:r w:rsidR="00763EBF">
        <w:t>Polidano</w:t>
      </w:r>
      <w:proofErr w:type="spellEnd"/>
      <w:r w:rsidR="00763EBF">
        <w:t xml:space="preserve"> (2015) for 15 to 19-</w:t>
      </w:r>
      <w:r w:rsidR="00EA186F">
        <w:t>year-olds</w:t>
      </w:r>
      <w:r w:rsidR="00EA186F">
        <w:rPr>
          <w:rStyle w:val="FootnoteReference"/>
        </w:rPr>
        <w:footnoteReference w:id="3"/>
      </w:r>
      <w:r w:rsidR="00EA186F">
        <w:t>, which in itself is a somewhat surprising result</w:t>
      </w:r>
      <w:r w:rsidR="00763EBF">
        <w:t>,</w:t>
      </w:r>
      <w:r w:rsidR="00EA186F">
        <w:t xml:space="preserve"> given the different training incentives and life experience of the respective population subgroups. In contrast to the study by </w:t>
      </w:r>
      <w:proofErr w:type="spellStart"/>
      <w:r w:rsidR="00EA186F">
        <w:t>McVicar</w:t>
      </w:r>
      <w:proofErr w:type="spellEnd"/>
      <w:r w:rsidR="00EA186F">
        <w:t xml:space="preserve"> and </w:t>
      </w:r>
      <w:proofErr w:type="spellStart"/>
      <w:r w:rsidR="00EA186F">
        <w:t>Polidano</w:t>
      </w:r>
      <w:proofErr w:type="spellEnd"/>
      <w:r w:rsidR="00EA186F">
        <w:t>, however, the current</w:t>
      </w:r>
      <w:r w:rsidR="00763EBF">
        <w:t xml:space="preserve"> study finds no evidence of off</w:t>
      </w:r>
      <w:r w:rsidR="00EA186F">
        <w:t xml:space="preserve">setting shifts in the types of courses offered to </w:t>
      </w:r>
      <w:r w:rsidR="00763EBF">
        <w:t>people aged 25—</w:t>
      </w:r>
      <w:r w:rsidR="00EA186F">
        <w:t xml:space="preserve">54 </w:t>
      </w:r>
      <w:r w:rsidR="00BA7C2D">
        <w:t xml:space="preserve">years </w:t>
      </w:r>
      <w:r w:rsidR="00EA186F">
        <w:t xml:space="preserve">by private providers. We interpret this result as suggesting that working-age individuals were less swayed than their younger contemporaries by </w:t>
      </w:r>
      <w:r w:rsidR="00763EBF">
        <w:t xml:space="preserve">the </w:t>
      </w:r>
      <w:r w:rsidR="00EA186F">
        <w:t>incr</w:t>
      </w:r>
      <w:r w:rsidR="00763EBF">
        <w:t xml:space="preserve">eased availability of privately </w:t>
      </w:r>
      <w:r w:rsidR="00EA186F">
        <w:t xml:space="preserve">run courses with relatively high consumption and low labour market benefits (including health and fitness courses). </w:t>
      </w:r>
    </w:p>
    <w:p w:rsidR="00EA186F" w:rsidRDefault="00EA186F" w:rsidP="00EA186F">
      <w:pPr>
        <w:pStyle w:val="Text"/>
      </w:pPr>
      <w:r>
        <w:t xml:space="preserve">Across </w:t>
      </w:r>
      <w:r w:rsidR="00932575">
        <w:t xml:space="preserve">the </w:t>
      </w:r>
      <w:r>
        <w:t>groups identified in this study, we find no reason to believe that people from disadvantaged backgrounds respond in a less positive way than the remainder of the population. We find improvements in course choice alignment with skill demand for all groups. Moreover, improvements were greater for the unemployed than the employed, greater for those from a non-English speaking background than those who speak English at home, gr</w:t>
      </w:r>
      <w:r w:rsidR="00966200">
        <w:t>eater for those liv</w:t>
      </w:r>
      <w:r w:rsidR="00763EBF">
        <w:t>ing in a low socioeconomic status (</w:t>
      </w:r>
      <w:r>
        <w:t>SES</w:t>
      </w:r>
      <w:r w:rsidR="00763EBF">
        <w:t>)</w:t>
      </w:r>
      <w:r>
        <w:t xml:space="preserve"> area than </w:t>
      </w:r>
      <w:r w:rsidR="00932575">
        <w:t xml:space="preserve">in </w:t>
      </w:r>
      <w:r>
        <w:t>more advantaged areas and greater for Aboriginal and To</w:t>
      </w:r>
      <w:r w:rsidR="00966200">
        <w:t xml:space="preserve">rres Strait Islanders than </w:t>
      </w:r>
      <w:r w:rsidR="00932575">
        <w:t xml:space="preserve">for </w:t>
      </w:r>
      <w:r w:rsidR="00966200">
        <w:t>non-I</w:t>
      </w:r>
      <w:r>
        <w:t>ndigenous</w:t>
      </w:r>
      <w:r w:rsidR="00966200">
        <w:t xml:space="preserve"> people</w:t>
      </w:r>
      <w:r>
        <w:t xml:space="preserve">. For individuals with </w:t>
      </w:r>
      <w:r w:rsidR="005331DE">
        <w:t>disabilities</w:t>
      </w:r>
      <w:r>
        <w:t xml:space="preserve">, we find improvements that are no smaller than for those without </w:t>
      </w:r>
      <w:r w:rsidR="005331DE">
        <w:t>disabilities</w:t>
      </w:r>
      <w:r w:rsidR="00BA7C2D">
        <w:t>;</w:t>
      </w:r>
      <w:r>
        <w:t xml:space="preserve"> and for those without a secondary qualification we find greater improvements in expected wage returns, but lower improvements in the match between enrolments and skill shortage areas. In the last case, our results are primarily attributable to the fact that people without a secondary qualification do not tend to enrol in courses that lead to higher-skilled occupations, but rather </w:t>
      </w:r>
      <w:r w:rsidR="00763EBF">
        <w:t>in courses that are higher paid,</w:t>
      </w:r>
      <w:r>
        <w:t xml:space="preserve"> especially in construction, logistics and sales. These results suggest that disadvantaged people aged 25 to 54 </w:t>
      </w:r>
      <w:r w:rsidR="00BA7C2D">
        <w:t xml:space="preserve">years </w:t>
      </w:r>
      <w:r>
        <w:t xml:space="preserve">do seek out courses </w:t>
      </w:r>
      <w:r w:rsidR="00763EBF">
        <w:t>with</w:t>
      </w:r>
      <w:r>
        <w:t xml:space="preserve"> good </w:t>
      </w:r>
      <w:r w:rsidR="008B5078">
        <w:t>expected labour market outcomes, outcomes likely to have</w:t>
      </w:r>
      <w:r>
        <w:t xml:space="preserve"> a particularly profound bearing on subsequent living standards. </w:t>
      </w:r>
    </w:p>
    <w:p w:rsidR="00C74953" w:rsidRDefault="00C74953" w:rsidP="00C74953">
      <w:pPr>
        <w:pStyle w:val="Heading2"/>
      </w:pPr>
      <w:bookmarkStart w:id="43" w:name="_Toc438209974"/>
      <w:bookmarkStart w:id="44" w:name="_Toc460925676"/>
      <w:bookmarkStart w:id="45" w:name="_Toc472334573"/>
      <w:bookmarkStart w:id="46" w:name="_Toc472516999"/>
      <w:r>
        <w:t>Implications</w:t>
      </w:r>
      <w:bookmarkEnd w:id="43"/>
      <w:bookmarkEnd w:id="44"/>
      <w:bookmarkEnd w:id="45"/>
      <w:bookmarkEnd w:id="46"/>
    </w:p>
    <w:p w:rsidR="00C74953" w:rsidRDefault="004170DF" w:rsidP="00C74953">
      <w:pPr>
        <w:pStyle w:val="Text"/>
      </w:pPr>
      <w:r>
        <w:t>The r</w:t>
      </w:r>
      <w:r w:rsidR="00C74953">
        <w:t>esults from this study underline the capacity of people aged 25 to 54</w:t>
      </w:r>
      <w:r w:rsidR="00763EBF">
        <w:t xml:space="preserve"> years</w:t>
      </w:r>
      <w:r w:rsidR="00C74953">
        <w:t xml:space="preserve">, including people from disadvantaged backgrounds, to choose VET courses that are </w:t>
      </w:r>
      <w:r w:rsidR="00AF0D97">
        <w:t xml:space="preserve">better </w:t>
      </w:r>
      <w:r w:rsidR="00C74953">
        <w:t>aligned with the prevailing needs of the domestic labour market</w:t>
      </w:r>
      <w:r w:rsidR="00AF0D97">
        <w:t xml:space="preserve"> than </w:t>
      </w:r>
      <w:r w:rsidR="00763EBF">
        <w:t xml:space="preserve">was the practice </w:t>
      </w:r>
      <w:r w:rsidR="00AF0D97">
        <w:t>under previous supply-driven funding models</w:t>
      </w:r>
      <w:r w:rsidR="00C74953">
        <w:t>. These results are more impressive when taking into account the la</w:t>
      </w:r>
      <w:r w:rsidR="00763EBF">
        <w:t>rge number of available courses</w:t>
      </w:r>
      <w:r w:rsidR="00C74953">
        <w:t xml:space="preserve"> and the paucity of course graduate outcome information </w:t>
      </w:r>
      <w:r w:rsidR="00BA7C2D">
        <w:t>available to support decision-</w:t>
      </w:r>
      <w:r w:rsidR="00C74953">
        <w:t xml:space="preserve">making. </w:t>
      </w:r>
    </w:p>
    <w:p w:rsidR="00C74953" w:rsidRDefault="00C74953" w:rsidP="00C74953">
      <w:pPr>
        <w:pStyle w:val="Text"/>
      </w:pPr>
      <w:r>
        <w:t xml:space="preserve">The current results contrast sharply with the relatively negative outcomes reported for </w:t>
      </w:r>
      <w:r w:rsidR="00DD0343">
        <w:t xml:space="preserve">large-scale </w:t>
      </w:r>
      <w:r w:rsidR="00AB1630">
        <w:t xml:space="preserve">entitlement </w:t>
      </w:r>
      <w:r>
        <w:t>schemes</w:t>
      </w:r>
      <w:r w:rsidR="00DD0343">
        <w:t xml:space="preserve"> for</w:t>
      </w:r>
      <w:r>
        <w:t xml:space="preserve"> </w:t>
      </w:r>
      <w:r w:rsidRPr="007F31C3">
        <w:t xml:space="preserve">private </w:t>
      </w:r>
      <w:r w:rsidR="007E1AB1" w:rsidRPr="007F31C3">
        <w:t xml:space="preserve">secondary </w:t>
      </w:r>
      <w:r w:rsidRPr="007F31C3">
        <w:t>schooling</w:t>
      </w:r>
      <w:r w:rsidR="007E1AB1" w:rsidRPr="007F31C3">
        <w:t xml:space="preserve"> (</w:t>
      </w:r>
      <w:r w:rsidR="007F31C3" w:rsidRPr="007F31C3">
        <w:t xml:space="preserve">Hsieh </w:t>
      </w:r>
      <w:r w:rsidR="00FB1FB8">
        <w:t>&amp;</w:t>
      </w:r>
      <w:r w:rsidR="007F31C3" w:rsidRPr="007F31C3">
        <w:t xml:space="preserve"> </w:t>
      </w:r>
      <w:proofErr w:type="spellStart"/>
      <w:r w:rsidR="007F31C3" w:rsidRPr="007F31C3">
        <w:t>Urquiola</w:t>
      </w:r>
      <w:proofErr w:type="spellEnd"/>
      <w:r w:rsidR="007F31C3" w:rsidRPr="007F31C3">
        <w:t xml:space="preserve"> 2006</w:t>
      </w:r>
      <w:r w:rsidR="007E1AB1" w:rsidRPr="007F31C3">
        <w:t>)</w:t>
      </w:r>
      <w:r w:rsidRPr="007F31C3">
        <w:t xml:space="preserve">, </w:t>
      </w:r>
      <w:r w:rsidR="00067452">
        <w:t>but</w:t>
      </w:r>
      <w:r w:rsidR="00067452" w:rsidRPr="007F31C3">
        <w:t xml:space="preserve"> </w:t>
      </w:r>
      <w:r w:rsidRPr="007F31C3">
        <w:t>the</w:t>
      </w:r>
      <w:r>
        <w:t xml:space="preserve"> current study is ill-equipped to consider the important question of why this is the case. In any event, there is a clear gap between the educational decisions made by a parent for their chil</w:t>
      </w:r>
      <w:r w:rsidR="00763EBF">
        <w:t>d</w:t>
      </w:r>
      <w:r>
        <w:t xml:space="preserve"> and those made by an</w:t>
      </w:r>
      <w:r w:rsidR="00067452">
        <w:t xml:space="preserve"> older</w:t>
      </w:r>
      <w:r>
        <w:t xml:space="preserve"> adolescent or working-age adult for </w:t>
      </w:r>
      <w:proofErr w:type="gramStart"/>
      <w:r>
        <w:t>themselves</w:t>
      </w:r>
      <w:proofErr w:type="gramEnd"/>
      <w:r>
        <w:t xml:space="preserve">. </w:t>
      </w:r>
      <w:r>
        <w:lastRenderedPageBreak/>
        <w:t>Moreover</w:t>
      </w:r>
      <w:r w:rsidR="00763EBF">
        <w:t>,</w:t>
      </w:r>
      <w:r>
        <w:t xml:space="preserve"> </w:t>
      </w:r>
      <w:r w:rsidR="00BA7C2D">
        <w:t>voc</w:t>
      </w:r>
      <w:r w:rsidR="008B5078">
        <w:t>ational education and training</w:t>
      </w:r>
      <w:r>
        <w:t xml:space="preserve"> is, by design, a form of education closely aligned with the technical </w:t>
      </w:r>
      <w:r w:rsidR="00FA5DA0">
        <w:t xml:space="preserve">skills </w:t>
      </w:r>
      <w:r>
        <w:t xml:space="preserve">requirements of the workforce. The results of the current study highlight </w:t>
      </w:r>
      <w:r w:rsidR="00EB5112">
        <w:t>the choices made by more mature individuals in exercising an ‘entitlement’</w:t>
      </w:r>
      <w:r>
        <w:t xml:space="preserve"> to </w:t>
      </w:r>
      <w:r w:rsidR="00806025">
        <w:t xml:space="preserve">improve the responsiveness of VET to changing skill demands. </w:t>
      </w:r>
    </w:p>
    <w:p w:rsidR="00671517" w:rsidRDefault="00763EBF" w:rsidP="00671517">
      <w:pPr>
        <w:pStyle w:val="Text"/>
      </w:pPr>
      <w:r>
        <w:t>For policy-</w:t>
      </w:r>
      <w:r w:rsidR="00C74953">
        <w:t>makers, evidence that disadvantaged people seek out courses with good expected labour market outcomes supports current efforts</w:t>
      </w:r>
      <w:r w:rsidR="00671517">
        <w:t xml:space="preserve"> to improve available course outcome information, including employment information, through the </w:t>
      </w:r>
      <w:proofErr w:type="spellStart"/>
      <w:r w:rsidR="00671517">
        <w:t>MySkills</w:t>
      </w:r>
      <w:proofErr w:type="spellEnd"/>
      <w:r w:rsidR="00671517">
        <w:t xml:space="preserve"> website. However, an area for further improvement may </w:t>
      </w:r>
      <w:r w:rsidR="00BA7C2D">
        <w:t xml:space="preserve">be in the provision of </w:t>
      </w:r>
      <w:r w:rsidR="00671517">
        <w:t>more disaggregate</w:t>
      </w:r>
      <w:r>
        <w:t>d</w:t>
      </w:r>
      <w:r w:rsidR="00671517">
        <w:t xml:space="preserve"> graduate employment information. Currently, graduate occupation information is limited to ANZSCO</w:t>
      </w:r>
      <w:r w:rsidR="008B5078">
        <w:rPr>
          <w:rStyle w:val="FootnoteReference"/>
        </w:rPr>
        <w:footnoteReference w:id="4"/>
      </w:r>
      <w:r w:rsidR="00671517">
        <w:t xml:space="preserve"> major group level (</w:t>
      </w:r>
      <w:r>
        <w:t>for example,</w:t>
      </w:r>
      <w:r w:rsidR="00671517">
        <w:t xml:space="preserve"> Technician and </w:t>
      </w:r>
      <w:r w:rsidR="00BA7C2D">
        <w:t>trades workers</w:t>
      </w:r>
      <w:r w:rsidR="00671517">
        <w:t xml:space="preserve">, Managers, Labourers), which provides no indication to prospective students on the likelihood </w:t>
      </w:r>
      <w:r w:rsidR="008B5078">
        <w:t>of their</w:t>
      </w:r>
      <w:r w:rsidR="00671517">
        <w:t xml:space="preserve"> find</w:t>
      </w:r>
      <w:r w:rsidR="008B5078">
        <w:t>ing</w:t>
      </w:r>
      <w:r w:rsidR="00671517">
        <w:t xml:space="preserve"> work after graduating in the occupation </w:t>
      </w:r>
      <w:r>
        <w:t>for which</w:t>
      </w:r>
      <w:r w:rsidR="00671517">
        <w:t xml:space="preserve"> the course is designed to prepare t</w:t>
      </w:r>
      <w:r>
        <w:t>hem</w:t>
      </w:r>
      <w:r w:rsidR="00671517">
        <w:t>. Such information may be important</w:t>
      </w:r>
      <w:r>
        <w:t>,</w:t>
      </w:r>
      <w:r w:rsidR="00671517">
        <w:t xml:space="preserve"> given that there is a weak match between the </w:t>
      </w:r>
      <w:r w:rsidR="004B07F8">
        <w:t xml:space="preserve">course target </w:t>
      </w:r>
      <w:r w:rsidR="00671517">
        <w:t xml:space="preserve">occupation and the occupations that </w:t>
      </w:r>
      <w:r w:rsidR="00705302">
        <w:t>course graduates attain (</w:t>
      </w:r>
      <w:proofErr w:type="spellStart"/>
      <w:r w:rsidR="00705302">
        <w:t>Karmel</w:t>
      </w:r>
      <w:proofErr w:type="spellEnd"/>
      <w:r w:rsidR="00705302">
        <w:t xml:space="preserve">, Mlotkowski &amp; </w:t>
      </w:r>
      <w:proofErr w:type="spellStart"/>
      <w:r w:rsidR="00705302">
        <w:t>Awodeyi</w:t>
      </w:r>
      <w:proofErr w:type="spellEnd"/>
      <w:r w:rsidR="00705302">
        <w:t xml:space="preserve"> </w:t>
      </w:r>
      <w:r w:rsidR="00671517">
        <w:t>2008) and the likely importance of occupation choice in driving course choice.</w:t>
      </w:r>
    </w:p>
    <w:p w:rsidR="00C74953" w:rsidRDefault="004B07F8" w:rsidP="00C74953">
      <w:pPr>
        <w:pStyle w:val="Text"/>
      </w:pPr>
      <w:r>
        <w:t>While the provision of labour market information may be important</w:t>
      </w:r>
      <w:r w:rsidR="00763EBF">
        <w:t xml:space="preserve"> in helping to support decision-</w:t>
      </w:r>
      <w:r>
        <w:t xml:space="preserve">making, governments should also be aware of the risks. In particular, there is a risk that people may systematically over-respond to skill demand signals, leading to graduate oversupply in areas where there are few supply-side barriers </w:t>
      </w:r>
      <w:r w:rsidR="008B5078">
        <w:t>to</w:t>
      </w:r>
      <w:r>
        <w:t xml:space="preserve"> entry. Governments can play a role here by monitoring year-on-year changes in</w:t>
      </w:r>
      <w:r w:rsidR="00763EBF">
        <w:t xml:space="preserve"> course enrolments and by comple</w:t>
      </w:r>
      <w:r>
        <w:t>menting the provision of graduate outcome information with longer-term skill projections.</w:t>
      </w:r>
    </w:p>
    <w:p w:rsidR="00324917" w:rsidRDefault="00324917" w:rsidP="00EA186F">
      <w:pPr>
        <w:pStyle w:val="Text"/>
      </w:pPr>
    </w:p>
    <w:p w:rsidR="00324917" w:rsidRPr="00712C5C" w:rsidRDefault="00324917" w:rsidP="00EA186F">
      <w:pPr>
        <w:pStyle w:val="Text"/>
        <w:rPr>
          <w:b/>
        </w:rPr>
      </w:pPr>
      <w:r w:rsidRPr="00712C5C">
        <w:rPr>
          <w:b/>
        </w:rPr>
        <w:br w:type="page"/>
      </w:r>
    </w:p>
    <w:p w:rsidR="00ED0C08" w:rsidRPr="005C2FCF" w:rsidRDefault="00124B8F" w:rsidP="00ED0C08">
      <w:pPr>
        <w:pStyle w:val="Heading1"/>
      </w:pPr>
      <w:bookmarkStart w:id="47" w:name="_Toc316371585"/>
      <w:bookmarkStart w:id="48" w:name="_Toc472517000"/>
      <w:r>
        <w:rPr>
          <w:noProof/>
          <w:lang w:eastAsia="en-AU"/>
        </w:rPr>
        <w:lastRenderedPageBreak/>
        <w:drawing>
          <wp:anchor distT="0" distB="0" distL="114300" distR="114300" simplePos="0" relativeHeight="251664384" behindDoc="1" locked="0" layoutInCell="1" allowOverlap="1" wp14:anchorId="7EDED289" wp14:editId="453FD498">
            <wp:simplePos x="0" y="0"/>
            <wp:positionH relativeFrom="column">
              <wp:posOffset>31223</wp:posOffset>
            </wp:positionH>
            <wp:positionV relativeFrom="paragraph">
              <wp:posOffset>-16630</wp:posOffset>
            </wp:positionV>
            <wp:extent cx="419100" cy="447675"/>
            <wp:effectExtent l="0" t="0" r="0" b="9525"/>
            <wp:wrapSquare wrapText="bothSides"/>
            <wp:docPr id="36" name="Picture 36"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2" name="Picture 2" descr="P:\PublicationComponents\Icons\Intro_Green.emf"/>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00C74953">
        <w:t>Introduction</w:t>
      </w:r>
      <w:bookmarkEnd w:id="47"/>
      <w:bookmarkEnd w:id="48"/>
    </w:p>
    <w:p w:rsidR="0008282D" w:rsidRDefault="0090798B" w:rsidP="0039425C">
      <w:pPr>
        <w:pStyle w:val="Text"/>
      </w:pPr>
      <w:bookmarkStart w:id="49" w:name="_Toc316371587"/>
      <w:r>
        <w:t>Tailoring education</w:t>
      </w:r>
      <w:r w:rsidR="006A3207">
        <w:t xml:space="preserve"> policy </w:t>
      </w:r>
      <w:r>
        <w:t xml:space="preserve">to deliver the skills </w:t>
      </w:r>
      <w:r w:rsidR="0008282D">
        <w:t>needed</w:t>
      </w:r>
      <w:r>
        <w:t xml:space="preserve"> by modern labour markets is complicated by the rapid pace of technological change</w:t>
      </w:r>
      <w:r w:rsidR="006A3207">
        <w:t>. These complicat</w:t>
      </w:r>
      <w:r w:rsidR="00707FA3">
        <w:t xml:space="preserve">ions are amplified when </w:t>
      </w:r>
      <w:r w:rsidR="006A3207">
        <w:t xml:space="preserve">the </w:t>
      </w:r>
      <w:r w:rsidR="0008282D">
        <w:t xml:space="preserve">associated </w:t>
      </w:r>
      <w:r w:rsidR="006A3207">
        <w:t xml:space="preserve">risks of technological redundancy </w:t>
      </w:r>
      <w:r w:rsidR="0008282D">
        <w:t xml:space="preserve">and the </w:t>
      </w:r>
      <w:r w:rsidR="00966200">
        <w:t>lengthening working lifetimes</w:t>
      </w:r>
      <w:r w:rsidR="00707FA3">
        <w:t xml:space="preserve"> are taken into account</w:t>
      </w:r>
      <w:r w:rsidR="00966200">
        <w:t xml:space="preserve">. </w:t>
      </w:r>
      <w:r w:rsidR="0008282D">
        <w:t>At the he</w:t>
      </w:r>
      <w:r w:rsidR="00707FA3">
        <w:t>art of the challenge for policy-</w:t>
      </w:r>
      <w:r w:rsidR="0008282D">
        <w:t xml:space="preserve">makers is allocating public funding in a way that improves the responsiveness of the sector to changing skill </w:t>
      </w:r>
      <w:r w:rsidR="00FA5DA0">
        <w:t xml:space="preserve">and labour market </w:t>
      </w:r>
      <w:r w:rsidR="0008282D">
        <w:t xml:space="preserve">needs. </w:t>
      </w:r>
    </w:p>
    <w:p w:rsidR="00DA4F5E" w:rsidRDefault="0090798B">
      <w:pPr>
        <w:pStyle w:val="Text"/>
      </w:pPr>
      <w:r>
        <w:t xml:space="preserve">This study </w:t>
      </w:r>
      <w:r w:rsidR="009E61CF">
        <w:t>adds to the</w:t>
      </w:r>
      <w:r>
        <w:t xml:space="preserve"> existing evidence base </w:t>
      </w:r>
      <w:r w:rsidR="0008282D">
        <w:t xml:space="preserve">on this issue </w:t>
      </w:r>
      <w:r>
        <w:t>by reporting on the effects of a</w:t>
      </w:r>
      <w:r w:rsidR="002B38B7">
        <w:t>n Australian</w:t>
      </w:r>
      <w:r>
        <w:t xml:space="preserve"> reform </w:t>
      </w:r>
      <w:r w:rsidR="009E61CF">
        <w:t>that introduced a</w:t>
      </w:r>
      <w:r w:rsidR="00AB1630">
        <w:t>n</w:t>
      </w:r>
      <w:r w:rsidR="009E61CF">
        <w:t xml:space="preserve"> entitlement for VET</w:t>
      </w:r>
      <w:r w:rsidR="00BA7C2D">
        <w:t>,</w:t>
      </w:r>
      <w:r w:rsidR="009E61CF">
        <w:t xml:space="preserve"> </w:t>
      </w:r>
      <w:r w:rsidR="008B5078">
        <w:t>whereby</w:t>
      </w:r>
      <w:r w:rsidR="009E61CF">
        <w:t xml:space="preserve"> the availability of public funded VET courses</w:t>
      </w:r>
      <w:r w:rsidR="00707FA3">
        <w:t xml:space="preserve"> was expanded</w:t>
      </w:r>
      <w:r w:rsidR="009E61CF">
        <w:t xml:space="preserve"> and </w:t>
      </w:r>
      <w:r w:rsidR="00707FA3">
        <w:t xml:space="preserve">where its </w:t>
      </w:r>
      <w:r w:rsidR="009E61CF">
        <w:t xml:space="preserve">allocation </w:t>
      </w:r>
      <w:r w:rsidR="00707FA3">
        <w:t xml:space="preserve">was linked </w:t>
      </w:r>
      <w:r w:rsidR="009E61CF">
        <w:t>to student choice.</w:t>
      </w:r>
      <w:r w:rsidR="009E61CF" w:rsidRPr="009E61CF">
        <w:t xml:space="preserve"> </w:t>
      </w:r>
      <w:r w:rsidR="009E61CF">
        <w:t xml:space="preserve">This policy reform was part of the </w:t>
      </w:r>
      <w:r w:rsidR="002B38B7">
        <w:t xml:space="preserve">Australian Government’s </w:t>
      </w:r>
      <w:r w:rsidR="002B38B7" w:rsidRPr="00707FA3">
        <w:t>National Partnership Agreement on Skills Reform</w:t>
      </w:r>
      <w:r w:rsidR="00DA4F5E">
        <w:t>, established in 2008</w:t>
      </w:r>
      <w:r w:rsidR="002B38B7">
        <w:rPr>
          <w:i/>
        </w:rPr>
        <w:t xml:space="preserve"> </w:t>
      </w:r>
      <w:r w:rsidR="002B38B7">
        <w:t xml:space="preserve">to enhance </w:t>
      </w:r>
      <w:r w:rsidR="00DA4F5E">
        <w:t xml:space="preserve">the </w:t>
      </w:r>
      <w:r w:rsidR="002B38B7">
        <w:t>VET</w:t>
      </w:r>
      <w:r w:rsidR="00DA4F5E">
        <w:t xml:space="preserve"> sector</w:t>
      </w:r>
      <w:r w:rsidR="002B38B7">
        <w:t>’s responsiveness to labour market needs.</w:t>
      </w:r>
      <w:r w:rsidR="002B38B7">
        <w:rPr>
          <w:rStyle w:val="FootnoteReference"/>
        </w:rPr>
        <w:footnoteReference w:id="5"/>
      </w:r>
      <w:r w:rsidR="002B38B7">
        <w:t xml:space="preserve"> </w:t>
      </w:r>
      <w:r w:rsidR="00707FA3">
        <w:t>The k</w:t>
      </w:r>
      <w:r w:rsidR="00C74953">
        <w:t xml:space="preserve">ey premises underlying the reforms </w:t>
      </w:r>
      <w:r w:rsidR="00CA1DFE">
        <w:t>were</w:t>
      </w:r>
      <w:r w:rsidR="00C74953">
        <w:t xml:space="preserve"> that expanding entitlements to public subsidies w</w:t>
      </w:r>
      <w:r w:rsidR="00DA4F5E">
        <w:t>ould</w:t>
      </w:r>
      <w:r w:rsidR="00C74953">
        <w:t xml:space="preserve"> increase participation</w:t>
      </w:r>
      <w:r w:rsidR="00DA4F5E">
        <w:t xml:space="preserve"> in education</w:t>
      </w:r>
      <w:r w:rsidR="00C74953">
        <w:t xml:space="preserve"> and that</w:t>
      </w:r>
      <w:r w:rsidR="00BA7C2D">
        <w:t>,</w:t>
      </w:r>
      <w:r w:rsidR="00C74953">
        <w:t xml:space="preserve"> given </w:t>
      </w:r>
      <w:r w:rsidR="00CA1DFE">
        <w:t xml:space="preserve">greater freedom of </w:t>
      </w:r>
      <w:proofErr w:type="gramStart"/>
      <w:r w:rsidR="00C74953">
        <w:t>choice,</w:t>
      </w:r>
      <w:proofErr w:type="gramEnd"/>
      <w:r w:rsidR="00C74953">
        <w:t xml:space="preserve"> </w:t>
      </w:r>
      <w:r w:rsidR="00CA1DFE">
        <w:t xml:space="preserve">people </w:t>
      </w:r>
      <w:r w:rsidR="00C74953">
        <w:t>w</w:t>
      </w:r>
      <w:r w:rsidR="00DA4F5E">
        <w:t>ould</w:t>
      </w:r>
      <w:r w:rsidR="00C74953">
        <w:t xml:space="preserve"> pursue skills in demand by employers. </w:t>
      </w:r>
      <w:r w:rsidR="00707FA3">
        <w:t>We test both of these premises</w:t>
      </w:r>
      <w:r w:rsidR="00DA4F5E">
        <w:t xml:space="preserve"> </w:t>
      </w:r>
      <w:r w:rsidR="008C612D">
        <w:t xml:space="preserve">by estimating </w:t>
      </w:r>
      <w:r w:rsidR="00DA4F5E">
        <w:t xml:space="preserve">the effects on enrolments of </w:t>
      </w:r>
      <w:r w:rsidR="008C612D">
        <w:t xml:space="preserve">reforms introduced in the state of Victoria, known </w:t>
      </w:r>
      <w:r w:rsidR="00031497">
        <w:t xml:space="preserve">at the time this research was undertaken </w:t>
      </w:r>
      <w:r w:rsidR="008C612D">
        <w:t>as the Victorian Training Guarantee (VTG)</w:t>
      </w:r>
      <w:r w:rsidR="00E47788">
        <w:t>.</w:t>
      </w:r>
      <w:r w:rsidR="00AA2F35">
        <w:rPr>
          <w:rStyle w:val="FootnoteReference"/>
        </w:rPr>
        <w:footnoteReference w:id="6"/>
      </w:r>
      <w:r w:rsidR="008C612D">
        <w:t xml:space="preserve"> </w:t>
      </w:r>
    </w:p>
    <w:p w:rsidR="00DA4F5E" w:rsidRDefault="00DA4F5E">
      <w:pPr>
        <w:pStyle w:val="Text"/>
      </w:pPr>
      <w:r>
        <w:t xml:space="preserve">The </w:t>
      </w:r>
      <w:r w:rsidR="00A20AD0">
        <w:t xml:space="preserve">focus </w:t>
      </w:r>
      <w:r>
        <w:t xml:space="preserve">on Victorian reforms </w:t>
      </w:r>
      <w:r w:rsidR="00A20AD0">
        <w:t xml:space="preserve">in this study </w:t>
      </w:r>
      <w:r>
        <w:t>is motivated by the fact that, unlike other Australian states, Victoria imposed relatively liberal conditions on the take-up of entitlements</w:t>
      </w:r>
      <w:r w:rsidR="0053011C">
        <w:t xml:space="preserve"> in the initial years of the </w:t>
      </w:r>
      <w:r w:rsidR="00707FA3">
        <w:t>Victorian Training Guarantee,</w:t>
      </w:r>
      <w:r w:rsidR="0053011C">
        <w:t xml:space="preserve"> such as broad student eligibility criteria; uncapped training places for those eligible; and a wide choice of courses</w:t>
      </w:r>
      <w:r w:rsidR="00D428BA">
        <w:t xml:space="preserve">. The only restriction on course choice under </w:t>
      </w:r>
      <w:r w:rsidR="00707FA3">
        <w:t xml:space="preserve">the </w:t>
      </w:r>
      <w:r w:rsidR="00CF63F6">
        <w:t xml:space="preserve">Victorian </w:t>
      </w:r>
      <w:r w:rsidR="008B5078">
        <w:t xml:space="preserve">Training Guarantee </w:t>
      </w:r>
      <w:r w:rsidR="00D428BA">
        <w:t xml:space="preserve">was that enrolments for those </w:t>
      </w:r>
      <w:r w:rsidR="00707FA3">
        <w:t xml:space="preserve">aged </w:t>
      </w:r>
      <w:r w:rsidR="00D428BA">
        <w:t xml:space="preserve">20 </w:t>
      </w:r>
      <w:r w:rsidR="00BA7C2D">
        <w:t xml:space="preserve">years </w:t>
      </w:r>
      <w:r w:rsidR="00D428BA">
        <w:t xml:space="preserve">and over </w:t>
      </w:r>
      <w:r w:rsidR="008B5078">
        <w:t xml:space="preserve">had to </w:t>
      </w:r>
      <w:r w:rsidR="00D428BA">
        <w:t>be at a higher level than any previously attained qualification</w:t>
      </w:r>
      <w:r w:rsidR="00E14783">
        <w:t xml:space="preserve"> (from July 2011)</w:t>
      </w:r>
      <w:r w:rsidR="00D428BA">
        <w:t>.</w:t>
      </w:r>
      <w:r w:rsidR="00C46D5C">
        <w:rPr>
          <w:rStyle w:val="FootnoteReference"/>
        </w:rPr>
        <w:footnoteReference w:id="7"/>
      </w:r>
      <w:r w:rsidR="007C6C01">
        <w:t xml:space="preserve"> </w:t>
      </w:r>
      <w:r w:rsidR="00C46D5C">
        <w:t>By</w:t>
      </w:r>
      <w:r w:rsidR="00966200">
        <w:t xml:space="preserve"> focu</w:t>
      </w:r>
      <w:r w:rsidR="007C6C01">
        <w:t>sing o</w:t>
      </w:r>
      <w:r w:rsidR="00E14783">
        <w:t xml:space="preserve">n the </w:t>
      </w:r>
      <w:r w:rsidR="00707FA3">
        <w:t>Victorian Training Guarantee</w:t>
      </w:r>
      <w:r w:rsidR="00E14783">
        <w:t xml:space="preserve">, </w:t>
      </w:r>
      <w:r w:rsidR="00707FA3">
        <w:t xml:space="preserve">the </w:t>
      </w:r>
      <w:r w:rsidR="00C46D5C">
        <w:t xml:space="preserve">results in this study provide insights into the impacts </w:t>
      </w:r>
      <w:r w:rsidR="008B5078">
        <w:t>of</w:t>
      </w:r>
      <w:r w:rsidR="00C46D5C">
        <w:t xml:space="preserve"> moving from a supply-side to</w:t>
      </w:r>
      <w:r w:rsidR="00BF13EC">
        <w:t xml:space="preserve"> a ‘close to </w:t>
      </w:r>
      <w:r w:rsidR="00C46D5C">
        <w:t xml:space="preserve">pure’ demand-side model of </w:t>
      </w:r>
      <w:r w:rsidR="00BF13EC">
        <w:t xml:space="preserve">VET </w:t>
      </w:r>
      <w:r w:rsidR="00C46D5C">
        <w:t>funding.</w:t>
      </w:r>
      <w:r w:rsidR="00BF13EC">
        <w:t xml:space="preserve"> </w:t>
      </w:r>
    </w:p>
    <w:p w:rsidR="0090307E" w:rsidRDefault="00DA4F5E">
      <w:pPr>
        <w:pStyle w:val="Text"/>
      </w:pPr>
      <w:r>
        <w:t xml:space="preserve">The study focuses on </w:t>
      </w:r>
      <w:r w:rsidR="0090307E">
        <w:t>the following questions:</w:t>
      </w:r>
    </w:p>
    <w:p w:rsidR="0090307E" w:rsidRDefault="0090307E" w:rsidP="001B16C6">
      <w:pPr>
        <w:pStyle w:val="Dotpoint1"/>
      </w:pPr>
      <w:r>
        <w:t xml:space="preserve">What effect did the introduction of the </w:t>
      </w:r>
      <w:r w:rsidR="00707FA3">
        <w:t>Victorian Training Guarantee</w:t>
      </w:r>
      <w:r>
        <w:t xml:space="preserve"> have on VET enrolment numbers among those </w:t>
      </w:r>
      <w:r w:rsidR="003A368F">
        <w:t xml:space="preserve">aged </w:t>
      </w:r>
      <w:r>
        <w:t xml:space="preserve">25 </w:t>
      </w:r>
      <w:r w:rsidR="00F87DF3">
        <w:t>to 54</w:t>
      </w:r>
      <w:r w:rsidR="00BA7C2D">
        <w:t xml:space="preserve"> years</w:t>
      </w:r>
      <w:r>
        <w:t xml:space="preserve">? </w:t>
      </w:r>
    </w:p>
    <w:p w:rsidR="0090307E" w:rsidRDefault="0090307E" w:rsidP="001B16C6">
      <w:pPr>
        <w:pStyle w:val="Dotpoint1"/>
      </w:pPr>
      <w:r>
        <w:t xml:space="preserve">What effect did the </w:t>
      </w:r>
      <w:r w:rsidR="00707FA3">
        <w:t>Victorian Training Guarantee</w:t>
      </w:r>
      <w:r>
        <w:t xml:space="preserve"> have on course choice? Did it improve the alignment of enrolments with </w:t>
      </w:r>
      <w:r w:rsidR="008B5078">
        <w:t xml:space="preserve">the </w:t>
      </w:r>
      <w:r>
        <w:t>measures of skill demand available at the time of enrolment?</w:t>
      </w:r>
    </w:p>
    <w:p w:rsidR="00C74953" w:rsidRDefault="0090307E" w:rsidP="001B16C6">
      <w:pPr>
        <w:pStyle w:val="Dotpoint1"/>
      </w:pPr>
      <w:r>
        <w:t>How did enrolments and course choices vary by age and gender and across key disadvantaged groups in the community</w:t>
      </w:r>
      <w:r w:rsidR="00BA7C2D">
        <w:t>,</w:t>
      </w:r>
      <w:r>
        <w:t xml:space="preserve"> including the unemployed, people with little formal education, people from non-English speaking bac</w:t>
      </w:r>
      <w:r w:rsidR="00707FA3">
        <w:t>kgrounds, people from low socio</w:t>
      </w:r>
      <w:r>
        <w:t xml:space="preserve">economic areas, and people with </w:t>
      </w:r>
      <w:r w:rsidR="005331DE">
        <w:t>disabilities</w:t>
      </w:r>
      <w:r>
        <w:t>?</w:t>
      </w:r>
    </w:p>
    <w:p w:rsidR="00F87DF3" w:rsidRDefault="0090307E" w:rsidP="00C74953">
      <w:pPr>
        <w:pStyle w:val="Text"/>
      </w:pPr>
      <w:r>
        <w:lastRenderedPageBreak/>
        <w:t>By addressing these questions, this study provides much needed empirical evidence on</w:t>
      </w:r>
      <w:r w:rsidR="00BF13EC">
        <w:t xml:space="preserve"> </w:t>
      </w:r>
      <w:r>
        <w:t xml:space="preserve">the </w:t>
      </w:r>
      <w:r w:rsidR="00BF13EC">
        <w:t xml:space="preserve">enrolment responses of </w:t>
      </w:r>
      <w:r w:rsidR="004B6FD1">
        <w:t>mature</w:t>
      </w:r>
      <w:r w:rsidR="00C52A76">
        <w:t>-age</w:t>
      </w:r>
      <w:r w:rsidR="00707FA3">
        <w:t>d</w:t>
      </w:r>
      <w:r w:rsidR="00C52A76">
        <w:t xml:space="preserve"> people to expanded access to, and choice of, publicl</w:t>
      </w:r>
      <w:r w:rsidR="00707FA3">
        <w:t xml:space="preserve">y </w:t>
      </w:r>
      <w:r w:rsidR="00C52A76">
        <w:t>funded VET courses. An</w:t>
      </w:r>
      <w:r w:rsidR="00707FA3">
        <w:t xml:space="preserve"> an</w:t>
      </w:r>
      <w:r w:rsidR="00C52A76">
        <w:t>alysis on the responses of</w:t>
      </w:r>
      <w:r w:rsidR="00707FA3">
        <w:t xml:space="preserve"> disadvantaged people</w:t>
      </w:r>
      <w:r w:rsidR="00C52A76">
        <w:t xml:space="preserve"> is important because previous evidence on the use of </w:t>
      </w:r>
      <w:r w:rsidR="002C66E2">
        <w:t xml:space="preserve">entitlements </w:t>
      </w:r>
      <w:r w:rsidR="00C52A76">
        <w:t>in private schooling</w:t>
      </w:r>
      <w:r w:rsidR="00F87DF3">
        <w:t xml:space="preserve"> in the United States</w:t>
      </w:r>
      <w:r w:rsidR="00C52A76">
        <w:t xml:space="preserve"> found weak responses from disadvantaged groups (Levin 1991; Ladd 2002)</w:t>
      </w:r>
      <w:r w:rsidR="004B6FD1">
        <w:t xml:space="preserve">, partly because they have poor information </w:t>
      </w:r>
      <w:r w:rsidR="00BA7C2D">
        <w:t>for making</w:t>
      </w:r>
      <w:r w:rsidR="004B6FD1">
        <w:t xml:space="preserve"> good choices (Hastings &amp; Weinstein 2008).</w:t>
      </w:r>
      <w:r w:rsidR="00D23BA7">
        <w:t xml:space="preserve"> However,</w:t>
      </w:r>
      <w:r w:rsidR="00DC4F22">
        <w:t xml:space="preserve"> </w:t>
      </w:r>
      <w:r w:rsidR="00707FA3">
        <w:t>the findings from these US</w:t>
      </w:r>
      <w:r w:rsidR="00F87DF3">
        <w:t xml:space="preserve"> studies may not apply</w:t>
      </w:r>
      <w:r w:rsidR="00BA7C2D">
        <w:t xml:space="preserve"> to</w:t>
      </w:r>
      <w:r w:rsidR="00F87DF3">
        <w:t xml:space="preserve"> the very different educational context examined in this study.</w:t>
      </w:r>
    </w:p>
    <w:p w:rsidR="0090307E" w:rsidRDefault="0090307E" w:rsidP="00C74953">
      <w:pPr>
        <w:pStyle w:val="Text"/>
      </w:pPr>
      <w:r>
        <w:t xml:space="preserve">As far as we are aware, only one previous study has </w:t>
      </w:r>
      <w:r w:rsidR="00CA1DFE">
        <w:t xml:space="preserve">examined </w:t>
      </w:r>
      <w:r>
        <w:t xml:space="preserve">the effects of training </w:t>
      </w:r>
      <w:r w:rsidR="002C66E2">
        <w:t xml:space="preserve">entitlements </w:t>
      </w:r>
      <w:r>
        <w:t xml:space="preserve">on </w:t>
      </w:r>
      <w:r w:rsidR="00CA1DFE">
        <w:t>mature-</w:t>
      </w:r>
      <w:r>
        <w:t xml:space="preserve">age people. </w:t>
      </w:r>
      <w:proofErr w:type="spellStart"/>
      <w:r>
        <w:t>Schwerdt</w:t>
      </w:r>
      <w:proofErr w:type="spellEnd"/>
      <w:r>
        <w:t xml:space="preserve"> et al. (2012) consider the effects of a voucher for short courses in classroom-based VET in Swit</w:t>
      </w:r>
      <w:r w:rsidR="00707FA3">
        <w:t>zerland for individuals aged 20—</w:t>
      </w:r>
      <w:r>
        <w:t>60</w:t>
      </w:r>
      <w:r w:rsidR="0053011C">
        <w:t xml:space="preserve"> years</w:t>
      </w:r>
      <w:r>
        <w:t>. Overall,</w:t>
      </w:r>
      <w:r w:rsidR="00707FA3">
        <w:t xml:space="preserve"> the</w:t>
      </w:r>
      <w:r>
        <w:t xml:space="preserve"> estimates reported in that study indicate no significant labour market benefits delivered by the Swiss policy. The study by </w:t>
      </w:r>
      <w:proofErr w:type="spellStart"/>
      <w:r>
        <w:t>Schwerdt</w:t>
      </w:r>
      <w:proofErr w:type="spellEnd"/>
      <w:r>
        <w:t xml:space="preserve"> et al., however, is not generally applicable to VET course choices because the Swiss voucher was only redeemable for short (42 hours on average) adult education courses (including language, leisu</w:t>
      </w:r>
      <w:r w:rsidR="00707FA3">
        <w:t>re and job-related courses), which</w:t>
      </w:r>
      <w:r>
        <w:t xml:space="preserve"> are outside the formal post-compulsory education sector. In contrast, the reform considered here affected all public subsidies for VET study, with the explicit objective of improving efficiency of the domestic labour market.</w:t>
      </w:r>
    </w:p>
    <w:p w:rsidR="00D23BA7" w:rsidRDefault="00F87DF3" w:rsidP="00C74953">
      <w:pPr>
        <w:pStyle w:val="Text"/>
      </w:pPr>
      <w:r>
        <w:t xml:space="preserve">By concentrating on the outcomes of </w:t>
      </w:r>
      <w:r w:rsidR="009E61CF">
        <w:t>working</w:t>
      </w:r>
      <w:r>
        <w:t>-age people (25 to 54</w:t>
      </w:r>
      <w:r w:rsidR="0053011C">
        <w:t xml:space="preserve"> years</w:t>
      </w:r>
      <w:r>
        <w:t>), t</w:t>
      </w:r>
      <w:r w:rsidR="00CA1DFE">
        <w:t xml:space="preserve">his study extends a previous study by </w:t>
      </w:r>
      <w:proofErr w:type="spellStart"/>
      <w:r w:rsidR="00820D6C">
        <w:t>McVicar</w:t>
      </w:r>
      <w:proofErr w:type="spellEnd"/>
      <w:r w:rsidR="00820D6C">
        <w:t xml:space="preserve"> and </w:t>
      </w:r>
      <w:proofErr w:type="spellStart"/>
      <w:r w:rsidR="00820D6C">
        <w:t>Polidano</w:t>
      </w:r>
      <w:proofErr w:type="spellEnd"/>
      <w:r w:rsidR="00820D6C">
        <w:t xml:space="preserve"> (2015</w:t>
      </w:r>
      <w:r w:rsidR="00707FA3">
        <w:t>), which focus</w:t>
      </w:r>
      <w:r w:rsidR="00CA1DFE">
        <w:t xml:space="preserve">ed on the outcomes of the </w:t>
      </w:r>
      <w:r w:rsidR="00707FA3">
        <w:t xml:space="preserve">Victorian Training Guarantee </w:t>
      </w:r>
      <w:r w:rsidR="00CA1DFE">
        <w:t xml:space="preserve">for </w:t>
      </w:r>
      <w:r w:rsidR="00801415">
        <w:t>15 to 19-year-olds</w:t>
      </w:r>
      <w:r w:rsidR="00CA1DFE">
        <w:t xml:space="preserve">. </w:t>
      </w:r>
      <w:proofErr w:type="spellStart"/>
      <w:r w:rsidR="000C6AF5">
        <w:t>McVicar</w:t>
      </w:r>
      <w:proofErr w:type="spellEnd"/>
      <w:r w:rsidR="000C6AF5">
        <w:t xml:space="preserve"> and </w:t>
      </w:r>
      <w:proofErr w:type="spellStart"/>
      <w:r w:rsidR="000C6AF5">
        <w:t>Polidano</w:t>
      </w:r>
      <w:proofErr w:type="spellEnd"/>
      <w:r w:rsidR="000C6AF5">
        <w:t xml:space="preserve"> (2015) </w:t>
      </w:r>
      <w:r w:rsidR="00CA1DFE">
        <w:t>found that</w:t>
      </w:r>
      <w:r w:rsidR="000C6AF5">
        <w:t>,</w:t>
      </w:r>
      <w:r w:rsidR="00CA1DFE">
        <w:t xml:space="preserve"> </w:t>
      </w:r>
      <w:r w:rsidR="00820D6C">
        <w:t xml:space="preserve">as well as increasing enrolments between 2008 and 2011, the </w:t>
      </w:r>
      <w:r w:rsidR="00CF63F6">
        <w:t xml:space="preserve">Victorian </w:t>
      </w:r>
      <w:r w:rsidR="00801415">
        <w:t xml:space="preserve">Training Guarantee </w:t>
      </w:r>
      <w:r w:rsidR="00820D6C">
        <w:t xml:space="preserve">significantly increased the proportion of enrolments in courses associated with skill shortages and high expected earnings. </w:t>
      </w:r>
      <w:r w:rsidR="002B1C15">
        <w:t xml:space="preserve">This study considers whether </w:t>
      </w:r>
      <w:r w:rsidR="00820D6C">
        <w:t>these results</w:t>
      </w:r>
      <w:r w:rsidR="000C6AF5">
        <w:t xml:space="preserve"> </w:t>
      </w:r>
      <w:r w:rsidR="00820D6C">
        <w:t xml:space="preserve">carry over to </w:t>
      </w:r>
      <w:r w:rsidR="004B6FD1">
        <w:t>mature-</w:t>
      </w:r>
      <w:r w:rsidR="00820D6C">
        <w:t>aged</w:t>
      </w:r>
      <w:r w:rsidR="004B6FD1">
        <w:t xml:space="preserve"> people</w:t>
      </w:r>
      <w:r w:rsidR="00D23BA7">
        <w:t>.</w:t>
      </w:r>
      <w:r w:rsidR="00B01602">
        <w:t xml:space="preserve"> </w:t>
      </w:r>
    </w:p>
    <w:p w:rsidR="002B1C15" w:rsidRDefault="00E54165">
      <w:pPr>
        <w:pStyle w:val="Text"/>
      </w:pPr>
      <w:r>
        <w:t xml:space="preserve">The pre-reform period of analysis runs from January 2006 to December 2008, and the post-reform period from January 2011 to June 2012, recognising that the Victorian reforms were rolled out gradually during the intervening period. </w:t>
      </w:r>
      <w:r w:rsidR="00801415">
        <w:t>The e</w:t>
      </w:r>
      <w:r w:rsidR="0072064B">
        <w:t xml:space="preserve">stimation of the </w:t>
      </w:r>
      <w:r>
        <w:t xml:space="preserve">effects </w:t>
      </w:r>
      <w:r w:rsidR="0072064B">
        <w:t xml:space="preserve">of the </w:t>
      </w:r>
      <w:r w:rsidR="00CF63F6">
        <w:t xml:space="preserve">Victorian </w:t>
      </w:r>
      <w:r w:rsidR="00801415">
        <w:t>Training Guarantee</w:t>
      </w:r>
      <w:r w:rsidR="0072064B">
        <w:t xml:space="preserve"> on enrolment choices is conducted using </w:t>
      </w:r>
      <w:r w:rsidR="00820D6C">
        <w:t>a difference-in-differences (</w:t>
      </w:r>
      <w:proofErr w:type="spellStart"/>
      <w:r w:rsidR="00820D6C">
        <w:t>DiD</w:t>
      </w:r>
      <w:proofErr w:type="spellEnd"/>
      <w:r w:rsidR="00820D6C">
        <w:t xml:space="preserve">) approach, </w:t>
      </w:r>
      <w:r w:rsidR="0072064B">
        <w:t>which in essence involves comparing the</w:t>
      </w:r>
      <w:r w:rsidR="00820D6C">
        <w:t xml:space="preserve"> changes in VET enrolment</w:t>
      </w:r>
      <w:r w:rsidR="0072064B">
        <w:t xml:space="preserve"> outcomes</w:t>
      </w:r>
      <w:r w:rsidR="00820D6C">
        <w:t xml:space="preserve"> </w:t>
      </w:r>
      <w:r w:rsidR="0072064B">
        <w:t xml:space="preserve">in Victoria </w:t>
      </w:r>
      <w:r w:rsidR="002B1C15">
        <w:t>with</w:t>
      </w:r>
      <w:r w:rsidR="0072064B">
        <w:t xml:space="preserve"> those </w:t>
      </w:r>
      <w:r w:rsidR="002B1C15">
        <w:t xml:space="preserve">observed </w:t>
      </w:r>
      <w:r w:rsidR="0072064B">
        <w:t xml:space="preserve">in other states </w:t>
      </w:r>
      <w:r w:rsidR="002B1C15">
        <w:t xml:space="preserve">during </w:t>
      </w:r>
      <w:r w:rsidR="0072064B">
        <w:t xml:space="preserve">the same </w:t>
      </w:r>
      <w:r w:rsidR="00801415">
        <w:t>timeframe</w:t>
      </w:r>
      <w:r w:rsidR="007F2852">
        <w:t xml:space="preserve"> before and after the reform</w:t>
      </w:r>
      <w:r w:rsidR="0072064B">
        <w:t xml:space="preserve">. </w:t>
      </w:r>
      <w:r w:rsidR="002B1C15">
        <w:t>This approach takes advantage of the fact that Victoria implemented changes in education policy before</w:t>
      </w:r>
      <w:r w:rsidR="008E5A51">
        <w:t xml:space="preserve"> the</w:t>
      </w:r>
      <w:r w:rsidR="002B1C15">
        <w:t xml:space="preserve"> other Australian states, so that comparisons with </w:t>
      </w:r>
      <w:r w:rsidR="008E5A51">
        <w:t xml:space="preserve">the </w:t>
      </w:r>
      <w:r w:rsidR="002B1C15">
        <w:t xml:space="preserve">other Australian states help to control </w:t>
      </w:r>
      <w:r w:rsidR="0072064B">
        <w:t xml:space="preserve">for </w:t>
      </w:r>
      <w:r w:rsidR="002B1C15">
        <w:t>contemporaneous variation, including changes in the economic cycle and other aspects of national policy</w:t>
      </w:r>
      <w:r>
        <w:t>, which is not of interest here</w:t>
      </w:r>
      <w:r w:rsidR="002B1C15">
        <w:t xml:space="preserve">. </w:t>
      </w:r>
    </w:p>
    <w:p w:rsidR="000D7B11" w:rsidRDefault="00801415">
      <w:pPr>
        <w:pStyle w:val="Text"/>
      </w:pPr>
      <w:r>
        <w:t>The d</w:t>
      </w:r>
      <w:r w:rsidR="00820D6C">
        <w:t>ata for analysis are drawn primarily from the National VET Provider Collection, a large administrative dataset</w:t>
      </w:r>
      <w:r w:rsidR="00E54165">
        <w:t xml:space="preserve">. The </w:t>
      </w:r>
      <w:r>
        <w:t xml:space="preserve">National VET Provider Collection </w:t>
      </w:r>
      <w:r w:rsidR="00E54165">
        <w:t>was</w:t>
      </w:r>
      <w:r w:rsidR="00820D6C">
        <w:t xml:space="preserve"> augmented by linking information from alternative data sources, including expected graduate earnings estimates</w:t>
      </w:r>
      <w:r w:rsidR="00A34864">
        <w:t xml:space="preserve"> (adjusted for the characteristics of students who enrol in them)</w:t>
      </w:r>
      <w:r w:rsidR="00820D6C">
        <w:t xml:space="preserve"> from the NCVER </w:t>
      </w:r>
      <w:r w:rsidR="00B81DBB">
        <w:t xml:space="preserve">National </w:t>
      </w:r>
      <w:r w:rsidR="00820D6C">
        <w:t>Student Outcomes Survey, National Skill Shortage information</w:t>
      </w:r>
      <w:r w:rsidR="008E5A51">
        <w:t>,</w:t>
      </w:r>
      <w:r w:rsidR="00BA7C2D">
        <w:t xml:space="preserve"> and regional socio</w:t>
      </w:r>
      <w:r w:rsidR="00820D6C">
        <w:t xml:space="preserve">economic information from the </w:t>
      </w:r>
      <w:r>
        <w:t>ABS</w:t>
      </w:r>
      <w:r w:rsidR="00820D6C">
        <w:t>.</w:t>
      </w:r>
    </w:p>
    <w:p w:rsidR="00C74953" w:rsidRDefault="00124B8F" w:rsidP="00A02157">
      <w:pPr>
        <w:pStyle w:val="Heading1"/>
      </w:pPr>
      <w:bookmarkStart w:id="50" w:name="_Toc438209976"/>
      <w:bookmarkStart w:id="51" w:name="_Toc472517001"/>
      <w:r>
        <w:rPr>
          <w:noProof/>
          <w:lang w:eastAsia="en-AU"/>
        </w:rPr>
        <w:lastRenderedPageBreak/>
        <w:drawing>
          <wp:anchor distT="0" distB="0" distL="114300" distR="114300" simplePos="0" relativeHeight="251666432" behindDoc="1" locked="0" layoutInCell="1" allowOverlap="1" wp14:anchorId="3CCBAA9A" wp14:editId="6C5CB88C">
            <wp:simplePos x="0" y="0"/>
            <wp:positionH relativeFrom="column">
              <wp:posOffset>-12065</wp:posOffset>
            </wp:positionH>
            <wp:positionV relativeFrom="paragraph">
              <wp:posOffset>-51435</wp:posOffset>
            </wp:positionV>
            <wp:extent cx="419100" cy="419100"/>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72EE0">
        <w:t>P</w:t>
      </w:r>
      <w:r w:rsidR="00C74953">
        <w:t>olicy background</w:t>
      </w:r>
      <w:bookmarkEnd w:id="50"/>
      <w:bookmarkEnd w:id="51"/>
    </w:p>
    <w:p w:rsidR="00C74953" w:rsidRDefault="00C74953" w:rsidP="00C74953">
      <w:pPr>
        <w:pStyle w:val="Text"/>
      </w:pPr>
      <w:r>
        <w:rPr>
          <w:lang w:val="en-GB"/>
        </w:rPr>
        <w:t xml:space="preserve">Traditionally, </w:t>
      </w:r>
      <w:r w:rsidRPr="00877060">
        <w:t>the VET</w:t>
      </w:r>
      <w:r>
        <w:t xml:space="preserve"> funding model</w:t>
      </w:r>
      <w:r w:rsidRPr="00877060">
        <w:t xml:space="preserve"> in Australia could </w:t>
      </w:r>
      <w:r>
        <w:t xml:space="preserve">be categorised as supply-driven, with caps on the number of </w:t>
      </w:r>
      <w:r w:rsidRPr="00877060">
        <w:t>publ</w:t>
      </w:r>
      <w:r w:rsidR="00801415">
        <w:t xml:space="preserve">icly </w:t>
      </w:r>
      <w:r>
        <w:t xml:space="preserve">subsidised </w:t>
      </w:r>
      <w:r w:rsidRPr="00877060">
        <w:t>places</w:t>
      </w:r>
      <w:r>
        <w:t xml:space="preserve"> determined centrally and funds allocated directly to select</w:t>
      </w:r>
      <w:r w:rsidRPr="00877060">
        <w:t xml:space="preserve"> (mostly public) VET providers, largely on the basis of historical enrolments and </w:t>
      </w:r>
      <w:r>
        <w:t xml:space="preserve">government </w:t>
      </w:r>
      <w:r w:rsidRPr="00877060">
        <w:t>forecasts</w:t>
      </w:r>
      <w:r>
        <w:t>.</w:t>
      </w:r>
      <w:r>
        <w:rPr>
          <w:rStyle w:val="FootnoteReference"/>
        </w:rPr>
        <w:footnoteReference w:id="8"/>
      </w:r>
      <w:r w:rsidRPr="00877060">
        <w:t xml:space="preserve"> Under this system, unless they have an exemption, students in subsidised places pay a fee based on an hourly rate, but with a maximum overall fee chargeable in a given year.</w:t>
      </w:r>
      <w:r w:rsidRPr="00700B94">
        <w:rPr>
          <w:rStyle w:val="FootnoteReference"/>
        </w:rPr>
        <w:footnoteReference w:id="9"/>
      </w:r>
      <w:r w:rsidRPr="00877060">
        <w:t xml:space="preserve"> </w:t>
      </w:r>
      <w:r>
        <w:t xml:space="preserve">Access to a </w:t>
      </w:r>
      <w:r w:rsidR="00801415">
        <w:t xml:space="preserve">publicly funded </w:t>
      </w:r>
      <w:r>
        <w:t xml:space="preserve">place was based largely on a first-come-first-served basis, but with priority access given to specific groups. For example, </w:t>
      </w:r>
      <w:r w:rsidR="00293D53">
        <w:t xml:space="preserve">until 2009 </w:t>
      </w:r>
      <w:r w:rsidR="00801415">
        <w:t xml:space="preserve">in Victoria, </w:t>
      </w:r>
      <w:r>
        <w:t xml:space="preserve">the Guaranteed Place in TAFE program guaranteed a </w:t>
      </w:r>
      <w:r w:rsidR="00801415">
        <w:t>publicly funded place to people aged 16—</w:t>
      </w:r>
      <w:r>
        <w:t>19</w:t>
      </w:r>
      <w:r w:rsidR="00293D53">
        <w:t xml:space="preserve"> years</w:t>
      </w:r>
      <w:r>
        <w:t xml:space="preserve"> with secondary school or equivalent qualifications. Prospective students who missed out on a </w:t>
      </w:r>
      <w:r w:rsidR="00801415">
        <w:t xml:space="preserve">publicly funded </w:t>
      </w:r>
      <w:r w:rsidR="00293D53">
        <w:t>place could enrol in a full-fee-</w:t>
      </w:r>
      <w:r>
        <w:t xml:space="preserve">paying (unsubsidised) VET course with a public or private provider. </w:t>
      </w:r>
    </w:p>
    <w:p w:rsidR="00C74953" w:rsidRDefault="00C74953" w:rsidP="00C74953">
      <w:pPr>
        <w:pStyle w:val="Text"/>
        <w:rPr>
          <w:lang w:val="en-GB"/>
        </w:rPr>
      </w:pPr>
      <w:r>
        <w:rPr>
          <w:lang w:val="en-GB"/>
        </w:rPr>
        <w:t xml:space="preserve">In March 2008, </w:t>
      </w:r>
      <w:r>
        <w:t xml:space="preserve">the </w:t>
      </w:r>
      <w:r w:rsidRPr="00877060">
        <w:t>Co</w:t>
      </w:r>
      <w:r w:rsidR="00BA7C2D">
        <w:t>uncil</w:t>
      </w:r>
      <w:r w:rsidRPr="00877060">
        <w:t xml:space="preserve"> of Australian Governments (COAG) </w:t>
      </w:r>
      <w:r>
        <w:t>reached an agreement</w:t>
      </w:r>
      <w:r w:rsidR="00293D53">
        <w:t>,</w:t>
      </w:r>
      <w:r>
        <w:rPr>
          <w:lang w:val="en-GB"/>
        </w:rPr>
        <w:t xml:space="preserve"> known as the </w:t>
      </w:r>
      <w:r w:rsidRPr="00355FD6">
        <w:rPr>
          <w:lang w:val="en-GB"/>
        </w:rPr>
        <w:t>National Agreement for Skills an</w:t>
      </w:r>
      <w:r w:rsidR="00801415">
        <w:rPr>
          <w:lang w:val="en-GB"/>
        </w:rPr>
        <w:t>d Workforce Development (NASWD)</w:t>
      </w:r>
      <w:r w:rsidR="00293D53">
        <w:rPr>
          <w:lang w:val="en-GB"/>
        </w:rPr>
        <w:t>,</w:t>
      </w:r>
      <w:r>
        <w:rPr>
          <w:lang w:val="en-GB"/>
        </w:rPr>
        <w:t xml:space="preserve"> to amend the deliv</w:t>
      </w:r>
      <w:r w:rsidR="00BA7C2D">
        <w:rPr>
          <w:lang w:val="en-GB"/>
        </w:rPr>
        <w:t>ery of public subsidies for VET:</w:t>
      </w:r>
      <w:r>
        <w:rPr>
          <w:lang w:val="en-GB"/>
        </w:rPr>
        <w:t xml:space="preserve"> away from a supply-driven model to one where public funding follows individual enrolment choices. This agreement was motivated by concerns </w:t>
      </w:r>
      <w:r>
        <w:t>of</w:t>
      </w:r>
      <w:r w:rsidRPr="00877060">
        <w:t xml:space="preserve"> waning productivity growth, increased global competition and th</w:t>
      </w:r>
      <w:r>
        <w:t>e impacts of demographic change</w:t>
      </w:r>
      <w:r w:rsidRPr="00877060">
        <w:t xml:space="preserve"> on labour force participation</w:t>
      </w:r>
      <w:r>
        <w:t>. The reform was designed to improve VET participation and the sector’s response to skill needs (Productivity Commission </w:t>
      </w:r>
      <w:r w:rsidRPr="00877060">
        <w:t>2012).</w:t>
      </w:r>
      <w:r w:rsidR="004551A0">
        <w:t xml:space="preserve"> </w:t>
      </w:r>
      <w:r>
        <w:rPr>
          <w:lang w:val="en-GB"/>
        </w:rPr>
        <w:t xml:space="preserve">As part of the </w:t>
      </w:r>
      <w:r w:rsidR="00801415" w:rsidRPr="00355FD6">
        <w:rPr>
          <w:lang w:val="en-GB"/>
        </w:rPr>
        <w:t>national agreement</w:t>
      </w:r>
      <w:r w:rsidR="00BA7C2D">
        <w:rPr>
          <w:lang w:val="en-GB"/>
        </w:rPr>
        <w:t>, a series of targets was</w:t>
      </w:r>
      <w:r>
        <w:rPr>
          <w:lang w:val="en-GB"/>
        </w:rPr>
        <w:t xml:space="preserve"> established to improve the skill level of the Australian workforce, including the target to double the proportion of working-age Australians with certificate level III qualifications or above. </w:t>
      </w:r>
    </w:p>
    <w:p w:rsidR="00C74953" w:rsidRDefault="00C74953" w:rsidP="00C74953">
      <w:pPr>
        <w:pStyle w:val="Text"/>
      </w:pPr>
      <w:r>
        <w:t xml:space="preserve">For individuals aged 25 </w:t>
      </w:r>
      <w:r w:rsidR="00801415">
        <w:t xml:space="preserve">years </w:t>
      </w:r>
      <w:r>
        <w:t>and over</w:t>
      </w:r>
      <w:r w:rsidR="00BA7C2D">
        <w:t>,</w:t>
      </w:r>
      <w:r>
        <w:t xml:space="preserve"> the </w:t>
      </w:r>
      <w:r w:rsidR="00801415" w:rsidRPr="00355FD6">
        <w:rPr>
          <w:lang w:val="en-GB"/>
        </w:rPr>
        <w:t>National Agreement</w:t>
      </w:r>
      <w:r>
        <w:t xml:space="preserve"> reforms were supported by commitments from governments, state and federal, to deliver extra </w:t>
      </w:r>
      <w:r w:rsidR="00801415">
        <w:t xml:space="preserve">publicly funded </w:t>
      </w:r>
      <w:r>
        <w:t xml:space="preserve">places in VET under the </w:t>
      </w:r>
      <w:r w:rsidRPr="00877060">
        <w:t>National Partnership Agreement on Produc</w:t>
      </w:r>
      <w:r>
        <w:t xml:space="preserve">tivity Places Program (NPAPPP) and </w:t>
      </w:r>
      <w:r w:rsidRPr="00877060">
        <w:t>the Compact with Retrenched Workers.</w:t>
      </w:r>
      <w:r>
        <w:t xml:space="preserve"> </w:t>
      </w:r>
      <w:r w:rsidR="00801415">
        <w:t xml:space="preserve">The </w:t>
      </w:r>
      <w:r w:rsidR="00801415" w:rsidRPr="00877060">
        <w:t xml:space="preserve">National Partnership Agreement </w:t>
      </w:r>
      <w:r w:rsidRPr="00877060">
        <w:t>commenced on 1 July 2009 (concluding June 2012) and involved a commitment from the state governments to deliver 400 000 additional training places for qualifications of national priority, defined by current skill shortages and emerging skill needs. Around 133 000 places were allocated to job seekers and 270 000 to existing workers, with the Australian Governme</w:t>
      </w:r>
      <w:r w:rsidR="00293D53">
        <w:t>nt meeting the full cost of job-</w:t>
      </w:r>
      <w:r w:rsidRPr="00877060">
        <w:t>seeker places and state governments and employers sharing the cost of worker places (60% employer, 40% state government).</w:t>
      </w:r>
      <w:r>
        <w:t xml:space="preserve"> </w:t>
      </w:r>
      <w:r w:rsidRPr="00877060">
        <w:t xml:space="preserve">The Compact with Retrenched workers was introduced between 1 July 2009 and 31 December 2009 to give those aged 25 years and over who had lost their jobs during the </w:t>
      </w:r>
      <w:r w:rsidR="00126A0C">
        <w:t>Global Financial Crisis</w:t>
      </w:r>
      <w:r w:rsidR="00126A0C" w:rsidRPr="00877060">
        <w:t xml:space="preserve"> </w:t>
      </w:r>
      <w:r w:rsidRPr="00877060">
        <w:t xml:space="preserve">access to government-subsidised training </w:t>
      </w:r>
      <w:r>
        <w:t>towards a higher-</w:t>
      </w:r>
      <w:r w:rsidRPr="00877060">
        <w:t xml:space="preserve">level qualification. </w:t>
      </w:r>
      <w:r>
        <w:t xml:space="preserve">It is important to stress that the extra places in training were capped and were over and above those that state governments made available through traditional channels described above. </w:t>
      </w:r>
    </w:p>
    <w:p w:rsidR="00C74953" w:rsidRPr="001B4143" w:rsidRDefault="00C74953" w:rsidP="00C74953">
      <w:pPr>
        <w:pStyle w:val="Text"/>
      </w:pPr>
      <w:r>
        <w:rPr>
          <w:lang w:val="en-GB"/>
        </w:rPr>
        <w:lastRenderedPageBreak/>
        <w:t xml:space="preserve">Each state and territory exercised some discretion </w:t>
      </w:r>
      <w:r w:rsidR="00293D53">
        <w:rPr>
          <w:lang w:val="en-GB"/>
        </w:rPr>
        <w:t>over</w:t>
      </w:r>
      <w:r>
        <w:rPr>
          <w:lang w:val="en-GB"/>
        </w:rPr>
        <w:t xml:space="preserve"> the reforms that it chose to implement in pursuit of the </w:t>
      </w:r>
      <w:r w:rsidR="00126A0C" w:rsidRPr="00355FD6">
        <w:rPr>
          <w:lang w:val="en-GB"/>
        </w:rPr>
        <w:t>National Agreement for Skills an</w:t>
      </w:r>
      <w:r w:rsidR="00126A0C">
        <w:rPr>
          <w:lang w:val="en-GB"/>
        </w:rPr>
        <w:t>d Workforce Development</w:t>
      </w:r>
      <w:r>
        <w:rPr>
          <w:lang w:val="en-GB"/>
        </w:rPr>
        <w:t>. One aspect of this discretion concerns the timing of associated reforms. Victoria was the first state to</w:t>
      </w:r>
      <w:r w:rsidR="00885BA1">
        <w:rPr>
          <w:lang w:val="en-GB"/>
        </w:rPr>
        <w:t xml:space="preserve"> implement a reform package to address</w:t>
      </w:r>
      <w:r>
        <w:rPr>
          <w:lang w:val="en-GB"/>
        </w:rPr>
        <w:t xml:space="preserve"> the requirements of the </w:t>
      </w:r>
      <w:r w:rsidR="00126A0C" w:rsidRPr="00355FD6">
        <w:rPr>
          <w:lang w:val="en-GB"/>
        </w:rPr>
        <w:t>National Agreement for Skills an</w:t>
      </w:r>
      <w:r w:rsidR="00126A0C">
        <w:rPr>
          <w:lang w:val="en-GB"/>
        </w:rPr>
        <w:t>d Workforce Development</w:t>
      </w:r>
      <w:r w:rsidR="00293D53">
        <w:rPr>
          <w:lang w:val="en-GB"/>
        </w:rPr>
        <w:t xml:space="preserve"> with its introduction of</w:t>
      </w:r>
      <w:r>
        <w:rPr>
          <w:lang w:val="en-GB"/>
        </w:rPr>
        <w:t xml:space="preserve"> the Victorian Training Guarantee from July 2009.</w:t>
      </w:r>
      <w:r>
        <w:rPr>
          <w:rStyle w:val="FootnoteReference"/>
          <w:lang w:val="en-GB"/>
        </w:rPr>
        <w:footnoteReference w:id="10"/>
      </w:r>
      <w:r w:rsidR="00293D53">
        <w:rPr>
          <w:lang w:val="en-GB"/>
        </w:rPr>
        <w:t xml:space="preserve"> </w:t>
      </w:r>
      <w:r>
        <w:rPr>
          <w:lang w:val="en-GB"/>
        </w:rPr>
        <w:t xml:space="preserve">South Australia followed in 2012, Queensland in 2013, Western Australia and Tasmania in 2014, and New South Wales in 2015. Importantly, during the period of analysis </w:t>
      </w:r>
      <w:r>
        <w:t>exami</w:t>
      </w:r>
      <w:r w:rsidR="00126A0C">
        <w:t xml:space="preserve">ned in this study, January 2006 to </w:t>
      </w:r>
      <w:r>
        <w:t>June 2012, traditional supply-driven VET funding models remained in place in all states except Victoria.</w:t>
      </w:r>
      <w:r>
        <w:rPr>
          <w:lang w:val="en-GB"/>
        </w:rPr>
        <w:t xml:space="preserve"> Details of the Victorian reforms and how they affected people aged 25 </w:t>
      </w:r>
      <w:r w:rsidR="00885BA1">
        <w:rPr>
          <w:lang w:val="en-GB"/>
        </w:rPr>
        <w:t xml:space="preserve">years </w:t>
      </w:r>
      <w:r>
        <w:rPr>
          <w:lang w:val="en-GB"/>
        </w:rPr>
        <w:t>and over are described in the section below.</w:t>
      </w:r>
    </w:p>
    <w:p w:rsidR="00C74953" w:rsidRDefault="00C74953" w:rsidP="009E61CF">
      <w:pPr>
        <w:pStyle w:val="Heading2"/>
      </w:pPr>
      <w:bookmarkStart w:id="52" w:name="_Toc472517002"/>
      <w:bookmarkStart w:id="53" w:name="_Toc438209977"/>
      <w:r>
        <w:t>The Vi</w:t>
      </w:r>
      <w:r w:rsidR="00687E00">
        <w:t>ctorian Training Guarantee</w:t>
      </w:r>
      <w:r>
        <w:t xml:space="preserve"> for people aged 25</w:t>
      </w:r>
      <w:r w:rsidR="00126A0C">
        <w:t>–</w:t>
      </w:r>
      <w:r w:rsidR="009E61CF">
        <w:t>54</w:t>
      </w:r>
      <w:r w:rsidR="00126A0C">
        <w:t xml:space="preserve"> years</w:t>
      </w:r>
      <w:bookmarkEnd w:id="52"/>
      <w:r>
        <w:t xml:space="preserve"> </w:t>
      </w:r>
      <w:bookmarkEnd w:id="53"/>
    </w:p>
    <w:p w:rsidR="005C0CAC" w:rsidRDefault="00293D53" w:rsidP="005C0CAC">
      <w:pPr>
        <w:pStyle w:val="Text"/>
      </w:pPr>
      <w:r>
        <w:t>In August 2008 t</w:t>
      </w:r>
      <w:r w:rsidR="00126A0C">
        <w:t>he Victorian G</w:t>
      </w:r>
      <w:r w:rsidR="00C74953">
        <w:t xml:space="preserve">overnment announced the introduction of the </w:t>
      </w:r>
      <w:r w:rsidR="00C74953" w:rsidRPr="00687E00">
        <w:t>Victorian Training Guarantee</w:t>
      </w:r>
      <w:r w:rsidR="00C74953">
        <w:t xml:space="preserve"> to meet its commitments under the </w:t>
      </w:r>
      <w:r w:rsidR="00126A0C" w:rsidRPr="00355FD6">
        <w:rPr>
          <w:lang w:val="en-GB"/>
        </w:rPr>
        <w:t>National Agreement for Skills an</w:t>
      </w:r>
      <w:r w:rsidR="00126A0C">
        <w:rPr>
          <w:lang w:val="en-GB"/>
        </w:rPr>
        <w:t>d Workforce Development</w:t>
      </w:r>
      <w:r w:rsidR="00C74953">
        <w:t xml:space="preserve">. </w:t>
      </w:r>
      <w:r w:rsidR="00EB420E">
        <w:t>T</w:t>
      </w:r>
      <w:r w:rsidR="00B20253">
        <w:t xml:space="preserve">he </w:t>
      </w:r>
      <w:r w:rsidR="00CF63F6">
        <w:t xml:space="preserve">Victorian </w:t>
      </w:r>
      <w:r w:rsidR="00885BA1">
        <w:t xml:space="preserve">Training Guarantee </w:t>
      </w:r>
      <w:r w:rsidR="00B20253">
        <w:t>introduced a</w:t>
      </w:r>
      <w:r w:rsidR="00791459">
        <w:t>n</w:t>
      </w:r>
      <w:r w:rsidR="00B20253">
        <w:t xml:space="preserve"> entitlement to </w:t>
      </w:r>
      <w:r w:rsidR="00355FD6">
        <w:t xml:space="preserve">a </w:t>
      </w:r>
      <w:r w:rsidR="00EB420E">
        <w:t>VET</w:t>
      </w:r>
      <w:r w:rsidR="00355FD6">
        <w:t xml:space="preserve"> course</w:t>
      </w:r>
      <w:r w:rsidR="00EB420E">
        <w:t xml:space="preserve"> </w:t>
      </w:r>
      <w:r w:rsidR="00B20253">
        <w:t xml:space="preserve">of </w:t>
      </w:r>
      <w:r>
        <w:t>an individual’s</w:t>
      </w:r>
      <w:r w:rsidR="00B20253">
        <w:t xml:space="preserve"> choosing</w:t>
      </w:r>
      <w:r w:rsidR="00EB420E">
        <w:t>, including with private providers</w:t>
      </w:r>
      <w:r w:rsidR="00B20253">
        <w:t xml:space="preserve">, replacing the old system </w:t>
      </w:r>
      <w:r>
        <w:t>where</w:t>
      </w:r>
      <w:r w:rsidR="00B20253">
        <w:t xml:space="preserve"> the </w:t>
      </w:r>
      <w:r w:rsidR="00EB420E">
        <w:t>number of</w:t>
      </w:r>
      <w:r w:rsidR="00B20253">
        <w:t xml:space="preserve"> </w:t>
      </w:r>
      <w:r w:rsidR="00801415">
        <w:t xml:space="preserve">publicly funded </w:t>
      </w:r>
      <w:r w:rsidR="00B20253">
        <w:t>place</w:t>
      </w:r>
      <w:r>
        <w:t>s</w:t>
      </w:r>
      <w:r w:rsidR="00B20253">
        <w:t xml:space="preserve"> was </w:t>
      </w:r>
      <w:r w:rsidR="00EB420E">
        <w:t>fixed and tied to specific</w:t>
      </w:r>
      <w:r w:rsidR="00B20253">
        <w:t xml:space="preserve"> course</w:t>
      </w:r>
      <w:r w:rsidR="00EB420E">
        <w:t>s with specific public providers</w:t>
      </w:r>
      <w:r w:rsidR="00126A0C">
        <w:t>. For our group of interest, 25 to 54-</w:t>
      </w:r>
      <w:r w:rsidR="00EB420E">
        <w:t>year-olds, th</w:t>
      </w:r>
      <w:r w:rsidR="00126A0C">
        <w:t xml:space="preserve">e </w:t>
      </w:r>
      <w:r w:rsidR="00791459">
        <w:t xml:space="preserve">entitlement </w:t>
      </w:r>
      <w:r w:rsidR="00126A0C">
        <w:t>was subject to an ‘up</w:t>
      </w:r>
      <w:r w:rsidR="00EB420E">
        <w:t>skilling requirement’, which meant that it had to be at a higher than existing level. Certain exem</w:t>
      </w:r>
      <w:r w:rsidR="00126A0C">
        <w:t>ptions to this rule were made. T</w:t>
      </w:r>
      <w:r w:rsidR="00EB420E">
        <w:t>hese included foundation courses (</w:t>
      </w:r>
      <w:r w:rsidR="00126A0C">
        <w:t>for example, English literacy),</w:t>
      </w:r>
      <w:r w:rsidR="00EB420E">
        <w:t xml:space="preserve"> courses that are part of an apprenticeship</w:t>
      </w:r>
      <w:r>
        <w:t>,</w:t>
      </w:r>
      <w:r w:rsidR="00EB420E">
        <w:t xml:space="preserve"> and courses undertaken by students with special circumstances, such as asylum seekers and people referred for training under the National Partnership for Single and Teenage Parents (</w:t>
      </w:r>
      <w:r w:rsidR="00126A0C" w:rsidRPr="00CA70AD">
        <w:t>Department o</w:t>
      </w:r>
      <w:r w:rsidR="00126A0C">
        <w:t>f Education and Early Childhood</w:t>
      </w:r>
      <w:r w:rsidR="00EB420E">
        <w:t xml:space="preserve"> 2012). </w:t>
      </w:r>
    </w:p>
    <w:p w:rsidR="005C0CAC" w:rsidRDefault="005C0CAC" w:rsidP="005C0CAC">
      <w:pPr>
        <w:pStyle w:val="Text"/>
      </w:pPr>
      <w:r>
        <w:t>We examine</w:t>
      </w:r>
      <w:r w:rsidR="00885BA1">
        <w:t xml:space="preserve"> the</w:t>
      </w:r>
      <w:r>
        <w:t xml:space="preserve"> impacts of the </w:t>
      </w:r>
      <w:r w:rsidR="00126A0C">
        <w:t>Victorian Training Guarantee</w:t>
      </w:r>
      <w:r>
        <w:t xml:space="preserve"> for enrolments between January 2011 and June 2012, the period over which the full enrolment responses of the </w:t>
      </w:r>
      <w:r w:rsidR="00791459">
        <w:t xml:space="preserve">entitlement </w:t>
      </w:r>
      <w:r>
        <w:t>could be</w:t>
      </w:r>
      <w:r w:rsidR="00126A0C">
        <w:t xml:space="preserve"> observed for 25 to 54-</w:t>
      </w:r>
      <w:r>
        <w:t>year-olds. Between the time it was first introduced (July 2009) a</w:t>
      </w:r>
      <w:r w:rsidR="00885BA1">
        <w:t xml:space="preserve">nd the time it was fully rolled </w:t>
      </w:r>
      <w:r>
        <w:t xml:space="preserve">out (January 2011), the </w:t>
      </w:r>
      <w:r w:rsidR="00CF63F6">
        <w:t xml:space="preserve">Victorian </w:t>
      </w:r>
      <w:r w:rsidR="00126A0C">
        <w:t>Training Guarantee</w:t>
      </w:r>
      <w:r>
        <w:t xml:space="preserve"> was only made available </w:t>
      </w:r>
      <w:r w:rsidR="000A7BF4">
        <w:t>to</w:t>
      </w:r>
      <w:r>
        <w:t xml:space="preserve"> select groups on a temporary basis (table 1). During the transition period, </w:t>
      </w:r>
      <w:r w:rsidR="005A4E08">
        <w:t xml:space="preserve">for </w:t>
      </w:r>
      <w:r>
        <w:t xml:space="preserve">those </w:t>
      </w:r>
      <w:r w:rsidR="00E87482">
        <w:t xml:space="preserve">aged </w:t>
      </w:r>
      <w:r>
        <w:t xml:space="preserve">25 to 54 </w:t>
      </w:r>
      <w:r w:rsidR="00126A0C">
        <w:t>years who</w:t>
      </w:r>
      <w:r>
        <w:t xml:space="preserve"> were not part of </w:t>
      </w:r>
      <w:r w:rsidR="00885BA1">
        <w:t xml:space="preserve">the </w:t>
      </w:r>
      <w:r>
        <w:t>select</w:t>
      </w:r>
      <w:r w:rsidR="005A4E08">
        <w:t xml:space="preserve"> group eligible for the </w:t>
      </w:r>
      <w:r w:rsidR="00791459">
        <w:t>entitlement</w:t>
      </w:r>
      <w:r w:rsidR="005A4E08">
        <w:t>,</w:t>
      </w:r>
      <w:r>
        <w:t xml:space="preserve"> the existing supply-driven allocation model remained in place. Although the </w:t>
      </w:r>
      <w:r w:rsidR="00791459">
        <w:t>entitlement</w:t>
      </w:r>
      <w:r>
        <w:t xml:space="preserve"> continued to operate past this time, it was under very different conditions. Specifically, from </w:t>
      </w:r>
      <w:r w:rsidR="005A4E08">
        <w:t>July 2012 the Victorian G</w:t>
      </w:r>
      <w:r>
        <w:t xml:space="preserve">overnment partially wound back the demand-driven reforms under the guise of </w:t>
      </w:r>
      <w:r w:rsidR="000A7BF4">
        <w:t xml:space="preserve">a new policy, </w:t>
      </w:r>
      <w:r>
        <w:t>‘Refocussing VET’</w:t>
      </w:r>
      <w:r w:rsidR="000A7BF4">
        <w:t>,</w:t>
      </w:r>
      <w:r>
        <w:t xml:space="preserve"> by changing the subsidy regime to make </w:t>
      </w:r>
      <w:r w:rsidR="007F2852">
        <w:t>it</w:t>
      </w:r>
      <w:r>
        <w:t xml:space="preserve"> more targeted to areas where the state government perceived the greatest need. These reforms also included the removal of </w:t>
      </w:r>
      <w:r w:rsidR="00885BA1">
        <w:t xml:space="preserve">the </w:t>
      </w:r>
      <w:r>
        <w:t xml:space="preserve">course fees caps that were in place prior to the </w:t>
      </w:r>
      <w:r w:rsidR="005A4E08">
        <w:t>Victorian Training Guarantee</w:t>
      </w:r>
      <w:r>
        <w:t xml:space="preserve">. Another reason why we do not examine impacts beyond this time is that South Australia implemented its own student demand-driven reforms from July 2012, which means that our counterfactual outcomes would be contaminated beyond this point. </w:t>
      </w:r>
    </w:p>
    <w:p w:rsidR="006902A2" w:rsidRDefault="008F5B62" w:rsidP="005C0CAC">
      <w:pPr>
        <w:pStyle w:val="Text"/>
      </w:pPr>
      <w:r>
        <w:t xml:space="preserve">While the central changes introduced by the </w:t>
      </w:r>
      <w:r w:rsidR="00CF63F6">
        <w:t xml:space="preserve">Victorian </w:t>
      </w:r>
      <w:r w:rsidR="005A4E08">
        <w:t xml:space="preserve">Training Guarantee </w:t>
      </w:r>
      <w:r>
        <w:t xml:space="preserve">over the period of analysis were the uncapping of publicly funded places and </w:t>
      </w:r>
      <w:r w:rsidR="0036352D">
        <w:t xml:space="preserve">the </w:t>
      </w:r>
      <w:r>
        <w:t>link</w:t>
      </w:r>
      <w:r w:rsidR="0036352D">
        <w:t>ing of</w:t>
      </w:r>
      <w:r>
        <w:t xml:space="preserve"> funding to course </w:t>
      </w:r>
      <w:r>
        <w:lastRenderedPageBreak/>
        <w:t xml:space="preserve">choice, the impacts estimated </w:t>
      </w:r>
      <w:r w:rsidR="0036352D">
        <w:t xml:space="preserve">in this study </w:t>
      </w:r>
      <w:r>
        <w:t xml:space="preserve">may not be purely related to these two factors. </w:t>
      </w:r>
      <w:r w:rsidR="005A4E08">
        <w:t>The i</w:t>
      </w:r>
      <w:r w:rsidR="0036352D">
        <w:t xml:space="preserve">mpacts may also be </w:t>
      </w:r>
      <w:r w:rsidR="00885BA1">
        <w:t>the</w:t>
      </w:r>
      <w:r w:rsidR="0036352D">
        <w:t xml:space="preserve"> result of p</w:t>
      </w:r>
      <w:r w:rsidR="005A4E08">
        <w:t>rovider responses, s</w:t>
      </w:r>
      <w:r>
        <w:t xml:space="preserve">ome of </w:t>
      </w:r>
      <w:r w:rsidR="005A4E08">
        <w:t>which</w:t>
      </w:r>
      <w:r>
        <w:t xml:space="preserve"> include offering inducements to enrol and changing course fees. In the case of the latter, p</w:t>
      </w:r>
      <w:r w:rsidRPr="00877060">
        <w:t>roviders</w:t>
      </w:r>
      <w:r>
        <w:t xml:space="preserve"> were given</w:t>
      </w:r>
      <w:r w:rsidRPr="00877060">
        <w:t xml:space="preserve"> greater flexibility to </w:t>
      </w:r>
      <w:r w:rsidR="00CB509B">
        <w:t>compete on price with</w:t>
      </w:r>
      <w:r w:rsidR="0036352D">
        <w:t>in</w:t>
      </w:r>
      <w:r w:rsidR="00CB509B">
        <w:t xml:space="preserve"> established </w:t>
      </w:r>
      <w:r>
        <w:t xml:space="preserve">caps on </w:t>
      </w:r>
      <w:r w:rsidRPr="00877060">
        <w:t xml:space="preserve">hourly </w:t>
      </w:r>
      <w:r>
        <w:t xml:space="preserve">rates and the total course </w:t>
      </w:r>
      <w:r w:rsidRPr="00877060">
        <w:t>fee</w:t>
      </w:r>
      <w:r>
        <w:t>s</w:t>
      </w:r>
      <w:r w:rsidRPr="00877060">
        <w:t>.</w:t>
      </w:r>
      <w:r w:rsidRPr="00700B94">
        <w:rPr>
          <w:rStyle w:val="FootnoteReference"/>
        </w:rPr>
        <w:footnoteReference w:id="11"/>
      </w:r>
      <w:r w:rsidR="000A7BF4">
        <w:t xml:space="preserve"> </w:t>
      </w:r>
      <w:r w:rsidR="00CB509B">
        <w:t xml:space="preserve">As well as </w:t>
      </w:r>
      <w:r w:rsidR="000A7BF4">
        <w:t xml:space="preserve">allowing providers </w:t>
      </w:r>
      <w:r w:rsidR="00CB509B">
        <w:t xml:space="preserve">greater freedom to compete on price, the </w:t>
      </w:r>
      <w:r w:rsidR="00D02EEB">
        <w:t xml:space="preserve">Victorian </w:t>
      </w:r>
      <w:r w:rsidR="005A4E08">
        <w:t>G</w:t>
      </w:r>
      <w:r w:rsidR="00CB509B">
        <w:t xml:space="preserve">overnment increased its fee caps for </w:t>
      </w:r>
      <w:r w:rsidR="00D02EEB">
        <w:t>d</w:t>
      </w:r>
      <w:r w:rsidR="005A4E08">
        <w:t>iploma-</w:t>
      </w:r>
      <w:r w:rsidR="00CB509B">
        <w:t xml:space="preserve">level courses to reflect the relatively high private benefit from completing these courses. </w:t>
      </w:r>
      <w:r w:rsidR="006902A2">
        <w:t xml:space="preserve">Ideally, we would isolate and remove </w:t>
      </w:r>
      <w:r w:rsidR="0036352D">
        <w:t xml:space="preserve">the effects of </w:t>
      </w:r>
      <w:r w:rsidR="006902A2">
        <w:t xml:space="preserve">provider response </w:t>
      </w:r>
      <w:r w:rsidR="0036352D">
        <w:t>on our results</w:t>
      </w:r>
      <w:r w:rsidR="006902A2">
        <w:t xml:space="preserve">. However, </w:t>
      </w:r>
      <w:r w:rsidR="0036352D">
        <w:t xml:space="preserve">in </w:t>
      </w:r>
      <w:r w:rsidR="006902A2">
        <w:t xml:space="preserve">practice </w:t>
      </w:r>
      <w:r w:rsidR="0036352D">
        <w:t xml:space="preserve">we do not have data </w:t>
      </w:r>
      <w:r w:rsidR="005A4E08">
        <w:t xml:space="preserve">available </w:t>
      </w:r>
      <w:r w:rsidR="0036352D">
        <w:t>to do this</w:t>
      </w:r>
      <w:r w:rsidR="006902A2">
        <w:t>. Instead</w:t>
      </w:r>
      <w:r w:rsidR="00D02EEB">
        <w:t>, the</w:t>
      </w:r>
      <w:r w:rsidR="00FA5DA0">
        <w:t xml:space="preserve"> compromise is to</w:t>
      </w:r>
      <w:r w:rsidR="006902A2">
        <w:t xml:space="preserve"> control </w:t>
      </w:r>
      <w:r w:rsidR="000A7BF4">
        <w:t xml:space="preserve">for </w:t>
      </w:r>
      <w:r w:rsidR="0036352D">
        <w:t xml:space="preserve">any effects on enrolment due to </w:t>
      </w:r>
      <w:r w:rsidR="006902A2">
        <w:t xml:space="preserve">provider compositional changes </w:t>
      </w:r>
      <w:r w:rsidR="0036352D">
        <w:t xml:space="preserve">related to </w:t>
      </w:r>
      <w:r w:rsidR="0069741F" w:rsidRPr="00325682">
        <w:t xml:space="preserve">pre- and </w:t>
      </w:r>
      <w:r w:rsidR="0036352D" w:rsidRPr="00325682">
        <w:t>post</w:t>
      </w:r>
      <w:r w:rsidR="0069741F" w:rsidRPr="00325682">
        <w:t>-</w:t>
      </w:r>
      <w:r w:rsidR="00424CAB" w:rsidRPr="00325682">
        <w:t>reform</w:t>
      </w:r>
      <w:r w:rsidR="00424CAB">
        <w:t xml:space="preserve"> </w:t>
      </w:r>
      <w:r w:rsidR="0036352D">
        <w:t>changes in provider type (</w:t>
      </w:r>
      <w:r w:rsidR="0036352D" w:rsidRPr="00340EA8">
        <w:t>TAFE, ACE</w:t>
      </w:r>
      <w:r w:rsidR="005A4E08">
        <w:rPr>
          <w:rStyle w:val="FootnoteReference"/>
        </w:rPr>
        <w:footnoteReference w:id="12"/>
      </w:r>
      <w:r w:rsidR="00BF6748">
        <w:t>,</w:t>
      </w:r>
      <w:r w:rsidR="0036352D" w:rsidRPr="00340EA8">
        <w:t xml:space="preserve"> university, industry/professional body or non-government organisation, private business and o</w:t>
      </w:r>
      <w:r w:rsidR="0036352D">
        <w:t xml:space="preserve">ther) and provider size. This is discussed further in the following section on the empirical analysis. </w:t>
      </w:r>
    </w:p>
    <w:p w:rsidR="004551A0" w:rsidRDefault="004551A0">
      <w:pPr>
        <w:spacing w:before="0" w:line="240" w:lineRule="auto"/>
        <w:rPr>
          <w:rFonts w:ascii="Arial" w:hAnsi="Arial" w:cs="Tahoma"/>
          <w:sz w:val="28"/>
        </w:rPr>
      </w:pPr>
    </w:p>
    <w:p w:rsidR="004551A0" w:rsidRDefault="004551A0" w:rsidP="00ED0C08">
      <w:pPr>
        <w:pStyle w:val="Heading2"/>
        <w:sectPr w:rsidR="004551A0" w:rsidSect="00011633">
          <w:footerReference w:type="even" r:id="rId44"/>
          <w:footerReference w:type="default" r:id="rId45"/>
          <w:pgSz w:w="11907" w:h="16840" w:code="9"/>
          <w:pgMar w:top="1276" w:right="2552" w:bottom="1276" w:left="1418" w:header="709" w:footer="556" w:gutter="0"/>
          <w:cols w:space="708"/>
          <w:docGrid w:linePitch="360"/>
        </w:sectPr>
      </w:pPr>
    </w:p>
    <w:p w:rsidR="004551A0" w:rsidRPr="00D75D7A" w:rsidRDefault="00BD3267" w:rsidP="00FE1D0A">
      <w:pPr>
        <w:pStyle w:val="tabletitle0"/>
        <w:spacing w:before="0"/>
      </w:pPr>
      <w:bookmarkStart w:id="54" w:name="_Toc438210016"/>
      <w:bookmarkStart w:id="55" w:name="_Toc468881914"/>
      <w:r>
        <w:lastRenderedPageBreak/>
        <w:t>Table 1</w:t>
      </w:r>
      <w:r>
        <w:tab/>
      </w:r>
      <w:r w:rsidR="004551A0">
        <w:t>VET reforms</w:t>
      </w:r>
      <w:r w:rsidR="004551A0" w:rsidRPr="00D75D7A">
        <w:t xml:space="preserve"> 200</w:t>
      </w:r>
      <w:r w:rsidR="005A4E08">
        <w:t>9–</w:t>
      </w:r>
      <w:r w:rsidR="004551A0">
        <w:t xml:space="preserve">12 relevant for individuals </w:t>
      </w:r>
      <w:r w:rsidR="004551A0" w:rsidRPr="00D75D7A">
        <w:t>aged 25</w:t>
      </w:r>
      <w:r w:rsidR="001B16C6">
        <w:t xml:space="preserve"> years</w:t>
      </w:r>
      <w:r w:rsidR="004551A0">
        <w:t xml:space="preserve"> and older</w:t>
      </w:r>
      <w:bookmarkEnd w:id="54"/>
      <w:bookmarkEnd w:id="55"/>
      <w:r w:rsidR="004551A0" w:rsidRPr="00D75D7A">
        <w:t xml:space="preserve"> </w:t>
      </w:r>
    </w:p>
    <w:tbl>
      <w:tblPr>
        <w:tblW w:w="5000" w:type="pct"/>
        <w:tblLook w:val="04A0" w:firstRow="1" w:lastRow="0" w:firstColumn="1" w:lastColumn="0" w:noHBand="0" w:noVBand="1"/>
      </w:tblPr>
      <w:tblGrid>
        <w:gridCol w:w="1035"/>
        <w:gridCol w:w="1036"/>
        <w:gridCol w:w="2997"/>
        <w:gridCol w:w="725"/>
        <w:gridCol w:w="867"/>
        <w:gridCol w:w="728"/>
        <w:gridCol w:w="2466"/>
        <w:gridCol w:w="3043"/>
        <w:gridCol w:w="1607"/>
      </w:tblGrid>
      <w:tr w:rsidR="004551A0" w:rsidRPr="0026618F" w:rsidTr="000E1068">
        <w:trPr>
          <w:trHeight w:val="600"/>
        </w:trPr>
        <w:tc>
          <w:tcPr>
            <w:tcW w:w="357" w:type="pct"/>
            <w:tcBorders>
              <w:top w:val="single" w:sz="4" w:space="0" w:color="auto"/>
              <w:bottom w:val="single" w:sz="4" w:space="0" w:color="auto"/>
            </w:tcBorders>
            <w:shd w:val="clear" w:color="000000" w:fill="FFFFFF"/>
            <w:vAlign w:val="center"/>
            <w:hideMark/>
          </w:tcPr>
          <w:p w:rsidR="004551A0" w:rsidRPr="00DA3DDA" w:rsidRDefault="004551A0" w:rsidP="000E1068">
            <w:pPr>
              <w:pStyle w:val="Tablehead1"/>
            </w:pPr>
            <w:r>
              <w:t>S</w:t>
            </w:r>
            <w:r w:rsidRPr="00DA3DDA">
              <w:t>tart</w:t>
            </w:r>
          </w:p>
        </w:tc>
        <w:tc>
          <w:tcPr>
            <w:tcW w:w="357" w:type="pct"/>
            <w:tcBorders>
              <w:top w:val="single" w:sz="4" w:space="0" w:color="auto"/>
              <w:bottom w:val="single" w:sz="4" w:space="0" w:color="auto"/>
            </w:tcBorders>
            <w:shd w:val="clear" w:color="000000" w:fill="FFFFFF"/>
            <w:vAlign w:val="center"/>
            <w:hideMark/>
          </w:tcPr>
          <w:p w:rsidR="004551A0" w:rsidRPr="00DA3DDA" w:rsidRDefault="004551A0" w:rsidP="000E1068">
            <w:pPr>
              <w:pStyle w:val="Tablehead1"/>
            </w:pPr>
            <w:r>
              <w:t>E</w:t>
            </w:r>
            <w:r w:rsidRPr="00DA3DDA">
              <w:t>nd</w:t>
            </w:r>
          </w:p>
        </w:tc>
        <w:tc>
          <w:tcPr>
            <w:tcW w:w="1033" w:type="pct"/>
            <w:tcBorders>
              <w:top w:val="single" w:sz="4" w:space="0" w:color="auto"/>
              <w:bottom w:val="single" w:sz="4" w:space="0" w:color="auto"/>
            </w:tcBorders>
            <w:shd w:val="clear" w:color="000000" w:fill="FFFFFF"/>
            <w:vAlign w:val="center"/>
            <w:hideMark/>
          </w:tcPr>
          <w:p w:rsidR="004551A0" w:rsidRPr="00DA3DDA" w:rsidRDefault="004551A0" w:rsidP="000E1068">
            <w:pPr>
              <w:pStyle w:val="Tablehead1"/>
            </w:pPr>
            <w:r>
              <w:t>S</w:t>
            </w:r>
            <w:r w:rsidRPr="00DA3DDA">
              <w:t>cheme</w:t>
            </w:r>
          </w:p>
        </w:tc>
        <w:tc>
          <w:tcPr>
            <w:tcW w:w="250" w:type="pct"/>
            <w:tcBorders>
              <w:top w:val="single" w:sz="4" w:space="0" w:color="auto"/>
              <w:bottom w:val="single" w:sz="4" w:space="0" w:color="auto"/>
            </w:tcBorders>
            <w:shd w:val="clear" w:color="000000" w:fill="FFFFFF"/>
            <w:vAlign w:val="center"/>
            <w:hideMark/>
          </w:tcPr>
          <w:p w:rsidR="004551A0" w:rsidRPr="00DA3DDA" w:rsidRDefault="004551A0" w:rsidP="000E1068">
            <w:pPr>
              <w:pStyle w:val="Tablehead1"/>
            </w:pPr>
            <w:r w:rsidRPr="00DA3DDA">
              <w:t>Vic</w:t>
            </w:r>
          </w:p>
        </w:tc>
        <w:tc>
          <w:tcPr>
            <w:tcW w:w="299" w:type="pct"/>
            <w:tcBorders>
              <w:top w:val="single" w:sz="4" w:space="0" w:color="auto"/>
              <w:bottom w:val="single" w:sz="4" w:space="0" w:color="auto"/>
            </w:tcBorders>
            <w:shd w:val="clear" w:color="000000" w:fill="FFFFFF"/>
            <w:vAlign w:val="center"/>
            <w:hideMark/>
          </w:tcPr>
          <w:p w:rsidR="004551A0" w:rsidRPr="00DA3DDA" w:rsidRDefault="004551A0" w:rsidP="000E1068">
            <w:pPr>
              <w:pStyle w:val="Tablehead1"/>
            </w:pPr>
            <w:r>
              <w:t>Rest of Aus.</w:t>
            </w:r>
          </w:p>
        </w:tc>
        <w:tc>
          <w:tcPr>
            <w:tcW w:w="251" w:type="pct"/>
            <w:tcBorders>
              <w:top w:val="single" w:sz="4" w:space="0" w:color="auto"/>
              <w:bottom w:val="single" w:sz="4" w:space="0" w:color="auto"/>
            </w:tcBorders>
            <w:shd w:val="clear" w:color="000000" w:fill="FFFFFF"/>
            <w:vAlign w:val="center"/>
            <w:hideMark/>
          </w:tcPr>
          <w:p w:rsidR="004551A0" w:rsidRPr="00DA3DDA" w:rsidRDefault="004551A0" w:rsidP="000E1068">
            <w:pPr>
              <w:pStyle w:val="Tablehead1"/>
            </w:pPr>
            <w:r>
              <w:t>Age</w:t>
            </w:r>
          </w:p>
        </w:tc>
        <w:tc>
          <w:tcPr>
            <w:tcW w:w="850" w:type="pct"/>
            <w:tcBorders>
              <w:top w:val="single" w:sz="4" w:space="0" w:color="auto"/>
              <w:bottom w:val="single" w:sz="4" w:space="0" w:color="auto"/>
            </w:tcBorders>
            <w:shd w:val="clear" w:color="000000" w:fill="FFFFFF"/>
            <w:vAlign w:val="center"/>
            <w:hideMark/>
          </w:tcPr>
          <w:p w:rsidR="004551A0" w:rsidRPr="00DA3DDA" w:rsidRDefault="004551A0" w:rsidP="000E1068">
            <w:pPr>
              <w:pStyle w:val="Tablehead1"/>
            </w:pPr>
            <w:r>
              <w:t>L</w:t>
            </w:r>
            <w:r w:rsidRPr="00DA3DDA">
              <w:t>abour status</w:t>
            </w:r>
          </w:p>
        </w:tc>
        <w:tc>
          <w:tcPr>
            <w:tcW w:w="1049" w:type="pct"/>
            <w:tcBorders>
              <w:top w:val="single" w:sz="4" w:space="0" w:color="auto"/>
              <w:bottom w:val="single" w:sz="4" w:space="0" w:color="auto"/>
            </w:tcBorders>
            <w:shd w:val="clear" w:color="000000" w:fill="FFFFFF"/>
            <w:noWrap/>
            <w:vAlign w:val="center"/>
            <w:hideMark/>
          </w:tcPr>
          <w:p w:rsidR="004551A0" w:rsidRPr="00DA3DDA" w:rsidRDefault="004551A0" w:rsidP="000E1068">
            <w:pPr>
              <w:pStyle w:val="Tablehead1"/>
            </w:pPr>
            <w:r>
              <w:t>C</w:t>
            </w:r>
            <w:r w:rsidRPr="00DA3DDA">
              <w:t>ourses</w:t>
            </w:r>
            <w:r w:rsidR="0079765E" w:rsidRPr="0079765E">
              <w:rPr>
                <w:vertAlign w:val="superscript"/>
              </w:rPr>
              <w:t>2</w:t>
            </w:r>
          </w:p>
        </w:tc>
        <w:tc>
          <w:tcPr>
            <w:tcW w:w="554" w:type="pct"/>
            <w:tcBorders>
              <w:top w:val="single" w:sz="4" w:space="0" w:color="auto"/>
              <w:bottom w:val="single" w:sz="4" w:space="0" w:color="auto"/>
            </w:tcBorders>
            <w:shd w:val="clear" w:color="000000" w:fill="FFFFFF"/>
            <w:vAlign w:val="center"/>
            <w:hideMark/>
          </w:tcPr>
          <w:p w:rsidR="004551A0" w:rsidRPr="00DA3DDA" w:rsidRDefault="004551A0" w:rsidP="000E1068">
            <w:pPr>
              <w:pStyle w:val="Tablehead1"/>
            </w:pPr>
            <w:r>
              <w:t>P</w:t>
            </w:r>
            <w:r w:rsidRPr="00DA3DDA">
              <w:t>laces limited</w:t>
            </w:r>
            <w:r w:rsidR="0079765E" w:rsidRPr="0079765E">
              <w:rPr>
                <w:vertAlign w:val="superscript"/>
              </w:rPr>
              <w:t>3</w:t>
            </w:r>
          </w:p>
        </w:tc>
      </w:tr>
      <w:tr w:rsidR="004551A0" w:rsidRPr="0026618F" w:rsidTr="000E1068">
        <w:trPr>
          <w:trHeight w:val="300"/>
        </w:trPr>
        <w:tc>
          <w:tcPr>
            <w:tcW w:w="357" w:type="pct"/>
            <w:tcBorders>
              <w:top w:val="single" w:sz="4" w:space="0" w:color="auto"/>
            </w:tcBorders>
            <w:shd w:val="clear" w:color="000000" w:fill="FFFFFF"/>
            <w:noWrap/>
            <w:vAlign w:val="bottom"/>
            <w:hideMark/>
          </w:tcPr>
          <w:p w:rsidR="004551A0" w:rsidRPr="00DA3DDA" w:rsidRDefault="00885BA1" w:rsidP="000E1068">
            <w:pPr>
              <w:pStyle w:val="Tabletext"/>
            </w:pPr>
            <w:r>
              <w:t>July 20</w:t>
            </w:r>
            <w:r w:rsidR="004551A0" w:rsidRPr="00DA3DDA">
              <w:t>09</w:t>
            </w:r>
          </w:p>
        </w:tc>
        <w:tc>
          <w:tcPr>
            <w:tcW w:w="357" w:type="pct"/>
            <w:tcBorders>
              <w:top w:val="single" w:sz="4" w:space="0" w:color="auto"/>
            </w:tcBorders>
            <w:shd w:val="clear" w:color="000000" w:fill="FFFFFF"/>
            <w:noWrap/>
            <w:vAlign w:val="bottom"/>
            <w:hideMark/>
          </w:tcPr>
          <w:p w:rsidR="004551A0" w:rsidRPr="00DA3DDA" w:rsidRDefault="005A4E08" w:rsidP="000E1068">
            <w:pPr>
              <w:pStyle w:val="Tabletext"/>
            </w:pPr>
            <w:r>
              <w:t>Feb. 20</w:t>
            </w:r>
            <w:r w:rsidR="004551A0" w:rsidRPr="00DA3DDA">
              <w:t>11</w:t>
            </w:r>
          </w:p>
        </w:tc>
        <w:tc>
          <w:tcPr>
            <w:tcW w:w="1033" w:type="pct"/>
            <w:tcBorders>
              <w:top w:val="single" w:sz="4" w:space="0" w:color="auto"/>
            </w:tcBorders>
            <w:shd w:val="clear" w:color="000000" w:fill="FFFFFF"/>
            <w:noWrap/>
            <w:vAlign w:val="bottom"/>
            <w:hideMark/>
          </w:tcPr>
          <w:p w:rsidR="004551A0" w:rsidRPr="00DA3DDA" w:rsidRDefault="004551A0" w:rsidP="00885BA1">
            <w:pPr>
              <w:pStyle w:val="Tabletext"/>
            </w:pPr>
            <w:r w:rsidRPr="00DA3DDA">
              <w:t>NPAPP</w:t>
            </w:r>
            <w:r w:rsidR="0047592B" w:rsidRPr="0047592B">
              <w:rPr>
                <w:vertAlign w:val="superscript"/>
              </w:rPr>
              <w:t>1</w:t>
            </w:r>
            <w:r w:rsidRPr="00DA3DDA">
              <w:t xml:space="preserve"> </w:t>
            </w:r>
          </w:p>
        </w:tc>
        <w:tc>
          <w:tcPr>
            <w:tcW w:w="250" w:type="pct"/>
            <w:tcBorders>
              <w:top w:val="single" w:sz="4" w:space="0" w:color="auto"/>
            </w:tcBorders>
            <w:shd w:val="clear" w:color="000000" w:fill="FFFFFF"/>
            <w:noWrap/>
            <w:vAlign w:val="bottom"/>
            <w:hideMark/>
          </w:tcPr>
          <w:p w:rsidR="004551A0" w:rsidRPr="00DA3DDA" w:rsidRDefault="004551A0" w:rsidP="000E1068">
            <w:pPr>
              <w:pStyle w:val="Tabletext"/>
            </w:pPr>
            <w:r w:rsidRPr="00DA3DDA">
              <w:t> </w:t>
            </w:r>
          </w:p>
        </w:tc>
        <w:tc>
          <w:tcPr>
            <w:tcW w:w="299" w:type="pct"/>
            <w:tcBorders>
              <w:top w:val="single" w:sz="4" w:space="0" w:color="auto"/>
            </w:tcBorders>
            <w:shd w:val="clear" w:color="000000" w:fill="FFFFFF"/>
            <w:noWrap/>
            <w:vAlign w:val="bottom"/>
            <w:hideMark/>
          </w:tcPr>
          <w:p w:rsidR="004551A0" w:rsidRPr="00DA3DDA" w:rsidRDefault="00FA4672" w:rsidP="000E1068">
            <w:pPr>
              <w:pStyle w:val="Tabletext"/>
            </w:pPr>
            <w:r>
              <w:sym w:font="Wingdings" w:char="F0FC"/>
            </w:r>
          </w:p>
        </w:tc>
        <w:tc>
          <w:tcPr>
            <w:tcW w:w="251" w:type="pct"/>
            <w:tcBorders>
              <w:top w:val="single" w:sz="4" w:space="0" w:color="auto"/>
            </w:tcBorders>
            <w:shd w:val="clear" w:color="000000" w:fill="FFFFFF"/>
            <w:noWrap/>
            <w:vAlign w:val="bottom"/>
            <w:hideMark/>
          </w:tcPr>
          <w:p w:rsidR="004551A0" w:rsidRPr="00DA3DDA" w:rsidRDefault="004551A0" w:rsidP="000E1068">
            <w:pPr>
              <w:pStyle w:val="Tabletext"/>
            </w:pPr>
            <w:r w:rsidRPr="00DA3DDA">
              <w:t>15+</w:t>
            </w:r>
          </w:p>
        </w:tc>
        <w:tc>
          <w:tcPr>
            <w:tcW w:w="850" w:type="pct"/>
            <w:tcBorders>
              <w:top w:val="single" w:sz="4" w:space="0" w:color="auto"/>
            </w:tcBorders>
            <w:shd w:val="clear" w:color="000000" w:fill="FFFFFF"/>
            <w:noWrap/>
            <w:vAlign w:val="bottom"/>
            <w:hideMark/>
          </w:tcPr>
          <w:p w:rsidR="004551A0" w:rsidRPr="00DA3DDA" w:rsidRDefault="004551A0" w:rsidP="000E1068">
            <w:pPr>
              <w:pStyle w:val="Tabletext"/>
            </w:pPr>
            <w:r>
              <w:t>J</w:t>
            </w:r>
            <w:r w:rsidRPr="00DA3DDA">
              <w:t>ob seekers and employed</w:t>
            </w:r>
          </w:p>
        </w:tc>
        <w:tc>
          <w:tcPr>
            <w:tcW w:w="1049" w:type="pct"/>
            <w:tcBorders>
              <w:top w:val="single" w:sz="4" w:space="0" w:color="auto"/>
            </w:tcBorders>
            <w:shd w:val="clear" w:color="000000" w:fill="FFFFFF"/>
            <w:noWrap/>
            <w:vAlign w:val="bottom"/>
            <w:hideMark/>
          </w:tcPr>
          <w:p w:rsidR="004551A0" w:rsidRPr="00DA3DDA" w:rsidRDefault="004551A0" w:rsidP="000E1068">
            <w:pPr>
              <w:pStyle w:val="Tabletext"/>
            </w:pPr>
            <w:r>
              <w:t>U</w:t>
            </w:r>
            <w:r w:rsidR="005A4E08">
              <w:t>p</w:t>
            </w:r>
            <w:r w:rsidRPr="00DA3DDA">
              <w:t>skilling and foundation</w:t>
            </w:r>
          </w:p>
        </w:tc>
        <w:tc>
          <w:tcPr>
            <w:tcW w:w="554" w:type="pct"/>
            <w:tcBorders>
              <w:top w:val="single" w:sz="4" w:space="0" w:color="auto"/>
            </w:tcBorders>
            <w:shd w:val="clear" w:color="000000" w:fill="FFFFFF"/>
            <w:noWrap/>
            <w:vAlign w:val="bottom"/>
            <w:hideMark/>
          </w:tcPr>
          <w:p w:rsidR="004551A0" w:rsidRPr="00DA3DDA" w:rsidRDefault="004551A0" w:rsidP="000E1068">
            <w:pPr>
              <w:pStyle w:val="Tabletext"/>
            </w:pPr>
            <w:r>
              <w:t>Y</w:t>
            </w:r>
            <w:r w:rsidRPr="00DA3DDA">
              <w:t>es</w:t>
            </w:r>
          </w:p>
        </w:tc>
      </w:tr>
      <w:tr w:rsidR="004551A0" w:rsidRPr="0026618F" w:rsidTr="000E1068">
        <w:trPr>
          <w:trHeight w:val="300"/>
        </w:trPr>
        <w:tc>
          <w:tcPr>
            <w:tcW w:w="357" w:type="pct"/>
            <w:shd w:val="clear" w:color="000000" w:fill="FFFFFF"/>
            <w:noWrap/>
            <w:vAlign w:val="bottom"/>
            <w:hideMark/>
          </w:tcPr>
          <w:p w:rsidR="004551A0" w:rsidRPr="00DA3DDA" w:rsidRDefault="00885BA1" w:rsidP="000E1068">
            <w:pPr>
              <w:pStyle w:val="Tabletext"/>
            </w:pPr>
            <w:r>
              <w:t>July 20</w:t>
            </w:r>
            <w:r w:rsidRPr="00DA3DDA">
              <w:t>09</w:t>
            </w:r>
          </w:p>
        </w:tc>
        <w:tc>
          <w:tcPr>
            <w:tcW w:w="357" w:type="pct"/>
            <w:shd w:val="clear" w:color="000000" w:fill="FFFFFF"/>
            <w:noWrap/>
            <w:vAlign w:val="bottom"/>
            <w:hideMark/>
          </w:tcPr>
          <w:p w:rsidR="004551A0" w:rsidRPr="00DA3DDA" w:rsidRDefault="005A4E08" w:rsidP="000E1068">
            <w:pPr>
              <w:pStyle w:val="Tabletext"/>
            </w:pPr>
            <w:r>
              <w:t>Dec. 20</w:t>
            </w:r>
            <w:r w:rsidR="004551A0" w:rsidRPr="00DA3DDA">
              <w:t>11</w:t>
            </w:r>
          </w:p>
        </w:tc>
        <w:tc>
          <w:tcPr>
            <w:tcW w:w="1033" w:type="pct"/>
            <w:shd w:val="clear" w:color="000000" w:fill="FFFFFF"/>
            <w:noWrap/>
            <w:vAlign w:val="bottom"/>
            <w:hideMark/>
          </w:tcPr>
          <w:p w:rsidR="004551A0" w:rsidRPr="00DA3DDA" w:rsidRDefault="004551A0" w:rsidP="000E1068">
            <w:pPr>
              <w:pStyle w:val="Tabletext"/>
            </w:pPr>
            <w:r w:rsidRPr="00DA3DDA">
              <w:t>Compact with Retrenched Workers</w:t>
            </w:r>
          </w:p>
        </w:tc>
        <w:tc>
          <w:tcPr>
            <w:tcW w:w="250" w:type="pct"/>
            <w:shd w:val="clear" w:color="000000" w:fill="FFFFFF"/>
            <w:noWrap/>
            <w:vAlign w:val="bottom"/>
            <w:hideMark/>
          </w:tcPr>
          <w:p w:rsidR="004551A0" w:rsidRPr="00DA3DDA" w:rsidRDefault="00FA4672" w:rsidP="000E1068">
            <w:pPr>
              <w:pStyle w:val="Tabletext"/>
            </w:pPr>
            <w:r>
              <w:sym w:font="Wingdings" w:char="F0FC"/>
            </w:r>
          </w:p>
        </w:tc>
        <w:tc>
          <w:tcPr>
            <w:tcW w:w="299" w:type="pct"/>
            <w:shd w:val="clear" w:color="000000" w:fill="FFFFFF"/>
            <w:noWrap/>
            <w:vAlign w:val="bottom"/>
            <w:hideMark/>
          </w:tcPr>
          <w:p w:rsidR="004551A0" w:rsidRPr="00DA3DDA" w:rsidRDefault="00FA4672" w:rsidP="000E1068">
            <w:pPr>
              <w:pStyle w:val="Tabletext"/>
            </w:pPr>
            <w:r>
              <w:sym w:font="Wingdings" w:char="F0FC"/>
            </w:r>
          </w:p>
        </w:tc>
        <w:tc>
          <w:tcPr>
            <w:tcW w:w="251" w:type="pct"/>
            <w:shd w:val="clear" w:color="000000" w:fill="FFFFFF"/>
            <w:noWrap/>
            <w:vAlign w:val="bottom"/>
            <w:hideMark/>
          </w:tcPr>
          <w:p w:rsidR="004551A0" w:rsidRPr="00DA3DDA" w:rsidRDefault="004551A0" w:rsidP="000E1068">
            <w:pPr>
              <w:pStyle w:val="Tabletext"/>
            </w:pPr>
            <w:r w:rsidRPr="00DA3DDA">
              <w:t>25+</w:t>
            </w:r>
          </w:p>
        </w:tc>
        <w:tc>
          <w:tcPr>
            <w:tcW w:w="850" w:type="pct"/>
            <w:shd w:val="clear" w:color="000000" w:fill="FFFFFF"/>
            <w:noWrap/>
            <w:vAlign w:val="bottom"/>
            <w:hideMark/>
          </w:tcPr>
          <w:p w:rsidR="004551A0" w:rsidRPr="00DA3DDA" w:rsidRDefault="004551A0" w:rsidP="000E1068">
            <w:pPr>
              <w:pStyle w:val="Tabletext"/>
            </w:pPr>
            <w:r>
              <w:t>R</w:t>
            </w:r>
            <w:r w:rsidRPr="00DA3DDA">
              <w:t>etrenched workers</w:t>
            </w:r>
          </w:p>
        </w:tc>
        <w:tc>
          <w:tcPr>
            <w:tcW w:w="1049" w:type="pct"/>
            <w:shd w:val="clear" w:color="000000" w:fill="FFFFFF"/>
            <w:noWrap/>
            <w:vAlign w:val="bottom"/>
            <w:hideMark/>
          </w:tcPr>
          <w:p w:rsidR="004551A0" w:rsidRPr="00DA3DDA" w:rsidRDefault="004551A0" w:rsidP="000E1068">
            <w:pPr>
              <w:pStyle w:val="Tabletext"/>
            </w:pPr>
            <w:r>
              <w:t>A</w:t>
            </w:r>
            <w:r w:rsidRPr="00DA3DDA">
              <w:t>ll</w:t>
            </w:r>
          </w:p>
        </w:tc>
        <w:tc>
          <w:tcPr>
            <w:tcW w:w="554" w:type="pct"/>
            <w:shd w:val="clear" w:color="000000" w:fill="FFFFFF"/>
            <w:noWrap/>
            <w:vAlign w:val="bottom"/>
            <w:hideMark/>
          </w:tcPr>
          <w:p w:rsidR="004551A0" w:rsidRPr="00DA3DDA" w:rsidRDefault="004551A0" w:rsidP="000E1068">
            <w:pPr>
              <w:pStyle w:val="Tabletext"/>
            </w:pPr>
            <w:r>
              <w:t>Y</w:t>
            </w:r>
            <w:r w:rsidRPr="00DA3DDA">
              <w:t>es</w:t>
            </w:r>
          </w:p>
        </w:tc>
      </w:tr>
      <w:tr w:rsidR="004551A0" w:rsidRPr="0026618F" w:rsidTr="000E1068">
        <w:trPr>
          <w:trHeight w:val="300"/>
        </w:trPr>
        <w:tc>
          <w:tcPr>
            <w:tcW w:w="357" w:type="pct"/>
            <w:shd w:val="clear" w:color="000000" w:fill="FFFFFF"/>
            <w:noWrap/>
            <w:vAlign w:val="bottom"/>
            <w:hideMark/>
          </w:tcPr>
          <w:p w:rsidR="004551A0" w:rsidRPr="00DA3DDA" w:rsidRDefault="00885BA1" w:rsidP="000E1068">
            <w:pPr>
              <w:pStyle w:val="Tabletext"/>
            </w:pPr>
            <w:r>
              <w:t>July 20</w:t>
            </w:r>
            <w:r w:rsidRPr="00DA3DDA">
              <w:t>09</w:t>
            </w:r>
          </w:p>
        </w:tc>
        <w:tc>
          <w:tcPr>
            <w:tcW w:w="357" w:type="pct"/>
            <w:shd w:val="clear" w:color="000000" w:fill="FFFFFF"/>
            <w:noWrap/>
            <w:vAlign w:val="bottom"/>
            <w:hideMark/>
          </w:tcPr>
          <w:p w:rsidR="004551A0" w:rsidRPr="00DA3DDA" w:rsidRDefault="005A4E08" w:rsidP="000E1068">
            <w:pPr>
              <w:pStyle w:val="Tabletext"/>
            </w:pPr>
            <w:r>
              <w:t>Jan. 20</w:t>
            </w:r>
            <w:r w:rsidR="004551A0" w:rsidRPr="00DA3DDA">
              <w:t>11</w:t>
            </w:r>
          </w:p>
        </w:tc>
        <w:tc>
          <w:tcPr>
            <w:tcW w:w="1033" w:type="pct"/>
            <w:shd w:val="clear" w:color="000000" w:fill="FFFFFF"/>
            <w:noWrap/>
            <w:vAlign w:val="bottom"/>
            <w:hideMark/>
          </w:tcPr>
          <w:p w:rsidR="004551A0" w:rsidRPr="00DA3DDA" w:rsidRDefault="004551A0" w:rsidP="000E1068">
            <w:pPr>
              <w:pStyle w:val="Tabletext"/>
            </w:pPr>
            <w:r w:rsidRPr="00DA3DDA">
              <w:t>VTG</w:t>
            </w:r>
            <w:r w:rsidR="0079765E" w:rsidRPr="0079765E">
              <w:rPr>
                <w:vertAlign w:val="superscript"/>
              </w:rPr>
              <w:t>4</w:t>
            </w:r>
            <w:r w:rsidRPr="00DA3DDA">
              <w:t xml:space="preserve"> Skills for Growth</w:t>
            </w:r>
          </w:p>
        </w:tc>
        <w:tc>
          <w:tcPr>
            <w:tcW w:w="250" w:type="pct"/>
            <w:shd w:val="clear" w:color="000000" w:fill="FFFFFF"/>
            <w:noWrap/>
            <w:vAlign w:val="bottom"/>
            <w:hideMark/>
          </w:tcPr>
          <w:p w:rsidR="004551A0" w:rsidRPr="00DA3DDA" w:rsidRDefault="00FA4672" w:rsidP="000E1068">
            <w:pPr>
              <w:pStyle w:val="Tabletext"/>
            </w:pPr>
            <w:r>
              <w:sym w:font="Wingdings" w:char="F0FC"/>
            </w:r>
          </w:p>
        </w:tc>
        <w:tc>
          <w:tcPr>
            <w:tcW w:w="299" w:type="pct"/>
            <w:shd w:val="clear" w:color="000000" w:fill="FFFFFF"/>
            <w:noWrap/>
            <w:vAlign w:val="bottom"/>
            <w:hideMark/>
          </w:tcPr>
          <w:p w:rsidR="004551A0" w:rsidRPr="00DA3DDA" w:rsidRDefault="004551A0" w:rsidP="000E1068">
            <w:pPr>
              <w:pStyle w:val="Tabletext"/>
            </w:pPr>
            <w:r w:rsidRPr="00DA3DDA">
              <w:t> </w:t>
            </w:r>
          </w:p>
        </w:tc>
        <w:tc>
          <w:tcPr>
            <w:tcW w:w="251" w:type="pct"/>
            <w:shd w:val="clear" w:color="000000" w:fill="FFFFFF"/>
            <w:noWrap/>
            <w:vAlign w:val="bottom"/>
            <w:hideMark/>
          </w:tcPr>
          <w:p w:rsidR="004551A0" w:rsidRPr="00DA3DDA" w:rsidRDefault="004551A0" w:rsidP="000E1068">
            <w:pPr>
              <w:pStyle w:val="Tabletext"/>
            </w:pPr>
            <w:r w:rsidRPr="00DA3DDA">
              <w:t>20+</w:t>
            </w:r>
          </w:p>
        </w:tc>
        <w:tc>
          <w:tcPr>
            <w:tcW w:w="850" w:type="pct"/>
            <w:shd w:val="clear" w:color="000000" w:fill="FFFFFF"/>
            <w:noWrap/>
            <w:vAlign w:val="bottom"/>
            <w:hideMark/>
          </w:tcPr>
          <w:p w:rsidR="004551A0" w:rsidRPr="00DA3DDA" w:rsidRDefault="004551A0" w:rsidP="000E1068">
            <w:pPr>
              <w:pStyle w:val="Tabletext"/>
            </w:pPr>
            <w:r>
              <w:t>E</w:t>
            </w:r>
            <w:r w:rsidRPr="00DA3DDA">
              <w:t>mployees with SMEs</w:t>
            </w:r>
          </w:p>
        </w:tc>
        <w:tc>
          <w:tcPr>
            <w:tcW w:w="1049" w:type="pct"/>
            <w:shd w:val="clear" w:color="000000" w:fill="FFFFFF"/>
            <w:noWrap/>
            <w:vAlign w:val="bottom"/>
            <w:hideMark/>
          </w:tcPr>
          <w:p w:rsidR="004551A0" w:rsidRPr="00DA3DDA" w:rsidRDefault="004551A0" w:rsidP="000E1068">
            <w:pPr>
              <w:pStyle w:val="Tabletext"/>
            </w:pPr>
            <w:r>
              <w:t>U</w:t>
            </w:r>
            <w:r w:rsidR="005A4E08">
              <w:t>p</w:t>
            </w:r>
            <w:r w:rsidRPr="00DA3DDA">
              <w:t>skilling and foundation</w:t>
            </w:r>
          </w:p>
        </w:tc>
        <w:tc>
          <w:tcPr>
            <w:tcW w:w="554" w:type="pct"/>
            <w:shd w:val="clear" w:color="000000" w:fill="FFFFFF"/>
            <w:noWrap/>
            <w:vAlign w:val="bottom"/>
            <w:hideMark/>
          </w:tcPr>
          <w:p w:rsidR="004551A0" w:rsidRPr="00DA3DDA" w:rsidRDefault="004551A0" w:rsidP="000E1068">
            <w:pPr>
              <w:pStyle w:val="Tabletext"/>
            </w:pPr>
            <w:r>
              <w:t>N</w:t>
            </w:r>
            <w:r w:rsidRPr="00DA3DDA">
              <w:t>o</w:t>
            </w:r>
          </w:p>
        </w:tc>
      </w:tr>
      <w:tr w:rsidR="004551A0" w:rsidRPr="0026618F" w:rsidTr="000E1068">
        <w:trPr>
          <w:trHeight w:val="300"/>
        </w:trPr>
        <w:tc>
          <w:tcPr>
            <w:tcW w:w="357" w:type="pct"/>
            <w:shd w:val="clear" w:color="000000" w:fill="FFFFFF"/>
            <w:noWrap/>
            <w:vAlign w:val="bottom"/>
            <w:hideMark/>
          </w:tcPr>
          <w:p w:rsidR="004551A0" w:rsidRPr="00DA3DDA" w:rsidRDefault="00885BA1" w:rsidP="000E1068">
            <w:pPr>
              <w:pStyle w:val="Tabletext"/>
            </w:pPr>
            <w:r>
              <w:t>July 20</w:t>
            </w:r>
            <w:r w:rsidRPr="00DA3DDA">
              <w:t>09</w:t>
            </w:r>
          </w:p>
        </w:tc>
        <w:tc>
          <w:tcPr>
            <w:tcW w:w="357" w:type="pct"/>
            <w:shd w:val="clear" w:color="000000" w:fill="FFFFFF"/>
            <w:noWrap/>
            <w:vAlign w:val="bottom"/>
            <w:hideMark/>
          </w:tcPr>
          <w:p w:rsidR="004551A0" w:rsidRPr="00DA3DDA" w:rsidRDefault="005A4E08" w:rsidP="000E1068">
            <w:pPr>
              <w:pStyle w:val="Tabletext"/>
            </w:pPr>
            <w:r>
              <w:t>Jan. 20</w:t>
            </w:r>
            <w:r w:rsidR="004551A0" w:rsidRPr="00DA3DDA">
              <w:t>11</w:t>
            </w:r>
          </w:p>
        </w:tc>
        <w:tc>
          <w:tcPr>
            <w:tcW w:w="1033" w:type="pct"/>
            <w:shd w:val="clear" w:color="000000" w:fill="FFFFFF"/>
            <w:noWrap/>
            <w:vAlign w:val="bottom"/>
            <w:hideMark/>
          </w:tcPr>
          <w:p w:rsidR="004551A0" w:rsidRPr="00DA3DDA" w:rsidRDefault="004551A0" w:rsidP="000E1068">
            <w:pPr>
              <w:pStyle w:val="Tabletext"/>
            </w:pPr>
            <w:r w:rsidRPr="00DA3DDA">
              <w:t>VTG Skills for Life</w:t>
            </w:r>
          </w:p>
        </w:tc>
        <w:tc>
          <w:tcPr>
            <w:tcW w:w="250" w:type="pct"/>
            <w:shd w:val="clear" w:color="000000" w:fill="FFFFFF"/>
            <w:noWrap/>
            <w:vAlign w:val="bottom"/>
            <w:hideMark/>
          </w:tcPr>
          <w:p w:rsidR="004551A0" w:rsidRPr="00DA3DDA" w:rsidRDefault="00FA4672" w:rsidP="000E1068">
            <w:pPr>
              <w:pStyle w:val="Tabletext"/>
            </w:pPr>
            <w:r>
              <w:sym w:font="Wingdings" w:char="F0FC"/>
            </w:r>
          </w:p>
        </w:tc>
        <w:tc>
          <w:tcPr>
            <w:tcW w:w="299" w:type="pct"/>
            <w:shd w:val="clear" w:color="000000" w:fill="FFFFFF"/>
            <w:noWrap/>
            <w:vAlign w:val="bottom"/>
            <w:hideMark/>
          </w:tcPr>
          <w:p w:rsidR="004551A0" w:rsidRPr="00DA3DDA" w:rsidRDefault="004551A0" w:rsidP="000E1068">
            <w:pPr>
              <w:pStyle w:val="Tabletext"/>
            </w:pPr>
            <w:r w:rsidRPr="00DA3DDA">
              <w:t> </w:t>
            </w:r>
          </w:p>
        </w:tc>
        <w:tc>
          <w:tcPr>
            <w:tcW w:w="251" w:type="pct"/>
            <w:shd w:val="clear" w:color="000000" w:fill="FFFFFF"/>
            <w:noWrap/>
            <w:vAlign w:val="bottom"/>
            <w:hideMark/>
          </w:tcPr>
          <w:p w:rsidR="004551A0" w:rsidRPr="00DA3DDA" w:rsidRDefault="004551A0" w:rsidP="000E1068">
            <w:pPr>
              <w:pStyle w:val="Tabletext"/>
            </w:pPr>
            <w:r w:rsidRPr="00DA3DDA">
              <w:t>20+</w:t>
            </w:r>
          </w:p>
        </w:tc>
        <w:tc>
          <w:tcPr>
            <w:tcW w:w="850" w:type="pct"/>
            <w:shd w:val="clear" w:color="000000" w:fill="FFFFFF"/>
            <w:noWrap/>
            <w:vAlign w:val="bottom"/>
            <w:hideMark/>
          </w:tcPr>
          <w:p w:rsidR="004551A0" w:rsidRPr="00DA3DDA" w:rsidRDefault="004551A0" w:rsidP="000E1068">
            <w:pPr>
              <w:pStyle w:val="Tabletext"/>
            </w:pPr>
            <w:r>
              <w:t>A</w:t>
            </w:r>
            <w:r w:rsidRPr="00DA3DDA">
              <w:t>ll</w:t>
            </w:r>
          </w:p>
        </w:tc>
        <w:tc>
          <w:tcPr>
            <w:tcW w:w="1049" w:type="pct"/>
            <w:shd w:val="clear" w:color="000000" w:fill="FFFFFF"/>
            <w:noWrap/>
            <w:vAlign w:val="bottom"/>
            <w:hideMark/>
          </w:tcPr>
          <w:p w:rsidR="004551A0" w:rsidRPr="00DA3DDA" w:rsidRDefault="004551A0" w:rsidP="000E1068">
            <w:pPr>
              <w:pStyle w:val="Tabletext"/>
            </w:pPr>
            <w:r>
              <w:t>U</w:t>
            </w:r>
            <w:r w:rsidR="005A4E08">
              <w:t>p</w:t>
            </w:r>
            <w:r w:rsidRPr="00DA3DDA">
              <w:t>skilling for diplomas and above</w:t>
            </w:r>
          </w:p>
        </w:tc>
        <w:tc>
          <w:tcPr>
            <w:tcW w:w="554" w:type="pct"/>
            <w:shd w:val="clear" w:color="000000" w:fill="FFFFFF"/>
            <w:noWrap/>
            <w:vAlign w:val="bottom"/>
            <w:hideMark/>
          </w:tcPr>
          <w:p w:rsidR="004551A0" w:rsidRPr="00DA3DDA" w:rsidRDefault="004551A0" w:rsidP="000E1068">
            <w:pPr>
              <w:pStyle w:val="Tabletext"/>
            </w:pPr>
            <w:r>
              <w:t>N</w:t>
            </w:r>
            <w:r w:rsidRPr="00DA3DDA">
              <w:t>o</w:t>
            </w:r>
          </w:p>
        </w:tc>
      </w:tr>
      <w:tr w:rsidR="004551A0" w:rsidRPr="0026618F" w:rsidTr="000E1068">
        <w:trPr>
          <w:trHeight w:val="300"/>
        </w:trPr>
        <w:tc>
          <w:tcPr>
            <w:tcW w:w="357" w:type="pct"/>
            <w:shd w:val="clear" w:color="000000" w:fill="FFFFFF"/>
            <w:noWrap/>
            <w:vAlign w:val="bottom"/>
            <w:hideMark/>
          </w:tcPr>
          <w:p w:rsidR="004551A0" w:rsidRPr="00DA3DDA" w:rsidRDefault="00885BA1" w:rsidP="000E1068">
            <w:pPr>
              <w:pStyle w:val="Tabletext"/>
            </w:pPr>
            <w:r>
              <w:t>July 20</w:t>
            </w:r>
            <w:r w:rsidRPr="00DA3DDA">
              <w:t>09</w:t>
            </w:r>
          </w:p>
        </w:tc>
        <w:tc>
          <w:tcPr>
            <w:tcW w:w="357" w:type="pct"/>
            <w:shd w:val="clear" w:color="000000" w:fill="FFFFFF"/>
            <w:noWrap/>
            <w:vAlign w:val="bottom"/>
            <w:hideMark/>
          </w:tcPr>
          <w:p w:rsidR="004551A0" w:rsidRPr="00DA3DDA" w:rsidRDefault="004551A0" w:rsidP="000E1068">
            <w:pPr>
              <w:pStyle w:val="Tabletext"/>
            </w:pPr>
            <w:r>
              <w:t>O</w:t>
            </w:r>
            <w:r w:rsidR="005A4E08">
              <w:t>n</w:t>
            </w:r>
            <w:r w:rsidRPr="00DA3DDA">
              <w:t>going</w:t>
            </w:r>
          </w:p>
        </w:tc>
        <w:tc>
          <w:tcPr>
            <w:tcW w:w="1033" w:type="pct"/>
            <w:shd w:val="clear" w:color="000000" w:fill="FFFFFF"/>
            <w:noWrap/>
            <w:vAlign w:val="bottom"/>
            <w:hideMark/>
          </w:tcPr>
          <w:p w:rsidR="004551A0" w:rsidRPr="00DA3DDA" w:rsidRDefault="004551A0" w:rsidP="000E1068">
            <w:pPr>
              <w:pStyle w:val="Tabletext"/>
            </w:pPr>
            <w:r w:rsidRPr="00DA3DDA">
              <w:t>VET FEE-HELP</w:t>
            </w:r>
          </w:p>
        </w:tc>
        <w:tc>
          <w:tcPr>
            <w:tcW w:w="250" w:type="pct"/>
            <w:shd w:val="clear" w:color="000000" w:fill="FFFFFF"/>
            <w:noWrap/>
            <w:vAlign w:val="bottom"/>
            <w:hideMark/>
          </w:tcPr>
          <w:p w:rsidR="004551A0" w:rsidRPr="00DA3DDA" w:rsidRDefault="00FA4672" w:rsidP="000E1068">
            <w:pPr>
              <w:pStyle w:val="Tabletext"/>
            </w:pPr>
            <w:r>
              <w:sym w:font="Wingdings" w:char="F0FC"/>
            </w:r>
          </w:p>
        </w:tc>
        <w:tc>
          <w:tcPr>
            <w:tcW w:w="299" w:type="pct"/>
            <w:shd w:val="clear" w:color="000000" w:fill="FFFFFF"/>
            <w:noWrap/>
            <w:vAlign w:val="bottom"/>
            <w:hideMark/>
          </w:tcPr>
          <w:p w:rsidR="004551A0" w:rsidRPr="00DA3DDA" w:rsidRDefault="00FA4672" w:rsidP="000E1068">
            <w:pPr>
              <w:pStyle w:val="Tabletext"/>
            </w:pPr>
            <w:r>
              <w:sym w:font="Wingdings" w:char="F0FC"/>
            </w:r>
          </w:p>
        </w:tc>
        <w:tc>
          <w:tcPr>
            <w:tcW w:w="251" w:type="pct"/>
            <w:shd w:val="clear" w:color="000000" w:fill="FFFFFF"/>
            <w:noWrap/>
            <w:vAlign w:val="bottom"/>
            <w:hideMark/>
          </w:tcPr>
          <w:p w:rsidR="004551A0" w:rsidRPr="00DA3DDA" w:rsidRDefault="004551A0" w:rsidP="000E1068">
            <w:pPr>
              <w:pStyle w:val="Tabletext"/>
            </w:pPr>
            <w:r>
              <w:t>A</w:t>
            </w:r>
            <w:r w:rsidRPr="00DA3DDA">
              <w:t>ll</w:t>
            </w:r>
          </w:p>
        </w:tc>
        <w:tc>
          <w:tcPr>
            <w:tcW w:w="850" w:type="pct"/>
            <w:shd w:val="clear" w:color="000000" w:fill="FFFFFF"/>
            <w:noWrap/>
            <w:vAlign w:val="bottom"/>
            <w:hideMark/>
          </w:tcPr>
          <w:p w:rsidR="004551A0" w:rsidRPr="00DA3DDA" w:rsidRDefault="004551A0" w:rsidP="000E1068">
            <w:pPr>
              <w:pStyle w:val="Tabletext"/>
            </w:pPr>
            <w:r>
              <w:t>A</w:t>
            </w:r>
            <w:r w:rsidRPr="00DA3DDA">
              <w:t>ll</w:t>
            </w:r>
          </w:p>
        </w:tc>
        <w:tc>
          <w:tcPr>
            <w:tcW w:w="1049" w:type="pct"/>
            <w:shd w:val="clear" w:color="000000" w:fill="FFFFFF"/>
            <w:noWrap/>
            <w:vAlign w:val="bottom"/>
            <w:hideMark/>
          </w:tcPr>
          <w:p w:rsidR="004551A0" w:rsidRPr="00DA3DDA" w:rsidRDefault="004551A0" w:rsidP="000E1068">
            <w:pPr>
              <w:pStyle w:val="Tabletext"/>
            </w:pPr>
            <w:r>
              <w:t>D</w:t>
            </w:r>
            <w:r w:rsidRPr="00DA3DDA">
              <w:t>iploma and above</w:t>
            </w:r>
          </w:p>
        </w:tc>
        <w:tc>
          <w:tcPr>
            <w:tcW w:w="554" w:type="pct"/>
            <w:shd w:val="clear" w:color="000000" w:fill="FFFFFF"/>
            <w:noWrap/>
            <w:vAlign w:val="bottom"/>
            <w:hideMark/>
          </w:tcPr>
          <w:p w:rsidR="004551A0" w:rsidRPr="00DA3DDA" w:rsidRDefault="004551A0" w:rsidP="000E1068">
            <w:pPr>
              <w:pStyle w:val="Tabletext"/>
            </w:pPr>
            <w:r>
              <w:t>Y</w:t>
            </w:r>
            <w:r w:rsidRPr="00DA3DDA">
              <w:t>es</w:t>
            </w:r>
          </w:p>
        </w:tc>
      </w:tr>
      <w:tr w:rsidR="004551A0" w:rsidRPr="0026618F" w:rsidTr="000E1068">
        <w:trPr>
          <w:trHeight w:val="300"/>
        </w:trPr>
        <w:tc>
          <w:tcPr>
            <w:tcW w:w="357" w:type="pct"/>
            <w:shd w:val="clear" w:color="000000" w:fill="FFFFFF"/>
            <w:noWrap/>
            <w:vAlign w:val="bottom"/>
            <w:hideMark/>
          </w:tcPr>
          <w:p w:rsidR="004551A0" w:rsidRPr="00DA3DDA" w:rsidRDefault="007F3590" w:rsidP="000E1068">
            <w:pPr>
              <w:pStyle w:val="Tabletext"/>
            </w:pPr>
            <w:r>
              <w:t>Jan.</w:t>
            </w:r>
            <w:r w:rsidR="00885BA1">
              <w:t xml:space="preserve"> 20</w:t>
            </w:r>
            <w:r w:rsidR="004551A0" w:rsidRPr="00DA3DDA">
              <w:t>10</w:t>
            </w:r>
          </w:p>
        </w:tc>
        <w:tc>
          <w:tcPr>
            <w:tcW w:w="357" w:type="pct"/>
            <w:shd w:val="clear" w:color="000000" w:fill="FFFFFF"/>
            <w:noWrap/>
            <w:vAlign w:val="bottom"/>
            <w:hideMark/>
          </w:tcPr>
          <w:p w:rsidR="004551A0" w:rsidRPr="00DA3DDA" w:rsidRDefault="005A4E08" w:rsidP="000E1068">
            <w:pPr>
              <w:pStyle w:val="Tabletext"/>
            </w:pPr>
            <w:r>
              <w:t>Jan. 20</w:t>
            </w:r>
            <w:r w:rsidR="004551A0" w:rsidRPr="00DA3DDA">
              <w:t>11</w:t>
            </w:r>
          </w:p>
        </w:tc>
        <w:tc>
          <w:tcPr>
            <w:tcW w:w="1033" w:type="pct"/>
            <w:shd w:val="clear" w:color="000000" w:fill="FFFFFF"/>
            <w:noWrap/>
            <w:vAlign w:val="bottom"/>
            <w:hideMark/>
          </w:tcPr>
          <w:p w:rsidR="004551A0" w:rsidRPr="00DA3DDA" w:rsidRDefault="004551A0" w:rsidP="000E1068">
            <w:pPr>
              <w:pStyle w:val="Tabletext"/>
            </w:pPr>
            <w:r w:rsidRPr="00DA3DDA">
              <w:t>VTG with Retrenched Workers</w:t>
            </w:r>
          </w:p>
        </w:tc>
        <w:tc>
          <w:tcPr>
            <w:tcW w:w="250" w:type="pct"/>
            <w:shd w:val="clear" w:color="000000" w:fill="FFFFFF"/>
            <w:noWrap/>
            <w:vAlign w:val="bottom"/>
            <w:hideMark/>
          </w:tcPr>
          <w:p w:rsidR="004551A0" w:rsidRPr="00DA3DDA" w:rsidRDefault="00FA4672" w:rsidP="000E1068">
            <w:pPr>
              <w:pStyle w:val="Tabletext"/>
            </w:pPr>
            <w:r>
              <w:sym w:font="Wingdings" w:char="F0FC"/>
            </w:r>
          </w:p>
        </w:tc>
        <w:tc>
          <w:tcPr>
            <w:tcW w:w="299" w:type="pct"/>
            <w:shd w:val="clear" w:color="000000" w:fill="FFFFFF"/>
            <w:noWrap/>
            <w:vAlign w:val="bottom"/>
            <w:hideMark/>
          </w:tcPr>
          <w:p w:rsidR="004551A0" w:rsidRPr="00DA3DDA" w:rsidRDefault="004551A0" w:rsidP="000E1068">
            <w:pPr>
              <w:pStyle w:val="Tabletext"/>
            </w:pPr>
            <w:r w:rsidRPr="00DA3DDA">
              <w:t> </w:t>
            </w:r>
          </w:p>
        </w:tc>
        <w:tc>
          <w:tcPr>
            <w:tcW w:w="251" w:type="pct"/>
            <w:shd w:val="clear" w:color="000000" w:fill="FFFFFF"/>
            <w:noWrap/>
            <w:vAlign w:val="bottom"/>
            <w:hideMark/>
          </w:tcPr>
          <w:p w:rsidR="004551A0" w:rsidRPr="00DA3DDA" w:rsidRDefault="004551A0" w:rsidP="000E1068">
            <w:pPr>
              <w:pStyle w:val="Tabletext"/>
            </w:pPr>
            <w:r w:rsidRPr="00DA3DDA">
              <w:t>25+</w:t>
            </w:r>
          </w:p>
        </w:tc>
        <w:tc>
          <w:tcPr>
            <w:tcW w:w="850" w:type="pct"/>
            <w:shd w:val="clear" w:color="000000" w:fill="FFFFFF"/>
            <w:noWrap/>
            <w:vAlign w:val="bottom"/>
            <w:hideMark/>
          </w:tcPr>
          <w:p w:rsidR="004551A0" w:rsidRPr="00DA3DDA" w:rsidRDefault="004551A0" w:rsidP="000E1068">
            <w:pPr>
              <w:pStyle w:val="Tabletext"/>
            </w:pPr>
            <w:r>
              <w:t>R</w:t>
            </w:r>
            <w:r w:rsidRPr="00DA3DDA">
              <w:t>etrenched workers</w:t>
            </w:r>
          </w:p>
        </w:tc>
        <w:tc>
          <w:tcPr>
            <w:tcW w:w="1049" w:type="pct"/>
            <w:shd w:val="clear" w:color="000000" w:fill="FFFFFF"/>
            <w:noWrap/>
            <w:vAlign w:val="bottom"/>
            <w:hideMark/>
          </w:tcPr>
          <w:p w:rsidR="004551A0" w:rsidRPr="00DA3DDA" w:rsidRDefault="004551A0" w:rsidP="000E1068">
            <w:pPr>
              <w:pStyle w:val="Tabletext"/>
            </w:pPr>
            <w:r>
              <w:t>U</w:t>
            </w:r>
            <w:r w:rsidR="005A4E08">
              <w:t>p</w:t>
            </w:r>
            <w:r w:rsidRPr="00DA3DDA">
              <w:t>skilling and foundation</w:t>
            </w:r>
          </w:p>
        </w:tc>
        <w:tc>
          <w:tcPr>
            <w:tcW w:w="554" w:type="pct"/>
            <w:shd w:val="clear" w:color="000000" w:fill="FFFFFF"/>
            <w:noWrap/>
            <w:vAlign w:val="bottom"/>
            <w:hideMark/>
          </w:tcPr>
          <w:p w:rsidR="004551A0" w:rsidRPr="00DA3DDA" w:rsidRDefault="004551A0" w:rsidP="000E1068">
            <w:pPr>
              <w:pStyle w:val="Tabletext"/>
            </w:pPr>
            <w:r>
              <w:t>N</w:t>
            </w:r>
            <w:r w:rsidRPr="00DA3DDA">
              <w:t>o</w:t>
            </w:r>
          </w:p>
        </w:tc>
      </w:tr>
      <w:tr w:rsidR="004551A0" w:rsidRPr="0026618F" w:rsidTr="000E1068">
        <w:trPr>
          <w:trHeight w:val="300"/>
        </w:trPr>
        <w:tc>
          <w:tcPr>
            <w:tcW w:w="357" w:type="pct"/>
            <w:shd w:val="clear" w:color="000000" w:fill="FFFFFF"/>
            <w:noWrap/>
            <w:vAlign w:val="bottom"/>
            <w:hideMark/>
          </w:tcPr>
          <w:p w:rsidR="004551A0" w:rsidRPr="00DA3DDA" w:rsidRDefault="00885BA1" w:rsidP="007F3590">
            <w:pPr>
              <w:pStyle w:val="Tabletext"/>
            </w:pPr>
            <w:r>
              <w:t>Jan</w:t>
            </w:r>
            <w:r w:rsidR="007F3590">
              <w:t>.</w:t>
            </w:r>
            <w:r w:rsidRPr="00DA3DDA">
              <w:t xml:space="preserve"> </w:t>
            </w:r>
            <w:r>
              <w:t>20</w:t>
            </w:r>
            <w:r w:rsidR="004551A0" w:rsidRPr="00DA3DDA">
              <w:t>11</w:t>
            </w:r>
          </w:p>
        </w:tc>
        <w:tc>
          <w:tcPr>
            <w:tcW w:w="357" w:type="pct"/>
            <w:shd w:val="clear" w:color="000000" w:fill="FFFFFF"/>
            <w:noWrap/>
            <w:vAlign w:val="bottom"/>
            <w:hideMark/>
          </w:tcPr>
          <w:p w:rsidR="004551A0" w:rsidRPr="00DA3DDA" w:rsidRDefault="004551A0" w:rsidP="000E1068">
            <w:pPr>
              <w:pStyle w:val="Tabletext"/>
            </w:pPr>
            <w:r>
              <w:t>O</w:t>
            </w:r>
            <w:r w:rsidR="005A4E08">
              <w:t>n</w:t>
            </w:r>
            <w:r w:rsidRPr="00DA3DDA">
              <w:t>going</w:t>
            </w:r>
          </w:p>
        </w:tc>
        <w:tc>
          <w:tcPr>
            <w:tcW w:w="1033" w:type="pct"/>
            <w:shd w:val="clear" w:color="000000" w:fill="FFFFFF"/>
            <w:noWrap/>
            <w:vAlign w:val="bottom"/>
            <w:hideMark/>
          </w:tcPr>
          <w:p w:rsidR="004551A0" w:rsidRPr="00DA3DDA" w:rsidRDefault="004551A0" w:rsidP="000E1068">
            <w:pPr>
              <w:pStyle w:val="Tabletext"/>
            </w:pPr>
            <w:r w:rsidRPr="00DA3DDA">
              <w:t>VTG extension</w:t>
            </w:r>
          </w:p>
        </w:tc>
        <w:tc>
          <w:tcPr>
            <w:tcW w:w="250" w:type="pct"/>
            <w:shd w:val="clear" w:color="000000" w:fill="FFFFFF"/>
            <w:noWrap/>
            <w:vAlign w:val="bottom"/>
            <w:hideMark/>
          </w:tcPr>
          <w:p w:rsidR="004551A0" w:rsidRPr="00DA3DDA" w:rsidRDefault="00FA4672" w:rsidP="000E1068">
            <w:pPr>
              <w:pStyle w:val="Tabletext"/>
            </w:pPr>
            <w:r>
              <w:sym w:font="Wingdings" w:char="F0FC"/>
            </w:r>
          </w:p>
        </w:tc>
        <w:tc>
          <w:tcPr>
            <w:tcW w:w="299" w:type="pct"/>
            <w:shd w:val="clear" w:color="000000" w:fill="FFFFFF"/>
            <w:noWrap/>
            <w:vAlign w:val="bottom"/>
            <w:hideMark/>
          </w:tcPr>
          <w:p w:rsidR="004551A0" w:rsidRPr="00DA3DDA" w:rsidRDefault="004551A0" w:rsidP="000E1068">
            <w:pPr>
              <w:pStyle w:val="Tabletext"/>
            </w:pPr>
            <w:r w:rsidRPr="00DA3DDA">
              <w:t> </w:t>
            </w:r>
          </w:p>
        </w:tc>
        <w:tc>
          <w:tcPr>
            <w:tcW w:w="251" w:type="pct"/>
            <w:shd w:val="clear" w:color="000000" w:fill="FFFFFF"/>
            <w:noWrap/>
            <w:vAlign w:val="bottom"/>
            <w:hideMark/>
          </w:tcPr>
          <w:p w:rsidR="004551A0" w:rsidRPr="00DA3DDA" w:rsidRDefault="004551A0" w:rsidP="000E1068">
            <w:pPr>
              <w:pStyle w:val="Tabletext"/>
            </w:pPr>
            <w:r w:rsidRPr="00DA3DDA">
              <w:t>20+</w:t>
            </w:r>
          </w:p>
        </w:tc>
        <w:tc>
          <w:tcPr>
            <w:tcW w:w="850" w:type="pct"/>
            <w:shd w:val="clear" w:color="000000" w:fill="FFFFFF"/>
            <w:noWrap/>
            <w:vAlign w:val="bottom"/>
            <w:hideMark/>
          </w:tcPr>
          <w:p w:rsidR="004551A0" w:rsidRPr="00DA3DDA" w:rsidRDefault="004551A0" w:rsidP="000E1068">
            <w:pPr>
              <w:pStyle w:val="Tabletext"/>
            </w:pPr>
            <w:r>
              <w:t>A</w:t>
            </w:r>
            <w:r w:rsidRPr="00DA3DDA">
              <w:t>ll</w:t>
            </w:r>
          </w:p>
        </w:tc>
        <w:tc>
          <w:tcPr>
            <w:tcW w:w="1049" w:type="pct"/>
            <w:shd w:val="clear" w:color="000000" w:fill="FFFFFF"/>
            <w:noWrap/>
            <w:vAlign w:val="bottom"/>
            <w:hideMark/>
          </w:tcPr>
          <w:p w:rsidR="004551A0" w:rsidRPr="00DA3DDA" w:rsidRDefault="004551A0" w:rsidP="000E1068">
            <w:pPr>
              <w:pStyle w:val="Tabletext"/>
            </w:pPr>
            <w:r>
              <w:t>U</w:t>
            </w:r>
            <w:r w:rsidR="005A4E08">
              <w:t>p</w:t>
            </w:r>
            <w:r w:rsidRPr="00DA3DDA">
              <w:t>skilling and foundation</w:t>
            </w:r>
          </w:p>
        </w:tc>
        <w:tc>
          <w:tcPr>
            <w:tcW w:w="554" w:type="pct"/>
            <w:shd w:val="clear" w:color="000000" w:fill="FFFFFF"/>
            <w:noWrap/>
            <w:vAlign w:val="bottom"/>
            <w:hideMark/>
          </w:tcPr>
          <w:p w:rsidR="004551A0" w:rsidRPr="00DA3DDA" w:rsidRDefault="004551A0" w:rsidP="000E1068">
            <w:pPr>
              <w:pStyle w:val="Tabletext"/>
            </w:pPr>
            <w:r>
              <w:t>N</w:t>
            </w:r>
            <w:r w:rsidRPr="00DA3DDA">
              <w:t>o</w:t>
            </w:r>
          </w:p>
        </w:tc>
      </w:tr>
      <w:tr w:rsidR="004551A0" w:rsidRPr="0026618F" w:rsidTr="000E1068">
        <w:trPr>
          <w:trHeight w:val="300"/>
        </w:trPr>
        <w:tc>
          <w:tcPr>
            <w:tcW w:w="357" w:type="pct"/>
            <w:tcBorders>
              <w:bottom w:val="single" w:sz="4" w:space="0" w:color="auto"/>
            </w:tcBorders>
            <w:shd w:val="clear" w:color="000000" w:fill="FFFFFF"/>
            <w:noWrap/>
            <w:vAlign w:val="bottom"/>
            <w:hideMark/>
          </w:tcPr>
          <w:p w:rsidR="004551A0" w:rsidRPr="00D75D7A" w:rsidRDefault="00885BA1" w:rsidP="000E1068">
            <w:pPr>
              <w:pStyle w:val="Tabletext"/>
            </w:pPr>
            <w:r>
              <w:t>July 20</w:t>
            </w:r>
            <w:r w:rsidR="004551A0" w:rsidRPr="00D75D7A">
              <w:t>12</w:t>
            </w:r>
          </w:p>
        </w:tc>
        <w:tc>
          <w:tcPr>
            <w:tcW w:w="357" w:type="pct"/>
            <w:tcBorders>
              <w:bottom w:val="single" w:sz="4" w:space="0" w:color="auto"/>
            </w:tcBorders>
            <w:shd w:val="clear" w:color="000000" w:fill="FFFFFF"/>
            <w:noWrap/>
            <w:vAlign w:val="bottom"/>
            <w:hideMark/>
          </w:tcPr>
          <w:p w:rsidR="004551A0" w:rsidRPr="00D75D7A" w:rsidRDefault="005A4E08" w:rsidP="000E1068">
            <w:pPr>
              <w:pStyle w:val="Tabletext"/>
            </w:pPr>
            <w:r>
              <w:t>On</w:t>
            </w:r>
            <w:r w:rsidR="004551A0" w:rsidRPr="00D75D7A">
              <w:t>going</w:t>
            </w:r>
          </w:p>
        </w:tc>
        <w:tc>
          <w:tcPr>
            <w:tcW w:w="1033" w:type="pct"/>
            <w:tcBorders>
              <w:bottom w:val="single" w:sz="4" w:space="0" w:color="auto"/>
            </w:tcBorders>
            <w:shd w:val="clear" w:color="000000" w:fill="FFFFFF"/>
            <w:noWrap/>
            <w:vAlign w:val="bottom"/>
            <w:hideMark/>
          </w:tcPr>
          <w:p w:rsidR="004551A0" w:rsidRPr="00D75D7A" w:rsidRDefault="004551A0" w:rsidP="000E1068">
            <w:pPr>
              <w:pStyle w:val="Tabletext"/>
            </w:pPr>
            <w:r w:rsidRPr="00D75D7A">
              <w:t xml:space="preserve">Refocussing </w:t>
            </w:r>
            <w:r>
              <w:t>VET</w:t>
            </w:r>
          </w:p>
        </w:tc>
        <w:tc>
          <w:tcPr>
            <w:tcW w:w="250" w:type="pct"/>
            <w:tcBorders>
              <w:bottom w:val="single" w:sz="4" w:space="0" w:color="auto"/>
            </w:tcBorders>
            <w:shd w:val="clear" w:color="000000" w:fill="FFFFFF"/>
            <w:noWrap/>
            <w:vAlign w:val="bottom"/>
            <w:hideMark/>
          </w:tcPr>
          <w:p w:rsidR="004551A0" w:rsidRPr="00D75D7A" w:rsidRDefault="00FA4672" w:rsidP="000E1068">
            <w:pPr>
              <w:pStyle w:val="Tabletext"/>
            </w:pPr>
            <w:r>
              <w:sym w:font="Wingdings" w:char="F0FC"/>
            </w:r>
          </w:p>
        </w:tc>
        <w:tc>
          <w:tcPr>
            <w:tcW w:w="299" w:type="pct"/>
            <w:tcBorders>
              <w:bottom w:val="single" w:sz="4" w:space="0" w:color="auto"/>
            </w:tcBorders>
            <w:shd w:val="clear" w:color="000000" w:fill="FFFFFF"/>
            <w:noWrap/>
            <w:vAlign w:val="bottom"/>
            <w:hideMark/>
          </w:tcPr>
          <w:p w:rsidR="004551A0" w:rsidRPr="00D75D7A" w:rsidRDefault="004551A0" w:rsidP="000E1068">
            <w:pPr>
              <w:pStyle w:val="Tabletext"/>
            </w:pPr>
            <w:r w:rsidRPr="00D75D7A">
              <w:t> </w:t>
            </w:r>
          </w:p>
        </w:tc>
        <w:tc>
          <w:tcPr>
            <w:tcW w:w="251" w:type="pct"/>
            <w:tcBorders>
              <w:bottom w:val="single" w:sz="4" w:space="0" w:color="auto"/>
            </w:tcBorders>
            <w:shd w:val="clear" w:color="000000" w:fill="FFFFFF"/>
            <w:noWrap/>
            <w:vAlign w:val="bottom"/>
            <w:hideMark/>
          </w:tcPr>
          <w:p w:rsidR="004551A0" w:rsidRPr="00EE5341" w:rsidRDefault="004551A0" w:rsidP="000E1068">
            <w:pPr>
              <w:pStyle w:val="Tabletext"/>
            </w:pPr>
            <w:r w:rsidRPr="00EE5341">
              <w:t>All</w:t>
            </w:r>
          </w:p>
        </w:tc>
        <w:tc>
          <w:tcPr>
            <w:tcW w:w="850" w:type="pct"/>
            <w:tcBorders>
              <w:bottom w:val="single" w:sz="4" w:space="0" w:color="auto"/>
            </w:tcBorders>
            <w:shd w:val="clear" w:color="000000" w:fill="FFFFFF"/>
            <w:noWrap/>
            <w:vAlign w:val="bottom"/>
            <w:hideMark/>
          </w:tcPr>
          <w:p w:rsidR="004551A0" w:rsidRPr="00EE5341" w:rsidRDefault="004551A0" w:rsidP="000E1068">
            <w:pPr>
              <w:pStyle w:val="Tabletext"/>
            </w:pPr>
            <w:r w:rsidRPr="00EE5341">
              <w:t>All</w:t>
            </w:r>
          </w:p>
        </w:tc>
        <w:tc>
          <w:tcPr>
            <w:tcW w:w="1049" w:type="pct"/>
            <w:tcBorders>
              <w:bottom w:val="single" w:sz="4" w:space="0" w:color="auto"/>
            </w:tcBorders>
            <w:shd w:val="clear" w:color="000000" w:fill="FFFFFF"/>
            <w:noWrap/>
            <w:vAlign w:val="bottom"/>
            <w:hideMark/>
          </w:tcPr>
          <w:p w:rsidR="004551A0" w:rsidRPr="00EE5341" w:rsidRDefault="005A4E08" w:rsidP="000E1068">
            <w:pPr>
              <w:pStyle w:val="Tabletext"/>
            </w:pPr>
            <w:r>
              <w:t>Up</w:t>
            </w:r>
            <w:r w:rsidR="004551A0" w:rsidRPr="00EE5341">
              <w:t>skilling and foundation</w:t>
            </w:r>
          </w:p>
        </w:tc>
        <w:tc>
          <w:tcPr>
            <w:tcW w:w="554" w:type="pct"/>
            <w:tcBorders>
              <w:bottom w:val="single" w:sz="4" w:space="0" w:color="auto"/>
            </w:tcBorders>
            <w:shd w:val="clear" w:color="000000" w:fill="FFFFFF"/>
            <w:noWrap/>
            <w:vAlign w:val="bottom"/>
            <w:hideMark/>
          </w:tcPr>
          <w:p w:rsidR="004551A0" w:rsidRPr="00EE5341" w:rsidRDefault="004551A0" w:rsidP="000E1068">
            <w:pPr>
              <w:pStyle w:val="Tabletext"/>
            </w:pPr>
            <w:r w:rsidRPr="00EE5341">
              <w:t>No</w:t>
            </w:r>
          </w:p>
        </w:tc>
      </w:tr>
      <w:tr w:rsidR="004551A0" w:rsidRPr="002869DC" w:rsidTr="000E1068">
        <w:trPr>
          <w:trHeight w:val="821"/>
        </w:trPr>
        <w:tc>
          <w:tcPr>
            <w:tcW w:w="5000" w:type="pct"/>
            <w:gridSpan w:val="9"/>
            <w:tcBorders>
              <w:top w:val="single" w:sz="4" w:space="0" w:color="auto"/>
            </w:tcBorders>
            <w:shd w:val="clear" w:color="000000" w:fill="FFFFFF"/>
            <w:noWrap/>
            <w:vAlign w:val="bottom"/>
            <w:hideMark/>
          </w:tcPr>
          <w:p w:rsidR="004551A0" w:rsidRPr="002869DC" w:rsidRDefault="00FB483A" w:rsidP="00E27416">
            <w:pPr>
              <w:pStyle w:val="Source"/>
              <w:rPr>
                <w:rFonts w:ascii="Arial" w:hAnsi="Arial" w:cs="Arial"/>
                <w:sz w:val="15"/>
                <w:szCs w:val="15"/>
              </w:rPr>
            </w:pPr>
            <w:r>
              <w:rPr>
                <w:rFonts w:ascii="Arial" w:hAnsi="Arial" w:cs="Arial"/>
                <w:sz w:val="15"/>
                <w:szCs w:val="15"/>
              </w:rPr>
              <w:t>Notes:</w:t>
            </w:r>
            <w:r w:rsidR="00C73216" w:rsidRPr="00C74605">
              <w:rPr>
                <w:vertAlign w:val="superscript"/>
              </w:rPr>
              <w:t xml:space="preserve"> </w:t>
            </w:r>
            <w:r w:rsidR="00C73216" w:rsidRPr="00C74605">
              <w:rPr>
                <w:vertAlign w:val="superscript"/>
              </w:rPr>
              <w:tab/>
            </w:r>
            <w:r w:rsidR="00E27416">
              <w:rPr>
                <w:rFonts w:ascii="Arial" w:hAnsi="Arial" w:cs="Arial"/>
                <w:sz w:val="15"/>
                <w:szCs w:val="15"/>
              </w:rPr>
              <w:t>1</w:t>
            </w:r>
            <w:r w:rsidR="00C73216" w:rsidRPr="00C74605">
              <w:rPr>
                <w:vertAlign w:val="superscript"/>
              </w:rPr>
              <w:tab/>
            </w:r>
            <w:r w:rsidR="00FA695D" w:rsidRPr="002869DC">
              <w:rPr>
                <w:rFonts w:ascii="Arial" w:hAnsi="Arial" w:cs="Arial"/>
                <w:sz w:val="15"/>
                <w:szCs w:val="15"/>
              </w:rPr>
              <w:t>National Partnership Agreement on Productivity Places Program</w:t>
            </w:r>
            <w:r w:rsidR="007F3590">
              <w:rPr>
                <w:rFonts w:ascii="Arial" w:hAnsi="Arial" w:cs="Arial"/>
                <w:sz w:val="15"/>
                <w:szCs w:val="15"/>
              </w:rPr>
              <w:t>.</w:t>
            </w:r>
          </w:p>
          <w:p w:rsidR="004551A0" w:rsidRPr="002869DC" w:rsidRDefault="00E27416" w:rsidP="00E27416">
            <w:pPr>
              <w:pStyle w:val="Source"/>
              <w:spacing w:before="0"/>
              <w:ind w:firstLine="0"/>
              <w:rPr>
                <w:rFonts w:ascii="Arial" w:hAnsi="Arial" w:cs="Arial"/>
                <w:sz w:val="15"/>
                <w:szCs w:val="15"/>
              </w:rPr>
            </w:pPr>
            <w:r>
              <w:rPr>
                <w:rFonts w:ascii="Arial" w:hAnsi="Arial" w:cs="Arial"/>
                <w:sz w:val="15"/>
                <w:szCs w:val="15"/>
              </w:rPr>
              <w:t>2</w:t>
            </w:r>
            <w:r w:rsidR="00C73216" w:rsidRPr="00C74605">
              <w:rPr>
                <w:vertAlign w:val="superscript"/>
              </w:rPr>
              <w:tab/>
            </w:r>
            <w:r w:rsidR="00FA695D" w:rsidRPr="002869DC">
              <w:rPr>
                <w:rFonts w:ascii="Arial" w:hAnsi="Arial" w:cs="Arial"/>
                <w:sz w:val="15"/>
                <w:szCs w:val="15"/>
              </w:rPr>
              <w:t>Upskilling limited to certificate II+ for job seekers and certificate III+ for employees, in areas with skill shortages.</w:t>
            </w:r>
          </w:p>
          <w:p w:rsidR="0047592B" w:rsidRPr="002869DC" w:rsidRDefault="00E27416" w:rsidP="00E27416">
            <w:pPr>
              <w:pStyle w:val="Source"/>
              <w:spacing w:before="0"/>
              <w:ind w:firstLine="0"/>
              <w:rPr>
                <w:rFonts w:ascii="Arial" w:hAnsi="Arial" w:cs="Arial"/>
                <w:sz w:val="15"/>
                <w:szCs w:val="15"/>
              </w:rPr>
            </w:pPr>
            <w:r>
              <w:rPr>
                <w:rFonts w:ascii="Arial" w:hAnsi="Arial" w:cs="Arial"/>
                <w:sz w:val="15"/>
                <w:szCs w:val="15"/>
              </w:rPr>
              <w:t>3</w:t>
            </w:r>
            <w:r w:rsidR="00C73216" w:rsidRPr="00C74605">
              <w:rPr>
                <w:vertAlign w:val="superscript"/>
              </w:rPr>
              <w:tab/>
            </w:r>
            <w:r w:rsidR="00FA695D" w:rsidRPr="002869DC">
              <w:rPr>
                <w:rFonts w:ascii="Arial" w:hAnsi="Arial" w:cs="Arial"/>
                <w:sz w:val="15"/>
                <w:szCs w:val="15"/>
              </w:rPr>
              <w:t>Entitlements and eligibility depend upon post-school qualifications obtained, and are subject to annual caps imposed. See text for details.</w:t>
            </w:r>
          </w:p>
          <w:p w:rsidR="0047592B" w:rsidRPr="002869DC" w:rsidRDefault="00E27416" w:rsidP="00E27416">
            <w:pPr>
              <w:pStyle w:val="Source"/>
              <w:spacing w:before="0"/>
              <w:ind w:firstLine="0"/>
              <w:rPr>
                <w:rFonts w:ascii="Arial" w:hAnsi="Arial" w:cs="Arial"/>
                <w:sz w:val="15"/>
                <w:szCs w:val="15"/>
              </w:rPr>
            </w:pPr>
            <w:r>
              <w:rPr>
                <w:rFonts w:ascii="Arial" w:hAnsi="Arial" w:cs="Arial"/>
                <w:sz w:val="15"/>
                <w:szCs w:val="15"/>
              </w:rPr>
              <w:t>4</w:t>
            </w:r>
            <w:r w:rsidR="00C73216" w:rsidRPr="00C74605">
              <w:rPr>
                <w:vertAlign w:val="superscript"/>
              </w:rPr>
              <w:tab/>
            </w:r>
            <w:r w:rsidR="00FA695D" w:rsidRPr="002869DC">
              <w:rPr>
                <w:rFonts w:ascii="Arial" w:hAnsi="Arial" w:cs="Arial"/>
                <w:sz w:val="15"/>
                <w:szCs w:val="15"/>
              </w:rPr>
              <w:t>Victorian Training Guarantee</w:t>
            </w:r>
          </w:p>
          <w:p w:rsidR="004551A0" w:rsidRPr="002869DC" w:rsidRDefault="004551A0" w:rsidP="008456DB">
            <w:pPr>
              <w:pStyle w:val="Source"/>
              <w:rPr>
                <w:rFonts w:ascii="Arial" w:hAnsi="Arial" w:cs="Arial"/>
                <w:sz w:val="15"/>
                <w:szCs w:val="15"/>
              </w:rPr>
            </w:pPr>
          </w:p>
        </w:tc>
      </w:tr>
    </w:tbl>
    <w:p w:rsidR="00C74953" w:rsidRDefault="00C74953" w:rsidP="00CE7563">
      <w:pPr>
        <w:pStyle w:val="Note"/>
      </w:pPr>
    </w:p>
    <w:p w:rsidR="004551A0" w:rsidRDefault="004551A0" w:rsidP="00ED0C08">
      <w:pPr>
        <w:pStyle w:val="Heading2"/>
        <w:sectPr w:rsidR="004551A0" w:rsidSect="00011633">
          <w:footerReference w:type="even" r:id="rId46"/>
          <w:footerReference w:type="default" r:id="rId47"/>
          <w:pgSz w:w="16840" w:h="11907" w:orient="landscape" w:code="9"/>
          <w:pgMar w:top="1418" w:right="1276" w:bottom="2552" w:left="1276" w:header="709" w:footer="556" w:gutter="0"/>
          <w:cols w:space="708"/>
          <w:docGrid w:linePitch="360"/>
        </w:sectPr>
      </w:pPr>
    </w:p>
    <w:p w:rsidR="0005351B" w:rsidRDefault="009140A6" w:rsidP="00D2237C">
      <w:pPr>
        <w:pStyle w:val="Heading1"/>
      </w:pPr>
      <w:bookmarkStart w:id="56" w:name="_Toc438209978"/>
      <w:bookmarkStart w:id="57" w:name="_Toc472517003"/>
      <w:r>
        <w:rPr>
          <w:noProof/>
          <w:lang w:eastAsia="en-AU"/>
        </w:rPr>
        <w:lastRenderedPageBreak/>
        <w:drawing>
          <wp:anchor distT="0" distB="0" distL="114300" distR="114300" simplePos="0" relativeHeight="251667456" behindDoc="1" locked="0" layoutInCell="1" allowOverlap="1" wp14:anchorId="3C20D490" wp14:editId="52875BF9">
            <wp:simplePos x="0" y="0"/>
            <wp:positionH relativeFrom="column">
              <wp:posOffset>30408</wp:posOffset>
            </wp:positionH>
            <wp:positionV relativeFrom="paragraph">
              <wp:posOffset>-42509</wp:posOffset>
            </wp:positionV>
            <wp:extent cx="423545" cy="445770"/>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3545" cy="445770"/>
                    </a:xfrm>
                    <a:prstGeom prst="rect">
                      <a:avLst/>
                    </a:prstGeom>
                    <a:noFill/>
                    <a:ln>
                      <a:noFill/>
                    </a:ln>
                  </pic:spPr>
                </pic:pic>
              </a:graphicData>
            </a:graphic>
          </wp:anchor>
        </w:drawing>
      </w:r>
      <w:r w:rsidR="00D2237C">
        <w:t>Data and empirical method</w:t>
      </w:r>
      <w:bookmarkEnd w:id="56"/>
      <w:bookmarkEnd w:id="57"/>
    </w:p>
    <w:p w:rsidR="00FF10CF" w:rsidRDefault="00FA5DA0" w:rsidP="00D2237C">
      <w:pPr>
        <w:pStyle w:val="Text"/>
      </w:pPr>
      <w:r>
        <w:t xml:space="preserve">The </w:t>
      </w:r>
      <w:r w:rsidR="000A7BF4">
        <w:t xml:space="preserve">empirical analysis focuses </w:t>
      </w:r>
      <w:r w:rsidR="0005351B" w:rsidRPr="0005351B">
        <w:t xml:space="preserve">on answering </w:t>
      </w:r>
      <w:r w:rsidR="005A4E08">
        <w:t xml:space="preserve">the </w:t>
      </w:r>
      <w:r w:rsidR="00F5100C">
        <w:t xml:space="preserve">key </w:t>
      </w:r>
      <w:r w:rsidR="0005351B" w:rsidRPr="0005351B">
        <w:t>research questions</w:t>
      </w:r>
      <w:r w:rsidR="00885BA1">
        <w:t>, as</w:t>
      </w:r>
      <w:r w:rsidR="00F5100C">
        <w:t xml:space="preserve"> outlined in the introduction. To do so, we require </w:t>
      </w:r>
      <w:r w:rsidR="00370636">
        <w:t>data</w:t>
      </w:r>
      <w:r w:rsidR="00F5100C">
        <w:t xml:space="preserve"> from a range</w:t>
      </w:r>
      <w:r w:rsidR="00B91EB5">
        <w:t xml:space="preserve"> of</w:t>
      </w:r>
      <w:r w:rsidR="00370636">
        <w:t xml:space="preserve"> sources</w:t>
      </w:r>
      <w:r w:rsidR="001D465F">
        <w:t xml:space="preserve"> over the period of analysis</w:t>
      </w:r>
      <w:r w:rsidR="00B91EB5">
        <w:t xml:space="preserve">, </w:t>
      </w:r>
      <w:r w:rsidR="001D465F">
        <w:t>January 2006 to December 2008 (pre-reform) and January 2011 to J</w:t>
      </w:r>
      <w:r w:rsidR="00FF10CF">
        <w:t>une</w:t>
      </w:r>
      <w:r w:rsidR="001D465F">
        <w:t xml:space="preserve"> 2012 (post-reform). </w:t>
      </w:r>
      <w:r>
        <w:t>T</w:t>
      </w:r>
      <w:r w:rsidR="00FF10CF">
        <w:t xml:space="preserve">he </w:t>
      </w:r>
      <w:r w:rsidR="005A4E08">
        <w:t>Victorian Training Guarantee</w:t>
      </w:r>
      <w:r w:rsidR="00FF10CF">
        <w:t xml:space="preserve"> was implemen</w:t>
      </w:r>
      <w:r w:rsidR="005A4E08">
        <w:t xml:space="preserve">ted in stages for 25 to </w:t>
      </w:r>
      <w:r w:rsidR="000A7BF4">
        <w:t>54 year-olds;</w:t>
      </w:r>
      <w:r w:rsidR="00FF10CF">
        <w:t xml:space="preserve"> </w:t>
      </w:r>
      <w:r>
        <w:t>thus</w:t>
      </w:r>
      <w:r w:rsidR="005A4E08">
        <w:t xml:space="preserve"> the transition years (2009—</w:t>
      </w:r>
      <w:r w:rsidR="00FF10CF">
        <w:t xml:space="preserve">10) </w:t>
      </w:r>
      <w:r>
        <w:t xml:space="preserve">were omitted </w:t>
      </w:r>
      <w:r w:rsidR="00FF10CF">
        <w:t>from the analysis.</w:t>
      </w:r>
    </w:p>
    <w:p w:rsidR="00D2237C" w:rsidRDefault="00D2237C" w:rsidP="00D2237C">
      <w:pPr>
        <w:pStyle w:val="Text"/>
      </w:pPr>
      <w:r>
        <w:t>This section describes the data sources use</w:t>
      </w:r>
      <w:r w:rsidR="00690AD9">
        <w:t>d</w:t>
      </w:r>
      <w:r>
        <w:t xml:space="preserve"> and </w:t>
      </w:r>
      <w:r w:rsidR="005A4E08">
        <w:t>defines</w:t>
      </w:r>
      <w:r>
        <w:t xml:space="preserve"> key variables. It then describes the statistical approach, which is designed to distinguish the effects of policy reform from </w:t>
      </w:r>
      <w:r w:rsidR="00885BA1">
        <w:t xml:space="preserve">the </w:t>
      </w:r>
      <w:r>
        <w:t>changes attributable to other contemporaneous variation (</w:t>
      </w:r>
      <w:r w:rsidR="005A4E08">
        <w:t>for example,</w:t>
      </w:r>
      <w:r>
        <w:t xml:space="preserve"> the Global Financial Crisis).</w:t>
      </w:r>
    </w:p>
    <w:p w:rsidR="00D2237C" w:rsidRDefault="00D2237C" w:rsidP="00D2237C">
      <w:pPr>
        <w:pStyle w:val="Heading2"/>
        <w:rPr>
          <w:lang w:val="en-GB"/>
        </w:rPr>
      </w:pPr>
      <w:bookmarkStart w:id="58" w:name="_Toc438209979"/>
      <w:bookmarkStart w:id="59" w:name="_Toc472517004"/>
      <w:r>
        <w:rPr>
          <w:lang w:val="en-GB"/>
        </w:rPr>
        <w:t>Data</w:t>
      </w:r>
      <w:bookmarkEnd w:id="58"/>
      <w:bookmarkEnd w:id="59"/>
    </w:p>
    <w:p w:rsidR="00D2237C" w:rsidRDefault="00D2237C" w:rsidP="00D2237C">
      <w:pPr>
        <w:pStyle w:val="Text"/>
        <w:rPr>
          <w:rStyle w:val="TextChar"/>
        </w:rPr>
      </w:pPr>
      <w:r w:rsidRPr="00E12713">
        <w:rPr>
          <w:rStyle w:val="TextChar"/>
        </w:rPr>
        <w:t>The main data source used in this study is individual</w:t>
      </w:r>
      <w:r w:rsidR="001D465F">
        <w:rPr>
          <w:rStyle w:val="TextChar"/>
        </w:rPr>
        <w:t xml:space="preserve"> student</w:t>
      </w:r>
      <w:r w:rsidR="00370636">
        <w:rPr>
          <w:rStyle w:val="TextChar"/>
        </w:rPr>
        <w:t>-level</w:t>
      </w:r>
      <w:r w:rsidRPr="00E12713">
        <w:rPr>
          <w:rStyle w:val="TextChar"/>
        </w:rPr>
        <w:t xml:space="preserve"> course enrolment data from the </w:t>
      </w:r>
      <w:r w:rsidR="00A50968">
        <w:rPr>
          <w:rStyle w:val="TextChar"/>
        </w:rPr>
        <w:t xml:space="preserve">National </w:t>
      </w:r>
      <w:r w:rsidR="005A4E08">
        <w:rPr>
          <w:rStyle w:val="TextChar"/>
        </w:rPr>
        <w:t>VET Provider Collection</w:t>
      </w:r>
      <w:r w:rsidRPr="00E12713">
        <w:rPr>
          <w:rStyle w:val="TextChar"/>
        </w:rPr>
        <w:t>, with graduate wage information from</w:t>
      </w:r>
      <w:r w:rsidR="00690AD9">
        <w:rPr>
          <w:rStyle w:val="TextChar"/>
        </w:rPr>
        <w:t xml:space="preserve"> the</w:t>
      </w:r>
      <w:r w:rsidRPr="00E12713">
        <w:rPr>
          <w:rStyle w:val="TextChar"/>
        </w:rPr>
        <w:t xml:space="preserve"> </w:t>
      </w:r>
      <w:r w:rsidR="00A50968">
        <w:rPr>
          <w:rStyle w:val="TextChar"/>
        </w:rPr>
        <w:t xml:space="preserve">NCVER </w:t>
      </w:r>
      <w:r w:rsidRPr="00E12713">
        <w:rPr>
          <w:rStyle w:val="TextChar"/>
        </w:rPr>
        <w:t>Student Outcome</w:t>
      </w:r>
      <w:r w:rsidR="00A50968">
        <w:rPr>
          <w:rStyle w:val="TextChar"/>
        </w:rPr>
        <w:t>s</w:t>
      </w:r>
      <w:r w:rsidRPr="00E12713">
        <w:rPr>
          <w:rStyle w:val="TextChar"/>
        </w:rPr>
        <w:t xml:space="preserve"> Survey (SOS), skill shortage information from the </w:t>
      </w:r>
      <w:r w:rsidR="00A50968">
        <w:rPr>
          <w:rStyle w:val="TextChar"/>
        </w:rPr>
        <w:t xml:space="preserve">federal </w:t>
      </w:r>
      <w:r w:rsidRPr="00E12713">
        <w:rPr>
          <w:rStyle w:val="TextChar"/>
        </w:rPr>
        <w:t xml:space="preserve">Department of Employment and contextual information from the </w:t>
      </w:r>
      <w:r w:rsidR="005A4E08">
        <w:rPr>
          <w:rStyle w:val="TextChar"/>
        </w:rPr>
        <w:t xml:space="preserve">ABS linked </w:t>
      </w:r>
      <w:r w:rsidRPr="00E12713">
        <w:rPr>
          <w:rStyle w:val="TextChar"/>
        </w:rPr>
        <w:t>in to create a rich dataset. The main elements of the data are discussed below.</w:t>
      </w:r>
    </w:p>
    <w:p w:rsidR="00D2237C" w:rsidRDefault="00D2237C" w:rsidP="00D2237C">
      <w:pPr>
        <w:pStyle w:val="Heading3"/>
        <w:rPr>
          <w:lang w:val="en-GB"/>
        </w:rPr>
      </w:pPr>
      <w:r>
        <w:rPr>
          <w:lang w:val="en-GB"/>
        </w:rPr>
        <w:t xml:space="preserve">The </w:t>
      </w:r>
      <w:r w:rsidR="00A50968">
        <w:rPr>
          <w:lang w:val="en-GB"/>
        </w:rPr>
        <w:t xml:space="preserve">National </w:t>
      </w:r>
      <w:r>
        <w:rPr>
          <w:lang w:val="en-GB"/>
        </w:rPr>
        <w:t>VET Provider Collection</w:t>
      </w:r>
    </w:p>
    <w:p w:rsidR="00690AD9" w:rsidRDefault="00D2237C" w:rsidP="00D2237C">
      <w:pPr>
        <w:pStyle w:val="Text"/>
      </w:pPr>
      <w:r>
        <w:rPr>
          <w:lang w:val="en-GB"/>
        </w:rPr>
        <w:t xml:space="preserve">The </w:t>
      </w:r>
      <w:r w:rsidR="00A50968">
        <w:rPr>
          <w:lang w:val="en-GB"/>
        </w:rPr>
        <w:t xml:space="preserve">National </w:t>
      </w:r>
      <w:r>
        <w:rPr>
          <w:lang w:val="en-GB"/>
        </w:rPr>
        <w:t>VET Provider Collection</w:t>
      </w:r>
      <w:r w:rsidR="000A7BF4">
        <w:rPr>
          <w:lang w:val="en-GB"/>
        </w:rPr>
        <w:t>, managed by the National Centre for Vocational Education Research,</w:t>
      </w:r>
      <w:r>
        <w:rPr>
          <w:lang w:val="en-GB"/>
        </w:rPr>
        <w:t xml:space="preserve"> is an</w:t>
      </w:r>
      <w:r>
        <w:t xml:space="preserve"> administrative dataset of all </w:t>
      </w:r>
      <w:r w:rsidR="00690AD9">
        <w:t>government</w:t>
      </w:r>
      <w:r>
        <w:t>-funded VET course</w:t>
      </w:r>
      <w:r w:rsidR="00370636">
        <w:t xml:space="preserve"> enrolments </w:t>
      </w:r>
      <w:r>
        <w:t>in Australia, including those with p</w:t>
      </w:r>
      <w:r w:rsidR="00885BA1">
        <w:t xml:space="preserve">rivate VET providers. The data </w:t>
      </w:r>
      <w:r w:rsidR="000D792D">
        <w:t xml:space="preserve">were reported by providers to state training authorities (STAs) that administered the funding, who in turn reported to NCVER. The data </w:t>
      </w:r>
      <w:r w:rsidR="00885BA1">
        <w:t>describe</w:t>
      </w:r>
      <w:r>
        <w:t xml:space="preserve"> a wide set of variables</w:t>
      </w:r>
      <w:r w:rsidR="00885BA1">
        <w:t>, covering course, college and student-</w:t>
      </w:r>
      <w:r>
        <w:t xml:space="preserve">specific characteristics. The </w:t>
      </w:r>
      <w:r w:rsidR="005A4E08">
        <w:t xml:space="preserve">National VET Provider Collection </w:t>
      </w:r>
      <w:r>
        <w:t xml:space="preserve">is </w:t>
      </w:r>
      <w:r>
        <w:rPr>
          <w:lang w:val="en-GB"/>
        </w:rPr>
        <w:t>the most detailed data source of VET currently available for Austr</w:t>
      </w:r>
      <w:r w:rsidR="005A4E08">
        <w:rPr>
          <w:lang w:val="en-GB"/>
        </w:rPr>
        <w:t>alia</w:t>
      </w:r>
      <w:r>
        <w:rPr>
          <w:lang w:val="en-GB"/>
        </w:rPr>
        <w:t xml:space="preserve"> and is the principal dataset considered for the study. </w:t>
      </w:r>
      <w:r>
        <w:t xml:space="preserve">In addition to the universe of </w:t>
      </w:r>
      <w:r w:rsidR="00370636">
        <w:t xml:space="preserve">student enrolments in </w:t>
      </w:r>
      <w:r w:rsidR="00EF17D2">
        <w:t>publicly</w:t>
      </w:r>
      <w:r>
        <w:t xml:space="preserve"> funded courses, the dataset also describes fee-for-servi</w:t>
      </w:r>
      <w:r w:rsidR="005A4E08">
        <w:t>ce courses delivered by public (TAFE</w:t>
      </w:r>
      <w:r w:rsidR="000D792D">
        <w:t>, other government</w:t>
      </w:r>
      <w:r>
        <w:t xml:space="preserve"> and ACE) providers. Furthermore, some data are reported for fee-for-service courses delivered by private sector providers, although these institutions </w:t>
      </w:r>
      <w:r w:rsidR="000D792D">
        <w:t>were</w:t>
      </w:r>
      <w:r>
        <w:t xml:space="preserve"> under no formal obligation to do so</w:t>
      </w:r>
      <w:r w:rsidR="000D792D">
        <w:t xml:space="preserve"> at the time</w:t>
      </w:r>
      <w:r>
        <w:t>.</w:t>
      </w:r>
    </w:p>
    <w:p w:rsidR="00FA2DFD" w:rsidRDefault="00FA2DFD" w:rsidP="00D2237C">
      <w:pPr>
        <w:pStyle w:val="Text"/>
      </w:pPr>
      <w:r>
        <w:t>In November 2012, the then Council of Australian Governments (COAG) Standing Council of Tertiary Education, Skills and Employment (SCOTESE) agreed to the introduction of mandatory reporting of nationally recognised training activity from 2014 onwards. Under the mandatory reporting requirements, all Australian providers (except those exempted by regulators) delivering nationally recognised training to students, either in domestic or overseas locations, must report information about these students and their training.</w:t>
      </w:r>
    </w:p>
    <w:p w:rsidR="00FA2DFD" w:rsidRDefault="00FA2DFD" w:rsidP="00D2237C">
      <w:pPr>
        <w:pStyle w:val="Text"/>
      </w:pPr>
      <w:r>
        <w:t>As a consequence, from 2014, the National VET Provider Collection commenced collecting fee-for-service training activity from private providers, in addition to government-funded training activity previously reported.</w:t>
      </w:r>
    </w:p>
    <w:p w:rsidR="00D2237C" w:rsidRDefault="00CC2B32" w:rsidP="00D2237C">
      <w:pPr>
        <w:pStyle w:val="Text"/>
      </w:pPr>
      <w:r>
        <w:t xml:space="preserve">In this study, </w:t>
      </w:r>
      <w:r w:rsidR="00EB4899">
        <w:t xml:space="preserve">we use data on all enrolments for publicly funded providers in our attempt </w:t>
      </w:r>
      <w:r>
        <w:t>to capture the f</w:t>
      </w:r>
      <w:r w:rsidR="00EB4899">
        <w:t xml:space="preserve">ull </w:t>
      </w:r>
      <w:r>
        <w:t xml:space="preserve">effects of the reforms, </w:t>
      </w:r>
      <w:r w:rsidR="005F3550">
        <w:t xml:space="preserve">including the effects of substitution between </w:t>
      </w:r>
      <w:r w:rsidR="00801415">
        <w:t xml:space="preserve">publicly funded </w:t>
      </w:r>
      <w:r w:rsidR="00EB4899">
        <w:t>and fee-for-service course</w:t>
      </w:r>
      <w:r w:rsidR="00885BA1">
        <w:t>s</w:t>
      </w:r>
      <w:r w:rsidR="005F3550">
        <w:t xml:space="preserve">. Fee-for-service enrolments with private </w:t>
      </w:r>
      <w:r w:rsidR="005F3550">
        <w:lastRenderedPageBreak/>
        <w:t xml:space="preserve">providers are not included because they are not likely to represent enrolments from this sector. As such, any substitution between private fee-for-service VET and the rest of the VET system cannot be fully assessed with the </w:t>
      </w:r>
      <w:r w:rsidR="00EB4899">
        <w:t>National VET Provider Collection</w:t>
      </w:r>
      <w:r w:rsidR="005F3550">
        <w:t>.</w:t>
      </w:r>
    </w:p>
    <w:p w:rsidR="00690AD9" w:rsidRDefault="00D2237C" w:rsidP="00D2237C">
      <w:pPr>
        <w:pStyle w:val="Text"/>
      </w:pPr>
      <w:r w:rsidRPr="00CC1523">
        <w:rPr>
          <w:lang w:val="en-GB"/>
        </w:rPr>
        <w:t>The sample is all n</w:t>
      </w:r>
      <w:r>
        <w:rPr>
          <w:lang w:val="en-GB"/>
        </w:rPr>
        <w:t xml:space="preserve">ew </w:t>
      </w:r>
      <w:r w:rsidR="00370636">
        <w:rPr>
          <w:lang w:val="en-GB"/>
        </w:rPr>
        <w:t xml:space="preserve">student </w:t>
      </w:r>
      <w:r>
        <w:rPr>
          <w:lang w:val="en-GB"/>
        </w:rPr>
        <w:t>enrolments among those aged 25 to 54</w:t>
      </w:r>
      <w:r w:rsidR="00FF10CF">
        <w:rPr>
          <w:lang w:val="en-GB"/>
        </w:rPr>
        <w:t xml:space="preserve"> </w:t>
      </w:r>
      <w:r w:rsidR="00EB4899">
        <w:rPr>
          <w:lang w:val="en-GB"/>
        </w:rPr>
        <w:t xml:space="preserve">years </w:t>
      </w:r>
      <w:r w:rsidR="00FF10CF">
        <w:rPr>
          <w:lang w:val="en-GB"/>
        </w:rPr>
        <w:t>during the period of analysis</w:t>
      </w:r>
      <w:r>
        <w:rPr>
          <w:lang w:val="en-GB"/>
        </w:rPr>
        <w:t xml:space="preserve">, where </w:t>
      </w:r>
      <w:r w:rsidR="00370636">
        <w:rPr>
          <w:lang w:val="en-GB"/>
        </w:rPr>
        <w:t xml:space="preserve">student </w:t>
      </w:r>
      <w:r>
        <w:rPr>
          <w:lang w:val="en-GB"/>
        </w:rPr>
        <w:t xml:space="preserve">age is defined as at 1 </w:t>
      </w:r>
      <w:r w:rsidRPr="00CC1523">
        <w:rPr>
          <w:lang w:val="en-GB"/>
        </w:rPr>
        <w:t>January in the year of enrolment</w:t>
      </w:r>
      <w:r>
        <w:rPr>
          <w:lang w:val="en-GB"/>
        </w:rPr>
        <w:t xml:space="preserve"> (determining</w:t>
      </w:r>
      <w:r w:rsidRPr="00CC1523">
        <w:rPr>
          <w:lang w:val="en-GB"/>
        </w:rPr>
        <w:t xml:space="preserve"> </w:t>
      </w:r>
      <w:r w:rsidR="00EB4899">
        <w:rPr>
          <w:lang w:val="en-GB"/>
        </w:rPr>
        <w:t>Victorian Training Guarantee</w:t>
      </w:r>
      <w:r w:rsidRPr="00CC1523">
        <w:rPr>
          <w:lang w:val="en-GB"/>
        </w:rPr>
        <w:t xml:space="preserve"> eligibility)</w:t>
      </w:r>
      <w:r>
        <w:rPr>
          <w:lang w:val="en-GB"/>
        </w:rPr>
        <w:t>. Individuals</w:t>
      </w:r>
      <w:r>
        <w:t xml:space="preserve"> aged 55 </w:t>
      </w:r>
      <w:r w:rsidR="00EB4899">
        <w:t xml:space="preserve">years </w:t>
      </w:r>
      <w:r>
        <w:t>and over are omitted from our sample frame, recognising that individuals closer to retirement age are likely to have different motivations for study.</w:t>
      </w:r>
    </w:p>
    <w:p w:rsidR="00D2237C" w:rsidRDefault="00370636" w:rsidP="00FE1D0A">
      <w:pPr>
        <w:pStyle w:val="Text"/>
        <w:rPr>
          <w:lang w:val="en-GB"/>
        </w:rPr>
      </w:pPr>
      <w:r>
        <w:t xml:space="preserve">A feature of VET is that students regularly enrol in more than one course within a year, including multiple courses at the same time. </w:t>
      </w:r>
      <w:r w:rsidR="00FD4A0C">
        <w:t xml:space="preserve">In this study, </w:t>
      </w:r>
      <w:r w:rsidR="00AA2518">
        <w:t>when examining enrolment</w:t>
      </w:r>
      <w:r w:rsidR="00EB4899">
        <w:t xml:space="preserve"> </w:t>
      </w:r>
      <w:r w:rsidR="00AA2518">
        <w:t xml:space="preserve">rates, we discount multiple enrolments by the same student in a calendar year, but when examining course choice, </w:t>
      </w:r>
      <w:r w:rsidR="00FD4A0C">
        <w:t>we use all student enrolments, including multiple enrolments for the same student.</w:t>
      </w:r>
      <w:r w:rsidR="00FD4A0C">
        <w:rPr>
          <w:rStyle w:val="FootnoteReference"/>
        </w:rPr>
        <w:footnoteReference w:id="13"/>
      </w:r>
      <w:r w:rsidR="00FD4A0C">
        <w:t xml:space="preserve"> </w:t>
      </w:r>
    </w:p>
    <w:p w:rsidR="00D2237C" w:rsidRDefault="00D2237C" w:rsidP="00FE1D0A">
      <w:pPr>
        <w:pStyle w:val="Text"/>
      </w:pPr>
      <w:r>
        <w:t xml:space="preserve">As well as the rich set of controls, an important feature of the </w:t>
      </w:r>
      <w:r w:rsidR="00801415">
        <w:t>National VET Provider Collection</w:t>
      </w:r>
      <w:r>
        <w:t xml:space="preserve"> for statistical purposes is that it reports d</w:t>
      </w:r>
      <w:r w:rsidR="004D7E8F">
        <w:t>etail for the Government-funded</w:t>
      </w:r>
      <w:r>
        <w:t xml:space="preserve"> population</w:t>
      </w:r>
      <w:r w:rsidR="004D7E8F">
        <w:t>, which is a sub-set of the VET population.</w:t>
      </w:r>
      <w:r>
        <w:t xml:space="preserve"> The size of the sample allows reasonably accurate statistics to be calculated for marginal population subgroups, including disadvantaged subgroups</w:t>
      </w:r>
      <w:r w:rsidR="000335DE">
        <w:t>,</w:t>
      </w:r>
      <w:r>
        <w:t xml:space="preserve"> </w:t>
      </w:r>
      <w:proofErr w:type="gramStart"/>
      <w:r>
        <w:t>who</w:t>
      </w:r>
      <w:proofErr w:type="gramEnd"/>
      <w:r>
        <w:t xml:space="preserve"> are of particular interest. In this study, the following disadvantaged groups </w:t>
      </w:r>
      <w:r w:rsidR="00770069">
        <w:t>are the focus</w:t>
      </w:r>
      <w:r>
        <w:t xml:space="preserve">: individuals who did not complete secondary school and do not have any vocational equivalent qualification (certificate III or above); the unemployed (out of work, but looking for work) at the time of enrolment; </w:t>
      </w:r>
      <w:r w:rsidR="00EB4899">
        <w:t>individuals living in low socioeconomic</w:t>
      </w:r>
      <w:r>
        <w:t xml:space="preserve"> </w:t>
      </w:r>
      <w:r w:rsidR="000335DE">
        <w:t>areas (lowest 20% on the SEIFA Index of D</w:t>
      </w:r>
      <w:r>
        <w:t>isadvantage); Aboriginal and Torres Strait Islanders (ATSI); and people from non-English speaking backgrounds (NES</w:t>
      </w:r>
      <w:r w:rsidR="001D465F">
        <w:t>B</w:t>
      </w:r>
      <w:r>
        <w:t>) who speak a language other than English at home. Other population subgroups considered in the study include women, people aged 45 to 54</w:t>
      </w:r>
      <w:r w:rsidR="00EB4899">
        <w:t xml:space="preserve"> years</w:t>
      </w:r>
      <w:r>
        <w:t>, and people living outside an urban area. It is important</w:t>
      </w:r>
      <w:r w:rsidR="00885BA1">
        <w:t xml:space="preserve"> to keep in mind that these sub</w:t>
      </w:r>
      <w:r>
        <w:t>groups are not mutually exclusive; for e</w:t>
      </w:r>
      <w:r w:rsidR="00EB4899">
        <w:t>xample, someone living in a low-</w:t>
      </w:r>
      <w:r>
        <w:t>SES area may also not have a secondary school qualification.</w:t>
      </w:r>
    </w:p>
    <w:p w:rsidR="00D2237C" w:rsidRDefault="00D2237C" w:rsidP="00FE1D0A">
      <w:pPr>
        <w:pStyle w:val="Heading3"/>
      </w:pPr>
      <w:r w:rsidRPr="0021741D">
        <w:t xml:space="preserve">VET </w:t>
      </w:r>
      <w:r>
        <w:t>enrolment rates</w:t>
      </w:r>
    </w:p>
    <w:p w:rsidR="00885BA1" w:rsidRDefault="00F75BD4" w:rsidP="00FE1D0A">
      <w:pPr>
        <w:pStyle w:val="Text"/>
        <w:rPr>
          <w:lang w:val="en-GB"/>
        </w:rPr>
      </w:pPr>
      <w:r>
        <w:rPr>
          <w:lang w:val="en-GB"/>
        </w:rPr>
        <w:t xml:space="preserve">In this study we measure impacts on enrolment rates using </w:t>
      </w:r>
      <w:r w:rsidR="004D7E8F">
        <w:rPr>
          <w:lang w:val="en-GB"/>
        </w:rPr>
        <w:t>commencing course enrolment</w:t>
      </w:r>
      <w:r w:rsidR="00D9017A">
        <w:rPr>
          <w:lang w:val="en-GB"/>
        </w:rPr>
        <w:t xml:space="preserve"> </w:t>
      </w:r>
      <w:r>
        <w:rPr>
          <w:lang w:val="en-GB"/>
        </w:rPr>
        <w:t>data</w:t>
      </w:r>
      <w:r w:rsidR="00F64520">
        <w:rPr>
          <w:lang w:val="en-GB"/>
        </w:rPr>
        <w:t xml:space="preserve"> from the </w:t>
      </w:r>
      <w:r w:rsidR="00801415">
        <w:rPr>
          <w:lang w:val="en-GB"/>
        </w:rPr>
        <w:t>National VET Provider Collection</w:t>
      </w:r>
      <w:r w:rsidR="00F64520">
        <w:rPr>
          <w:lang w:val="en-GB"/>
        </w:rPr>
        <w:t xml:space="preserve">. </w:t>
      </w:r>
      <w:r w:rsidR="00885BA1">
        <w:rPr>
          <w:lang w:val="en-GB"/>
        </w:rPr>
        <w:t>As this c</w:t>
      </w:r>
      <w:r w:rsidR="00801415">
        <w:rPr>
          <w:lang w:val="en-GB"/>
        </w:rPr>
        <w:t>ollection</w:t>
      </w:r>
      <w:r w:rsidR="00F64520">
        <w:rPr>
          <w:lang w:val="en-GB"/>
        </w:rPr>
        <w:t xml:space="preserve"> is an administrative dataset, it </w:t>
      </w:r>
      <w:r w:rsidR="00EB4899">
        <w:rPr>
          <w:lang w:val="en-GB"/>
        </w:rPr>
        <w:t>contains</w:t>
      </w:r>
      <w:r w:rsidR="00F64520">
        <w:rPr>
          <w:lang w:val="en-GB"/>
        </w:rPr>
        <w:t xml:space="preserve"> </w:t>
      </w:r>
      <w:r w:rsidR="00885BA1">
        <w:rPr>
          <w:lang w:val="en-GB"/>
        </w:rPr>
        <w:t xml:space="preserve">only </w:t>
      </w:r>
      <w:r w:rsidR="00F64520">
        <w:rPr>
          <w:lang w:val="en-GB"/>
        </w:rPr>
        <w:t xml:space="preserve">information on people who enrolled in VET and nothing about people who did not. Thus, participation rates using the </w:t>
      </w:r>
      <w:r w:rsidR="00801415">
        <w:rPr>
          <w:lang w:val="en-GB"/>
        </w:rPr>
        <w:t>National VET Provider Collection</w:t>
      </w:r>
      <w:r w:rsidR="00D9017A">
        <w:rPr>
          <w:lang w:val="en-GB"/>
        </w:rPr>
        <w:t xml:space="preserve"> (excluding multiple new enrolments by the same individual in a given calendar year) had </w:t>
      </w:r>
      <w:r w:rsidR="00F64520">
        <w:rPr>
          <w:lang w:val="en-GB"/>
        </w:rPr>
        <w:t>t</w:t>
      </w:r>
      <w:r w:rsidR="00D9017A">
        <w:rPr>
          <w:lang w:val="en-GB"/>
        </w:rPr>
        <w:t>o</w:t>
      </w:r>
      <w:r w:rsidR="00885BA1">
        <w:rPr>
          <w:lang w:val="en-GB"/>
        </w:rPr>
        <w:t xml:space="preserve"> be generated using data from c</w:t>
      </w:r>
      <w:r w:rsidR="00F64520">
        <w:rPr>
          <w:lang w:val="en-GB"/>
        </w:rPr>
        <w:t xml:space="preserve">ensus population estimates published by the </w:t>
      </w:r>
      <w:r w:rsidR="00EB4899">
        <w:rPr>
          <w:lang w:val="en-GB"/>
        </w:rPr>
        <w:t>ABS</w:t>
      </w:r>
      <w:r w:rsidR="00F64520">
        <w:rPr>
          <w:lang w:val="en-GB"/>
        </w:rPr>
        <w:t>.</w:t>
      </w:r>
      <w:r w:rsidR="00F64520">
        <w:rPr>
          <w:rStyle w:val="FootnoteReference"/>
          <w:lang w:val="en-GB"/>
        </w:rPr>
        <w:footnoteReference w:id="14"/>
      </w:r>
      <w:r w:rsidR="00F64520">
        <w:rPr>
          <w:lang w:val="en-GB"/>
        </w:rPr>
        <w:t xml:space="preserve"> </w:t>
      </w:r>
      <w:r w:rsidR="000E5211">
        <w:rPr>
          <w:lang w:val="en-GB"/>
        </w:rPr>
        <w:t xml:space="preserve">Importantly, we include fee-for-service and </w:t>
      </w:r>
      <w:r w:rsidR="00801415">
        <w:rPr>
          <w:lang w:val="en-GB"/>
        </w:rPr>
        <w:t xml:space="preserve">publicly funded </w:t>
      </w:r>
      <w:r w:rsidR="000E5211">
        <w:rPr>
          <w:lang w:val="en-GB"/>
        </w:rPr>
        <w:t xml:space="preserve">courses in the analysis in an attempt to capture total effects and not </w:t>
      </w:r>
      <w:r w:rsidR="00EB4899">
        <w:rPr>
          <w:lang w:val="en-GB"/>
        </w:rPr>
        <w:t>merely</w:t>
      </w:r>
      <w:r w:rsidR="000E5211">
        <w:rPr>
          <w:lang w:val="en-GB"/>
        </w:rPr>
        <w:t xml:space="preserve"> </w:t>
      </w:r>
      <w:r w:rsidR="000335DE">
        <w:rPr>
          <w:lang w:val="en-GB"/>
        </w:rPr>
        <w:t xml:space="preserve">the </w:t>
      </w:r>
      <w:r w:rsidR="000E5211">
        <w:rPr>
          <w:lang w:val="en-GB"/>
        </w:rPr>
        <w:t xml:space="preserve">effects for </w:t>
      </w:r>
      <w:r w:rsidR="00801415">
        <w:rPr>
          <w:lang w:val="en-GB"/>
        </w:rPr>
        <w:t xml:space="preserve">publicly funded </w:t>
      </w:r>
      <w:r w:rsidR="000E5211">
        <w:rPr>
          <w:lang w:val="en-GB"/>
        </w:rPr>
        <w:t xml:space="preserve">courses. However, a limitation of the </w:t>
      </w:r>
      <w:r w:rsidR="00801415">
        <w:rPr>
          <w:lang w:val="en-GB"/>
        </w:rPr>
        <w:t>National VET Provider Collection</w:t>
      </w:r>
      <w:r w:rsidR="000E5211">
        <w:rPr>
          <w:lang w:val="en-GB"/>
        </w:rPr>
        <w:t xml:space="preserve"> </w:t>
      </w:r>
      <w:r w:rsidR="00F64520">
        <w:rPr>
          <w:lang w:val="en-GB"/>
        </w:rPr>
        <w:t xml:space="preserve">data is that it </w:t>
      </w:r>
      <w:r w:rsidR="00116C3A">
        <w:rPr>
          <w:lang w:val="en-GB"/>
        </w:rPr>
        <w:t>did not</w:t>
      </w:r>
      <w:r w:rsidR="00260DE2">
        <w:rPr>
          <w:lang w:val="en-GB"/>
        </w:rPr>
        <w:t xml:space="preserve"> include </w:t>
      </w:r>
      <w:r w:rsidR="00F64520">
        <w:rPr>
          <w:lang w:val="en-GB"/>
        </w:rPr>
        <w:lastRenderedPageBreak/>
        <w:t>fee-for-service enrolments from private providers</w:t>
      </w:r>
      <w:r w:rsidR="00260DE2">
        <w:rPr>
          <w:lang w:val="en-GB"/>
        </w:rPr>
        <w:t xml:space="preserve">. As a result, we only capture substitution between fee-for-service and </w:t>
      </w:r>
      <w:r w:rsidR="00801415">
        <w:rPr>
          <w:lang w:val="en-GB"/>
        </w:rPr>
        <w:t xml:space="preserve">publicly funded </w:t>
      </w:r>
      <w:r w:rsidR="00260DE2">
        <w:rPr>
          <w:lang w:val="en-GB"/>
        </w:rPr>
        <w:t xml:space="preserve">courses within public institutions, which means that our estimated enrolment </w:t>
      </w:r>
      <w:r w:rsidR="00F051CC">
        <w:rPr>
          <w:lang w:val="en-GB"/>
        </w:rPr>
        <w:t xml:space="preserve">results </w:t>
      </w:r>
      <w:r w:rsidR="00C3314D">
        <w:rPr>
          <w:lang w:val="en-GB"/>
        </w:rPr>
        <w:t>may over</w:t>
      </w:r>
      <w:r w:rsidR="00260DE2">
        <w:rPr>
          <w:lang w:val="en-GB"/>
        </w:rPr>
        <w:t xml:space="preserve">estimate the true enrolment effects. </w:t>
      </w:r>
    </w:p>
    <w:p w:rsidR="00471DF1" w:rsidRDefault="00260DE2" w:rsidP="00FE1D0A">
      <w:pPr>
        <w:pStyle w:val="Text"/>
        <w:rPr>
          <w:lang w:val="en-GB"/>
        </w:rPr>
      </w:pPr>
      <w:r>
        <w:rPr>
          <w:lang w:val="en-GB"/>
        </w:rPr>
        <w:t xml:space="preserve">It is important to note that </w:t>
      </w:r>
      <w:r w:rsidR="00F051CC">
        <w:rPr>
          <w:lang w:val="en-GB"/>
        </w:rPr>
        <w:t>data from an alternative source</w:t>
      </w:r>
      <w:r w:rsidR="00690AD9">
        <w:rPr>
          <w:lang w:val="en-GB"/>
        </w:rPr>
        <w:t>,</w:t>
      </w:r>
      <w:r w:rsidR="00F051CC">
        <w:rPr>
          <w:lang w:val="en-GB"/>
        </w:rPr>
        <w:t xml:space="preserve"> the </w:t>
      </w:r>
      <w:r w:rsidR="00EB4899">
        <w:rPr>
          <w:lang w:val="en-GB"/>
        </w:rPr>
        <w:t>ABS</w:t>
      </w:r>
      <w:r w:rsidR="00F051CC">
        <w:rPr>
          <w:lang w:val="en-GB"/>
        </w:rPr>
        <w:t xml:space="preserve"> Survey of Education and Work (SEW)</w:t>
      </w:r>
      <w:r w:rsidR="00690AD9">
        <w:rPr>
          <w:lang w:val="en-GB"/>
        </w:rPr>
        <w:t>, was used</w:t>
      </w:r>
      <w:r w:rsidR="00F051CC">
        <w:rPr>
          <w:lang w:val="en-GB"/>
        </w:rPr>
        <w:t xml:space="preserve"> to cross-check our</w:t>
      </w:r>
      <w:r w:rsidR="00D9017A">
        <w:rPr>
          <w:lang w:val="en-GB"/>
        </w:rPr>
        <w:t xml:space="preserve"> enrolment</w:t>
      </w:r>
      <w:r w:rsidR="00F051CC">
        <w:rPr>
          <w:lang w:val="en-GB"/>
        </w:rPr>
        <w:t xml:space="preserve"> results</w:t>
      </w:r>
      <w:r w:rsidR="00891FB8">
        <w:rPr>
          <w:lang w:val="en-GB"/>
        </w:rPr>
        <w:t xml:space="preserve"> using the </w:t>
      </w:r>
      <w:r w:rsidR="00801415">
        <w:rPr>
          <w:lang w:val="en-GB"/>
        </w:rPr>
        <w:t>National VET Provider Collection</w:t>
      </w:r>
      <w:r w:rsidR="00F051CC">
        <w:rPr>
          <w:lang w:val="en-GB"/>
        </w:rPr>
        <w:t xml:space="preserve">. The </w:t>
      </w:r>
      <w:r w:rsidR="00EB4899">
        <w:rPr>
          <w:lang w:val="en-GB"/>
        </w:rPr>
        <w:t>Survey of Education and Work</w:t>
      </w:r>
      <w:r w:rsidR="00116C3A">
        <w:rPr>
          <w:lang w:val="en-GB"/>
        </w:rPr>
        <w:t xml:space="preserve"> had</w:t>
      </w:r>
      <w:r w:rsidR="00F051CC">
        <w:rPr>
          <w:lang w:val="en-GB"/>
        </w:rPr>
        <w:t xml:space="preserve"> the advantage</w:t>
      </w:r>
      <w:r w:rsidR="00891FB8">
        <w:rPr>
          <w:lang w:val="en-GB"/>
        </w:rPr>
        <w:t xml:space="preserve"> over the </w:t>
      </w:r>
      <w:r w:rsidR="00801415">
        <w:rPr>
          <w:lang w:val="en-GB"/>
        </w:rPr>
        <w:t>National VET Provider Collection</w:t>
      </w:r>
      <w:r w:rsidR="00891FB8">
        <w:rPr>
          <w:lang w:val="en-GB"/>
        </w:rPr>
        <w:t xml:space="preserve"> in</w:t>
      </w:r>
      <w:r w:rsidR="00F051CC">
        <w:rPr>
          <w:lang w:val="en-GB"/>
        </w:rPr>
        <w:t xml:space="preserve"> collecting information on all </w:t>
      </w:r>
      <w:r w:rsidR="00891FB8">
        <w:rPr>
          <w:lang w:val="en-GB"/>
        </w:rPr>
        <w:t xml:space="preserve">VET </w:t>
      </w:r>
      <w:r w:rsidR="00F051CC">
        <w:rPr>
          <w:lang w:val="en-GB"/>
        </w:rPr>
        <w:t xml:space="preserve">enrolments, regardless of whether it was fee-for-service or publicly funded. </w:t>
      </w:r>
      <w:r w:rsidR="00471DF1">
        <w:rPr>
          <w:lang w:val="en-GB"/>
        </w:rPr>
        <w:t>D</w:t>
      </w:r>
      <w:r w:rsidR="00F051CC">
        <w:rPr>
          <w:lang w:val="en-GB"/>
        </w:rPr>
        <w:t xml:space="preserve">espite </w:t>
      </w:r>
      <w:r w:rsidR="00D9017A">
        <w:rPr>
          <w:lang w:val="en-GB"/>
        </w:rPr>
        <w:t xml:space="preserve">collecting enrolment </w:t>
      </w:r>
      <w:r w:rsidR="00471DF1">
        <w:rPr>
          <w:lang w:val="en-GB"/>
        </w:rPr>
        <w:t>information for all VET courses</w:t>
      </w:r>
      <w:r w:rsidR="00D9017A">
        <w:rPr>
          <w:lang w:val="en-GB"/>
        </w:rPr>
        <w:t xml:space="preserve">, </w:t>
      </w:r>
      <w:r w:rsidR="00885BA1">
        <w:rPr>
          <w:lang w:val="en-GB"/>
        </w:rPr>
        <w:t xml:space="preserve">the </w:t>
      </w:r>
      <w:r w:rsidR="00F051CC">
        <w:rPr>
          <w:lang w:val="en-GB"/>
        </w:rPr>
        <w:t xml:space="preserve">enrolment rates </w:t>
      </w:r>
      <w:r w:rsidR="00471DF1">
        <w:rPr>
          <w:lang w:val="en-GB"/>
        </w:rPr>
        <w:t xml:space="preserve">described by the </w:t>
      </w:r>
      <w:r w:rsidR="00EB4899">
        <w:rPr>
          <w:lang w:val="en-GB"/>
        </w:rPr>
        <w:t>survey</w:t>
      </w:r>
      <w:r w:rsidR="00F051CC">
        <w:rPr>
          <w:lang w:val="en-GB"/>
        </w:rPr>
        <w:t xml:space="preserve"> were found to be lower </w:t>
      </w:r>
      <w:r w:rsidR="00471DF1">
        <w:rPr>
          <w:lang w:val="en-GB"/>
        </w:rPr>
        <w:t xml:space="preserve">than those described by the </w:t>
      </w:r>
      <w:r w:rsidR="00801415">
        <w:rPr>
          <w:lang w:val="en-GB"/>
        </w:rPr>
        <w:t>National VET Provider Collection</w:t>
      </w:r>
      <w:r w:rsidR="00471DF1">
        <w:rPr>
          <w:lang w:val="en-GB"/>
        </w:rPr>
        <w:t xml:space="preserve"> by a substantial margin for both </w:t>
      </w:r>
      <w:r w:rsidR="00F051CC">
        <w:rPr>
          <w:lang w:val="en-GB"/>
        </w:rPr>
        <w:t>Victoria</w:t>
      </w:r>
      <w:r w:rsidR="00471DF1">
        <w:rPr>
          <w:lang w:val="en-GB"/>
        </w:rPr>
        <w:t xml:space="preserve"> and NSW (</w:t>
      </w:r>
      <w:r w:rsidR="00F051CC">
        <w:rPr>
          <w:lang w:val="en-GB"/>
        </w:rPr>
        <w:t>the largest comparison state</w:t>
      </w:r>
      <w:r w:rsidR="00471DF1">
        <w:rPr>
          <w:lang w:val="en-GB"/>
        </w:rPr>
        <w:t xml:space="preserve">, </w:t>
      </w:r>
      <w:r w:rsidR="00D9017A">
        <w:rPr>
          <w:lang w:val="en-GB"/>
        </w:rPr>
        <w:t xml:space="preserve">see appendix A). </w:t>
      </w:r>
      <w:r w:rsidR="00471DF1">
        <w:rPr>
          <w:lang w:val="en-GB"/>
        </w:rPr>
        <w:t xml:space="preserve">These observations suggest that the enrolment rates for VET described by the </w:t>
      </w:r>
      <w:r w:rsidR="001E6B9B">
        <w:rPr>
          <w:lang w:val="en-GB"/>
        </w:rPr>
        <w:t>Survey of E</w:t>
      </w:r>
      <w:r w:rsidR="00EB4899">
        <w:rPr>
          <w:lang w:val="en-GB"/>
        </w:rPr>
        <w:t>ducation and Work</w:t>
      </w:r>
      <w:r w:rsidR="00471DF1">
        <w:rPr>
          <w:lang w:val="en-GB"/>
        </w:rPr>
        <w:t xml:space="preserve"> </w:t>
      </w:r>
      <w:proofErr w:type="gramStart"/>
      <w:r w:rsidR="00471DF1">
        <w:rPr>
          <w:lang w:val="en-GB"/>
        </w:rPr>
        <w:t>are</w:t>
      </w:r>
      <w:r w:rsidR="00B01602">
        <w:rPr>
          <w:lang w:val="en-GB"/>
        </w:rPr>
        <w:t xml:space="preserve"> </w:t>
      </w:r>
      <w:r w:rsidR="00885BA1">
        <w:rPr>
          <w:lang w:val="en-GB"/>
        </w:rPr>
        <w:t xml:space="preserve"> </w:t>
      </w:r>
      <w:r w:rsidR="00471DF1">
        <w:rPr>
          <w:lang w:val="en-GB"/>
        </w:rPr>
        <w:t>biased</w:t>
      </w:r>
      <w:proofErr w:type="gramEnd"/>
      <w:r w:rsidR="00471DF1">
        <w:rPr>
          <w:lang w:val="en-GB"/>
        </w:rPr>
        <w:t xml:space="preserve"> downward. </w:t>
      </w:r>
      <w:r w:rsidR="003825E9">
        <w:rPr>
          <w:lang w:val="en-GB"/>
        </w:rPr>
        <w:t xml:space="preserve">Furthermore, comparisons between the </w:t>
      </w:r>
      <w:r w:rsidR="00EB4899">
        <w:rPr>
          <w:lang w:val="en-GB"/>
        </w:rPr>
        <w:t>survey</w:t>
      </w:r>
      <w:r w:rsidR="00885BA1">
        <w:rPr>
          <w:lang w:val="en-GB"/>
        </w:rPr>
        <w:t xml:space="preserve"> </w:t>
      </w:r>
      <w:r w:rsidR="003825E9">
        <w:rPr>
          <w:lang w:val="en-GB"/>
        </w:rPr>
        <w:t xml:space="preserve">and </w:t>
      </w:r>
      <w:r w:rsidR="00885BA1">
        <w:rPr>
          <w:lang w:val="en-GB"/>
        </w:rPr>
        <w:t xml:space="preserve">the </w:t>
      </w:r>
      <w:r w:rsidR="00801415">
        <w:rPr>
          <w:lang w:val="en-GB"/>
        </w:rPr>
        <w:t>National VET Provider Collection</w:t>
      </w:r>
      <w:r w:rsidR="003825E9">
        <w:rPr>
          <w:lang w:val="en-GB"/>
        </w:rPr>
        <w:t xml:space="preserve"> indicate greater off-trend year-on-year variation </w:t>
      </w:r>
      <w:r w:rsidR="001E6B9B">
        <w:rPr>
          <w:lang w:val="en-GB"/>
        </w:rPr>
        <w:t>in</w:t>
      </w:r>
      <w:r w:rsidR="003825E9">
        <w:rPr>
          <w:lang w:val="en-GB"/>
        </w:rPr>
        <w:t xml:space="preserve"> </w:t>
      </w:r>
      <w:r w:rsidR="001E6B9B">
        <w:rPr>
          <w:lang w:val="en-GB"/>
        </w:rPr>
        <w:t xml:space="preserve">the </w:t>
      </w:r>
      <w:r w:rsidR="003825E9">
        <w:rPr>
          <w:lang w:val="en-GB"/>
        </w:rPr>
        <w:t>enrolment rates described by the SEW.</w:t>
      </w:r>
    </w:p>
    <w:p w:rsidR="00DD6BA7" w:rsidRDefault="000562A4" w:rsidP="00891FB8">
      <w:pPr>
        <w:pStyle w:val="Text"/>
        <w:rPr>
          <w:lang w:val="en-GB"/>
        </w:rPr>
      </w:pPr>
      <w:r>
        <w:rPr>
          <w:lang w:val="en-GB"/>
        </w:rPr>
        <w:t xml:space="preserve">As with all surveys based on randomly administered </w:t>
      </w:r>
      <w:r w:rsidR="00D366B1">
        <w:rPr>
          <w:lang w:val="en-GB"/>
        </w:rPr>
        <w:t>questionnaires</w:t>
      </w:r>
      <w:r>
        <w:rPr>
          <w:lang w:val="en-GB"/>
        </w:rPr>
        <w:t>, t</w:t>
      </w:r>
      <w:r w:rsidR="00EF401E">
        <w:rPr>
          <w:lang w:val="en-GB"/>
        </w:rPr>
        <w:t xml:space="preserve">he most likely sources of the biases </w:t>
      </w:r>
      <w:r w:rsidR="00EB4899">
        <w:rPr>
          <w:lang w:val="en-GB"/>
        </w:rPr>
        <w:t xml:space="preserve">in the Survey of Education and Work </w:t>
      </w:r>
      <w:r w:rsidR="00EF401E">
        <w:rPr>
          <w:lang w:val="en-GB"/>
        </w:rPr>
        <w:t xml:space="preserve">are survey non-response and </w:t>
      </w:r>
      <w:r w:rsidR="003825E9">
        <w:rPr>
          <w:lang w:val="en-GB"/>
        </w:rPr>
        <w:t>survey-</w:t>
      </w:r>
      <w:r w:rsidR="00EF401E">
        <w:rPr>
          <w:lang w:val="en-GB"/>
        </w:rPr>
        <w:t xml:space="preserve">response bias. </w:t>
      </w:r>
      <w:r>
        <w:rPr>
          <w:lang w:val="en-GB"/>
        </w:rPr>
        <w:t xml:space="preserve">The </w:t>
      </w:r>
      <w:r w:rsidR="00801415">
        <w:rPr>
          <w:lang w:val="en-GB"/>
        </w:rPr>
        <w:t>National VET Provider Collection</w:t>
      </w:r>
      <w:r w:rsidR="005700C3">
        <w:rPr>
          <w:lang w:val="en-GB"/>
        </w:rPr>
        <w:t xml:space="preserve"> at the time</w:t>
      </w:r>
      <w:r>
        <w:rPr>
          <w:lang w:val="en-GB"/>
        </w:rPr>
        <w:t xml:space="preserve">, being an administrative dataset of all publically funded </w:t>
      </w:r>
      <w:r w:rsidR="00D366B1">
        <w:rPr>
          <w:lang w:val="en-GB"/>
        </w:rPr>
        <w:t>VET courses, is ostensibly free from both of these biases. In relation to survey non-response, i</w:t>
      </w:r>
      <w:r w:rsidR="003825E9">
        <w:rPr>
          <w:lang w:val="en-GB"/>
        </w:rPr>
        <w:t xml:space="preserve">t is commonly recognised that </w:t>
      </w:r>
      <w:r w:rsidR="00D366B1">
        <w:rPr>
          <w:lang w:val="en-GB"/>
        </w:rPr>
        <w:t xml:space="preserve">voluntary </w:t>
      </w:r>
      <w:r w:rsidR="003825E9">
        <w:rPr>
          <w:lang w:val="en-GB"/>
        </w:rPr>
        <w:t xml:space="preserve">response rates tend to be </w:t>
      </w:r>
      <w:r w:rsidR="00D366B1">
        <w:rPr>
          <w:lang w:val="en-GB"/>
        </w:rPr>
        <w:t>lower</w:t>
      </w:r>
      <w:r w:rsidR="003825E9">
        <w:rPr>
          <w:lang w:val="en-GB"/>
        </w:rPr>
        <w:t xml:space="preserve"> among middle and low-SES groups (</w:t>
      </w:r>
      <w:r w:rsidR="00EB4899">
        <w:rPr>
          <w:lang w:val="en-GB"/>
        </w:rPr>
        <w:t xml:space="preserve">for example, </w:t>
      </w:r>
      <w:proofErr w:type="spellStart"/>
      <w:r w:rsidR="003825E9">
        <w:rPr>
          <w:lang w:val="en-GB"/>
        </w:rPr>
        <w:t>Warriner</w:t>
      </w:r>
      <w:proofErr w:type="spellEnd"/>
      <w:r w:rsidR="003825E9">
        <w:rPr>
          <w:lang w:val="en-GB"/>
        </w:rPr>
        <w:t xml:space="preserve"> </w:t>
      </w:r>
      <w:r w:rsidR="00747916">
        <w:rPr>
          <w:lang w:val="en-GB"/>
        </w:rPr>
        <w:t>&amp;</w:t>
      </w:r>
      <w:r w:rsidR="003825E9">
        <w:rPr>
          <w:lang w:val="en-GB"/>
        </w:rPr>
        <w:t xml:space="preserve"> Miller 2002). This is a concern for the current study, because VET participation rates (according to </w:t>
      </w:r>
      <w:r w:rsidR="00C176A8">
        <w:rPr>
          <w:lang w:val="en-GB"/>
        </w:rPr>
        <w:t xml:space="preserve">the </w:t>
      </w:r>
      <w:r w:rsidR="00801415">
        <w:rPr>
          <w:lang w:val="en-GB"/>
        </w:rPr>
        <w:t>National VET Provider Collection</w:t>
      </w:r>
      <w:r w:rsidR="003825E9">
        <w:rPr>
          <w:lang w:val="en-GB"/>
        </w:rPr>
        <w:t xml:space="preserve">) are concentrated among these groups (Lim </w:t>
      </w:r>
      <w:r w:rsidR="00EB4899">
        <w:rPr>
          <w:lang w:val="en-GB"/>
        </w:rPr>
        <w:t>&amp;</w:t>
      </w:r>
      <w:r w:rsidR="003825E9">
        <w:rPr>
          <w:lang w:val="en-GB"/>
        </w:rPr>
        <w:t xml:space="preserve"> </w:t>
      </w:r>
      <w:proofErr w:type="spellStart"/>
      <w:r w:rsidR="003825E9">
        <w:rPr>
          <w:lang w:val="en-GB"/>
        </w:rPr>
        <w:t>Karmel</w:t>
      </w:r>
      <w:proofErr w:type="spellEnd"/>
      <w:r w:rsidR="003825E9">
        <w:rPr>
          <w:lang w:val="en-GB"/>
        </w:rPr>
        <w:t xml:space="preserve"> 2014).</w:t>
      </w:r>
      <w:r w:rsidR="003825E9">
        <w:rPr>
          <w:rStyle w:val="FootnoteReference"/>
          <w:lang w:val="en-GB"/>
        </w:rPr>
        <w:footnoteReference w:id="15"/>
      </w:r>
      <w:r w:rsidR="003825E9">
        <w:rPr>
          <w:lang w:val="en-GB"/>
        </w:rPr>
        <w:t xml:space="preserve"> While survey weights can help to mitigate systematic survey non-response of this type, the </w:t>
      </w:r>
      <w:r w:rsidR="00D366B1">
        <w:rPr>
          <w:lang w:val="en-GB"/>
        </w:rPr>
        <w:t>magnitude</w:t>
      </w:r>
      <w:r w:rsidR="003825E9">
        <w:rPr>
          <w:lang w:val="en-GB"/>
        </w:rPr>
        <w:t xml:space="preserve"> of the </w:t>
      </w:r>
      <w:r w:rsidR="00D366B1">
        <w:rPr>
          <w:lang w:val="en-GB"/>
        </w:rPr>
        <w:t xml:space="preserve">VET </w:t>
      </w:r>
      <w:r w:rsidR="003825E9">
        <w:rPr>
          <w:lang w:val="en-GB"/>
        </w:rPr>
        <w:t>enrolment biases</w:t>
      </w:r>
      <w:r w:rsidR="001E6B9B">
        <w:rPr>
          <w:lang w:val="en-GB"/>
        </w:rPr>
        <w:t xml:space="preserve"> </w:t>
      </w:r>
      <w:r w:rsidR="003825E9">
        <w:rPr>
          <w:lang w:val="en-GB"/>
        </w:rPr>
        <w:t>provide litt</w:t>
      </w:r>
      <w:r w:rsidR="000C041E">
        <w:rPr>
          <w:lang w:val="en-GB"/>
        </w:rPr>
        <w:t>le confidence in the</w:t>
      </w:r>
      <w:r w:rsidR="003825E9">
        <w:rPr>
          <w:lang w:val="en-GB"/>
        </w:rPr>
        <w:t xml:space="preserve"> utility</w:t>
      </w:r>
      <w:r w:rsidR="00D366B1">
        <w:rPr>
          <w:lang w:val="en-GB"/>
        </w:rPr>
        <w:t xml:space="preserve"> </w:t>
      </w:r>
      <w:r w:rsidR="000C041E">
        <w:rPr>
          <w:lang w:val="en-GB"/>
        </w:rPr>
        <w:t xml:space="preserve">of the weights </w:t>
      </w:r>
      <w:r w:rsidR="00D366B1">
        <w:rPr>
          <w:lang w:val="en-GB"/>
        </w:rPr>
        <w:t>for this purpose</w:t>
      </w:r>
      <w:r w:rsidR="003825E9">
        <w:rPr>
          <w:lang w:val="en-GB"/>
        </w:rPr>
        <w:t xml:space="preserve">. </w:t>
      </w:r>
      <w:r w:rsidR="00DD6BA7">
        <w:rPr>
          <w:lang w:val="en-GB"/>
        </w:rPr>
        <w:t xml:space="preserve">Even if the SEW was perfectly representative of the national population, however, it could still describe biased VET enrolment rates, due to </w:t>
      </w:r>
      <w:r w:rsidR="00C176A8">
        <w:rPr>
          <w:lang w:val="en-GB"/>
        </w:rPr>
        <w:t xml:space="preserve">the </w:t>
      </w:r>
      <w:r w:rsidR="00DD6BA7">
        <w:rPr>
          <w:lang w:val="en-GB"/>
        </w:rPr>
        <w:t xml:space="preserve">difficulties respondents experience recalling past events, the framing and phrasing of survey questions, the desire to give socially acceptable responses, </w:t>
      </w:r>
      <w:r w:rsidR="00C176A8">
        <w:rPr>
          <w:lang w:val="en-GB"/>
        </w:rPr>
        <w:t xml:space="preserve">the </w:t>
      </w:r>
      <w:r w:rsidR="00DD6BA7">
        <w:rPr>
          <w:lang w:val="en-GB"/>
        </w:rPr>
        <w:t xml:space="preserve">characteristics of the respondent and </w:t>
      </w:r>
      <w:r w:rsidR="00C176A8">
        <w:rPr>
          <w:lang w:val="en-GB"/>
        </w:rPr>
        <w:t xml:space="preserve">the </w:t>
      </w:r>
      <w:r w:rsidR="00DD6BA7">
        <w:rPr>
          <w:lang w:val="en-GB"/>
        </w:rPr>
        <w:t>characteristics of the interviewer (</w:t>
      </w:r>
      <w:proofErr w:type="spellStart"/>
      <w:r w:rsidR="00DD6BA7">
        <w:rPr>
          <w:lang w:val="en-GB"/>
        </w:rPr>
        <w:t>Nederhof</w:t>
      </w:r>
      <w:proofErr w:type="spellEnd"/>
      <w:r w:rsidR="00DD6BA7">
        <w:rPr>
          <w:lang w:val="en-GB"/>
        </w:rPr>
        <w:t xml:space="preserve"> 1985; </w:t>
      </w:r>
      <w:proofErr w:type="spellStart"/>
      <w:r w:rsidR="00DD6BA7">
        <w:rPr>
          <w:lang w:val="en-GB"/>
        </w:rPr>
        <w:t>Furnham</w:t>
      </w:r>
      <w:proofErr w:type="spellEnd"/>
      <w:r w:rsidR="00DD6BA7">
        <w:rPr>
          <w:lang w:val="en-GB"/>
        </w:rPr>
        <w:t xml:space="preserve"> 1986).</w:t>
      </w:r>
    </w:p>
    <w:p w:rsidR="00D2237C" w:rsidRDefault="000562A4">
      <w:pPr>
        <w:pStyle w:val="Text"/>
        <w:rPr>
          <w:lang w:val="en-GB"/>
        </w:rPr>
      </w:pPr>
      <w:r>
        <w:rPr>
          <w:lang w:val="en-GB"/>
        </w:rPr>
        <w:t xml:space="preserve">The existence of biases in the VET enrolment rates described by the </w:t>
      </w:r>
      <w:r w:rsidR="00EB4899">
        <w:rPr>
          <w:lang w:val="en-GB"/>
        </w:rPr>
        <w:t>Survey of Education and Work</w:t>
      </w:r>
      <w:r>
        <w:rPr>
          <w:lang w:val="en-GB"/>
        </w:rPr>
        <w:t xml:space="preserve"> would not pose a problem for the current analysis, if it could reasonably be assumed that the absolute size of these biases would be unaltered throughout our period of analysis. Unfortunately, the </w:t>
      </w:r>
      <w:r w:rsidR="003825E9">
        <w:rPr>
          <w:lang w:val="en-GB"/>
        </w:rPr>
        <w:t xml:space="preserve">volatility </w:t>
      </w:r>
      <w:r>
        <w:rPr>
          <w:lang w:val="en-GB"/>
        </w:rPr>
        <w:t xml:space="preserve">that we identify for </w:t>
      </w:r>
      <w:r w:rsidR="003825E9">
        <w:rPr>
          <w:lang w:val="en-GB"/>
        </w:rPr>
        <w:t>year-on-year variation of enrolment rates</w:t>
      </w:r>
      <w:r w:rsidR="00C176A8">
        <w:rPr>
          <w:lang w:val="en-GB"/>
        </w:rPr>
        <w:t>,</w:t>
      </w:r>
      <w:r w:rsidR="003825E9">
        <w:rPr>
          <w:lang w:val="en-GB"/>
        </w:rPr>
        <w:t xml:space="preserve"> </w:t>
      </w:r>
      <w:r w:rsidR="000C041E">
        <w:rPr>
          <w:lang w:val="en-GB"/>
        </w:rPr>
        <w:t>as indicated</w:t>
      </w:r>
      <w:r w:rsidR="003825E9">
        <w:rPr>
          <w:lang w:val="en-GB"/>
        </w:rPr>
        <w:t xml:space="preserve"> by the </w:t>
      </w:r>
      <w:r w:rsidR="00EB4899">
        <w:rPr>
          <w:lang w:val="en-GB"/>
        </w:rPr>
        <w:t>survey</w:t>
      </w:r>
      <w:r w:rsidR="00C176A8">
        <w:rPr>
          <w:lang w:val="en-GB"/>
        </w:rPr>
        <w:t>,</w:t>
      </w:r>
      <w:r w:rsidR="00D366B1">
        <w:rPr>
          <w:lang w:val="en-GB"/>
        </w:rPr>
        <w:t xml:space="preserve"> argues against such consistency</w:t>
      </w:r>
      <w:r w:rsidR="00747916">
        <w:rPr>
          <w:lang w:val="en-GB"/>
        </w:rPr>
        <w:t xml:space="preserve">. </w:t>
      </w:r>
      <w:r w:rsidR="00D366B1">
        <w:rPr>
          <w:lang w:val="en-GB"/>
        </w:rPr>
        <w:t xml:space="preserve">As we cannot, therefore, broadly </w:t>
      </w:r>
      <w:r w:rsidR="003825E9">
        <w:rPr>
          <w:lang w:val="en-GB"/>
        </w:rPr>
        <w:t xml:space="preserve">predict how </w:t>
      </w:r>
      <w:r>
        <w:rPr>
          <w:lang w:val="en-GB"/>
        </w:rPr>
        <w:t xml:space="preserve">the </w:t>
      </w:r>
      <w:r w:rsidR="003825E9">
        <w:rPr>
          <w:lang w:val="en-GB"/>
        </w:rPr>
        <w:t>bias</w:t>
      </w:r>
      <w:r>
        <w:rPr>
          <w:lang w:val="en-GB"/>
        </w:rPr>
        <w:t xml:space="preserve">es associated with the </w:t>
      </w:r>
      <w:r w:rsidR="00EB4899">
        <w:rPr>
          <w:lang w:val="en-GB"/>
        </w:rPr>
        <w:t>Survey of Education and Work</w:t>
      </w:r>
      <w:r w:rsidR="003825E9">
        <w:rPr>
          <w:lang w:val="en-GB"/>
        </w:rPr>
        <w:t xml:space="preserve"> might influence</w:t>
      </w:r>
      <w:r w:rsidR="00C176A8">
        <w:rPr>
          <w:lang w:val="en-GB"/>
        </w:rPr>
        <w:t xml:space="preserve"> the</w:t>
      </w:r>
      <w:r w:rsidR="003825E9">
        <w:rPr>
          <w:lang w:val="en-GB"/>
        </w:rPr>
        <w:t xml:space="preserve"> results obtained</w:t>
      </w:r>
      <w:r w:rsidR="00D366B1">
        <w:rPr>
          <w:lang w:val="en-GB"/>
        </w:rPr>
        <w:t xml:space="preserve">, we omit consideration of </w:t>
      </w:r>
      <w:r w:rsidR="00EB4899">
        <w:rPr>
          <w:lang w:val="en-GB"/>
        </w:rPr>
        <w:t>this survey</w:t>
      </w:r>
      <w:r w:rsidR="00D366B1">
        <w:rPr>
          <w:lang w:val="en-GB"/>
        </w:rPr>
        <w:t xml:space="preserve"> from the remainder of this study</w:t>
      </w:r>
      <w:r w:rsidR="003825E9">
        <w:rPr>
          <w:lang w:val="en-GB"/>
        </w:rPr>
        <w:t>.</w:t>
      </w:r>
      <w:r w:rsidR="00891FB8">
        <w:rPr>
          <w:lang w:val="en-GB"/>
        </w:rPr>
        <w:t xml:space="preserve"> </w:t>
      </w:r>
    </w:p>
    <w:p w:rsidR="00406B07" w:rsidRDefault="00406B07" w:rsidP="002D120A">
      <w:pPr>
        <w:pStyle w:val="Heading3"/>
      </w:pPr>
    </w:p>
    <w:p w:rsidR="00E27416" w:rsidRDefault="00E27416" w:rsidP="002D120A">
      <w:pPr>
        <w:pStyle w:val="Heading3"/>
        <w:sectPr w:rsidR="00E27416" w:rsidSect="00011633">
          <w:footerReference w:type="even" r:id="rId48"/>
          <w:footerReference w:type="default" r:id="rId49"/>
          <w:pgSz w:w="11907" w:h="16840" w:code="9"/>
          <w:pgMar w:top="1276" w:right="2835" w:bottom="992" w:left="1134" w:header="709" w:footer="556" w:gutter="0"/>
          <w:cols w:space="708"/>
          <w:docGrid w:linePitch="360"/>
        </w:sectPr>
      </w:pPr>
    </w:p>
    <w:p w:rsidR="002D120A" w:rsidRDefault="002D120A" w:rsidP="002D120A">
      <w:pPr>
        <w:pStyle w:val="Heading3"/>
      </w:pPr>
      <w:r>
        <w:lastRenderedPageBreak/>
        <w:t>State characteristics</w:t>
      </w:r>
    </w:p>
    <w:p w:rsidR="002D120A" w:rsidRDefault="00C176A8" w:rsidP="00D2237C">
      <w:pPr>
        <w:pStyle w:val="Text"/>
      </w:pPr>
      <w:r>
        <w:t>In conducting any analysis of</w:t>
      </w:r>
      <w:r w:rsidR="000325B8">
        <w:t xml:space="preserve"> impacts on enrolments and course choice, it is important to control for any changes in the population that may occur in Victoria and the rest of Australia. While we control explicitly for such changes in the regression (discussed in the next section), we also present them in</w:t>
      </w:r>
      <w:r w:rsidR="00747916">
        <w:t xml:space="preserve"> t</w:t>
      </w:r>
      <w:r w:rsidR="000325B8">
        <w:t xml:space="preserve">able 2 to provide some assurance to the reader that there were no major </w:t>
      </w:r>
      <w:r w:rsidR="002D120A">
        <w:t xml:space="preserve">structural changes in Victoria that were not observed in the rest of Australia. To the extent that such structural changes occurred and were not controlled for in the regression, our regression estimates would be biased. </w:t>
      </w:r>
    </w:p>
    <w:p w:rsidR="000676EB" w:rsidRDefault="00D2237C" w:rsidP="00D2237C">
      <w:pPr>
        <w:pStyle w:val="Text"/>
        <w:sectPr w:rsidR="000676EB" w:rsidSect="00011633">
          <w:footerReference w:type="default" r:id="rId50"/>
          <w:pgSz w:w="11907" w:h="16840" w:code="9"/>
          <w:pgMar w:top="1276" w:right="2835" w:bottom="992" w:left="1134" w:header="709" w:footer="556" w:gutter="0"/>
          <w:cols w:space="708"/>
          <w:docGrid w:linePitch="360"/>
        </w:sectPr>
      </w:pPr>
      <w:r>
        <w:t xml:space="preserve">Table 2 reveals that the population share of most of the subgroups considered for </w:t>
      </w:r>
      <w:r w:rsidR="00ED52FF">
        <w:t xml:space="preserve">our </w:t>
      </w:r>
      <w:r>
        <w:t xml:space="preserve">analysis altered little between 2006 and 2011. The most substantial variation is observed for education status, where the proportion of </w:t>
      </w:r>
      <w:r w:rsidR="005331DE">
        <w:t>25 to 54-year-olds</w:t>
      </w:r>
      <w:r w:rsidR="00ED52FF">
        <w:t xml:space="preserve"> </w:t>
      </w:r>
      <w:r>
        <w:t xml:space="preserve">reporting that they held a bachelor degree or above increased by five percentage points in Victoria and four percentage points in Australia between 2006 and 2011, offset by a similar decline in the proportion of the </w:t>
      </w:r>
      <w:r w:rsidR="00FF10CF">
        <w:t xml:space="preserve">study </w:t>
      </w:r>
      <w:r>
        <w:t xml:space="preserve">population reporting none of the listed qualifications. The next most substantive shift is reported for the proportion of the population born in Australia, which increased by three percentage points in Victoria and four percentage points in the rest of Australia. Otherwise </w:t>
      </w:r>
      <w:r w:rsidR="00C176A8">
        <w:t xml:space="preserve">the </w:t>
      </w:r>
      <w:r w:rsidR="00FF10CF">
        <w:t>changes in the population characteristics reported in table 2 are</w:t>
      </w:r>
      <w:r>
        <w:t xml:space="preserve"> in the region of two percentage points or less.</w:t>
      </w:r>
    </w:p>
    <w:p w:rsidR="00D2237C" w:rsidRDefault="00D2237C" w:rsidP="00FE1D0A">
      <w:pPr>
        <w:pStyle w:val="tabletitle0"/>
        <w:ind w:left="720" w:hanging="720"/>
        <w:rPr>
          <w:rFonts w:eastAsia="Calibri"/>
        </w:rPr>
      </w:pPr>
      <w:bookmarkStart w:id="60" w:name="_Toc438210017"/>
      <w:bookmarkStart w:id="61" w:name="_Toc468881915"/>
      <w:r>
        <w:rPr>
          <w:rFonts w:eastAsia="Calibri"/>
        </w:rPr>
        <w:lastRenderedPageBreak/>
        <w:t>Table 2</w:t>
      </w:r>
      <w:r>
        <w:rPr>
          <w:rFonts w:eastAsia="Calibri"/>
        </w:rPr>
        <w:tab/>
        <w:t xml:space="preserve">Distribution of population aged 25 to 54 </w:t>
      </w:r>
      <w:r w:rsidR="00C176A8">
        <w:rPr>
          <w:rFonts w:eastAsia="Calibri"/>
        </w:rPr>
        <w:t>years by geographic region and c</w:t>
      </w:r>
      <w:r>
        <w:rPr>
          <w:rFonts w:eastAsia="Calibri"/>
        </w:rPr>
        <w:t xml:space="preserve">ensus </w:t>
      </w:r>
      <w:proofErr w:type="gramStart"/>
      <w:r>
        <w:rPr>
          <w:rFonts w:eastAsia="Calibri"/>
        </w:rPr>
        <w:t>year</w:t>
      </w:r>
      <w:proofErr w:type="gramEnd"/>
      <w:r w:rsidR="00FE1D0A">
        <w:rPr>
          <w:rFonts w:eastAsia="Calibri"/>
        </w:rPr>
        <w:br/>
      </w:r>
      <w:r>
        <w:rPr>
          <w:rFonts w:eastAsia="Calibri"/>
        </w:rPr>
        <w:t>(% except where otherwise stated)</w:t>
      </w:r>
      <w:bookmarkEnd w:id="60"/>
      <w:bookmarkEnd w:id="61"/>
    </w:p>
    <w:tbl>
      <w:tblPr>
        <w:tblW w:w="8150" w:type="dxa"/>
        <w:tblInd w:w="78" w:type="dxa"/>
        <w:tblLook w:val="04A0" w:firstRow="1" w:lastRow="0" w:firstColumn="1" w:lastColumn="0" w:noHBand="0" w:noVBand="1"/>
      </w:tblPr>
      <w:tblGrid>
        <w:gridCol w:w="403"/>
        <w:gridCol w:w="2462"/>
        <w:gridCol w:w="851"/>
        <w:gridCol w:w="850"/>
        <w:gridCol w:w="851"/>
        <w:gridCol w:w="850"/>
        <w:gridCol w:w="851"/>
        <w:gridCol w:w="1032"/>
      </w:tblGrid>
      <w:tr w:rsidR="00D2237C" w:rsidTr="00325682">
        <w:trPr>
          <w:trHeight w:val="290"/>
        </w:trPr>
        <w:tc>
          <w:tcPr>
            <w:tcW w:w="403" w:type="dxa"/>
            <w:tcBorders>
              <w:top w:val="single" w:sz="4" w:space="0" w:color="auto"/>
              <w:left w:val="nil"/>
              <w:bottom w:val="nil"/>
              <w:right w:val="nil"/>
            </w:tcBorders>
          </w:tcPr>
          <w:p w:rsidR="00D2237C" w:rsidRDefault="00D2237C" w:rsidP="00530156">
            <w:pPr>
              <w:pStyle w:val="Tablehead1"/>
            </w:pPr>
          </w:p>
        </w:tc>
        <w:tc>
          <w:tcPr>
            <w:tcW w:w="2462" w:type="dxa"/>
            <w:tcBorders>
              <w:top w:val="single" w:sz="4" w:space="0" w:color="auto"/>
              <w:left w:val="nil"/>
              <w:bottom w:val="nil"/>
            </w:tcBorders>
          </w:tcPr>
          <w:p w:rsidR="00D2237C" w:rsidRDefault="00D2237C" w:rsidP="00530156">
            <w:pPr>
              <w:pStyle w:val="Tablehead1"/>
            </w:pPr>
          </w:p>
        </w:tc>
        <w:tc>
          <w:tcPr>
            <w:tcW w:w="2552" w:type="dxa"/>
            <w:gridSpan w:val="3"/>
            <w:tcBorders>
              <w:top w:val="single" w:sz="4" w:space="0" w:color="auto"/>
              <w:bottom w:val="nil"/>
            </w:tcBorders>
            <w:hideMark/>
          </w:tcPr>
          <w:p w:rsidR="00D2237C" w:rsidRDefault="00D2237C" w:rsidP="00A5410F">
            <w:pPr>
              <w:pStyle w:val="Tablehead1"/>
              <w:jc w:val="center"/>
            </w:pPr>
            <w:r>
              <w:t>Victoria</w:t>
            </w:r>
          </w:p>
        </w:tc>
        <w:tc>
          <w:tcPr>
            <w:tcW w:w="2733" w:type="dxa"/>
            <w:gridSpan w:val="3"/>
            <w:tcBorders>
              <w:top w:val="single" w:sz="4" w:space="0" w:color="auto"/>
              <w:bottom w:val="nil"/>
              <w:right w:val="nil"/>
            </w:tcBorders>
            <w:hideMark/>
          </w:tcPr>
          <w:p w:rsidR="00D2237C" w:rsidRDefault="00D2237C" w:rsidP="00A5410F">
            <w:pPr>
              <w:pStyle w:val="Tablehead1"/>
              <w:jc w:val="center"/>
            </w:pPr>
            <w:r>
              <w:t>Rest of Australia</w:t>
            </w:r>
          </w:p>
        </w:tc>
      </w:tr>
      <w:tr w:rsidR="00D2237C" w:rsidTr="00325682">
        <w:trPr>
          <w:trHeight w:val="290"/>
        </w:trPr>
        <w:tc>
          <w:tcPr>
            <w:tcW w:w="403" w:type="dxa"/>
            <w:tcBorders>
              <w:top w:val="nil"/>
              <w:left w:val="nil"/>
              <w:bottom w:val="single" w:sz="4" w:space="0" w:color="auto"/>
              <w:right w:val="nil"/>
            </w:tcBorders>
          </w:tcPr>
          <w:p w:rsidR="00D2237C" w:rsidRDefault="00D2237C" w:rsidP="00530156">
            <w:pPr>
              <w:pStyle w:val="Tablehead2"/>
            </w:pPr>
          </w:p>
        </w:tc>
        <w:tc>
          <w:tcPr>
            <w:tcW w:w="2462" w:type="dxa"/>
            <w:tcBorders>
              <w:top w:val="nil"/>
              <w:left w:val="nil"/>
              <w:bottom w:val="single" w:sz="4" w:space="0" w:color="auto"/>
            </w:tcBorders>
          </w:tcPr>
          <w:p w:rsidR="00D2237C" w:rsidRDefault="00D2237C" w:rsidP="00530156">
            <w:pPr>
              <w:pStyle w:val="Tablehead2"/>
            </w:pPr>
          </w:p>
        </w:tc>
        <w:tc>
          <w:tcPr>
            <w:tcW w:w="851" w:type="dxa"/>
            <w:tcBorders>
              <w:top w:val="nil"/>
              <w:bottom w:val="single" w:sz="4" w:space="0" w:color="auto"/>
            </w:tcBorders>
            <w:hideMark/>
          </w:tcPr>
          <w:p w:rsidR="00D2237C" w:rsidRDefault="00D2237C" w:rsidP="00A5410F">
            <w:pPr>
              <w:pStyle w:val="Tablehead2"/>
              <w:jc w:val="right"/>
            </w:pPr>
            <w:r>
              <w:t>2006</w:t>
            </w:r>
          </w:p>
        </w:tc>
        <w:tc>
          <w:tcPr>
            <w:tcW w:w="850" w:type="dxa"/>
            <w:tcBorders>
              <w:top w:val="nil"/>
              <w:bottom w:val="single" w:sz="4" w:space="0" w:color="auto"/>
            </w:tcBorders>
            <w:hideMark/>
          </w:tcPr>
          <w:p w:rsidR="00D2237C" w:rsidRDefault="00D2237C" w:rsidP="00A5410F">
            <w:pPr>
              <w:pStyle w:val="Tablehead2"/>
              <w:jc w:val="right"/>
            </w:pPr>
            <w:r>
              <w:t>2011</w:t>
            </w:r>
          </w:p>
        </w:tc>
        <w:tc>
          <w:tcPr>
            <w:tcW w:w="851" w:type="dxa"/>
            <w:tcBorders>
              <w:top w:val="nil"/>
              <w:bottom w:val="single" w:sz="4" w:space="0" w:color="auto"/>
            </w:tcBorders>
            <w:hideMark/>
          </w:tcPr>
          <w:p w:rsidR="00D2237C" w:rsidRDefault="000C041E" w:rsidP="00A5410F">
            <w:pPr>
              <w:pStyle w:val="Tablehead2"/>
              <w:jc w:val="right"/>
            </w:pPr>
            <w:r>
              <w:t>D</w:t>
            </w:r>
            <w:r w:rsidR="00D2237C">
              <w:t>iff</w:t>
            </w:r>
            <w:r>
              <w:t>.</w:t>
            </w:r>
          </w:p>
        </w:tc>
        <w:tc>
          <w:tcPr>
            <w:tcW w:w="850" w:type="dxa"/>
            <w:tcBorders>
              <w:top w:val="nil"/>
              <w:bottom w:val="single" w:sz="4" w:space="0" w:color="auto"/>
            </w:tcBorders>
            <w:hideMark/>
          </w:tcPr>
          <w:p w:rsidR="00D2237C" w:rsidRDefault="00D2237C" w:rsidP="00A5410F">
            <w:pPr>
              <w:pStyle w:val="Tablehead2"/>
              <w:jc w:val="right"/>
            </w:pPr>
            <w:r>
              <w:t>2006</w:t>
            </w:r>
          </w:p>
        </w:tc>
        <w:tc>
          <w:tcPr>
            <w:tcW w:w="851" w:type="dxa"/>
            <w:tcBorders>
              <w:top w:val="nil"/>
              <w:bottom w:val="single" w:sz="4" w:space="0" w:color="auto"/>
            </w:tcBorders>
            <w:hideMark/>
          </w:tcPr>
          <w:p w:rsidR="00D2237C" w:rsidRDefault="00D2237C" w:rsidP="00A5410F">
            <w:pPr>
              <w:pStyle w:val="Tablehead2"/>
              <w:jc w:val="right"/>
            </w:pPr>
            <w:r>
              <w:t>2011</w:t>
            </w:r>
          </w:p>
        </w:tc>
        <w:tc>
          <w:tcPr>
            <w:tcW w:w="1032" w:type="dxa"/>
            <w:tcBorders>
              <w:top w:val="nil"/>
              <w:bottom w:val="single" w:sz="4" w:space="0" w:color="auto"/>
              <w:right w:val="nil"/>
            </w:tcBorders>
            <w:hideMark/>
          </w:tcPr>
          <w:p w:rsidR="00D2237C" w:rsidRDefault="000C041E" w:rsidP="00A5410F">
            <w:pPr>
              <w:pStyle w:val="Tablehead2"/>
              <w:jc w:val="right"/>
            </w:pPr>
            <w:r>
              <w:t>D</w:t>
            </w:r>
            <w:r w:rsidR="00D2237C">
              <w:t>iff</w:t>
            </w:r>
            <w:r>
              <w:t>.</w:t>
            </w:r>
          </w:p>
        </w:tc>
      </w:tr>
      <w:tr w:rsidR="00D2237C" w:rsidTr="000E1068">
        <w:trPr>
          <w:trHeight w:val="290"/>
        </w:trPr>
        <w:tc>
          <w:tcPr>
            <w:tcW w:w="2865" w:type="dxa"/>
            <w:gridSpan w:val="2"/>
            <w:hideMark/>
          </w:tcPr>
          <w:p w:rsidR="00D2237C" w:rsidRDefault="00D2237C" w:rsidP="00FE1D0A">
            <w:pPr>
              <w:pStyle w:val="Tabletext"/>
            </w:pPr>
            <w:r>
              <w:t>Gender</w:t>
            </w:r>
          </w:p>
        </w:tc>
        <w:tc>
          <w:tcPr>
            <w:tcW w:w="851" w:type="dxa"/>
            <w:tcBorders>
              <w:top w:val="nil"/>
              <w:bottom w:val="nil"/>
            </w:tcBorders>
          </w:tcPr>
          <w:p w:rsidR="00D2237C" w:rsidRDefault="00D2237C" w:rsidP="00FE1D0A">
            <w:pPr>
              <w:pStyle w:val="Tabletext"/>
            </w:pPr>
          </w:p>
        </w:tc>
        <w:tc>
          <w:tcPr>
            <w:tcW w:w="850" w:type="dxa"/>
          </w:tcPr>
          <w:p w:rsidR="00D2237C" w:rsidRDefault="00D2237C" w:rsidP="00FE1D0A">
            <w:pPr>
              <w:pStyle w:val="Tabletext"/>
            </w:pPr>
          </w:p>
        </w:tc>
        <w:tc>
          <w:tcPr>
            <w:tcW w:w="851" w:type="dxa"/>
          </w:tcPr>
          <w:p w:rsidR="00D2237C" w:rsidRDefault="00D2237C" w:rsidP="00FE1D0A">
            <w:pPr>
              <w:pStyle w:val="Tabletext"/>
            </w:pPr>
          </w:p>
        </w:tc>
        <w:tc>
          <w:tcPr>
            <w:tcW w:w="850" w:type="dxa"/>
            <w:tcBorders>
              <w:top w:val="nil"/>
              <w:bottom w:val="nil"/>
            </w:tcBorders>
          </w:tcPr>
          <w:p w:rsidR="00D2237C" w:rsidRDefault="00D2237C" w:rsidP="00FE1D0A">
            <w:pPr>
              <w:pStyle w:val="Tabletext"/>
            </w:pPr>
          </w:p>
        </w:tc>
        <w:tc>
          <w:tcPr>
            <w:tcW w:w="851" w:type="dxa"/>
          </w:tcPr>
          <w:p w:rsidR="00D2237C" w:rsidRDefault="00D2237C" w:rsidP="00FE1D0A">
            <w:pPr>
              <w:pStyle w:val="Tabletext"/>
            </w:pPr>
          </w:p>
        </w:tc>
        <w:tc>
          <w:tcPr>
            <w:tcW w:w="1032" w:type="dxa"/>
          </w:tcPr>
          <w:p w:rsidR="00D2237C" w:rsidRDefault="00D2237C" w:rsidP="00FE1D0A">
            <w:pPr>
              <w:pStyle w:val="Tabletext"/>
            </w:pP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Male</w:t>
            </w:r>
          </w:p>
        </w:tc>
        <w:tc>
          <w:tcPr>
            <w:tcW w:w="851" w:type="dxa"/>
            <w:tcBorders>
              <w:top w:val="nil"/>
              <w:bottom w:val="nil"/>
            </w:tcBorders>
            <w:hideMark/>
          </w:tcPr>
          <w:p w:rsidR="00D2237C" w:rsidRDefault="00D2237C" w:rsidP="00A5410F">
            <w:pPr>
              <w:pStyle w:val="Tabletext"/>
              <w:jc w:val="right"/>
            </w:pPr>
            <w:r>
              <w:t>49</w:t>
            </w:r>
          </w:p>
        </w:tc>
        <w:tc>
          <w:tcPr>
            <w:tcW w:w="850" w:type="dxa"/>
            <w:hideMark/>
          </w:tcPr>
          <w:p w:rsidR="00D2237C" w:rsidRDefault="00D2237C" w:rsidP="00A5410F">
            <w:pPr>
              <w:pStyle w:val="Tabletext"/>
              <w:jc w:val="right"/>
            </w:pPr>
            <w:r>
              <w:t>49</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49</w:t>
            </w:r>
          </w:p>
        </w:tc>
        <w:tc>
          <w:tcPr>
            <w:tcW w:w="851" w:type="dxa"/>
            <w:hideMark/>
          </w:tcPr>
          <w:p w:rsidR="00D2237C" w:rsidRDefault="00D2237C" w:rsidP="00A5410F">
            <w:pPr>
              <w:pStyle w:val="Tabletext"/>
              <w:jc w:val="right"/>
            </w:pPr>
            <w:r>
              <w:t>49</w:t>
            </w:r>
          </w:p>
        </w:tc>
        <w:tc>
          <w:tcPr>
            <w:tcW w:w="1032" w:type="dxa"/>
            <w:hideMark/>
          </w:tcPr>
          <w:p w:rsidR="00D2237C" w:rsidRDefault="00D2237C" w:rsidP="00A5410F">
            <w:pPr>
              <w:pStyle w:val="Tabletext"/>
              <w:jc w:val="right"/>
            </w:pPr>
            <w:r>
              <w:t>0</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Female</w:t>
            </w:r>
          </w:p>
        </w:tc>
        <w:tc>
          <w:tcPr>
            <w:tcW w:w="851" w:type="dxa"/>
            <w:tcBorders>
              <w:top w:val="nil"/>
              <w:bottom w:val="nil"/>
            </w:tcBorders>
            <w:hideMark/>
          </w:tcPr>
          <w:p w:rsidR="00D2237C" w:rsidRDefault="00D2237C" w:rsidP="00A5410F">
            <w:pPr>
              <w:pStyle w:val="Tabletext"/>
              <w:jc w:val="right"/>
            </w:pPr>
            <w:r>
              <w:t>51</w:t>
            </w:r>
          </w:p>
        </w:tc>
        <w:tc>
          <w:tcPr>
            <w:tcW w:w="850" w:type="dxa"/>
            <w:hideMark/>
          </w:tcPr>
          <w:p w:rsidR="00D2237C" w:rsidRDefault="00D2237C" w:rsidP="00A5410F">
            <w:pPr>
              <w:pStyle w:val="Tabletext"/>
              <w:jc w:val="right"/>
            </w:pPr>
            <w:r>
              <w:t>51</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51</w:t>
            </w:r>
          </w:p>
        </w:tc>
        <w:tc>
          <w:tcPr>
            <w:tcW w:w="851" w:type="dxa"/>
            <w:hideMark/>
          </w:tcPr>
          <w:p w:rsidR="00D2237C" w:rsidRDefault="00D2237C" w:rsidP="00A5410F">
            <w:pPr>
              <w:pStyle w:val="Tabletext"/>
              <w:jc w:val="right"/>
            </w:pPr>
            <w:r>
              <w:t>51</w:t>
            </w:r>
          </w:p>
        </w:tc>
        <w:tc>
          <w:tcPr>
            <w:tcW w:w="1032" w:type="dxa"/>
            <w:hideMark/>
          </w:tcPr>
          <w:p w:rsidR="00D2237C" w:rsidRDefault="00D2237C" w:rsidP="00A5410F">
            <w:pPr>
              <w:pStyle w:val="Tabletext"/>
              <w:jc w:val="right"/>
            </w:pPr>
            <w:r>
              <w:t>0</w:t>
            </w:r>
          </w:p>
        </w:tc>
      </w:tr>
      <w:tr w:rsidR="00D2237C" w:rsidTr="000E1068">
        <w:trPr>
          <w:trHeight w:val="290"/>
        </w:trPr>
        <w:tc>
          <w:tcPr>
            <w:tcW w:w="2865" w:type="dxa"/>
            <w:gridSpan w:val="2"/>
            <w:hideMark/>
          </w:tcPr>
          <w:p w:rsidR="00D2237C" w:rsidRDefault="00D2237C" w:rsidP="00FE1D0A">
            <w:pPr>
              <w:pStyle w:val="Tabletext"/>
            </w:pPr>
            <w:r>
              <w:t>Age</w:t>
            </w:r>
          </w:p>
        </w:tc>
        <w:tc>
          <w:tcPr>
            <w:tcW w:w="851" w:type="dxa"/>
            <w:tcBorders>
              <w:top w:val="nil"/>
              <w:bottom w:val="nil"/>
            </w:tcBorders>
          </w:tcPr>
          <w:p w:rsidR="00D2237C" w:rsidRDefault="00D2237C" w:rsidP="00A5410F">
            <w:pPr>
              <w:pStyle w:val="Tabletext"/>
              <w:jc w:val="right"/>
            </w:pPr>
          </w:p>
        </w:tc>
        <w:tc>
          <w:tcPr>
            <w:tcW w:w="850" w:type="dxa"/>
          </w:tcPr>
          <w:p w:rsidR="00D2237C" w:rsidRDefault="00D2237C" w:rsidP="00A5410F">
            <w:pPr>
              <w:pStyle w:val="Tabletext"/>
              <w:jc w:val="right"/>
            </w:pPr>
          </w:p>
        </w:tc>
        <w:tc>
          <w:tcPr>
            <w:tcW w:w="851" w:type="dxa"/>
          </w:tcPr>
          <w:p w:rsidR="00D2237C" w:rsidRDefault="00D2237C" w:rsidP="00A5410F">
            <w:pPr>
              <w:pStyle w:val="Tabletext"/>
              <w:jc w:val="right"/>
            </w:pPr>
          </w:p>
        </w:tc>
        <w:tc>
          <w:tcPr>
            <w:tcW w:w="850" w:type="dxa"/>
            <w:tcBorders>
              <w:top w:val="nil"/>
              <w:bottom w:val="nil"/>
            </w:tcBorders>
          </w:tcPr>
          <w:p w:rsidR="00D2237C" w:rsidRDefault="00D2237C" w:rsidP="00A5410F">
            <w:pPr>
              <w:pStyle w:val="Tabletext"/>
              <w:jc w:val="right"/>
            </w:pPr>
          </w:p>
        </w:tc>
        <w:tc>
          <w:tcPr>
            <w:tcW w:w="851" w:type="dxa"/>
          </w:tcPr>
          <w:p w:rsidR="00D2237C" w:rsidRDefault="00D2237C" w:rsidP="00A5410F">
            <w:pPr>
              <w:pStyle w:val="Tabletext"/>
              <w:jc w:val="right"/>
            </w:pPr>
          </w:p>
        </w:tc>
        <w:tc>
          <w:tcPr>
            <w:tcW w:w="1032" w:type="dxa"/>
          </w:tcPr>
          <w:p w:rsidR="00D2237C" w:rsidRDefault="00D2237C" w:rsidP="00A5410F">
            <w:pPr>
              <w:pStyle w:val="Tabletext"/>
              <w:jc w:val="right"/>
            </w:pP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25</w:t>
            </w:r>
            <w:r w:rsidR="00ED52FF">
              <w:t>–</w:t>
            </w:r>
            <w:r>
              <w:t>29</w:t>
            </w:r>
          </w:p>
        </w:tc>
        <w:tc>
          <w:tcPr>
            <w:tcW w:w="851" w:type="dxa"/>
            <w:tcBorders>
              <w:top w:val="nil"/>
              <w:bottom w:val="nil"/>
            </w:tcBorders>
            <w:hideMark/>
          </w:tcPr>
          <w:p w:rsidR="00D2237C" w:rsidRDefault="00D2237C" w:rsidP="00A5410F">
            <w:pPr>
              <w:pStyle w:val="Tabletext"/>
              <w:jc w:val="right"/>
            </w:pPr>
            <w:r>
              <w:t>15</w:t>
            </w:r>
          </w:p>
        </w:tc>
        <w:tc>
          <w:tcPr>
            <w:tcW w:w="850" w:type="dxa"/>
            <w:hideMark/>
          </w:tcPr>
          <w:p w:rsidR="00D2237C" w:rsidRDefault="00D2237C" w:rsidP="00A5410F">
            <w:pPr>
              <w:pStyle w:val="Tabletext"/>
              <w:jc w:val="right"/>
            </w:pPr>
            <w:r>
              <w:t>17</w:t>
            </w:r>
          </w:p>
        </w:tc>
        <w:tc>
          <w:tcPr>
            <w:tcW w:w="851" w:type="dxa"/>
            <w:hideMark/>
          </w:tcPr>
          <w:p w:rsidR="00D2237C" w:rsidRDefault="00D2237C" w:rsidP="00A5410F">
            <w:pPr>
              <w:pStyle w:val="Tabletext"/>
              <w:jc w:val="right"/>
            </w:pPr>
            <w:r>
              <w:t>2</w:t>
            </w:r>
          </w:p>
        </w:tc>
        <w:tc>
          <w:tcPr>
            <w:tcW w:w="850" w:type="dxa"/>
            <w:tcBorders>
              <w:top w:val="nil"/>
              <w:bottom w:val="nil"/>
            </w:tcBorders>
            <w:hideMark/>
          </w:tcPr>
          <w:p w:rsidR="00D2237C" w:rsidRDefault="00D2237C" w:rsidP="00A5410F">
            <w:pPr>
              <w:pStyle w:val="Tabletext"/>
              <w:jc w:val="right"/>
            </w:pPr>
            <w:r>
              <w:t>15</w:t>
            </w:r>
          </w:p>
        </w:tc>
        <w:tc>
          <w:tcPr>
            <w:tcW w:w="851" w:type="dxa"/>
            <w:hideMark/>
          </w:tcPr>
          <w:p w:rsidR="00D2237C" w:rsidRDefault="00D2237C" w:rsidP="00A5410F">
            <w:pPr>
              <w:pStyle w:val="Tabletext"/>
              <w:jc w:val="right"/>
            </w:pPr>
            <w:r>
              <w:t>17</w:t>
            </w:r>
          </w:p>
        </w:tc>
        <w:tc>
          <w:tcPr>
            <w:tcW w:w="1032" w:type="dxa"/>
            <w:hideMark/>
          </w:tcPr>
          <w:p w:rsidR="00D2237C" w:rsidRDefault="00D2237C" w:rsidP="00A5410F">
            <w:pPr>
              <w:pStyle w:val="Tabletext"/>
              <w:jc w:val="right"/>
            </w:pPr>
            <w:r>
              <w:t>2</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30</w:t>
            </w:r>
            <w:r w:rsidR="00ED52FF">
              <w:t>–</w:t>
            </w:r>
            <w:r>
              <w:t>34</w:t>
            </w:r>
          </w:p>
        </w:tc>
        <w:tc>
          <w:tcPr>
            <w:tcW w:w="851" w:type="dxa"/>
            <w:tcBorders>
              <w:top w:val="nil"/>
              <w:bottom w:val="nil"/>
            </w:tcBorders>
            <w:hideMark/>
          </w:tcPr>
          <w:p w:rsidR="00D2237C" w:rsidRDefault="00D2237C" w:rsidP="00A5410F">
            <w:pPr>
              <w:pStyle w:val="Tabletext"/>
              <w:jc w:val="right"/>
            </w:pPr>
            <w:r>
              <w:t>17</w:t>
            </w:r>
          </w:p>
        </w:tc>
        <w:tc>
          <w:tcPr>
            <w:tcW w:w="850" w:type="dxa"/>
            <w:hideMark/>
          </w:tcPr>
          <w:p w:rsidR="00D2237C" w:rsidRDefault="00D2237C" w:rsidP="00A5410F">
            <w:pPr>
              <w:pStyle w:val="Tabletext"/>
              <w:jc w:val="right"/>
            </w:pPr>
            <w:r>
              <w:t>16</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17</w:t>
            </w:r>
          </w:p>
        </w:tc>
        <w:tc>
          <w:tcPr>
            <w:tcW w:w="851" w:type="dxa"/>
            <w:hideMark/>
          </w:tcPr>
          <w:p w:rsidR="00D2237C" w:rsidRDefault="00D2237C" w:rsidP="00A5410F">
            <w:pPr>
              <w:pStyle w:val="Tabletext"/>
              <w:jc w:val="right"/>
            </w:pPr>
            <w:r>
              <w:t>16</w:t>
            </w:r>
          </w:p>
        </w:tc>
        <w:tc>
          <w:tcPr>
            <w:tcW w:w="1032" w:type="dxa"/>
            <w:hideMark/>
          </w:tcPr>
          <w:p w:rsidR="00D2237C" w:rsidRDefault="00D2237C" w:rsidP="00A5410F">
            <w:pPr>
              <w:pStyle w:val="Tabletext"/>
              <w:jc w:val="right"/>
            </w:pPr>
            <w:r>
              <w:t>-1</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35</w:t>
            </w:r>
            <w:r w:rsidR="00ED52FF">
              <w:t>–</w:t>
            </w:r>
            <w:r>
              <w:t>39</w:t>
            </w:r>
          </w:p>
        </w:tc>
        <w:tc>
          <w:tcPr>
            <w:tcW w:w="851" w:type="dxa"/>
            <w:tcBorders>
              <w:top w:val="nil"/>
              <w:bottom w:val="nil"/>
            </w:tcBorders>
            <w:hideMark/>
          </w:tcPr>
          <w:p w:rsidR="00D2237C" w:rsidRDefault="00D2237C" w:rsidP="00A5410F">
            <w:pPr>
              <w:pStyle w:val="Tabletext"/>
              <w:jc w:val="right"/>
            </w:pPr>
            <w:r>
              <w:t>18</w:t>
            </w:r>
          </w:p>
        </w:tc>
        <w:tc>
          <w:tcPr>
            <w:tcW w:w="850" w:type="dxa"/>
            <w:hideMark/>
          </w:tcPr>
          <w:p w:rsidR="00D2237C" w:rsidRDefault="00D2237C" w:rsidP="00A5410F">
            <w:pPr>
              <w:pStyle w:val="Tabletext"/>
              <w:jc w:val="right"/>
            </w:pPr>
            <w:r>
              <w:t>17</w:t>
            </w:r>
          </w:p>
        </w:tc>
        <w:tc>
          <w:tcPr>
            <w:tcW w:w="851" w:type="dxa"/>
            <w:hideMark/>
          </w:tcPr>
          <w:p w:rsidR="00D2237C" w:rsidRDefault="00D2237C" w:rsidP="00A5410F">
            <w:pPr>
              <w:pStyle w:val="Tabletext"/>
              <w:jc w:val="right"/>
            </w:pPr>
            <w:r>
              <w:t>-1</w:t>
            </w:r>
          </w:p>
        </w:tc>
        <w:tc>
          <w:tcPr>
            <w:tcW w:w="850" w:type="dxa"/>
            <w:tcBorders>
              <w:top w:val="nil"/>
              <w:bottom w:val="nil"/>
            </w:tcBorders>
            <w:hideMark/>
          </w:tcPr>
          <w:p w:rsidR="00D2237C" w:rsidRDefault="00D2237C" w:rsidP="00A5410F">
            <w:pPr>
              <w:pStyle w:val="Tabletext"/>
              <w:jc w:val="right"/>
            </w:pPr>
            <w:r>
              <w:t>18</w:t>
            </w:r>
          </w:p>
        </w:tc>
        <w:tc>
          <w:tcPr>
            <w:tcW w:w="851" w:type="dxa"/>
            <w:hideMark/>
          </w:tcPr>
          <w:p w:rsidR="00D2237C" w:rsidRDefault="00D2237C" w:rsidP="00A5410F">
            <w:pPr>
              <w:pStyle w:val="Tabletext"/>
              <w:jc w:val="right"/>
            </w:pPr>
            <w:r>
              <w:t>17</w:t>
            </w:r>
          </w:p>
        </w:tc>
        <w:tc>
          <w:tcPr>
            <w:tcW w:w="1032" w:type="dxa"/>
            <w:hideMark/>
          </w:tcPr>
          <w:p w:rsidR="00D2237C" w:rsidRDefault="00D2237C" w:rsidP="00A5410F">
            <w:pPr>
              <w:pStyle w:val="Tabletext"/>
              <w:jc w:val="right"/>
            </w:pPr>
            <w:r>
              <w:t>-1</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40</w:t>
            </w:r>
            <w:r w:rsidR="00ED52FF">
              <w:t>–</w:t>
            </w:r>
            <w:r>
              <w:t>44</w:t>
            </w:r>
          </w:p>
        </w:tc>
        <w:tc>
          <w:tcPr>
            <w:tcW w:w="851" w:type="dxa"/>
            <w:tcBorders>
              <w:top w:val="nil"/>
              <w:bottom w:val="nil"/>
            </w:tcBorders>
            <w:hideMark/>
          </w:tcPr>
          <w:p w:rsidR="00D2237C" w:rsidRDefault="00D2237C" w:rsidP="00A5410F">
            <w:pPr>
              <w:pStyle w:val="Tabletext"/>
              <w:jc w:val="right"/>
            </w:pPr>
            <w:r>
              <w:t>17</w:t>
            </w:r>
          </w:p>
        </w:tc>
        <w:tc>
          <w:tcPr>
            <w:tcW w:w="850" w:type="dxa"/>
            <w:hideMark/>
          </w:tcPr>
          <w:p w:rsidR="00D2237C" w:rsidRDefault="00D2237C" w:rsidP="00A5410F">
            <w:pPr>
              <w:pStyle w:val="Tabletext"/>
              <w:jc w:val="right"/>
            </w:pPr>
            <w:r>
              <w:t>17</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18</w:t>
            </w:r>
          </w:p>
        </w:tc>
        <w:tc>
          <w:tcPr>
            <w:tcW w:w="851" w:type="dxa"/>
            <w:hideMark/>
          </w:tcPr>
          <w:p w:rsidR="00D2237C" w:rsidRDefault="00D2237C" w:rsidP="00A5410F">
            <w:pPr>
              <w:pStyle w:val="Tabletext"/>
              <w:jc w:val="right"/>
            </w:pPr>
            <w:r>
              <w:t>17</w:t>
            </w:r>
          </w:p>
        </w:tc>
        <w:tc>
          <w:tcPr>
            <w:tcW w:w="1032" w:type="dxa"/>
            <w:hideMark/>
          </w:tcPr>
          <w:p w:rsidR="00D2237C" w:rsidRDefault="00D2237C" w:rsidP="00A5410F">
            <w:pPr>
              <w:pStyle w:val="Tabletext"/>
              <w:jc w:val="right"/>
            </w:pPr>
            <w:r>
              <w:t>0</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45</w:t>
            </w:r>
            <w:r w:rsidR="00ED52FF">
              <w:t>–</w:t>
            </w:r>
            <w:r>
              <w:t>49</w:t>
            </w:r>
          </w:p>
        </w:tc>
        <w:tc>
          <w:tcPr>
            <w:tcW w:w="851" w:type="dxa"/>
            <w:tcBorders>
              <w:top w:val="nil"/>
              <w:bottom w:val="nil"/>
            </w:tcBorders>
            <w:hideMark/>
          </w:tcPr>
          <w:p w:rsidR="00D2237C" w:rsidRDefault="00D2237C" w:rsidP="00A5410F">
            <w:pPr>
              <w:pStyle w:val="Tabletext"/>
              <w:jc w:val="right"/>
            </w:pPr>
            <w:r>
              <w:t>17</w:t>
            </w:r>
          </w:p>
        </w:tc>
        <w:tc>
          <w:tcPr>
            <w:tcW w:w="850" w:type="dxa"/>
            <w:hideMark/>
          </w:tcPr>
          <w:p w:rsidR="00D2237C" w:rsidRDefault="00D2237C" w:rsidP="00A5410F">
            <w:pPr>
              <w:pStyle w:val="Tabletext"/>
              <w:jc w:val="right"/>
            </w:pPr>
            <w:r>
              <w:t>16</w:t>
            </w:r>
          </w:p>
        </w:tc>
        <w:tc>
          <w:tcPr>
            <w:tcW w:w="851" w:type="dxa"/>
            <w:hideMark/>
          </w:tcPr>
          <w:p w:rsidR="00D2237C" w:rsidRDefault="00D2237C" w:rsidP="00A5410F">
            <w:pPr>
              <w:pStyle w:val="Tabletext"/>
              <w:jc w:val="right"/>
            </w:pPr>
            <w:r>
              <w:t>-1</w:t>
            </w:r>
          </w:p>
        </w:tc>
        <w:tc>
          <w:tcPr>
            <w:tcW w:w="850" w:type="dxa"/>
            <w:tcBorders>
              <w:top w:val="nil"/>
              <w:bottom w:val="nil"/>
            </w:tcBorders>
            <w:hideMark/>
          </w:tcPr>
          <w:p w:rsidR="00D2237C" w:rsidRDefault="00D2237C" w:rsidP="00A5410F">
            <w:pPr>
              <w:pStyle w:val="Tabletext"/>
              <w:jc w:val="right"/>
            </w:pPr>
            <w:r>
              <w:t>17</w:t>
            </w:r>
          </w:p>
        </w:tc>
        <w:tc>
          <w:tcPr>
            <w:tcW w:w="851" w:type="dxa"/>
            <w:hideMark/>
          </w:tcPr>
          <w:p w:rsidR="00D2237C" w:rsidRDefault="00D2237C" w:rsidP="00A5410F">
            <w:pPr>
              <w:pStyle w:val="Tabletext"/>
              <w:jc w:val="right"/>
            </w:pPr>
            <w:r>
              <w:t>17</w:t>
            </w:r>
          </w:p>
        </w:tc>
        <w:tc>
          <w:tcPr>
            <w:tcW w:w="1032" w:type="dxa"/>
            <w:hideMark/>
          </w:tcPr>
          <w:p w:rsidR="00D2237C" w:rsidRDefault="00D2237C" w:rsidP="00A5410F">
            <w:pPr>
              <w:pStyle w:val="Tabletext"/>
              <w:jc w:val="right"/>
            </w:pPr>
            <w:r>
              <w:t>-1</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50</w:t>
            </w:r>
            <w:r w:rsidR="00ED52FF">
              <w:t>–</w:t>
            </w:r>
            <w:r>
              <w:t>54</w:t>
            </w:r>
          </w:p>
        </w:tc>
        <w:tc>
          <w:tcPr>
            <w:tcW w:w="851" w:type="dxa"/>
            <w:tcBorders>
              <w:top w:val="nil"/>
              <w:bottom w:val="nil"/>
            </w:tcBorders>
            <w:hideMark/>
          </w:tcPr>
          <w:p w:rsidR="00D2237C" w:rsidRDefault="00D2237C" w:rsidP="00A5410F">
            <w:pPr>
              <w:pStyle w:val="Tabletext"/>
              <w:jc w:val="right"/>
            </w:pPr>
            <w:r>
              <w:t>15</w:t>
            </w:r>
          </w:p>
        </w:tc>
        <w:tc>
          <w:tcPr>
            <w:tcW w:w="850" w:type="dxa"/>
            <w:hideMark/>
          </w:tcPr>
          <w:p w:rsidR="00D2237C" w:rsidRDefault="00D2237C" w:rsidP="00A5410F">
            <w:pPr>
              <w:pStyle w:val="Tabletext"/>
              <w:jc w:val="right"/>
            </w:pPr>
            <w:r>
              <w:t>16</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16</w:t>
            </w:r>
          </w:p>
        </w:tc>
        <w:tc>
          <w:tcPr>
            <w:tcW w:w="851" w:type="dxa"/>
            <w:hideMark/>
          </w:tcPr>
          <w:p w:rsidR="00D2237C" w:rsidRDefault="00D2237C" w:rsidP="00A5410F">
            <w:pPr>
              <w:pStyle w:val="Tabletext"/>
              <w:jc w:val="right"/>
            </w:pPr>
            <w:r>
              <w:t>16</w:t>
            </w:r>
          </w:p>
        </w:tc>
        <w:tc>
          <w:tcPr>
            <w:tcW w:w="1032" w:type="dxa"/>
            <w:hideMark/>
          </w:tcPr>
          <w:p w:rsidR="00D2237C" w:rsidRDefault="00D2237C" w:rsidP="00A5410F">
            <w:pPr>
              <w:pStyle w:val="Tabletext"/>
              <w:jc w:val="right"/>
            </w:pPr>
            <w:r>
              <w:t>0</w:t>
            </w:r>
          </w:p>
        </w:tc>
      </w:tr>
      <w:tr w:rsidR="00D2237C" w:rsidTr="000E1068">
        <w:trPr>
          <w:trHeight w:val="290"/>
        </w:trPr>
        <w:tc>
          <w:tcPr>
            <w:tcW w:w="2865" w:type="dxa"/>
            <w:gridSpan w:val="2"/>
            <w:hideMark/>
          </w:tcPr>
          <w:p w:rsidR="00D2237C" w:rsidRDefault="00D2237C" w:rsidP="00FE1D0A">
            <w:pPr>
              <w:pStyle w:val="Tabletext"/>
            </w:pPr>
            <w:r>
              <w:t>Country of birth</w:t>
            </w:r>
          </w:p>
        </w:tc>
        <w:tc>
          <w:tcPr>
            <w:tcW w:w="851" w:type="dxa"/>
            <w:tcBorders>
              <w:top w:val="nil"/>
              <w:bottom w:val="nil"/>
            </w:tcBorders>
          </w:tcPr>
          <w:p w:rsidR="00D2237C" w:rsidRDefault="00D2237C" w:rsidP="00A5410F">
            <w:pPr>
              <w:pStyle w:val="Tabletext"/>
              <w:jc w:val="right"/>
            </w:pPr>
          </w:p>
        </w:tc>
        <w:tc>
          <w:tcPr>
            <w:tcW w:w="850" w:type="dxa"/>
          </w:tcPr>
          <w:p w:rsidR="00D2237C" w:rsidRDefault="00D2237C" w:rsidP="00A5410F">
            <w:pPr>
              <w:pStyle w:val="Tabletext"/>
              <w:jc w:val="right"/>
            </w:pPr>
          </w:p>
        </w:tc>
        <w:tc>
          <w:tcPr>
            <w:tcW w:w="851" w:type="dxa"/>
          </w:tcPr>
          <w:p w:rsidR="00D2237C" w:rsidRDefault="00D2237C" w:rsidP="00A5410F">
            <w:pPr>
              <w:pStyle w:val="Tabletext"/>
              <w:jc w:val="right"/>
            </w:pPr>
          </w:p>
        </w:tc>
        <w:tc>
          <w:tcPr>
            <w:tcW w:w="850" w:type="dxa"/>
            <w:tcBorders>
              <w:top w:val="nil"/>
              <w:bottom w:val="nil"/>
            </w:tcBorders>
          </w:tcPr>
          <w:p w:rsidR="00D2237C" w:rsidRDefault="00D2237C" w:rsidP="00A5410F">
            <w:pPr>
              <w:pStyle w:val="Tabletext"/>
              <w:jc w:val="right"/>
            </w:pPr>
          </w:p>
        </w:tc>
        <w:tc>
          <w:tcPr>
            <w:tcW w:w="851" w:type="dxa"/>
          </w:tcPr>
          <w:p w:rsidR="00D2237C" w:rsidRDefault="00D2237C" w:rsidP="00A5410F">
            <w:pPr>
              <w:pStyle w:val="Tabletext"/>
              <w:jc w:val="right"/>
            </w:pPr>
          </w:p>
        </w:tc>
        <w:tc>
          <w:tcPr>
            <w:tcW w:w="1032" w:type="dxa"/>
          </w:tcPr>
          <w:p w:rsidR="00D2237C" w:rsidRDefault="00D2237C" w:rsidP="00A5410F">
            <w:pPr>
              <w:pStyle w:val="Tabletext"/>
              <w:jc w:val="right"/>
            </w:pP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Australia</w:t>
            </w:r>
          </w:p>
        </w:tc>
        <w:tc>
          <w:tcPr>
            <w:tcW w:w="851" w:type="dxa"/>
            <w:tcBorders>
              <w:top w:val="nil"/>
              <w:bottom w:val="nil"/>
            </w:tcBorders>
            <w:hideMark/>
          </w:tcPr>
          <w:p w:rsidR="00D2237C" w:rsidRDefault="00D2237C" w:rsidP="00A5410F">
            <w:pPr>
              <w:pStyle w:val="Tabletext"/>
              <w:jc w:val="right"/>
            </w:pPr>
            <w:r>
              <w:t>67</w:t>
            </w:r>
          </w:p>
        </w:tc>
        <w:tc>
          <w:tcPr>
            <w:tcW w:w="850" w:type="dxa"/>
            <w:hideMark/>
          </w:tcPr>
          <w:p w:rsidR="00D2237C" w:rsidRDefault="00D2237C" w:rsidP="00A5410F">
            <w:pPr>
              <w:pStyle w:val="Tabletext"/>
              <w:jc w:val="right"/>
            </w:pPr>
            <w:r>
              <w:t>69</w:t>
            </w:r>
          </w:p>
        </w:tc>
        <w:tc>
          <w:tcPr>
            <w:tcW w:w="851" w:type="dxa"/>
            <w:hideMark/>
          </w:tcPr>
          <w:p w:rsidR="00D2237C" w:rsidRDefault="00D2237C" w:rsidP="00A5410F">
            <w:pPr>
              <w:pStyle w:val="Tabletext"/>
              <w:jc w:val="right"/>
            </w:pPr>
            <w:r>
              <w:t>3</w:t>
            </w:r>
          </w:p>
        </w:tc>
        <w:tc>
          <w:tcPr>
            <w:tcW w:w="850" w:type="dxa"/>
            <w:tcBorders>
              <w:top w:val="nil"/>
              <w:bottom w:val="nil"/>
            </w:tcBorders>
            <w:hideMark/>
          </w:tcPr>
          <w:p w:rsidR="00D2237C" w:rsidRDefault="00D2237C" w:rsidP="00A5410F">
            <w:pPr>
              <w:pStyle w:val="Tabletext"/>
              <w:jc w:val="right"/>
            </w:pPr>
            <w:r>
              <w:t>67</w:t>
            </w:r>
          </w:p>
        </w:tc>
        <w:tc>
          <w:tcPr>
            <w:tcW w:w="851" w:type="dxa"/>
            <w:hideMark/>
          </w:tcPr>
          <w:p w:rsidR="00D2237C" w:rsidRDefault="00D2237C" w:rsidP="00A5410F">
            <w:pPr>
              <w:pStyle w:val="Tabletext"/>
              <w:jc w:val="right"/>
            </w:pPr>
            <w:r>
              <w:t>70</w:t>
            </w:r>
          </w:p>
        </w:tc>
        <w:tc>
          <w:tcPr>
            <w:tcW w:w="1032" w:type="dxa"/>
            <w:hideMark/>
          </w:tcPr>
          <w:p w:rsidR="00D2237C" w:rsidRDefault="00D2237C" w:rsidP="00A5410F">
            <w:pPr>
              <w:pStyle w:val="Tabletext"/>
              <w:jc w:val="right"/>
            </w:pPr>
            <w:r>
              <w:t>4</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C176A8" w:rsidP="00FE1D0A">
            <w:pPr>
              <w:pStyle w:val="Tabletext"/>
            </w:pPr>
            <w:r>
              <w:t>Foreign-</w:t>
            </w:r>
            <w:r w:rsidR="00D2237C">
              <w:t>born</w:t>
            </w:r>
          </w:p>
        </w:tc>
        <w:tc>
          <w:tcPr>
            <w:tcW w:w="851" w:type="dxa"/>
            <w:tcBorders>
              <w:top w:val="nil"/>
              <w:bottom w:val="nil"/>
            </w:tcBorders>
            <w:hideMark/>
          </w:tcPr>
          <w:p w:rsidR="00D2237C" w:rsidRDefault="00D2237C" w:rsidP="00A5410F">
            <w:pPr>
              <w:pStyle w:val="Tabletext"/>
              <w:jc w:val="right"/>
            </w:pPr>
            <w:r>
              <w:t>33</w:t>
            </w:r>
          </w:p>
        </w:tc>
        <w:tc>
          <w:tcPr>
            <w:tcW w:w="850" w:type="dxa"/>
            <w:hideMark/>
          </w:tcPr>
          <w:p w:rsidR="00D2237C" w:rsidRDefault="00D2237C" w:rsidP="00A5410F">
            <w:pPr>
              <w:pStyle w:val="Tabletext"/>
              <w:jc w:val="right"/>
            </w:pPr>
            <w:r>
              <w:t>31</w:t>
            </w:r>
          </w:p>
        </w:tc>
        <w:tc>
          <w:tcPr>
            <w:tcW w:w="851" w:type="dxa"/>
            <w:hideMark/>
          </w:tcPr>
          <w:p w:rsidR="00D2237C" w:rsidRDefault="00D2237C" w:rsidP="00A5410F">
            <w:pPr>
              <w:pStyle w:val="Tabletext"/>
              <w:jc w:val="right"/>
            </w:pPr>
            <w:r>
              <w:t>-3</w:t>
            </w:r>
          </w:p>
        </w:tc>
        <w:tc>
          <w:tcPr>
            <w:tcW w:w="850" w:type="dxa"/>
            <w:tcBorders>
              <w:top w:val="nil"/>
              <w:bottom w:val="nil"/>
            </w:tcBorders>
            <w:hideMark/>
          </w:tcPr>
          <w:p w:rsidR="00D2237C" w:rsidRDefault="00D2237C" w:rsidP="00A5410F">
            <w:pPr>
              <w:pStyle w:val="Tabletext"/>
              <w:jc w:val="right"/>
            </w:pPr>
            <w:r>
              <w:t>33</w:t>
            </w:r>
          </w:p>
        </w:tc>
        <w:tc>
          <w:tcPr>
            <w:tcW w:w="851" w:type="dxa"/>
            <w:hideMark/>
          </w:tcPr>
          <w:p w:rsidR="00D2237C" w:rsidRDefault="00D2237C" w:rsidP="00A5410F">
            <w:pPr>
              <w:pStyle w:val="Tabletext"/>
              <w:jc w:val="right"/>
            </w:pPr>
            <w:r>
              <w:t>30</w:t>
            </w:r>
          </w:p>
        </w:tc>
        <w:tc>
          <w:tcPr>
            <w:tcW w:w="1032" w:type="dxa"/>
            <w:hideMark/>
          </w:tcPr>
          <w:p w:rsidR="00D2237C" w:rsidRDefault="00D2237C" w:rsidP="00A5410F">
            <w:pPr>
              <w:pStyle w:val="Tabletext"/>
              <w:jc w:val="right"/>
            </w:pPr>
            <w:r>
              <w:t>-4</w:t>
            </w:r>
          </w:p>
        </w:tc>
      </w:tr>
      <w:tr w:rsidR="00D2237C" w:rsidTr="000E1068">
        <w:trPr>
          <w:trHeight w:val="290"/>
        </w:trPr>
        <w:tc>
          <w:tcPr>
            <w:tcW w:w="2865" w:type="dxa"/>
            <w:gridSpan w:val="2"/>
            <w:hideMark/>
          </w:tcPr>
          <w:p w:rsidR="00D2237C" w:rsidRDefault="00D2237C" w:rsidP="00FE1D0A">
            <w:pPr>
              <w:pStyle w:val="Tabletext"/>
            </w:pPr>
            <w:r>
              <w:t>ATSI</w:t>
            </w:r>
          </w:p>
        </w:tc>
        <w:tc>
          <w:tcPr>
            <w:tcW w:w="851" w:type="dxa"/>
            <w:tcBorders>
              <w:top w:val="nil"/>
              <w:bottom w:val="nil"/>
            </w:tcBorders>
          </w:tcPr>
          <w:p w:rsidR="00D2237C" w:rsidRDefault="00D2237C" w:rsidP="00A5410F">
            <w:pPr>
              <w:pStyle w:val="Tabletext"/>
              <w:jc w:val="right"/>
            </w:pPr>
          </w:p>
        </w:tc>
        <w:tc>
          <w:tcPr>
            <w:tcW w:w="850" w:type="dxa"/>
          </w:tcPr>
          <w:p w:rsidR="00D2237C" w:rsidRDefault="00D2237C" w:rsidP="00A5410F">
            <w:pPr>
              <w:pStyle w:val="Tabletext"/>
              <w:jc w:val="right"/>
            </w:pPr>
          </w:p>
        </w:tc>
        <w:tc>
          <w:tcPr>
            <w:tcW w:w="851" w:type="dxa"/>
          </w:tcPr>
          <w:p w:rsidR="00D2237C" w:rsidRDefault="00D2237C" w:rsidP="00A5410F">
            <w:pPr>
              <w:pStyle w:val="Tabletext"/>
              <w:jc w:val="right"/>
            </w:pPr>
          </w:p>
        </w:tc>
        <w:tc>
          <w:tcPr>
            <w:tcW w:w="850" w:type="dxa"/>
            <w:tcBorders>
              <w:top w:val="nil"/>
              <w:bottom w:val="nil"/>
            </w:tcBorders>
          </w:tcPr>
          <w:p w:rsidR="00D2237C" w:rsidRDefault="00D2237C" w:rsidP="00A5410F">
            <w:pPr>
              <w:pStyle w:val="Tabletext"/>
              <w:jc w:val="right"/>
            </w:pPr>
          </w:p>
        </w:tc>
        <w:tc>
          <w:tcPr>
            <w:tcW w:w="851" w:type="dxa"/>
          </w:tcPr>
          <w:p w:rsidR="00D2237C" w:rsidRDefault="00D2237C" w:rsidP="00A5410F">
            <w:pPr>
              <w:pStyle w:val="Tabletext"/>
              <w:jc w:val="right"/>
            </w:pPr>
          </w:p>
        </w:tc>
        <w:tc>
          <w:tcPr>
            <w:tcW w:w="1032" w:type="dxa"/>
          </w:tcPr>
          <w:p w:rsidR="00D2237C" w:rsidRDefault="00D2237C" w:rsidP="00A5410F">
            <w:pPr>
              <w:pStyle w:val="Tabletext"/>
              <w:jc w:val="right"/>
            </w:pP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Indigenous</w:t>
            </w:r>
          </w:p>
        </w:tc>
        <w:tc>
          <w:tcPr>
            <w:tcW w:w="851" w:type="dxa"/>
            <w:tcBorders>
              <w:top w:val="nil"/>
              <w:bottom w:val="nil"/>
            </w:tcBorders>
            <w:hideMark/>
          </w:tcPr>
          <w:p w:rsidR="00D2237C" w:rsidRDefault="00D2237C" w:rsidP="00A5410F">
            <w:pPr>
              <w:pStyle w:val="Tabletext"/>
              <w:jc w:val="right"/>
            </w:pPr>
            <w:r>
              <w:t>5</w:t>
            </w:r>
          </w:p>
        </w:tc>
        <w:tc>
          <w:tcPr>
            <w:tcW w:w="850" w:type="dxa"/>
            <w:hideMark/>
          </w:tcPr>
          <w:p w:rsidR="00D2237C" w:rsidRDefault="00D2237C" w:rsidP="00A5410F">
            <w:pPr>
              <w:pStyle w:val="Tabletext"/>
              <w:jc w:val="right"/>
            </w:pPr>
            <w:r>
              <w:t>5</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7</w:t>
            </w:r>
          </w:p>
        </w:tc>
        <w:tc>
          <w:tcPr>
            <w:tcW w:w="851" w:type="dxa"/>
            <w:hideMark/>
          </w:tcPr>
          <w:p w:rsidR="00D2237C" w:rsidRDefault="00D2237C" w:rsidP="00A5410F">
            <w:pPr>
              <w:pStyle w:val="Tabletext"/>
              <w:jc w:val="right"/>
            </w:pPr>
            <w:r>
              <w:t>7</w:t>
            </w:r>
          </w:p>
        </w:tc>
        <w:tc>
          <w:tcPr>
            <w:tcW w:w="1032" w:type="dxa"/>
            <w:hideMark/>
          </w:tcPr>
          <w:p w:rsidR="00D2237C" w:rsidRDefault="00D2237C" w:rsidP="00A5410F">
            <w:pPr>
              <w:pStyle w:val="Tabletext"/>
              <w:jc w:val="right"/>
            </w:pPr>
            <w:r>
              <w:t>0</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Non-indigenous</w:t>
            </w:r>
          </w:p>
        </w:tc>
        <w:tc>
          <w:tcPr>
            <w:tcW w:w="851" w:type="dxa"/>
            <w:tcBorders>
              <w:top w:val="nil"/>
              <w:bottom w:val="nil"/>
            </w:tcBorders>
            <w:hideMark/>
          </w:tcPr>
          <w:p w:rsidR="00D2237C" w:rsidRDefault="00D2237C" w:rsidP="00A5410F">
            <w:pPr>
              <w:pStyle w:val="Tabletext"/>
              <w:jc w:val="right"/>
            </w:pPr>
            <w:r>
              <w:t>95</w:t>
            </w:r>
          </w:p>
        </w:tc>
        <w:tc>
          <w:tcPr>
            <w:tcW w:w="850" w:type="dxa"/>
            <w:hideMark/>
          </w:tcPr>
          <w:p w:rsidR="00D2237C" w:rsidRDefault="00D2237C" w:rsidP="00A5410F">
            <w:pPr>
              <w:pStyle w:val="Tabletext"/>
              <w:jc w:val="right"/>
            </w:pPr>
            <w:r>
              <w:t>95</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93</w:t>
            </w:r>
          </w:p>
        </w:tc>
        <w:tc>
          <w:tcPr>
            <w:tcW w:w="851" w:type="dxa"/>
            <w:hideMark/>
          </w:tcPr>
          <w:p w:rsidR="00D2237C" w:rsidRDefault="00D2237C" w:rsidP="00A5410F">
            <w:pPr>
              <w:pStyle w:val="Tabletext"/>
              <w:jc w:val="right"/>
            </w:pPr>
            <w:r>
              <w:t>93</w:t>
            </w:r>
          </w:p>
        </w:tc>
        <w:tc>
          <w:tcPr>
            <w:tcW w:w="1032" w:type="dxa"/>
            <w:hideMark/>
          </w:tcPr>
          <w:p w:rsidR="00D2237C" w:rsidRDefault="00D2237C" w:rsidP="00A5410F">
            <w:pPr>
              <w:pStyle w:val="Tabletext"/>
              <w:jc w:val="right"/>
            </w:pPr>
            <w:r>
              <w:t>0</w:t>
            </w:r>
          </w:p>
        </w:tc>
      </w:tr>
      <w:tr w:rsidR="00D2237C" w:rsidTr="000E1068">
        <w:trPr>
          <w:trHeight w:val="290"/>
        </w:trPr>
        <w:tc>
          <w:tcPr>
            <w:tcW w:w="2865" w:type="dxa"/>
            <w:gridSpan w:val="2"/>
            <w:hideMark/>
          </w:tcPr>
          <w:p w:rsidR="00D2237C" w:rsidRDefault="00D2237C" w:rsidP="00FE1D0A">
            <w:pPr>
              <w:pStyle w:val="Tabletext"/>
            </w:pPr>
            <w:r>
              <w:t>Place of residence</w:t>
            </w:r>
          </w:p>
        </w:tc>
        <w:tc>
          <w:tcPr>
            <w:tcW w:w="851" w:type="dxa"/>
            <w:tcBorders>
              <w:top w:val="nil"/>
              <w:bottom w:val="nil"/>
            </w:tcBorders>
          </w:tcPr>
          <w:p w:rsidR="00D2237C" w:rsidRDefault="00D2237C" w:rsidP="00A5410F">
            <w:pPr>
              <w:pStyle w:val="Tabletext"/>
              <w:jc w:val="right"/>
            </w:pPr>
          </w:p>
        </w:tc>
        <w:tc>
          <w:tcPr>
            <w:tcW w:w="850" w:type="dxa"/>
          </w:tcPr>
          <w:p w:rsidR="00D2237C" w:rsidRDefault="00D2237C" w:rsidP="00A5410F">
            <w:pPr>
              <w:pStyle w:val="Tabletext"/>
              <w:jc w:val="right"/>
            </w:pPr>
          </w:p>
        </w:tc>
        <w:tc>
          <w:tcPr>
            <w:tcW w:w="851" w:type="dxa"/>
          </w:tcPr>
          <w:p w:rsidR="00D2237C" w:rsidRDefault="00D2237C" w:rsidP="00A5410F">
            <w:pPr>
              <w:pStyle w:val="Tabletext"/>
              <w:jc w:val="right"/>
            </w:pPr>
          </w:p>
        </w:tc>
        <w:tc>
          <w:tcPr>
            <w:tcW w:w="850" w:type="dxa"/>
            <w:tcBorders>
              <w:top w:val="nil"/>
              <w:bottom w:val="nil"/>
            </w:tcBorders>
          </w:tcPr>
          <w:p w:rsidR="00D2237C" w:rsidRDefault="00D2237C" w:rsidP="00A5410F">
            <w:pPr>
              <w:pStyle w:val="Tabletext"/>
              <w:jc w:val="right"/>
            </w:pPr>
          </w:p>
        </w:tc>
        <w:tc>
          <w:tcPr>
            <w:tcW w:w="851" w:type="dxa"/>
          </w:tcPr>
          <w:p w:rsidR="00D2237C" w:rsidRDefault="00D2237C" w:rsidP="00A5410F">
            <w:pPr>
              <w:pStyle w:val="Tabletext"/>
              <w:jc w:val="right"/>
            </w:pPr>
          </w:p>
        </w:tc>
        <w:tc>
          <w:tcPr>
            <w:tcW w:w="1032" w:type="dxa"/>
          </w:tcPr>
          <w:p w:rsidR="00D2237C" w:rsidRDefault="00D2237C" w:rsidP="00A5410F">
            <w:pPr>
              <w:pStyle w:val="Tabletext"/>
              <w:jc w:val="right"/>
            </w:pP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Urban</w:t>
            </w:r>
          </w:p>
        </w:tc>
        <w:tc>
          <w:tcPr>
            <w:tcW w:w="851" w:type="dxa"/>
            <w:tcBorders>
              <w:top w:val="nil"/>
              <w:bottom w:val="nil"/>
            </w:tcBorders>
            <w:hideMark/>
          </w:tcPr>
          <w:p w:rsidR="00D2237C" w:rsidRDefault="00D2237C" w:rsidP="00A5410F">
            <w:pPr>
              <w:pStyle w:val="Tabletext"/>
              <w:jc w:val="right"/>
            </w:pPr>
            <w:r>
              <w:t>95</w:t>
            </w:r>
          </w:p>
        </w:tc>
        <w:tc>
          <w:tcPr>
            <w:tcW w:w="850" w:type="dxa"/>
            <w:hideMark/>
          </w:tcPr>
          <w:p w:rsidR="00D2237C" w:rsidRDefault="00D2237C" w:rsidP="00A5410F">
            <w:pPr>
              <w:pStyle w:val="Tabletext"/>
              <w:jc w:val="right"/>
            </w:pPr>
            <w:r>
              <w:t>96</w:t>
            </w:r>
          </w:p>
        </w:tc>
        <w:tc>
          <w:tcPr>
            <w:tcW w:w="851" w:type="dxa"/>
            <w:hideMark/>
          </w:tcPr>
          <w:p w:rsidR="00D2237C" w:rsidRDefault="00D2237C" w:rsidP="00A5410F">
            <w:pPr>
              <w:pStyle w:val="Tabletext"/>
              <w:jc w:val="right"/>
            </w:pPr>
            <w:r>
              <w:t>1</w:t>
            </w:r>
          </w:p>
        </w:tc>
        <w:tc>
          <w:tcPr>
            <w:tcW w:w="850" w:type="dxa"/>
            <w:tcBorders>
              <w:top w:val="nil"/>
              <w:bottom w:val="nil"/>
            </w:tcBorders>
            <w:hideMark/>
          </w:tcPr>
          <w:p w:rsidR="00D2237C" w:rsidRDefault="00D2237C" w:rsidP="00A5410F">
            <w:pPr>
              <w:pStyle w:val="Tabletext"/>
              <w:jc w:val="right"/>
            </w:pPr>
            <w:r>
              <w:t>88</w:t>
            </w:r>
          </w:p>
        </w:tc>
        <w:tc>
          <w:tcPr>
            <w:tcW w:w="851" w:type="dxa"/>
            <w:hideMark/>
          </w:tcPr>
          <w:p w:rsidR="00D2237C" w:rsidRDefault="00D2237C" w:rsidP="00A5410F">
            <w:pPr>
              <w:pStyle w:val="Tabletext"/>
              <w:jc w:val="right"/>
            </w:pPr>
            <w:r>
              <w:t>89</w:t>
            </w:r>
          </w:p>
        </w:tc>
        <w:tc>
          <w:tcPr>
            <w:tcW w:w="1032" w:type="dxa"/>
            <w:hideMark/>
          </w:tcPr>
          <w:p w:rsidR="00D2237C" w:rsidRDefault="00D2237C" w:rsidP="00A5410F">
            <w:pPr>
              <w:pStyle w:val="Tabletext"/>
              <w:jc w:val="right"/>
            </w:pPr>
            <w:r>
              <w:t>0</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Rural</w:t>
            </w:r>
          </w:p>
        </w:tc>
        <w:tc>
          <w:tcPr>
            <w:tcW w:w="851" w:type="dxa"/>
            <w:tcBorders>
              <w:top w:val="nil"/>
              <w:bottom w:val="nil"/>
            </w:tcBorders>
            <w:hideMark/>
          </w:tcPr>
          <w:p w:rsidR="00D2237C" w:rsidRDefault="00D2237C" w:rsidP="00A5410F">
            <w:pPr>
              <w:pStyle w:val="Tabletext"/>
              <w:jc w:val="right"/>
            </w:pPr>
            <w:r>
              <w:t>5</w:t>
            </w:r>
          </w:p>
        </w:tc>
        <w:tc>
          <w:tcPr>
            <w:tcW w:w="850" w:type="dxa"/>
            <w:hideMark/>
          </w:tcPr>
          <w:p w:rsidR="00D2237C" w:rsidRDefault="00D2237C" w:rsidP="00A5410F">
            <w:pPr>
              <w:pStyle w:val="Tabletext"/>
              <w:jc w:val="right"/>
            </w:pPr>
            <w:r>
              <w:t>4</w:t>
            </w:r>
          </w:p>
        </w:tc>
        <w:tc>
          <w:tcPr>
            <w:tcW w:w="851" w:type="dxa"/>
            <w:hideMark/>
          </w:tcPr>
          <w:p w:rsidR="00D2237C" w:rsidRDefault="00D2237C" w:rsidP="00A5410F">
            <w:pPr>
              <w:pStyle w:val="Tabletext"/>
              <w:jc w:val="right"/>
            </w:pPr>
            <w:r>
              <w:t>-1</w:t>
            </w:r>
          </w:p>
        </w:tc>
        <w:tc>
          <w:tcPr>
            <w:tcW w:w="850" w:type="dxa"/>
            <w:tcBorders>
              <w:top w:val="nil"/>
              <w:bottom w:val="nil"/>
            </w:tcBorders>
            <w:hideMark/>
          </w:tcPr>
          <w:p w:rsidR="00D2237C" w:rsidRDefault="00D2237C" w:rsidP="00A5410F">
            <w:pPr>
              <w:pStyle w:val="Tabletext"/>
              <w:jc w:val="right"/>
            </w:pPr>
            <w:r>
              <w:t>12</w:t>
            </w:r>
          </w:p>
        </w:tc>
        <w:tc>
          <w:tcPr>
            <w:tcW w:w="851" w:type="dxa"/>
            <w:hideMark/>
          </w:tcPr>
          <w:p w:rsidR="00D2237C" w:rsidRDefault="00D2237C" w:rsidP="00A5410F">
            <w:pPr>
              <w:pStyle w:val="Tabletext"/>
              <w:jc w:val="right"/>
            </w:pPr>
            <w:r>
              <w:t>11</w:t>
            </w:r>
          </w:p>
        </w:tc>
        <w:tc>
          <w:tcPr>
            <w:tcW w:w="1032" w:type="dxa"/>
            <w:hideMark/>
          </w:tcPr>
          <w:p w:rsidR="00D2237C" w:rsidRDefault="00D2237C" w:rsidP="00A5410F">
            <w:pPr>
              <w:pStyle w:val="Tabletext"/>
              <w:jc w:val="right"/>
            </w:pPr>
            <w:r>
              <w:t>0</w:t>
            </w:r>
          </w:p>
        </w:tc>
      </w:tr>
      <w:tr w:rsidR="00D2237C" w:rsidTr="000E1068">
        <w:trPr>
          <w:trHeight w:val="290"/>
        </w:trPr>
        <w:tc>
          <w:tcPr>
            <w:tcW w:w="2865" w:type="dxa"/>
            <w:gridSpan w:val="2"/>
            <w:hideMark/>
          </w:tcPr>
          <w:p w:rsidR="00D2237C" w:rsidRDefault="00D2237C" w:rsidP="00FE1D0A">
            <w:pPr>
              <w:pStyle w:val="Tabletext"/>
            </w:pPr>
            <w:r>
              <w:t>Highest previous education</w:t>
            </w:r>
          </w:p>
        </w:tc>
        <w:tc>
          <w:tcPr>
            <w:tcW w:w="851" w:type="dxa"/>
            <w:tcBorders>
              <w:top w:val="nil"/>
              <w:bottom w:val="nil"/>
            </w:tcBorders>
          </w:tcPr>
          <w:p w:rsidR="00D2237C" w:rsidRDefault="00D2237C" w:rsidP="00A5410F">
            <w:pPr>
              <w:pStyle w:val="Tabletext"/>
              <w:jc w:val="right"/>
            </w:pPr>
          </w:p>
        </w:tc>
        <w:tc>
          <w:tcPr>
            <w:tcW w:w="850" w:type="dxa"/>
          </w:tcPr>
          <w:p w:rsidR="00D2237C" w:rsidRDefault="00D2237C" w:rsidP="00A5410F">
            <w:pPr>
              <w:pStyle w:val="Tabletext"/>
              <w:jc w:val="right"/>
            </w:pPr>
          </w:p>
        </w:tc>
        <w:tc>
          <w:tcPr>
            <w:tcW w:w="851" w:type="dxa"/>
          </w:tcPr>
          <w:p w:rsidR="00D2237C" w:rsidRDefault="00D2237C" w:rsidP="00A5410F">
            <w:pPr>
              <w:pStyle w:val="Tabletext"/>
              <w:jc w:val="right"/>
            </w:pPr>
          </w:p>
        </w:tc>
        <w:tc>
          <w:tcPr>
            <w:tcW w:w="850" w:type="dxa"/>
            <w:tcBorders>
              <w:top w:val="nil"/>
              <w:bottom w:val="nil"/>
            </w:tcBorders>
          </w:tcPr>
          <w:p w:rsidR="00D2237C" w:rsidRDefault="00D2237C" w:rsidP="00A5410F">
            <w:pPr>
              <w:pStyle w:val="Tabletext"/>
              <w:jc w:val="right"/>
            </w:pPr>
          </w:p>
        </w:tc>
        <w:tc>
          <w:tcPr>
            <w:tcW w:w="851" w:type="dxa"/>
          </w:tcPr>
          <w:p w:rsidR="00D2237C" w:rsidRDefault="00D2237C" w:rsidP="00A5410F">
            <w:pPr>
              <w:pStyle w:val="Tabletext"/>
              <w:jc w:val="right"/>
            </w:pPr>
          </w:p>
        </w:tc>
        <w:tc>
          <w:tcPr>
            <w:tcW w:w="1032" w:type="dxa"/>
          </w:tcPr>
          <w:p w:rsidR="00D2237C" w:rsidRDefault="00D2237C" w:rsidP="00A5410F">
            <w:pPr>
              <w:pStyle w:val="Tabletext"/>
              <w:jc w:val="right"/>
            </w:pP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Bachelor and above</w:t>
            </w:r>
          </w:p>
        </w:tc>
        <w:tc>
          <w:tcPr>
            <w:tcW w:w="851" w:type="dxa"/>
            <w:tcBorders>
              <w:top w:val="nil"/>
              <w:bottom w:val="nil"/>
            </w:tcBorders>
            <w:hideMark/>
          </w:tcPr>
          <w:p w:rsidR="00D2237C" w:rsidRDefault="00D2237C" w:rsidP="00A5410F">
            <w:pPr>
              <w:pStyle w:val="Tabletext"/>
              <w:jc w:val="right"/>
            </w:pPr>
            <w:r>
              <w:t>24</w:t>
            </w:r>
          </w:p>
        </w:tc>
        <w:tc>
          <w:tcPr>
            <w:tcW w:w="850" w:type="dxa"/>
            <w:hideMark/>
          </w:tcPr>
          <w:p w:rsidR="00D2237C" w:rsidRDefault="00D2237C" w:rsidP="00A5410F">
            <w:pPr>
              <w:pStyle w:val="Tabletext"/>
              <w:jc w:val="right"/>
            </w:pPr>
            <w:r>
              <w:t>29</w:t>
            </w:r>
          </w:p>
        </w:tc>
        <w:tc>
          <w:tcPr>
            <w:tcW w:w="851" w:type="dxa"/>
            <w:hideMark/>
          </w:tcPr>
          <w:p w:rsidR="00D2237C" w:rsidRDefault="00D2237C" w:rsidP="00A5410F">
            <w:pPr>
              <w:pStyle w:val="Tabletext"/>
              <w:jc w:val="right"/>
            </w:pPr>
            <w:r>
              <w:t>5</w:t>
            </w:r>
          </w:p>
        </w:tc>
        <w:tc>
          <w:tcPr>
            <w:tcW w:w="850" w:type="dxa"/>
            <w:tcBorders>
              <w:top w:val="nil"/>
              <w:bottom w:val="nil"/>
            </w:tcBorders>
            <w:hideMark/>
          </w:tcPr>
          <w:p w:rsidR="00D2237C" w:rsidRDefault="00D2237C" w:rsidP="00A5410F">
            <w:pPr>
              <w:pStyle w:val="Tabletext"/>
              <w:jc w:val="right"/>
            </w:pPr>
            <w:r>
              <w:t>22</w:t>
            </w:r>
          </w:p>
        </w:tc>
        <w:tc>
          <w:tcPr>
            <w:tcW w:w="851" w:type="dxa"/>
            <w:hideMark/>
          </w:tcPr>
          <w:p w:rsidR="00D2237C" w:rsidRDefault="00D2237C" w:rsidP="00A5410F">
            <w:pPr>
              <w:pStyle w:val="Tabletext"/>
              <w:jc w:val="right"/>
            </w:pPr>
            <w:r>
              <w:t>26</w:t>
            </w:r>
          </w:p>
        </w:tc>
        <w:tc>
          <w:tcPr>
            <w:tcW w:w="1032" w:type="dxa"/>
            <w:hideMark/>
          </w:tcPr>
          <w:p w:rsidR="00D2237C" w:rsidRDefault="00D2237C" w:rsidP="00A5410F">
            <w:pPr>
              <w:pStyle w:val="Tabletext"/>
              <w:jc w:val="right"/>
            </w:pPr>
            <w:r>
              <w:t>4</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ED52FF" w:rsidP="00FE1D0A">
            <w:pPr>
              <w:pStyle w:val="Tabletext"/>
            </w:pPr>
            <w:r>
              <w:t>Advanced diploma/</w:t>
            </w:r>
            <w:r w:rsidR="00D2237C">
              <w:t>diploma</w:t>
            </w:r>
          </w:p>
        </w:tc>
        <w:tc>
          <w:tcPr>
            <w:tcW w:w="851" w:type="dxa"/>
            <w:tcBorders>
              <w:top w:val="nil"/>
              <w:bottom w:val="nil"/>
            </w:tcBorders>
            <w:hideMark/>
          </w:tcPr>
          <w:p w:rsidR="00D2237C" w:rsidRDefault="00D2237C" w:rsidP="00A5410F">
            <w:pPr>
              <w:pStyle w:val="Tabletext"/>
              <w:jc w:val="right"/>
            </w:pPr>
            <w:r>
              <w:t>9</w:t>
            </w:r>
          </w:p>
        </w:tc>
        <w:tc>
          <w:tcPr>
            <w:tcW w:w="850" w:type="dxa"/>
            <w:hideMark/>
          </w:tcPr>
          <w:p w:rsidR="00D2237C" w:rsidRDefault="00D2237C" w:rsidP="00A5410F">
            <w:pPr>
              <w:pStyle w:val="Tabletext"/>
              <w:jc w:val="right"/>
            </w:pPr>
            <w:r>
              <w:t>10</w:t>
            </w:r>
          </w:p>
        </w:tc>
        <w:tc>
          <w:tcPr>
            <w:tcW w:w="851" w:type="dxa"/>
            <w:hideMark/>
          </w:tcPr>
          <w:p w:rsidR="00D2237C" w:rsidRDefault="00D2237C" w:rsidP="00A5410F">
            <w:pPr>
              <w:pStyle w:val="Tabletext"/>
              <w:jc w:val="right"/>
            </w:pPr>
            <w:r>
              <w:t>1</w:t>
            </w:r>
          </w:p>
        </w:tc>
        <w:tc>
          <w:tcPr>
            <w:tcW w:w="850" w:type="dxa"/>
            <w:tcBorders>
              <w:top w:val="nil"/>
              <w:bottom w:val="nil"/>
            </w:tcBorders>
            <w:hideMark/>
          </w:tcPr>
          <w:p w:rsidR="00D2237C" w:rsidRDefault="00D2237C" w:rsidP="00A5410F">
            <w:pPr>
              <w:pStyle w:val="Tabletext"/>
              <w:jc w:val="right"/>
            </w:pPr>
            <w:r>
              <w:t>9</w:t>
            </w:r>
          </w:p>
        </w:tc>
        <w:tc>
          <w:tcPr>
            <w:tcW w:w="851" w:type="dxa"/>
            <w:hideMark/>
          </w:tcPr>
          <w:p w:rsidR="00D2237C" w:rsidRDefault="00D2237C" w:rsidP="00A5410F">
            <w:pPr>
              <w:pStyle w:val="Tabletext"/>
              <w:jc w:val="right"/>
            </w:pPr>
            <w:r>
              <w:t>10</w:t>
            </w:r>
          </w:p>
        </w:tc>
        <w:tc>
          <w:tcPr>
            <w:tcW w:w="1032" w:type="dxa"/>
            <w:hideMark/>
          </w:tcPr>
          <w:p w:rsidR="00D2237C" w:rsidRDefault="00D2237C" w:rsidP="00A5410F">
            <w:pPr>
              <w:pStyle w:val="Tabletext"/>
              <w:jc w:val="right"/>
            </w:pPr>
            <w:r>
              <w:t>1</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Certificate III &amp; IV</w:t>
            </w:r>
          </w:p>
        </w:tc>
        <w:tc>
          <w:tcPr>
            <w:tcW w:w="851" w:type="dxa"/>
            <w:tcBorders>
              <w:top w:val="nil"/>
              <w:bottom w:val="nil"/>
            </w:tcBorders>
            <w:hideMark/>
          </w:tcPr>
          <w:p w:rsidR="00D2237C" w:rsidRDefault="00D2237C" w:rsidP="00A5410F">
            <w:pPr>
              <w:pStyle w:val="Tabletext"/>
              <w:jc w:val="right"/>
            </w:pPr>
            <w:r>
              <w:t>16</w:t>
            </w:r>
          </w:p>
        </w:tc>
        <w:tc>
          <w:tcPr>
            <w:tcW w:w="850" w:type="dxa"/>
            <w:hideMark/>
          </w:tcPr>
          <w:p w:rsidR="00D2237C" w:rsidRDefault="00D2237C" w:rsidP="00A5410F">
            <w:pPr>
              <w:pStyle w:val="Tabletext"/>
              <w:jc w:val="right"/>
            </w:pPr>
            <w:r>
              <w:t>17</w:t>
            </w:r>
          </w:p>
        </w:tc>
        <w:tc>
          <w:tcPr>
            <w:tcW w:w="851" w:type="dxa"/>
            <w:hideMark/>
          </w:tcPr>
          <w:p w:rsidR="00D2237C" w:rsidRDefault="00D2237C" w:rsidP="00A5410F">
            <w:pPr>
              <w:pStyle w:val="Tabletext"/>
              <w:jc w:val="right"/>
            </w:pPr>
            <w:r>
              <w:t>1</w:t>
            </w:r>
          </w:p>
        </w:tc>
        <w:tc>
          <w:tcPr>
            <w:tcW w:w="850" w:type="dxa"/>
            <w:tcBorders>
              <w:top w:val="nil"/>
              <w:bottom w:val="nil"/>
            </w:tcBorders>
            <w:hideMark/>
          </w:tcPr>
          <w:p w:rsidR="00D2237C" w:rsidRDefault="00D2237C" w:rsidP="00A5410F">
            <w:pPr>
              <w:pStyle w:val="Tabletext"/>
              <w:jc w:val="right"/>
            </w:pPr>
            <w:r>
              <w:t>17</w:t>
            </w:r>
          </w:p>
        </w:tc>
        <w:tc>
          <w:tcPr>
            <w:tcW w:w="851" w:type="dxa"/>
            <w:hideMark/>
          </w:tcPr>
          <w:p w:rsidR="00D2237C" w:rsidRDefault="00D2237C" w:rsidP="00A5410F">
            <w:pPr>
              <w:pStyle w:val="Tabletext"/>
              <w:jc w:val="right"/>
            </w:pPr>
            <w:r>
              <w:t>18</w:t>
            </w:r>
          </w:p>
        </w:tc>
        <w:tc>
          <w:tcPr>
            <w:tcW w:w="1032" w:type="dxa"/>
            <w:hideMark/>
          </w:tcPr>
          <w:p w:rsidR="00D2237C" w:rsidRDefault="00D2237C" w:rsidP="00A5410F">
            <w:pPr>
              <w:pStyle w:val="Tabletext"/>
              <w:jc w:val="right"/>
            </w:pPr>
            <w:r>
              <w:t>1</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Certificate I &amp; II</w:t>
            </w:r>
          </w:p>
        </w:tc>
        <w:tc>
          <w:tcPr>
            <w:tcW w:w="851" w:type="dxa"/>
            <w:tcBorders>
              <w:top w:val="nil"/>
              <w:bottom w:val="nil"/>
            </w:tcBorders>
            <w:hideMark/>
          </w:tcPr>
          <w:p w:rsidR="00D2237C" w:rsidRDefault="00D2237C" w:rsidP="00A5410F">
            <w:pPr>
              <w:pStyle w:val="Tabletext"/>
              <w:jc w:val="right"/>
            </w:pPr>
            <w:r>
              <w:t>1</w:t>
            </w:r>
          </w:p>
        </w:tc>
        <w:tc>
          <w:tcPr>
            <w:tcW w:w="850" w:type="dxa"/>
            <w:hideMark/>
          </w:tcPr>
          <w:p w:rsidR="00D2237C" w:rsidRDefault="00D2237C" w:rsidP="00A5410F">
            <w:pPr>
              <w:pStyle w:val="Tabletext"/>
              <w:jc w:val="right"/>
            </w:pPr>
            <w:r>
              <w:t>1</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1</w:t>
            </w:r>
          </w:p>
        </w:tc>
        <w:tc>
          <w:tcPr>
            <w:tcW w:w="851" w:type="dxa"/>
            <w:hideMark/>
          </w:tcPr>
          <w:p w:rsidR="00D2237C" w:rsidRDefault="00D2237C" w:rsidP="00A5410F">
            <w:pPr>
              <w:pStyle w:val="Tabletext"/>
              <w:jc w:val="right"/>
            </w:pPr>
            <w:r>
              <w:t>1</w:t>
            </w:r>
          </w:p>
        </w:tc>
        <w:tc>
          <w:tcPr>
            <w:tcW w:w="1032" w:type="dxa"/>
            <w:hideMark/>
          </w:tcPr>
          <w:p w:rsidR="00D2237C" w:rsidRDefault="00D2237C" w:rsidP="00A5410F">
            <w:pPr>
              <w:pStyle w:val="Tabletext"/>
              <w:jc w:val="right"/>
            </w:pPr>
            <w:r>
              <w:t>0</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 xml:space="preserve">Certificate </w:t>
            </w:r>
            <w:proofErr w:type="spellStart"/>
            <w:r>
              <w:t>nfd</w:t>
            </w:r>
            <w:proofErr w:type="spellEnd"/>
          </w:p>
        </w:tc>
        <w:tc>
          <w:tcPr>
            <w:tcW w:w="851" w:type="dxa"/>
            <w:tcBorders>
              <w:top w:val="nil"/>
              <w:bottom w:val="nil"/>
            </w:tcBorders>
            <w:hideMark/>
          </w:tcPr>
          <w:p w:rsidR="00D2237C" w:rsidRDefault="00D2237C" w:rsidP="00A5410F">
            <w:pPr>
              <w:pStyle w:val="Tabletext"/>
              <w:jc w:val="right"/>
            </w:pPr>
            <w:r>
              <w:t>2</w:t>
            </w:r>
          </w:p>
        </w:tc>
        <w:tc>
          <w:tcPr>
            <w:tcW w:w="850" w:type="dxa"/>
            <w:hideMark/>
          </w:tcPr>
          <w:p w:rsidR="00D2237C" w:rsidRDefault="00D2237C" w:rsidP="00A5410F">
            <w:pPr>
              <w:pStyle w:val="Tabletext"/>
              <w:jc w:val="right"/>
            </w:pPr>
            <w:r>
              <w:t>2</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2</w:t>
            </w:r>
          </w:p>
        </w:tc>
        <w:tc>
          <w:tcPr>
            <w:tcW w:w="851" w:type="dxa"/>
            <w:hideMark/>
          </w:tcPr>
          <w:p w:rsidR="00D2237C" w:rsidRDefault="00D2237C" w:rsidP="00A5410F">
            <w:pPr>
              <w:pStyle w:val="Tabletext"/>
              <w:jc w:val="right"/>
            </w:pPr>
            <w:r>
              <w:t>2</w:t>
            </w:r>
          </w:p>
        </w:tc>
        <w:tc>
          <w:tcPr>
            <w:tcW w:w="1032" w:type="dxa"/>
            <w:hideMark/>
          </w:tcPr>
          <w:p w:rsidR="00D2237C" w:rsidRDefault="00D2237C" w:rsidP="00A5410F">
            <w:pPr>
              <w:pStyle w:val="Tabletext"/>
              <w:jc w:val="right"/>
            </w:pPr>
            <w:r>
              <w:t>0</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Other</w:t>
            </w:r>
          </w:p>
        </w:tc>
        <w:tc>
          <w:tcPr>
            <w:tcW w:w="851" w:type="dxa"/>
            <w:tcBorders>
              <w:top w:val="nil"/>
              <w:bottom w:val="nil"/>
            </w:tcBorders>
            <w:hideMark/>
          </w:tcPr>
          <w:p w:rsidR="00D2237C" w:rsidRDefault="00D2237C" w:rsidP="00A5410F">
            <w:pPr>
              <w:pStyle w:val="Tabletext"/>
              <w:jc w:val="right"/>
            </w:pPr>
            <w:r>
              <w:t>48</w:t>
            </w:r>
          </w:p>
        </w:tc>
        <w:tc>
          <w:tcPr>
            <w:tcW w:w="850" w:type="dxa"/>
            <w:hideMark/>
          </w:tcPr>
          <w:p w:rsidR="00D2237C" w:rsidRDefault="00D2237C" w:rsidP="00A5410F">
            <w:pPr>
              <w:pStyle w:val="Tabletext"/>
              <w:jc w:val="right"/>
            </w:pPr>
            <w:r>
              <w:t>41</w:t>
            </w:r>
          </w:p>
        </w:tc>
        <w:tc>
          <w:tcPr>
            <w:tcW w:w="851" w:type="dxa"/>
            <w:hideMark/>
          </w:tcPr>
          <w:p w:rsidR="00D2237C" w:rsidRDefault="00D2237C" w:rsidP="00A5410F">
            <w:pPr>
              <w:pStyle w:val="Tabletext"/>
              <w:jc w:val="right"/>
            </w:pPr>
            <w:r>
              <w:t>-7</w:t>
            </w:r>
          </w:p>
        </w:tc>
        <w:tc>
          <w:tcPr>
            <w:tcW w:w="850" w:type="dxa"/>
            <w:tcBorders>
              <w:top w:val="nil"/>
              <w:bottom w:val="nil"/>
            </w:tcBorders>
            <w:hideMark/>
          </w:tcPr>
          <w:p w:rsidR="00D2237C" w:rsidRDefault="00D2237C" w:rsidP="00A5410F">
            <w:pPr>
              <w:pStyle w:val="Tabletext"/>
              <w:jc w:val="right"/>
            </w:pPr>
            <w:r>
              <w:t>50</w:t>
            </w:r>
          </w:p>
        </w:tc>
        <w:tc>
          <w:tcPr>
            <w:tcW w:w="851" w:type="dxa"/>
            <w:hideMark/>
          </w:tcPr>
          <w:p w:rsidR="00D2237C" w:rsidRDefault="00D2237C" w:rsidP="00A5410F">
            <w:pPr>
              <w:pStyle w:val="Tabletext"/>
              <w:jc w:val="right"/>
            </w:pPr>
            <w:r>
              <w:t>43</w:t>
            </w:r>
          </w:p>
        </w:tc>
        <w:tc>
          <w:tcPr>
            <w:tcW w:w="1032" w:type="dxa"/>
            <w:hideMark/>
          </w:tcPr>
          <w:p w:rsidR="00D2237C" w:rsidRDefault="00D2237C" w:rsidP="00A5410F">
            <w:pPr>
              <w:pStyle w:val="Tabletext"/>
              <w:jc w:val="right"/>
            </w:pPr>
            <w:r>
              <w:t>-7</w:t>
            </w:r>
          </w:p>
        </w:tc>
      </w:tr>
      <w:tr w:rsidR="00D2237C" w:rsidTr="000E1068">
        <w:trPr>
          <w:trHeight w:val="290"/>
        </w:trPr>
        <w:tc>
          <w:tcPr>
            <w:tcW w:w="2865" w:type="dxa"/>
            <w:gridSpan w:val="2"/>
            <w:hideMark/>
          </w:tcPr>
          <w:p w:rsidR="00D2237C" w:rsidRDefault="00D2237C" w:rsidP="00FE1D0A">
            <w:pPr>
              <w:pStyle w:val="Tabletext"/>
            </w:pPr>
            <w:r>
              <w:t>Disability</w:t>
            </w:r>
          </w:p>
        </w:tc>
        <w:tc>
          <w:tcPr>
            <w:tcW w:w="851" w:type="dxa"/>
            <w:tcBorders>
              <w:top w:val="nil"/>
              <w:bottom w:val="nil"/>
            </w:tcBorders>
            <w:hideMark/>
          </w:tcPr>
          <w:p w:rsidR="00D2237C" w:rsidRDefault="00D2237C" w:rsidP="00A5410F">
            <w:pPr>
              <w:pStyle w:val="Tabletext"/>
              <w:jc w:val="right"/>
            </w:pPr>
            <w:r>
              <w:t>2</w:t>
            </w:r>
          </w:p>
        </w:tc>
        <w:tc>
          <w:tcPr>
            <w:tcW w:w="850" w:type="dxa"/>
            <w:hideMark/>
          </w:tcPr>
          <w:p w:rsidR="00D2237C" w:rsidRDefault="00D2237C" w:rsidP="00A5410F">
            <w:pPr>
              <w:pStyle w:val="Tabletext"/>
              <w:jc w:val="right"/>
            </w:pPr>
            <w:r>
              <w:t>2</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2</w:t>
            </w:r>
          </w:p>
        </w:tc>
        <w:tc>
          <w:tcPr>
            <w:tcW w:w="851" w:type="dxa"/>
            <w:hideMark/>
          </w:tcPr>
          <w:p w:rsidR="00D2237C" w:rsidRDefault="00D2237C" w:rsidP="00A5410F">
            <w:pPr>
              <w:pStyle w:val="Tabletext"/>
              <w:jc w:val="right"/>
            </w:pPr>
            <w:r>
              <w:t>2</w:t>
            </w:r>
          </w:p>
        </w:tc>
        <w:tc>
          <w:tcPr>
            <w:tcW w:w="1032" w:type="dxa"/>
            <w:hideMark/>
          </w:tcPr>
          <w:p w:rsidR="00D2237C" w:rsidRDefault="00D2237C" w:rsidP="00A5410F">
            <w:pPr>
              <w:pStyle w:val="Tabletext"/>
              <w:jc w:val="right"/>
            </w:pPr>
            <w:r>
              <w:t>0</w:t>
            </w:r>
          </w:p>
        </w:tc>
      </w:tr>
      <w:tr w:rsidR="00D2237C" w:rsidTr="000E1068">
        <w:trPr>
          <w:trHeight w:val="290"/>
        </w:trPr>
        <w:tc>
          <w:tcPr>
            <w:tcW w:w="2865" w:type="dxa"/>
            <w:gridSpan w:val="2"/>
            <w:hideMark/>
          </w:tcPr>
          <w:p w:rsidR="00D2237C" w:rsidRDefault="00D2237C" w:rsidP="00FE1D0A">
            <w:pPr>
              <w:pStyle w:val="Tabletext"/>
            </w:pPr>
            <w:r>
              <w:t>Labour force status</w:t>
            </w:r>
          </w:p>
        </w:tc>
        <w:tc>
          <w:tcPr>
            <w:tcW w:w="851" w:type="dxa"/>
            <w:tcBorders>
              <w:top w:val="nil"/>
              <w:bottom w:val="nil"/>
            </w:tcBorders>
          </w:tcPr>
          <w:p w:rsidR="00D2237C" w:rsidRDefault="00D2237C" w:rsidP="00A5410F">
            <w:pPr>
              <w:pStyle w:val="Tabletext"/>
              <w:jc w:val="right"/>
            </w:pPr>
          </w:p>
        </w:tc>
        <w:tc>
          <w:tcPr>
            <w:tcW w:w="850" w:type="dxa"/>
          </w:tcPr>
          <w:p w:rsidR="00D2237C" w:rsidRDefault="00D2237C" w:rsidP="00A5410F">
            <w:pPr>
              <w:pStyle w:val="Tabletext"/>
              <w:jc w:val="right"/>
            </w:pPr>
          </w:p>
        </w:tc>
        <w:tc>
          <w:tcPr>
            <w:tcW w:w="851" w:type="dxa"/>
          </w:tcPr>
          <w:p w:rsidR="00D2237C" w:rsidRDefault="00D2237C" w:rsidP="00A5410F">
            <w:pPr>
              <w:pStyle w:val="Tabletext"/>
              <w:jc w:val="right"/>
            </w:pPr>
          </w:p>
        </w:tc>
        <w:tc>
          <w:tcPr>
            <w:tcW w:w="850" w:type="dxa"/>
            <w:tcBorders>
              <w:top w:val="nil"/>
              <w:bottom w:val="nil"/>
            </w:tcBorders>
          </w:tcPr>
          <w:p w:rsidR="00D2237C" w:rsidRDefault="00D2237C" w:rsidP="00A5410F">
            <w:pPr>
              <w:pStyle w:val="Tabletext"/>
              <w:jc w:val="right"/>
            </w:pPr>
          </w:p>
        </w:tc>
        <w:tc>
          <w:tcPr>
            <w:tcW w:w="851" w:type="dxa"/>
          </w:tcPr>
          <w:p w:rsidR="00D2237C" w:rsidRDefault="00D2237C" w:rsidP="00A5410F">
            <w:pPr>
              <w:pStyle w:val="Tabletext"/>
              <w:jc w:val="right"/>
            </w:pPr>
          </w:p>
        </w:tc>
        <w:tc>
          <w:tcPr>
            <w:tcW w:w="1032" w:type="dxa"/>
          </w:tcPr>
          <w:p w:rsidR="00D2237C" w:rsidRDefault="00D2237C" w:rsidP="00A5410F">
            <w:pPr>
              <w:pStyle w:val="Tabletext"/>
              <w:jc w:val="right"/>
            </w:pP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Employed</w:t>
            </w:r>
          </w:p>
        </w:tc>
        <w:tc>
          <w:tcPr>
            <w:tcW w:w="851" w:type="dxa"/>
            <w:tcBorders>
              <w:top w:val="nil"/>
              <w:bottom w:val="nil"/>
            </w:tcBorders>
            <w:hideMark/>
          </w:tcPr>
          <w:p w:rsidR="00D2237C" w:rsidRDefault="00D2237C" w:rsidP="00A5410F">
            <w:pPr>
              <w:pStyle w:val="Tabletext"/>
              <w:jc w:val="right"/>
            </w:pPr>
            <w:r>
              <w:t>78</w:t>
            </w:r>
          </w:p>
        </w:tc>
        <w:tc>
          <w:tcPr>
            <w:tcW w:w="850" w:type="dxa"/>
            <w:hideMark/>
          </w:tcPr>
          <w:p w:rsidR="00D2237C" w:rsidRDefault="00D2237C" w:rsidP="00A5410F">
            <w:pPr>
              <w:pStyle w:val="Tabletext"/>
              <w:jc w:val="right"/>
            </w:pPr>
            <w:r>
              <w:t>80</w:t>
            </w:r>
          </w:p>
        </w:tc>
        <w:tc>
          <w:tcPr>
            <w:tcW w:w="851" w:type="dxa"/>
            <w:hideMark/>
          </w:tcPr>
          <w:p w:rsidR="00D2237C" w:rsidRDefault="00D2237C" w:rsidP="00A5410F">
            <w:pPr>
              <w:pStyle w:val="Tabletext"/>
              <w:jc w:val="right"/>
            </w:pPr>
            <w:r>
              <w:t>2</w:t>
            </w:r>
          </w:p>
        </w:tc>
        <w:tc>
          <w:tcPr>
            <w:tcW w:w="850" w:type="dxa"/>
            <w:tcBorders>
              <w:top w:val="nil"/>
              <w:bottom w:val="nil"/>
            </w:tcBorders>
            <w:hideMark/>
          </w:tcPr>
          <w:p w:rsidR="00D2237C" w:rsidRDefault="00D2237C" w:rsidP="00A5410F">
            <w:pPr>
              <w:pStyle w:val="Tabletext"/>
              <w:jc w:val="right"/>
            </w:pPr>
            <w:r>
              <w:t>78</w:t>
            </w:r>
          </w:p>
        </w:tc>
        <w:tc>
          <w:tcPr>
            <w:tcW w:w="851" w:type="dxa"/>
            <w:hideMark/>
          </w:tcPr>
          <w:p w:rsidR="00D2237C" w:rsidRDefault="00D2237C" w:rsidP="00A5410F">
            <w:pPr>
              <w:pStyle w:val="Tabletext"/>
              <w:jc w:val="right"/>
            </w:pPr>
            <w:r>
              <w:t>79</w:t>
            </w:r>
          </w:p>
        </w:tc>
        <w:tc>
          <w:tcPr>
            <w:tcW w:w="1032" w:type="dxa"/>
            <w:hideMark/>
          </w:tcPr>
          <w:p w:rsidR="00D2237C" w:rsidRDefault="00D2237C" w:rsidP="00A5410F">
            <w:pPr>
              <w:pStyle w:val="Tabletext"/>
              <w:jc w:val="right"/>
            </w:pPr>
            <w:r>
              <w:t>2</w:t>
            </w:r>
          </w:p>
        </w:tc>
      </w:tr>
      <w:tr w:rsidR="00D2237C" w:rsidTr="000E106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Unemployed</w:t>
            </w:r>
          </w:p>
        </w:tc>
        <w:tc>
          <w:tcPr>
            <w:tcW w:w="851" w:type="dxa"/>
            <w:tcBorders>
              <w:top w:val="nil"/>
              <w:bottom w:val="nil"/>
            </w:tcBorders>
            <w:hideMark/>
          </w:tcPr>
          <w:p w:rsidR="00D2237C" w:rsidRDefault="00D2237C" w:rsidP="00A5410F">
            <w:pPr>
              <w:pStyle w:val="Tabletext"/>
              <w:jc w:val="right"/>
            </w:pPr>
            <w:r>
              <w:t>3</w:t>
            </w:r>
          </w:p>
        </w:tc>
        <w:tc>
          <w:tcPr>
            <w:tcW w:w="850" w:type="dxa"/>
            <w:hideMark/>
          </w:tcPr>
          <w:p w:rsidR="00D2237C" w:rsidRDefault="00D2237C" w:rsidP="00A5410F">
            <w:pPr>
              <w:pStyle w:val="Tabletext"/>
              <w:jc w:val="right"/>
            </w:pPr>
            <w:r>
              <w:t>3</w:t>
            </w:r>
          </w:p>
        </w:tc>
        <w:tc>
          <w:tcPr>
            <w:tcW w:w="851" w:type="dxa"/>
            <w:hideMark/>
          </w:tcPr>
          <w:p w:rsidR="00D2237C" w:rsidRDefault="00D2237C" w:rsidP="00A5410F">
            <w:pPr>
              <w:pStyle w:val="Tabletext"/>
              <w:jc w:val="right"/>
            </w:pPr>
            <w:r>
              <w:t>0</w:t>
            </w:r>
          </w:p>
        </w:tc>
        <w:tc>
          <w:tcPr>
            <w:tcW w:w="850" w:type="dxa"/>
            <w:tcBorders>
              <w:top w:val="nil"/>
              <w:bottom w:val="nil"/>
            </w:tcBorders>
            <w:hideMark/>
          </w:tcPr>
          <w:p w:rsidR="00D2237C" w:rsidRDefault="00D2237C" w:rsidP="00A5410F">
            <w:pPr>
              <w:pStyle w:val="Tabletext"/>
              <w:jc w:val="right"/>
            </w:pPr>
            <w:r>
              <w:t>4</w:t>
            </w:r>
          </w:p>
        </w:tc>
        <w:tc>
          <w:tcPr>
            <w:tcW w:w="851" w:type="dxa"/>
            <w:hideMark/>
          </w:tcPr>
          <w:p w:rsidR="00D2237C" w:rsidRDefault="00D2237C" w:rsidP="00A5410F">
            <w:pPr>
              <w:pStyle w:val="Tabletext"/>
              <w:jc w:val="right"/>
            </w:pPr>
            <w:r>
              <w:t>3</w:t>
            </w:r>
          </w:p>
        </w:tc>
        <w:tc>
          <w:tcPr>
            <w:tcW w:w="1032" w:type="dxa"/>
            <w:hideMark/>
          </w:tcPr>
          <w:p w:rsidR="00D2237C" w:rsidRDefault="00D2237C" w:rsidP="00A5410F">
            <w:pPr>
              <w:pStyle w:val="Tabletext"/>
              <w:jc w:val="right"/>
            </w:pPr>
            <w:r>
              <w:t>0</w:t>
            </w:r>
          </w:p>
        </w:tc>
      </w:tr>
      <w:tr w:rsidR="00D2237C" w:rsidTr="004B07F8">
        <w:trPr>
          <w:trHeight w:val="290"/>
        </w:trPr>
        <w:tc>
          <w:tcPr>
            <w:tcW w:w="403" w:type="dxa"/>
          </w:tcPr>
          <w:p w:rsidR="00D2237C" w:rsidRDefault="00D2237C" w:rsidP="00FE1D0A">
            <w:pPr>
              <w:pStyle w:val="Tabletext"/>
            </w:pPr>
          </w:p>
        </w:tc>
        <w:tc>
          <w:tcPr>
            <w:tcW w:w="2462" w:type="dxa"/>
            <w:hideMark/>
          </w:tcPr>
          <w:p w:rsidR="00D2237C" w:rsidRDefault="00D2237C" w:rsidP="00FE1D0A">
            <w:pPr>
              <w:pStyle w:val="Tabletext"/>
            </w:pPr>
            <w:r>
              <w:t>Not in labour force</w:t>
            </w:r>
          </w:p>
        </w:tc>
        <w:tc>
          <w:tcPr>
            <w:tcW w:w="851" w:type="dxa"/>
            <w:tcBorders>
              <w:top w:val="nil"/>
            </w:tcBorders>
            <w:hideMark/>
          </w:tcPr>
          <w:p w:rsidR="00D2237C" w:rsidRDefault="00D2237C" w:rsidP="00A5410F">
            <w:pPr>
              <w:pStyle w:val="Tabletext"/>
              <w:jc w:val="right"/>
            </w:pPr>
            <w:r>
              <w:t>19</w:t>
            </w:r>
          </w:p>
        </w:tc>
        <w:tc>
          <w:tcPr>
            <w:tcW w:w="850" w:type="dxa"/>
            <w:hideMark/>
          </w:tcPr>
          <w:p w:rsidR="00D2237C" w:rsidRDefault="00D2237C" w:rsidP="00A5410F">
            <w:pPr>
              <w:pStyle w:val="Tabletext"/>
              <w:jc w:val="right"/>
            </w:pPr>
            <w:r>
              <w:t>17</w:t>
            </w:r>
          </w:p>
        </w:tc>
        <w:tc>
          <w:tcPr>
            <w:tcW w:w="851" w:type="dxa"/>
            <w:hideMark/>
          </w:tcPr>
          <w:p w:rsidR="00D2237C" w:rsidRDefault="00D2237C" w:rsidP="00A5410F">
            <w:pPr>
              <w:pStyle w:val="Tabletext"/>
              <w:jc w:val="right"/>
            </w:pPr>
            <w:r>
              <w:t>-2</w:t>
            </w:r>
          </w:p>
        </w:tc>
        <w:tc>
          <w:tcPr>
            <w:tcW w:w="850" w:type="dxa"/>
            <w:tcBorders>
              <w:top w:val="nil"/>
            </w:tcBorders>
            <w:hideMark/>
          </w:tcPr>
          <w:p w:rsidR="00D2237C" w:rsidRDefault="00D2237C" w:rsidP="00A5410F">
            <w:pPr>
              <w:pStyle w:val="Tabletext"/>
              <w:jc w:val="right"/>
            </w:pPr>
            <w:r>
              <w:t>19</w:t>
            </w:r>
          </w:p>
        </w:tc>
        <w:tc>
          <w:tcPr>
            <w:tcW w:w="851" w:type="dxa"/>
            <w:hideMark/>
          </w:tcPr>
          <w:p w:rsidR="00D2237C" w:rsidRDefault="00D2237C" w:rsidP="00A5410F">
            <w:pPr>
              <w:pStyle w:val="Tabletext"/>
              <w:jc w:val="right"/>
            </w:pPr>
            <w:r>
              <w:t>18</w:t>
            </w:r>
          </w:p>
        </w:tc>
        <w:tc>
          <w:tcPr>
            <w:tcW w:w="1032" w:type="dxa"/>
            <w:hideMark/>
          </w:tcPr>
          <w:p w:rsidR="00D2237C" w:rsidRDefault="00D2237C" w:rsidP="00A5410F">
            <w:pPr>
              <w:pStyle w:val="Tabletext"/>
              <w:jc w:val="right"/>
            </w:pPr>
            <w:r>
              <w:t>-1</w:t>
            </w:r>
          </w:p>
        </w:tc>
      </w:tr>
      <w:tr w:rsidR="00D2237C" w:rsidTr="004B07F8">
        <w:trPr>
          <w:trHeight w:val="305"/>
        </w:trPr>
        <w:tc>
          <w:tcPr>
            <w:tcW w:w="2865" w:type="dxa"/>
            <w:gridSpan w:val="2"/>
            <w:tcBorders>
              <w:left w:val="nil"/>
              <w:bottom w:val="single" w:sz="4" w:space="0" w:color="auto"/>
            </w:tcBorders>
            <w:hideMark/>
          </w:tcPr>
          <w:p w:rsidR="00D2237C" w:rsidRDefault="00D2237C" w:rsidP="00FE1D0A">
            <w:pPr>
              <w:pStyle w:val="Tabletext"/>
            </w:pPr>
            <w:r>
              <w:t>TOTAL ('000s)</w:t>
            </w:r>
          </w:p>
        </w:tc>
        <w:tc>
          <w:tcPr>
            <w:tcW w:w="851" w:type="dxa"/>
            <w:tcBorders>
              <w:bottom w:val="single" w:sz="4" w:space="0" w:color="auto"/>
            </w:tcBorders>
            <w:hideMark/>
          </w:tcPr>
          <w:p w:rsidR="00D2237C" w:rsidRDefault="00D2237C" w:rsidP="00A5410F">
            <w:pPr>
              <w:pStyle w:val="Tabletext"/>
              <w:jc w:val="right"/>
            </w:pPr>
            <w:r>
              <w:t>2099</w:t>
            </w:r>
          </w:p>
        </w:tc>
        <w:tc>
          <w:tcPr>
            <w:tcW w:w="850" w:type="dxa"/>
            <w:tcBorders>
              <w:bottom w:val="single" w:sz="4" w:space="0" w:color="auto"/>
            </w:tcBorders>
            <w:hideMark/>
          </w:tcPr>
          <w:p w:rsidR="00D2237C" w:rsidRDefault="00D2237C" w:rsidP="00A5410F">
            <w:pPr>
              <w:pStyle w:val="Tabletext"/>
              <w:jc w:val="right"/>
            </w:pPr>
            <w:r>
              <w:t>2164</w:t>
            </w:r>
          </w:p>
        </w:tc>
        <w:tc>
          <w:tcPr>
            <w:tcW w:w="851" w:type="dxa"/>
            <w:tcBorders>
              <w:bottom w:val="single" w:sz="4" w:space="0" w:color="auto"/>
            </w:tcBorders>
            <w:hideMark/>
          </w:tcPr>
          <w:p w:rsidR="00D2237C" w:rsidRDefault="00D2237C" w:rsidP="00A5410F">
            <w:pPr>
              <w:pStyle w:val="Tabletext"/>
              <w:jc w:val="right"/>
            </w:pPr>
            <w:r>
              <w:t>65</w:t>
            </w:r>
          </w:p>
        </w:tc>
        <w:tc>
          <w:tcPr>
            <w:tcW w:w="850" w:type="dxa"/>
            <w:tcBorders>
              <w:bottom w:val="single" w:sz="4" w:space="0" w:color="auto"/>
            </w:tcBorders>
            <w:hideMark/>
          </w:tcPr>
          <w:p w:rsidR="00D2237C" w:rsidRDefault="00D2237C" w:rsidP="00A5410F">
            <w:pPr>
              <w:pStyle w:val="Tabletext"/>
              <w:jc w:val="right"/>
            </w:pPr>
            <w:r>
              <w:t>8377</w:t>
            </w:r>
          </w:p>
        </w:tc>
        <w:tc>
          <w:tcPr>
            <w:tcW w:w="851" w:type="dxa"/>
            <w:tcBorders>
              <w:bottom w:val="single" w:sz="4" w:space="0" w:color="auto"/>
            </w:tcBorders>
            <w:hideMark/>
          </w:tcPr>
          <w:p w:rsidR="00D2237C" w:rsidRDefault="00D2237C" w:rsidP="00A5410F">
            <w:pPr>
              <w:pStyle w:val="Tabletext"/>
              <w:jc w:val="right"/>
            </w:pPr>
            <w:r>
              <w:t>8619</w:t>
            </w:r>
          </w:p>
        </w:tc>
        <w:tc>
          <w:tcPr>
            <w:tcW w:w="1032" w:type="dxa"/>
            <w:tcBorders>
              <w:bottom w:val="single" w:sz="4" w:space="0" w:color="auto"/>
              <w:right w:val="nil"/>
            </w:tcBorders>
            <w:hideMark/>
          </w:tcPr>
          <w:p w:rsidR="00D2237C" w:rsidRDefault="00D2237C" w:rsidP="00A5410F">
            <w:pPr>
              <w:pStyle w:val="Tabletext"/>
              <w:jc w:val="right"/>
            </w:pPr>
            <w:r>
              <w:t>242</w:t>
            </w:r>
          </w:p>
        </w:tc>
      </w:tr>
      <w:tr w:rsidR="004B07F8" w:rsidTr="004B07F8">
        <w:trPr>
          <w:trHeight w:val="305"/>
        </w:trPr>
        <w:tc>
          <w:tcPr>
            <w:tcW w:w="8150" w:type="dxa"/>
            <w:gridSpan w:val="8"/>
            <w:tcBorders>
              <w:top w:val="single" w:sz="4" w:space="0" w:color="auto"/>
            </w:tcBorders>
            <w:hideMark/>
          </w:tcPr>
          <w:p w:rsidR="00ED52FF" w:rsidRPr="002869DC" w:rsidRDefault="00A5410F" w:rsidP="00A5410F">
            <w:pPr>
              <w:pStyle w:val="Source"/>
              <w:tabs>
                <w:tab w:val="left" w:pos="1103"/>
              </w:tabs>
              <w:rPr>
                <w:rFonts w:ascii="Arial" w:hAnsi="Arial" w:cs="Arial"/>
                <w:sz w:val="15"/>
                <w:szCs w:val="15"/>
              </w:rPr>
            </w:pPr>
            <w:r>
              <w:rPr>
                <w:rFonts w:ascii="Arial" w:hAnsi="Arial" w:cs="Arial"/>
                <w:sz w:val="15"/>
                <w:szCs w:val="15"/>
              </w:rPr>
              <w:t xml:space="preserve">Note:     </w:t>
            </w:r>
            <w:r w:rsidR="00ED52FF" w:rsidRPr="002869DC">
              <w:rPr>
                <w:rFonts w:ascii="Arial" w:hAnsi="Arial" w:cs="Arial"/>
                <w:sz w:val="15"/>
                <w:szCs w:val="15"/>
              </w:rPr>
              <w:t>Estimates are subject to rounding error.</w:t>
            </w:r>
          </w:p>
          <w:p w:rsidR="004B07F8" w:rsidRPr="002869DC" w:rsidRDefault="004B07F8" w:rsidP="008456DB">
            <w:pPr>
              <w:pStyle w:val="Source"/>
              <w:rPr>
                <w:rFonts w:ascii="Arial" w:hAnsi="Arial" w:cs="Arial"/>
                <w:sz w:val="15"/>
                <w:szCs w:val="15"/>
              </w:rPr>
            </w:pPr>
            <w:r w:rsidRPr="002869DC">
              <w:rPr>
                <w:rFonts w:ascii="Arial" w:hAnsi="Arial" w:cs="Arial"/>
                <w:sz w:val="15"/>
                <w:szCs w:val="15"/>
              </w:rPr>
              <w:t xml:space="preserve">Source: Authors' calculations using census data reported for 2006 and 2011, and employment status reported by </w:t>
            </w:r>
            <w:r w:rsidR="002869DC">
              <w:rPr>
                <w:rFonts w:ascii="Arial" w:hAnsi="Arial" w:cs="Arial"/>
                <w:sz w:val="15"/>
                <w:szCs w:val="15"/>
              </w:rPr>
              <w:t xml:space="preserve">the </w:t>
            </w:r>
            <w:r w:rsidRPr="002869DC">
              <w:rPr>
                <w:rFonts w:ascii="Arial" w:hAnsi="Arial" w:cs="Arial"/>
                <w:sz w:val="15"/>
                <w:szCs w:val="15"/>
              </w:rPr>
              <w:t>Labour Force Survey, January 2006 and January 2011.</w:t>
            </w:r>
          </w:p>
          <w:p w:rsidR="004B07F8" w:rsidRDefault="004B07F8" w:rsidP="008456DB">
            <w:pPr>
              <w:pStyle w:val="Source"/>
            </w:pPr>
          </w:p>
        </w:tc>
      </w:tr>
    </w:tbl>
    <w:p w:rsidR="00D366B1" w:rsidRDefault="00D366B1" w:rsidP="00D2237C">
      <w:pPr>
        <w:pStyle w:val="Heading3"/>
      </w:pPr>
    </w:p>
    <w:p w:rsidR="00D366B1" w:rsidRDefault="00D366B1">
      <w:pPr>
        <w:spacing w:before="0" w:line="240" w:lineRule="auto"/>
        <w:rPr>
          <w:rFonts w:ascii="Arial" w:hAnsi="Arial" w:cs="Tahoma"/>
          <w:color w:val="000000"/>
          <w:sz w:val="24"/>
        </w:rPr>
      </w:pPr>
      <w:r>
        <w:br w:type="page"/>
      </w:r>
    </w:p>
    <w:p w:rsidR="00D366B1" w:rsidRDefault="00D366B1" w:rsidP="00D366B1">
      <w:pPr>
        <w:pStyle w:val="Text"/>
      </w:pPr>
      <w:r>
        <w:lastRenderedPageBreak/>
        <w:t>A second notable feature revealed by table 2 is the similarity of the distribution of population characteristics reported for Victoria and the remainder of Australia.</w:t>
      </w:r>
      <w:r w:rsidR="00B01602">
        <w:t xml:space="preserve"> </w:t>
      </w:r>
      <w:r>
        <w:t>Di</w:t>
      </w:r>
      <w:r w:rsidR="00ED52FF">
        <w:t xml:space="preserve">sparities between Victoria and </w:t>
      </w:r>
      <w:r w:rsidR="00C176A8">
        <w:t xml:space="preserve">the </w:t>
      </w:r>
      <w:r w:rsidR="00ED52FF">
        <w:t>r</w:t>
      </w:r>
      <w:r>
        <w:t xml:space="preserve">est of Australia reported in the table are mostly less than one percentage point. The most important deviations are reported for the proportions of the respective populations living in rural locations, which are seven percentage points lower in Victoria than the national average. The basic similarities between the populations living in Victoria and the remainder of Australia are an important motivation for </w:t>
      </w:r>
      <w:r w:rsidR="000C041E">
        <w:t xml:space="preserve">the </w:t>
      </w:r>
      <w:r>
        <w:t>use of the remainder of Australia as a basis for comparison in the analysis.</w:t>
      </w:r>
    </w:p>
    <w:p w:rsidR="00D2237C" w:rsidRDefault="00D2237C" w:rsidP="00D2237C">
      <w:pPr>
        <w:pStyle w:val="Heading3"/>
      </w:pPr>
      <w:r>
        <w:t>The match between course</w:t>
      </w:r>
      <w:r w:rsidRPr="0021741D">
        <w:t xml:space="preserve"> choice</w:t>
      </w:r>
      <w:r>
        <w:t>s and labour market needs</w:t>
      </w:r>
    </w:p>
    <w:p w:rsidR="00D2237C" w:rsidRDefault="00D2237C" w:rsidP="00D2237C">
      <w:pPr>
        <w:pStyle w:val="Text"/>
      </w:pPr>
      <w:r>
        <w:t>The quality of a course choice extends over a broad set of dimensions, including private considerations of the students enrolled, their prospective employers, and the wider needs of the community. This study, by necessity, takes a relativ</w:t>
      </w:r>
      <w:r w:rsidR="00473164">
        <w:t>ely narrow perspective</w:t>
      </w:r>
      <w:r w:rsidR="00C176A8">
        <w:t>,</w:t>
      </w:r>
      <w:r w:rsidR="00473164">
        <w:t xml:space="preserve"> by focus</w:t>
      </w:r>
      <w:r>
        <w:t>ing on the match between course choices and contemporaneous labour market needs. This focus was a key motivation underlying the refo</w:t>
      </w:r>
      <w:r w:rsidR="00ED52FF">
        <w:t>rms with which we are concerned</w:t>
      </w:r>
      <w:r>
        <w:t xml:space="preserve"> and relates closely to an examination of the premise that students, if given the choice, will pursue skills that are in demand by employers.</w:t>
      </w:r>
      <w:r w:rsidR="00B01602">
        <w:t xml:space="preserve"> </w:t>
      </w:r>
    </w:p>
    <w:p w:rsidR="00D2237C" w:rsidRDefault="00D2237C" w:rsidP="00D2237C">
      <w:pPr>
        <w:pStyle w:val="Text"/>
      </w:pPr>
      <w:r>
        <w:t xml:space="preserve">The first metric we consider </w:t>
      </w:r>
      <w:r w:rsidRPr="00784241">
        <w:t xml:space="preserve">is the proportion of </w:t>
      </w:r>
      <w:r>
        <w:t xml:space="preserve">course </w:t>
      </w:r>
      <w:r w:rsidRPr="00784241">
        <w:t xml:space="preserve">enrolments that prepare students for occupations on </w:t>
      </w:r>
      <w:r w:rsidR="000C041E">
        <w:t xml:space="preserve">the </w:t>
      </w:r>
      <w:r w:rsidRPr="00784241">
        <w:t>national</w:t>
      </w:r>
      <w:r>
        <w:t xml:space="preserve"> annual</w:t>
      </w:r>
      <w:r w:rsidRPr="00784241">
        <w:t xml:space="preserve"> skill shortage lists</w:t>
      </w:r>
      <w:r>
        <w:t>,</w:t>
      </w:r>
      <w:r w:rsidRPr="00784241">
        <w:t xml:space="preserve"> identified at the time of enrolment.</w:t>
      </w:r>
      <w:r>
        <w:t xml:space="preserve"> National </w:t>
      </w:r>
      <w:r w:rsidRPr="00784241">
        <w:t xml:space="preserve">skill shortage </w:t>
      </w:r>
      <w:r>
        <w:t>occupations at the 6-digit level (</w:t>
      </w:r>
      <w:r w:rsidRPr="00784241">
        <w:t>Australian and New Zealand Standard Class</w:t>
      </w:r>
      <w:r w:rsidR="00ED52FF">
        <w:t>ification of Occupation [ANZSCO]</w:t>
      </w:r>
      <w:r>
        <w:t xml:space="preserve">) are linked to </w:t>
      </w:r>
      <w:r w:rsidR="00C176A8">
        <w:t xml:space="preserve">the </w:t>
      </w:r>
      <w:r>
        <w:t xml:space="preserve">occupations in the </w:t>
      </w:r>
      <w:r w:rsidR="00801415">
        <w:t>National VET Provider Collection</w:t>
      </w:r>
      <w:r>
        <w:t xml:space="preserve"> that best match the intended course outcome. National skill shortage lists are constructed from employer interviews and skill forecasts and can be </w:t>
      </w:r>
      <w:r w:rsidR="00ED52FF">
        <w:t>conceptualised</w:t>
      </w:r>
      <w:r>
        <w:t xml:space="preserve"> as unmet demand for skills</w:t>
      </w:r>
      <w:r w:rsidR="00ED52FF">
        <w:t>,</w:t>
      </w:r>
      <w:r>
        <w:t xml:space="preserve"> given </w:t>
      </w:r>
      <w:r w:rsidR="000C041E">
        <w:t xml:space="preserve">the </w:t>
      </w:r>
      <w:r>
        <w:t xml:space="preserve">prevailing labour market conditions. We use this measure </w:t>
      </w:r>
      <w:r w:rsidR="00ED52FF">
        <w:t>because it is widely recognised</w:t>
      </w:r>
      <w:r>
        <w:t xml:space="preserve"> and </w:t>
      </w:r>
      <w:r w:rsidR="00ED52FF">
        <w:t xml:space="preserve">is </w:t>
      </w:r>
      <w:r>
        <w:t xml:space="preserve">a focus of interest </w:t>
      </w:r>
      <w:r w:rsidR="00C176A8">
        <w:t xml:space="preserve">for </w:t>
      </w:r>
      <w:r>
        <w:t>governments, education providers and prospective students.</w:t>
      </w:r>
    </w:p>
    <w:p w:rsidR="00D2237C" w:rsidRDefault="00690AD9" w:rsidP="00D2237C">
      <w:pPr>
        <w:pStyle w:val="Text"/>
      </w:pPr>
      <w:r>
        <w:t>H</w:t>
      </w:r>
      <w:r w:rsidR="00D2237C">
        <w:t xml:space="preserve">owever, the national skill shortage list is an imperfect measure of skill needs. Its binary nature means that it cannot indicate the extent of any shortage. Absence from the list does not necessarily mean that a skill is not in shortage; rather, it may be that there was no information available concerning particular occupations at the time of publication. Furthermore, the national measure cannot identify regional differences in skill needs. Given these points, how should we interpret observations </w:t>
      </w:r>
      <w:r w:rsidR="00C176A8">
        <w:t xml:space="preserve">about </w:t>
      </w:r>
      <w:r w:rsidR="00D2237C">
        <w:t>the relationship between course choices and the national skill shortage lists?</w:t>
      </w:r>
    </w:p>
    <w:p w:rsidR="00D2237C" w:rsidRDefault="00D2237C" w:rsidP="008456DB">
      <w:pPr>
        <w:pStyle w:val="Text"/>
      </w:pPr>
      <w:r>
        <w:t>Suppose that the data indicate a wide divergence between the cours</w:t>
      </w:r>
      <w:r w:rsidR="00ED52FF">
        <w:t xml:space="preserve">es that students choose to take </w:t>
      </w:r>
      <w:r>
        <w:t>up when th</w:t>
      </w:r>
      <w:r w:rsidR="00ED52FF">
        <w:t>ey are given additional freedom</w:t>
      </w:r>
      <w:r>
        <w:t xml:space="preserve"> and the skill shortage lists. This result would suggest to us two likely alternatives. First, it may be that the students had aligned themselves with local labour market needs, but that these needs were inadequately represented by the national skill shortage lists. Second, it may be that the national skill shortage lists are closely aligned with labour market needs, but that students failed to respond to these needs. Either one of these alternatives would be worrying and would point to the need for further research. Alternatively, it may be that the alignment between student course choices and national skills shortage lists improved after students were given additional flexibility </w:t>
      </w:r>
      <w:r w:rsidR="00C176A8">
        <w:t>in relation to</w:t>
      </w:r>
      <w:r>
        <w:t xml:space="preserve"> subsidised courses. Although alternative interpretations of such a result exist, it would suggest to us that: the skills</w:t>
      </w:r>
      <w:r w:rsidR="008456DB">
        <w:t xml:space="preserve"> </w:t>
      </w:r>
      <w:r>
        <w:t xml:space="preserve">shortage lists do provide useful detail </w:t>
      </w:r>
      <w:r w:rsidR="00C176A8">
        <w:t>on</w:t>
      </w:r>
      <w:r>
        <w:t xml:space="preserve"> local labour market needs; and </w:t>
      </w:r>
      <w:r w:rsidR="00ED52FF">
        <w:t>that</w:t>
      </w:r>
      <w:r>
        <w:t xml:space="preserve"> students take such detail into consideration when making their decisions. </w:t>
      </w:r>
    </w:p>
    <w:p w:rsidR="00FE0EB5" w:rsidRDefault="00D2237C" w:rsidP="008456DB">
      <w:pPr>
        <w:pStyle w:val="Text"/>
      </w:pPr>
      <w:r>
        <w:lastRenderedPageBreak/>
        <w:t xml:space="preserve">The second metric we consider for evaluating the match between course choices and labour market needs is </w:t>
      </w:r>
      <w:r w:rsidR="00A34864">
        <w:t xml:space="preserve">average expected course graduate wage, adjusted for </w:t>
      </w:r>
      <w:r w:rsidR="00ED52FF">
        <w:t xml:space="preserve">the </w:t>
      </w:r>
      <w:r w:rsidR="00A34864">
        <w:t xml:space="preserve">characteristics of </w:t>
      </w:r>
      <w:r w:rsidR="00C176A8">
        <w:t xml:space="preserve">the </w:t>
      </w:r>
      <w:r w:rsidR="00A34864">
        <w:t xml:space="preserve">students who enrol in different courses. </w:t>
      </w:r>
      <w:r w:rsidR="00C81AA2">
        <w:t xml:space="preserve">In this study, we use recent course graduate earnings, adjusted for student characteristics, as a proxy for expected earnings. </w:t>
      </w:r>
      <w:r w:rsidR="00FE0EB5">
        <w:t>Using recent adjusted graduate earnings for this purpose may be a valid proxy for expected earnings if wages are not expected to change substantially during th</w:t>
      </w:r>
      <w:r w:rsidR="00ED52FF">
        <w:t>e period of study (typically 12—</w:t>
      </w:r>
      <w:r w:rsidR="00FE0EB5">
        <w:t>18 months) or if students are short-sighted</w:t>
      </w:r>
      <w:r w:rsidR="00FE0EB5" w:rsidRPr="00AB555D">
        <w:t>.</w:t>
      </w:r>
      <w:r w:rsidR="00FE0EB5">
        <w:t xml:space="preserve"> By </w:t>
      </w:r>
      <w:r w:rsidR="00C176A8">
        <w:t>‘</w:t>
      </w:r>
      <w:r w:rsidR="00FE0EB5">
        <w:t>short-sighted</w:t>
      </w:r>
      <w:r w:rsidR="00C176A8">
        <w:t>’</w:t>
      </w:r>
      <w:r w:rsidR="00FE0EB5">
        <w:t xml:space="preserve"> we mean that</w:t>
      </w:r>
      <w:r w:rsidR="00ED52FF">
        <w:t>,</w:t>
      </w:r>
      <w:r w:rsidR="00FE0EB5">
        <w:t xml:space="preserve"> when choosing a course, students put more weight on prevailing labour market conditions than possible future labour market developments to predict the likely outcomes from studying different courses. Such behaviour is sup</w:t>
      </w:r>
      <w:r w:rsidR="00ED52FF">
        <w:t>ported by statistical evidence. (S</w:t>
      </w:r>
      <w:r w:rsidR="00FE0EB5">
        <w:t>ee</w:t>
      </w:r>
      <w:r w:rsidR="00B01602">
        <w:t>,</w:t>
      </w:r>
      <w:r w:rsidR="00FE0EB5">
        <w:t xml:space="preserve"> for example</w:t>
      </w:r>
      <w:r w:rsidR="00B01602">
        <w:t>,</w:t>
      </w:r>
      <w:r w:rsidR="00FE0EB5">
        <w:t xml:space="preserve"> </w:t>
      </w:r>
      <w:proofErr w:type="spellStart"/>
      <w:r w:rsidR="00FE0EB5">
        <w:t>Ryoo</w:t>
      </w:r>
      <w:proofErr w:type="spellEnd"/>
      <w:r w:rsidR="00ED52FF">
        <w:t xml:space="preserve"> &amp;</w:t>
      </w:r>
      <w:r w:rsidR="00FE0EB5">
        <w:t xml:space="preserve"> Rosen</w:t>
      </w:r>
      <w:r w:rsidR="00ED52FF">
        <w:t xml:space="preserve"> </w:t>
      </w:r>
      <w:r w:rsidR="00FE0EB5">
        <w:t>2004</w:t>
      </w:r>
      <w:r w:rsidR="00ED52FF">
        <w:t>.</w:t>
      </w:r>
      <w:r w:rsidR="00747916">
        <w:t>)</w:t>
      </w:r>
    </w:p>
    <w:p w:rsidR="00A34864" w:rsidRDefault="00FE0EB5" w:rsidP="008456DB">
      <w:pPr>
        <w:pStyle w:val="Text"/>
      </w:pPr>
      <w:r>
        <w:t xml:space="preserve">To estimate adjusted graduate earnings, we </w:t>
      </w:r>
      <w:r w:rsidR="00A34864">
        <w:t xml:space="preserve">use data from the </w:t>
      </w:r>
      <w:r w:rsidR="008A2C28">
        <w:t xml:space="preserve">National </w:t>
      </w:r>
      <w:r w:rsidR="00A34864">
        <w:t>Student Outcome</w:t>
      </w:r>
      <w:r w:rsidR="008A2C28">
        <w:t>s</w:t>
      </w:r>
      <w:r w:rsidR="00A34864">
        <w:t xml:space="preserve"> Survey (SOS), </w:t>
      </w:r>
      <w:r w:rsidR="00A34864" w:rsidRPr="003C383A">
        <w:t xml:space="preserve">a large and nationally representative </w:t>
      </w:r>
      <w:r w:rsidR="00A34864">
        <w:t>sample</w:t>
      </w:r>
      <w:r w:rsidR="00A34864" w:rsidRPr="003C383A">
        <w:t xml:space="preserve"> of VET graduates conducted in the year following course completion (see </w:t>
      </w:r>
      <w:r w:rsidR="00ED52FF">
        <w:t>&lt;</w:t>
      </w:r>
      <w:hyperlink r:id="rId51" w:history="1">
        <w:r w:rsidR="00A34864" w:rsidRPr="003C383A">
          <w:t>http://www.ncver.edu.au/sos</w:t>
        </w:r>
      </w:hyperlink>
      <w:r w:rsidR="00ED52FF">
        <w:t>&gt;</w:t>
      </w:r>
      <w:r w:rsidR="00A34864" w:rsidRPr="003C383A">
        <w:t xml:space="preserve"> for more information). The sampling frame for th</w:t>
      </w:r>
      <w:r w:rsidR="00C176A8">
        <w:t xml:space="preserve">is survey </w:t>
      </w:r>
      <w:r w:rsidR="00A34864" w:rsidRPr="003C383A">
        <w:t>is the population of VET completers in the prec</w:t>
      </w:r>
      <w:r w:rsidR="000C041E">
        <w:t xml:space="preserve">eding year, </w:t>
      </w:r>
      <w:r w:rsidR="00A34864" w:rsidRPr="003C383A">
        <w:t xml:space="preserve">drawn from the </w:t>
      </w:r>
      <w:r w:rsidR="00801415">
        <w:t>National VET Provider Collection</w:t>
      </w:r>
      <w:r w:rsidR="00A34864" w:rsidRPr="003C383A">
        <w:t xml:space="preserve"> dataset</w:t>
      </w:r>
      <w:r w:rsidR="00A34864">
        <w:t>. The survey reports</w:t>
      </w:r>
      <w:r w:rsidR="00A34864" w:rsidRPr="003C383A">
        <w:t xml:space="preserve"> updated information </w:t>
      </w:r>
      <w:r w:rsidR="00A34864">
        <w:t>for</w:t>
      </w:r>
      <w:r w:rsidR="00A34864" w:rsidRPr="003C383A">
        <w:t xml:space="preserve"> student characteristics and current labour market outcomes, including weekly earnings for those employed.</w:t>
      </w:r>
      <w:r w:rsidR="00C81AA2">
        <w:t xml:space="preserve"> To </w:t>
      </w:r>
      <w:r>
        <w:t xml:space="preserve">adjust for student characteristics, </w:t>
      </w:r>
      <w:r w:rsidR="00C81AA2">
        <w:t xml:space="preserve">we estimate a </w:t>
      </w:r>
      <w:r w:rsidR="00C81AA2" w:rsidRPr="003C383A">
        <w:t>log wage regression for completers</w:t>
      </w:r>
      <w:r w:rsidR="00C81AA2">
        <w:t xml:space="preserve"> aged </w:t>
      </w:r>
      <w:r w:rsidR="00C81AA2" w:rsidRPr="003C383A">
        <w:t>25</w:t>
      </w:r>
      <w:r w:rsidR="00C81AA2">
        <w:t xml:space="preserve"> to 54 </w:t>
      </w:r>
      <w:r w:rsidR="00ED52FF">
        <w:t xml:space="preserve">years </w:t>
      </w:r>
      <w:r w:rsidR="00C81AA2" w:rsidRPr="003C383A">
        <w:t xml:space="preserve">at the time of </w:t>
      </w:r>
      <w:r w:rsidR="000C041E">
        <w:t xml:space="preserve">the </w:t>
      </w:r>
      <w:r w:rsidR="00C81AA2" w:rsidRPr="003C383A">
        <w:t>survey on dummies for course</w:t>
      </w:r>
      <w:r w:rsidR="00C176A8">
        <w:t xml:space="preserve"> level and field of </w:t>
      </w:r>
      <w:r w:rsidR="00C81AA2">
        <w:t>education</w:t>
      </w:r>
      <w:r w:rsidR="00C81AA2" w:rsidRPr="003C383A">
        <w:t xml:space="preserve"> combinations</w:t>
      </w:r>
      <w:r w:rsidR="00C81AA2">
        <w:t>, controlling for student characteristics. Student characteristics include gender, full-time/part-time employment, labour force status prior to study, prior education qualifications, disability status and socio-demographic factors. The coefficients on the dummy variables are</w:t>
      </w:r>
      <w:r w:rsidR="00C81AA2" w:rsidRPr="003C383A">
        <w:t xml:space="preserve"> interpreted as the average return for different course choices, conditional upon observed student controls</w:t>
      </w:r>
      <w:r w:rsidR="00C81AA2">
        <w:t>,</w:t>
      </w:r>
      <w:r w:rsidR="00C81AA2" w:rsidRPr="003C383A">
        <w:t xml:space="preserve"> and on finding employment in the year after study.</w:t>
      </w:r>
    </w:p>
    <w:p w:rsidR="00D2237C" w:rsidRDefault="00D2237C" w:rsidP="008456DB">
      <w:pPr>
        <w:pStyle w:val="Heading2"/>
      </w:pPr>
      <w:bookmarkStart w:id="62" w:name="_Toc438209980"/>
      <w:bookmarkStart w:id="63" w:name="_Toc472517005"/>
      <w:r>
        <w:t>Difference-in-differences estimation</w:t>
      </w:r>
      <w:bookmarkEnd w:id="62"/>
      <w:bookmarkEnd w:id="63"/>
    </w:p>
    <w:p w:rsidR="00D2237C" w:rsidRDefault="00D2237C" w:rsidP="008456DB">
      <w:pPr>
        <w:pStyle w:val="Text"/>
      </w:pPr>
      <w:r>
        <w:t xml:space="preserve">The analysis focuses upon </w:t>
      </w:r>
      <w:r w:rsidR="00722F2F">
        <w:t>pre</w:t>
      </w:r>
      <w:r w:rsidR="00C176A8">
        <w:t>-</w:t>
      </w:r>
      <w:r w:rsidR="00722F2F">
        <w:t xml:space="preserve"> (Janu</w:t>
      </w:r>
      <w:r w:rsidR="00ED52FF">
        <w:t xml:space="preserve">ary 2006 to </w:t>
      </w:r>
      <w:r w:rsidR="00722F2F">
        <w:t>December 2008</w:t>
      </w:r>
      <w:r w:rsidR="00ED52FF">
        <w:t xml:space="preserve">) and post-reform (January 2011 to </w:t>
      </w:r>
      <w:r w:rsidR="00722F2F">
        <w:t xml:space="preserve">June 2012) changes in </w:t>
      </w:r>
      <w:r>
        <w:t xml:space="preserve">VET enrolments observed </w:t>
      </w:r>
      <w:r w:rsidRPr="00450D97">
        <w:t>for</w:t>
      </w:r>
      <w:r>
        <w:t xml:space="preserve"> Victoria. The basic methodology that we employ is designed to distinguish </w:t>
      </w:r>
      <w:r w:rsidR="00C176A8">
        <w:t xml:space="preserve">the </w:t>
      </w:r>
      <w:r w:rsidR="00722F2F">
        <w:t>changes</w:t>
      </w:r>
      <w:r>
        <w:t xml:space="preserve"> attributable to the </w:t>
      </w:r>
      <w:r w:rsidR="00ED52FF">
        <w:t>Victorian Training Guarantee</w:t>
      </w:r>
      <w:r>
        <w:t xml:space="preserve"> from </w:t>
      </w:r>
      <w:r w:rsidR="00722F2F">
        <w:t xml:space="preserve">changes </w:t>
      </w:r>
      <w:r>
        <w:t xml:space="preserve">attributable to other contemporaneous variation during the sample period by comparing statistics for Victoria against those for the rest of Australia. The basic underlying assumption of this analytical approach is that, in the absence of the </w:t>
      </w:r>
      <w:r w:rsidR="00CF63F6">
        <w:t xml:space="preserve">Victorian </w:t>
      </w:r>
      <w:r w:rsidR="00ED52FF">
        <w:t>Training Guarantee</w:t>
      </w:r>
      <w:r>
        <w:t>, course enrolments in Victoria would have followed similar trends to the rest of Australia, where traditional supply-driven funding models continued to apply.</w:t>
      </w:r>
      <w:r w:rsidRPr="00E31702">
        <w:t xml:space="preserve"> </w:t>
      </w:r>
    </w:p>
    <w:p w:rsidR="008456DB" w:rsidRDefault="00ED52FF" w:rsidP="008456DB">
      <w:pPr>
        <w:pStyle w:val="Text"/>
      </w:pPr>
      <w:r>
        <w:t>The approach is employed,</w:t>
      </w:r>
      <w:r w:rsidR="00D2237C">
        <w:t xml:space="preserve"> and which is briefly outlined above, is referred to as a Difference-in-Differences, </w:t>
      </w:r>
      <w:proofErr w:type="spellStart"/>
      <w:r w:rsidR="00D2237C">
        <w:t>DiD</w:t>
      </w:r>
      <w:proofErr w:type="spellEnd"/>
      <w:r w:rsidR="00D2237C">
        <w:t xml:space="preserve">, analysis. It is a common approach for government </w:t>
      </w:r>
      <w:r w:rsidR="00D2237C" w:rsidRPr="00741661">
        <w:t>program evaluation</w:t>
      </w:r>
      <w:r w:rsidR="00D2237C">
        <w:t>s</w:t>
      </w:r>
      <w:r w:rsidR="00D2237C" w:rsidRPr="00741661">
        <w:t xml:space="preserve"> (see</w:t>
      </w:r>
      <w:r>
        <w:t>,</w:t>
      </w:r>
      <w:r w:rsidR="00D2237C" w:rsidRPr="00741661">
        <w:t xml:space="preserve"> for example</w:t>
      </w:r>
      <w:r>
        <w:t>,</w:t>
      </w:r>
      <w:r w:rsidR="00D2237C" w:rsidRPr="00741661">
        <w:t xml:space="preserve"> Blundell </w:t>
      </w:r>
      <w:r w:rsidR="00FC0DC6">
        <w:t>&amp;</w:t>
      </w:r>
      <w:r w:rsidR="00D2237C" w:rsidRPr="00741661">
        <w:t xml:space="preserve"> Costa Dias 2009</w:t>
      </w:r>
      <w:r w:rsidR="00D2237C">
        <w:t>,</w:t>
      </w:r>
      <w:r w:rsidR="00D2237C" w:rsidRPr="00741661">
        <w:t xml:space="preserve"> for a review).</w:t>
      </w:r>
      <w:r w:rsidR="00D2237C">
        <w:t xml:space="preserve"> This approach is designed to exploit </w:t>
      </w:r>
      <w:r w:rsidR="006C74DA">
        <w:t>natural experiments where there is a change in the policy setting of an affected group, but none in another</w:t>
      </w:r>
      <w:r>
        <w:t>,</w:t>
      </w:r>
      <w:r w:rsidR="006C74DA">
        <w:t xml:space="preserve"> due to factors that are not related to the outcomes of interest</w:t>
      </w:r>
      <w:r w:rsidR="00D2237C" w:rsidRPr="00F80607">
        <w:t>.</w:t>
      </w:r>
      <w:r w:rsidR="00D2237C">
        <w:t xml:space="preserve"> </w:t>
      </w:r>
      <w:r w:rsidR="006C74DA">
        <w:t xml:space="preserve">In this setting, the </w:t>
      </w:r>
      <w:r w:rsidR="00102349">
        <w:t xml:space="preserve">variation in treatment </w:t>
      </w:r>
      <w:r w:rsidR="006C74DA">
        <w:t xml:space="preserve">is related to the implementation of reforms in Victoria ahead of those in other states. </w:t>
      </w:r>
    </w:p>
    <w:p w:rsidR="008456DB" w:rsidRDefault="008456DB">
      <w:pPr>
        <w:spacing w:before="0" w:line="240" w:lineRule="auto"/>
      </w:pPr>
      <w:r>
        <w:br w:type="page"/>
      </w:r>
    </w:p>
    <w:p w:rsidR="00D2237C" w:rsidRDefault="00D2237C" w:rsidP="008456DB">
      <w:pPr>
        <w:pStyle w:val="Text"/>
      </w:pPr>
      <w:r>
        <w:lastRenderedPageBreak/>
        <w:t xml:space="preserve">The standard unconditional </w:t>
      </w:r>
      <w:proofErr w:type="spellStart"/>
      <w:proofErr w:type="gramStart"/>
      <w:r>
        <w:t>DiD</w:t>
      </w:r>
      <w:proofErr w:type="spellEnd"/>
      <w:proofErr w:type="gramEnd"/>
      <w:r>
        <w:t xml:space="preserve"> model is represented by:</w:t>
      </w:r>
    </w:p>
    <w:p w:rsidR="00D2237C" w:rsidRPr="00946B71" w:rsidRDefault="00EC0547" w:rsidP="0037479E">
      <w:pPr>
        <w:pStyle w:val="Text"/>
        <w:tabs>
          <w:tab w:val="left" w:pos="7371"/>
        </w:tabs>
        <w:ind w:firstLine="1418"/>
      </w:pPr>
      <m:oMath>
        <m:sSub>
          <m:sSubPr>
            <m:ctrlPr>
              <w:rPr>
                <w:rFonts w:ascii="Cambria Math" w:eastAsia="Calibri" w:hAnsi="Cambria Math"/>
                <w:i/>
                <w:szCs w:val="22"/>
              </w:rPr>
            </m:ctrlPr>
          </m:sSubPr>
          <m:e>
            <m:r>
              <w:rPr>
                <w:rFonts w:ascii="Cambria Math" w:hAnsi="Cambria Math"/>
              </w:rPr>
              <m:t>y</m:t>
            </m:r>
          </m:e>
          <m:sub>
            <m:r>
              <w:rPr>
                <w:rFonts w:ascii="Cambria Math" w:hAnsi="Cambria Math"/>
              </w:rPr>
              <m:t>i</m:t>
            </m:r>
          </m:sub>
        </m:sSub>
        <m:r>
          <w:rPr>
            <w:rFonts w:ascii="Cambria Math" w:hAnsi="Cambria Math"/>
          </w:rPr>
          <m:t>=α+</m:t>
        </m:r>
        <m:sSub>
          <m:sSubPr>
            <m:ctrlPr>
              <w:rPr>
                <w:rFonts w:ascii="Cambria Math" w:eastAsia="Calibri" w:hAnsi="Cambria Math"/>
                <w:i/>
                <w:szCs w:val="22"/>
              </w:rPr>
            </m:ctrlPr>
          </m:sSubPr>
          <m:e>
            <m:r>
              <w:rPr>
                <w:rFonts w:ascii="Cambria Math" w:hAnsi="Cambria Math"/>
              </w:rPr>
              <m:t>γVic</m:t>
            </m:r>
          </m:e>
          <m:sub>
            <m:r>
              <w:rPr>
                <w:rFonts w:ascii="Cambria Math" w:hAnsi="Cambria Math"/>
              </w:rPr>
              <m:t>i</m:t>
            </m:r>
          </m:sub>
        </m:sSub>
        <m:r>
          <w:rPr>
            <w:rFonts w:ascii="Cambria Math" w:hAnsi="Cambria Math"/>
          </w:rPr>
          <m:t>+λ</m:t>
        </m:r>
        <m:sSub>
          <m:sSubPr>
            <m:ctrlPr>
              <w:rPr>
                <w:rFonts w:ascii="Cambria Math" w:eastAsia="Calibri" w:hAnsi="Cambria Math"/>
                <w:i/>
                <w:szCs w:val="22"/>
              </w:rPr>
            </m:ctrlPr>
          </m:sSubPr>
          <m:e>
            <m:r>
              <w:rPr>
                <w:rFonts w:ascii="Cambria Math" w:hAnsi="Cambria Math"/>
              </w:rPr>
              <m:t>Post</m:t>
            </m:r>
          </m:e>
          <m:sub>
            <m:r>
              <w:rPr>
                <w:rFonts w:ascii="Cambria Math" w:hAnsi="Cambria Math"/>
              </w:rPr>
              <m:t>i</m:t>
            </m:r>
          </m:sub>
        </m:sSub>
        <m:r>
          <w:rPr>
            <w:rFonts w:ascii="Cambria Math" w:hAnsi="Cambria Math"/>
          </w:rPr>
          <m:t>+δ</m:t>
        </m:r>
        <m:sSub>
          <m:sSubPr>
            <m:ctrlPr>
              <w:rPr>
                <w:rFonts w:ascii="Cambria Math" w:eastAsia="Calibri" w:hAnsi="Cambria Math"/>
                <w:i/>
                <w:szCs w:val="22"/>
              </w:rPr>
            </m:ctrlPr>
          </m:sSubPr>
          <m:e>
            <m:r>
              <w:rPr>
                <w:rFonts w:ascii="Cambria Math" w:hAnsi="Cambria Math"/>
              </w:rPr>
              <m:t>Vic*Post</m:t>
            </m:r>
          </m:e>
          <m:sub>
            <m:r>
              <w:rPr>
                <w:rFonts w:ascii="Cambria Math" w:hAnsi="Cambria Math"/>
              </w:rPr>
              <m:t>i</m:t>
            </m:r>
          </m:sub>
        </m:sSub>
        <m:sSub>
          <m:sSubPr>
            <m:ctrlPr>
              <w:rPr>
                <w:rFonts w:ascii="Cambria Math" w:eastAsia="Calibri" w:hAnsi="Cambria Math"/>
                <w:i/>
                <w:szCs w:val="22"/>
              </w:rPr>
            </m:ctrlPr>
          </m:sSubPr>
          <m:e>
            <m:r>
              <w:rPr>
                <w:rFonts w:ascii="Cambria Math" w:hAnsi="Cambria Math"/>
              </w:rPr>
              <m:t>+u</m:t>
            </m:r>
          </m:e>
          <m:sub>
            <m:r>
              <w:rPr>
                <w:rFonts w:ascii="Cambria Math" w:hAnsi="Cambria Math"/>
              </w:rPr>
              <m:t>i</m:t>
            </m:r>
          </m:sub>
        </m:sSub>
      </m:oMath>
      <w:r w:rsidR="00D2237C">
        <w:rPr>
          <w:szCs w:val="22"/>
        </w:rPr>
        <w:t xml:space="preserve"> </w:t>
      </w:r>
      <w:r w:rsidR="00D2237C">
        <w:rPr>
          <w:szCs w:val="22"/>
        </w:rPr>
        <w:tab/>
        <w:t>(1)</w:t>
      </w:r>
    </w:p>
    <w:p w:rsidR="00D2237C" w:rsidRPr="00964A5E" w:rsidRDefault="00D2237C" w:rsidP="00ED52FF">
      <w:pPr>
        <w:pStyle w:val="Text"/>
        <w:rPr>
          <w:szCs w:val="22"/>
        </w:rPr>
      </w:pPr>
      <w:proofErr w:type="gramStart"/>
      <w:r>
        <w:t>w</w:t>
      </w:r>
      <w:r w:rsidRPr="00F24EC4">
        <w:t>here</w:t>
      </w:r>
      <w:proofErr w:type="gramEnd"/>
      <w:r>
        <w:t xml:space="preserve"> </w:t>
      </w:r>
      <m:oMath>
        <m:sSub>
          <m:sSubPr>
            <m:ctrlPr>
              <w:rPr>
                <w:rFonts w:ascii="Cambria Math" w:eastAsia="Calibri" w:hAnsi="Cambria Math"/>
                <w:i/>
                <w:szCs w:val="22"/>
              </w:rPr>
            </m:ctrlPr>
          </m:sSubPr>
          <m:e>
            <m:r>
              <w:rPr>
                <w:rFonts w:ascii="Cambria Math" w:hAnsi="Cambria Math"/>
              </w:rPr>
              <m:t>y</m:t>
            </m:r>
          </m:e>
          <m:sub>
            <m:r>
              <w:rPr>
                <w:rFonts w:ascii="Cambria Math" w:hAnsi="Cambria Math"/>
              </w:rPr>
              <m:t>i</m:t>
            </m:r>
          </m:sub>
        </m:sSub>
      </m:oMath>
      <w:r>
        <w:t xml:space="preserve"> </w:t>
      </w:r>
      <w:r w:rsidRPr="00F24EC4">
        <w:t xml:space="preserve">denotes the </w:t>
      </w:r>
      <w:r>
        <w:t xml:space="preserve">considered enrolment metric of </w:t>
      </w:r>
      <w:r w:rsidRPr="00F24EC4">
        <w:t xml:space="preserve">individual </w:t>
      </w:r>
      <w:proofErr w:type="spellStart"/>
      <w:r w:rsidRPr="00F24EC4">
        <w:t>i</w:t>
      </w:r>
      <w:proofErr w:type="spellEnd"/>
      <w:r>
        <w:t xml:space="preserve">. This is either the decision to enrol; the choice of a course on the national skill shortage list; or the estimated wage premium of a chosen course. </w:t>
      </w:r>
      <m:oMath>
        <m:r>
          <w:rPr>
            <w:rFonts w:ascii="Cambria Math" w:eastAsia="Calibri" w:hAnsi="Cambria Math"/>
            <w:szCs w:val="22"/>
          </w:rPr>
          <m:t>α</m:t>
        </m:r>
      </m:oMath>
      <w:r>
        <w:t xml:space="preserve"> is a constant,</w:t>
      </w:r>
      <m:oMath>
        <m:r>
          <w:rPr>
            <w:rFonts w:ascii="Cambria Math" w:hAnsi="Cambria Math"/>
          </w:rPr>
          <m:t xml:space="preserve"> Vic</m:t>
        </m:r>
      </m:oMath>
      <w:r w:rsidRPr="00F24EC4">
        <w:t xml:space="preserve"> is a dummy variable taking the value 1 if the individual’s enrolm</w:t>
      </w:r>
      <w:r>
        <w:t>ent was in Victoria and 0 if in the rest of Australia;</w:t>
      </w:r>
      <w:r w:rsidRPr="00F24EC4">
        <w:t xml:space="preserve"> </w:t>
      </w:r>
      <w:r w:rsidRPr="00554368">
        <w:rPr>
          <w:position w:val="-12"/>
        </w:rPr>
        <w:object w:dxaOrig="480" w:dyaOrig="360">
          <v:shape id="_x0000_i1033" type="#_x0000_t75" style="width:22.4pt;height:18.35pt" o:ole="">
            <v:imagedata r:id="rId52" o:title=""/>
          </v:shape>
          <o:OLEObject Type="Embed" ProgID="Equation.DSMT4" ShapeID="_x0000_i1033" DrawAspect="Content" ObjectID="_1547365761" r:id="rId53"/>
        </w:object>
      </w:r>
      <w:r w:rsidRPr="00F24EC4">
        <w:t xml:space="preserve">is a dummy taking the value 1 if the individual entered VET post-reform </w:t>
      </w:r>
      <w:r>
        <w:t xml:space="preserve">and 0 pre-reform; and </w:t>
      </w:r>
      <w:r>
        <w:rPr>
          <w:i/>
        </w:rPr>
        <w:t>u</w:t>
      </w:r>
      <w:r>
        <w:t xml:space="preserve"> is a residual.</w:t>
      </w:r>
    </w:p>
    <w:p w:rsidR="00D2237C" w:rsidRDefault="00D2237C" w:rsidP="00D2237C">
      <w:pPr>
        <w:pStyle w:val="Text"/>
      </w:pPr>
      <w:r w:rsidRPr="00F24EC4">
        <w:t>The parameter</w:t>
      </w:r>
      <w:r>
        <w:t xml:space="preserve"> δ is commonly refe</w:t>
      </w:r>
      <w:r w:rsidR="00ED52FF">
        <w:t>rred to as the treatment effect</w:t>
      </w:r>
      <w:r>
        <w:t xml:space="preserve"> and</w:t>
      </w:r>
      <w:r w:rsidR="00ED52FF">
        <w:t xml:space="preserve"> it</w:t>
      </w:r>
      <w:r>
        <w:t xml:space="preserve"> </w:t>
      </w:r>
      <w:r w:rsidRPr="00F24EC4">
        <w:t xml:space="preserve">measures the </w:t>
      </w:r>
      <w:r>
        <w:t xml:space="preserve">change in Victorian outcomes from pre- to post-reform, over and above the post-reform trends reported for the rest of Australia. This coefficient is the focus of our interest, and is interpreted as the effect of the </w:t>
      </w:r>
      <w:r w:rsidR="00CF63F6">
        <w:t xml:space="preserve">Victorian </w:t>
      </w:r>
      <w:r w:rsidR="00ED52FF">
        <w:t>Training Guarantee</w:t>
      </w:r>
      <w:r>
        <w:t>, controlling for contemporaneous variation in the economic environment</w:t>
      </w:r>
      <w:r w:rsidRPr="00F24EC4">
        <w:t xml:space="preserve">. </w:t>
      </w:r>
      <w:r>
        <w:t xml:space="preserve">All regression tables report the (marginal) effects represented by δ as percentages. Equation (1) is used to explore the effects of the </w:t>
      </w:r>
      <w:r w:rsidR="00CF63F6">
        <w:t xml:space="preserve">Victorian </w:t>
      </w:r>
      <w:r w:rsidR="00ED52FF">
        <w:t>Training Guarantee</w:t>
      </w:r>
      <w:r>
        <w:t xml:space="preserve"> on VET enrolment rates. It is unconditional</w:t>
      </w:r>
      <w:r w:rsidR="00ED52FF">
        <w:t>,</w:t>
      </w:r>
      <w:r>
        <w:t xml:space="preserve"> in the sense that it is adapted to report population average effects on enrolment outcomes during the sample period. In the unconditional regression results for enrolment rates, </w:t>
      </w:r>
      <w:r w:rsidR="00C176A8">
        <w:t xml:space="preserve">the </w:t>
      </w:r>
      <w:r>
        <w:t>variances associated with these coefficients are trivial to evaluate.</w:t>
      </w:r>
      <w:r>
        <w:rPr>
          <w:rStyle w:val="FootnoteReference"/>
        </w:rPr>
        <w:footnoteReference w:id="16"/>
      </w:r>
      <w:r w:rsidRPr="00340EA8">
        <w:t xml:space="preserve"> </w:t>
      </w:r>
      <w:r>
        <w:t xml:space="preserve">The </w:t>
      </w:r>
      <w:r w:rsidR="00801415">
        <w:t>National VET Provider Collection</w:t>
      </w:r>
      <w:r>
        <w:t xml:space="preserve"> administrative dataset ostensibly reports information for the entire </w:t>
      </w:r>
      <w:r w:rsidR="005700C3">
        <w:t xml:space="preserve">government-funded VET student </w:t>
      </w:r>
      <w:r>
        <w:t>population, omitting fee-for-service courses offered by private providers</w:t>
      </w:r>
      <w:r w:rsidR="00C176A8">
        <w:t>. Similarly, the 2006 and 2011 c</w:t>
      </w:r>
      <w:r>
        <w:t>ensus datasets report information for the full A</w:t>
      </w:r>
      <w:r w:rsidR="00ED52FF">
        <w:t>ustralian population</w:t>
      </w:r>
      <w:r w:rsidR="00823507">
        <w:t>. (F</w:t>
      </w:r>
      <w:r w:rsidR="00ED52FF">
        <w:t>ull data</w:t>
      </w:r>
      <w:r>
        <w:t xml:space="preserve">sets for each census were accessed via </w:t>
      </w:r>
      <w:proofErr w:type="spellStart"/>
      <w:r>
        <w:t>TableBuilder</w:t>
      </w:r>
      <w:proofErr w:type="spellEnd"/>
      <w:r>
        <w:t xml:space="preserve"> Pro</w:t>
      </w:r>
      <w:r w:rsidR="00823507">
        <w:t>.)</w:t>
      </w:r>
      <w:r>
        <w:t xml:space="preserve"> The aggregates calculated using these data sources are therefore appropriately c</w:t>
      </w:r>
      <w:r w:rsidR="00610FC3">
        <w:t>onsidered population statistics</w:t>
      </w:r>
      <w:r>
        <w:t xml:space="preserve"> and are not subject to the usual concerns associated with random sampling.</w:t>
      </w:r>
      <w:r>
        <w:rPr>
          <w:rStyle w:val="FootnoteReference"/>
        </w:rPr>
        <w:footnoteReference w:id="17"/>
      </w:r>
    </w:p>
    <w:p w:rsidR="00D2237C" w:rsidRPr="00DF5203" w:rsidRDefault="00D2237C" w:rsidP="00D2237C">
      <w:pPr>
        <w:pStyle w:val="Text"/>
        <w:rPr>
          <w:szCs w:val="22"/>
        </w:rPr>
      </w:pPr>
      <w:r>
        <w:t xml:space="preserve">Combining census population numbers with </w:t>
      </w:r>
      <w:r w:rsidR="00610FC3">
        <w:t xml:space="preserve">the </w:t>
      </w:r>
      <w:r>
        <w:t xml:space="preserve">student numbers reported by the </w:t>
      </w:r>
      <w:r w:rsidR="00801415">
        <w:t>National VET Provider Collection</w:t>
      </w:r>
      <w:r>
        <w:t xml:space="preserve"> limits our analysis of enrolment rates to statistics that can be computed using simple cross-tabulations. In contrast, we are able to take advantage of greater flexibility for our empirical examination of course choices. Access to extensive micro-data permit estimation of the following extension of equation (1) for course choice: </w:t>
      </w:r>
    </w:p>
    <w:p w:rsidR="00D2237C" w:rsidRPr="00946B71" w:rsidRDefault="00EC0547" w:rsidP="00CD54AF">
      <w:pPr>
        <w:pStyle w:val="Text"/>
        <w:spacing w:after="240"/>
      </w:pPr>
      <m:oMath>
        <m:sSub>
          <m:sSubPr>
            <m:ctrlPr>
              <w:rPr>
                <w:rFonts w:ascii="Cambria Math" w:eastAsia="Calibri" w:hAnsi="Cambria Math"/>
                <w:i/>
                <w:szCs w:val="22"/>
              </w:rPr>
            </m:ctrlPr>
          </m:sSubPr>
          <m:e>
            <m:r>
              <w:rPr>
                <w:rFonts w:ascii="Cambria Math" w:hAnsi="Cambria Math"/>
              </w:rPr>
              <m:t>y</m:t>
            </m:r>
          </m:e>
          <m:sub>
            <m:r>
              <w:rPr>
                <w:rFonts w:ascii="Cambria Math" w:hAnsi="Cambria Math"/>
              </w:rPr>
              <m:t>i</m:t>
            </m:r>
          </m:sub>
        </m:sSub>
        <m:r>
          <w:rPr>
            <w:rFonts w:ascii="Cambria Math" w:hAnsi="Cambria Math"/>
          </w:rPr>
          <m:t>=α+</m:t>
        </m:r>
        <m:sSub>
          <m:sSubPr>
            <m:ctrlPr>
              <w:rPr>
                <w:rFonts w:ascii="Cambria Math" w:eastAsia="Calibri" w:hAnsi="Cambria Math"/>
                <w:i/>
                <w:szCs w:val="22"/>
              </w:rPr>
            </m:ctrlPr>
          </m:sSubPr>
          <m:e>
            <m:r>
              <w:rPr>
                <w:rFonts w:ascii="Cambria Math" w:hAnsi="Cambria Math"/>
              </w:rPr>
              <m:t>γVic</m:t>
            </m:r>
          </m:e>
          <m:sub>
            <m:r>
              <w:rPr>
                <w:rFonts w:ascii="Cambria Math" w:hAnsi="Cambria Math"/>
              </w:rPr>
              <m:t>i</m:t>
            </m:r>
          </m:sub>
        </m:sSub>
        <m:r>
          <w:rPr>
            <w:rFonts w:ascii="Cambria Math" w:hAnsi="Cambria Math"/>
          </w:rPr>
          <m:t>+λ</m:t>
        </m:r>
        <m:sSub>
          <m:sSubPr>
            <m:ctrlPr>
              <w:rPr>
                <w:rFonts w:ascii="Cambria Math" w:eastAsia="Calibri" w:hAnsi="Cambria Math"/>
                <w:i/>
                <w:szCs w:val="22"/>
              </w:rPr>
            </m:ctrlPr>
          </m:sSubPr>
          <m:e>
            <m:r>
              <w:rPr>
                <w:rFonts w:ascii="Cambria Math" w:hAnsi="Cambria Math"/>
              </w:rPr>
              <m:t>Year</m:t>
            </m:r>
          </m:e>
          <m:sub>
            <m:r>
              <w:rPr>
                <w:rFonts w:ascii="Cambria Math" w:hAnsi="Cambria Math"/>
              </w:rPr>
              <m:t>i</m:t>
            </m:r>
          </m:sub>
        </m:sSub>
        <m:r>
          <w:rPr>
            <w:rFonts w:ascii="Cambria Math" w:hAnsi="Cambria Math"/>
          </w:rPr>
          <m:t>+</m:t>
        </m:r>
        <m:r>
          <w:rPr>
            <w:rFonts w:ascii="Cambria Math" w:eastAsia="Calibri" w:hAnsi="Cambria Math"/>
            <w:szCs w:val="22"/>
          </w:rPr>
          <m:t>π</m:t>
        </m:r>
        <m:sSub>
          <m:sSubPr>
            <m:ctrlPr>
              <w:rPr>
                <w:rFonts w:ascii="Cambria Math" w:eastAsia="Calibri" w:hAnsi="Cambria Math"/>
                <w:i/>
                <w:szCs w:val="22"/>
              </w:rPr>
            </m:ctrlPr>
          </m:sSubPr>
          <m:e>
            <m:r>
              <w:rPr>
                <w:rFonts w:ascii="Cambria Math" w:eastAsia="Calibri" w:hAnsi="Cambria Math"/>
                <w:szCs w:val="22"/>
              </w:rPr>
              <m:t>Month</m:t>
            </m:r>
          </m:e>
          <m:sub>
            <m:r>
              <w:rPr>
                <w:rFonts w:ascii="Cambria Math" w:eastAsia="Calibri" w:hAnsi="Cambria Math"/>
                <w:szCs w:val="22"/>
              </w:rPr>
              <m:t>i</m:t>
            </m:r>
          </m:sub>
        </m:sSub>
        <m:r>
          <w:rPr>
            <w:rFonts w:ascii="Cambria Math" w:hAnsi="Cambria Math"/>
          </w:rPr>
          <m:t>+δ</m:t>
        </m:r>
        <m:sSub>
          <m:sSubPr>
            <m:ctrlPr>
              <w:rPr>
                <w:rFonts w:ascii="Cambria Math" w:eastAsia="Calibri" w:hAnsi="Cambria Math"/>
                <w:i/>
                <w:szCs w:val="22"/>
              </w:rPr>
            </m:ctrlPr>
          </m:sSubPr>
          <m:e>
            <m:r>
              <w:rPr>
                <w:rFonts w:ascii="Cambria Math" w:hAnsi="Cambria Math"/>
              </w:rPr>
              <m:t>Vic*Post</m:t>
            </m:r>
          </m:e>
          <m:sub>
            <m:r>
              <w:rPr>
                <w:rFonts w:ascii="Cambria Math" w:hAnsi="Cambria Math"/>
              </w:rPr>
              <m:t>i</m:t>
            </m:r>
          </m:sub>
        </m:sSub>
        <m:r>
          <w:rPr>
            <w:rFonts w:ascii="Cambria Math" w:hAnsi="Cambria Math"/>
          </w:rPr>
          <m:t>+θ</m:t>
        </m:r>
        <m:sSubSup>
          <m:sSubSupPr>
            <m:ctrlPr>
              <w:rPr>
                <w:rFonts w:ascii="Cambria Math" w:eastAsia="Calibri" w:hAnsi="Cambria Math"/>
                <w:i/>
                <w:szCs w:val="22"/>
              </w:rPr>
            </m:ctrlPr>
          </m:sSubSupPr>
          <m:e>
            <m:r>
              <w:rPr>
                <w:rFonts w:ascii="Cambria Math" w:eastAsia="Calibri" w:hAnsi="Cambria Math"/>
                <w:szCs w:val="22"/>
              </w:rPr>
              <m:t>t</m:t>
            </m:r>
          </m:e>
          <m:sub>
            <m:r>
              <w:rPr>
                <w:rFonts w:ascii="Cambria Math" w:eastAsia="Calibri" w:hAnsi="Cambria Math"/>
                <w:szCs w:val="22"/>
              </w:rPr>
              <m:t>i</m:t>
            </m:r>
          </m:sub>
          <m:sup>
            <m:r>
              <w:rPr>
                <w:rFonts w:ascii="Cambria Math" w:eastAsia="Calibri" w:hAnsi="Cambria Math"/>
                <w:szCs w:val="22"/>
              </w:rPr>
              <m:t>s</m:t>
            </m:r>
          </m:sup>
        </m:sSubSup>
        <m:r>
          <w:rPr>
            <w:rFonts w:ascii="Cambria Math" w:eastAsia="Calibri" w:hAnsi="Cambria Math"/>
            <w:szCs w:val="22"/>
          </w:rPr>
          <m:t>+ω</m:t>
        </m:r>
        <m:sSub>
          <m:sSubPr>
            <m:ctrlPr>
              <w:rPr>
                <w:rFonts w:ascii="Cambria Math" w:eastAsia="Calibri" w:hAnsi="Cambria Math"/>
                <w:i/>
                <w:szCs w:val="22"/>
              </w:rPr>
            </m:ctrlPr>
          </m:sSubPr>
          <m:e>
            <m:sSub>
              <m:sSubPr>
                <m:ctrlPr>
                  <w:rPr>
                    <w:rFonts w:ascii="Cambria Math" w:hAnsi="Cambria Math"/>
                    <w:i/>
                  </w:rPr>
                </m:ctrlPr>
              </m:sSubPr>
              <m:e>
                <m:r>
                  <w:rPr>
                    <w:rFonts w:ascii="Cambria Math" w:hAnsi="Cambria Math"/>
                  </w:rPr>
                  <m:t>INT</m:t>
                </m:r>
              </m:e>
              <m:sub>
                <m:r>
                  <w:rPr>
                    <w:rFonts w:ascii="Cambria Math" w:hAnsi="Cambria Math"/>
                  </w:rPr>
                  <m:t>i</m:t>
                </m:r>
              </m:sub>
            </m:sSub>
            <m:r>
              <w:rPr>
                <w:rFonts w:ascii="Cambria Math" w:hAnsi="Cambria Math"/>
              </w:rPr>
              <m:t>+β</m:t>
            </m:r>
            <m:sSub>
              <m:sSubPr>
                <m:ctrlPr>
                  <w:rPr>
                    <w:rFonts w:ascii="Cambria Math" w:hAnsi="Cambria Math"/>
                    <w:i/>
                  </w:rPr>
                </m:ctrlPr>
              </m:sSubPr>
              <m:e>
                <m:r>
                  <w:rPr>
                    <w:rFonts w:ascii="Cambria Math" w:hAnsi="Cambria Math"/>
                  </w:rPr>
                  <m:t>UN</m:t>
                </m:r>
              </m:e>
              <m:sub>
                <m:r>
                  <w:rPr>
                    <w:rFonts w:ascii="Cambria Math" w:hAnsi="Cambria Math"/>
                  </w:rPr>
                  <m:t>i</m:t>
                </m:r>
              </m:sub>
            </m:sSub>
            <m:r>
              <w:rPr>
                <w:rFonts w:ascii="Cambria Math" w:hAnsi="Cambria Math"/>
              </w:rPr>
              <m:t>+u</m:t>
            </m:r>
          </m:e>
          <m:sub>
            <m:r>
              <w:rPr>
                <w:rFonts w:ascii="Cambria Math" w:hAnsi="Cambria Math"/>
              </w:rPr>
              <m:t>i</m:t>
            </m:r>
          </m:sub>
        </m:sSub>
      </m:oMath>
      <w:r w:rsidR="00D2237C">
        <w:rPr>
          <w:szCs w:val="22"/>
        </w:rPr>
        <w:t xml:space="preserve"> </w:t>
      </w:r>
      <w:r w:rsidR="00D2237C">
        <w:rPr>
          <w:szCs w:val="22"/>
        </w:rPr>
        <w:tab/>
      </w:r>
      <w:r w:rsidR="00D2237C">
        <w:rPr>
          <w:szCs w:val="22"/>
        </w:rPr>
        <w:tab/>
        <w:t>(2)</w:t>
      </w:r>
    </w:p>
    <w:p w:rsidR="00D2237C" w:rsidRPr="00B70E6B" w:rsidRDefault="00D2237C" w:rsidP="003B122F">
      <w:pPr>
        <w:pStyle w:val="Text"/>
        <w:spacing w:before="0"/>
      </w:pPr>
      <w:r>
        <w:t>where</w:t>
      </w:r>
      <w:r w:rsidRPr="00F24EC4">
        <w:t xml:space="preserve"> </w:t>
      </w:r>
      <m:oMath>
        <m:sSub>
          <m:sSubPr>
            <m:ctrlPr>
              <w:rPr>
                <w:rFonts w:ascii="Cambria Math" w:eastAsia="Calibri" w:hAnsi="Cambria Math"/>
                <w:i/>
                <w:szCs w:val="22"/>
              </w:rPr>
            </m:ctrlPr>
          </m:sSubPr>
          <m:e>
            <m:r>
              <w:rPr>
                <w:rFonts w:ascii="Cambria Math" w:hAnsi="Cambria Math"/>
              </w:rPr>
              <m:t>Year</m:t>
            </m:r>
          </m:e>
          <m:sub>
            <m:r>
              <w:rPr>
                <w:rFonts w:ascii="Cambria Math" w:hAnsi="Cambria Math"/>
              </w:rPr>
              <m:t>i</m:t>
            </m:r>
          </m:sub>
        </m:sSub>
      </m:oMath>
      <w:r>
        <w:rPr>
          <w:szCs w:val="22"/>
        </w:rPr>
        <w:t xml:space="preserve"> and </w:t>
      </w:r>
      <m:oMath>
        <m:sSub>
          <m:sSubPr>
            <m:ctrlPr>
              <w:rPr>
                <w:rFonts w:ascii="Cambria Math" w:eastAsia="Calibri" w:hAnsi="Cambria Math"/>
                <w:i/>
                <w:szCs w:val="22"/>
              </w:rPr>
            </m:ctrlPr>
          </m:sSubPr>
          <m:e>
            <m:r>
              <w:rPr>
                <w:rFonts w:ascii="Cambria Math" w:eastAsia="Calibri" w:hAnsi="Cambria Math"/>
                <w:szCs w:val="22"/>
              </w:rPr>
              <m:t>Month</m:t>
            </m:r>
          </m:e>
          <m:sub>
            <m:r>
              <w:rPr>
                <w:rFonts w:ascii="Cambria Math" w:eastAsia="Calibri" w:hAnsi="Cambria Math"/>
                <w:szCs w:val="22"/>
              </w:rPr>
              <m:t>i</m:t>
            </m:r>
          </m:sub>
        </m:sSub>
      </m:oMath>
      <w:r>
        <w:rPr>
          <w:szCs w:val="22"/>
        </w:rPr>
        <w:t xml:space="preserve"> are dummy variables representing the </w:t>
      </w:r>
      <w:r w:rsidR="00C176A8">
        <w:rPr>
          <w:szCs w:val="22"/>
        </w:rPr>
        <w:t>year and month of enrolment, which</w:t>
      </w:r>
      <w:r>
        <w:rPr>
          <w:szCs w:val="22"/>
        </w:rPr>
        <w:t xml:space="preserve"> is coded 1 if the enrolment is in a specific year </w:t>
      </w:r>
      <w:r w:rsidR="00823507">
        <w:rPr>
          <w:szCs w:val="22"/>
        </w:rPr>
        <w:t xml:space="preserve">and </w:t>
      </w:r>
      <w:r>
        <w:rPr>
          <w:szCs w:val="22"/>
        </w:rPr>
        <w:t xml:space="preserve">month combination and 0 otherwise; </w:t>
      </w:r>
      <m:oMath>
        <m:sSubSup>
          <m:sSubSupPr>
            <m:ctrlPr>
              <w:rPr>
                <w:rFonts w:ascii="Cambria Math" w:eastAsia="Calibri" w:hAnsi="Cambria Math"/>
                <w:i/>
                <w:szCs w:val="22"/>
              </w:rPr>
            </m:ctrlPr>
          </m:sSubSupPr>
          <m:e>
            <m:r>
              <w:rPr>
                <w:rFonts w:ascii="Cambria Math" w:eastAsia="Calibri" w:hAnsi="Cambria Math"/>
                <w:szCs w:val="22"/>
              </w:rPr>
              <m:t>t</m:t>
            </m:r>
          </m:e>
          <m:sub>
            <m:r>
              <w:rPr>
                <w:rFonts w:ascii="Cambria Math" w:eastAsia="Calibri" w:hAnsi="Cambria Math"/>
                <w:szCs w:val="22"/>
              </w:rPr>
              <m:t>i</m:t>
            </m:r>
          </m:sub>
          <m:sup>
            <m:r>
              <w:rPr>
                <w:rFonts w:ascii="Cambria Math" w:eastAsia="Calibri" w:hAnsi="Cambria Math"/>
                <w:szCs w:val="22"/>
              </w:rPr>
              <m:t>s</m:t>
            </m:r>
          </m:sup>
        </m:sSubSup>
      </m:oMath>
      <w:r>
        <w:t xml:space="preserve"> (coded 1, 2, 3, 4, 5 for 2006, 2007, 2008, 2011, 2012) is a state-specific linear time trend; </w:t>
      </w:r>
      <m:oMath>
        <m:sSub>
          <m:sSubPr>
            <m:ctrlPr>
              <w:rPr>
                <w:rFonts w:ascii="Cambria Math" w:hAnsi="Cambria Math"/>
                <w:i/>
              </w:rPr>
            </m:ctrlPr>
          </m:sSubPr>
          <m:e>
            <m:r>
              <w:rPr>
                <w:rFonts w:ascii="Cambria Math" w:hAnsi="Cambria Math"/>
              </w:rPr>
              <m:t>INT</m:t>
            </m:r>
          </m:e>
          <m:sub>
            <m:r>
              <w:rPr>
                <w:rFonts w:ascii="Cambria Math" w:hAnsi="Cambria Math"/>
              </w:rPr>
              <m:t>i</m:t>
            </m:r>
          </m:sub>
        </m:sSub>
      </m:oMath>
      <w:r>
        <w:t xml:space="preserve"> is an indicator of whether the state of the student’s residential address is different </w:t>
      </w:r>
      <w:r w:rsidR="00C176A8">
        <w:t>from</w:t>
      </w:r>
      <w:r>
        <w:t xml:space="preserve"> that in which they are studying; and </w:t>
      </w:r>
      <m:oMath>
        <m:sSub>
          <m:sSubPr>
            <m:ctrlPr>
              <w:rPr>
                <w:rFonts w:ascii="Cambria Math" w:hAnsi="Cambria Math"/>
                <w:i/>
              </w:rPr>
            </m:ctrlPr>
          </m:sSubPr>
          <m:e>
            <m:r>
              <w:rPr>
                <w:rFonts w:ascii="Cambria Math" w:hAnsi="Cambria Math"/>
              </w:rPr>
              <m:t>UN</m:t>
            </m:r>
          </m:e>
          <m:sub>
            <m:r>
              <w:rPr>
                <w:rFonts w:ascii="Cambria Math" w:hAnsi="Cambria Math"/>
              </w:rPr>
              <m:t>i</m:t>
            </m:r>
          </m:sub>
        </m:sSub>
      </m:oMath>
      <w:r>
        <w:t xml:space="preserve"> is a lagged unemployment rate (lagged because it is the prevailing rate at the time of enrolment) from the student’s </w:t>
      </w:r>
      <w:r>
        <w:lastRenderedPageBreak/>
        <w:t>statistical local area (SLA)</w:t>
      </w:r>
      <w:r w:rsidR="00271720">
        <w:t>.</w:t>
      </w:r>
      <w:r w:rsidR="003B122F">
        <w:rPr>
          <w:rStyle w:val="FootnoteReference"/>
        </w:rPr>
        <w:footnoteReference w:id="18"/>
      </w:r>
      <w:r>
        <w:t xml:space="preserve"> The month of enrolment dummy is added to control for any changes in the timing of enrolment on course choice that occurred over the period of analysis. Enrolments peak in January/February (start of the school year in Australia) and in July (start of the second semester), but can commence at any time of the year.</w:t>
      </w:r>
    </w:p>
    <w:p w:rsidR="00D2237C" w:rsidRDefault="00D2237C" w:rsidP="008456DB">
      <w:pPr>
        <w:pStyle w:val="Text"/>
      </w:pPr>
      <w:r>
        <w:t xml:space="preserve">A key assumption of the standard </w:t>
      </w:r>
      <w:proofErr w:type="spellStart"/>
      <w:r>
        <w:t>DiD</w:t>
      </w:r>
      <w:proofErr w:type="spellEnd"/>
      <w:r>
        <w:t xml:space="preserve"> approach is that, in the absence of the</w:t>
      </w:r>
      <w:r w:rsidR="00CF63F6">
        <w:t xml:space="preserve"> Victorian</w:t>
      </w:r>
      <w:r>
        <w:t xml:space="preserve"> </w:t>
      </w:r>
      <w:r w:rsidR="00610FC3">
        <w:t>Training Guarantee</w:t>
      </w:r>
      <w:r>
        <w:t>, course enrolments in Victoria would have followed the same post-reform trends as observed in the rest of Australia (the common trends assumption). In practice, there are</w:t>
      </w:r>
      <w:r w:rsidR="008456DB">
        <w:t xml:space="preserve"> </w:t>
      </w:r>
      <w:r>
        <w:t>likely to be many reasons to anticipate state-specific trends; for example, due to differences in state-level policies (especially related to VET) and economic fluctuations. The regression specification described by equation (2) is adapted to address this concern in four ways.</w:t>
      </w:r>
    </w:p>
    <w:p w:rsidR="00D2237C" w:rsidRDefault="00D2237C" w:rsidP="008456DB">
      <w:pPr>
        <w:pStyle w:val="Text"/>
      </w:pPr>
      <w:r>
        <w:t xml:space="preserve">First, our principal specifications use information from all other states as a control group, which avoids the risk that </w:t>
      </w:r>
      <w:r w:rsidR="00C176A8">
        <w:t xml:space="preserve">the </w:t>
      </w:r>
      <w:r>
        <w:t>results hinge on variation specific to any one state. We have conducted sensitivity analysis with respect</w:t>
      </w:r>
      <w:r w:rsidR="00610FC3">
        <w:t xml:space="preserve"> to the choice of control group</w:t>
      </w:r>
      <w:r>
        <w:t xml:space="preserve"> by generating similar results using only New South Wales as a counterfactual. This alternative, which is also considered for our analysis of enrolment rates, had no substantive impact on the res</w:t>
      </w:r>
      <w:r w:rsidR="00610FC3">
        <w:t>ults obtained; the</w:t>
      </w:r>
      <w:r>
        <w:t xml:space="preserve"> associated results are reported for completeness in </w:t>
      </w:r>
      <w:r w:rsidR="00A056D3">
        <w:t>a</w:t>
      </w:r>
      <w:r>
        <w:t>ppendix </w:t>
      </w:r>
      <w:r w:rsidR="009C1B75">
        <w:t>C</w:t>
      </w:r>
      <w:r>
        <w:t xml:space="preserve">. </w:t>
      </w:r>
    </w:p>
    <w:p w:rsidR="00D2237C" w:rsidRDefault="00D2237C" w:rsidP="008456DB">
      <w:pPr>
        <w:pStyle w:val="Text"/>
      </w:pPr>
      <w:r>
        <w:t xml:space="preserve">Second, the indicator </w:t>
      </w:r>
      <m:oMath>
        <m:sSub>
          <m:sSubPr>
            <m:ctrlPr>
              <w:rPr>
                <w:rFonts w:ascii="Cambria Math" w:hAnsi="Cambria Math"/>
                <w:i/>
              </w:rPr>
            </m:ctrlPr>
          </m:sSubPr>
          <m:e>
            <m:r>
              <w:rPr>
                <w:rFonts w:ascii="Cambria Math" w:hAnsi="Cambria Math"/>
              </w:rPr>
              <m:t>INT</m:t>
            </m:r>
          </m:e>
          <m:sub>
            <m:r>
              <w:rPr>
                <w:rFonts w:ascii="Cambria Math" w:hAnsi="Cambria Math"/>
              </w:rPr>
              <m:t>i</m:t>
            </m:r>
          </m:sub>
        </m:sSub>
      </m:oMath>
      <w:r w:rsidR="00610FC3">
        <w:t xml:space="preserve"> controls for possible spill</w:t>
      </w:r>
      <w:r>
        <w:t>over effects of the Victorian reforms into other states (which are our controls</w:t>
      </w:r>
      <w:r w:rsidR="00610FC3">
        <w:t xml:space="preserve">). Failure to control for </w:t>
      </w:r>
      <w:proofErr w:type="spellStart"/>
      <w:r w:rsidR="00610FC3">
        <w:t>spill</w:t>
      </w:r>
      <w:r>
        <w:t>over</w:t>
      </w:r>
      <w:proofErr w:type="spellEnd"/>
      <w:r>
        <w:t xml:space="preserve"> effects of this type is likely to lead to an underestimate of the true effects of the Victorian reform. </w:t>
      </w:r>
    </w:p>
    <w:p w:rsidR="00D2237C" w:rsidRDefault="00D2237C" w:rsidP="008456DB">
      <w:pPr>
        <w:pStyle w:val="Text"/>
      </w:pPr>
      <w:r>
        <w:t>Third, we control for differences in regional economic trends across Australia, as measured by the lagged regional (</w:t>
      </w:r>
      <w:r w:rsidR="00610FC3">
        <w:t>statistical local area</w:t>
      </w:r>
      <w:r>
        <w:t xml:space="preserve">) unemployment rate associated with the student’s place of residence. </w:t>
      </w:r>
    </w:p>
    <w:p w:rsidR="00D2237C" w:rsidRDefault="00D2237C" w:rsidP="008456DB">
      <w:pPr>
        <w:pStyle w:val="Text"/>
      </w:pPr>
      <w:r>
        <w:t xml:space="preserve">Fourth, the state-specific linear time trends suggested by Angrist and </w:t>
      </w:r>
      <w:proofErr w:type="spellStart"/>
      <w:r>
        <w:t>Pischke</w:t>
      </w:r>
      <w:proofErr w:type="spellEnd"/>
      <w:r>
        <w:t xml:space="preserve"> (2009) are included in equation (2) to accommodate </w:t>
      </w:r>
      <w:r w:rsidR="00823507">
        <w:t xml:space="preserve">the </w:t>
      </w:r>
      <w:r w:rsidRPr="00F8031A">
        <w:t xml:space="preserve">diverging linear time trends across the states observed pre-reform, which may </w:t>
      </w:r>
      <w:r w:rsidRPr="00340EA8">
        <w:t xml:space="preserve">be assumed to persist into the post-reform period. This is important because </w:t>
      </w:r>
      <w:r w:rsidR="00610FC3">
        <w:t xml:space="preserve">the </w:t>
      </w:r>
      <w:r w:rsidRPr="00340EA8">
        <w:t xml:space="preserve">analysis conducted on the pre-reform period shows </w:t>
      </w:r>
      <w:r w:rsidRPr="00F8031A">
        <w:t xml:space="preserve">diverging linear time trends in enrolment outcomes across </w:t>
      </w:r>
      <w:r w:rsidR="00823507">
        <w:t xml:space="preserve">the </w:t>
      </w:r>
      <w:r w:rsidRPr="00F8031A">
        <w:t>states, including between Victoria and the rest of</w:t>
      </w:r>
      <w:r>
        <w:t xml:space="preserve"> Australia.</w:t>
      </w:r>
      <w:r>
        <w:rPr>
          <w:rStyle w:val="FootnoteReference"/>
        </w:rPr>
        <w:footnoteReference w:id="19"/>
      </w:r>
      <w:r>
        <w:t xml:space="preserve"> To the extent that these persisted post-reform, failure to control for them would tend to bias the estimated effects of the </w:t>
      </w:r>
      <w:r w:rsidR="00CF63F6">
        <w:t xml:space="preserve">Victorian </w:t>
      </w:r>
      <w:r w:rsidR="00610FC3">
        <w:t>Training Guarantee</w:t>
      </w:r>
      <w:r>
        <w:t>. The effect of controlling for divergent time trends on the unconditional difference-in-differences estimates is shown in the results section.</w:t>
      </w:r>
    </w:p>
    <w:p w:rsidR="00D2237C" w:rsidRDefault="00D2237C" w:rsidP="008456DB">
      <w:pPr>
        <w:pStyle w:val="Text"/>
      </w:pPr>
      <w:r>
        <w:t xml:space="preserve">For course choice, the treatment effect, or δ from equation (2), estimates the overall effect of the reform, including both the effects from greater freedom of choice and student and provider compositional effects. It is difficult to consider how any one of these aspects of the reform may have affected VET enrolments in isolation, as we only observe the combined </w:t>
      </w:r>
      <w:r w:rsidR="000D28FB">
        <w:t>effect</w:t>
      </w:r>
      <w:r>
        <w:t xml:space="preserve"> of all three. Nevertheless, the rich data reported by the </w:t>
      </w:r>
      <w:r w:rsidR="00801415">
        <w:t>National VET Provider Collection</w:t>
      </w:r>
      <w:r>
        <w:t xml:space="preserve"> permit us to control for observed changes in the composition of </w:t>
      </w:r>
      <w:r w:rsidR="00823507">
        <w:t xml:space="preserve">the </w:t>
      </w:r>
      <w:r>
        <w:lastRenderedPageBreak/>
        <w:t xml:space="preserve">student and provider populations. This type of analysis provides one way to understand the underlying drivers of the overall effects estimated for the </w:t>
      </w:r>
      <w:r w:rsidR="00CF63F6">
        <w:t xml:space="preserve">Victorian </w:t>
      </w:r>
      <w:r w:rsidR="00610FC3">
        <w:t>Training Guarantee</w:t>
      </w:r>
      <w:r>
        <w:t xml:space="preserve">. Any reduction in the estimated treatment effect of the </w:t>
      </w:r>
      <w:r w:rsidR="00CF63F6">
        <w:t xml:space="preserve">Victorian </w:t>
      </w:r>
      <w:r w:rsidR="00610FC3">
        <w:t>Training Guarantee</w:t>
      </w:r>
      <w:r>
        <w:t xml:space="preserve"> consequent on </w:t>
      </w:r>
      <w:r w:rsidR="00C176A8">
        <w:t xml:space="preserve">the </w:t>
      </w:r>
      <w:r>
        <w:t>inclusion of controls for the student and provider populations could indicate that the VTG influenced enrolme</w:t>
      </w:r>
      <w:r w:rsidR="00610FC3">
        <w:t>nts through these channels (that is,</w:t>
      </w:r>
      <w:r>
        <w:t xml:space="preserve"> by altering the pool of students and/or providers). Any residual of the overall effect left unexplained by these controls can be attributable to unobserved features of the reform, which we argue </w:t>
      </w:r>
      <w:r w:rsidR="00C176A8">
        <w:t>are</w:t>
      </w:r>
      <w:r>
        <w:t xml:space="preserve"> likely to be from the greater flexibility of course choice afforded by the VTG.</w:t>
      </w:r>
    </w:p>
    <w:p w:rsidR="00D2237C" w:rsidRDefault="00D2237C" w:rsidP="008456DB">
      <w:pPr>
        <w:pStyle w:val="Text"/>
      </w:pPr>
      <w:r>
        <w:t>Variables describing provider and student characteristics are consequ</w:t>
      </w:r>
      <w:r w:rsidR="00437BCA">
        <w:t>ently included as right-hand-</w:t>
      </w:r>
      <w:r>
        <w:t xml:space="preserve">side controls </w:t>
      </w:r>
      <w:r w:rsidRPr="00F80607">
        <w:t>in equation (</w:t>
      </w:r>
      <w:r w:rsidRPr="00F0601F">
        <w:t>2</w:t>
      </w:r>
      <w:r w:rsidRPr="00F80607">
        <w:t>)</w:t>
      </w:r>
      <w:r>
        <w:t xml:space="preserve">. </w:t>
      </w:r>
      <w:r w:rsidRPr="00340EA8">
        <w:t>Compositional changes in the student body control</w:t>
      </w:r>
      <w:r w:rsidR="00437BCA">
        <w:t>led</w:t>
      </w:r>
      <w:r w:rsidRPr="00340EA8">
        <w:t xml:space="preserve"> for include gender, age expressed in five-year bands, combined indicators for migrant status and whether English is spoken at home; whether Aboriginal or Torres Strait Islanders (ATSI); five major ABS remoteness indicators assigned to the student’s re</w:t>
      </w:r>
      <w:r w:rsidR="00610FC3">
        <w:t>sidential postcode (major city to</w:t>
      </w:r>
      <w:r w:rsidRPr="00340EA8">
        <w:t xml:space="preserve"> very remote Au</w:t>
      </w:r>
      <w:r w:rsidR="00C176A8">
        <w:t>stralia); quintiles of the ABS Socio-economic Index for A</w:t>
      </w:r>
      <w:r w:rsidRPr="00340EA8">
        <w:t>reas (SEIFA) relative disadvantage measure from 2006 (pre-reform periods) and 2011 (post-reform periods) applied to the student’s residential postcodes; employment status identifiers and highest education level attained</w:t>
      </w:r>
      <w:r w:rsidR="00610FC3">
        <w:t>,</w:t>
      </w:r>
      <w:r w:rsidRPr="00340EA8">
        <w:t xml:space="preserve"> measured as less than Year 12 or vocational equivalent (certificate III), Year 12 or vocational equivalent and tertiary qualification (</w:t>
      </w:r>
      <w:r w:rsidR="00610FC3">
        <w:t>certificate IV and above). The p</w:t>
      </w:r>
      <w:r w:rsidRPr="00340EA8">
        <w:t xml:space="preserve">rovider compositional changes that we control for are provider size (enrolment numbers within </w:t>
      </w:r>
      <w:r w:rsidR="00A056D3">
        <w:t>five</w:t>
      </w:r>
      <w:r w:rsidRPr="00340EA8">
        <w:t xml:space="preserve"> bands) and provider type (TAFE, ACE, university, industry/professional body or non-government organisation, private business and other).</w:t>
      </w:r>
    </w:p>
    <w:p w:rsidR="00E54165" w:rsidRDefault="00D2237C" w:rsidP="008456DB">
      <w:pPr>
        <w:pStyle w:val="Text"/>
      </w:pPr>
      <w:r>
        <w:t xml:space="preserve">Unlike the estimates for course participation, because </w:t>
      </w:r>
      <w:r w:rsidR="00610FC3">
        <w:t xml:space="preserve">the </w:t>
      </w:r>
      <w:r>
        <w:t xml:space="preserve">estimation of equation (2) is based on individual enrolment data with provider and student controls, the precision of the reform effect estimates is reported with p-values. In simple terms, in this context a p-value represents the probability that </w:t>
      </w:r>
      <w:r w:rsidR="00C176A8">
        <w:t xml:space="preserve">the </w:t>
      </w:r>
      <w:r>
        <w:t>true effect of the reform is zero (no effect), given the magnitude of the estimated reform effect. Using the conventional approach, we treat estimated effects as statistically significant if their p-values are less than 10% (90% confidence). When estimating p-values, a common issue is correlation in the errors terms across observations (</w:t>
      </w:r>
      <w:proofErr w:type="spellStart"/>
      <w:r>
        <w:t>u</w:t>
      </w:r>
      <w:r w:rsidRPr="00FB7BED">
        <w:rPr>
          <w:vertAlign w:val="subscript"/>
        </w:rPr>
        <w:t>i</w:t>
      </w:r>
      <w:proofErr w:type="spellEnd"/>
      <w:r>
        <w:t xml:space="preserve">), which can severely bias standard errors and resulting p-values. A concern here is that correlation in observations within a state, because of common institutional and policy settings, leads to standard errors that are grossly </w:t>
      </w:r>
      <w:r w:rsidR="00C3314D">
        <w:t>underestimate</w:t>
      </w:r>
      <w:r w:rsidR="00610FC3">
        <w:t xml:space="preserve">d (Bertrand, </w:t>
      </w:r>
      <w:proofErr w:type="spellStart"/>
      <w:r w:rsidR="00610FC3">
        <w:t>Duflo</w:t>
      </w:r>
      <w:proofErr w:type="spellEnd"/>
      <w:r w:rsidR="00610FC3">
        <w:t xml:space="preserve"> &amp; Mullainathan</w:t>
      </w:r>
      <w:r>
        <w:t xml:space="preserve"> 2004). The implication is that estimated effects are wrongly treated as being significant when they are not. In this study, we deal with this issue by estimating p-values based on cluster-robust standard errors from the </w:t>
      </w:r>
      <w:proofErr w:type="gramStart"/>
      <w:r>
        <w:t>T(</w:t>
      </w:r>
      <w:proofErr w:type="gramEnd"/>
      <w:r>
        <w:t>G-1) distribution, as suggested by Cameron and Miller (2015). However, we acknowledge that</w:t>
      </w:r>
      <w:r w:rsidR="00610FC3">
        <w:t>,</w:t>
      </w:r>
      <w:r>
        <w:t xml:space="preserve"> because we only </w:t>
      </w:r>
      <w:r w:rsidR="00610FC3">
        <w:t>have a small number of clusters —</w:t>
      </w:r>
      <w:r>
        <w:t xml:space="preserve"> one </w:t>
      </w:r>
      <w:r w:rsidR="00610FC3">
        <w:t>for each state and territory —</w:t>
      </w:r>
      <w:r>
        <w:t xml:space="preserve"> we may still fail </w:t>
      </w:r>
      <w:r w:rsidR="00610FC3">
        <w:t>to adequately correct for inter</w:t>
      </w:r>
      <w:r>
        <w:t xml:space="preserve">group correlation, which Cameron and Miller (2015) </w:t>
      </w:r>
      <w:r w:rsidR="00FC0DC6">
        <w:t xml:space="preserve">states </w:t>
      </w:r>
      <w:r w:rsidR="00610FC3">
        <w:t>needs to be 30—</w:t>
      </w:r>
      <w:r>
        <w:t>40. We also estimate p-values based on wild bootstrapped standard errors (1000 draws)</w:t>
      </w:r>
      <w:r w:rsidR="00610FC3">
        <w:t xml:space="preserve">, which Cameron, </w:t>
      </w:r>
      <w:proofErr w:type="spellStart"/>
      <w:r w:rsidR="00610FC3">
        <w:t>Gelbach</w:t>
      </w:r>
      <w:proofErr w:type="spellEnd"/>
      <w:r w:rsidR="00610FC3">
        <w:t xml:space="preserve"> and Miller</w:t>
      </w:r>
      <w:r>
        <w:t xml:space="preserve"> (2008) show perform well when group size is small, including when </w:t>
      </w:r>
      <w:r w:rsidR="00C176A8">
        <w:t xml:space="preserve">the </w:t>
      </w:r>
      <w:r>
        <w:t xml:space="preserve">group size is </w:t>
      </w:r>
      <w:r w:rsidR="00747916">
        <w:t>six</w:t>
      </w:r>
      <w:r>
        <w:t xml:space="preserve"> (see appendix </w:t>
      </w:r>
      <w:r w:rsidR="00FF4480">
        <w:t>C</w:t>
      </w:r>
      <w:r>
        <w:t>).</w:t>
      </w:r>
    </w:p>
    <w:p w:rsidR="001C72F1" w:rsidRDefault="001C72F1" w:rsidP="00CE7563">
      <w:pPr>
        <w:pStyle w:val="Text"/>
      </w:pPr>
      <w:bookmarkStart w:id="64" w:name="_Toc438209981"/>
    </w:p>
    <w:p w:rsidR="00EA29B7" w:rsidRDefault="00EA29B7">
      <w:pPr>
        <w:spacing w:before="0" w:line="240" w:lineRule="auto"/>
        <w:rPr>
          <w:rFonts w:ascii="Arial" w:hAnsi="Arial" w:cs="Tahoma"/>
          <w:color w:val="000000"/>
          <w:kern w:val="28"/>
          <w:sz w:val="48"/>
          <w:szCs w:val="56"/>
        </w:rPr>
      </w:pPr>
      <w:r>
        <w:br w:type="page"/>
      </w:r>
    </w:p>
    <w:p w:rsidR="00A056D3" w:rsidRDefault="009140A6" w:rsidP="00A056D3">
      <w:pPr>
        <w:pStyle w:val="Heading1"/>
      </w:pPr>
      <w:bookmarkStart w:id="65" w:name="_Toc472517006"/>
      <w:r>
        <w:rPr>
          <w:noProof/>
          <w:lang w:eastAsia="en-AU"/>
        </w:rPr>
        <w:lastRenderedPageBreak/>
        <w:drawing>
          <wp:anchor distT="0" distB="0" distL="114300" distR="114300" simplePos="0" relativeHeight="251668480" behindDoc="1" locked="0" layoutInCell="1" allowOverlap="1" wp14:anchorId="2DE03A1F" wp14:editId="0E2288DD">
            <wp:simplePos x="0" y="0"/>
            <wp:positionH relativeFrom="column">
              <wp:posOffset>30408</wp:posOffset>
            </wp:positionH>
            <wp:positionV relativeFrom="paragraph">
              <wp:posOffset>-42509</wp:posOffset>
            </wp:positionV>
            <wp:extent cx="426085" cy="481965"/>
            <wp:effectExtent l="0" t="0" r="0" b="0"/>
            <wp:wrapSquare wrapText="bothSides"/>
            <wp:docPr id="79" name="Picture 7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6085" cy="481965"/>
                    </a:xfrm>
                    <a:prstGeom prst="rect">
                      <a:avLst/>
                    </a:prstGeom>
                    <a:noFill/>
                    <a:ln>
                      <a:noFill/>
                    </a:ln>
                  </pic:spPr>
                </pic:pic>
              </a:graphicData>
            </a:graphic>
          </wp:anchor>
        </w:drawing>
      </w:r>
      <w:r w:rsidR="00A056D3">
        <w:t>Results</w:t>
      </w:r>
      <w:bookmarkEnd w:id="64"/>
      <w:bookmarkEnd w:id="65"/>
    </w:p>
    <w:p w:rsidR="00A056D3" w:rsidRDefault="00A056D3" w:rsidP="008456DB">
      <w:pPr>
        <w:pStyle w:val="Heading2"/>
      </w:pPr>
      <w:bookmarkStart w:id="66" w:name="_Toc438209982"/>
      <w:bookmarkStart w:id="67" w:name="_Toc472517007"/>
      <w:r>
        <w:t xml:space="preserve">The influence of the </w:t>
      </w:r>
      <w:r w:rsidR="00B64D1D">
        <w:t xml:space="preserve">Victorian Training Guarantee </w:t>
      </w:r>
      <w:r>
        <w:t>on participation in VET</w:t>
      </w:r>
      <w:bookmarkEnd w:id="66"/>
      <w:bookmarkEnd w:id="67"/>
      <w:r>
        <w:t xml:space="preserve"> </w:t>
      </w:r>
    </w:p>
    <w:p w:rsidR="00A056D3" w:rsidRDefault="009124E6" w:rsidP="008456DB">
      <w:pPr>
        <w:pStyle w:val="Text"/>
      </w:pPr>
      <w:r>
        <w:t>The analysis focuses on the incidence of course commencements reported during the 2008 calendar year and in the 12 months between July 2011 and June 2012 and excludes multiple enrolments by the same individual within a calendar year.</w:t>
      </w:r>
      <w:r w:rsidR="00B01602">
        <w:t xml:space="preserve"> </w:t>
      </w:r>
      <w:r w:rsidR="00A056D3">
        <w:t xml:space="preserve">Table 3 summarises the results of our unconditional </w:t>
      </w:r>
      <w:proofErr w:type="spellStart"/>
      <w:proofErr w:type="gramStart"/>
      <w:r w:rsidR="00A056D3">
        <w:t>DiD</w:t>
      </w:r>
      <w:proofErr w:type="spellEnd"/>
      <w:proofErr w:type="gramEnd"/>
      <w:r w:rsidR="00A056D3">
        <w:t xml:space="preserve"> analysis (</w:t>
      </w:r>
      <w:r w:rsidR="00FC0DC6">
        <w:t>equation 1</w:t>
      </w:r>
      <w:r w:rsidR="00A056D3" w:rsidRPr="00FC0DC6">
        <w:t>)</w:t>
      </w:r>
      <w:r w:rsidR="00A056D3">
        <w:t xml:space="preserve"> of the effects of the </w:t>
      </w:r>
      <w:r w:rsidR="00CF63F6">
        <w:t xml:space="preserve">Victorian </w:t>
      </w:r>
      <w:r w:rsidR="00B64D1D">
        <w:t>Training Guarantee</w:t>
      </w:r>
      <w:r w:rsidR="00A056D3">
        <w:t xml:space="preserve"> on participation in VET among the population aged 25 to 54</w:t>
      </w:r>
      <w:r w:rsidR="000E1068">
        <w:t xml:space="preserve"> years</w:t>
      </w:r>
      <w:r w:rsidR="00A056D3">
        <w:t xml:space="preserve">. </w:t>
      </w:r>
    </w:p>
    <w:p w:rsidR="009165A9" w:rsidRDefault="00A056D3" w:rsidP="008456DB">
      <w:pPr>
        <w:pStyle w:val="Text"/>
      </w:pPr>
      <w:r>
        <w:t xml:space="preserve">Enrolment (commencement) rates for </w:t>
      </w:r>
      <w:r w:rsidR="005331DE">
        <w:t>25 to 54-year-olds</w:t>
      </w:r>
      <w:r w:rsidR="00C442A4">
        <w:t xml:space="preserve"> </w:t>
      </w:r>
      <w:r>
        <w:t>evaluated for Victori</w:t>
      </w:r>
      <w:r w:rsidR="00B64D1D">
        <w:t xml:space="preserve">a are reported on the left-hand </w:t>
      </w:r>
      <w:r>
        <w:t>side of the table, and those for the rest of Australia (excluding Victoria) are on the righ</w:t>
      </w:r>
      <w:r w:rsidR="00B64D1D">
        <w:t xml:space="preserve">t-hand </w:t>
      </w:r>
      <w:r>
        <w:t xml:space="preserve">side. The right-most column reports </w:t>
      </w:r>
      <w:r w:rsidR="009165A9">
        <w:t>the difference</w:t>
      </w:r>
      <w:r>
        <w:t xml:space="preserve"> in the change in enrolm</w:t>
      </w:r>
      <w:r w:rsidR="00B64D1D">
        <w:t>ent rates between 2008 and 2011—</w:t>
      </w:r>
      <w:r>
        <w:t xml:space="preserve">12 reported for Victoria, relative to the rest of Australia, or the unconditional difference-in-differences. </w:t>
      </w:r>
      <w:r w:rsidR="009165A9">
        <w:t xml:space="preserve">Table 3 shows that total </w:t>
      </w:r>
      <w:r w:rsidR="00C176A8">
        <w:t>VET enrolment rate</w:t>
      </w:r>
      <w:r>
        <w:t xml:space="preserve"> for </w:t>
      </w:r>
      <w:r w:rsidR="005331DE">
        <w:t>25 to 54-year-olds</w:t>
      </w:r>
      <w:r w:rsidR="00B64D1D">
        <w:t xml:space="preserve"> </w:t>
      </w:r>
      <w:r>
        <w:t>increased from 6.3% to 11.3% in Victoria, and from 4.9% to 5.8% in the rest of Australia</w:t>
      </w:r>
      <w:r w:rsidR="009165A9">
        <w:t xml:space="preserve"> during this period</w:t>
      </w:r>
      <w:r>
        <w:t xml:space="preserve">. Hence, the VET enrolment rate </w:t>
      </w:r>
      <w:r w:rsidR="0013477E">
        <w:t xml:space="preserve">for </w:t>
      </w:r>
      <w:r w:rsidR="005331DE">
        <w:t>25 to 54-year-olds</w:t>
      </w:r>
      <w:r w:rsidR="00B64D1D">
        <w:t xml:space="preserve"> </w:t>
      </w:r>
      <w:r>
        <w:t>in Victoria, relative to the remainder of Australia, increased by 4.2 percentage points</w:t>
      </w:r>
      <w:r w:rsidR="00B64D1D">
        <w:t xml:space="preserve"> </w:t>
      </w:r>
      <w:r w:rsidR="000E1068">
        <w:t>—</w:t>
      </w:r>
      <w:r w:rsidR="00B64D1D">
        <w:t xml:space="preserve"> </w:t>
      </w:r>
      <w:r>
        <w:t>or two-thirds of its 2008 value</w:t>
      </w:r>
      <w:r w:rsidR="00B64D1D">
        <w:t xml:space="preserve"> </w:t>
      </w:r>
      <w:r w:rsidR="000E1068">
        <w:t>—</w:t>
      </w:r>
      <w:r w:rsidR="00B64D1D">
        <w:t xml:space="preserve"> </w:t>
      </w:r>
      <w:r>
        <w:t xml:space="preserve">following introduction of the </w:t>
      </w:r>
      <w:r w:rsidR="00CF63F6">
        <w:t xml:space="preserve">Victorian </w:t>
      </w:r>
      <w:r w:rsidR="00B64D1D">
        <w:t>Training Guarantee</w:t>
      </w:r>
      <w:r>
        <w:t>.</w:t>
      </w:r>
    </w:p>
    <w:p w:rsidR="008E0AA6" w:rsidRDefault="008E0AA6" w:rsidP="008456DB">
      <w:pPr>
        <w:pStyle w:val="Text"/>
      </w:pPr>
      <w:r>
        <w:t xml:space="preserve">These results suggest that the expansion of study entitlements and </w:t>
      </w:r>
      <w:r w:rsidR="00B64D1D">
        <w:t xml:space="preserve">the </w:t>
      </w:r>
      <w:r>
        <w:t xml:space="preserve">increase in the public budget spent on VET following the </w:t>
      </w:r>
      <w:r w:rsidR="00CF63F6">
        <w:t xml:space="preserve">Victorian </w:t>
      </w:r>
      <w:r w:rsidR="00B64D1D">
        <w:t>Training Guarantee</w:t>
      </w:r>
      <w:r>
        <w:t xml:space="preserve"> consequently coincided with a substantial rise in VET enrolments among working-age Victorians. Importantly, the growth in enrolments in Victoria relative to the rest of Australia is likely </w:t>
      </w:r>
      <w:r w:rsidR="00B64D1D">
        <w:t xml:space="preserve">to be </w:t>
      </w:r>
      <w:r>
        <w:t xml:space="preserve">a result of the VET reforms and not related to </w:t>
      </w:r>
      <w:r w:rsidR="00C176A8">
        <w:t xml:space="preserve">the </w:t>
      </w:r>
      <w:r>
        <w:t>pre-existing trends that continued into the post-reform p</w:t>
      </w:r>
      <w:r w:rsidR="001B16C6">
        <w:t xml:space="preserve">eriod (see table B1 appendix B). </w:t>
      </w:r>
      <w:r>
        <w:t>However, we stress that t</w:t>
      </w:r>
      <w:r w:rsidR="00B64D1D">
        <w:t>hese results are likely to over</w:t>
      </w:r>
      <w:r>
        <w:t xml:space="preserve">estimate any true enrolment effect because they do not fully account for substitution between public and private fee-for-service enrolments. </w:t>
      </w:r>
    </w:p>
    <w:p w:rsidR="00A056D3" w:rsidRDefault="00A056D3" w:rsidP="008456DB">
      <w:pPr>
        <w:pStyle w:val="Text"/>
      </w:pPr>
      <w:r>
        <w:t xml:space="preserve">The disaggregation of enrolment rates by individual characteristics </w:t>
      </w:r>
      <w:r w:rsidR="00B64D1D">
        <w:t>reveals some interesting variation. The s</w:t>
      </w:r>
      <w:r>
        <w:t>tatistics reported toward</w:t>
      </w:r>
      <w:r w:rsidR="00B64D1D">
        <w:t>s</w:t>
      </w:r>
      <w:r>
        <w:t xml:space="preserve"> the top of the table indicate that VET enrolment rates for men and women were simila</w:t>
      </w:r>
      <w:r w:rsidR="00B64D1D">
        <w:t>r during the period of analysis: the</w:t>
      </w:r>
      <w:r>
        <w:t xml:space="preserve"> enrolment rates for men in Victoria increased by just under one percentage point more than for women, after adjusting for contemporaneous shifts reported for</w:t>
      </w:r>
      <w:r w:rsidR="00B64D1D">
        <w:t xml:space="preserve"> the rest of Australia (4.5 </w:t>
      </w:r>
      <w:proofErr w:type="spellStart"/>
      <w:r w:rsidR="00B64D1D">
        <w:t>cf</w:t>
      </w:r>
      <w:proofErr w:type="spellEnd"/>
      <w:r>
        <w:t xml:space="preserve"> 3.8 percentage points).</w:t>
      </w:r>
      <w:r w:rsidR="00B01602">
        <w:t xml:space="preserve"> </w:t>
      </w:r>
    </w:p>
    <w:p w:rsidR="00A056D3" w:rsidRDefault="00A056D3" w:rsidP="008456DB">
      <w:pPr>
        <w:pStyle w:val="Text"/>
      </w:pPr>
      <w:r>
        <w:t>Disaggregating VET enrolment rates by age group reveals that the rise reported for Victoria, relative to the rest of Australia, was concentrated toward</w:t>
      </w:r>
      <w:r w:rsidR="00B64D1D">
        <w:t>s</w:t>
      </w:r>
      <w:r>
        <w:t xml:space="preserve"> individuals at the beg</w:t>
      </w:r>
      <w:r w:rsidR="00B64D1D">
        <w:t>inning of their working live</w:t>
      </w:r>
      <w:r>
        <w:t xml:space="preserve">s. VET enrolment </w:t>
      </w:r>
      <w:r w:rsidR="00B64D1D">
        <w:t>rates among individuals aged 25—</w:t>
      </w:r>
      <w:r>
        <w:t>29</w:t>
      </w:r>
      <w:r w:rsidR="00B64D1D">
        <w:t xml:space="preserve"> years</w:t>
      </w:r>
      <w:r>
        <w:t xml:space="preserve"> </w:t>
      </w:r>
      <w:r w:rsidR="00B64D1D">
        <w:t>increased between 2008 and 2011—</w:t>
      </w:r>
      <w:r>
        <w:t>12 by 5.1 percentage points more in Victoria than they did in the rest of Australia, compared with an increase of 3.3 percentage p</w:t>
      </w:r>
      <w:r w:rsidR="00B64D1D">
        <w:t>oints among individuals aged 50—</w:t>
      </w:r>
      <w:r>
        <w:t>54</w:t>
      </w:r>
      <w:r w:rsidR="00B64D1D">
        <w:t xml:space="preserve"> years</w:t>
      </w:r>
      <w:r>
        <w:t>. This interpretation of the data, however, ignores the fact that enrolment rates tend to decline with age. In proportional terms, the increase in enrolment rates reported for Victoria, relative to the rest of Australia, tends to rise with age, from just under 60</w:t>
      </w:r>
      <w:r w:rsidR="000E1068">
        <w:t>%</w:t>
      </w:r>
      <w:r w:rsidR="00B64D1D">
        <w:t xml:space="preserve"> for 25 to 29-year-</w:t>
      </w:r>
      <w:r>
        <w:t>olds, up to just under 80</w:t>
      </w:r>
      <w:r w:rsidR="00FC0DC6">
        <w:t>%</w:t>
      </w:r>
      <w:r w:rsidR="00B64D1D">
        <w:t xml:space="preserve"> for 50 to 54-year-</w:t>
      </w:r>
      <w:r>
        <w:t>olds.</w:t>
      </w:r>
      <w:r w:rsidR="00B01602">
        <w:t xml:space="preserve"> </w:t>
      </w:r>
    </w:p>
    <w:p w:rsidR="00A056D3" w:rsidRDefault="00A056D3" w:rsidP="008456DB">
      <w:pPr>
        <w:pStyle w:val="Text"/>
      </w:pPr>
      <w:r>
        <w:t xml:space="preserve">The </w:t>
      </w:r>
      <w:r w:rsidR="00B64D1D">
        <w:t>Victorian Training Guarantee</w:t>
      </w:r>
      <w:r>
        <w:t xml:space="preserve"> therefore appears to have eroded the gap between the age g</w:t>
      </w:r>
      <w:r w:rsidR="000E1068">
        <w:t xml:space="preserve">roups reported here. </w:t>
      </w:r>
      <w:r>
        <w:t xml:space="preserve">This is consistent with the fact that a common set of reforms </w:t>
      </w:r>
      <w:r>
        <w:lastRenderedPageBreak/>
        <w:t xml:space="preserve">affected this entire population subgroup. It also suggests, however, that </w:t>
      </w:r>
      <w:r w:rsidR="00B64D1D">
        <w:t xml:space="preserve">the </w:t>
      </w:r>
      <w:r w:rsidR="005A4E08">
        <w:t>upskilling</w:t>
      </w:r>
      <w:r>
        <w:t xml:space="preserve"> requirements imposed as part of the reforms did not disproportionately restrict </w:t>
      </w:r>
      <w:r w:rsidR="00B64D1D">
        <w:t xml:space="preserve">the </w:t>
      </w:r>
      <w:r>
        <w:t xml:space="preserve">VET participation of older workers. We return to discuss the influence of </w:t>
      </w:r>
      <w:r w:rsidR="005A4E08">
        <w:t>upskilling</w:t>
      </w:r>
      <w:r>
        <w:t xml:space="preserve"> requirements in the following subsection.</w:t>
      </w:r>
    </w:p>
    <w:p w:rsidR="00A056D3" w:rsidRDefault="00A056D3" w:rsidP="004E3FE6">
      <w:pPr>
        <w:pStyle w:val="Text"/>
      </w:pPr>
      <w:r>
        <w:t>Australia has one of the</w:t>
      </w:r>
      <w:r w:rsidR="00B64D1D">
        <w:t xml:space="preserve"> highest proportions of foreign-</w:t>
      </w:r>
      <w:r>
        <w:t xml:space="preserve">born residents of any </w:t>
      </w:r>
      <w:r w:rsidR="00B64D1D">
        <w:t>Organisation for Economic Co-operation and Development (</w:t>
      </w:r>
      <w:r>
        <w:t>OECD</w:t>
      </w:r>
      <w:r w:rsidR="00B64D1D">
        <w:t>)</w:t>
      </w:r>
      <w:r>
        <w:t xml:space="preserve"> country.</w:t>
      </w:r>
      <w:r>
        <w:rPr>
          <w:rStyle w:val="FootnoteReference"/>
        </w:rPr>
        <w:footnoteReference w:id="20"/>
      </w:r>
      <w:r>
        <w:t xml:space="preserve"> Table 3 indicates that the enro</w:t>
      </w:r>
      <w:r w:rsidR="00B64D1D">
        <w:t>lment rate in VET among foreign-</w:t>
      </w:r>
      <w:r>
        <w:t>born residents exceede</w:t>
      </w:r>
      <w:r w:rsidR="00325682">
        <w:t>d the rate among the Australian</w:t>
      </w:r>
      <w:r w:rsidR="00B64D1D">
        <w:t>-</w:t>
      </w:r>
      <w:r>
        <w:t xml:space="preserve">born population by just over a fifth in Victoria in 2008, and by just over a quarter in the rest of Australia. These disparities widened between 2008 and </w:t>
      </w:r>
      <w:r w:rsidR="00B64D1D">
        <w:t>2011—12</w:t>
      </w:r>
      <w:r>
        <w:t xml:space="preserve"> in both Victoria and the rest of Australia. The last column of the table indicates that enrolment rates in VET increased by just over </w:t>
      </w:r>
      <w:r w:rsidR="000E1068">
        <w:t>four</w:t>
      </w:r>
      <w:r>
        <w:t xml:space="preserve"> percenta</w:t>
      </w:r>
      <w:r w:rsidR="0009575A">
        <w:t>ge points between 2008 and 2011—</w:t>
      </w:r>
      <w:r>
        <w:t>12</w:t>
      </w:r>
      <w:r w:rsidR="009165A9">
        <w:t xml:space="preserve"> among both natives and foreign-</w:t>
      </w:r>
      <w:r>
        <w:t>born residents in Victoria, relative to the rest of Australia</w:t>
      </w:r>
      <w:r w:rsidR="000E1068">
        <w:t xml:space="preserve">. </w:t>
      </w:r>
      <w:r>
        <w:t xml:space="preserve">This is consistent with the fact that the </w:t>
      </w:r>
      <w:r w:rsidR="00CF63F6">
        <w:t xml:space="preserve">Victorian </w:t>
      </w:r>
      <w:r w:rsidR="0009575A">
        <w:t>Training Guarantee</w:t>
      </w:r>
      <w:r>
        <w:t xml:space="preserve"> reforms omitted any explicit distinction by migrant status.</w:t>
      </w:r>
    </w:p>
    <w:p w:rsidR="00A056D3" w:rsidRDefault="00C176A8" w:rsidP="00A056D3">
      <w:pPr>
        <w:pStyle w:val="Text"/>
      </w:pPr>
      <w:r>
        <w:t>The f</w:t>
      </w:r>
      <w:r w:rsidR="009165A9">
        <w:t>indings</w:t>
      </w:r>
      <w:r w:rsidR="0009575A">
        <w:t xml:space="preserve"> reported for the I</w:t>
      </w:r>
      <w:r>
        <w:t>ndigenous population</w:t>
      </w:r>
      <w:r w:rsidR="00A056D3">
        <w:t xml:space="preserve"> </w:t>
      </w:r>
      <w:r w:rsidR="000E1068">
        <w:t>represent outliers in table 3. In particular, t</w:t>
      </w:r>
      <w:r w:rsidR="00A056D3">
        <w:t>ab</w:t>
      </w:r>
      <w:r w:rsidR="0009575A">
        <w:t>le 3 shows a small increase in I</w:t>
      </w:r>
      <w:r w:rsidR="00A056D3">
        <w:t xml:space="preserve">ndigenous VET participation in Victoria following the </w:t>
      </w:r>
      <w:r w:rsidR="00CF63F6">
        <w:t xml:space="preserve">Victorian </w:t>
      </w:r>
      <w:r w:rsidR="0009575A">
        <w:t>Training Guarantee</w:t>
      </w:r>
      <w:r w:rsidR="00A056D3">
        <w:t xml:space="preserve">, which does not keep pace with the increase observed in the rest of Australia. It is difficult to point to specific reasons for the lack of response to the </w:t>
      </w:r>
      <w:r w:rsidR="00CF63F6">
        <w:t xml:space="preserve">Victorian </w:t>
      </w:r>
      <w:r w:rsidR="0009575A">
        <w:t>Training Guarantee among I</w:t>
      </w:r>
      <w:r w:rsidR="00A056D3">
        <w:t>ndigenous people in Victori</w:t>
      </w:r>
      <w:r w:rsidR="0009575A">
        <w:t>a. One explanation may be that I</w:t>
      </w:r>
      <w:r w:rsidR="00A056D3">
        <w:t xml:space="preserve">ndigenous people may have had priority access to a </w:t>
      </w:r>
      <w:r w:rsidR="00801415">
        <w:t xml:space="preserve">publicly funded </w:t>
      </w:r>
      <w:r w:rsidR="00A056D3">
        <w:t>place in VET prior to the reforms considered here.</w:t>
      </w:r>
      <w:r w:rsidR="0013477E">
        <w:t xml:space="preserve"> </w:t>
      </w:r>
    </w:p>
    <w:p w:rsidR="00A056D3" w:rsidRDefault="0009575A" w:rsidP="00A056D3">
      <w:pPr>
        <w:pStyle w:val="Text"/>
      </w:pPr>
      <w:r>
        <w:t>The d</w:t>
      </w:r>
      <w:r w:rsidR="00062334">
        <w:t>ata provided in</w:t>
      </w:r>
      <w:r w:rsidR="00A056D3">
        <w:t xml:space="preserve"> </w:t>
      </w:r>
      <w:r w:rsidR="000E1068">
        <w:t>t</w:t>
      </w:r>
      <w:r>
        <w:t>able 3 indicate</w:t>
      </w:r>
      <w:r w:rsidR="00A056D3">
        <w:t xml:space="preserve"> that </w:t>
      </w:r>
      <w:r w:rsidR="00062334">
        <w:t xml:space="preserve">VET participation among </w:t>
      </w:r>
      <w:r w:rsidR="005331DE">
        <w:t>25 to 54-year-olds</w:t>
      </w:r>
      <w:r>
        <w:t xml:space="preserve"> </w:t>
      </w:r>
      <w:r w:rsidR="00062334">
        <w:t>was higher for people living in</w:t>
      </w:r>
      <w:r w:rsidR="00A056D3">
        <w:t xml:space="preserve"> rural areas </w:t>
      </w:r>
      <w:r w:rsidR="00062334">
        <w:t>compared</w:t>
      </w:r>
      <w:r>
        <w:t xml:space="preserve"> with</w:t>
      </w:r>
      <w:r w:rsidR="00062334">
        <w:t xml:space="preserve"> people living in urban areas. </w:t>
      </w:r>
      <w:r w:rsidR="00A056D3">
        <w:t>The higher rates of VET participation in rural areas may reflect differences in the rural and urban labour markets. Generally speaking, a higher proportion of the labour market is employed in non-professional occupations in rural areas, especially in primary industries, which rely more on skills developed through VET than they do on higher education.</w:t>
      </w:r>
      <w:r w:rsidR="005635D1">
        <w:rPr>
          <w:rStyle w:val="FootnoteReference"/>
        </w:rPr>
        <w:footnoteReference w:id="21"/>
      </w:r>
      <w:r w:rsidR="00A056D3">
        <w:t xml:space="preserve"> In absolute terms, the VET enrolment rates appear to have increased between 2008 and </w:t>
      </w:r>
      <w:r>
        <w:t xml:space="preserve">2011—12 </w:t>
      </w:r>
      <w:r w:rsidR="00A056D3">
        <w:t xml:space="preserve">in Victoria, relative to the rest of Australia, by a slightly higher margin for populations living in rural relative to urban areas. In proportional terms, however, the urban population appears to have responded more strongly to the </w:t>
      </w:r>
      <w:r w:rsidR="00CF63F6">
        <w:t xml:space="preserve">Victorian </w:t>
      </w:r>
      <w:r>
        <w:t xml:space="preserve">Training Guarantee </w:t>
      </w:r>
      <w:r w:rsidR="00A056D3">
        <w:t>reforms.</w:t>
      </w:r>
    </w:p>
    <w:p w:rsidR="00A056D3" w:rsidRDefault="00A056D3" w:rsidP="00A056D3">
      <w:pPr>
        <w:pStyle w:val="Text"/>
      </w:pPr>
      <w:r>
        <w:t xml:space="preserve">The enrolment rates distinguished by highest level of previous qualifications indicate that most of the increase between 2008 and </w:t>
      </w:r>
      <w:r w:rsidR="0009575A">
        <w:t xml:space="preserve">2011—12 </w:t>
      </w:r>
      <w:r>
        <w:t>in Victoria, relative to the remainder of Australia, was concentrated among individuals with relatively low prior qualifications. Enrolment rates are reported to increase most strongly in Victoria amon</w:t>
      </w:r>
      <w:r w:rsidR="0009575A">
        <w:t>g individuals with lower-</w:t>
      </w:r>
      <w:r w:rsidR="000E1068">
        <w:t>level</w:t>
      </w:r>
      <w:r w:rsidR="00C176A8">
        <w:t>,</w:t>
      </w:r>
      <w:r w:rsidR="000E1068">
        <w:t xml:space="preserve"> certificate I and</w:t>
      </w:r>
      <w:r>
        <w:t xml:space="preserve"> II</w:t>
      </w:r>
      <w:r w:rsidR="00C176A8">
        <w:t>,</w:t>
      </w:r>
      <w:r>
        <w:t xml:space="preserve"> qualifications, rising by 12.7 percentage points, relative to the rest of Australia. The next largest effects on enrolment rates are reported for the </w:t>
      </w:r>
      <w:r w:rsidR="000E1068">
        <w:t>‘</w:t>
      </w:r>
      <w:r>
        <w:t>other</w:t>
      </w:r>
      <w:r w:rsidR="000E1068">
        <w:t>’</w:t>
      </w:r>
      <w:r>
        <w:t xml:space="preserve"> education group, which includes individuals with no post-school qualification</w:t>
      </w:r>
      <w:r w:rsidR="00C176A8">
        <w:t>,</w:t>
      </w:r>
      <w:r w:rsidR="0009575A">
        <w:t xml:space="preserve"> </w:t>
      </w:r>
      <w:r w:rsidR="00C176A8">
        <w:t xml:space="preserve">with an increase of </w:t>
      </w:r>
      <w:r>
        <w:t xml:space="preserve">7.9 percentage points in Victoria, relative </w:t>
      </w:r>
      <w:r w:rsidR="000E1068">
        <w:t xml:space="preserve">to the remainder of Australia. </w:t>
      </w:r>
      <w:r>
        <w:t xml:space="preserve">The </w:t>
      </w:r>
      <w:r>
        <w:lastRenderedPageBreak/>
        <w:t>only other group displaying a relative increase in enrolment rates i</w:t>
      </w:r>
      <w:r w:rsidR="000E1068">
        <w:t xml:space="preserve">n Victoria </w:t>
      </w:r>
      <w:r w:rsidR="00FC0DC6">
        <w:t>are</w:t>
      </w:r>
      <w:r w:rsidR="000E1068">
        <w:t xml:space="preserve"> individuals with certificate III and</w:t>
      </w:r>
      <w:r>
        <w:t xml:space="preserve"> IV qualifications, which increased by 6.7 percentage points relative to the rest of Australia. In contrast, enrolment rates in Victoria declined slightly, relative to the rest of Australia, among individuals with bachelor degrees or above. These shifts in emphasis by prior educational qualifications are consistent with the focus of the </w:t>
      </w:r>
      <w:r w:rsidR="00CF63F6">
        <w:t xml:space="preserve">Victorian </w:t>
      </w:r>
      <w:r w:rsidR="0009575A">
        <w:t>Training Guarantee</w:t>
      </w:r>
      <w:r>
        <w:t xml:space="preserve"> on qualification </w:t>
      </w:r>
      <w:r w:rsidR="005A4E08">
        <w:t>upskilling</w:t>
      </w:r>
      <w:r w:rsidRPr="00FC0DC6">
        <w:t xml:space="preserve">, as discussed </w:t>
      </w:r>
      <w:r w:rsidR="00FC0DC6">
        <w:t>earlier</w:t>
      </w:r>
      <w:r w:rsidRPr="00FC0DC6">
        <w:t>.</w:t>
      </w:r>
    </w:p>
    <w:p w:rsidR="00A056D3" w:rsidRDefault="00A056D3" w:rsidP="00A056D3">
      <w:pPr>
        <w:pStyle w:val="Text"/>
      </w:pPr>
      <w:r>
        <w:t xml:space="preserve">The questions used to impute disability status </w:t>
      </w:r>
      <w:r w:rsidR="00697689">
        <w:t>differ between</w:t>
      </w:r>
      <w:r>
        <w:t xml:space="preserve"> the </w:t>
      </w:r>
      <w:r w:rsidR="00801415">
        <w:t>National VET Provider Collection</w:t>
      </w:r>
      <w:r w:rsidR="0069560C">
        <w:t xml:space="preserve"> and the c</w:t>
      </w:r>
      <w:r>
        <w:t xml:space="preserve">ensus. The statistics reported in </w:t>
      </w:r>
      <w:r w:rsidR="000E1068">
        <w:t>t</w:t>
      </w:r>
      <w:r>
        <w:t xml:space="preserve">able 3 for the </w:t>
      </w:r>
      <w:r w:rsidR="00697689">
        <w:t>disability</w:t>
      </w:r>
      <w:r>
        <w:t xml:space="preserve"> subgroup should consequently be interpreted as approximate only. Nevertheless, the </w:t>
      </w:r>
      <w:proofErr w:type="spellStart"/>
      <w:r>
        <w:t>DiD</w:t>
      </w:r>
      <w:proofErr w:type="spellEnd"/>
      <w:r>
        <w:t xml:space="preserve"> statistics reported for this subgroup are substantial, indicating a 12% increase in VET enrolment rates in Victoria, relative to the rest of Australia</w:t>
      </w:r>
      <w:r w:rsidR="0069560C">
        <w:t>,</w:t>
      </w:r>
      <w:r w:rsidR="000B318B">
        <w:t xml:space="preserve"> associated with the </w:t>
      </w:r>
      <w:r w:rsidR="00CF63F6">
        <w:t xml:space="preserve">Victorian </w:t>
      </w:r>
      <w:r w:rsidR="0009575A">
        <w:t>Training Guarantee</w:t>
      </w:r>
      <w:r w:rsidR="000B318B">
        <w:t>.</w:t>
      </w:r>
      <w:r w:rsidR="00B01602">
        <w:t xml:space="preserve"> </w:t>
      </w:r>
    </w:p>
    <w:p w:rsidR="00126AC0" w:rsidRDefault="0009575A" w:rsidP="00A056D3">
      <w:pPr>
        <w:pStyle w:val="Text"/>
      </w:pPr>
      <w:r>
        <w:t>The e</w:t>
      </w:r>
      <w:r w:rsidR="00A056D3">
        <w:t>ffects distinguished by labour status are also striking. The data reported for 2008 indicate higher rates of VET enrolments among individuals aged 25 to 54</w:t>
      </w:r>
      <w:r>
        <w:t xml:space="preserve"> years</w:t>
      </w:r>
      <w:r w:rsidR="00A056D3">
        <w:t xml:space="preserve"> in Victoria, relative to the rest of Australia, in all three population subgroups distinguished by labour status. The largest differences between Victoria and the rest of Australia reported for 2008 are for the unemployed, where the proportion of individuals enrolled in VET in Victoria is just under 37%, relative to 29% for the rest of Australia. Although VET enrolment rates among the unemployed in the rest of Australia increased by </w:t>
      </w:r>
      <w:r w:rsidR="00593141">
        <w:t>eight</w:t>
      </w:r>
      <w:r w:rsidR="00A056D3">
        <w:t xml:space="preserve"> percentage points from 2008 to </w:t>
      </w:r>
      <w:r>
        <w:t>2011—</w:t>
      </w:r>
      <w:r w:rsidR="00747916">
        <w:t>12</w:t>
      </w:r>
      <w:r w:rsidR="00A056D3">
        <w:t xml:space="preserve">, this was a fraction of the associated increase observed for Victoria during the same period, so that the difference between Victoria and the rest of Australia widened by 36 percentage points. In </w:t>
      </w:r>
      <w:r>
        <w:t>2011—</w:t>
      </w:r>
      <w:r w:rsidR="00747916">
        <w:t>12</w:t>
      </w:r>
      <w:r>
        <w:t>, just over four</w:t>
      </w:r>
      <w:r w:rsidR="00A056D3">
        <w:t xml:space="preserve"> in every </w:t>
      </w:r>
      <w:r>
        <w:t>five</w:t>
      </w:r>
      <w:r w:rsidR="00A056D3">
        <w:t xml:space="preserve"> unemployed Victorians aged 25 to 54 </w:t>
      </w:r>
      <w:r>
        <w:t xml:space="preserve">years </w:t>
      </w:r>
      <w:r w:rsidR="00A056D3">
        <w:t>were reported to be enrolled in a VET course.</w:t>
      </w:r>
      <w:r w:rsidR="00F3520A">
        <w:rPr>
          <w:rStyle w:val="FootnoteReference"/>
        </w:rPr>
        <w:footnoteReference w:id="22"/>
      </w:r>
      <w:r w:rsidR="009C0EE9">
        <w:t xml:space="preserve"> </w:t>
      </w:r>
      <w:r w:rsidR="00126AC0">
        <w:t>In contrast, the participation response for emp</w:t>
      </w:r>
      <w:r w:rsidR="0069560C">
        <w:t>loyed people is more subdued. The r</w:t>
      </w:r>
      <w:r w:rsidR="00126AC0">
        <w:t>esults reported for employed individuals indicate a relative increase in VET enrolment rates in Victoria, relative to the rest of Australia, which</w:t>
      </w:r>
      <w:r>
        <w:t xml:space="preserve"> </w:t>
      </w:r>
      <w:r w:rsidR="00126AC0">
        <w:t>—</w:t>
      </w:r>
      <w:r>
        <w:t xml:space="preserve"> </w:t>
      </w:r>
      <w:r w:rsidR="00126AC0">
        <w:t>at 4.4</w:t>
      </w:r>
      <w:r w:rsidR="00E76220">
        <w:t xml:space="preserve"> percentage points</w:t>
      </w:r>
      <w:r>
        <w:t xml:space="preserve"> </w:t>
      </w:r>
      <w:r w:rsidR="00126AC0">
        <w:t>—</w:t>
      </w:r>
      <w:r>
        <w:t xml:space="preserve"> </w:t>
      </w:r>
      <w:r w:rsidR="00126AC0">
        <w:t>is similar to the wider population (4.2</w:t>
      </w:r>
      <w:r w:rsidR="00E76220">
        <w:t xml:space="preserve"> percentage points</w:t>
      </w:r>
      <w:r w:rsidR="00126AC0">
        <w:t xml:space="preserve"> on average).</w:t>
      </w:r>
      <w:r w:rsidR="00B01602">
        <w:t xml:space="preserve"> </w:t>
      </w:r>
    </w:p>
    <w:p w:rsidR="00126AC0" w:rsidRDefault="009C0EE9" w:rsidP="00A056D3">
      <w:pPr>
        <w:pStyle w:val="Text"/>
      </w:pPr>
      <w:r>
        <w:t xml:space="preserve">The large estimated </w:t>
      </w:r>
      <w:r w:rsidR="001C72F1">
        <w:t>increase in VET participation</w:t>
      </w:r>
      <w:r>
        <w:t xml:space="preserve"> among unemployed people</w:t>
      </w:r>
      <w:r w:rsidR="00BC330A">
        <w:t xml:space="preserve"> is consistent with the </w:t>
      </w:r>
      <w:r w:rsidR="001C72F1">
        <w:t xml:space="preserve">strong </w:t>
      </w:r>
      <w:r w:rsidR="00BC330A">
        <w:t xml:space="preserve">response of people with low qualification levels (less than certificate level III) and suggests that </w:t>
      </w:r>
      <w:r w:rsidR="0009575A">
        <w:t xml:space="preserve">the </w:t>
      </w:r>
      <w:r w:rsidR="00BC330A">
        <w:t>people who stand t</w:t>
      </w:r>
      <w:r w:rsidR="00747E62">
        <w:t>o benefit most</w:t>
      </w:r>
      <w:r w:rsidR="001C72F1">
        <w:t xml:space="preserve"> from improved employment opportunities</w:t>
      </w:r>
      <w:r w:rsidR="0009575A">
        <w:t xml:space="preserve"> are those</w:t>
      </w:r>
      <w:r w:rsidR="00747E62">
        <w:t xml:space="preserve"> who most readily take advantage of increased access </w:t>
      </w:r>
      <w:r w:rsidR="001C72F1">
        <w:t xml:space="preserve">to VET. The large increase in unemployed VET participation is also likely to be driven by improved access to </w:t>
      </w:r>
      <w:r w:rsidR="00293D53">
        <w:t>foundation</w:t>
      </w:r>
      <w:r w:rsidR="001C72F1">
        <w:t xml:space="preserve"> courses</w:t>
      </w:r>
      <w:r w:rsidR="0009575A">
        <w:t>,</w:t>
      </w:r>
      <w:r w:rsidR="001C72F1">
        <w:t xml:space="preserve"> afforded under the </w:t>
      </w:r>
      <w:r w:rsidR="00CF63F6">
        <w:t xml:space="preserve">Victorian </w:t>
      </w:r>
      <w:r w:rsidR="0069560C">
        <w:t>Training Guarantee</w:t>
      </w:r>
      <w:r w:rsidR="001C72F1">
        <w:t>, especially general skills training courses</w:t>
      </w:r>
      <w:r w:rsidR="00C3314D">
        <w:t>, which</w:t>
      </w:r>
      <w:r w:rsidR="001C72F1">
        <w:t xml:space="preserve"> aim to improve employability. We estimate that among the unemployed, the </w:t>
      </w:r>
      <w:r w:rsidR="00CF63F6">
        <w:t xml:space="preserve">Victorian </w:t>
      </w:r>
      <w:r w:rsidR="0009575A">
        <w:t>Training Guarantee</w:t>
      </w:r>
      <w:r w:rsidR="001C72F1">
        <w:t xml:space="preserve"> is associated with a 13</w:t>
      </w:r>
      <w:r w:rsidR="00E76220">
        <w:t xml:space="preserve"> percentage point</w:t>
      </w:r>
      <w:r w:rsidR="00855724">
        <w:t xml:space="preserve"> increase in </w:t>
      </w:r>
      <w:r w:rsidR="00293D53">
        <w:t>foundation</w:t>
      </w:r>
      <w:r w:rsidR="00855724">
        <w:t xml:space="preserve"> course enrolments (t</w:t>
      </w:r>
      <w:r w:rsidR="001C72F1">
        <w:t xml:space="preserve">able </w:t>
      </w:r>
      <w:r w:rsidR="00FF4480">
        <w:t>D1</w:t>
      </w:r>
      <w:r w:rsidR="001C72F1">
        <w:t xml:space="preserve">, </w:t>
      </w:r>
      <w:r w:rsidR="00FF4480">
        <w:t>a</w:t>
      </w:r>
      <w:r w:rsidR="001C72F1">
        <w:t xml:space="preserve">ppendix </w:t>
      </w:r>
      <w:r w:rsidR="00FF4480">
        <w:t>D</w:t>
      </w:r>
      <w:r w:rsidR="001C72F1">
        <w:t>).</w:t>
      </w:r>
    </w:p>
    <w:p w:rsidR="009108AA" w:rsidRDefault="009108AA">
      <w:pPr>
        <w:spacing w:before="0" w:line="240" w:lineRule="auto"/>
        <w:rPr>
          <w:rFonts w:ascii="Arial" w:eastAsia="Calibri" w:hAnsi="Arial"/>
          <w:b/>
          <w:sz w:val="17"/>
          <w:lang w:eastAsia="en-AU"/>
        </w:rPr>
      </w:pPr>
      <w:bookmarkStart w:id="68" w:name="_Toc438210018"/>
      <w:r>
        <w:rPr>
          <w:rFonts w:eastAsia="Calibri"/>
        </w:rPr>
        <w:br w:type="page"/>
      </w:r>
    </w:p>
    <w:p w:rsidR="00A056D3" w:rsidRDefault="008456DB" w:rsidP="008456DB">
      <w:pPr>
        <w:pStyle w:val="tabletitle0"/>
        <w:tabs>
          <w:tab w:val="clear" w:pos="992"/>
          <w:tab w:val="left" w:pos="709"/>
        </w:tabs>
        <w:rPr>
          <w:rFonts w:eastAsia="Calibri"/>
        </w:rPr>
      </w:pPr>
      <w:bookmarkStart w:id="69" w:name="_Toc468881916"/>
      <w:r>
        <w:rPr>
          <w:rFonts w:eastAsia="Calibri"/>
        </w:rPr>
        <w:lastRenderedPageBreak/>
        <w:t>Table 3</w:t>
      </w:r>
      <w:r>
        <w:rPr>
          <w:rFonts w:eastAsia="Calibri"/>
        </w:rPr>
        <w:tab/>
      </w:r>
      <w:r w:rsidR="00A056D3">
        <w:rPr>
          <w:rFonts w:eastAsia="Calibri"/>
        </w:rPr>
        <w:t>VET student enrolment ra</w:t>
      </w:r>
      <w:r w:rsidR="00855724">
        <w:rPr>
          <w:rFonts w:eastAsia="Calibri"/>
        </w:rPr>
        <w:t>tes among population aged 25–</w:t>
      </w:r>
      <w:r w:rsidR="00A056D3">
        <w:rPr>
          <w:rFonts w:eastAsia="Calibri"/>
        </w:rPr>
        <w:t>54</w:t>
      </w:r>
      <w:r w:rsidR="00855724">
        <w:rPr>
          <w:rFonts w:eastAsia="Calibri"/>
        </w:rPr>
        <w:t xml:space="preserve"> years</w:t>
      </w:r>
      <w:r w:rsidR="00A056D3">
        <w:rPr>
          <w:rFonts w:eastAsia="Calibri"/>
        </w:rPr>
        <w:t xml:space="preserve">, by year and </w:t>
      </w:r>
      <w:r>
        <w:rPr>
          <w:rFonts w:eastAsia="Calibri"/>
        </w:rPr>
        <w:tab/>
      </w:r>
      <w:r w:rsidR="00A056D3">
        <w:rPr>
          <w:rFonts w:eastAsia="Calibri"/>
        </w:rPr>
        <w:t>population subgroup (%)</w:t>
      </w:r>
      <w:bookmarkEnd w:id="68"/>
      <w:bookmarkEnd w:id="69"/>
    </w:p>
    <w:tbl>
      <w:tblPr>
        <w:tblW w:w="5063" w:type="pct"/>
        <w:tblLook w:val="0000" w:firstRow="0" w:lastRow="0" w:firstColumn="0" w:lastColumn="0" w:noHBand="0" w:noVBand="0"/>
      </w:tblPr>
      <w:tblGrid>
        <w:gridCol w:w="235"/>
        <w:gridCol w:w="1775"/>
        <w:gridCol w:w="863"/>
        <w:gridCol w:w="966"/>
        <w:gridCol w:w="866"/>
        <w:gridCol w:w="863"/>
        <w:gridCol w:w="1027"/>
        <w:gridCol w:w="823"/>
        <w:gridCol w:w="952"/>
      </w:tblGrid>
      <w:tr w:rsidR="00A056D3" w:rsidRPr="00DA6B55" w:rsidTr="007F3590">
        <w:trPr>
          <w:trHeight w:val="289"/>
        </w:trPr>
        <w:tc>
          <w:tcPr>
            <w:tcW w:w="140" w:type="pct"/>
            <w:tcBorders>
              <w:top w:val="single" w:sz="6" w:space="0" w:color="auto"/>
              <w:left w:val="nil"/>
              <w:bottom w:val="nil"/>
              <w:right w:val="nil"/>
            </w:tcBorders>
          </w:tcPr>
          <w:p w:rsidR="00A056D3" w:rsidRPr="00DA6B55" w:rsidRDefault="00A056D3" w:rsidP="003547FE">
            <w:pPr>
              <w:pStyle w:val="Tablehead1"/>
              <w:rPr>
                <w:lang w:val="en-GB" w:eastAsia="en-GB"/>
              </w:rPr>
            </w:pPr>
          </w:p>
        </w:tc>
        <w:tc>
          <w:tcPr>
            <w:tcW w:w="1060" w:type="pct"/>
            <w:tcBorders>
              <w:top w:val="single" w:sz="6" w:space="0" w:color="auto"/>
              <w:left w:val="nil"/>
              <w:bottom w:val="nil"/>
              <w:right w:val="nil"/>
            </w:tcBorders>
          </w:tcPr>
          <w:p w:rsidR="00A056D3" w:rsidRPr="00DA6B55" w:rsidRDefault="00A056D3" w:rsidP="003547FE">
            <w:pPr>
              <w:pStyle w:val="Tablehead1"/>
              <w:rPr>
                <w:lang w:val="en-GB" w:eastAsia="en-GB"/>
              </w:rPr>
            </w:pPr>
          </w:p>
        </w:tc>
        <w:tc>
          <w:tcPr>
            <w:tcW w:w="1609" w:type="pct"/>
            <w:gridSpan w:val="3"/>
            <w:tcBorders>
              <w:top w:val="single" w:sz="6" w:space="0" w:color="auto"/>
              <w:left w:val="nil"/>
              <w:bottom w:val="nil"/>
              <w:right w:val="nil"/>
            </w:tcBorders>
          </w:tcPr>
          <w:p w:rsidR="00A056D3" w:rsidRPr="00DA6B55" w:rsidRDefault="00A056D3" w:rsidP="00FC65D6">
            <w:pPr>
              <w:pStyle w:val="Tablehead1"/>
              <w:jc w:val="center"/>
              <w:rPr>
                <w:lang w:val="en-GB" w:eastAsia="en-GB"/>
              </w:rPr>
            </w:pPr>
            <w:r w:rsidRPr="00DA6B55">
              <w:rPr>
                <w:lang w:val="en-GB" w:eastAsia="en-GB"/>
              </w:rPr>
              <w:t>Victoria</w:t>
            </w:r>
          </w:p>
        </w:tc>
        <w:tc>
          <w:tcPr>
            <w:tcW w:w="1622" w:type="pct"/>
            <w:gridSpan w:val="3"/>
            <w:tcBorders>
              <w:top w:val="single" w:sz="6" w:space="0" w:color="auto"/>
              <w:left w:val="nil"/>
              <w:bottom w:val="nil"/>
              <w:right w:val="nil"/>
            </w:tcBorders>
          </w:tcPr>
          <w:p w:rsidR="00A056D3" w:rsidRPr="00DA6B55" w:rsidRDefault="00A056D3" w:rsidP="00FC65D6">
            <w:pPr>
              <w:pStyle w:val="Tablehead1"/>
              <w:jc w:val="center"/>
              <w:rPr>
                <w:lang w:val="en-GB" w:eastAsia="en-GB"/>
              </w:rPr>
            </w:pPr>
            <w:r>
              <w:rPr>
                <w:lang w:val="en-GB" w:eastAsia="en-GB"/>
              </w:rPr>
              <w:t xml:space="preserve">Rest of </w:t>
            </w:r>
            <w:proofErr w:type="spellStart"/>
            <w:r w:rsidRPr="00DA6B55">
              <w:rPr>
                <w:lang w:val="en-GB" w:eastAsia="en-GB"/>
              </w:rPr>
              <w:t>Australia</w:t>
            </w:r>
            <w:r w:rsidRPr="000233E9">
              <w:rPr>
                <w:vertAlign w:val="superscript"/>
                <w:lang w:val="en-GB" w:eastAsia="en-GB"/>
              </w:rPr>
              <w:t>a</w:t>
            </w:r>
            <w:proofErr w:type="spellEnd"/>
          </w:p>
        </w:tc>
        <w:tc>
          <w:tcPr>
            <w:tcW w:w="570" w:type="pct"/>
            <w:tcBorders>
              <w:top w:val="single" w:sz="6" w:space="0" w:color="auto"/>
              <w:left w:val="nil"/>
              <w:bottom w:val="nil"/>
              <w:right w:val="nil"/>
            </w:tcBorders>
          </w:tcPr>
          <w:p w:rsidR="00A056D3" w:rsidRPr="00DA6B55" w:rsidRDefault="003A452E" w:rsidP="007F3590">
            <w:pPr>
              <w:pStyle w:val="Tablehead1"/>
              <w:jc w:val="right"/>
              <w:rPr>
                <w:lang w:val="en-GB" w:eastAsia="en-GB"/>
              </w:rPr>
            </w:pPr>
            <w:proofErr w:type="spellStart"/>
            <w:r>
              <w:rPr>
                <w:lang w:val="en-GB" w:eastAsia="en-GB"/>
              </w:rPr>
              <w:t>Di</w:t>
            </w:r>
            <w:r w:rsidR="00A056D3">
              <w:rPr>
                <w:lang w:val="en-GB" w:eastAsia="en-GB"/>
              </w:rPr>
              <w:t>D</w:t>
            </w:r>
            <w:r w:rsidR="00A056D3" w:rsidRPr="000233E9">
              <w:rPr>
                <w:vertAlign w:val="superscript"/>
                <w:lang w:val="en-GB" w:eastAsia="en-GB"/>
              </w:rPr>
              <w:t>b</w:t>
            </w:r>
            <w:proofErr w:type="spellEnd"/>
          </w:p>
        </w:tc>
      </w:tr>
      <w:tr w:rsidR="00A056D3" w:rsidRPr="00DA6B55" w:rsidTr="007F3590">
        <w:trPr>
          <w:trHeight w:val="289"/>
        </w:trPr>
        <w:tc>
          <w:tcPr>
            <w:tcW w:w="140" w:type="pct"/>
            <w:tcBorders>
              <w:top w:val="nil"/>
              <w:left w:val="nil"/>
              <w:bottom w:val="single" w:sz="6" w:space="0" w:color="auto"/>
              <w:right w:val="nil"/>
            </w:tcBorders>
          </w:tcPr>
          <w:p w:rsidR="00A056D3" w:rsidRPr="00DA6B55" w:rsidRDefault="00A056D3" w:rsidP="003547FE">
            <w:pPr>
              <w:pStyle w:val="Tablehead2"/>
              <w:rPr>
                <w:lang w:val="en-GB" w:eastAsia="en-GB"/>
              </w:rPr>
            </w:pPr>
          </w:p>
        </w:tc>
        <w:tc>
          <w:tcPr>
            <w:tcW w:w="1060" w:type="pct"/>
            <w:tcBorders>
              <w:top w:val="nil"/>
              <w:left w:val="nil"/>
              <w:bottom w:val="single" w:sz="6" w:space="0" w:color="auto"/>
              <w:right w:val="nil"/>
            </w:tcBorders>
          </w:tcPr>
          <w:p w:rsidR="00A056D3" w:rsidRPr="00DA6B55" w:rsidRDefault="00A056D3" w:rsidP="003547FE">
            <w:pPr>
              <w:pStyle w:val="Tablehead2"/>
              <w:rPr>
                <w:lang w:val="en-GB" w:eastAsia="en-GB"/>
              </w:rPr>
            </w:pPr>
          </w:p>
        </w:tc>
        <w:tc>
          <w:tcPr>
            <w:tcW w:w="515" w:type="pct"/>
            <w:tcBorders>
              <w:top w:val="nil"/>
              <w:left w:val="nil"/>
              <w:bottom w:val="single" w:sz="6" w:space="0" w:color="auto"/>
              <w:right w:val="nil"/>
            </w:tcBorders>
          </w:tcPr>
          <w:p w:rsidR="00A056D3" w:rsidRPr="00DA6B55" w:rsidRDefault="00A056D3" w:rsidP="00A473B4">
            <w:pPr>
              <w:pStyle w:val="Tablehead2"/>
              <w:jc w:val="center"/>
              <w:rPr>
                <w:lang w:val="en-GB" w:eastAsia="en-GB"/>
              </w:rPr>
            </w:pPr>
            <w:r w:rsidRPr="00DA6B55">
              <w:rPr>
                <w:lang w:val="en-GB" w:eastAsia="en-GB"/>
              </w:rPr>
              <w:t>2008</w:t>
            </w:r>
          </w:p>
        </w:tc>
        <w:tc>
          <w:tcPr>
            <w:tcW w:w="577" w:type="pct"/>
            <w:tcBorders>
              <w:top w:val="nil"/>
              <w:left w:val="nil"/>
              <w:bottom w:val="single" w:sz="6" w:space="0" w:color="auto"/>
              <w:right w:val="nil"/>
            </w:tcBorders>
          </w:tcPr>
          <w:p w:rsidR="00A056D3" w:rsidRPr="00DA6B55" w:rsidRDefault="00855724" w:rsidP="003547FE">
            <w:pPr>
              <w:pStyle w:val="Tablehead2"/>
              <w:rPr>
                <w:lang w:val="en-GB" w:eastAsia="en-GB"/>
              </w:rPr>
            </w:pPr>
            <w:r>
              <w:rPr>
                <w:lang w:val="en-GB" w:eastAsia="en-GB"/>
              </w:rPr>
              <w:t>2011–</w:t>
            </w:r>
            <w:r w:rsidR="00747916">
              <w:rPr>
                <w:lang w:val="en-GB" w:eastAsia="en-GB"/>
              </w:rPr>
              <w:t>12</w:t>
            </w:r>
          </w:p>
        </w:tc>
        <w:tc>
          <w:tcPr>
            <w:tcW w:w="517" w:type="pct"/>
            <w:tcBorders>
              <w:top w:val="nil"/>
              <w:left w:val="nil"/>
              <w:bottom w:val="single" w:sz="6" w:space="0" w:color="auto"/>
              <w:right w:val="nil"/>
            </w:tcBorders>
          </w:tcPr>
          <w:p w:rsidR="00A056D3" w:rsidRPr="00DA6B55" w:rsidRDefault="00A056D3" w:rsidP="003547FE">
            <w:pPr>
              <w:pStyle w:val="Tablehead2"/>
              <w:rPr>
                <w:lang w:val="en-GB" w:eastAsia="en-GB"/>
              </w:rPr>
            </w:pPr>
            <w:r>
              <w:rPr>
                <w:lang w:val="en-GB" w:eastAsia="en-GB"/>
              </w:rPr>
              <w:t>Change</w:t>
            </w:r>
          </w:p>
        </w:tc>
        <w:tc>
          <w:tcPr>
            <w:tcW w:w="516" w:type="pct"/>
            <w:tcBorders>
              <w:top w:val="nil"/>
              <w:left w:val="nil"/>
              <w:bottom w:val="single" w:sz="6" w:space="0" w:color="auto"/>
              <w:right w:val="nil"/>
            </w:tcBorders>
          </w:tcPr>
          <w:p w:rsidR="00A056D3" w:rsidRPr="00DA6B55" w:rsidRDefault="00A056D3" w:rsidP="00A473B4">
            <w:pPr>
              <w:pStyle w:val="Tablehead2"/>
              <w:jc w:val="center"/>
              <w:rPr>
                <w:lang w:val="en-GB" w:eastAsia="en-GB"/>
              </w:rPr>
            </w:pPr>
            <w:r w:rsidRPr="00DA6B55">
              <w:rPr>
                <w:lang w:val="en-GB" w:eastAsia="en-GB"/>
              </w:rPr>
              <w:t>2008</w:t>
            </w:r>
          </w:p>
        </w:tc>
        <w:tc>
          <w:tcPr>
            <w:tcW w:w="614" w:type="pct"/>
            <w:tcBorders>
              <w:top w:val="nil"/>
              <w:left w:val="nil"/>
              <w:bottom w:val="single" w:sz="6" w:space="0" w:color="auto"/>
              <w:right w:val="nil"/>
            </w:tcBorders>
          </w:tcPr>
          <w:p w:rsidR="00A056D3" w:rsidRPr="00DA6B55" w:rsidRDefault="00855724" w:rsidP="003547FE">
            <w:pPr>
              <w:pStyle w:val="Tablehead2"/>
              <w:rPr>
                <w:lang w:val="en-GB" w:eastAsia="en-GB"/>
              </w:rPr>
            </w:pPr>
            <w:r>
              <w:rPr>
                <w:lang w:val="en-GB" w:eastAsia="en-GB"/>
              </w:rPr>
              <w:t>2011–</w:t>
            </w:r>
            <w:r w:rsidR="00747916">
              <w:rPr>
                <w:lang w:val="en-GB" w:eastAsia="en-GB"/>
              </w:rPr>
              <w:t>12</w:t>
            </w:r>
          </w:p>
        </w:tc>
        <w:tc>
          <w:tcPr>
            <w:tcW w:w="492" w:type="pct"/>
            <w:tcBorders>
              <w:top w:val="nil"/>
              <w:left w:val="nil"/>
              <w:bottom w:val="single" w:sz="6" w:space="0" w:color="auto"/>
              <w:right w:val="nil"/>
            </w:tcBorders>
          </w:tcPr>
          <w:p w:rsidR="00A056D3" w:rsidRPr="00DA6B55" w:rsidRDefault="00A056D3" w:rsidP="003547FE">
            <w:pPr>
              <w:pStyle w:val="Tablehead2"/>
              <w:rPr>
                <w:lang w:val="en-GB" w:eastAsia="en-GB"/>
              </w:rPr>
            </w:pPr>
            <w:r>
              <w:rPr>
                <w:lang w:val="en-GB" w:eastAsia="en-GB"/>
              </w:rPr>
              <w:t>Change</w:t>
            </w:r>
          </w:p>
        </w:tc>
        <w:tc>
          <w:tcPr>
            <w:tcW w:w="570" w:type="pct"/>
            <w:tcBorders>
              <w:top w:val="nil"/>
              <w:left w:val="nil"/>
              <w:bottom w:val="single" w:sz="6" w:space="0" w:color="auto"/>
              <w:right w:val="nil"/>
            </w:tcBorders>
          </w:tcPr>
          <w:p w:rsidR="00A056D3" w:rsidRPr="00DA6B55" w:rsidRDefault="00A056D3" w:rsidP="003547FE">
            <w:pPr>
              <w:pStyle w:val="Tablehead2"/>
              <w:rPr>
                <w:lang w:val="en-GB" w:eastAsia="en-GB"/>
              </w:rPr>
            </w:pPr>
          </w:p>
        </w:tc>
      </w:tr>
      <w:tr w:rsidR="00A056D3" w:rsidRPr="007F021B" w:rsidTr="007F3590">
        <w:trPr>
          <w:trHeight w:val="289"/>
        </w:trPr>
        <w:tc>
          <w:tcPr>
            <w:tcW w:w="1200" w:type="pct"/>
            <w:gridSpan w:val="2"/>
            <w:tcBorders>
              <w:top w:val="nil"/>
              <w:left w:val="nil"/>
              <w:bottom w:val="nil"/>
              <w:right w:val="nil"/>
            </w:tcBorders>
          </w:tcPr>
          <w:p w:rsidR="00A056D3" w:rsidRPr="007F021B" w:rsidRDefault="00A056D3" w:rsidP="000E1068">
            <w:pPr>
              <w:pStyle w:val="Tabletext"/>
              <w:rPr>
                <w:lang w:val="en-GB" w:eastAsia="en-GB"/>
              </w:rPr>
            </w:pPr>
            <w:r w:rsidRPr="007F021B">
              <w:rPr>
                <w:lang w:val="en-GB" w:eastAsia="en-GB"/>
              </w:rPr>
              <w:t>Gender</w:t>
            </w:r>
          </w:p>
        </w:tc>
        <w:tc>
          <w:tcPr>
            <w:tcW w:w="515" w:type="pct"/>
            <w:tcBorders>
              <w:top w:val="nil"/>
              <w:left w:val="nil"/>
              <w:bottom w:val="nil"/>
              <w:right w:val="nil"/>
            </w:tcBorders>
          </w:tcPr>
          <w:p w:rsidR="00A056D3" w:rsidRPr="007F021B" w:rsidRDefault="00A056D3" w:rsidP="000E1068">
            <w:pPr>
              <w:pStyle w:val="Tabletext"/>
              <w:rPr>
                <w:lang w:val="en-GB" w:eastAsia="en-GB"/>
              </w:rPr>
            </w:pPr>
          </w:p>
        </w:tc>
        <w:tc>
          <w:tcPr>
            <w:tcW w:w="577" w:type="pct"/>
            <w:tcBorders>
              <w:top w:val="nil"/>
              <w:left w:val="nil"/>
              <w:bottom w:val="nil"/>
              <w:right w:val="nil"/>
            </w:tcBorders>
          </w:tcPr>
          <w:p w:rsidR="00A056D3" w:rsidRPr="007F021B" w:rsidRDefault="00A056D3" w:rsidP="000E1068">
            <w:pPr>
              <w:pStyle w:val="Tabletext"/>
              <w:rPr>
                <w:lang w:val="en-GB" w:eastAsia="en-GB"/>
              </w:rPr>
            </w:pPr>
          </w:p>
        </w:tc>
        <w:tc>
          <w:tcPr>
            <w:tcW w:w="517" w:type="pct"/>
            <w:tcBorders>
              <w:top w:val="nil"/>
              <w:left w:val="nil"/>
              <w:bottom w:val="nil"/>
              <w:right w:val="nil"/>
            </w:tcBorders>
          </w:tcPr>
          <w:p w:rsidR="00A056D3" w:rsidRPr="007F021B" w:rsidRDefault="00A056D3" w:rsidP="000E1068">
            <w:pPr>
              <w:pStyle w:val="Tabletext"/>
              <w:rPr>
                <w:lang w:val="en-GB" w:eastAsia="en-GB"/>
              </w:rPr>
            </w:pPr>
          </w:p>
        </w:tc>
        <w:tc>
          <w:tcPr>
            <w:tcW w:w="516" w:type="pct"/>
            <w:tcBorders>
              <w:top w:val="nil"/>
              <w:left w:val="nil"/>
              <w:bottom w:val="nil"/>
              <w:right w:val="nil"/>
            </w:tcBorders>
          </w:tcPr>
          <w:p w:rsidR="00A056D3" w:rsidRPr="007F021B" w:rsidRDefault="00A056D3" w:rsidP="000E1068">
            <w:pPr>
              <w:pStyle w:val="Tabletext"/>
              <w:rPr>
                <w:lang w:val="en-GB" w:eastAsia="en-GB"/>
              </w:rPr>
            </w:pPr>
          </w:p>
        </w:tc>
        <w:tc>
          <w:tcPr>
            <w:tcW w:w="614" w:type="pct"/>
            <w:tcBorders>
              <w:top w:val="nil"/>
              <w:left w:val="nil"/>
              <w:bottom w:val="nil"/>
              <w:right w:val="nil"/>
            </w:tcBorders>
          </w:tcPr>
          <w:p w:rsidR="00A056D3" w:rsidRPr="007F021B" w:rsidRDefault="00A056D3" w:rsidP="000E1068">
            <w:pPr>
              <w:pStyle w:val="Tabletext"/>
              <w:rPr>
                <w:lang w:val="en-GB" w:eastAsia="en-GB"/>
              </w:rPr>
            </w:pPr>
          </w:p>
        </w:tc>
        <w:tc>
          <w:tcPr>
            <w:tcW w:w="492" w:type="pct"/>
            <w:tcBorders>
              <w:top w:val="nil"/>
              <w:left w:val="nil"/>
              <w:bottom w:val="nil"/>
              <w:right w:val="nil"/>
            </w:tcBorders>
          </w:tcPr>
          <w:p w:rsidR="00A056D3" w:rsidRPr="007F021B" w:rsidRDefault="00A056D3" w:rsidP="000E1068">
            <w:pPr>
              <w:pStyle w:val="Tabletext"/>
              <w:rPr>
                <w:lang w:val="en-GB" w:eastAsia="en-GB"/>
              </w:rPr>
            </w:pPr>
          </w:p>
        </w:tc>
        <w:tc>
          <w:tcPr>
            <w:tcW w:w="570" w:type="pct"/>
            <w:tcBorders>
              <w:top w:val="nil"/>
              <w:left w:val="nil"/>
              <w:bottom w:val="nil"/>
              <w:right w:val="nil"/>
            </w:tcBorders>
          </w:tcPr>
          <w:p w:rsidR="00A056D3" w:rsidRPr="007F021B" w:rsidRDefault="00A056D3" w:rsidP="007F3590">
            <w:pPr>
              <w:pStyle w:val="Tabletext"/>
              <w:tabs>
                <w:tab w:val="decimal" w:pos="480"/>
              </w:tabs>
              <w:rPr>
                <w:lang w:val="en-GB" w:eastAsia="en-GB"/>
              </w:rPr>
            </w:pPr>
          </w:p>
        </w:tc>
      </w:tr>
      <w:tr w:rsidR="00A056D3" w:rsidRPr="007F021B" w:rsidTr="007F3590">
        <w:trPr>
          <w:trHeight w:val="289"/>
        </w:trPr>
        <w:tc>
          <w:tcPr>
            <w:tcW w:w="140" w:type="pct"/>
            <w:tcBorders>
              <w:top w:val="nil"/>
              <w:left w:val="nil"/>
              <w:bottom w:val="nil"/>
              <w:right w:val="nil"/>
            </w:tcBorders>
          </w:tcPr>
          <w:p w:rsidR="00A056D3" w:rsidRPr="007F021B" w:rsidRDefault="00A056D3" w:rsidP="000E1068">
            <w:pPr>
              <w:pStyle w:val="Tabletext"/>
              <w:rPr>
                <w:lang w:val="en-GB" w:eastAsia="en-GB"/>
              </w:rPr>
            </w:pPr>
          </w:p>
        </w:tc>
        <w:tc>
          <w:tcPr>
            <w:tcW w:w="1060" w:type="pct"/>
            <w:tcBorders>
              <w:top w:val="nil"/>
              <w:left w:val="nil"/>
              <w:bottom w:val="nil"/>
              <w:right w:val="nil"/>
            </w:tcBorders>
          </w:tcPr>
          <w:p w:rsidR="00A056D3" w:rsidRPr="007F021B" w:rsidRDefault="00A056D3" w:rsidP="000E1068">
            <w:pPr>
              <w:pStyle w:val="Tabletext"/>
              <w:rPr>
                <w:lang w:val="en-GB" w:eastAsia="en-GB"/>
              </w:rPr>
            </w:pPr>
            <w:r w:rsidRPr="007F021B">
              <w:rPr>
                <w:lang w:val="en-GB" w:eastAsia="en-GB"/>
              </w:rPr>
              <w:t>Male</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6.4</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12.0</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5.5</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4.5</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5.4</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1.0</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4.5</w:t>
            </w:r>
          </w:p>
        </w:tc>
      </w:tr>
      <w:tr w:rsidR="00A056D3" w:rsidRPr="007F021B" w:rsidTr="007F3590">
        <w:trPr>
          <w:trHeight w:val="289"/>
        </w:trPr>
        <w:tc>
          <w:tcPr>
            <w:tcW w:w="140" w:type="pct"/>
            <w:tcBorders>
              <w:top w:val="nil"/>
              <w:left w:val="nil"/>
              <w:right w:val="nil"/>
            </w:tcBorders>
          </w:tcPr>
          <w:p w:rsidR="00A056D3" w:rsidRPr="007F021B" w:rsidRDefault="00A056D3" w:rsidP="000E1068">
            <w:pPr>
              <w:pStyle w:val="Tabletext"/>
              <w:rPr>
                <w:lang w:val="en-GB" w:eastAsia="en-GB"/>
              </w:rPr>
            </w:pPr>
          </w:p>
        </w:tc>
        <w:tc>
          <w:tcPr>
            <w:tcW w:w="1060" w:type="pct"/>
            <w:tcBorders>
              <w:top w:val="nil"/>
              <w:left w:val="nil"/>
              <w:right w:val="nil"/>
            </w:tcBorders>
          </w:tcPr>
          <w:p w:rsidR="00A056D3" w:rsidRPr="007F021B" w:rsidRDefault="00A056D3" w:rsidP="000E1068">
            <w:pPr>
              <w:pStyle w:val="Tabletext"/>
              <w:rPr>
                <w:lang w:val="en-GB" w:eastAsia="en-GB"/>
              </w:rPr>
            </w:pPr>
            <w:r w:rsidRPr="007F021B">
              <w:rPr>
                <w:lang w:val="en-GB" w:eastAsia="en-GB"/>
              </w:rPr>
              <w:t>Female</w:t>
            </w:r>
          </w:p>
        </w:tc>
        <w:tc>
          <w:tcPr>
            <w:tcW w:w="515" w:type="pct"/>
            <w:tcBorders>
              <w:top w:val="nil"/>
              <w:left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6.2</w:t>
            </w:r>
          </w:p>
        </w:tc>
        <w:tc>
          <w:tcPr>
            <w:tcW w:w="577" w:type="pct"/>
            <w:tcBorders>
              <w:top w:val="nil"/>
              <w:left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10.7</w:t>
            </w:r>
          </w:p>
        </w:tc>
        <w:tc>
          <w:tcPr>
            <w:tcW w:w="517" w:type="pct"/>
            <w:tcBorders>
              <w:top w:val="nil"/>
              <w:left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4.6</w:t>
            </w:r>
          </w:p>
        </w:tc>
        <w:tc>
          <w:tcPr>
            <w:tcW w:w="516" w:type="pct"/>
            <w:tcBorders>
              <w:top w:val="nil"/>
              <w:left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5.4</w:t>
            </w:r>
          </w:p>
        </w:tc>
        <w:tc>
          <w:tcPr>
            <w:tcW w:w="614" w:type="pct"/>
            <w:tcBorders>
              <w:top w:val="nil"/>
              <w:left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6.1</w:t>
            </w:r>
          </w:p>
        </w:tc>
        <w:tc>
          <w:tcPr>
            <w:tcW w:w="492" w:type="pct"/>
            <w:tcBorders>
              <w:top w:val="nil"/>
              <w:left w:val="nil"/>
              <w:right w:val="nil"/>
            </w:tcBorders>
          </w:tcPr>
          <w:p w:rsidR="00A056D3" w:rsidRPr="007F021B" w:rsidRDefault="00A056D3" w:rsidP="00FC65D6">
            <w:pPr>
              <w:pStyle w:val="Tabletext"/>
              <w:jc w:val="center"/>
              <w:rPr>
                <w:lang w:val="en-GB" w:eastAsia="en-GB"/>
              </w:rPr>
            </w:pPr>
            <w:r w:rsidRPr="007F021B">
              <w:rPr>
                <w:lang w:val="en-GB" w:eastAsia="en-GB"/>
              </w:rPr>
              <w:t>0.7</w:t>
            </w:r>
          </w:p>
        </w:tc>
        <w:tc>
          <w:tcPr>
            <w:tcW w:w="570" w:type="pct"/>
            <w:tcBorders>
              <w:top w:val="nil"/>
              <w:left w:val="nil"/>
              <w:right w:val="nil"/>
            </w:tcBorders>
          </w:tcPr>
          <w:p w:rsidR="00A056D3" w:rsidRPr="00FC65D6" w:rsidRDefault="00A056D3" w:rsidP="007F3590">
            <w:pPr>
              <w:pStyle w:val="Tabletext"/>
              <w:tabs>
                <w:tab w:val="decimal" w:pos="480"/>
              </w:tabs>
              <w:jc w:val="center"/>
            </w:pPr>
            <w:r w:rsidRPr="00FC65D6">
              <w:t>3.8</w:t>
            </w:r>
          </w:p>
        </w:tc>
      </w:tr>
      <w:tr w:rsidR="00A056D3" w:rsidRPr="007F021B" w:rsidTr="007F3590">
        <w:trPr>
          <w:trHeight w:val="289"/>
        </w:trPr>
        <w:tc>
          <w:tcPr>
            <w:tcW w:w="1200" w:type="pct"/>
            <w:gridSpan w:val="2"/>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Age</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25</w:t>
            </w:r>
            <w:r w:rsidR="00855724">
              <w:rPr>
                <w:lang w:val="en-GB" w:eastAsia="en-GB"/>
              </w:rPr>
              <w:t>–</w:t>
            </w:r>
            <w:r w:rsidRPr="007F021B">
              <w:rPr>
                <w:lang w:val="en-GB" w:eastAsia="en-GB"/>
              </w:rPr>
              <w:t>29</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8.5</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14.7</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6.1</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6.7</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7.7</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1.0</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5.1</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30</w:t>
            </w:r>
            <w:r w:rsidR="00855724">
              <w:rPr>
                <w:lang w:val="en-GB" w:eastAsia="en-GB"/>
              </w:rPr>
              <w:t>–</w:t>
            </w:r>
            <w:r w:rsidRPr="007F021B">
              <w:rPr>
                <w:lang w:val="en-GB" w:eastAsia="en-GB"/>
              </w:rPr>
              <w:t>34</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7.0</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12.5</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5.5</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5.6</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6.7</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1.1</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4.4</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35</w:t>
            </w:r>
            <w:r w:rsidR="00855724">
              <w:rPr>
                <w:lang w:val="en-GB" w:eastAsia="en-GB"/>
              </w:rPr>
              <w:t>–</w:t>
            </w:r>
            <w:r w:rsidRPr="007F021B">
              <w:rPr>
                <w:lang w:val="en-GB" w:eastAsia="en-GB"/>
              </w:rPr>
              <w:t>39</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6.6</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11.6</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4.9</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5.3</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6.0</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0.7</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4.2</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40</w:t>
            </w:r>
            <w:r w:rsidR="00855724">
              <w:rPr>
                <w:lang w:val="en-GB" w:eastAsia="en-GB"/>
              </w:rPr>
              <w:t>–</w:t>
            </w:r>
            <w:r w:rsidRPr="007F021B">
              <w:rPr>
                <w:lang w:val="en-GB" w:eastAsia="en-GB"/>
              </w:rPr>
              <w:t>44</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6.0</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11.0</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5.0</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4.7</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5.6</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0.8</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4.2</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45</w:t>
            </w:r>
            <w:r w:rsidR="00855724">
              <w:rPr>
                <w:lang w:val="en-GB" w:eastAsia="en-GB"/>
              </w:rPr>
              <w:t>–</w:t>
            </w:r>
            <w:r w:rsidRPr="007F021B">
              <w:rPr>
                <w:lang w:val="en-GB" w:eastAsia="en-GB"/>
              </w:rPr>
              <w:t>49</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5.5</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9.9</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4.4</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4.2</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4.9</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0.7</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3.7</w:t>
            </w:r>
          </w:p>
        </w:tc>
      </w:tr>
      <w:tr w:rsidR="00A056D3" w:rsidRPr="007F021B" w:rsidTr="007F3590">
        <w:trPr>
          <w:trHeight w:val="289"/>
        </w:trPr>
        <w:tc>
          <w:tcPr>
            <w:tcW w:w="140" w:type="pct"/>
            <w:tcBorders>
              <w:top w:val="nil"/>
              <w:left w:val="nil"/>
              <w:right w:val="nil"/>
            </w:tcBorders>
          </w:tcPr>
          <w:p w:rsidR="00A056D3" w:rsidRPr="007F021B" w:rsidRDefault="00A056D3" w:rsidP="003547FE">
            <w:pPr>
              <w:pStyle w:val="Tabletext"/>
              <w:rPr>
                <w:lang w:val="en-GB" w:eastAsia="en-GB"/>
              </w:rPr>
            </w:pPr>
          </w:p>
        </w:tc>
        <w:tc>
          <w:tcPr>
            <w:tcW w:w="1060" w:type="pct"/>
            <w:tcBorders>
              <w:top w:val="nil"/>
              <w:left w:val="nil"/>
              <w:right w:val="nil"/>
            </w:tcBorders>
          </w:tcPr>
          <w:p w:rsidR="00A056D3" w:rsidRPr="007F021B" w:rsidRDefault="00A056D3" w:rsidP="003547FE">
            <w:pPr>
              <w:pStyle w:val="Tabletext"/>
              <w:rPr>
                <w:lang w:val="en-GB" w:eastAsia="en-GB"/>
              </w:rPr>
            </w:pPr>
            <w:r w:rsidRPr="007F021B">
              <w:rPr>
                <w:lang w:val="en-GB" w:eastAsia="en-GB"/>
              </w:rPr>
              <w:t>50</w:t>
            </w:r>
            <w:r w:rsidR="00855724">
              <w:rPr>
                <w:lang w:val="en-GB" w:eastAsia="en-GB"/>
              </w:rPr>
              <w:t>–</w:t>
            </w:r>
            <w:r w:rsidRPr="007F021B">
              <w:rPr>
                <w:lang w:val="en-GB" w:eastAsia="en-GB"/>
              </w:rPr>
              <w:t>54</w:t>
            </w:r>
          </w:p>
        </w:tc>
        <w:tc>
          <w:tcPr>
            <w:tcW w:w="515" w:type="pct"/>
            <w:tcBorders>
              <w:top w:val="nil"/>
              <w:left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4.1</w:t>
            </w:r>
          </w:p>
        </w:tc>
        <w:tc>
          <w:tcPr>
            <w:tcW w:w="577" w:type="pct"/>
            <w:tcBorders>
              <w:top w:val="nil"/>
              <w:left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8.1</w:t>
            </w:r>
          </w:p>
        </w:tc>
        <w:tc>
          <w:tcPr>
            <w:tcW w:w="517" w:type="pct"/>
            <w:tcBorders>
              <w:top w:val="nil"/>
              <w:left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4.0</w:t>
            </w:r>
          </w:p>
        </w:tc>
        <w:tc>
          <w:tcPr>
            <w:tcW w:w="516" w:type="pct"/>
            <w:tcBorders>
              <w:top w:val="nil"/>
              <w:left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3.2</w:t>
            </w:r>
          </w:p>
        </w:tc>
        <w:tc>
          <w:tcPr>
            <w:tcW w:w="614" w:type="pct"/>
            <w:tcBorders>
              <w:top w:val="nil"/>
              <w:left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3.9</w:t>
            </w:r>
          </w:p>
        </w:tc>
        <w:tc>
          <w:tcPr>
            <w:tcW w:w="492" w:type="pct"/>
            <w:tcBorders>
              <w:top w:val="nil"/>
              <w:left w:val="nil"/>
              <w:right w:val="nil"/>
            </w:tcBorders>
          </w:tcPr>
          <w:p w:rsidR="00A056D3" w:rsidRPr="007F021B" w:rsidRDefault="00A056D3" w:rsidP="00FC65D6">
            <w:pPr>
              <w:pStyle w:val="Tabletext"/>
              <w:jc w:val="center"/>
              <w:rPr>
                <w:lang w:val="en-GB" w:eastAsia="en-GB"/>
              </w:rPr>
            </w:pPr>
            <w:r w:rsidRPr="007F021B">
              <w:rPr>
                <w:lang w:val="en-GB" w:eastAsia="en-GB"/>
              </w:rPr>
              <w:t>0.7</w:t>
            </w:r>
          </w:p>
        </w:tc>
        <w:tc>
          <w:tcPr>
            <w:tcW w:w="570" w:type="pct"/>
            <w:tcBorders>
              <w:top w:val="nil"/>
              <w:left w:val="nil"/>
              <w:right w:val="nil"/>
            </w:tcBorders>
          </w:tcPr>
          <w:p w:rsidR="00A056D3" w:rsidRPr="00FC65D6" w:rsidRDefault="00A056D3" w:rsidP="007F3590">
            <w:pPr>
              <w:pStyle w:val="Tabletext"/>
              <w:tabs>
                <w:tab w:val="decimal" w:pos="480"/>
              </w:tabs>
              <w:jc w:val="center"/>
            </w:pPr>
            <w:r w:rsidRPr="00FC65D6">
              <w:t>3.3</w:t>
            </w:r>
          </w:p>
        </w:tc>
      </w:tr>
      <w:tr w:rsidR="00A056D3" w:rsidRPr="007F021B" w:rsidTr="007F3590">
        <w:trPr>
          <w:trHeight w:val="289"/>
        </w:trPr>
        <w:tc>
          <w:tcPr>
            <w:tcW w:w="1200" w:type="pct"/>
            <w:gridSpan w:val="2"/>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Country of birth</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Australia</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5.9</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10.5</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4.7</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4.5</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5.0</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0.5</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4.2</w:t>
            </w:r>
          </w:p>
        </w:tc>
      </w:tr>
      <w:tr w:rsidR="00A056D3" w:rsidRPr="007F021B" w:rsidTr="007F3590">
        <w:trPr>
          <w:trHeight w:val="289"/>
        </w:trPr>
        <w:tc>
          <w:tcPr>
            <w:tcW w:w="140" w:type="pct"/>
            <w:tcBorders>
              <w:top w:val="nil"/>
              <w:left w:val="nil"/>
              <w:right w:val="nil"/>
            </w:tcBorders>
          </w:tcPr>
          <w:p w:rsidR="00A056D3" w:rsidRPr="007F021B" w:rsidRDefault="00A056D3" w:rsidP="003547FE">
            <w:pPr>
              <w:pStyle w:val="Tabletext"/>
              <w:rPr>
                <w:lang w:val="en-GB" w:eastAsia="en-GB"/>
              </w:rPr>
            </w:pPr>
          </w:p>
        </w:tc>
        <w:tc>
          <w:tcPr>
            <w:tcW w:w="1060" w:type="pct"/>
            <w:tcBorders>
              <w:top w:val="nil"/>
              <w:left w:val="nil"/>
              <w:right w:val="nil"/>
            </w:tcBorders>
          </w:tcPr>
          <w:p w:rsidR="00A056D3" w:rsidRPr="007F021B" w:rsidRDefault="00A056D3" w:rsidP="003547FE">
            <w:pPr>
              <w:pStyle w:val="Tabletext"/>
              <w:rPr>
                <w:lang w:val="en-GB" w:eastAsia="en-GB"/>
              </w:rPr>
            </w:pPr>
            <w:r w:rsidRPr="007F021B">
              <w:rPr>
                <w:lang w:val="en-GB" w:eastAsia="en-GB"/>
              </w:rPr>
              <w:t>Not Australia</w:t>
            </w:r>
          </w:p>
        </w:tc>
        <w:tc>
          <w:tcPr>
            <w:tcW w:w="515" w:type="pct"/>
            <w:tcBorders>
              <w:top w:val="nil"/>
              <w:left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7.2</w:t>
            </w:r>
          </w:p>
        </w:tc>
        <w:tc>
          <w:tcPr>
            <w:tcW w:w="577" w:type="pct"/>
            <w:tcBorders>
              <w:top w:val="nil"/>
              <w:left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13.2</w:t>
            </w:r>
          </w:p>
        </w:tc>
        <w:tc>
          <w:tcPr>
            <w:tcW w:w="517" w:type="pct"/>
            <w:tcBorders>
              <w:top w:val="nil"/>
              <w:left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6.0</w:t>
            </w:r>
          </w:p>
        </w:tc>
        <w:tc>
          <w:tcPr>
            <w:tcW w:w="516" w:type="pct"/>
            <w:tcBorders>
              <w:top w:val="nil"/>
              <w:left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5.8</w:t>
            </w:r>
          </w:p>
        </w:tc>
        <w:tc>
          <w:tcPr>
            <w:tcW w:w="614" w:type="pct"/>
            <w:tcBorders>
              <w:top w:val="nil"/>
              <w:left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7.6</w:t>
            </w:r>
          </w:p>
        </w:tc>
        <w:tc>
          <w:tcPr>
            <w:tcW w:w="492" w:type="pct"/>
            <w:tcBorders>
              <w:top w:val="nil"/>
              <w:left w:val="nil"/>
              <w:right w:val="nil"/>
            </w:tcBorders>
          </w:tcPr>
          <w:p w:rsidR="00A056D3" w:rsidRPr="007F021B" w:rsidRDefault="00A056D3" w:rsidP="00FC65D6">
            <w:pPr>
              <w:pStyle w:val="Tabletext"/>
              <w:jc w:val="center"/>
              <w:rPr>
                <w:lang w:val="en-GB" w:eastAsia="en-GB"/>
              </w:rPr>
            </w:pPr>
            <w:r w:rsidRPr="007F021B">
              <w:rPr>
                <w:lang w:val="en-GB" w:eastAsia="en-GB"/>
              </w:rPr>
              <w:t>1.8</w:t>
            </w:r>
          </w:p>
        </w:tc>
        <w:tc>
          <w:tcPr>
            <w:tcW w:w="570" w:type="pct"/>
            <w:tcBorders>
              <w:top w:val="nil"/>
              <w:left w:val="nil"/>
              <w:right w:val="nil"/>
            </w:tcBorders>
          </w:tcPr>
          <w:p w:rsidR="00A056D3" w:rsidRPr="00FC65D6" w:rsidRDefault="00A056D3" w:rsidP="007F3590">
            <w:pPr>
              <w:pStyle w:val="Tabletext"/>
              <w:tabs>
                <w:tab w:val="decimal" w:pos="480"/>
              </w:tabs>
              <w:jc w:val="center"/>
            </w:pPr>
            <w:r w:rsidRPr="00FC65D6">
              <w:t>4.2</w:t>
            </w:r>
          </w:p>
        </w:tc>
      </w:tr>
      <w:tr w:rsidR="00A056D3" w:rsidRPr="007F021B" w:rsidTr="007F3590">
        <w:trPr>
          <w:trHeight w:val="289"/>
        </w:trPr>
        <w:tc>
          <w:tcPr>
            <w:tcW w:w="1200" w:type="pct"/>
            <w:gridSpan w:val="2"/>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Indigenous status</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Indigenous</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2.0</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2.7</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0.7</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3.8</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5.5</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1.7</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-1.0</w:t>
            </w:r>
          </w:p>
        </w:tc>
      </w:tr>
      <w:tr w:rsidR="00A056D3" w:rsidRPr="007F021B" w:rsidTr="007F3590">
        <w:trPr>
          <w:trHeight w:val="289"/>
        </w:trPr>
        <w:tc>
          <w:tcPr>
            <w:tcW w:w="140" w:type="pct"/>
            <w:tcBorders>
              <w:top w:val="nil"/>
              <w:left w:val="nil"/>
              <w:right w:val="nil"/>
            </w:tcBorders>
          </w:tcPr>
          <w:p w:rsidR="00A056D3" w:rsidRPr="007F021B" w:rsidRDefault="00A056D3" w:rsidP="003547FE">
            <w:pPr>
              <w:pStyle w:val="Tabletext"/>
              <w:rPr>
                <w:lang w:val="en-GB" w:eastAsia="en-GB"/>
              </w:rPr>
            </w:pPr>
          </w:p>
        </w:tc>
        <w:tc>
          <w:tcPr>
            <w:tcW w:w="1060" w:type="pct"/>
            <w:tcBorders>
              <w:top w:val="nil"/>
              <w:left w:val="nil"/>
              <w:right w:val="nil"/>
            </w:tcBorders>
          </w:tcPr>
          <w:p w:rsidR="00A056D3" w:rsidRPr="007F021B" w:rsidRDefault="00A056D3" w:rsidP="00FB483A">
            <w:pPr>
              <w:pStyle w:val="Tabletext"/>
              <w:rPr>
                <w:lang w:val="en-GB" w:eastAsia="en-GB"/>
              </w:rPr>
            </w:pPr>
            <w:r w:rsidRPr="007F021B">
              <w:rPr>
                <w:lang w:val="en-GB" w:eastAsia="en-GB"/>
              </w:rPr>
              <w:t>Non-</w:t>
            </w:r>
            <w:r w:rsidR="00FB483A">
              <w:rPr>
                <w:lang w:val="en-GB" w:eastAsia="en-GB"/>
              </w:rPr>
              <w:t>I</w:t>
            </w:r>
            <w:r w:rsidRPr="007F021B">
              <w:rPr>
                <w:lang w:val="en-GB" w:eastAsia="en-GB"/>
              </w:rPr>
              <w:t>ndigenous</w:t>
            </w:r>
          </w:p>
        </w:tc>
        <w:tc>
          <w:tcPr>
            <w:tcW w:w="515" w:type="pct"/>
            <w:tcBorders>
              <w:top w:val="nil"/>
              <w:left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6.6</w:t>
            </w:r>
          </w:p>
        </w:tc>
        <w:tc>
          <w:tcPr>
            <w:tcW w:w="577" w:type="pct"/>
            <w:tcBorders>
              <w:top w:val="nil"/>
              <w:left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11.8</w:t>
            </w:r>
          </w:p>
        </w:tc>
        <w:tc>
          <w:tcPr>
            <w:tcW w:w="517" w:type="pct"/>
            <w:tcBorders>
              <w:top w:val="nil"/>
              <w:left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5.2</w:t>
            </w:r>
          </w:p>
        </w:tc>
        <w:tc>
          <w:tcPr>
            <w:tcW w:w="516" w:type="pct"/>
            <w:tcBorders>
              <w:top w:val="nil"/>
              <w:left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5.0</w:t>
            </w:r>
          </w:p>
        </w:tc>
        <w:tc>
          <w:tcPr>
            <w:tcW w:w="614" w:type="pct"/>
            <w:tcBorders>
              <w:top w:val="nil"/>
              <w:left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5.8</w:t>
            </w:r>
          </w:p>
        </w:tc>
        <w:tc>
          <w:tcPr>
            <w:tcW w:w="492" w:type="pct"/>
            <w:tcBorders>
              <w:top w:val="nil"/>
              <w:left w:val="nil"/>
              <w:right w:val="nil"/>
            </w:tcBorders>
          </w:tcPr>
          <w:p w:rsidR="00A056D3" w:rsidRPr="007F021B" w:rsidRDefault="00A056D3" w:rsidP="00FC65D6">
            <w:pPr>
              <w:pStyle w:val="Tabletext"/>
              <w:jc w:val="center"/>
              <w:rPr>
                <w:lang w:val="en-GB" w:eastAsia="en-GB"/>
              </w:rPr>
            </w:pPr>
            <w:r w:rsidRPr="007F021B">
              <w:rPr>
                <w:lang w:val="en-GB" w:eastAsia="en-GB"/>
              </w:rPr>
              <w:t>0.8</w:t>
            </w:r>
          </w:p>
        </w:tc>
        <w:tc>
          <w:tcPr>
            <w:tcW w:w="570" w:type="pct"/>
            <w:tcBorders>
              <w:top w:val="nil"/>
              <w:left w:val="nil"/>
              <w:right w:val="nil"/>
            </w:tcBorders>
          </w:tcPr>
          <w:p w:rsidR="00A056D3" w:rsidRPr="00FC65D6" w:rsidRDefault="00A056D3" w:rsidP="007F3590">
            <w:pPr>
              <w:pStyle w:val="Tabletext"/>
              <w:tabs>
                <w:tab w:val="decimal" w:pos="480"/>
              </w:tabs>
              <w:jc w:val="center"/>
            </w:pPr>
            <w:r w:rsidRPr="00FC65D6">
              <w:t>4.5</w:t>
            </w:r>
          </w:p>
        </w:tc>
      </w:tr>
      <w:tr w:rsidR="00A056D3" w:rsidRPr="007F021B" w:rsidTr="007F3590">
        <w:trPr>
          <w:trHeight w:val="289"/>
        </w:trPr>
        <w:tc>
          <w:tcPr>
            <w:tcW w:w="1200" w:type="pct"/>
            <w:gridSpan w:val="2"/>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Place of residence</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Urban</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6.2</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11.1</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4.9</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4.7</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5.4</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0.8</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4.2</w:t>
            </w:r>
          </w:p>
        </w:tc>
      </w:tr>
      <w:tr w:rsidR="00A056D3" w:rsidRPr="007F021B" w:rsidTr="007F3590">
        <w:trPr>
          <w:trHeight w:val="289"/>
        </w:trPr>
        <w:tc>
          <w:tcPr>
            <w:tcW w:w="140" w:type="pct"/>
            <w:tcBorders>
              <w:top w:val="nil"/>
              <w:left w:val="nil"/>
              <w:right w:val="nil"/>
            </w:tcBorders>
          </w:tcPr>
          <w:p w:rsidR="00A056D3" w:rsidRPr="007F021B" w:rsidRDefault="00A056D3" w:rsidP="003547FE">
            <w:pPr>
              <w:pStyle w:val="Tabletext"/>
              <w:rPr>
                <w:lang w:val="en-GB" w:eastAsia="en-GB"/>
              </w:rPr>
            </w:pPr>
          </w:p>
        </w:tc>
        <w:tc>
          <w:tcPr>
            <w:tcW w:w="1060" w:type="pct"/>
            <w:tcBorders>
              <w:top w:val="nil"/>
              <w:left w:val="nil"/>
              <w:right w:val="nil"/>
            </w:tcBorders>
          </w:tcPr>
          <w:p w:rsidR="00A056D3" w:rsidRPr="007F021B" w:rsidRDefault="00A056D3" w:rsidP="003547FE">
            <w:pPr>
              <w:pStyle w:val="Tabletext"/>
              <w:rPr>
                <w:lang w:val="en-GB" w:eastAsia="en-GB"/>
              </w:rPr>
            </w:pPr>
            <w:r w:rsidRPr="007F021B">
              <w:rPr>
                <w:lang w:val="en-GB" w:eastAsia="en-GB"/>
              </w:rPr>
              <w:t>Rural</w:t>
            </w:r>
          </w:p>
        </w:tc>
        <w:tc>
          <w:tcPr>
            <w:tcW w:w="515" w:type="pct"/>
            <w:tcBorders>
              <w:top w:val="nil"/>
              <w:left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9.4</w:t>
            </w:r>
          </w:p>
        </w:tc>
        <w:tc>
          <w:tcPr>
            <w:tcW w:w="577" w:type="pct"/>
            <w:tcBorders>
              <w:top w:val="nil"/>
              <w:left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16.6</w:t>
            </w:r>
          </w:p>
        </w:tc>
        <w:tc>
          <w:tcPr>
            <w:tcW w:w="517" w:type="pct"/>
            <w:tcBorders>
              <w:top w:val="nil"/>
              <w:left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7.3</w:t>
            </w:r>
          </w:p>
        </w:tc>
        <w:tc>
          <w:tcPr>
            <w:tcW w:w="516" w:type="pct"/>
            <w:tcBorders>
              <w:top w:val="nil"/>
              <w:left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6.7</w:t>
            </w:r>
          </w:p>
        </w:tc>
        <w:tc>
          <w:tcPr>
            <w:tcW w:w="614" w:type="pct"/>
            <w:tcBorders>
              <w:top w:val="nil"/>
              <w:left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8.0</w:t>
            </w:r>
          </w:p>
        </w:tc>
        <w:tc>
          <w:tcPr>
            <w:tcW w:w="492" w:type="pct"/>
            <w:tcBorders>
              <w:top w:val="nil"/>
              <w:left w:val="nil"/>
              <w:right w:val="nil"/>
            </w:tcBorders>
          </w:tcPr>
          <w:p w:rsidR="00A056D3" w:rsidRPr="007F021B" w:rsidRDefault="00A056D3" w:rsidP="00FC65D6">
            <w:pPr>
              <w:pStyle w:val="Tabletext"/>
              <w:jc w:val="center"/>
              <w:rPr>
                <w:lang w:val="en-GB" w:eastAsia="en-GB"/>
              </w:rPr>
            </w:pPr>
            <w:r w:rsidRPr="007F021B">
              <w:rPr>
                <w:lang w:val="en-GB" w:eastAsia="en-GB"/>
              </w:rPr>
              <w:t>1.4</w:t>
            </w:r>
          </w:p>
        </w:tc>
        <w:tc>
          <w:tcPr>
            <w:tcW w:w="570" w:type="pct"/>
            <w:tcBorders>
              <w:top w:val="nil"/>
              <w:left w:val="nil"/>
              <w:right w:val="nil"/>
            </w:tcBorders>
          </w:tcPr>
          <w:p w:rsidR="00A056D3" w:rsidRPr="00FC65D6" w:rsidRDefault="00A056D3" w:rsidP="007F3590">
            <w:pPr>
              <w:pStyle w:val="Tabletext"/>
              <w:tabs>
                <w:tab w:val="decimal" w:pos="480"/>
              </w:tabs>
              <w:jc w:val="center"/>
            </w:pPr>
            <w:r w:rsidRPr="00FC65D6">
              <w:t>5.9</w:t>
            </w:r>
          </w:p>
        </w:tc>
      </w:tr>
      <w:tr w:rsidR="00A056D3" w:rsidRPr="007F021B" w:rsidTr="007F3590">
        <w:trPr>
          <w:trHeight w:val="289"/>
        </w:trPr>
        <w:tc>
          <w:tcPr>
            <w:tcW w:w="1200" w:type="pct"/>
            <w:gridSpan w:val="2"/>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Highest previous education</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Bachelor and above</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2.7</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2.6</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-0.1</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2.4</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3.0</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0.6</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-0.7</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Adv. diploma/diploma</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5.3</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6.4</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1.1</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4.3</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5.5</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1.2</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-0.1</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Certificate III &amp; IV</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6.1</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14.5</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8.4</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4.9</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6.7</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1.7</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6.7</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Certificate I &amp; II</w:t>
            </w:r>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11.6</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25.6</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14.0</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9.5</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10.8</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1.3</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12.7</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 xml:space="preserve">Certificate </w:t>
            </w:r>
            <w:proofErr w:type="spellStart"/>
            <w:r w:rsidRPr="007F021B">
              <w:rPr>
                <w:lang w:val="en-GB" w:eastAsia="en-GB"/>
              </w:rPr>
              <w:t>nfd</w:t>
            </w:r>
            <w:r w:rsidR="00224B44" w:rsidRPr="003C2827">
              <w:rPr>
                <w:b/>
                <w:vertAlign w:val="superscript"/>
                <w:lang w:val="en-GB" w:eastAsia="en-GB"/>
              </w:rPr>
              <w:t>c</w:t>
            </w:r>
            <w:proofErr w:type="spellEnd"/>
          </w:p>
        </w:tc>
        <w:tc>
          <w:tcPr>
            <w:tcW w:w="515" w:type="pct"/>
            <w:tcBorders>
              <w:top w:val="nil"/>
              <w:left w:val="nil"/>
              <w:bottom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3.0</w:t>
            </w:r>
          </w:p>
        </w:tc>
        <w:tc>
          <w:tcPr>
            <w:tcW w:w="577" w:type="pct"/>
            <w:tcBorders>
              <w:top w:val="nil"/>
              <w:left w:val="nil"/>
              <w:bottom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4.3</w:t>
            </w:r>
          </w:p>
        </w:tc>
        <w:tc>
          <w:tcPr>
            <w:tcW w:w="517" w:type="pct"/>
            <w:tcBorders>
              <w:top w:val="nil"/>
              <w:left w:val="nil"/>
              <w:bottom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1.3</w:t>
            </w:r>
          </w:p>
        </w:tc>
        <w:tc>
          <w:tcPr>
            <w:tcW w:w="516" w:type="pct"/>
            <w:tcBorders>
              <w:top w:val="nil"/>
              <w:left w:val="nil"/>
              <w:bottom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2.1</w:t>
            </w:r>
          </w:p>
        </w:tc>
        <w:tc>
          <w:tcPr>
            <w:tcW w:w="614" w:type="pct"/>
            <w:tcBorders>
              <w:top w:val="nil"/>
              <w:left w:val="nil"/>
              <w:bottom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3.3</w:t>
            </w:r>
          </w:p>
        </w:tc>
        <w:tc>
          <w:tcPr>
            <w:tcW w:w="492" w:type="pct"/>
            <w:tcBorders>
              <w:top w:val="nil"/>
              <w:left w:val="nil"/>
              <w:bottom w:val="nil"/>
              <w:right w:val="nil"/>
            </w:tcBorders>
          </w:tcPr>
          <w:p w:rsidR="00A056D3" w:rsidRPr="007F021B" w:rsidRDefault="00A056D3" w:rsidP="00FC65D6">
            <w:pPr>
              <w:pStyle w:val="Tabletext"/>
              <w:jc w:val="center"/>
              <w:rPr>
                <w:lang w:val="en-GB" w:eastAsia="en-GB"/>
              </w:rPr>
            </w:pPr>
            <w:r w:rsidRPr="007F021B">
              <w:rPr>
                <w:lang w:val="en-GB" w:eastAsia="en-GB"/>
              </w:rPr>
              <w:t>1.2</w:t>
            </w:r>
          </w:p>
        </w:tc>
        <w:tc>
          <w:tcPr>
            <w:tcW w:w="570" w:type="pct"/>
            <w:tcBorders>
              <w:top w:val="nil"/>
              <w:left w:val="nil"/>
              <w:bottom w:val="nil"/>
              <w:right w:val="nil"/>
            </w:tcBorders>
          </w:tcPr>
          <w:p w:rsidR="00A056D3" w:rsidRPr="00FC65D6" w:rsidRDefault="00A056D3" w:rsidP="007F3590">
            <w:pPr>
              <w:pStyle w:val="Tabletext"/>
              <w:tabs>
                <w:tab w:val="decimal" w:pos="480"/>
              </w:tabs>
              <w:jc w:val="center"/>
            </w:pPr>
            <w:r w:rsidRPr="00FC65D6">
              <w:t>0.1</w:t>
            </w:r>
          </w:p>
        </w:tc>
      </w:tr>
      <w:tr w:rsidR="00A056D3" w:rsidRPr="007F021B" w:rsidTr="007F3590">
        <w:trPr>
          <w:trHeight w:val="289"/>
        </w:trPr>
        <w:tc>
          <w:tcPr>
            <w:tcW w:w="140" w:type="pct"/>
            <w:tcBorders>
              <w:top w:val="nil"/>
              <w:left w:val="nil"/>
              <w:right w:val="nil"/>
            </w:tcBorders>
          </w:tcPr>
          <w:p w:rsidR="00A056D3" w:rsidRPr="007F021B" w:rsidRDefault="00A056D3" w:rsidP="003547FE">
            <w:pPr>
              <w:pStyle w:val="Tabletext"/>
              <w:rPr>
                <w:lang w:val="en-GB" w:eastAsia="en-GB"/>
              </w:rPr>
            </w:pPr>
          </w:p>
        </w:tc>
        <w:tc>
          <w:tcPr>
            <w:tcW w:w="1060" w:type="pct"/>
            <w:tcBorders>
              <w:top w:val="nil"/>
              <w:left w:val="nil"/>
              <w:right w:val="nil"/>
            </w:tcBorders>
          </w:tcPr>
          <w:p w:rsidR="00A056D3" w:rsidRPr="007F021B" w:rsidRDefault="00A056D3" w:rsidP="003547FE">
            <w:pPr>
              <w:pStyle w:val="Tabletext"/>
              <w:rPr>
                <w:lang w:val="en-GB" w:eastAsia="en-GB"/>
              </w:rPr>
            </w:pPr>
            <w:r>
              <w:rPr>
                <w:lang w:val="en-GB" w:eastAsia="en-GB"/>
              </w:rPr>
              <w:t xml:space="preserve">No post-secondary </w:t>
            </w:r>
            <w:proofErr w:type="spellStart"/>
            <w:r>
              <w:rPr>
                <w:lang w:val="en-GB" w:eastAsia="en-GB"/>
              </w:rPr>
              <w:t>quals</w:t>
            </w:r>
            <w:proofErr w:type="spellEnd"/>
          </w:p>
        </w:tc>
        <w:tc>
          <w:tcPr>
            <w:tcW w:w="515" w:type="pct"/>
            <w:tcBorders>
              <w:top w:val="nil"/>
              <w:left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8.7</w:t>
            </w:r>
          </w:p>
        </w:tc>
        <w:tc>
          <w:tcPr>
            <w:tcW w:w="577" w:type="pct"/>
            <w:tcBorders>
              <w:top w:val="nil"/>
              <w:left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17.4</w:t>
            </w:r>
          </w:p>
        </w:tc>
        <w:tc>
          <w:tcPr>
            <w:tcW w:w="517" w:type="pct"/>
            <w:tcBorders>
              <w:top w:val="nil"/>
              <w:left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8.7</w:t>
            </w:r>
          </w:p>
        </w:tc>
        <w:tc>
          <w:tcPr>
            <w:tcW w:w="516" w:type="pct"/>
            <w:tcBorders>
              <w:top w:val="nil"/>
              <w:left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6.3</w:t>
            </w:r>
          </w:p>
        </w:tc>
        <w:tc>
          <w:tcPr>
            <w:tcW w:w="614" w:type="pct"/>
            <w:tcBorders>
              <w:top w:val="nil"/>
              <w:left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7.0</w:t>
            </w:r>
          </w:p>
        </w:tc>
        <w:tc>
          <w:tcPr>
            <w:tcW w:w="492" w:type="pct"/>
            <w:tcBorders>
              <w:top w:val="nil"/>
              <w:left w:val="nil"/>
              <w:right w:val="nil"/>
            </w:tcBorders>
          </w:tcPr>
          <w:p w:rsidR="00A056D3" w:rsidRPr="007F021B" w:rsidRDefault="00A056D3" w:rsidP="00FC65D6">
            <w:pPr>
              <w:pStyle w:val="Tabletext"/>
              <w:jc w:val="center"/>
              <w:rPr>
                <w:lang w:val="en-GB" w:eastAsia="en-GB"/>
              </w:rPr>
            </w:pPr>
            <w:r w:rsidRPr="007F021B">
              <w:rPr>
                <w:lang w:val="en-GB" w:eastAsia="en-GB"/>
              </w:rPr>
              <w:t>0.8</w:t>
            </w:r>
          </w:p>
        </w:tc>
        <w:tc>
          <w:tcPr>
            <w:tcW w:w="570" w:type="pct"/>
            <w:tcBorders>
              <w:top w:val="nil"/>
              <w:left w:val="nil"/>
              <w:right w:val="nil"/>
            </w:tcBorders>
          </w:tcPr>
          <w:p w:rsidR="00A056D3" w:rsidRPr="00FC65D6" w:rsidRDefault="00A056D3" w:rsidP="007F3590">
            <w:pPr>
              <w:pStyle w:val="Tabletext"/>
              <w:tabs>
                <w:tab w:val="decimal" w:pos="480"/>
              </w:tabs>
              <w:jc w:val="center"/>
            </w:pPr>
            <w:r w:rsidRPr="00FC65D6">
              <w:t>7.9</w:t>
            </w:r>
          </w:p>
        </w:tc>
      </w:tr>
      <w:tr w:rsidR="00A056D3" w:rsidRPr="007F021B" w:rsidTr="007F3590">
        <w:trPr>
          <w:trHeight w:val="289"/>
        </w:trPr>
        <w:tc>
          <w:tcPr>
            <w:tcW w:w="1200" w:type="pct"/>
            <w:gridSpan w:val="2"/>
            <w:tcBorders>
              <w:left w:val="nil"/>
              <w:right w:val="nil"/>
            </w:tcBorders>
          </w:tcPr>
          <w:p w:rsidR="00A056D3" w:rsidRPr="007F021B" w:rsidRDefault="00A056D3" w:rsidP="003547FE">
            <w:pPr>
              <w:pStyle w:val="Tabletext"/>
              <w:rPr>
                <w:lang w:val="en-GB" w:eastAsia="en-GB"/>
              </w:rPr>
            </w:pPr>
            <w:r w:rsidRPr="007F021B">
              <w:rPr>
                <w:lang w:val="en-GB" w:eastAsia="en-GB"/>
              </w:rPr>
              <w:t xml:space="preserve">Has a </w:t>
            </w:r>
            <w:proofErr w:type="spellStart"/>
            <w:r w:rsidRPr="007F021B">
              <w:rPr>
                <w:lang w:val="en-GB" w:eastAsia="en-GB"/>
              </w:rPr>
              <w:t>disability</w:t>
            </w:r>
            <w:r w:rsidR="00224B44">
              <w:rPr>
                <w:b/>
                <w:vertAlign w:val="superscript"/>
                <w:lang w:val="en-GB" w:eastAsia="en-GB"/>
              </w:rPr>
              <w:t>d</w:t>
            </w:r>
            <w:proofErr w:type="spellEnd"/>
          </w:p>
        </w:tc>
        <w:tc>
          <w:tcPr>
            <w:tcW w:w="515" w:type="pct"/>
            <w:tcBorders>
              <w:left w:val="nil"/>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24.0</w:t>
            </w:r>
          </w:p>
        </w:tc>
        <w:tc>
          <w:tcPr>
            <w:tcW w:w="577" w:type="pct"/>
            <w:tcBorders>
              <w:left w:val="nil"/>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40.3</w:t>
            </w:r>
          </w:p>
        </w:tc>
        <w:tc>
          <w:tcPr>
            <w:tcW w:w="517" w:type="pct"/>
            <w:tcBorders>
              <w:left w:val="nil"/>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16.3</w:t>
            </w:r>
          </w:p>
        </w:tc>
        <w:tc>
          <w:tcPr>
            <w:tcW w:w="516" w:type="pct"/>
            <w:tcBorders>
              <w:left w:val="nil"/>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15.9</w:t>
            </w:r>
          </w:p>
        </w:tc>
        <w:tc>
          <w:tcPr>
            <w:tcW w:w="614" w:type="pct"/>
            <w:tcBorders>
              <w:left w:val="nil"/>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20.3</w:t>
            </w:r>
          </w:p>
        </w:tc>
        <w:tc>
          <w:tcPr>
            <w:tcW w:w="492" w:type="pct"/>
            <w:tcBorders>
              <w:left w:val="nil"/>
              <w:right w:val="nil"/>
            </w:tcBorders>
          </w:tcPr>
          <w:p w:rsidR="00A056D3" w:rsidRPr="007F021B" w:rsidRDefault="00A056D3" w:rsidP="00FC65D6">
            <w:pPr>
              <w:pStyle w:val="Tabletext"/>
              <w:jc w:val="center"/>
              <w:rPr>
                <w:lang w:val="en-GB" w:eastAsia="en-GB"/>
              </w:rPr>
            </w:pPr>
            <w:r w:rsidRPr="007F021B">
              <w:rPr>
                <w:lang w:val="en-GB" w:eastAsia="en-GB"/>
              </w:rPr>
              <w:t>4.4</w:t>
            </w:r>
          </w:p>
        </w:tc>
        <w:tc>
          <w:tcPr>
            <w:tcW w:w="570" w:type="pct"/>
            <w:tcBorders>
              <w:left w:val="nil"/>
              <w:right w:val="nil"/>
            </w:tcBorders>
          </w:tcPr>
          <w:p w:rsidR="00A056D3" w:rsidRPr="00FC65D6" w:rsidRDefault="00A056D3" w:rsidP="007F3590">
            <w:pPr>
              <w:pStyle w:val="Tabletext"/>
              <w:tabs>
                <w:tab w:val="decimal" w:pos="480"/>
              </w:tabs>
              <w:jc w:val="center"/>
            </w:pPr>
            <w:r w:rsidRPr="00FC65D6">
              <w:t>11.9</w:t>
            </w:r>
          </w:p>
        </w:tc>
      </w:tr>
      <w:tr w:rsidR="00A056D3" w:rsidRPr="007F021B" w:rsidTr="007F3590">
        <w:trPr>
          <w:trHeight w:val="289"/>
        </w:trPr>
        <w:tc>
          <w:tcPr>
            <w:tcW w:w="1200" w:type="pct"/>
            <w:gridSpan w:val="2"/>
            <w:tcBorders>
              <w:left w:val="nil"/>
              <w:bottom w:val="nil"/>
              <w:right w:val="nil"/>
            </w:tcBorders>
          </w:tcPr>
          <w:p w:rsidR="00A056D3" w:rsidRPr="007F021B" w:rsidRDefault="00A056D3" w:rsidP="003547FE">
            <w:pPr>
              <w:pStyle w:val="Tabletext"/>
              <w:rPr>
                <w:lang w:val="en-GB" w:eastAsia="en-GB"/>
              </w:rPr>
            </w:pPr>
            <w:r w:rsidRPr="007F021B">
              <w:rPr>
                <w:lang w:val="en-GB" w:eastAsia="en-GB"/>
              </w:rPr>
              <w:t>Labour force status</w:t>
            </w:r>
          </w:p>
        </w:tc>
        <w:tc>
          <w:tcPr>
            <w:tcW w:w="515" w:type="pct"/>
            <w:tcBorders>
              <w:left w:val="nil"/>
              <w:bottom w:val="nil"/>
              <w:right w:val="nil"/>
            </w:tcBorders>
          </w:tcPr>
          <w:p w:rsidR="00A056D3" w:rsidRPr="007F021B" w:rsidRDefault="00A056D3" w:rsidP="00FC65D6">
            <w:pPr>
              <w:pStyle w:val="Tabletext"/>
              <w:tabs>
                <w:tab w:val="decimal" w:pos="146"/>
              </w:tabs>
              <w:ind w:left="-138"/>
              <w:jc w:val="center"/>
              <w:rPr>
                <w:lang w:val="en-GB" w:eastAsia="en-GB"/>
              </w:rPr>
            </w:pPr>
          </w:p>
        </w:tc>
        <w:tc>
          <w:tcPr>
            <w:tcW w:w="577" w:type="pct"/>
            <w:tcBorders>
              <w:left w:val="nil"/>
              <w:bottom w:val="nil"/>
              <w:right w:val="nil"/>
            </w:tcBorders>
          </w:tcPr>
          <w:p w:rsidR="00A056D3" w:rsidRPr="007F021B" w:rsidRDefault="00A056D3" w:rsidP="00FC65D6">
            <w:pPr>
              <w:pStyle w:val="Tabletext"/>
              <w:tabs>
                <w:tab w:val="decimal" w:pos="187"/>
              </w:tabs>
              <w:jc w:val="center"/>
              <w:rPr>
                <w:lang w:val="en-GB" w:eastAsia="en-GB"/>
              </w:rPr>
            </w:pPr>
          </w:p>
        </w:tc>
        <w:tc>
          <w:tcPr>
            <w:tcW w:w="517" w:type="pct"/>
            <w:tcBorders>
              <w:left w:val="nil"/>
              <w:bottom w:val="nil"/>
              <w:right w:val="nil"/>
            </w:tcBorders>
          </w:tcPr>
          <w:p w:rsidR="00A056D3" w:rsidRPr="007F021B" w:rsidRDefault="00A056D3" w:rsidP="00FC65D6">
            <w:pPr>
              <w:pStyle w:val="Tabletext"/>
              <w:tabs>
                <w:tab w:val="decimal" w:pos="182"/>
              </w:tabs>
              <w:jc w:val="center"/>
              <w:rPr>
                <w:lang w:val="en-GB" w:eastAsia="en-GB"/>
              </w:rPr>
            </w:pPr>
          </w:p>
        </w:tc>
        <w:tc>
          <w:tcPr>
            <w:tcW w:w="516" w:type="pct"/>
            <w:tcBorders>
              <w:left w:val="nil"/>
              <w:bottom w:val="nil"/>
              <w:right w:val="nil"/>
            </w:tcBorders>
          </w:tcPr>
          <w:p w:rsidR="00A056D3" w:rsidRPr="007F021B" w:rsidRDefault="00A056D3" w:rsidP="00FC65D6">
            <w:pPr>
              <w:pStyle w:val="Tabletext"/>
              <w:tabs>
                <w:tab w:val="decimal" w:pos="39"/>
              </w:tabs>
              <w:jc w:val="center"/>
              <w:rPr>
                <w:lang w:val="en-GB" w:eastAsia="en-GB"/>
              </w:rPr>
            </w:pPr>
          </w:p>
        </w:tc>
        <w:tc>
          <w:tcPr>
            <w:tcW w:w="614" w:type="pct"/>
            <w:tcBorders>
              <w:left w:val="nil"/>
              <w:bottom w:val="nil"/>
              <w:right w:val="nil"/>
            </w:tcBorders>
          </w:tcPr>
          <w:p w:rsidR="00A056D3" w:rsidRPr="007F021B" w:rsidRDefault="00A056D3" w:rsidP="00FC65D6">
            <w:pPr>
              <w:pStyle w:val="Tabletext"/>
              <w:tabs>
                <w:tab w:val="decimal" w:pos="159"/>
              </w:tabs>
              <w:jc w:val="center"/>
              <w:rPr>
                <w:lang w:val="en-GB" w:eastAsia="en-GB"/>
              </w:rPr>
            </w:pPr>
          </w:p>
        </w:tc>
        <w:tc>
          <w:tcPr>
            <w:tcW w:w="492" w:type="pct"/>
            <w:tcBorders>
              <w:left w:val="nil"/>
              <w:bottom w:val="nil"/>
              <w:right w:val="nil"/>
            </w:tcBorders>
          </w:tcPr>
          <w:p w:rsidR="00A056D3" w:rsidRPr="007F021B" w:rsidRDefault="00A056D3" w:rsidP="00FC65D6">
            <w:pPr>
              <w:pStyle w:val="Tabletext"/>
              <w:jc w:val="center"/>
              <w:rPr>
                <w:lang w:val="en-GB" w:eastAsia="en-GB"/>
              </w:rPr>
            </w:pPr>
          </w:p>
        </w:tc>
        <w:tc>
          <w:tcPr>
            <w:tcW w:w="570" w:type="pct"/>
            <w:tcBorders>
              <w:left w:val="nil"/>
              <w:bottom w:val="nil"/>
              <w:right w:val="nil"/>
            </w:tcBorders>
          </w:tcPr>
          <w:p w:rsidR="00A056D3" w:rsidRPr="00FC65D6" w:rsidRDefault="00A056D3" w:rsidP="007F3590">
            <w:pPr>
              <w:pStyle w:val="Tabletext"/>
              <w:tabs>
                <w:tab w:val="decimal" w:pos="480"/>
              </w:tabs>
              <w:jc w:val="center"/>
            </w:pP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Employed</w:t>
            </w:r>
          </w:p>
        </w:tc>
        <w:tc>
          <w:tcPr>
            <w:tcW w:w="515" w:type="pct"/>
            <w:tcBorders>
              <w:top w:val="nil"/>
              <w:left w:val="nil"/>
              <w:bottom w:val="nil"/>
              <w:right w:val="nil"/>
            </w:tcBorders>
            <w:vAlign w:val="bottom"/>
          </w:tcPr>
          <w:p w:rsidR="00A056D3" w:rsidRPr="007F021B" w:rsidRDefault="00A056D3" w:rsidP="00FC65D6">
            <w:pPr>
              <w:pStyle w:val="Tabletext"/>
              <w:tabs>
                <w:tab w:val="decimal" w:pos="146"/>
              </w:tabs>
              <w:ind w:left="-138"/>
              <w:jc w:val="center"/>
              <w:rPr>
                <w:lang w:val="en-GB" w:eastAsia="en-GB"/>
              </w:rPr>
            </w:pPr>
            <w:r w:rsidRPr="007F021B">
              <w:t>4.4</w:t>
            </w:r>
          </w:p>
        </w:tc>
        <w:tc>
          <w:tcPr>
            <w:tcW w:w="577" w:type="pct"/>
            <w:tcBorders>
              <w:top w:val="nil"/>
              <w:left w:val="nil"/>
              <w:bottom w:val="nil"/>
              <w:right w:val="nil"/>
            </w:tcBorders>
            <w:vAlign w:val="bottom"/>
          </w:tcPr>
          <w:p w:rsidR="00A056D3" w:rsidRPr="007F021B" w:rsidRDefault="00A056D3" w:rsidP="00FC65D6">
            <w:pPr>
              <w:pStyle w:val="Tabletext"/>
              <w:tabs>
                <w:tab w:val="decimal" w:pos="187"/>
              </w:tabs>
              <w:jc w:val="center"/>
              <w:rPr>
                <w:lang w:val="en-GB" w:eastAsia="en-GB"/>
              </w:rPr>
            </w:pPr>
            <w:r w:rsidRPr="007F021B">
              <w:t>9.1</w:t>
            </w:r>
          </w:p>
        </w:tc>
        <w:tc>
          <w:tcPr>
            <w:tcW w:w="517" w:type="pct"/>
            <w:tcBorders>
              <w:top w:val="nil"/>
              <w:left w:val="nil"/>
              <w:bottom w:val="nil"/>
              <w:right w:val="nil"/>
            </w:tcBorders>
            <w:vAlign w:val="bottom"/>
          </w:tcPr>
          <w:p w:rsidR="00A056D3" w:rsidRPr="007F021B" w:rsidRDefault="00A056D3" w:rsidP="00FC65D6">
            <w:pPr>
              <w:pStyle w:val="Tabletext"/>
              <w:tabs>
                <w:tab w:val="decimal" w:pos="182"/>
              </w:tabs>
              <w:jc w:val="center"/>
              <w:rPr>
                <w:lang w:val="en-GB" w:eastAsia="en-GB"/>
              </w:rPr>
            </w:pPr>
            <w:r w:rsidRPr="007F021B">
              <w:t>4.7</w:t>
            </w:r>
          </w:p>
        </w:tc>
        <w:tc>
          <w:tcPr>
            <w:tcW w:w="516" w:type="pct"/>
            <w:tcBorders>
              <w:top w:val="nil"/>
              <w:left w:val="nil"/>
              <w:bottom w:val="nil"/>
              <w:right w:val="nil"/>
            </w:tcBorders>
            <w:vAlign w:val="bottom"/>
          </w:tcPr>
          <w:p w:rsidR="00A056D3" w:rsidRPr="007F021B" w:rsidRDefault="00A056D3" w:rsidP="00FC65D6">
            <w:pPr>
              <w:pStyle w:val="Tabletext"/>
              <w:tabs>
                <w:tab w:val="decimal" w:pos="39"/>
              </w:tabs>
              <w:jc w:val="center"/>
              <w:rPr>
                <w:lang w:val="en-GB" w:eastAsia="en-GB"/>
              </w:rPr>
            </w:pPr>
            <w:r w:rsidRPr="007F021B">
              <w:t>3.6</w:t>
            </w:r>
          </w:p>
        </w:tc>
        <w:tc>
          <w:tcPr>
            <w:tcW w:w="614" w:type="pct"/>
            <w:tcBorders>
              <w:top w:val="nil"/>
              <w:left w:val="nil"/>
              <w:bottom w:val="nil"/>
              <w:right w:val="nil"/>
            </w:tcBorders>
            <w:vAlign w:val="bottom"/>
          </w:tcPr>
          <w:p w:rsidR="00A056D3" w:rsidRPr="007F021B" w:rsidRDefault="00A056D3" w:rsidP="00FC65D6">
            <w:pPr>
              <w:pStyle w:val="Tabletext"/>
              <w:tabs>
                <w:tab w:val="decimal" w:pos="159"/>
              </w:tabs>
              <w:jc w:val="center"/>
              <w:rPr>
                <w:lang w:val="en-GB" w:eastAsia="en-GB"/>
              </w:rPr>
            </w:pPr>
            <w:r w:rsidRPr="007F021B">
              <w:t>4.0</w:t>
            </w:r>
          </w:p>
        </w:tc>
        <w:tc>
          <w:tcPr>
            <w:tcW w:w="492" w:type="pct"/>
            <w:tcBorders>
              <w:top w:val="nil"/>
              <w:left w:val="nil"/>
              <w:bottom w:val="nil"/>
              <w:right w:val="nil"/>
            </w:tcBorders>
            <w:vAlign w:val="bottom"/>
          </w:tcPr>
          <w:p w:rsidR="00A056D3" w:rsidRPr="007F021B" w:rsidRDefault="00A056D3" w:rsidP="00FC65D6">
            <w:pPr>
              <w:pStyle w:val="Tabletext"/>
              <w:jc w:val="center"/>
              <w:rPr>
                <w:lang w:val="en-GB" w:eastAsia="en-GB"/>
              </w:rPr>
            </w:pPr>
            <w:r w:rsidRPr="007F021B">
              <w:t>0.4</w:t>
            </w:r>
          </w:p>
        </w:tc>
        <w:tc>
          <w:tcPr>
            <w:tcW w:w="570" w:type="pct"/>
            <w:tcBorders>
              <w:top w:val="nil"/>
              <w:left w:val="nil"/>
              <w:bottom w:val="nil"/>
              <w:right w:val="nil"/>
            </w:tcBorders>
            <w:vAlign w:val="bottom"/>
          </w:tcPr>
          <w:p w:rsidR="00A056D3" w:rsidRPr="00FC65D6" w:rsidRDefault="00A056D3" w:rsidP="007F3590">
            <w:pPr>
              <w:pStyle w:val="Tabletext"/>
              <w:tabs>
                <w:tab w:val="decimal" w:pos="480"/>
              </w:tabs>
              <w:jc w:val="center"/>
            </w:pPr>
            <w:r w:rsidRPr="00FC65D6">
              <w:t>4.4</w:t>
            </w:r>
          </w:p>
        </w:tc>
      </w:tr>
      <w:tr w:rsidR="00A056D3" w:rsidRPr="007F021B" w:rsidTr="007F3590">
        <w:trPr>
          <w:trHeight w:val="289"/>
        </w:trPr>
        <w:tc>
          <w:tcPr>
            <w:tcW w:w="140" w:type="pct"/>
            <w:tcBorders>
              <w:top w:val="nil"/>
              <w:left w:val="nil"/>
              <w:bottom w:val="nil"/>
              <w:right w:val="nil"/>
            </w:tcBorders>
          </w:tcPr>
          <w:p w:rsidR="00A056D3" w:rsidRPr="007F021B" w:rsidRDefault="00A056D3" w:rsidP="003547FE">
            <w:pPr>
              <w:pStyle w:val="Tabletext"/>
              <w:rPr>
                <w:lang w:val="en-GB" w:eastAsia="en-GB"/>
              </w:rPr>
            </w:pPr>
          </w:p>
        </w:tc>
        <w:tc>
          <w:tcPr>
            <w:tcW w:w="1060" w:type="pct"/>
            <w:tcBorders>
              <w:top w:val="nil"/>
              <w:left w:val="nil"/>
              <w:bottom w:val="nil"/>
              <w:right w:val="nil"/>
            </w:tcBorders>
          </w:tcPr>
          <w:p w:rsidR="00A056D3" w:rsidRPr="007F021B" w:rsidRDefault="00A056D3" w:rsidP="003547FE">
            <w:pPr>
              <w:pStyle w:val="Tabletext"/>
              <w:rPr>
                <w:lang w:val="en-GB" w:eastAsia="en-GB"/>
              </w:rPr>
            </w:pPr>
            <w:r w:rsidRPr="007F021B">
              <w:rPr>
                <w:lang w:val="en-GB" w:eastAsia="en-GB"/>
              </w:rPr>
              <w:t>Unemployed</w:t>
            </w:r>
          </w:p>
        </w:tc>
        <w:tc>
          <w:tcPr>
            <w:tcW w:w="515" w:type="pct"/>
            <w:tcBorders>
              <w:top w:val="nil"/>
              <w:left w:val="nil"/>
              <w:bottom w:val="nil"/>
              <w:right w:val="nil"/>
            </w:tcBorders>
            <w:vAlign w:val="bottom"/>
          </w:tcPr>
          <w:p w:rsidR="00A056D3" w:rsidRPr="007F021B" w:rsidRDefault="00A056D3" w:rsidP="00FC65D6">
            <w:pPr>
              <w:pStyle w:val="Tabletext"/>
              <w:tabs>
                <w:tab w:val="decimal" w:pos="146"/>
              </w:tabs>
              <w:ind w:left="-138"/>
              <w:jc w:val="center"/>
              <w:rPr>
                <w:lang w:val="en-GB" w:eastAsia="en-GB"/>
              </w:rPr>
            </w:pPr>
            <w:r w:rsidRPr="007F021B">
              <w:t>36.8</w:t>
            </w:r>
          </w:p>
        </w:tc>
        <w:tc>
          <w:tcPr>
            <w:tcW w:w="577" w:type="pct"/>
            <w:tcBorders>
              <w:top w:val="nil"/>
              <w:left w:val="nil"/>
              <w:bottom w:val="nil"/>
              <w:right w:val="nil"/>
            </w:tcBorders>
            <w:vAlign w:val="bottom"/>
          </w:tcPr>
          <w:p w:rsidR="00A056D3" w:rsidRPr="007F021B" w:rsidRDefault="00A056D3" w:rsidP="00FC65D6">
            <w:pPr>
              <w:pStyle w:val="Tabletext"/>
              <w:tabs>
                <w:tab w:val="decimal" w:pos="187"/>
              </w:tabs>
              <w:jc w:val="center"/>
              <w:rPr>
                <w:lang w:val="en-GB" w:eastAsia="en-GB"/>
              </w:rPr>
            </w:pPr>
            <w:r w:rsidRPr="007F021B">
              <w:t>81.1</w:t>
            </w:r>
          </w:p>
        </w:tc>
        <w:tc>
          <w:tcPr>
            <w:tcW w:w="517" w:type="pct"/>
            <w:tcBorders>
              <w:top w:val="nil"/>
              <w:left w:val="nil"/>
              <w:bottom w:val="nil"/>
              <w:right w:val="nil"/>
            </w:tcBorders>
            <w:vAlign w:val="bottom"/>
          </w:tcPr>
          <w:p w:rsidR="00A056D3" w:rsidRPr="007F021B" w:rsidRDefault="00A056D3" w:rsidP="00FC65D6">
            <w:pPr>
              <w:pStyle w:val="Tabletext"/>
              <w:tabs>
                <w:tab w:val="decimal" w:pos="182"/>
              </w:tabs>
              <w:jc w:val="center"/>
              <w:rPr>
                <w:lang w:val="en-GB" w:eastAsia="en-GB"/>
              </w:rPr>
            </w:pPr>
            <w:r w:rsidRPr="007F021B">
              <w:t>44.3</w:t>
            </w:r>
          </w:p>
        </w:tc>
        <w:tc>
          <w:tcPr>
            <w:tcW w:w="516" w:type="pct"/>
            <w:tcBorders>
              <w:top w:val="nil"/>
              <w:left w:val="nil"/>
              <w:bottom w:val="nil"/>
              <w:right w:val="nil"/>
            </w:tcBorders>
            <w:vAlign w:val="bottom"/>
          </w:tcPr>
          <w:p w:rsidR="00A056D3" w:rsidRPr="007F021B" w:rsidRDefault="00A056D3" w:rsidP="00FC65D6">
            <w:pPr>
              <w:pStyle w:val="Tabletext"/>
              <w:tabs>
                <w:tab w:val="decimal" w:pos="39"/>
              </w:tabs>
              <w:jc w:val="center"/>
              <w:rPr>
                <w:lang w:val="en-GB" w:eastAsia="en-GB"/>
              </w:rPr>
            </w:pPr>
            <w:r w:rsidRPr="007F021B">
              <w:t>28.6</w:t>
            </w:r>
          </w:p>
        </w:tc>
        <w:tc>
          <w:tcPr>
            <w:tcW w:w="614" w:type="pct"/>
            <w:tcBorders>
              <w:top w:val="nil"/>
              <w:left w:val="nil"/>
              <w:bottom w:val="nil"/>
              <w:right w:val="nil"/>
            </w:tcBorders>
            <w:vAlign w:val="bottom"/>
          </w:tcPr>
          <w:p w:rsidR="00A056D3" w:rsidRPr="007F021B" w:rsidRDefault="00A056D3" w:rsidP="00FC65D6">
            <w:pPr>
              <w:pStyle w:val="Tabletext"/>
              <w:tabs>
                <w:tab w:val="decimal" w:pos="159"/>
              </w:tabs>
              <w:jc w:val="center"/>
              <w:rPr>
                <w:lang w:val="en-GB" w:eastAsia="en-GB"/>
              </w:rPr>
            </w:pPr>
            <w:r w:rsidRPr="007F021B">
              <w:t>36.6</w:t>
            </w:r>
          </w:p>
        </w:tc>
        <w:tc>
          <w:tcPr>
            <w:tcW w:w="492" w:type="pct"/>
            <w:tcBorders>
              <w:top w:val="nil"/>
              <w:left w:val="nil"/>
              <w:bottom w:val="nil"/>
              <w:right w:val="nil"/>
            </w:tcBorders>
            <w:vAlign w:val="bottom"/>
          </w:tcPr>
          <w:p w:rsidR="00A056D3" w:rsidRPr="007F021B" w:rsidRDefault="00A056D3" w:rsidP="00FC65D6">
            <w:pPr>
              <w:pStyle w:val="Tabletext"/>
              <w:jc w:val="center"/>
              <w:rPr>
                <w:lang w:val="en-GB" w:eastAsia="en-GB"/>
              </w:rPr>
            </w:pPr>
            <w:r w:rsidRPr="007F021B">
              <w:t>8.0</w:t>
            </w:r>
          </w:p>
        </w:tc>
        <w:tc>
          <w:tcPr>
            <w:tcW w:w="570" w:type="pct"/>
            <w:tcBorders>
              <w:top w:val="nil"/>
              <w:left w:val="nil"/>
              <w:bottom w:val="nil"/>
              <w:right w:val="nil"/>
            </w:tcBorders>
            <w:vAlign w:val="bottom"/>
          </w:tcPr>
          <w:p w:rsidR="00A056D3" w:rsidRPr="00FC65D6" w:rsidRDefault="00A056D3" w:rsidP="007F3590">
            <w:pPr>
              <w:pStyle w:val="Tabletext"/>
              <w:tabs>
                <w:tab w:val="decimal" w:pos="480"/>
              </w:tabs>
              <w:jc w:val="center"/>
            </w:pPr>
            <w:r w:rsidRPr="00FC65D6">
              <w:t>36.3</w:t>
            </w:r>
          </w:p>
        </w:tc>
      </w:tr>
      <w:tr w:rsidR="00A056D3" w:rsidRPr="007F021B" w:rsidTr="007F3590">
        <w:trPr>
          <w:trHeight w:val="289"/>
        </w:trPr>
        <w:tc>
          <w:tcPr>
            <w:tcW w:w="140" w:type="pct"/>
            <w:tcBorders>
              <w:top w:val="nil"/>
              <w:left w:val="nil"/>
              <w:bottom w:val="single" w:sz="6" w:space="0" w:color="auto"/>
              <w:right w:val="nil"/>
            </w:tcBorders>
          </w:tcPr>
          <w:p w:rsidR="00A056D3" w:rsidRPr="007F021B" w:rsidRDefault="00A056D3" w:rsidP="003547FE">
            <w:pPr>
              <w:pStyle w:val="Tabletext"/>
              <w:rPr>
                <w:lang w:val="en-GB" w:eastAsia="en-GB"/>
              </w:rPr>
            </w:pPr>
          </w:p>
        </w:tc>
        <w:tc>
          <w:tcPr>
            <w:tcW w:w="1060" w:type="pct"/>
            <w:tcBorders>
              <w:top w:val="nil"/>
              <w:left w:val="nil"/>
              <w:bottom w:val="single" w:sz="6" w:space="0" w:color="auto"/>
              <w:right w:val="nil"/>
            </w:tcBorders>
          </w:tcPr>
          <w:p w:rsidR="00A056D3" w:rsidRPr="007F021B" w:rsidRDefault="00A056D3" w:rsidP="003547FE">
            <w:pPr>
              <w:pStyle w:val="Tabletext"/>
              <w:rPr>
                <w:lang w:val="en-GB" w:eastAsia="en-GB"/>
              </w:rPr>
            </w:pPr>
            <w:r w:rsidRPr="007F021B">
              <w:rPr>
                <w:lang w:val="en-GB" w:eastAsia="en-GB"/>
              </w:rPr>
              <w:t>Not in labour force</w:t>
            </w:r>
          </w:p>
        </w:tc>
        <w:tc>
          <w:tcPr>
            <w:tcW w:w="515" w:type="pct"/>
            <w:tcBorders>
              <w:top w:val="nil"/>
              <w:left w:val="nil"/>
              <w:bottom w:val="single" w:sz="6" w:space="0" w:color="auto"/>
              <w:right w:val="nil"/>
            </w:tcBorders>
            <w:vAlign w:val="bottom"/>
          </w:tcPr>
          <w:p w:rsidR="00A056D3" w:rsidRPr="007F021B" w:rsidRDefault="00A056D3" w:rsidP="00FC65D6">
            <w:pPr>
              <w:pStyle w:val="Tabletext"/>
              <w:tabs>
                <w:tab w:val="decimal" w:pos="146"/>
              </w:tabs>
              <w:ind w:left="-138"/>
              <w:jc w:val="center"/>
              <w:rPr>
                <w:lang w:val="en-GB" w:eastAsia="en-GB"/>
              </w:rPr>
            </w:pPr>
            <w:r w:rsidRPr="007F021B">
              <w:t>10.0</w:t>
            </w:r>
          </w:p>
        </w:tc>
        <w:tc>
          <w:tcPr>
            <w:tcW w:w="577" w:type="pct"/>
            <w:tcBorders>
              <w:top w:val="nil"/>
              <w:left w:val="nil"/>
              <w:bottom w:val="single" w:sz="6" w:space="0" w:color="auto"/>
              <w:right w:val="nil"/>
            </w:tcBorders>
            <w:vAlign w:val="bottom"/>
          </w:tcPr>
          <w:p w:rsidR="00A056D3" w:rsidRPr="007F021B" w:rsidRDefault="00A056D3" w:rsidP="00FC65D6">
            <w:pPr>
              <w:pStyle w:val="Tabletext"/>
              <w:tabs>
                <w:tab w:val="decimal" w:pos="187"/>
              </w:tabs>
              <w:jc w:val="center"/>
              <w:rPr>
                <w:lang w:val="en-GB" w:eastAsia="en-GB"/>
              </w:rPr>
            </w:pPr>
            <w:r w:rsidRPr="007F021B">
              <w:t>9.5</w:t>
            </w:r>
          </w:p>
        </w:tc>
        <w:tc>
          <w:tcPr>
            <w:tcW w:w="517" w:type="pct"/>
            <w:tcBorders>
              <w:top w:val="nil"/>
              <w:left w:val="nil"/>
              <w:bottom w:val="single" w:sz="6" w:space="0" w:color="auto"/>
              <w:right w:val="nil"/>
            </w:tcBorders>
            <w:vAlign w:val="bottom"/>
          </w:tcPr>
          <w:p w:rsidR="00A056D3" w:rsidRPr="007F021B" w:rsidRDefault="00A056D3" w:rsidP="00FC65D6">
            <w:pPr>
              <w:pStyle w:val="Tabletext"/>
              <w:tabs>
                <w:tab w:val="decimal" w:pos="182"/>
              </w:tabs>
              <w:jc w:val="center"/>
              <w:rPr>
                <w:lang w:val="en-GB" w:eastAsia="en-GB"/>
              </w:rPr>
            </w:pPr>
            <w:r w:rsidRPr="007F021B">
              <w:t>-0.5</w:t>
            </w:r>
          </w:p>
        </w:tc>
        <w:tc>
          <w:tcPr>
            <w:tcW w:w="516" w:type="pct"/>
            <w:tcBorders>
              <w:top w:val="nil"/>
              <w:left w:val="nil"/>
              <w:bottom w:val="single" w:sz="6" w:space="0" w:color="auto"/>
              <w:right w:val="nil"/>
            </w:tcBorders>
            <w:vAlign w:val="bottom"/>
          </w:tcPr>
          <w:p w:rsidR="00A056D3" w:rsidRPr="007F021B" w:rsidRDefault="00A056D3" w:rsidP="00FC65D6">
            <w:pPr>
              <w:pStyle w:val="Tabletext"/>
              <w:tabs>
                <w:tab w:val="decimal" w:pos="39"/>
              </w:tabs>
              <w:jc w:val="center"/>
              <w:rPr>
                <w:lang w:val="en-GB" w:eastAsia="en-GB"/>
              </w:rPr>
            </w:pPr>
            <w:r w:rsidRPr="007F021B">
              <w:t>7.3</w:t>
            </w:r>
          </w:p>
        </w:tc>
        <w:tc>
          <w:tcPr>
            <w:tcW w:w="614" w:type="pct"/>
            <w:tcBorders>
              <w:top w:val="nil"/>
              <w:left w:val="nil"/>
              <w:bottom w:val="single" w:sz="6" w:space="0" w:color="auto"/>
              <w:right w:val="nil"/>
            </w:tcBorders>
            <w:vAlign w:val="bottom"/>
          </w:tcPr>
          <w:p w:rsidR="00A056D3" w:rsidRPr="007F021B" w:rsidRDefault="00A056D3" w:rsidP="00FC65D6">
            <w:pPr>
              <w:pStyle w:val="Tabletext"/>
              <w:tabs>
                <w:tab w:val="decimal" w:pos="159"/>
              </w:tabs>
              <w:jc w:val="center"/>
              <w:rPr>
                <w:lang w:val="en-GB" w:eastAsia="en-GB"/>
              </w:rPr>
            </w:pPr>
            <w:r w:rsidRPr="007F021B">
              <w:t>8.1</w:t>
            </w:r>
          </w:p>
        </w:tc>
        <w:tc>
          <w:tcPr>
            <w:tcW w:w="492" w:type="pct"/>
            <w:tcBorders>
              <w:top w:val="nil"/>
              <w:left w:val="nil"/>
              <w:bottom w:val="single" w:sz="6" w:space="0" w:color="auto"/>
              <w:right w:val="nil"/>
            </w:tcBorders>
            <w:vAlign w:val="bottom"/>
          </w:tcPr>
          <w:p w:rsidR="00A056D3" w:rsidRPr="007F021B" w:rsidRDefault="00A056D3" w:rsidP="00FC65D6">
            <w:pPr>
              <w:pStyle w:val="Tabletext"/>
              <w:jc w:val="center"/>
              <w:rPr>
                <w:lang w:val="en-GB" w:eastAsia="en-GB"/>
              </w:rPr>
            </w:pPr>
            <w:r w:rsidRPr="007F021B">
              <w:t>0.8</w:t>
            </w:r>
          </w:p>
        </w:tc>
        <w:tc>
          <w:tcPr>
            <w:tcW w:w="570" w:type="pct"/>
            <w:tcBorders>
              <w:top w:val="nil"/>
              <w:left w:val="nil"/>
              <w:bottom w:val="single" w:sz="6" w:space="0" w:color="auto"/>
              <w:right w:val="nil"/>
            </w:tcBorders>
            <w:vAlign w:val="bottom"/>
          </w:tcPr>
          <w:p w:rsidR="00A056D3" w:rsidRPr="00FC65D6" w:rsidRDefault="00A056D3" w:rsidP="007F3590">
            <w:pPr>
              <w:pStyle w:val="Tabletext"/>
              <w:tabs>
                <w:tab w:val="decimal" w:pos="480"/>
              </w:tabs>
              <w:jc w:val="center"/>
            </w:pPr>
            <w:r w:rsidRPr="00FC65D6">
              <w:t>-1.3</w:t>
            </w:r>
          </w:p>
        </w:tc>
      </w:tr>
      <w:tr w:rsidR="00A056D3" w:rsidRPr="007F021B" w:rsidTr="007F3590">
        <w:trPr>
          <w:trHeight w:val="303"/>
        </w:trPr>
        <w:tc>
          <w:tcPr>
            <w:tcW w:w="1200" w:type="pct"/>
            <w:gridSpan w:val="2"/>
            <w:tcBorders>
              <w:top w:val="single" w:sz="6" w:space="0" w:color="auto"/>
              <w:left w:val="nil"/>
              <w:bottom w:val="single" w:sz="6" w:space="0" w:color="auto"/>
              <w:right w:val="nil"/>
            </w:tcBorders>
          </w:tcPr>
          <w:p w:rsidR="00A056D3" w:rsidRPr="007F021B" w:rsidRDefault="00A056D3" w:rsidP="003547FE">
            <w:pPr>
              <w:pStyle w:val="Tabletext"/>
              <w:rPr>
                <w:lang w:val="en-GB" w:eastAsia="en-GB"/>
              </w:rPr>
            </w:pPr>
            <w:r w:rsidRPr="007F021B">
              <w:rPr>
                <w:lang w:val="en-GB" w:eastAsia="en-GB"/>
              </w:rPr>
              <w:t>TOTAL</w:t>
            </w:r>
          </w:p>
        </w:tc>
        <w:tc>
          <w:tcPr>
            <w:tcW w:w="515" w:type="pct"/>
            <w:tcBorders>
              <w:top w:val="single" w:sz="6" w:space="0" w:color="auto"/>
              <w:left w:val="nil"/>
              <w:bottom w:val="single" w:sz="6" w:space="0" w:color="auto"/>
              <w:right w:val="nil"/>
            </w:tcBorders>
          </w:tcPr>
          <w:p w:rsidR="00A056D3" w:rsidRPr="007F021B" w:rsidRDefault="00A056D3" w:rsidP="00FC65D6">
            <w:pPr>
              <w:pStyle w:val="Tabletext"/>
              <w:tabs>
                <w:tab w:val="decimal" w:pos="146"/>
              </w:tabs>
              <w:ind w:left="-138"/>
              <w:jc w:val="center"/>
              <w:rPr>
                <w:lang w:val="en-GB" w:eastAsia="en-GB"/>
              </w:rPr>
            </w:pPr>
            <w:r w:rsidRPr="007F021B">
              <w:rPr>
                <w:lang w:val="en-GB" w:eastAsia="en-GB"/>
              </w:rPr>
              <w:t>6.3</w:t>
            </w:r>
          </w:p>
        </w:tc>
        <w:tc>
          <w:tcPr>
            <w:tcW w:w="577" w:type="pct"/>
            <w:tcBorders>
              <w:top w:val="single" w:sz="6" w:space="0" w:color="auto"/>
              <w:left w:val="nil"/>
              <w:bottom w:val="single" w:sz="6" w:space="0" w:color="auto"/>
              <w:right w:val="nil"/>
            </w:tcBorders>
          </w:tcPr>
          <w:p w:rsidR="00A056D3" w:rsidRPr="007F021B" w:rsidRDefault="00A056D3" w:rsidP="00FC65D6">
            <w:pPr>
              <w:pStyle w:val="Tabletext"/>
              <w:tabs>
                <w:tab w:val="decimal" w:pos="187"/>
              </w:tabs>
              <w:jc w:val="center"/>
              <w:rPr>
                <w:lang w:val="en-GB" w:eastAsia="en-GB"/>
              </w:rPr>
            </w:pPr>
            <w:r w:rsidRPr="007F021B">
              <w:rPr>
                <w:lang w:val="en-GB" w:eastAsia="en-GB"/>
              </w:rPr>
              <w:t>11.3</w:t>
            </w:r>
          </w:p>
        </w:tc>
        <w:tc>
          <w:tcPr>
            <w:tcW w:w="517" w:type="pct"/>
            <w:tcBorders>
              <w:top w:val="single" w:sz="6" w:space="0" w:color="auto"/>
              <w:left w:val="nil"/>
              <w:bottom w:val="single" w:sz="6" w:space="0" w:color="auto"/>
              <w:right w:val="nil"/>
            </w:tcBorders>
          </w:tcPr>
          <w:p w:rsidR="00A056D3" w:rsidRPr="007F021B" w:rsidRDefault="00A056D3" w:rsidP="00FC65D6">
            <w:pPr>
              <w:pStyle w:val="Tabletext"/>
              <w:tabs>
                <w:tab w:val="decimal" w:pos="182"/>
              </w:tabs>
              <w:jc w:val="center"/>
              <w:rPr>
                <w:lang w:val="en-GB" w:eastAsia="en-GB"/>
              </w:rPr>
            </w:pPr>
            <w:r w:rsidRPr="007F021B">
              <w:rPr>
                <w:lang w:val="en-GB" w:eastAsia="en-GB"/>
              </w:rPr>
              <w:t>5.0</w:t>
            </w:r>
          </w:p>
        </w:tc>
        <w:tc>
          <w:tcPr>
            <w:tcW w:w="516" w:type="pct"/>
            <w:tcBorders>
              <w:top w:val="single" w:sz="6" w:space="0" w:color="auto"/>
              <w:left w:val="nil"/>
              <w:bottom w:val="single" w:sz="6" w:space="0" w:color="auto"/>
              <w:right w:val="nil"/>
            </w:tcBorders>
          </w:tcPr>
          <w:p w:rsidR="00A056D3" w:rsidRPr="007F021B" w:rsidRDefault="00A056D3" w:rsidP="00FC65D6">
            <w:pPr>
              <w:pStyle w:val="Tabletext"/>
              <w:tabs>
                <w:tab w:val="decimal" w:pos="39"/>
              </w:tabs>
              <w:jc w:val="center"/>
              <w:rPr>
                <w:lang w:val="en-GB" w:eastAsia="en-GB"/>
              </w:rPr>
            </w:pPr>
            <w:r w:rsidRPr="007F021B">
              <w:rPr>
                <w:lang w:val="en-GB" w:eastAsia="en-GB"/>
              </w:rPr>
              <w:t>4.9</w:t>
            </w:r>
          </w:p>
        </w:tc>
        <w:tc>
          <w:tcPr>
            <w:tcW w:w="614" w:type="pct"/>
            <w:tcBorders>
              <w:top w:val="single" w:sz="6" w:space="0" w:color="auto"/>
              <w:left w:val="nil"/>
              <w:bottom w:val="single" w:sz="6" w:space="0" w:color="auto"/>
              <w:right w:val="nil"/>
            </w:tcBorders>
          </w:tcPr>
          <w:p w:rsidR="00A056D3" w:rsidRPr="007F021B" w:rsidRDefault="00A056D3" w:rsidP="00FC65D6">
            <w:pPr>
              <w:pStyle w:val="Tabletext"/>
              <w:tabs>
                <w:tab w:val="decimal" w:pos="159"/>
              </w:tabs>
              <w:jc w:val="center"/>
              <w:rPr>
                <w:lang w:val="en-GB" w:eastAsia="en-GB"/>
              </w:rPr>
            </w:pPr>
            <w:r w:rsidRPr="007F021B">
              <w:rPr>
                <w:lang w:val="en-GB" w:eastAsia="en-GB"/>
              </w:rPr>
              <w:t>5.8</w:t>
            </w:r>
          </w:p>
        </w:tc>
        <w:tc>
          <w:tcPr>
            <w:tcW w:w="492" w:type="pct"/>
            <w:tcBorders>
              <w:top w:val="single" w:sz="6" w:space="0" w:color="auto"/>
              <w:left w:val="nil"/>
              <w:bottom w:val="single" w:sz="6" w:space="0" w:color="auto"/>
              <w:right w:val="nil"/>
            </w:tcBorders>
          </w:tcPr>
          <w:p w:rsidR="00A056D3" w:rsidRPr="007F021B" w:rsidRDefault="00A056D3" w:rsidP="00FC65D6">
            <w:pPr>
              <w:pStyle w:val="Tabletext"/>
              <w:jc w:val="center"/>
              <w:rPr>
                <w:lang w:val="en-GB" w:eastAsia="en-GB"/>
              </w:rPr>
            </w:pPr>
            <w:r w:rsidRPr="007F021B">
              <w:rPr>
                <w:lang w:val="en-GB" w:eastAsia="en-GB"/>
              </w:rPr>
              <w:t>0.8</w:t>
            </w:r>
          </w:p>
        </w:tc>
        <w:tc>
          <w:tcPr>
            <w:tcW w:w="570" w:type="pct"/>
            <w:tcBorders>
              <w:top w:val="single" w:sz="6" w:space="0" w:color="auto"/>
              <w:left w:val="nil"/>
              <w:bottom w:val="single" w:sz="6" w:space="0" w:color="auto"/>
              <w:right w:val="nil"/>
            </w:tcBorders>
          </w:tcPr>
          <w:p w:rsidR="00A056D3" w:rsidRPr="00FC65D6" w:rsidRDefault="00A056D3" w:rsidP="007F3590">
            <w:pPr>
              <w:pStyle w:val="Tabletext"/>
              <w:tabs>
                <w:tab w:val="decimal" w:pos="480"/>
              </w:tabs>
              <w:jc w:val="center"/>
            </w:pPr>
            <w:r w:rsidRPr="00FC65D6">
              <w:t>4.2</w:t>
            </w:r>
          </w:p>
        </w:tc>
      </w:tr>
      <w:tr w:rsidR="00A056D3" w:rsidRPr="00A056D3" w:rsidTr="007F3590">
        <w:trPr>
          <w:trHeight w:val="303"/>
        </w:trPr>
        <w:tc>
          <w:tcPr>
            <w:tcW w:w="5000" w:type="pct"/>
            <w:gridSpan w:val="9"/>
            <w:tcBorders>
              <w:top w:val="single" w:sz="6" w:space="0" w:color="auto"/>
              <w:left w:val="nil"/>
              <w:bottom w:val="nil"/>
              <w:right w:val="nil"/>
            </w:tcBorders>
          </w:tcPr>
          <w:tbl>
            <w:tblPr>
              <w:tblStyle w:val="TableGrid"/>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74"/>
              <w:gridCol w:w="277"/>
              <w:gridCol w:w="5388"/>
              <w:gridCol w:w="1915"/>
            </w:tblGrid>
            <w:tr w:rsidR="00952A35" w:rsidTr="008A471F">
              <w:tc>
                <w:tcPr>
                  <w:tcW w:w="574" w:type="dxa"/>
                  <w:tcMar>
                    <w:top w:w="28" w:type="dxa"/>
                    <w:left w:w="0" w:type="dxa"/>
                    <w:bottom w:w="28" w:type="dxa"/>
                  </w:tcMar>
                </w:tcPr>
                <w:p w:rsidR="00952A35" w:rsidRDefault="00B01602" w:rsidP="00C82374">
                  <w:pPr>
                    <w:spacing w:before="0" w:line="240" w:lineRule="auto"/>
                  </w:pPr>
                  <w:r w:rsidRPr="0063218F">
                    <w:rPr>
                      <w:rFonts w:ascii="Arial" w:hAnsi="Arial" w:cs="Arial"/>
                      <w:sz w:val="15"/>
                      <w:szCs w:val="15"/>
                    </w:rPr>
                    <w:t xml:space="preserve"> </w:t>
                  </w:r>
                  <w:r w:rsidR="00952A35" w:rsidRPr="00535AAD" w:rsidDel="006738CC">
                    <w:rPr>
                      <w:rFonts w:ascii="Arial" w:hAnsi="Arial" w:cs="Arial"/>
                      <w:sz w:val="15"/>
                      <w:szCs w:val="15"/>
                    </w:rPr>
                    <w:t>Notes:</w:t>
                  </w:r>
                </w:p>
              </w:tc>
              <w:tc>
                <w:tcPr>
                  <w:tcW w:w="277" w:type="dxa"/>
                  <w:tcMar>
                    <w:top w:w="28" w:type="dxa"/>
                    <w:left w:w="57" w:type="dxa"/>
                    <w:bottom w:w="28" w:type="dxa"/>
                    <w:right w:w="57" w:type="dxa"/>
                  </w:tcMar>
                </w:tcPr>
                <w:p w:rsidR="00952A35" w:rsidRPr="00CA5C8D" w:rsidRDefault="00952A35" w:rsidP="00C82374">
                  <w:pPr>
                    <w:spacing w:before="0" w:line="240" w:lineRule="auto"/>
                    <w:rPr>
                      <w:rFonts w:ascii="Arial" w:hAnsi="Arial" w:cs="Arial"/>
                      <w:sz w:val="15"/>
                      <w:szCs w:val="15"/>
                    </w:rPr>
                  </w:pPr>
                  <w:r>
                    <w:rPr>
                      <w:rFonts w:ascii="Arial" w:hAnsi="Arial" w:cs="Arial"/>
                      <w:sz w:val="15"/>
                      <w:szCs w:val="15"/>
                    </w:rPr>
                    <w:t>a)</w:t>
                  </w:r>
                </w:p>
              </w:tc>
              <w:tc>
                <w:tcPr>
                  <w:tcW w:w="7303" w:type="dxa"/>
                  <w:gridSpan w:val="2"/>
                  <w:tcMar>
                    <w:top w:w="28" w:type="dxa"/>
                    <w:bottom w:w="28" w:type="dxa"/>
                  </w:tcMar>
                </w:tcPr>
                <w:p w:rsidR="00952A35" w:rsidRPr="00CA5C8D" w:rsidRDefault="00952A35" w:rsidP="00C82374">
                  <w:pPr>
                    <w:spacing w:before="0" w:line="240" w:lineRule="auto"/>
                    <w:rPr>
                      <w:rFonts w:ascii="Arial" w:hAnsi="Arial" w:cs="Arial"/>
                      <w:sz w:val="15"/>
                      <w:szCs w:val="15"/>
                    </w:rPr>
                  </w:pPr>
                  <w:r w:rsidRPr="0063218F">
                    <w:rPr>
                      <w:rFonts w:ascii="Arial" w:hAnsi="Arial" w:cs="Arial"/>
                      <w:sz w:val="15"/>
                      <w:szCs w:val="15"/>
                    </w:rPr>
                    <w:t>Population aggregates for 2008 and 2011—12 approximated by assuming linear interpolations from census data. Rest of Australia are data for the whole of Australia, excluding data from Victoria.</w:t>
                  </w:r>
                </w:p>
              </w:tc>
            </w:tr>
            <w:tr w:rsidR="00952A35" w:rsidTr="008A471F">
              <w:tc>
                <w:tcPr>
                  <w:tcW w:w="574" w:type="dxa"/>
                  <w:tcMar>
                    <w:top w:w="28" w:type="dxa"/>
                    <w:left w:w="0" w:type="dxa"/>
                    <w:bottom w:w="28" w:type="dxa"/>
                  </w:tcMar>
                </w:tcPr>
                <w:p w:rsidR="00952A35" w:rsidRDefault="00952A35" w:rsidP="00C82374">
                  <w:pPr>
                    <w:spacing w:before="0" w:line="240" w:lineRule="auto"/>
                  </w:pPr>
                </w:p>
              </w:tc>
              <w:tc>
                <w:tcPr>
                  <w:tcW w:w="277" w:type="dxa"/>
                  <w:tcMar>
                    <w:top w:w="28" w:type="dxa"/>
                    <w:left w:w="57" w:type="dxa"/>
                    <w:bottom w:w="28" w:type="dxa"/>
                    <w:right w:w="57" w:type="dxa"/>
                  </w:tcMar>
                </w:tcPr>
                <w:p w:rsidR="00952A35" w:rsidRPr="00CA5C8D" w:rsidRDefault="00952A35" w:rsidP="00C82374">
                  <w:pPr>
                    <w:spacing w:before="0" w:line="240" w:lineRule="auto"/>
                    <w:rPr>
                      <w:rFonts w:ascii="Arial" w:hAnsi="Arial" w:cs="Arial"/>
                      <w:sz w:val="15"/>
                      <w:szCs w:val="15"/>
                    </w:rPr>
                  </w:pPr>
                  <w:r>
                    <w:rPr>
                      <w:rFonts w:ascii="Arial" w:hAnsi="Arial" w:cs="Arial"/>
                      <w:sz w:val="15"/>
                      <w:szCs w:val="15"/>
                    </w:rPr>
                    <w:t>b)</w:t>
                  </w:r>
                </w:p>
              </w:tc>
              <w:tc>
                <w:tcPr>
                  <w:tcW w:w="7303" w:type="dxa"/>
                  <w:gridSpan w:val="2"/>
                  <w:tcMar>
                    <w:top w:w="28" w:type="dxa"/>
                    <w:bottom w:w="28" w:type="dxa"/>
                  </w:tcMar>
                </w:tcPr>
                <w:p w:rsidR="00952A35" w:rsidRPr="00CA5C8D" w:rsidRDefault="00952A35" w:rsidP="00DF2BBB">
                  <w:pPr>
                    <w:spacing w:before="0" w:line="240" w:lineRule="auto"/>
                    <w:rPr>
                      <w:rFonts w:ascii="Arial" w:hAnsi="Arial" w:cs="Arial"/>
                      <w:sz w:val="15"/>
                      <w:szCs w:val="15"/>
                    </w:rPr>
                  </w:pPr>
                  <w:proofErr w:type="spellStart"/>
                  <w:r w:rsidRPr="0063218F">
                    <w:rPr>
                      <w:rFonts w:ascii="Arial" w:hAnsi="Arial" w:cs="Arial"/>
                      <w:sz w:val="15"/>
                      <w:szCs w:val="15"/>
                    </w:rPr>
                    <w:t>D</w:t>
                  </w:r>
                  <w:r>
                    <w:rPr>
                      <w:rFonts w:ascii="Arial" w:hAnsi="Arial" w:cs="Arial"/>
                      <w:sz w:val="15"/>
                      <w:szCs w:val="15"/>
                    </w:rPr>
                    <w:t>i</w:t>
                  </w:r>
                  <w:r w:rsidRPr="0063218F">
                    <w:rPr>
                      <w:rFonts w:ascii="Arial" w:hAnsi="Arial" w:cs="Arial"/>
                      <w:sz w:val="15"/>
                      <w:szCs w:val="15"/>
                    </w:rPr>
                    <w:t>D</w:t>
                  </w:r>
                  <w:proofErr w:type="spellEnd"/>
                  <w:r w:rsidRPr="0063218F">
                    <w:rPr>
                      <w:rFonts w:ascii="Arial" w:hAnsi="Arial" w:cs="Arial"/>
                      <w:sz w:val="15"/>
                      <w:szCs w:val="15"/>
                    </w:rPr>
                    <w:t xml:space="preserve"> is unconditional difference-in-differences, or differences in the change in Victoria and the change in the rest of Australia. </w:t>
                  </w:r>
                </w:p>
              </w:tc>
            </w:tr>
            <w:tr w:rsidR="00952A35" w:rsidTr="008A471F">
              <w:tc>
                <w:tcPr>
                  <w:tcW w:w="574" w:type="dxa"/>
                  <w:tcMar>
                    <w:top w:w="28" w:type="dxa"/>
                    <w:left w:w="0" w:type="dxa"/>
                    <w:bottom w:w="28" w:type="dxa"/>
                  </w:tcMar>
                </w:tcPr>
                <w:p w:rsidR="00952A35" w:rsidRDefault="00952A35" w:rsidP="00C82374">
                  <w:pPr>
                    <w:spacing w:before="0" w:line="240" w:lineRule="auto"/>
                  </w:pPr>
                </w:p>
              </w:tc>
              <w:tc>
                <w:tcPr>
                  <w:tcW w:w="277" w:type="dxa"/>
                  <w:tcMar>
                    <w:top w:w="28" w:type="dxa"/>
                    <w:left w:w="57" w:type="dxa"/>
                    <w:bottom w:w="28" w:type="dxa"/>
                    <w:right w:w="57" w:type="dxa"/>
                  </w:tcMar>
                </w:tcPr>
                <w:p w:rsidR="00952A35" w:rsidRPr="00CA5C8D" w:rsidRDefault="00952A35" w:rsidP="00C82374">
                  <w:pPr>
                    <w:spacing w:before="0" w:line="240" w:lineRule="auto"/>
                    <w:rPr>
                      <w:rFonts w:ascii="Arial" w:hAnsi="Arial" w:cs="Arial"/>
                      <w:sz w:val="15"/>
                      <w:szCs w:val="15"/>
                    </w:rPr>
                  </w:pPr>
                  <w:r>
                    <w:rPr>
                      <w:rFonts w:ascii="Arial" w:hAnsi="Arial" w:cs="Arial"/>
                      <w:sz w:val="15"/>
                      <w:szCs w:val="15"/>
                    </w:rPr>
                    <w:t>c)</w:t>
                  </w:r>
                </w:p>
              </w:tc>
              <w:tc>
                <w:tcPr>
                  <w:tcW w:w="7303" w:type="dxa"/>
                  <w:gridSpan w:val="2"/>
                  <w:tcMar>
                    <w:top w:w="28" w:type="dxa"/>
                    <w:bottom w:w="28" w:type="dxa"/>
                  </w:tcMar>
                </w:tcPr>
                <w:p w:rsidR="00952A35" w:rsidRPr="00CA5C8D" w:rsidRDefault="00952A35" w:rsidP="00C82374">
                  <w:pPr>
                    <w:spacing w:before="0" w:line="240" w:lineRule="auto"/>
                    <w:rPr>
                      <w:rFonts w:ascii="Arial" w:hAnsi="Arial" w:cs="Arial"/>
                      <w:sz w:val="15"/>
                      <w:szCs w:val="15"/>
                    </w:rPr>
                  </w:pPr>
                  <w:proofErr w:type="spellStart"/>
                  <w:proofErr w:type="gramStart"/>
                  <w:r>
                    <w:rPr>
                      <w:rFonts w:ascii="Arial" w:hAnsi="Arial" w:cs="Arial"/>
                      <w:sz w:val="15"/>
                      <w:szCs w:val="15"/>
                    </w:rPr>
                    <w:t>nfd</w:t>
                  </w:r>
                  <w:proofErr w:type="spellEnd"/>
                  <w:proofErr w:type="gramEnd"/>
                  <w:r>
                    <w:rPr>
                      <w:rFonts w:ascii="Arial" w:hAnsi="Arial" w:cs="Arial"/>
                      <w:sz w:val="15"/>
                      <w:szCs w:val="15"/>
                    </w:rPr>
                    <w:t xml:space="preserve"> = not further defined.</w:t>
                  </w:r>
                </w:p>
              </w:tc>
            </w:tr>
            <w:tr w:rsidR="00952A35" w:rsidTr="008A471F">
              <w:tc>
                <w:tcPr>
                  <w:tcW w:w="574" w:type="dxa"/>
                  <w:tcMar>
                    <w:top w:w="28" w:type="dxa"/>
                    <w:left w:w="0" w:type="dxa"/>
                    <w:bottom w:w="28" w:type="dxa"/>
                  </w:tcMar>
                </w:tcPr>
                <w:p w:rsidR="00952A35" w:rsidRDefault="00952A35" w:rsidP="00C82374">
                  <w:pPr>
                    <w:spacing w:before="0" w:line="240" w:lineRule="auto"/>
                    <w:rPr>
                      <w:rFonts w:ascii="Arial" w:hAnsi="Arial" w:cs="Arial"/>
                      <w:sz w:val="15"/>
                      <w:szCs w:val="15"/>
                      <w:lang w:val="en-GB"/>
                    </w:rPr>
                  </w:pPr>
                </w:p>
              </w:tc>
              <w:tc>
                <w:tcPr>
                  <w:tcW w:w="277" w:type="dxa"/>
                  <w:tcMar>
                    <w:top w:w="28" w:type="dxa"/>
                    <w:left w:w="57" w:type="dxa"/>
                    <w:bottom w:w="28" w:type="dxa"/>
                    <w:right w:w="57" w:type="dxa"/>
                  </w:tcMar>
                </w:tcPr>
                <w:p w:rsidR="00952A35" w:rsidRPr="00CA5C8D" w:rsidRDefault="00952A35" w:rsidP="00C82374">
                  <w:pPr>
                    <w:spacing w:before="0" w:line="240" w:lineRule="auto"/>
                    <w:rPr>
                      <w:rFonts w:ascii="Arial" w:hAnsi="Arial" w:cs="Arial"/>
                      <w:sz w:val="15"/>
                      <w:szCs w:val="15"/>
                    </w:rPr>
                  </w:pPr>
                  <w:r>
                    <w:rPr>
                      <w:rFonts w:ascii="Arial" w:hAnsi="Arial" w:cs="Arial"/>
                      <w:sz w:val="15"/>
                      <w:szCs w:val="15"/>
                    </w:rPr>
                    <w:t>d)</w:t>
                  </w:r>
                </w:p>
              </w:tc>
              <w:tc>
                <w:tcPr>
                  <w:tcW w:w="7303" w:type="dxa"/>
                  <w:gridSpan w:val="2"/>
                  <w:tcMar>
                    <w:top w:w="28" w:type="dxa"/>
                    <w:bottom w:w="28" w:type="dxa"/>
                  </w:tcMar>
                </w:tcPr>
                <w:p w:rsidR="00952A35" w:rsidRPr="00CA5C8D" w:rsidRDefault="00DF2BBB" w:rsidP="00C82374">
                  <w:pPr>
                    <w:spacing w:before="0" w:line="240" w:lineRule="auto"/>
                    <w:rPr>
                      <w:rFonts w:ascii="Arial" w:hAnsi="Arial" w:cs="Arial"/>
                      <w:sz w:val="15"/>
                      <w:szCs w:val="15"/>
                    </w:rPr>
                  </w:pPr>
                  <w:r w:rsidRPr="0063218F">
                    <w:rPr>
                      <w:rFonts w:ascii="Arial" w:hAnsi="Arial" w:cs="Arial"/>
                      <w:sz w:val="15"/>
                      <w:szCs w:val="15"/>
                    </w:rPr>
                    <w:t>Disability identified in the National VET Provider Collection as positive responses to the question: ‘Do you consider yourself to have a disability, impairment or long-term condition?’</w:t>
                  </w:r>
                </w:p>
              </w:tc>
            </w:tr>
            <w:tr w:rsidR="00952A35" w:rsidTr="008A471F">
              <w:tc>
                <w:tcPr>
                  <w:tcW w:w="574" w:type="dxa"/>
                  <w:tcMar>
                    <w:top w:w="28" w:type="dxa"/>
                    <w:left w:w="0" w:type="dxa"/>
                    <w:bottom w:w="28" w:type="dxa"/>
                  </w:tcMar>
                </w:tcPr>
                <w:p w:rsidR="00952A35" w:rsidRPr="0054771E" w:rsidRDefault="00952A35" w:rsidP="00C82374">
                  <w:pPr>
                    <w:spacing w:before="0" w:line="240" w:lineRule="auto"/>
                    <w:rPr>
                      <w:sz w:val="15"/>
                      <w:szCs w:val="15"/>
                    </w:rPr>
                  </w:pPr>
                  <w:r w:rsidRPr="0054771E">
                    <w:rPr>
                      <w:rFonts w:ascii="Arial" w:hAnsi="Arial" w:cs="Arial"/>
                      <w:sz w:val="15"/>
                      <w:szCs w:val="15"/>
                      <w:lang w:val="en-GB"/>
                    </w:rPr>
                    <w:t>Source:</w:t>
                  </w:r>
                </w:p>
              </w:tc>
              <w:tc>
                <w:tcPr>
                  <w:tcW w:w="5665" w:type="dxa"/>
                  <w:gridSpan w:val="2"/>
                  <w:tcMar>
                    <w:top w:w="28" w:type="dxa"/>
                    <w:left w:w="57" w:type="dxa"/>
                    <w:bottom w:w="28" w:type="dxa"/>
                    <w:right w:w="57" w:type="dxa"/>
                  </w:tcMar>
                </w:tcPr>
                <w:p w:rsidR="00952A35" w:rsidRPr="00CA5C8D" w:rsidRDefault="005C6F28" w:rsidP="00C82374">
                  <w:pPr>
                    <w:spacing w:before="0" w:line="240" w:lineRule="auto"/>
                    <w:rPr>
                      <w:rFonts w:ascii="Arial" w:hAnsi="Arial" w:cs="Arial"/>
                      <w:sz w:val="15"/>
                      <w:szCs w:val="15"/>
                    </w:rPr>
                  </w:pPr>
                  <w:r>
                    <w:rPr>
                      <w:rFonts w:ascii="Arial" w:hAnsi="Arial" w:cs="Arial"/>
                      <w:sz w:val="15"/>
                      <w:szCs w:val="15"/>
                      <w:lang w:val="en-GB"/>
                    </w:rPr>
                    <w:t>Authors’</w:t>
                  </w:r>
                  <w:r w:rsidRPr="00535AAD" w:rsidDel="006738CC">
                    <w:rPr>
                      <w:rFonts w:ascii="Arial" w:hAnsi="Arial" w:cs="Arial"/>
                      <w:sz w:val="15"/>
                      <w:szCs w:val="15"/>
                      <w:lang w:val="en-GB"/>
                    </w:rPr>
                    <w:t xml:space="preserve"> calculations.</w:t>
                  </w:r>
                  <w:r w:rsidRPr="00535AAD">
                    <w:rPr>
                      <w:rFonts w:ascii="Arial" w:hAnsi="Arial" w:cs="Arial"/>
                      <w:sz w:val="15"/>
                      <w:szCs w:val="15"/>
                      <w:lang w:val="en-GB"/>
                    </w:rPr>
                    <w:t xml:space="preserve"> </w:t>
                  </w:r>
                  <w:r w:rsidRPr="00535AAD" w:rsidDel="006738CC">
                    <w:rPr>
                      <w:rFonts w:ascii="Arial" w:hAnsi="Arial" w:cs="Arial"/>
                      <w:sz w:val="15"/>
                      <w:szCs w:val="15"/>
                      <w:lang w:val="en-GB"/>
                    </w:rPr>
                    <w:t>Enrolment numbers evaluated from VETPC micro-data.</w:t>
                  </w:r>
                </w:p>
              </w:tc>
              <w:tc>
                <w:tcPr>
                  <w:tcW w:w="1915" w:type="dxa"/>
                  <w:tcMar>
                    <w:top w:w="28" w:type="dxa"/>
                    <w:bottom w:w="28" w:type="dxa"/>
                  </w:tcMar>
                </w:tcPr>
                <w:p w:rsidR="00952A35" w:rsidRPr="00CA5C8D" w:rsidRDefault="00952A35" w:rsidP="00C82374">
                  <w:pPr>
                    <w:spacing w:before="0" w:line="240" w:lineRule="auto"/>
                    <w:rPr>
                      <w:rFonts w:ascii="Arial" w:hAnsi="Arial" w:cs="Arial"/>
                      <w:sz w:val="15"/>
                      <w:szCs w:val="15"/>
                    </w:rPr>
                  </w:pPr>
                </w:p>
              </w:tc>
            </w:tr>
          </w:tbl>
          <w:p w:rsidR="00855724" w:rsidRPr="00A056D3" w:rsidRDefault="00855724" w:rsidP="00530156">
            <w:pPr>
              <w:pStyle w:val="Note"/>
            </w:pPr>
          </w:p>
        </w:tc>
      </w:tr>
    </w:tbl>
    <w:p w:rsidR="009108AA" w:rsidRDefault="009108AA">
      <w:pPr>
        <w:spacing w:before="0" w:line="240" w:lineRule="auto"/>
        <w:rPr>
          <w:rFonts w:ascii="Arial" w:hAnsi="Arial" w:cs="Tahoma"/>
          <w:sz w:val="28"/>
        </w:rPr>
      </w:pPr>
      <w:bookmarkStart w:id="70" w:name="_Toc438209983"/>
      <w:r>
        <w:br w:type="page"/>
      </w:r>
    </w:p>
    <w:p w:rsidR="00A056D3" w:rsidRDefault="00A056D3" w:rsidP="00A056D3">
      <w:pPr>
        <w:pStyle w:val="Heading2"/>
      </w:pPr>
      <w:bookmarkStart w:id="71" w:name="_Toc472517008"/>
      <w:r>
        <w:lastRenderedPageBreak/>
        <w:t>Alignment of course choice with skill demands</w:t>
      </w:r>
      <w:bookmarkEnd w:id="70"/>
      <w:bookmarkEnd w:id="71"/>
    </w:p>
    <w:p w:rsidR="00A056D3" w:rsidRDefault="00A056D3" w:rsidP="00A056D3">
      <w:pPr>
        <w:pStyle w:val="Text"/>
        <w:rPr>
          <w:bCs/>
        </w:rPr>
      </w:pPr>
      <w:r>
        <w:t xml:space="preserve">Unconditional and conditional difference-in-difference results are presented in tables 4 and 5 respectively. </w:t>
      </w:r>
      <w:r w:rsidR="00855724">
        <w:t>In contrast to</w:t>
      </w:r>
      <w:r w:rsidR="00461337">
        <w:t xml:space="preserve"> the enrolment rate results presented above, </w:t>
      </w:r>
      <w:r w:rsidR="00855724">
        <w:t xml:space="preserve">the </w:t>
      </w:r>
      <w:r w:rsidR="00461337">
        <w:t xml:space="preserve">estimates are based on all </w:t>
      </w:r>
      <w:r w:rsidR="00801415">
        <w:t xml:space="preserve">publicly funded </w:t>
      </w:r>
      <w:r w:rsidR="00461337">
        <w:t xml:space="preserve">VET enrolments, including multiple enrolments by the same student. </w:t>
      </w:r>
      <w:r w:rsidR="00855724">
        <w:t>The r</w:t>
      </w:r>
      <w:r>
        <w:t xml:space="preserve">esults in table </w:t>
      </w:r>
      <w:r w:rsidR="001C72F1">
        <w:t>4</w:t>
      </w:r>
      <w:r>
        <w:t xml:space="preserve"> are unconditional because we do not control for any changes in the composition of the student body or composition of provider characteristics that occur post-r</w:t>
      </w:r>
      <w:r w:rsidR="0069560C">
        <w:t>eform (as discussed previously);</w:t>
      </w:r>
      <w:r>
        <w:t xml:space="preserve"> only </w:t>
      </w:r>
      <w:r w:rsidR="0069560C">
        <w:t xml:space="preserve">the </w:t>
      </w:r>
      <w:r>
        <w:t xml:space="preserve">changes in national trends in course choice, regional economic trends, seasonal factors and changes in (across the border) interstate study are controlled for. The main results of interest are the estimated </w:t>
      </w:r>
      <w:r w:rsidRPr="00C3314D">
        <w:rPr>
          <w:bCs/>
        </w:rPr>
        <w:t>Vic*Post</w:t>
      </w:r>
      <w:r>
        <w:rPr>
          <w:b/>
          <w:bCs/>
        </w:rPr>
        <w:t xml:space="preserve"> </w:t>
      </w:r>
      <w:r w:rsidRPr="00BA64C2">
        <w:rPr>
          <w:bCs/>
        </w:rPr>
        <w:t>coefficients, which are the measured effect</w:t>
      </w:r>
      <w:r>
        <w:rPr>
          <w:bCs/>
        </w:rPr>
        <w:t>s</w:t>
      </w:r>
      <w:r w:rsidRPr="00BA64C2">
        <w:rPr>
          <w:bCs/>
        </w:rPr>
        <w:t xml:space="preserve"> of the reform on our course choice outcome measures. Other results presented in </w:t>
      </w:r>
      <w:r>
        <w:rPr>
          <w:bCs/>
        </w:rPr>
        <w:t>these</w:t>
      </w:r>
      <w:r w:rsidR="00855724">
        <w:rPr>
          <w:bCs/>
        </w:rPr>
        <w:t xml:space="preserve"> tables are for select controls;</w:t>
      </w:r>
      <w:r>
        <w:rPr>
          <w:bCs/>
        </w:rPr>
        <w:t xml:space="preserve"> namely</w:t>
      </w:r>
      <w:r w:rsidR="00855724">
        <w:rPr>
          <w:bCs/>
        </w:rPr>
        <w:t>,</w:t>
      </w:r>
      <w:r>
        <w:rPr>
          <w:bCs/>
        </w:rPr>
        <w:t xml:space="preserve"> the annual national trends in the outcome measures relative to 2008 (Time trend) and the effect of Victoria-specific factors that are unchanged over the period (Vic), such as differences in courses offered in Victoria.</w:t>
      </w:r>
    </w:p>
    <w:p w:rsidR="00A056D3" w:rsidRPr="00B234B8" w:rsidRDefault="00593141" w:rsidP="008456DB">
      <w:pPr>
        <w:pStyle w:val="tabletitle0"/>
        <w:tabs>
          <w:tab w:val="clear" w:pos="992"/>
          <w:tab w:val="left" w:pos="709"/>
        </w:tabs>
      </w:pPr>
      <w:bookmarkStart w:id="72" w:name="_Toc468881917"/>
      <w:r>
        <w:t>Table 4</w:t>
      </w:r>
      <w:r w:rsidR="008456DB">
        <w:tab/>
      </w:r>
      <w:r w:rsidR="00BC65DE">
        <w:t>E</w:t>
      </w:r>
      <w:r w:rsidR="00A056D3">
        <w:t>stimated marginal effects</w:t>
      </w:r>
      <w:r w:rsidR="00461337">
        <w:t xml:space="preserve"> of the VTG on course choice</w:t>
      </w:r>
      <w:r w:rsidR="00A056D3">
        <w:t xml:space="preserve"> </w:t>
      </w:r>
      <w:r w:rsidR="00461337">
        <w:t>outcomes</w:t>
      </w:r>
      <w:r w:rsidR="00855724">
        <w:t xml:space="preserve"> for ages 25–</w:t>
      </w:r>
      <w:r w:rsidR="00CD5545">
        <w:t>54</w:t>
      </w:r>
      <w:r w:rsidR="00855724">
        <w:t xml:space="preserve"> years, </w:t>
      </w:r>
      <w:r w:rsidR="008456DB">
        <w:tab/>
      </w:r>
      <w:r w:rsidR="00855724">
        <w:t xml:space="preserve">January 2011 – </w:t>
      </w:r>
      <w:r w:rsidR="00CD5545">
        <w:t xml:space="preserve">June 2012, </w:t>
      </w:r>
      <w:r w:rsidR="00A056D3">
        <w:t>unconditional difference-in-differences estimation</w:t>
      </w:r>
      <w:r w:rsidR="00CD5545">
        <w:t xml:space="preserve"> </w:t>
      </w:r>
      <w:r w:rsidR="00A056D3">
        <w:t xml:space="preserve">with and </w:t>
      </w:r>
      <w:r w:rsidR="008456DB">
        <w:tab/>
      </w:r>
      <w:r w:rsidR="00A056D3">
        <w:t>without time trends</w:t>
      </w:r>
      <w:bookmarkEnd w:id="72"/>
    </w:p>
    <w:tbl>
      <w:tblPr>
        <w:tblW w:w="5000" w:type="pct"/>
        <w:tblLayout w:type="fixed"/>
        <w:tblLook w:val="04A0" w:firstRow="1" w:lastRow="0" w:firstColumn="1" w:lastColumn="0" w:noHBand="0" w:noVBand="1"/>
      </w:tblPr>
      <w:tblGrid>
        <w:gridCol w:w="1056"/>
        <w:gridCol w:w="1182"/>
        <w:gridCol w:w="1184"/>
        <w:gridCol w:w="1182"/>
        <w:gridCol w:w="1184"/>
        <w:gridCol w:w="1182"/>
        <w:gridCol w:w="1184"/>
      </w:tblGrid>
      <w:tr w:rsidR="00A056D3" w:rsidRPr="00EE2157" w:rsidTr="008456DB">
        <w:trPr>
          <w:trHeight w:val="300"/>
        </w:trPr>
        <w:tc>
          <w:tcPr>
            <w:tcW w:w="647" w:type="pct"/>
            <w:tcBorders>
              <w:top w:val="single" w:sz="4" w:space="0" w:color="auto"/>
              <w:left w:val="nil"/>
              <w:bottom w:val="nil"/>
              <w:right w:val="nil"/>
            </w:tcBorders>
            <w:shd w:val="clear" w:color="auto" w:fill="auto"/>
            <w:noWrap/>
            <w:vAlign w:val="bottom"/>
            <w:hideMark/>
          </w:tcPr>
          <w:p w:rsidR="00A056D3" w:rsidRPr="00EE2157" w:rsidRDefault="00A056D3" w:rsidP="003547FE">
            <w:pPr>
              <w:pStyle w:val="Tablehead1"/>
            </w:pPr>
          </w:p>
        </w:tc>
        <w:tc>
          <w:tcPr>
            <w:tcW w:w="1451" w:type="pct"/>
            <w:gridSpan w:val="2"/>
            <w:tcBorders>
              <w:top w:val="single" w:sz="4" w:space="0" w:color="auto"/>
              <w:left w:val="nil"/>
              <w:bottom w:val="nil"/>
              <w:right w:val="nil"/>
            </w:tcBorders>
            <w:shd w:val="clear" w:color="auto" w:fill="auto"/>
            <w:noWrap/>
            <w:hideMark/>
          </w:tcPr>
          <w:p w:rsidR="00A056D3" w:rsidRPr="00EE2157" w:rsidRDefault="00A056D3" w:rsidP="008456DB">
            <w:pPr>
              <w:pStyle w:val="Tablehead1"/>
              <w:jc w:val="center"/>
            </w:pPr>
            <w:r w:rsidRPr="00EE2157">
              <w:t>No time trends</w:t>
            </w:r>
          </w:p>
        </w:tc>
        <w:tc>
          <w:tcPr>
            <w:tcW w:w="1451" w:type="pct"/>
            <w:gridSpan w:val="2"/>
            <w:tcBorders>
              <w:top w:val="single" w:sz="4" w:space="0" w:color="auto"/>
              <w:left w:val="nil"/>
              <w:bottom w:val="nil"/>
              <w:right w:val="nil"/>
            </w:tcBorders>
            <w:shd w:val="clear" w:color="auto" w:fill="auto"/>
            <w:noWrap/>
            <w:hideMark/>
          </w:tcPr>
          <w:p w:rsidR="00A056D3" w:rsidRPr="00EE2157" w:rsidRDefault="00A056D3" w:rsidP="008456DB">
            <w:pPr>
              <w:pStyle w:val="Tablehead1"/>
              <w:jc w:val="center"/>
            </w:pPr>
            <w:r w:rsidRPr="00EE2157">
              <w:t>Linear time trends</w:t>
            </w:r>
          </w:p>
        </w:tc>
        <w:tc>
          <w:tcPr>
            <w:tcW w:w="1451" w:type="pct"/>
            <w:gridSpan w:val="2"/>
            <w:tcBorders>
              <w:top w:val="single" w:sz="4" w:space="0" w:color="auto"/>
              <w:left w:val="nil"/>
              <w:bottom w:val="nil"/>
              <w:right w:val="nil"/>
            </w:tcBorders>
            <w:shd w:val="clear" w:color="auto" w:fill="auto"/>
            <w:noWrap/>
            <w:hideMark/>
          </w:tcPr>
          <w:p w:rsidR="00A056D3" w:rsidRPr="00EE2157" w:rsidRDefault="00A056D3" w:rsidP="008456DB">
            <w:pPr>
              <w:pStyle w:val="Tablehead1"/>
              <w:jc w:val="center"/>
            </w:pPr>
            <w:r w:rsidRPr="00EE2157">
              <w:t>State-specific linear</w:t>
            </w:r>
            <w:r w:rsidR="008456DB">
              <w:br/>
            </w:r>
            <w:r w:rsidRPr="00EE2157">
              <w:t xml:space="preserve"> time trends</w:t>
            </w:r>
          </w:p>
        </w:tc>
      </w:tr>
      <w:tr w:rsidR="00A056D3" w:rsidRPr="00EE2157" w:rsidTr="003547FE">
        <w:trPr>
          <w:trHeight w:val="300"/>
        </w:trPr>
        <w:tc>
          <w:tcPr>
            <w:tcW w:w="647" w:type="pct"/>
            <w:tcBorders>
              <w:top w:val="nil"/>
              <w:left w:val="nil"/>
              <w:right w:val="nil"/>
            </w:tcBorders>
            <w:shd w:val="clear" w:color="auto" w:fill="auto"/>
            <w:noWrap/>
            <w:vAlign w:val="bottom"/>
            <w:hideMark/>
          </w:tcPr>
          <w:p w:rsidR="00A056D3" w:rsidRPr="00EE2157" w:rsidRDefault="00A056D3" w:rsidP="003547FE">
            <w:pPr>
              <w:pStyle w:val="Tablehead2"/>
            </w:pPr>
          </w:p>
        </w:tc>
        <w:tc>
          <w:tcPr>
            <w:tcW w:w="725" w:type="pct"/>
            <w:tcBorders>
              <w:top w:val="nil"/>
              <w:left w:val="nil"/>
              <w:right w:val="nil"/>
            </w:tcBorders>
            <w:shd w:val="clear" w:color="auto" w:fill="auto"/>
            <w:noWrap/>
            <w:vAlign w:val="bottom"/>
            <w:hideMark/>
          </w:tcPr>
          <w:p w:rsidR="00A056D3" w:rsidRPr="00EE2157" w:rsidRDefault="00A056D3" w:rsidP="008456DB">
            <w:pPr>
              <w:pStyle w:val="Tablehead2"/>
              <w:jc w:val="center"/>
            </w:pPr>
            <w:r w:rsidRPr="00EE2157">
              <w:t>National skill shortage</w:t>
            </w:r>
          </w:p>
        </w:tc>
        <w:tc>
          <w:tcPr>
            <w:tcW w:w="726" w:type="pct"/>
            <w:tcBorders>
              <w:top w:val="nil"/>
              <w:left w:val="nil"/>
              <w:right w:val="nil"/>
            </w:tcBorders>
            <w:shd w:val="clear" w:color="auto" w:fill="auto"/>
            <w:noWrap/>
            <w:vAlign w:val="bottom"/>
            <w:hideMark/>
          </w:tcPr>
          <w:p w:rsidR="00A056D3" w:rsidRPr="00EE2157" w:rsidRDefault="00A056D3" w:rsidP="008456DB">
            <w:pPr>
              <w:pStyle w:val="Tablehead2"/>
              <w:jc w:val="center"/>
            </w:pPr>
            <w:r w:rsidRPr="00EE2157">
              <w:t>Expected returns</w:t>
            </w:r>
          </w:p>
        </w:tc>
        <w:tc>
          <w:tcPr>
            <w:tcW w:w="725" w:type="pct"/>
            <w:tcBorders>
              <w:top w:val="nil"/>
              <w:left w:val="nil"/>
              <w:right w:val="nil"/>
            </w:tcBorders>
            <w:shd w:val="clear" w:color="auto" w:fill="auto"/>
            <w:noWrap/>
            <w:vAlign w:val="bottom"/>
            <w:hideMark/>
          </w:tcPr>
          <w:p w:rsidR="00A056D3" w:rsidRPr="00EE2157" w:rsidRDefault="00A056D3" w:rsidP="008456DB">
            <w:pPr>
              <w:pStyle w:val="Tablehead2"/>
              <w:jc w:val="center"/>
            </w:pPr>
            <w:r w:rsidRPr="00EE2157">
              <w:t>National skill shortage</w:t>
            </w:r>
          </w:p>
        </w:tc>
        <w:tc>
          <w:tcPr>
            <w:tcW w:w="726" w:type="pct"/>
            <w:tcBorders>
              <w:top w:val="nil"/>
              <w:left w:val="nil"/>
              <w:right w:val="nil"/>
            </w:tcBorders>
            <w:shd w:val="clear" w:color="auto" w:fill="auto"/>
            <w:noWrap/>
            <w:vAlign w:val="bottom"/>
            <w:hideMark/>
          </w:tcPr>
          <w:p w:rsidR="00A056D3" w:rsidRPr="00EE2157" w:rsidRDefault="00A056D3" w:rsidP="008456DB">
            <w:pPr>
              <w:pStyle w:val="Tablehead2"/>
              <w:jc w:val="center"/>
            </w:pPr>
            <w:r w:rsidRPr="00EE2157">
              <w:t>Expected returns</w:t>
            </w:r>
          </w:p>
        </w:tc>
        <w:tc>
          <w:tcPr>
            <w:tcW w:w="725" w:type="pct"/>
            <w:tcBorders>
              <w:top w:val="nil"/>
              <w:left w:val="nil"/>
              <w:right w:val="nil"/>
            </w:tcBorders>
            <w:shd w:val="clear" w:color="auto" w:fill="auto"/>
            <w:noWrap/>
            <w:vAlign w:val="bottom"/>
            <w:hideMark/>
          </w:tcPr>
          <w:p w:rsidR="00A056D3" w:rsidRPr="00EE2157" w:rsidRDefault="00A056D3" w:rsidP="008456DB">
            <w:pPr>
              <w:pStyle w:val="Tablehead2"/>
              <w:jc w:val="center"/>
            </w:pPr>
            <w:r w:rsidRPr="00EE2157">
              <w:t>National skill shortage</w:t>
            </w:r>
          </w:p>
        </w:tc>
        <w:tc>
          <w:tcPr>
            <w:tcW w:w="726" w:type="pct"/>
            <w:tcBorders>
              <w:top w:val="nil"/>
              <w:left w:val="nil"/>
              <w:right w:val="nil"/>
            </w:tcBorders>
            <w:shd w:val="clear" w:color="auto" w:fill="auto"/>
            <w:noWrap/>
            <w:vAlign w:val="bottom"/>
            <w:hideMark/>
          </w:tcPr>
          <w:p w:rsidR="00A056D3" w:rsidRPr="00EE2157" w:rsidRDefault="00A056D3" w:rsidP="008456DB">
            <w:pPr>
              <w:pStyle w:val="Tablehead2"/>
              <w:jc w:val="center"/>
            </w:pPr>
            <w:r w:rsidRPr="00EE2157">
              <w:t>Expected returns</w:t>
            </w:r>
          </w:p>
        </w:tc>
      </w:tr>
      <w:tr w:rsidR="00A056D3" w:rsidRPr="00EE2157" w:rsidTr="003547FE">
        <w:trPr>
          <w:trHeight w:val="300"/>
        </w:trPr>
        <w:tc>
          <w:tcPr>
            <w:tcW w:w="647" w:type="pct"/>
            <w:tcBorders>
              <w:left w:val="nil"/>
              <w:bottom w:val="single" w:sz="4" w:space="0" w:color="auto"/>
              <w:right w:val="nil"/>
            </w:tcBorders>
            <w:shd w:val="clear" w:color="auto" w:fill="auto"/>
            <w:noWrap/>
            <w:vAlign w:val="bottom"/>
            <w:hideMark/>
          </w:tcPr>
          <w:p w:rsidR="00A056D3" w:rsidRPr="00EE2157" w:rsidRDefault="00A056D3" w:rsidP="000E1068">
            <w:pPr>
              <w:pStyle w:val="Tabletext"/>
            </w:pPr>
          </w:p>
        </w:tc>
        <w:tc>
          <w:tcPr>
            <w:tcW w:w="725" w:type="pct"/>
            <w:tcBorders>
              <w:left w:val="nil"/>
              <w:bottom w:val="single" w:sz="4" w:space="0" w:color="auto"/>
              <w:right w:val="nil"/>
            </w:tcBorders>
            <w:shd w:val="clear" w:color="auto" w:fill="auto"/>
            <w:noWrap/>
            <w:vAlign w:val="bottom"/>
            <w:hideMark/>
          </w:tcPr>
          <w:p w:rsidR="00A056D3" w:rsidRPr="00EE2157" w:rsidRDefault="00A056D3" w:rsidP="008456DB">
            <w:pPr>
              <w:pStyle w:val="Tabletext"/>
              <w:jc w:val="center"/>
            </w:pPr>
            <w:r>
              <w:t>%pt.</w:t>
            </w:r>
          </w:p>
        </w:tc>
        <w:tc>
          <w:tcPr>
            <w:tcW w:w="726" w:type="pct"/>
            <w:tcBorders>
              <w:left w:val="nil"/>
              <w:bottom w:val="single" w:sz="4" w:space="0" w:color="auto"/>
              <w:right w:val="nil"/>
            </w:tcBorders>
            <w:shd w:val="clear" w:color="auto" w:fill="auto"/>
            <w:noWrap/>
            <w:vAlign w:val="bottom"/>
            <w:hideMark/>
          </w:tcPr>
          <w:p w:rsidR="00A056D3" w:rsidRPr="00EE2157" w:rsidRDefault="00A056D3" w:rsidP="008456DB">
            <w:pPr>
              <w:pStyle w:val="Tabletext"/>
              <w:jc w:val="center"/>
            </w:pPr>
            <w:r>
              <w:t>%</w:t>
            </w:r>
          </w:p>
        </w:tc>
        <w:tc>
          <w:tcPr>
            <w:tcW w:w="725" w:type="pct"/>
            <w:tcBorders>
              <w:left w:val="nil"/>
              <w:bottom w:val="single" w:sz="4" w:space="0" w:color="auto"/>
              <w:right w:val="nil"/>
            </w:tcBorders>
            <w:shd w:val="clear" w:color="auto" w:fill="auto"/>
            <w:noWrap/>
            <w:vAlign w:val="bottom"/>
            <w:hideMark/>
          </w:tcPr>
          <w:p w:rsidR="00A056D3" w:rsidRPr="00EE2157" w:rsidRDefault="00A056D3" w:rsidP="008456DB">
            <w:pPr>
              <w:pStyle w:val="Tabletext"/>
              <w:jc w:val="center"/>
            </w:pPr>
            <w:r>
              <w:t>%pt.</w:t>
            </w:r>
          </w:p>
        </w:tc>
        <w:tc>
          <w:tcPr>
            <w:tcW w:w="726" w:type="pct"/>
            <w:tcBorders>
              <w:left w:val="nil"/>
              <w:bottom w:val="single" w:sz="4" w:space="0" w:color="auto"/>
              <w:right w:val="nil"/>
            </w:tcBorders>
            <w:shd w:val="clear" w:color="auto" w:fill="auto"/>
            <w:noWrap/>
            <w:vAlign w:val="bottom"/>
            <w:hideMark/>
          </w:tcPr>
          <w:p w:rsidR="00A056D3" w:rsidRPr="00EE2157" w:rsidRDefault="00A056D3" w:rsidP="008456DB">
            <w:pPr>
              <w:pStyle w:val="Tabletext"/>
              <w:jc w:val="center"/>
            </w:pPr>
            <w:r>
              <w:t>%</w:t>
            </w:r>
          </w:p>
        </w:tc>
        <w:tc>
          <w:tcPr>
            <w:tcW w:w="725" w:type="pct"/>
            <w:tcBorders>
              <w:left w:val="nil"/>
              <w:bottom w:val="single" w:sz="4" w:space="0" w:color="auto"/>
              <w:right w:val="nil"/>
            </w:tcBorders>
            <w:shd w:val="clear" w:color="auto" w:fill="auto"/>
            <w:noWrap/>
            <w:vAlign w:val="bottom"/>
            <w:hideMark/>
          </w:tcPr>
          <w:p w:rsidR="00A056D3" w:rsidRPr="00EE2157" w:rsidRDefault="00A056D3" w:rsidP="008456DB">
            <w:pPr>
              <w:pStyle w:val="Tabletext"/>
              <w:jc w:val="center"/>
            </w:pPr>
            <w:r>
              <w:t>%pt.</w:t>
            </w:r>
          </w:p>
        </w:tc>
        <w:tc>
          <w:tcPr>
            <w:tcW w:w="726" w:type="pct"/>
            <w:tcBorders>
              <w:left w:val="nil"/>
              <w:bottom w:val="single" w:sz="4" w:space="0" w:color="auto"/>
              <w:right w:val="nil"/>
            </w:tcBorders>
            <w:shd w:val="clear" w:color="auto" w:fill="auto"/>
            <w:noWrap/>
            <w:vAlign w:val="bottom"/>
            <w:hideMark/>
          </w:tcPr>
          <w:p w:rsidR="00A056D3" w:rsidRPr="00EE2157" w:rsidRDefault="00A056D3" w:rsidP="008456DB">
            <w:pPr>
              <w:pStyle w:val="Tabletext"/>
              <w:jc w:val="center"/>
            </w:pPr>
            <w:r>
              <w:t>%</w:t>
            </w:r>
          </w:p>
        </w:tc>
      </w:tr>
      <w:tr w:rsidR="00A056D3" w:rsidRPr="00EE2157" w:rsidTr="003547FE">
        <w:trPr>
          <w:trHeight w:val="300"/>
        </w:trPr>
        <w:tc>
          <w:tcPr>
            <w:tcW w:w="647" w:type="pct"/>
            <w:tcBorders>
              <w:top w:val="single" w:sz="4" w:space="0" w:color="auto"/>
              <w:left w:val="nil"/>
              <w:bottom w:val="nil"/>
              <w:right w:val="nil"/>
            </w:tcBorders>
            <w:shd w:val="clear" w:color="auto" w:fill="auto"/>
            <w:noWrap/>
            <w:vAlign w:val="bottom"/>
          </w:tcPr>
          <w:p w:rsidR="00A056D3" w:rsidRPr="00E12713" w:rsidRDefault="00A056D3" w:rsidP="000E1068">
            <w:pPr>
              <w:pStyle w:val="Tabletext"/>
              <w:rPr>
                <w:i/>
              </w:rPr>
            </w:pPr>
            <w:r w:rsidRPr="00E12713">
              <w:rPr>
                <w:i/>
              </w:rPr>
              <w:t>Time trend (ref: 2008)</w:t>
            </w:r>
          </w:p>
        </w:tc>
        <w:tc>
          <w:tcPr>
            <w:tcW w:w="725"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6"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5"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6"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5"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6"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r>
      <w:tr w:rsidR="00A056D3" w:rsidRPr="00EE2157" w:rsidTr="000E1068">
        <w:trPr>
          <w:trHeight w:val="300"/>
        </w:trPr>
        <w:tc>
          <w:tcPr>
            <w:tcW w:w="647" w:type="pct"/>
            <w:tcBorders>
              <w:top w:val="nil"/>
              <w:left w:val="nil"/>
              <w:bottom w:val="nil"/>
              <w:right w:val="nil"/>
            </w:tcBorders>
            <w:shd w:val="clear" w:color="auto" w:fill="auto"/>
            <w:noWrap/>
            <w:vAlign w:val="bottom"/>
            <w:hideMark/>
          </w:tcPr>
          <w:p w:rsidR="00A056D3" w:rsidRPr="00EE2157" w:rsidRDefault="00A056D3" w:rsidP="003547FE">
            <w:pPr>
              <w:pStyle w:val="Tabletext"/>
            </w:pPr>
            <w:r w:rsidRPr="00EE2157">
              <w:t>2006</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-2.6</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4.6</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-1.9</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3.9</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-4</w:t>
            </w:r>
            <w:r w:rsidR="006F13BF">
              <w:t>.0</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6.3</w:t>
            </w:r>
          </w:p>
        </w:tc>
      </w:tr>
      <w:tr w:rsidR="00A056D3" w:rsidRPr="00B22619" w:rsidTr="000E1068">
        <w:trPr>
          <w:trHeight w:val="300"/>
        </w:trPr>
        <w:tc>
          <w:tcPr>
            <w:tcW w:w="647" w:type="pct"/>
            <w:tcBorders>
              <w:top w:val="nil"/>
              <w:left w:val="nil"/>
              <w:bottom w:val="nil"/>
              <w:right w:val="nil"/>
            </w:tcBorders>
            <w:shd w:val="clear" w:color="auto" w:fill="auto"/>
            <w:noWrap/>
            <w:vAlign w:val="bottom"/>
            <w:hideMark/>
          </w:tcPr>
          <w:p w:rsidR="00A056D3" w:rsidRPr="00B22619" w:rsidRDefault="00A056D3" w:rsidP="003547FE">
            <w:pPr>
              <w:pStyle w:val="Tabletext"/>
            </w:pPr>
            <w:r>
              <w:t>p-value</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13.5</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0.1</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22.2</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0.2</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r>
      <w:tr w:rsidR="00A056D3" w:rsidRPr="00EE2157" w:rsidTr="000E1068">
        <w:trPr>
          <w:trHeight w:val="300"/>
        </w:trPr>
        <w:tc>
          <w:tcPr>
            <w:tcW w:w="647" w:type="pct"/>
            <w:tcBorders>
              <w:top w:val="nil"/>
              <w:left w:val="nil"/>
              <w:bottom w:val="nil"/>
              <w:right w:val="nil"/>
            </w:tcBorders>
            <w:shd w:val="clear" w:color="auto" w:fill="auto"/>
            <w:noWrap/>
            <w:vAlign w:val="bottom"/>
            <w:hideMark/>
          </w:tcPr>
          <w:p w:rsidR="00A056D3" w:rsidRPr="00EE2157" w:rsidRDefault="00A056D3" w:rsidP="003547FE">
            <w:pPr>
              <w:pStyle w:val="Tabletext"/>
            </w:pPr>
            <w:r w:rsidRPr="00EE2157">
              <w:t>2007</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-5.2</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-8.2</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-4.9</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-8.5</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-5.9</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-7.4</w:t>
            </w:r>
          </w:p>
        </w:tc>
      </w:tr>
      <w:tr w:rsidR="00A056D3" w:rsidRPr="00B22619" w:rsidTr="000E1068">
        <w:trPr>
          <w:trHeight w:val="300"/>
        </w:trPr>
        <w:tc>
          <w:tcPr>
            <w:tcW w:w="647" w:type="pct"/>
            <w:tcBorders>
              <w:top w:val="nil"/>
              <w:left w:val="nil"/>
              <w:bottom w:val="nil"/>
              <w:right w:val="nil"/>
            </w:tcBorders>
            <w:shd w:val="clear" w:color="auto" w:fill="auto"/>
            <w:noWrap/>
            <w:vAlign w:val="bottom"/>
            <w:hideMark/>
          </w:tcPr>
          <w:p w:rsidR="00A056D3" w:rsidRPr="00B22619" w:rsidRDefault="00A056D3" w:rsidP="003547FE">
            <w:pPr>
              <w:pStyle w:val="Tabletext"/>
            </w:pPr>
            <w:r>
              <w:t>p-value</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1.6</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4.1</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0.5</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r>
      <w:tr w:rsidR="00A056D3" w:rsidRPr="00B22619" w:rsidTr="000E1068">
        <w:trPr>
          <w:trHeight w:val="300"/>
        </w:trPr>
        <w:tc>
          <w:tcPr>
            <w:tcW w:w="647" w:type="pct"/>
            <w:tcBorders>
              <w:top w:val="nil"/>
              <w:left w:val="nil"/>
              <w:bottom w:val="nil"/>
              <w:right w:val="nil"/>
            </w:tcBorders>
            <w:shd w:val="clear" w:color="auto" w:fill="auto"/>
            <w:noWrap/>
            <w:vAlign w:val="bottom"/>
            <w:hideMark/>
          </w:tcPr>
          <w:p w:rsidR="00A056D3" w:rsidRPr="00B22619" w:rsidRDefault="00A056D3" w:rsidP="003547FE">
            <w:pPr>
              <w:pStyle w:val="Tabletext"/>
            </w:pPr>
            <w:r w:rsidRPr="00B22619">
              <w:t>2011</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-5.8</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2.6</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-5.4</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2.1</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-4.2</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0.5</w:t>
            </w:r>
          </w:p>
        </w:tc>
      </w:tr>
      <w:tr w:rsidR="00A056D3" w:rsidRPr="00B22619" w:rsidTr="000E1068">
        <w:trPr>
          <w:trHeight w:val="300"/>
        </w:trPr>
        <w:tc>
          <w:tcPr>
            <w:tcW w:w="647" w:type="pct"/>
            <w:tcBorders>
              <w:top w:val="nil"/>
              <w:left w:val="nil"/>
              <w:bottom w:val="nil"/>
              <w:right w:val="nil"/>
            </w:tcBorders>
            <w:shd w:val="clear" w:color="auto" w:fill="auto"/>
            <w:noWrap/>
            <w:vAlign w:val="bottom"/>
            <w:hideMark/>
          </w:tcPr>
          <w:p w:rsidR="00A056D3" w:rsidRPr="00B22619" w:rsidRDefault="00A056D3" w:rsidP="003547FE">
            <w:pPr>
              <w:pStyle w:val="Tabletext"/>
            </w:pPr>
            <w:r>
              <w:t>p-value</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0.9</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2.7</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0.3</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12.8</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45.2</w:t>
            </w:r>
          </w:p>
        </w:tc>
      </w:tr>
      <w:tr w:rsidR="00A056D3" w:rsidRPr="00EE2157" w:rsidTr="000E1068">
        <w:trPr>
          <w:trHeight w:val="300"/>
        </w:trPr>
        <w:tc>
          <w:tcPr>
            <w:tcW w:w="647" w:type="pct"/>
            <w:tcBorders>
              <w:top w:val="nil"/>
              <w:left w:val="nil"/>
              <w:bottom w:val="nil"/>
              <w:right w:val="nil"/>
            </w:tcBorders>
            <w:shd w:val="clear" w:color="auto" w:fill="auto"/>
            <w:noWrap/>
            <w:vAlign w:val="bottom"/>
            <w:hideMark/>
          </w:tcPr>
          <w:p w:rsidR="00A056D3" w:rsidRPr="00EE2157" w:rsidRDefault="00A056D3" w:rsidP="003547FE">
            <w:pPr>
              <w:pStyle w:val="Tabletext"/>
            </w:pPr>
            <w:r w:rsidRPr="00EE2157">
              <w:t>2012</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-4.3</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-5</w:t>
            </w:r>
            <w:r w:rsidR="006F13BF">
              <w:t>.0</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-4.3</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-5.1</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-1.9</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-7.7</w:t>
            </w:r>
          </w:p>
        </w:tc>
      </w:tr>
      <w:tr w:rsidR="00A056D3" w:rsidRPr="00B22619" w:rsidTr="000E1068">
        <w:trPr>
          <w:trHeight w:val="300"/>
        </w:trPr>
        <w:tc>
          <w:tcPr>
            <w:tcW w:w="647" w:type="pct"/>
            <w:tcBorders>
              <w:top w:val="nil"/>
              <w:left w:val="nil"/>
              <w:bottom w:val="nil"/>
              <w:right w:val="nil"/>
            </w:tcBorders>
            <w:shd w:val="clear" w:color="auto" w:fill="auto"/>
            <w:noWrap/>
            <w:vAlign w:val="bottom"/>
            <w:hideMark/>
          </w:tcPr>
          <w:p w:rsidR="00A056D3" w:rsidRPr="00B22619" w:rsidRDefault="00A056D3" w:rsidP="003547FE">
            <w:pPr>
              <w:pStyle w:val="Tabletext"/>
            </w:pPr>
            <w:r>
              <w:t>p-value</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0.9</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1</w:t>
            </w:r>
            <w:r w:rsidR="006F13BF">
              <w:t>.0</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42.8</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r>
      <w:tr w:rsidR="00A056D3" w:rsidRPr="00EE2157" w:rsidTr="000E1068">
        <w:trPr>
          <w:trHeight w:val="300"/>
        </w:trPr>
        <w:tc>
          <w:tcPr>
            <w:tcW w:w="647" w:type="pct"/>
            <w:tcBorders>
              <w:top w:val="nil"/>
              <w:left w:val="nil"/>
              <w:bottom w:val="nil"/>
              <w:right w:val="nil"/>
            </w:tcBorders>
            <w:shd w:val="clear" w:color="auto" w:fill="auto"/>
            <w:noWrap/>
            <w:vAlign w:val="bottom"/>
            <w:hideMark/>
          </w:tcPr>
          <w:p w:rsidR="00A056D3" w:rsidRPr="00EE2157" w:rsidRDefault="00A056D3" w:rsidP="003547FE">
            <w:pPr>
              <w:pStyle w:val="Tabletext"/>
            </w:pPr>
            <w:r w:rsidRPr="00EE2157">
              <w:t>Vic</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-4.7</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0.7</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-7</w:t>
            </w:r>
            <w:r w:rsidR="006F13BF">
              <w:t>.0</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3.1</w:t>
            </w:r>
          </w:p>
        </w:tc>
        <w:tc>
          <w:tcPr>
            <w:tcW w:w="725"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-7</w:t>
            </w:r>
            <w:r w:rsidR="006F13BF">
              <w:t>.0</w:t>
            </w:r>
          </w:p>
        </w:tc>
        <w:tc>
          <w:tcPr>
            <w:tcW w:w="726" w:type="pct"/>
            <w:tcBorders>
              <w:top w:val="nil"/>
              <w:left w:val="nil"/>
              <w:bottom w:val="nil"/>
              <w:right w:val="nil"/>
            </w:tcBorders>
            <w:shd w:val="clear" w:color="auto" w:fill="auto"/>
            <w:noWrap/>
            <w:vAlign w:val="bottom"/>
            <w:hideMark/>
          </w:tcPr>
          <w:p w:rsidR="00A056D3" w:rsidRPr="00EE2157" w:rsidRDefault="00A056D3" w:rsidP="008456DB">
            <w:pPr>
              <w:pStyle w:val="Tabletext"/>
              <w:tabs>
                <w:tab w:val="decimal" w:pos="459"/>
              </w:tabs>
            </w:pPr>
            <w:r>
              <w:t>3.3</w:t>
            </w:r>
          </w:p>
        </w:tc>
      </w:tr>
      <w:tr w:rsidR="00A056D3" w:rsidRPr="00B22619" w:rsidTr="000E1068">
        <w:trPr>
          <w:trHeight w:val="300"/>
        </w:trPr>
        <w:tc>
          <w:tcPr>
            <w:tcW w:w="647" w:type="pct"/>
            <w:tcBorders>
              <w:top w:val="nil"/>
              <w:left w:val="nil"/>
              <w:bottom w:val="nil"/>
              <w:right w:val="nil"/>
            </w:tcBorders>
            <w:shd w:val="clear" w:color="auto" w:fill="auto"/>
            <w:noWrap/>
            <w:vAlign w:val="bottom"/>
            <w:hideMark/>
          </w:tcPr>
          <w:p w:rsidR="00A056D3" w:rsidRPr="00B22619" w:rsidRDefault="00A056D3" w:rsidP="003547FE">
            <w:pPr>
              <w:pStyle w:val="Tabletext"/>
            </w:pPr>
            <w:r>
              <w:t>p-value</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2</w:t>
            </w:r>
            <w:r w:rsidR="006F13BF">
              <w:t>.0</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17.9</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0.2</w:t>
            </w:r>
          </w:p>
        </w:tc>
        <w:tc>
          <w:tcPr>
            <w:tcW w:w="725"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w:t>
            </w:r>
            <w:r w:rsidR="006F13BF">
              <w:t>.0</w:t>
            </w:r>
          </w:p>
        </w:tc>
        <w:tc>
          <w:tcPr>
            <w:tcW w:w="726" w:type="pct"/>
            <w:tcBorders>
              <w:top w:val="nil"/>
              <w:left w:val="nil"/>
              <w:bottom w:val="nil"/>
              <w:right w:val="nil"/>
            </w:tcBorders>
            <w:shd w:val="clear" w:color="auto" w:fill="auto"/>
            <w:noWrap/>
            <w:vAlign w:val="bottom"/>
            <w:hideMark/>
          </w:tcPr>
          <w:p w:rsidR="00A056D3" w:rsidRPr="00B22619" w:rsidRDefault="00A056D3" w:rsidP="008456DB">
            <w:pPr>
              <w:pStyle w:val="Tabletext"/>
              <w:tabs>
                <w:tab w:val="decimal" w:pos="459"/>
              </w:tabs>
            </w:pPr>
            <w:r>
              <w:t>0.1</w:t>
            </w:r>
          </w:p>
        </w:tc>
      </w:tr>
      <w:tr w:rsidR="00A056D3" w:rsidRPr="00EE2157" w:rsidTr="000E1068">
        <w:trPr>
          <w:trHeight w:val="300"/>
        </w:trPr>
        <w:tc>
          <w:tcPr>
            <w:tcW w:w="647" w:type="pct"/>
            <w:tcBorders>
              <w:top w:val="nil"/>
              <w:left w:val="nil"/>
              <w:bottom w:val="nil"/>
              <w:right w:val="nil"/>
            </w:tcBorders>
            <w:shd w:val="clear" w:color="auto" w:fill="auto"/>
            <w:noWrap/>
            <w:vAlign w:val="bottom"/>
            <w:hideMark/>
          </w:tcPr>
          <w:p w:rsidR="00A056D3" w:rsidRPr="00EE2157" w:rsidRDefault="00A056D3" w:rsidP="000E1068">
            <w:pPr>
              <w:pStyle w:val="Tabletext"/>
              <w:rPr>
                <w:b/>
                <w:bCs/>
              </w:rPr>
            </w:pPr>
            <w:r>
              <w:rPr>
                <w:b/>
                <w:bCs/>
              </w:rPr>
              <w:t>Vic*</w:t>
            </w:r>
            <w:r w:rsidRPr="00EE2157">
              <w:rPr>
                <w:b/>
                <w:bCs/>
              </w:rPr>
              <w:t>Post</w:t>
            </w:r>
          </w:p>
        </w:tc>
        <w:tc>
          <w:tcPr>
            <w:tcW w:w="725" w:type="pct"/>
            <w:tcBorders>
              <w:top w:val="nil"/>
              <w:left w:val="nil"/>
              <w:bottom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6.6</w:t>
            </w:r>
          </w:p>
        </w:tc>
        <w:tc>
          <w:tcPr>
            <w:tcW w:w="726" w:type="pct"/>
            <w:tcBorders>
              <w:top w:val="nil"/>
              <w:left w:val="nil"/>
              <w:bottom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-0.8</w:t>
            </w:r>
          </w:p>
        </w:tc>
        <w:tc>
          <w:tcPr>
            <w:tcW w:w="725" w:type="pct"/>
            <w:tcBorders>
              <w:top w:val="nil"/>
              <w:left w:val="nil"/>
              <w:bottom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4.2</w:t>
            </w:r>
          </w:p>
        </w:tc>
        <w:tc>
          <w:tcPr>
            <w:tcW w:w="726" w:type="pct"/>
            <w:tcBorders>
              <w:top w:val="nil"/>
              <w:left w:val="nil"/>
              <w:bottom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2</w:t>
            </w:r>
            <w:r w:rsidR="006F13BF">
              <w:rPr>
                <w:b/>
              </w:rPr>
              <w:t>.0</w:t>
            </w:r>
          </w:p>
        </w:tc>
        <w:tc>
          <w:tcPr>
            <w:tcW w:w="725" w:type="pct"/>
            <w:tcBorders>
              <w:top w:val="nil"/>
              <w:left w:val="nil"/>
              <w:bottom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4</w:t>
            </w:r>
            <w:r w:rsidR="006F13BF">
              <w:rPr>
                <w:b/>
              </w:rPr>
              <w:t>.0</w:t>
            </w:r>
          </w:p>
        </w:tc>
        <w:tc>
          <w:tcPr>
            <w:tcW w:w="726" w:type="pct"/>
            <w:tcBorders>
              <w:top w:val="nil"/>
              <w:left w:val="nil"/>
              <w:bottom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2.4</w:t>
            </w:r>
          </w:p>
        </w:tc>
      </w:tr>
      <w:tr w:rsidR="00A056D3" w:rsidRPr="00B22619" w:rsidTr="000E1068">
        <w:trPr>
          <w:trHeight w:val="300"/>
        </w:trPr>
        <w:tc>
          <w:tcPr>
            <w:tcW w:w="647" w:type="pct"/>
            <w:tcBorders>
              <w:top w:val="nil"/>
              <w:left w:val="nil"/>
              <w:right w:val="nil"/>
            </w:tcBorders>
            <w:shd w:val="clear" w:color="auto" w:fill="auto"/>
            <w:noWrap/>
            <w:vAlign w:val="bottom"/>
            <w:hideMark/>
          </w:tcPr>
          <w:p w:rsidR="00A056D3" w:rsidRPr="00BA64C2" w:rsidRDefault="00A056D3" w:rsidP="000E1068">
            <w:pPr>
              <w:pStyle w:val="Tabletext"/>
              <w:rPr>
                <w:b/>
                <w:bCs/>
              </w:rPr>
            </w:pPr>
            <w:r w:rsidRPr="00BA64C2">
              <w:rPr>
                <w:b/>
              </w:rPr>
              <w:t>p-value</w:t>
            </w:r>
          </w:p>
        </w:tc>
        <w:tc>
          <w:tcPr>
            <w:tcW w:w="725" w:type="pct"/>
            <w:tcBorders>
              <w:top w:val="nil"/>
              <w:left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0</w:t>
            </w:r>
            <w:r w:rsidR="006F13BF">
              <w:rPr>
                <w:b/>
              </w:rPr>
              <w:t>.0</w:t>
            </w:r>
          </w:p>
        </w:tc>
        <w:tc>
          <w:tcPr>
            <w:tcW w:w="726" w:type="pct"/>
            <w:tcBorders>
              <w:top w:val="nil"/>
              <w:left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19.4</w:t>
            </w:r>
          </w:p>
        </w:tc>
        <w:tc>
          <w:tcPr>
            <w:tcW w:w="725" w:type="pct"/>
            <w:tcBorders>
              <w:top w:val="nil"/>
              <w:left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6.8</w:t>
            </w:r>
          </w:p>
        </w:tc>
        <w:tc>
          <w:tcPr>
            <w:tcW w:w="726" w:type="pct"/>
            <w:tcBorders>
              <w:top w:val="nil"/>
              <w:left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0</w:t>
            </w:r>
            <w:r w:rsidR="006F13BF">
              <w:rPr>
                <w:b/>
              </w:rPr>
              <w:t>.0</w:t>
            </w:r>
          </w:p>
        </w:tc>
        <w:tc>
          <w:tcPr>
            <w:tcW w:w="725" w:type="pct"/>
            <w:tcBorders>
              <w:top w:val="nil"/>
              <w:left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6.4</w:t>
            </w:r>
          </w:p>
        </w:tc>
        <w:tc>
          <w:tcPr>
            <w:tcW w:w="726" w:type="pct"/>
            <w:tcBorders>
              <w:top w:val="nil"/>
              <w:left w:val="nil"/>
              <w:right w:val="nil"/>
            </w:tcBorders>
            <w:shd w:val="clear" w:color="auto" w:fill="auto"/>
            <w:noWrap/>
            <w:vAlign w:val="bottom"/>
            <w:hideMark/>
          </w:tcPr>
          <w:p w:rsidR="00A056D3" w:rsidRPr="00BA64C2" w:rsidRDefault="00A056D3" w:rsidP="008456DB">
            <w:pPr>
              <w:pStyle w:val="Tabletext"/>
              <w:tabs>
                <w:tab w:val="decimal" w:pos="459"/>
              </w:tabs>
              <w:rPr>
                <w:b/>
                <w:bCs/>
              </w:rPr>
            </w:pPr>
            <w:r w:rsidRPr="00BA64C2">
              <w:rPr>
                <w:b/>
              </w:rPr>
              <w:t>0</w:t>
            </w:r>
            <w:r w:rsidR="006F13BF">
              <w:rPr>
                <w:b/>
              </w:rPr>
              <w:t>.0</w:t>
            </w:r>
          </w:p>
        </w:tc>
      </w:tr>
      <w:tr w:rsidR="00A056D3" w:rsidRPr="00EE2157" w:rsidTr="000E1068">
        <w:trPr>
          <w:trHeight w:val="300"/>
        </w:trPr>
        <w:tc>
          <w:tcPr>
            <w:tcW w:w="647" w:type="pct"/>
            <w:tcBorders>
              <w:top w:val="nil"/>
              <w:left w:val="nil"/>
              <w:bottom w:val="single" w:sz="4" w:space="0" w:color="auto"/>
              <w:right w:val="nil"/>
            </w:tcBorders>
            <w:shd w:val="clear" w:color="auto" w:fill="auto"/>
            <w:noWrap/>
            <w:vAlign w:val="bottom"/>
          </w:tcPr>
          <w:p w:rsidR="00A056D3" w:rsidRPr="00B234B8" w:rsidRDefault="00A056D3" w:rsidP="000E1068">
            <w:pPr>
              <w:pStyle w:val="Tabletext"/>
            </w:pPr>
            <w:r w:rsidRPr="00B234B8">
              <w:t>Sample size</w:t>
            </w:r>
          </w:p>
        </w:tc>
        <w:tc>
          <w:tcPr>
            <w:tcW w:w="725" w:type="pct"/>
            <w:tcBorders>
              <w:top w:val="nil"/>
              <w:left w:val="nil"/>
              <w:bottom w:val="single" w:sz="4" w:space="0" w:color="auto"/>
              <w:right w:val="nil"/>
            </w:tcBorders>
            <w:shd w:val="clear" w:color="auto" w:fill="auto"/>
            <w:noWrap/>
            <w:vAlign w:val="bottom"/>
          </w:tcPr>
          <w:p w:rsidR="00A056D3" w:rsidRPr="00B234B8" w:rsidRDefault="00A056D3" w:rsidP="006F13BF">
            <w:pPr>
              <w:pStyle w:val="Tabletext"/>
              <w:jc w:val="center"/>
            </w:pPr>
            <w:r w:rsidRPr="00B234B8">
              <w:t>1</w:t>
            </w:r>
            <w:r>
              <w:t xml:space="preserve"> </w:t>
            </w:r>
            <w:r w:rsidRPr="00B234B8">
              <w:t>380</w:t>
            </w:r>
            <w:r>
              <w:t xml:space="preserve"> </w:t>
            </w:r>
            <w:r w:rsidRPr="00B234B8">
              <w:t>765</w:t>
            </w:r>
          </w:p>
        </w:tc>
        <w:tc>
          <w:tcPr>
            <w:tcW w:w="726" w:type="pct"/>
            <w:tcBorders>
              <w:top w:val="nil"/>
              <w:left w:val="nil"/>
              <w:bottom w:val="single" w:sz="4" w:space="0" w:color="auto"/>
              <w:right w:val="nil"/>
            </w:tcBorders>
            <w:shd w:val="clear" w:color="auto" w:fill="auto"/>
            <w:noWrap/>
            <w:vAlign w:val="bottom"/>
          </w:tcPr>
          <w:p w:rsidR="00A056D3" w:rsidRPr="00B234B8" w:rsidRDefault="00A056D3" w:rsidP="006F13BF">
            <w:pPr>
              <w:pStyle w:val="Tabletext"/>
              <w:jc w:val="center"/>
            </w:pPr>
            <w:r w:rsidRPr="00B234B8">
              <w:t>2</w:t>
            </w:r>
            <w:r>
              <w:t xml:space="preserve"> </w:t>
            </w:r>
            <w:r w:rsidRPr="00B234B8">
              <w:t>174</w:t>
            </w:r>
            <w:r>
              <w:t xml:space="preserve"> </w:t>
            </w:r>
            <w:r w:rsidRPr="00B234B8">
              <w:t>137</w:t>
            </w:r>
          </w:p>
        </w:tc>
        <w:tc>
          <w:tcPr>
            <w:tcW w:w="725" w:type="pct"/>
            <w:tcBorders>
              <w:top w:val="nil"/>
              <w:left w:val="nil"/>
              <w:bottom w:val="single" w:sz="4" w:space="0" w:color="auto"/>
              <w:right w:val="nil"/>
            </w:tcBorders>
            <w:shd w:val="clear" w:color="auto" w:fill="auto"/>
            <w:noWrap/>
            <w:vAlign w:val="bottom"/>
          </w:tcPr>
          <w:p w:rsidR="00A056D3" w:rsidRPr="00B234B8" w:rsidRDefault="00A056D3" w:rsidP="006F13BF">
            <w:pPr>
              <w:pStyle w:val="Tabletext"/>
              <w:jc w:val="center"/>
            </w:pPr>
            <w:r w:rsidRPr="00B234B8">
              <w:t>1</w:t>
            </w:r>
            <w:r>
              <w:t xml:space="preserve"> </w:t>
            </w:r>
            <w:r w:rsidRPr="00B234B8">
              <w:t>380</w:t>
            </w:r>
            <w:r>
              <w:t xml:space="preserve"> </w:t>
            </w:r>
            <w:r w:rsidRPr="00B234B8">
              <w:t>765</w:t>
            </w:r>
          </w:p>
        </w:tc>
        <w:tc>
          <w:tcPr>
            <w:tcW w:w="726" w:type="pct"/>
            <w:tcBorders>
              <w:top w:val="nil"/>
              <w:left w:val="nil"/>
              <w:bottom w:val="single" w:sz="4" w:space="0" w:color="auto"/>
              <w:right w:val="nil"/>
            </w:tcBorders>
            <w:shd w:val="clear" w:color="auto" w:fill="auto"/>
            <w:noWrap/>
            <w:vAlign w:val="bottom"/>
          </w:tcPr>
          <w:p w:rsidR="00A056D3" w:rsidRPr="00B234B8" w:rsidRDefault="00A056D3" w:rsidP="006F13BF">
            <w:pPr>
              <w:pStyle w:val="Tabletext"/>
              <w:jc w:val="center"/>
            </w:pPr>
            <w:r w:rsidRPr="00B234B8">
              <w:t>2</w:t>
            </w:r>
            <w:r>
              <w:t xml:space="preserve"> </w:t>
            </w:r>
            <w:r w:rsidRPr="00B234B8">
              <w:t>174</w:t>
            </w:r>
            <w:r>
              <w:t xml:space="preserve"> </w:t>
            </w:r>
            <w:r w:rsidRPr="00B234B8">
              <w:t>137</w:t>
            </w:r>
          </w:p>
        </w:tc>
        <w:tc>
          <w:tcPr>
            <w:tcW w:w="725" w:type="pct"/>
            <w:tcBorders>
              <w:top w:val="nil"/>
              <w:left w:val="nil"/>
              <w:bottom w:val="single" w:sz="4" w:space="0" w:color="auto"/>
              <w:right w:val="nil"/>
            </w:tcBorders>
            <w:shd w:val="clear" w:color="auto" w:fill="auto"/>
            <w:noWrap/>
            <w:vAlign w:val="bottom"/>
          </w:tcPr>
          <w:p w:rsidR="00A056D3" w:rsidRPr="00B234B8" w:rsidRDefault="00A056D3" w:rsidP="006F13BF">
            <w:pPr>
              <w:pStyle w:val="Tabletext"/>
              <w:jc w:val="center"/>
            </w:pPr>
            <w:r w:rsidRPr="00B234B8">
              <w:t>1</w:t>
            </w:r>
            <w:r>
              <w:t xml:space="preserve"> </w:t>
            </w:r>
            <w:r w:rsidRPr="00B234B8">
              <w:t>380</w:t>
            </w:r>
            <w:r>
              <w:t xml:space="preserve"> </w:t>
            </w:r>
            <w:r w:rsidRPr="00B234B8">
              <w:t>765</w:t>
            </w:r>
          </w:p>
        </w:tc>
        <w:tc>
          <w:tcPr>
            <w:tcW w:w="726" w:type="pct"/>
            <w:tcBorders>
              <w:top w:val="nil"/>
              <w:left w:val="nil"/>
              <w:bottom w:val="single" w:sz="4" w:space="0" w:color="auto"/>
              <w:right w:val="nil"/>
            </w:tcBorders>
            <w:shd w:val="clear" w:color="auto" w:fill="auto"/>
            <w:noWrap/>
            <w:vAlign w:val="bottom"/>
          </w:tcPr>
          <w:p w:rsidR="00A056D3" w:rsidRPr="00B234B8" w:rsidRDefault="00A056D3" w:rsidP="006F13BF">
            <w:pPr>
              <w:pStyle w:val="Tabletext"/>
              <w:jc w:val="center"/>
            </w:pPr>
            <w:r w:rsidRPr="00B234B8">
              <w:t>2</w:t>
            </w:r>
            <w:r>
              <w:t xml:space="preserve"> </w:t>
            </w:r>
            <w:r w:rsidRPr="00B234B8">
              <w:t>174</w:t>
            </w:r>
            <w:r>
              <w:t xml:space="preserve"> </w:t>
            </w:r>
            <w:r w:rsidRPr="00B234B8">
              <w:t>137</w:t>
            </w:r>
          </w:p>
        </w:tc>
      </w:tr>
    </w:tbl>
    <w:p w:rsidR="00A056D3" w:rsidRPr="0063218F" w:rsidRDefault="001B16C6" w:rsidP="008456DB">
      <w:pPr>
        <w:pStyle w:val="Source"/>
        <w:rPr>
          <w:rFonts w:ascii="Arial" w:hAnsi="Arial" w:cs="Arial"/>
          <w:sz w:val="15"/>
          <w:szCs w:val="15"/>
        </w:rPr>
      </w:pPr>
      <w:r w:rsidRPr="006F13BF">
        <w:rPr>
          <w:rStyle w:val="FooterChar"/>
          <w:b w:val="0"/>
          <w:sz w:val="15"/>
          <w:szCs w:val="15"/>
        </w:rPr>
        <w:t>Notes:</w:t>
      </w:r>
      <w:r>
        <w:rPr>
          <w:rStyle w:val="FooterChar"/>
          <w:rFonts w:ascii="Trebuchet MS" w:hAnsi="Trebuchet MS" w:cs="Times New Roman"/>
          <w:b w:val="0"/>
          <w:sz w:val="16"/>
          <w:szCs w:val="24"/>
        </w:rPr>
        <w:t xml:space="preserve"> </w:t>
      </w:r>
      <w:r w:rsidR="008456DB">
        <w:rPr>
          <w:rStyle w:val="FooterChar"/>
          <w:rFonts w:ascii="Trebuchet MS" w:hAnsi="Trebuchet MS" w:cs="Times New Roman"/>
          <w:b w:val="0"/>
          <w:sz w:val="16"/>
          <w:szCs w:val="24"/>
        </w:rPr>
        <w:tab/>
      </w:r>
      <w:r w:rsidR="00A056D3" w:rsidRPr="0063218F">
        <w:rPr>
          <w:rStyle w:val="FooterChar"/>
          <w:b w:val="0"/>
          <w:sz w:val="15"/>
          <w:szCs w:val="15"/>
        </w:rPr>
        <w:t xml:space="preserve">All models are estimated with month of enrolment dummies, whether or not the state of residence is different </w:t>
      </w:r>
      <w:r w:rsidR="00855724" w:rsidRPr="0063218F">
        <w:rPr>
          <w:rStyle w:val="FooterChar"/>
          <w:b w:val="0"/>
          <w:sz w:val="15"/>
          <w:szCs w:val="15"/>
        </w:rPr>
        <w:t>from</w:t>
      </w:r>
      <w:r w:rsidR="00A056D3" w:rsidRPr="0063218F">
        <w:rPr>
          <w:rStyle w:val="FooterChar"/>
          <w:b w:val="0"/>
          <w:sz w:val="15"/>
          <w:szCs w:val="15"/>
        </w:rPr>
        <w:t xml:space="preserve"> the state of study and SLA unemployment rates. The results corresponding to the lis</w:t>
      </w:r>
      <w:r w:rsidR="00855724" w:rsidRPr="0063218F">
        <w:rPr>
          <w:rStyle w:val="FooterChar"/>
          <w:b w:val="0"/>
          <w:sz w:val="15"/>
          <w:szCs w:val="15"/>
        </w:rPr>
        <w:t xml:space="preserve">ted parameter in the right-hand </w:t>
      </w:r>
      <w:r w:rsidR="00A056D3" w:rsidRPr="0063218F">
        <w:rPr>
          <w:rStyle w:val="FooterChar"/>
          <w:b w:val="0"/>
          <w:sz w:val="15"/>
          <w:szCs w:val="15"/>
        </w:rPr>
        <w:t>side of the table represent the estimated model coefficient or marginal effects (from the equations above) and the values underneath are their associated p-values. A p-value represents the probability that we would observe the estimated coefficient</w:t>
      </w:r>
      <w:r w:rsidR="00855724" w:rsidRPr="0063218F">
        <w:rPr>
          <w:rStyle w:val="FooterChar"/>
          <w:b w:val="0"/>
          <w:sz w:val="15"/>
          <w:szCs w:val="15"/>
        </w:rPr>
        <w:t>,</w:t>
      </w:r>
      <w:r w:rsidR="00A056D3" w:rsidRPr="0063218F">
        <w:rPr>
          <w:rStyle w:val="FooterChar"/>
          <w:b w:val="0"/>
          <w:sz w:val="15"/>
          <w:szCs w:val="15"/>
        </w:rPr>
        <w:t xml:space="preserve"> given that there is no underlying relationship between the course choice variable and the model parameter. A p-value less than 10 is statistically significant at the 90% confidence level, less than 5 is significant at the 95% confidence level and less than 1 is significant at the 99% confidence level. P-values are generated using cluster-robust standard errors from the </w:t>
      </w:r>
      <w:proofErr w:type="gramStart"/>
      <w:r w:rsidR="00A056D3" w:rsidRPr="0063218F">
        <w:rPr>
          <w:rStyle w:val="FooterChar"/>
          <w:b w:val="0"/>
          <w:sz w:val="15"/>
          <w:szCs w:val="15"/>
        </w:rPr>
        <w:t>T(</w:t>
      </w:r>
      <w:proofErr w:type="gramEnd"/>
      <w:r w:rsidR="00A056D3" w:rsidRPr="0063218F">
        <w:rPr>
          <w:rStyle w:val="FooterChar"/>
          <w:b w:val="0"/>
          <w:sz w:val="15"/>
          <w:szCs w:val="15"/>
        </w:rPr>
        <w:t>G-1) distribution, as suggested by Cameron and Miller (2015) for estimation with small group sizes.</w:t>
      </w:r>
    </w:p>
    <w:p w:rsidR="009108AA" w:rsidRDefault="009108AA">
      <w:pPr>
        <w:spacing w:before="0" w:line="240" w:lineRule="auto"/>
      </w:pPr>
      <w:r>
        <w:br w:type="page"/>
      </w:r>
    </w:p>
    <w:p w:rsidR="00A056D3" w:rsidRDefault="00A056D3" w:rsidP="00A056D3">
      <w:pPr>
        <w:pStyle w:val="Text"/>
      </w:pPr>
      <w:r>
        <w:lastRenderedPageBreak/>
        <w:t>Importantly, looking at the differences in the estimated reform effects with and withou</w:t>
      </w:r>
      <w:r w:rsidR="0069560C">
        <w:t>t linear time trends (columns four to five versus two to three</w:t>
      </w:r>
      <w:r>
        <w:t xml:space="preserve">), we can see that controlling for pre-reform trends in course choice measures is important to the estimation of the effects of the </w:t>
      </w:r>
      <w:r w:rsidR="00855724">
        <w:t>Victorian Training Guarantee</w:t>
      </w:r>
      <w:r>
        <w:t>. In particular, to the extent that the pre-reform trends continued post-reform, failure to acco</w:t>
      </w:r>
      <w:r w:rsidR="00687E00">
        <w:t>unt for them would tend to over</w:t>
      </w:r>
      <w:r>
        <w:t>estimate any effect on national skill sho</w:t>
      </w:r>
      <w:r w:rsidR="00687E00">
        <w:t>rtage enrolment rates and under</w:t>
      </w:r>
      <w:r>
        <w:t>estimate any effect on expected returns. However, the little differen</w:t>
      </w:r>
      <w:r w:rsidR="00687E00">
        <w:t>ce in results between columns 4—5 and 6—</w:t>
      </w:r>
      <w:r>
        <w:t xml:space="preserve">7 suggests that our results are not sensitive to the use of state-specific time trends </w:t>
      </w:r>
      <w:r w:rsidR="00687E00">
        <w:t>rather than</w:t>
      </w:r>
      <w:r>
        <w:t xml:space="preserve"> common time trends (for states </w:t>
      </w:r>
      <w:r w:rsidR="0069560C">
        <w:t>other than</w:t>
      </w:r>
      <w:r>
        <w:t xml:space="preserve"> Victoria). Given that our standard model specification is to</w:t>
      </w:r>
      <w:r w:rsidR="00687E00">
        <w:t xml:space="preserve"> use state-specific time trends,</w:t>
      </w:r>
      <w:r>
        <w:t xml:space="preserve"> overall, we can say that</w:t>
      </w:r>
      <w:r w:rsidR="00685F22">
        <w:t>,</w:t>
      </w:r>
      <w:r>
        <w:t xml:space="preserve"> for those </w:t>
      </w:r>
      <w:r w:rsidR="00687E00">
        <w:t>aged 25—</w:t>
      </w:r>
      <w:r>
        <w:t>54</w:t>
      </w:r>
      <w:r w:rsidR="00687E00">
        <w:t xml:space="preserve"> years</w:t>
      </w:r>
      <w:r>
        <w:t xml:space="preserve">, the </w:t>
      </w:r>
      <w:r w:rsidR="00132A0F">
        <w:t xml:space="preserve">Victorian </w:t>
      </w:r>
      <w:r w:rsidR="00687E00">
        <w:t>Training Guarantee</w:t>
      </w:r>
      <w:r>
        <w:t xml:space="preserve"> was associated with course choice changes that increased the rate of enrolments in skill shortage areas by four percentage points and increased the expected earnings at graduation by 2.4% (compared </w:t>
      </w:r>
      <w:r w:rsidR="00687E00">
        <w:t>with</w:t>
      </w:r>
      <w:r>
        <w:t xml:space="preserve"> what may have been expected under the former supply-driven funding model) between January 2011 and June 2012</w:t>
      </w:r>
      <w:r w:rsidR="00A26D11">
        <w:t xml:space="preserve"> (table 4)</w:t>
      </w:r>
      <w:r>
        <w:t xml:space="preserve">. Thus, we conclude that moving from a centrally administered funding model to one based on student choice improved the alignment between skill demands and course choice for those </w:t>
      </w:r>
      <w:r w:rsidR="00A26D11">
        <w:t xml:space="preserve">aged </w:t>
      </w:r>
      <w:r w:rsidR="00687E00">
        <w:t>25—</w:t>
      </w:r>
      <w:r>
        <w:t>54</w:t>
      </w:r>
      <w:r w:rsidR="00461337">
        <w:t xml:space="preserve"> </w:t>
      </w:r>
      <w:r w:rsidR="00A26D11">
        <w:t>years</w:t>
      </w:r>
      <w:r>
        <w:t xml:space="preserve">. This is consistent with the </w:t>
      </w:r>
      <w:proofErr w:type="spellStart"/>
      <w:r>
        <w:t>McVicar</w:t>
      </w:r>
      <w:proofErr w:type="spellEnd"/>
      <w:r>
        <w:t xml:space="preserve"> and </w:t>
      </w:r>
      <w:proofErr w:type="spellStart"/>
      <w:r>
        <w:t>Polidano</w:t>
      </w:r>
      <w:proofErr w:type="spellEnd"/>
      <w:r>
        <w:t xml:space="preserve"> (2015) study, which found that the </w:t>
      </w:r>
      <w:r w:rsidR="00132A0F">
        <w:t xml:space="preserve">Victorian </w:t>
      </w:r>
      <w:r w:rsidR="00687E00">
        <w:t>Training Guarantee</w:t>
      </w:r>
      <w:r>
        <w:t xml:space="preserve"> improved the same course choice outcomes for </w:t>
      </w:r>
      <w:r w:rsidR="00687E00">
        <w:t>15 to 19-year-olds</w:t>
      </w:r>
      <w:r>
        <w:t xml:space="preserve">. </w:t>
      </w:r>
    </w:p>
    <w:p w:rsidR="00BC65DE" w:rsidRDefault="00A056D3" w:rsidP="00BC65DE">
      <w:pPr>
        <w:pStyle w:val="Text"/>
      </w:pPr>
      <w:r>
        <w:t xml:space="preserve">To isolate any overall effect of the </w:t>
      </w:r>
      <w:r w:rsidR="00132A0F">
        <w:t xml:space="preserve">Victorian </w:t>
      </w:r>
      <w:r w:rsidR="0069560C">
        <w:t>Training Guarantee</w:t>
      </w:r>
      <w:r>
        <w:t xml:space="preserve"> that may be due to increased freedom of course choice, we add controls for changes in the composition of students and providers (as described previously), the other two main channels through whi</w:t>
      </w:r>
      <w:r w:rsidR="00687E00">
        <w:t>ch effects may be transmitted. The r</w:t>
      </w:r>
      <w:r>
        <w:t xml:space="preserve">esults for these models are presented in </w:t>
      </w:r>
      <w:r w:rsidR="00593141">
        <w:t>t</w:t>
      </w:r>
      <w:r>
        <w:t xml:space="preserve">able </w:t>
      </w:r>
      <w:r w:rsidR="00461337">
        <w:t>5</w:t>
      </w:r>
      <w:r>
        <w:t xml:space="preserve"> and are very close to those for the unconditional model, which suggests that our overall results are being driven by greater freedom of choice, which is also consistent with the findings of </w:t>
      </w:r>
      <w:proofErr w:type="spellStart"/>
      <w:r>
        <w:t>McVicar</w:t>
      </w:r>
      <w:proofErr w:type="spellEnd"/>
      <w:r>
        <w:t xml:space="preserve"> and </w:t>
      </w:r>
      <w:proofErr w:type="spellStart"/>
      <w:r>
        <w:t>Polidano</w:t>
      </w:r>
      <w:proofErr w:type="spellEnd"/>
      <w:r>
        <w:t xml:space="preserve"> (2015) for </w:t>
      </w:r>
      <w:r w:rsidR="00707FA3">
        <w:t>15 to 19-year-olds</w:t>
      </w:r>
      <w:r>
        <w:t>.</w:t>
      </w:r>
    </w:p>
    <w:p w:rsidR="009108AA" w:rsidRDefault="009108AA">
      <w:pPr>
        <w:spacing w:before="0" w:line="240" w:lineRule="auto"/>
        <w:rPr>
          <w:rFonts w:ascii="Arial" w:hAnsi="Arial"/>
          <w:b/>
          <w:sz w:val="17"/>
          <w:lang w:eastAsia="en-AU"/>
        </w:rPr>
      </w:pPr>
      <w:r>
        <w:br w:type="page"/>
      </w:r>
    </w:p>
    <w:p w:rsidR="00A056D3" w:rsidRPr="003547FE" w:rsidRDefault="0029731A" w:rsidP="008456DB">
      <w:pPr>
        <w:pStyle w:val="tabletitle0"/>
        <w:tabs>
          <w:tab w:val="clear" w:pos="992"/>
        </w:tabs>
        <w:ind w:left="720" w:right="-284" w:hanging="720"/>
      </w:pPr>
      <w:bookmarkStart w:id="73" w:name="_Toc468881918"/>
      <w:r>
        <w:lastRenderedPageBreak/>
        <w:t>Table 5</w:t>
      </w:r>
      <w:r>
        <w:tab/>
      </w:r>
      <w:r w:rsidR="00BC65DE">
        <w:t>E</w:t>
      </w:r>
      <w:r w:rsidR="00CD5545">
        <w:t>stimated marginal effects of the VTG on cou</w:t>
      </w:r>
      <w:r w:rsidR="00687E00">
        <w:t>rse choice outcomes for ages 25–54</w:t>
      </w:r>
      <w:r w:rsidR="0053164E">
        <w:t xml:space="preserve"> years</w:t>
      </w:r>
      <w:r w:rsidR="00687E00">
        <w:t xml:space="preserve">, January 2011 – </w:t>
      </w:r>
      <w:r w:rsidR="00CD5545">
        <w:t>June 2012, conditional difference-in-differences estimation with time trends</w:t>
      </w:r>
      <w:bookmarkEnd w:id="73"/>
      <w:r w:rsidR="00CD5545">
        <w:t xml:space="preserve"> </w:t>
      </w:r>
    </w:p>
    <w:tbl>
      <w:tblPr>
        <w:tblW w:w="5000" w:type="pct"/>
        <w:tblLayout w:type="fixed"/>
        <w:tblLook w:val="04A0" w:firstRow="1" w:lastRow="0" w:firstColumn="1" w:lastColumn="0" w:noHBand="0" w:noVBand="1"/>
      </w:tblPr>
      <w:tblGrid>
        <w:gridCol w:w="1056"/>
        <w:gridCol w:w="1182"/>
        <w:gridCol w:w="1184"/>
        <w:gridCol w:w="1182"/>
        <w:gridCol w:w="1184"/>
        <w:gridCol w:w="1182"/>
        <w:gridCol w:w="1184"/>
      </w:tblGrid>
      <w:tr w:rsidR="00A056D3" w:rsidRPr="00963713" w:rsidTr="008456DB">
        <w:trPr>
          <w:trHeight w:val="518"/>
        </w:trPr>
        <w:tc>
          <w:tcPr>
            <w:tcW w:w="647" w:type="pct"/>
            <w:tcBorders>
              <w:top w:val="single" w:sz="4" w:space="0" w:color="auto"/>
              <w:left w:val="nil"/>
              <w:bottom w:val="nil"/>
              <w:right w:val="nil"/>
            </w:tcBorders>
            <w:shd w:val="clear" w:color="auto" w:fill="auto"/>
            <w:noWrap/>
            <w:hideMark/>
          </w:tcPr>
          <w:p w:rsidR="00A056D3" w:rsidRPr="00963713" w:rsidRDefault="00A056D3" w:rsidP="008456DB">
            <w:pPr>
              <w:pStyle w:val="Tablehead1"/>
              <w:jc w:val="center"/>
            </w:pPr>
          </w:p>
        </w:tc>
        <w:tc>
          <w:tcPr>
            <w:tcW w:w="1451" w:type="pct"/>
            <w:gridSpan w:val="2"/>
            <w:tcBorders>
              <w:top w:val="single" w:sz="4" w:space="0" w:color="auto"/>
              <w:left w:val="nil"/>
              <w:bottom w:val="nil"/>
              <w:right w:val="nil"/>
            </w:tcBorders>
            <w:shd w:val="clear" w:color="auto" w:fill="auto"/>
            <w:noWrap/>
            <w:hideMark/>
          </w:tcPr>
          <w:p w:rsidR="00A056D3" w:rsidRPr="00963713" w:rsidRDefault="00A056D3" w:rsidP="008456DB">
            <w:pPr>
              <w:pStyle w:val="Tablehead1"/>
              <w:jc w:val="center"/>
            </w:pPr>
            <w:r w:rsidRPr="00963713">
              <w:t>Unconditional</w:t>
            </w:r>
          </w:p>
        </w:tc>
        <w:tc>
          <w:tcPr>
            <w:tcW w:w="1451" w:type="pct"/>
            <w:gridSpan w:val="2"/>
            <w:tcBorders>
              <w:top w:val="single" w:sz="4" w:space="0" w:color="auto"/>
              <w:left w:val="nil"/>
              <w:bottom w:val="nil"/>
              <w:right w:val="nil"/>
            </w:tcBorders>
            <w:shd w:val="clear" w:color="auto" w:fill="auto"/>
            <w:hideMark/>
          </w:tcPr>
          <w:p w:rsidR="00A056D3" w:rsidRPr="00963713" w:rsidRDefault="00A056D3" w:rsidP="008456DB">
            <w:pPr>
              <w:pStyle w:val="Tablehead1"/>
              <w:jc w:val="center"/>
            </w:pPr>
            <w:r w:rsidRPr="00963713">
              <w:t>With student controls</w:t>
            </w:r>
          </w:p>
        </w:tc>
        <w:tc>
          <w:tcPr>
            <w:tcW w:w="1451" w:type="pct"/>
            <w:gridSpan w:val="2"/>
            <w:tcBorders>
              <w:top w:val="single" w:sz="4" w:space="0" w:color="auto"/>
              <w:left w:val="nil"/>
              <w:bottom w:val="nil"/>
              <w:right w:val="nil"/>
            </w:tcBorders>
            <w:shd w:val="clear" w:color="auto" w:fill="auto"/>
            <w:hideMark/>
          </w:tcPr>
          <w:p w:rsidR="00A056D3" w:rsidRPr="00963713" w:rsidRDefault="00A056D3" w:rsidP="008456DB">
            <w:pPr>
              <w:pStyle w:val="Tablehead1"/>
              <w:jc w:val="center"/>
            </w:pPr>
            <w:r w:rsidRPr="00963713">
              <w:t>With student and provider controls</w:t>
            </w:r>
          </w:p>
        </w:tc>
      </w:tr>
      <w:tr w:rsidR="00A056D3" w:rsidRPr="00963713" w:rsidTr="003547FE">
        <w:trPr>
          <w:trHeight w:val="300"/>
        </w:trPr>
        <w:tc>
          <w:tcPr>
            <w:tcW w:w="647" w:type="pct"/>
            <w:tcBorders>
              <w:top w:val="nil"/>
              <w:left w:val="nil"/>
              <w:right w:val="nil"/>
            </w:tcBorders>
            <w:shd w:val="clear" w:color="auto" w:fill="auto"/>
            <w:noWrap/>
            <w:vAlign w:val="bottom"/>
            <w:hideMark/>
          </w:tcPr>
          <w:p w:rsidR="00A056D3" w:rsidRPr="00963713" w:rsidRDefault="00A056D3" w:rsidP="003547FE">
            <w:pPr>
              <w:pStyle w:val="Tablehead2"/>
            </w:pPr>
          </w:p>
        </w:tc>
        <w:tc>
          <w:tcPr>
            <w:tcW w:w="725" w:type="pct"/>
            <w:tcBorders>
              <w:top w:val="nil"/>
              <w:left w:val="nil"/>
              <w:right w:val="nil"/>
            </w:tcBorders>
            <w:shd w:val="clear" w:color="auto" w:fill="auto"/>
            <w:noWrap/>
            <w:vAlign w:val="bottom"/>
            <w:hideMark/>
          </w:tcPr>
          <w:p w:rsidR="00A056D3" w:rsidRPr="00963713" w:rsidRDefault="00A056D3" w:rsidP="008456DB">
            <w:pPr>
              <w:pStyle w:val="Tablehead2"/>
              <w:jc w:val="center"/>
            </w:pPr>
            <w:r w:rsidRPr="00963713">
              <w:t>National skill shortage</w:t>
            </w:r>
          </w:p>
        </w:tc>
        <w:tc>
          <w:tcPr>
            <w:tcW w:w="726" w:type="pct"/>
            <w:tcBorders>
              <w:top w:val="nil"/>
              <w:left w:val="nil"/>
              <w:right w:val="nil"/>
            </w:tcBorders>
            <w:shd w:val="clear" w:color="auto" w:fill="auto"/>
            <w:noWrap/>
            <w:vAlign w:val="bottom"/>
            <w:hideMark/>
          </w:tcPr>
          <w:p w:rsidR="00A056D3" w:rsidRPr="00963713" w:rsidRDefault="00A056D3" w:rsidP="008456DB">
            <w:pPr>
              <w:pStyle w:val="Tablehead2"/>
              <w:jc w:val="center"/>
            </w:pPr>
            <w:r w:rsidRPr="00963713">
              <w:t>Expected returns</w:t>
            </w:r>
          </w:p>
        </w:tc>
        <w:tc>
          <w:tcPr>
            <w:tcW w:w="725" w:type="pct"/>
            <w:tcBorders>
              <w:top w:val="nil"/>
              <w:left w:val="nil"/>
              <w:right w:val="nil"/>
            </w:tcBorders>
            <w:shd w:val="clear" w:color="auto" w:fill="auto"/>
            <w:noWrap/>
            <w:vAlign w:val="bottom"/>
            <w:hideMark/>
          </w:tcPr>
          <w:p w:rsidR="00A056D3" w:rsidRPr="00963713" w:rsidRDefault="00A056D3" w:rsidP="008456DB">
            <w:pPr>
              <w:pStyle w:val="Tablehead2"/>
              <w:jc w:val="center"/>
            </w:pPr>
            <w:r w:rsidRPr="00963713">
              <w:t>National skill shortage</w:t>
            </w:r>
          </w:p>
        </w:tc>
        <w:tc>
          <w:tcPr>
            <w:tcW w:w="726" w:type="pct"/>
            <w:tcBorders>
              <w:top w:val="nil"/>
              <w:left w:val="nil"/>
              <w:right w:val="nil"/>
            </w:tcBorders>
            <w:shd w:val="clear" w:color="auto" w:fill="auto"/>
            <w:noWrap/>
            <w:vAlign w:val="bottom"/>
            <w:hideMark/>
          </w:tcPr>
          <w:p w:rsidR="00A056D3" w:rsidRPr="00963713" w:rsidRDefault="00A056D3" w:rsidP="008456DB">
            <w:pPr>
              <w:pStyle w:val="Tablehead2"/>
              <w:jc w:val="center"/>
            </w:pPr>
            <w:r w:rsidRPr="00963713">
              <w:t>Expected returns</w:t>
            </w:r>
          </w:p>
        </w:tc>
        <w:tc>
          <w:tcPr>
            <w:tcW w:w="725" w:type="pct"/>
            <w:tcBorders>
              <w:top w:val="nil"/>
              <w:left w:val="nil"/>
              <w:right w:val="nil"/>
            </w:tcBorders>
            <w:shd w:val="clear" w:color="auto" w:fill="auto"/>
            <w:noWrap/>
            <w:vAlign w:val="bottom"/>
            <w:hideMark/>
          </w:tcPr>
          <w:p w:rsidR="00A056D3" w:rsidRPr="00963713" w:rsidRDefault="00A056D3" w:rsidP="008456DB">
            <w:pPr>
              <w:pStyle w:val="Tablehead2"/>
              <w:jc w:val="center"/>
            </w:pPr>
            <w:r w:rsidRPr="00963713">
              <w:t>National skill shortage</w:t>
            </w:r>
          </w:p>
        </w:tc>
        <w:tc>
          <w:tcPr>
            <w:tcW w:w="726" w:type="pct"/>
            <w:tcBorders>
              <w:top w:val="nil"/>
              <w:left w:val="nil"/>
              <w:right w:val="nil"/>
            </w:tcBorders>
            <w:shd w:val="clear" w:color="auto" w:fill="auto"/>
            <w:noWrap/>
            <w:vAlign w:val="bottom"/>
            <w:hideMark/>
          </w:tcPr>
          <w:p w:rsidR="00A056D3" w:rsidRPr="00963713" w:rsidRDefault="00A056D3" w:rsidP="008456DB">
            <w:pPr>
              <w:pStyle w:val="Tablehead2"/>
              <w:jc w:val="center"/>
            </w:pPr>
            <w:r w:rsidRPr="00963713">
              <w:t>Expected returns</w:t>
            </w:r>
          </w:p>
        </w:tc>
      </w:tr>
      <w:tr w:rsidR="00A056D3" w:rsidRPr="00963713" w:rsidTr="003547FE">
        <w:trPr>
          <w:trHeight w:val="300"/>
        </w:trPr>
        <w:tc>
          <w:tcPr>
            <w:tcW w:w="647" w:type="pct"/>
            <w:tcBorders>
              <w:left w:val="nil"/>
              <w:bottom w:val="single" w:sz="4" w:space="0" w:color="auto"/>
              <w:right w:val="nil"/>
            </w:tcBorders>
            <w:shd w:val="clear" w:color="auto" w:fill="auto"/>
            <w:noWrap/>
            <w:vAlign w:val="bottom"/>
            <w:hideMark/>
          </w:tcPr>
          <w:p w:rsidR="00A056D3" w:rsidRPr="00963713" w:rsidRDefault="00A056D3" w:rsidP="000E1068">
            <w:pPr>
              <w:pStyle w:val="Tabletext"/>
            </w:pPr>
          </w:p>
        </w:tc>
        <w:tc>
          <w:tcPr>
            <w:tcW w:w="725" w:type="pct"/>
            <w:tcBorders>
              <w:left w:val="nil"/>
              <w:bottom w:val="single" w:sz="4" w:space="0" w:color="auto"/>
              <w:right w:val="nil"/>
            </w:tcBorders>
            <w:shd w:val="clear" w:color="auto" w:fill="auto"/>
            <w:noWrap/>
            <w:vAlign w:val="bottom"/>
            <w:hideMark/>
          </w:tcPr>
          <w:p w:rsidR="00A056D3" w:rsidRPr="00963713" w:rsidRDefault="00A056D3" w:rsidP="008456DB">
            <w:pPr>
              <w:pStyle w:val="Tabletext"/>
              <w:jc w:val="center"/>
            </w:pPr>
            <w:r>
              <w:t>%</w:t>
            </w:r>
            <w:proofErr w:type="spellStart"/>
            <w:r>
              <w:t>pt</w:t>
            </w:r>
            <w:proofErr w:type="spellEnd"/>
          </w:p>
        </w:tc>
        <w:tc>
          <w:tcPr>
            <w:tcW w:w="726" w:type="pct"/>
            <w:tcBorders>
              <w:left w:val="nil"/>
              <w:bottom w:val="single" w:sz="4" w:space="0" w:color="auto"/>
              <w:right w:val="nil"/>
            </w:tcBorders>
            <w:shd w:val="clear" w:color="auto" w:fill="auto"/>
            <w:noWrap/>
            <w:vAlign w:val="bottom"/>
            <w:hideMark/>
          </w:tcPr>
          <w:p w:rsidR="00A056D3" w:rsidRPr="00963713" w:rsidRDefault="00A056D3" w:rsidP="008456DB">
            <w:pPr>
              <w:pStyle w:val="Tabletext"/>
              <w:jc w:val="center"/>
            </w:pPr>
            <w:r>
              <w:t>%</w:t>
            </w:r>
          </w:p>
        </w:tc>
        <w:tc>
          <w:tcPr>
            <w:tcW w:w="725" w:type="pct"/>
            <w:tcBorders>
              <w:left w:val="nil"/>
              <w:bottom w:val="single" w:sz="4" w:space="0" w:color="auto"/>
              <w:right w:val="nil"/>
            </w:tcBorders>
            <w:shd w:val="clear" w:color="auto" w:fill="auto"/>
            <w:noWrap/>
            <w:vAlign w:val="bottom"/>
            <w:hideMark/>
          </w:tcPr>
          <w:p w:rsidR="00A056D3" w:rsidRPr="00963713" w:rsidRDefault="00A056D3" w:rsidP="008456DB">
            <w:pPr>
              <w:pStyle w:val="Tabletext"/>
              <w:jc w:val="center"/>
            </w:pPr>
            <w:r>
              <w:t>%</w:t>
            </w:r>
            <w:proofErr w:type="spellStart"/>
            <w:r>
              <w:t>pt</w:t>
            </w:r>
            <w:proofErr w:type="spellEnd"/>
          </w:p>
        </w:tc>
        <w:tc>
          <w:tcPr>
            <w:tcW w:w="726" w:type="pct"/>
            <w:tcBorders>
              <w:left w:val="nil"/>
              <w:bottom w:val="single" w:sz="4" w:space="0" w:color="auto"/>
              <w:right w:val="nil"/>
            </w:tcBorders>
            <w:shd w:val="clear" w:color="auto" w:fill="auto"/>
            <w:noWrap/>
            <w:vAlign w:val="bottom"/>
            <w:hideMark/>
          </w:tcPr>
          <w:p w:rsidR="00A056D3" w:rsidRPr="00963713" w:rsidRDefault="00A056D3" w:rsidP="008456DB">
            <w:pPr>
              <w:pStyle w:val="Tabletext"/>
              <w:jc w:val="center"/>
            </w:pPr>
            <w:r>
              <w:t>%</w:t>
            </w:r>
          </w:p>
        </w:tc>
        <w:tc>
          <w:tcPr>
            <w:tcW w:w="725" w:type="pct"/>
            <w:tcBorders>
              <w:left w:val="nil"/>
              <w:bottom w:val="single" w:sz="4" w:space="0" w:color="auto"/>
              <w:right w:val="nil"/>
            </w:tcBorders>
            <w:shd w:val="clear" w:color="auto" w:fill="auto"/>
            <w:noWrap/>
            <w:vAlign w:val="bottom"/>
            <w:hideMark/>
          </w:tcPr>
          <w:p w:rsidR="00A056D3" w:rsidRPr="00963713" w:rsidRDefault="00A056D3" w:rsidP="008456DB">
            <w:pPr>
              <w:pStyle w:val="Tabletext"/>
              <w:jc w:val="center"/>
            </w:pPr>
            <w:r>
              <w:t>%</w:t>
            </w:r>
            <w:proofErr w:type="spellStart"/>
            <w:r>
              <w:t>pt</w:t>
            </w:r>
            <w:proofErr w:type="spellEnd"/>
          </w:p>
        </w:tc>
        <w:tc>
          <w:tcPr>
            <w:tcW w:w="726" w:type="pct"/>
            <w:tcBorders>
              <w:left w:val="nil"/>
              <w:bottom w:val="single" w:sz="4" w:space="0" w:color="auto"/>
              <w:right w:val="nil"/>
            </w:tcBorders>
            <w:shd w:val="clear" w:color="auto" w:fill="auto"/>
            <w:noWrap/>
            <w:vAlign w:val="bottom"/>
            <w:hideMark/>
          </w:tcPr>
          <w:p w:rsidR="00A056D3" w:rsidRPr="00963713" w:rsidRDefault="00A056D3" w:rsidP="008456DB">
            <w:pPr>
              <w:pStyle w:val="Tabletext"/>
              <w:jc w:val="center"/>
            </w:pPr>
            <w:r>
              <w:t>%</w:t>
            </w:r>
          </w:p>
        </w:tc>
      </w:tr>
      <w:tr w:rsidR="00A056D3" w:rsidRPr="00963713" w:rsidTr="003547FE">
        <w:trPr>
          <w:trHeight w:val="300"/>
        </w:trPr>
        <w:tc>
          <w:tcPr>
            <w:tcW w:w="647" w:type="pct"/>
            <w:tcBorders>
              <w:top w:val="single" w:sz="4" w:space="0" w:color="auto"/>
              <w:left w:val="nil"/>
              <w:bottom w:val="nil"/>
              <w:right w:val="nil"/>
            </w:tcBorders>
            <w:shd w:val="clear" w:color="auto" w:fill="auto"/>
            <w:noWrap/>
            <w:vAlign w:val="bottom"/>
          </w:tcPr>
          <w:p w:rsidR="00A056D3" w:rsidRPr="00963713" w:rsidRDefault="00A056D3" w:rsidP="000E1068">
            <w:pPr>
              <w:pStyle w:val="Tabletext"/>
            </w:pPr>
            <w:r w:rsidRPr="006B1AC4">
              <w:rPr>
                <w:i/>
              </w:rPr>
              <w:t>Time trend (ref: 2008</w:t>
            </w:r>
            <w:r>
              <w:t>)</w:t>
            </w:r>
          </w:p>
        </w:tc>
        <w:tc>
          <w:tcPr>
            <w:tcW w:w="725"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6"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5"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6"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5"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c>
          <w:tcPr>
            <w:tcW w:w="726" w:type="pct"/>
            <w:tcBorders>
              <w:top w:val="single" w:sz="4" w:space="0" w:color="auto"/>
              <w:left w:val="nil"/>
              <w:bottom w:val="nil"/>
              <w:right w:val="nil"/>
            </w:tcBorders>
            <w:shd w:val="clear" w:color="auto" w:fill="auto"/>
            <w:noWrap/>
            <w:vAlign w:val="bottom"/>
          </w:tcPr>
          <w:p w:rsidR="00A056D3" w:rsidRDefault="00A056D3" w:rsidP="000E1068">
            <w:pPr>
              <w:pStyle w:val="Tabletext"/>
            </w:pP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rsidRPr="00963713">
              <w:t>2006</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-4</w:t>
            </w:r>
            <w:r w:rsidR="00E740CA">
              <w:t>.0</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6.3</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-3.8</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6.3</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-3.8</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6.3</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t>p-value</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0.2</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0.5</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0.7</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rsidRPr="00963713">
              <w:t>2007</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-5.9</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-7.4</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-5.7</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-7.5</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-5.8</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-7.5</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6B3819" w:rsidRDefault="00A056D3" w:rsidP="000E1068">
            <w:pPr>
              <w:pStyle w:val="Tabletext"/>
              <w:rPr>
                <w:b/>
              </w:rPr>
            </w:pPr>
            <w:r>
              <w:t>p-value</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0.5</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0.4</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0.4</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rsidRPr="00963713">
              <w:t>2011</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-4.2</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0.5</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-4.3</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0.6</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-4</w:t>
            </w:r>
            <w:r w:rsidR="00E740CA">
              <w:t>.0</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0.8</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t>p-value</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12.8</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45.2</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12.6</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39.4</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11.9</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28.9</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rsidRPr="00963713">
              <w:t>2012</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-1.9</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-7.7</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-2.3</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-7.4</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-2</w:t>
            </w:r>
            <w:r w:rsidR="00E740CA">
              <w:t>.0</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-7.2</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t>p-value</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42.8</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36.5</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35.8</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rsidRPr="00963713">
              <w:t>Vic</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-7</w:t>
            </w:r>
            <w:r w:rsidR="00E740CA">
              <w:t>.0</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3.3</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-6.7</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3.4</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-6.5</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3.2</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pPr>
            <w:r>
              <w:t>p-value</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pPr>
            <w:r>
              <w:t>0</w:t>
            </w:r>
            <w:r w:rsidR="00E740CA">
              <w:t>.0</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0.1</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0.1</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w:t>
            </w:r>
            <w:r w:rsidR="00E740CA">
              <w:t>.0</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pPr>
            <w:r>
              <w:t>0.2</w:t>
            </w:r>
          </w:p>
        </w:tc>
      </w:tr>
      <w:tr w:rsidR="00A056D3" w:rsidRPr="00963713" w:rsidTr="000E1068">
        <w:trPr>
          <w:trHeight w:val="300"/>
        </w:trPr>
        <w:tc>
          <w:tcPr>
            <w:tcW w:w="647" w:type="pct"/>
            <w:tcBorders>
              <w:top w:val="nil"/>
              <w:left w:val="nil"/>
              <w:bottom w:val="nil"/>
              <w:right w:val="nil"/>
            </w:tcBorders>
            <w:shd w:val="clear" w:color="auto" w:fill="auto"/>
            <w:noWrap/>
            <w:vAlign w:val="bottom"/>
            <w:hideMark/>
          </w:tcPr>
          <w:p w:rsidR="00A056D3" w:rsidRPr="00963713" w:rsidRDefault="00A056D3" w:rsidP="000E1068">
            <w:pPr>
              <w:pStyle w:val="Tabletext"/>
              <w:rPr>
                <w:b/>
                <w:bCs/>
              </w:rPr>
            </w:pPr>
            <w:proofErr w:type="spellStart"/>
            <w:r w:rsidRPr="00963713">
              <w:rPr>
                <w:b/>
                <w:bCs/>
              </w:rPr>
              <w:t>VicxPost</w:t>
            </w:r>
            <w:proofErr w:type="spellEnd"/>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19"/>
              </w:tabs>
              <w:rPr>
                <w:b/>
                <w:bCs/>
              </w:rPr>
            </w:pPr>
            <w:r>
              <w:t>4</w:t>
            </w:r>
            <w:r w:rsidR="00E740CA">
              <w:t>.0</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rPr>
                <w:b/>
                <w:bCs/>
              </w:rPr>
            </w:pPr>
            <w:r>
              <w:t>2.4</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rPr>
                <w:b/>
                <w:bCs/>
              </w:rPr>
            </w:pPr>
            <w:r>
              <w:t>3.9</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rPr>
                <w:b/>
                <w:bCs/>
              </w:rPr>
            </w:pPr>
            <w:r>
              <w:t>2.5</w:t>
            </w:r>
          </w:p>
        </w:tc>
        <w:tc>
          <w:tcPr>
            <w:tcW w:w="725"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rPr>
                <w:b/>
                <w:bCs/>
              </w:rPr>
            </w:pPr>
            <w:r>
              <w:t>4.1</w:t>
            </w:r>
          </w:p>
        </w:tc>
        <w:tc>
          <w:tcPr>
            <w:tcW w:w="726" w:type="pct"/>
            <w:tcBorders>
              <w:top w:val="nil"/>
              <w:left w:val="nil"/>
              <w:bottom w:val="nil"/>
              <w:right w:val="nil"/>
            </w:tcBorders>
            <w:shd w:val="clear" w:color="auto" w:fill="auto"/>
            <w:noWrap/>
            <w:vAlign w:val="bottom"/>
            <w:hideMark/>
          </w:tcPr>
          <w:p w:rsidR="00A056D3" w:rsidRPr="00963713" w:rsidRDefault="00A056D3" w:rsidP="008456DB">
            <w:pPr>
              <w:pStyle w:val="Tabletext"/>
              <w:tabs>
                <w:tab w:val="decimal" w:pos="507"/>
              </w:tabs>
              <w:rPr>
                <w:b/>
                <w:bCs/>
              </w:rPr>
            </w:pPr>
            <w:r>
              <w:t>2.5</w:t>
            </w:r>
          </w:p>
        </w:tc>
      </w:tr>
      <w:tr w:rsidR="00A056D3" w:rsidRPr="00963713" w:rsidTr="000E1068">
        <w:trPr>
          <w:trHeight w:val="300"/>
        </w:trPr>
        <w:tc>
          <w:tcPr>
            <w:tcW w:w="647" w:type="pct"/>
            <w:tcBorders>
              <w:top w:val="nil"/>
              <w:left w:val="nil"/>
              <w:right w:val="nil"/>
            </w:tcBorders>
            <w:shd w:val="clear" w:color="auto" w:fill="auto"/>
            <w:noWrap/>
            <w:vAlign w:val="bottom"/>
            <w:hideMark/>
          </w:tcPr>
          <w:p w:rsidR="00A056D3" w:rsidRPr="00963713" w:rsidRDefault="00A056D3" w:rsidP="000E1068">
            <w:pPr>
              <w:pStyle w:val="Tabletext"/>
              <w:rPr>
                <w:b/>
                <w:bCs/>
              </w:rPr>
            </w:pPr>
            <w:r>
              <w:t>p-value</w:t>
            </w:r>
          </w:p>
        </w:tc>
        <w:tc>
          <w:tcPr>
            <w:tcW w:w="725" w:type="pct"/>
            <w:tcBorders>
              <w:top w:val="nil"/>
              <w:left w:val="nil"/>
              <w:right w:val="nil"/>
            </w:tcBorders>
            <w:shd w:val="clear" w:color="auto" w:fill="auto"/>
            <w:noWrap/>
            <w:vAlign w:val="bottom"/>
            <w:hideMark/>
          </w:tcPr>
          <w:p w:rsidR="00A056D3" w:rsidRPr="00963713" w:rsidRDefault="00A056D3" w:rsidP="008456DB">
            <w:pPr>
              <w:pStyle w:val="Tabletext"/>
              <w:tabs>
                <w:tab w:val="decimal" w:pos="519"/>
              </w:tabs>
              <w:rPr>
                <w:b/>
                <w:bCs/>
              </w:rPr>
            </w:pPr>
            <w:r>
              <w:t>6.4</w:t>
            </w:r>
          </w:p>
        </w:tc>
        <w:tc>
          <w:tcPr>
            <w:tcW w:w="726" w:type="pct"/>
            <w:tcBorders>
              <w:top w:val="nil"/>
              <w:left w:val="nil"/>
              <w:right w:val="nil"/>
            </w:tcBorders>
            <w:shd w:val="clear" w:color="auto" w:fill="auto"/>
            <w:noWrap/>
            <w:vAlign w:val="bottom"/>
            <w:hideMark/>
          </w:tcPr>
          <w:p w:rsidR="00A056D3" w:rsidRPr="00963713" w:rsidRDefault="00A056D3" w:rsidP="008456DB">
            <w:pPr>
              <w:pStyle w:val="Tabletext"/>
              <w:tabs>
                <w:tab w:val="decimal" w:pos="507"/>
              </w:tabs>
              <w:rPr>
                <w:b/>
                <w:bCs/>
              </w:rPr>
            </w:pPr>
            <w:r>
              <w:t>0</w:t>
            </w:r>
            <w:r w:rsidR="00E740CA">
              <w:t>.0</w:t>
            </w:r>
          </w:p>
        </w:tc>
        <w:tc>
          <w:tcPr>
            <w:tcW w:w="725" w:type="pct"/>
            <w:tcBorders>
              <w:top w:val="nil"/>
              <w:left w:val="nil"/>
              <w:right w:val="nil"/>
            </w:tcBorders>
            <w:shd w:val="clear" w:color="auto" w:fill="auto"/>
            <w:noWrap/>
            <w:vAlign w:val="bottom"/>
            <w:hideMark/>
          </w:tcPr>
          <w:p w:rsidR="00A056D3" w:rsidRPr="00963713" w:rsidRDefault="00A056D3" w:rsidP="008456DB">
            <w:pPr>
              <w:pStyle w:val="Tabletext"/>
              <w:tabs>
                <w:tab w:val="decimal" w:pos="507"/>
              </w:tabs>
              <w:rPr>
                <w:b/>
                <w:bCs/>
              </w:rPr>
            </w:pPr>
            <w:r>
              <w:t>6.4</w:t>
            </w:r>
          </w:p>
        </w:tc>
        <w:tc>
          <w:tcPr>
            <w:tcW w:w="726" w:type="pct"/>
            <w:tcBorders>
              <w:top w:val="nil"/>
              <w:left w:val="nil"/>
              <w:right w:val="nil"/>
            </w:tcBorders>
            <w:shd w:val="clear" w:color="auto" w:fill="auto"/>
            <w:noWrap/>
            <w:vAlign w:val="bottom"/>
            <w:hideMark/>
          </w:tcPr>
          <w:p w:rsidR="00A056D3" w:rsidRPr="00963713" w:rsidRDefault="00A056D3" w:rsidP="008456DB">
            <w:pPr>
              <w:pStyle w:val="Tabletext"/>
              <w:tabs>
                <w:tab w:val="decimal" w:pos="507"/>
              </w:tabs>
              <w:rPr>
                <w:b/>
                <w:bCs/>
              </w:rPr>
            </w:pPr>
            <w:r>
              <w:t>0.1</w:t>
            </w:r>
          </w:p>
        </w:tc>
        <w:tc>
          <w:tcPr>
            <w:tcW w:w="725" w:type="pct"/>
            <w:tcBorders>
              <w:top w:val="nil"/>
              <w:left w:val="nil"/>
              <w:right w:val="nil"/>
            </w:tcBorders>
            <w:shd w:val="clear" w:color="auto" w:fill="auto"/>
            <w:noWrap/>
            <w:vAlign w:val="bottom"/>
            <w:hideMark/>
          </w:tcPr>
          <w:p w:rsidR="00A056D3" w:rsidRPr="00963713" w:rsidRDefault="00A056D3" w:rsidP="008456DB">
            <w:pPr>
              <w:pStyle w:val="Tabletext"/>
              <w:tabs>
                <w:tab w:val="decimal" w:pos="507"/>
              </w:tabs>
              <w:rPr>
                <w:b/>
                <w:bCs/>
              </w:rPr>
            </w:pPr>
            <w:r>
              <w:t>3.3</w:t>
            </w:r>
          </w:p>
        </w:tc>
        <w:tc>
          <w:tcPr>
            <w:tcW w:w="726" w:type="pct"/>
            <w:tcBorders>
              <w:top w:val="nil"/>
              <w:left w:val="nil"/>
              <w:right w:val="nil"/>
            </w:tcBorders>
            <w:shd w:val="clear" w:color="auto" w:fill="auto"/>
            <w:noWrap/>
            <w:vAlign w:val="bottom"/>
            <w:hideMark/>
          </w:tcPr>
          <w:p w:rsidR="00A056D3" w:rsidRPr="00963713" w:rsidRDefault="00A056D3" w:rsidP="008456DB">
            <w:pPr>
              <w:pStyle w:val="Tabletext"/>
              <w:tabs>
                <w:tab w:val="decimal" w:pos="507"/>
              </w:tabs>
              <w:rPr>
                <w:b/>
                <w:bCs/>
              </w:rPr>
            </w:pPr>
            <w:r>
              <w:t>0.1</w:t>
            </w:r>
          </w:p>
        </w:tc>
      </w:tr>
      <w:tr w:rsidR="00A056D3" w:rsidRPr="00963713" w:rsidTr="000E1068">
        <w:trPr>
          <w:trHeight w:val="300"/>
        </w:trPr>
        <w:tc>
          <w:tcPr>
            <w:tcW w:w="647" w:type="pct"/>
            <w:tcBorders>
              <w:top w:val="nil"/>
              <w:left w:val="nil"/>
              <w:bottom w:val="single" w:sz="4" w:space="0" w:color="auto"/>
              <w:right w:val="nil"/>
            </w:tcBorders>
            <w:shd w:val="clear" w:color="auto" w:fill="auto"/>
            <w:noWrap/>
            <w:vAlign w:val="bottom"/>
            <w:hideMark/>
          </w:tcPr>
          <w:p w:rsidR="00A056D3" w:rsidRPr="00963713" w:rsidRDefault="00A056D3" w:rsidP="000E1068">
            <w:pPr>
              <w:pStyle w:val="Tabletext"/>
            </w:pPr>
            <w:r w:rsidRPr="00963713">
              <w:t>Sample size</w:t>
            </w:r>
          </w:p>
        </w:tc>
        <w:tc>
          <w:tcPr>
            <w:tcW w:w="725" w:type="pct"/>
            <w:tcBorders>
              <w:top w:val="nil"/>
              <w:left w:val="nil"/>
              <w:bottom w:val="single" w:sz="4" w:space="0" w:color="auto"/>
              <w:right w:val="nil"/>
            </w:tcBorders>
            <w:shd w:val="clear" w:color="auto" w:fill="auto"/>
            <w:noWrap/>
            <w:vAlign w:val="bottom"/>
            <w:hideMark/>
          </w:tcPr>
          <w:p w:rsidR="00A056D3" w:rsidRPr="00963713" w:rsidRDefault="00A056D3" w:rsidP="00E740CA">
            <w:pPr>
              <w:pStyle w:val="Tabletext"/>
              <w:jc w:val="center"/>
            </w:pPr>
            <w:r w:rsidRPr="00963713">
              <w:t>1</w:t>
            </w:r>
            <w:r>
              <w:t xml:space="preserve"> </w:t>
            </w:r>
            <w:r w:rsidRPr="00963713">
              <w:t>380</w:t>
            </w:r>
            <w:r>
              <w:t xml:space="preserve"> </w:t>
            </w:r>
            <w:r w:rsidRPr="00963713">
              <w:t>765</w:t>
            </w:r>
          </w:p>
        </w:tc>
        <w:tc>
          <w:tcPr>
            <w:tcW w:w="726" w:type="pct"/>
            <w:tcBorders>
              <w:top w:val="nil"/>
              <w:left w:val="nil"/>
              <w:bottom w:val="single" w:sz="4" w:space="0" w:color="auto"/>
              <w:right w:val="nil"/>
            </w:tcBorders>
            <w:shd w:val="clear" w:color="auto" w:fill="auto"/>
            <w:noWrap/>
            <w:vAlign w:val="bottom"/>
            <w:hideMark/>
          </w:tcPr>
          <w:p w:rsidR="00A056D3" w:rsidRPr="00963713" w:rsidRDefault="00A056D3" w:rsidP="00E740CA">
            <w:pPr>
              <w:pStyle w:val="Tabletext"/>
              <w:jc w:val="center"/>
            </w:pPr>
            <w:r w:rsidRPr="00963713">
              <w:t>2</w:t>
            </w:r>
            <w:r>
              <w:t xml:space="preserve"> </w:t>
            </w:r>
            <w:r w:rsidRPr="00963713">
              <w:t>174</w:t>
            </w:r>
            <w:r>
              <w:t xml:space="preserve"> </w:t>
            </w:r>
            <w:r w:rsidRPr="00963713">
              <w:t>137</w:t>
            </w:r>
          </w:p>
        </w:tc>
        <w:tc>
          <w:tcPr>
            <w:tcW w:w="725" w:type="pct"/>
            <w:tcBorders>
              <w:top w:val="nil"/>
              <w:left w:val="nil"/>
              <w:bottom w:val="single" w:sz="4" w:space="0" w:color="auto"/>
              <w:right w:val="nil"/>
            </w:tcBorders>
            <w:shd w:val="clear" w:color="auto" w:fill="auto"/>
            <w:noWrap/>
            <w:vAlign w:val="bottom"/>
            <w:hideMark/>
          </w:tcPr>
          <w:p w:rsidR="00A056D3" w:rsidRPr="00963713" w:rsidRDefault="00A056D3" w:rsidP="00E740CA">
            <w:pPr>
              <w:pStyle w:val="Tabletext"/>
              <w:jc w:val="center"/>
            </w:pPr>
            <w:r w:rsidRPr="00963713">
              <w:t>1</w:t>
            </w:r>
            <w:r>
              <w:t xml:space="preserve"> </w:t>
            </w:r>
            <w:r w:rsidRPr="00963713">
              <w:t>374</w:t>
            </w:r>
            <w:r>
              <w:t xml:space="preserve"> </w:t>
            </w:r>
            <w:r w:rsidRPr="00963713">
              <w:t>359</w:t>
            </w:r>
          </w:p>
        </w:tc>
        <w:tc>
          <w:tcPr>
            <w:tcW w:w="726" w:type="pct"/>
            <w:tcBorders>
              <w:top w:val="nil"/>
              <w:left w:val="nil"/>
              <w:bottom w:val="single" w:sz="4" w:space="0" w:color="auto"/>
              <w:right w:val="nil"/>
            </w:tcBorders>
            <w:shd w:val="clear" w:color="auto" w:fill="auto"/>
            <w:noWrap/>
            <w:vAlign w:val="bottom"/>
            <w:hideMark/>
          </w:tcPr>
          <w:p w:rsidR="00A056D3" w:rsidRPr="00963713" w:rsidRDefault="00A056D3" w:rsidP="00E740CA">
            <w:pPr>
              <w:pStyle w:val="Tabletext"/>
              <w:jc w:val="center"/>
            </w:pPr>
            <w:r w:rsidRPr="00963713">
              <w:t>2</w:t>
            </w:r>
            <w:r>
              <w:t xml:space="preserve"> </w:t>
            </w:r>
            <w:r w:rsidRPr="00963713">
              <w:t>164</w:t>
            </w:r>
            <w:r>
              <w:t xml:space="preserve"> </w:t>
            </w:r>
            <w:r w:rsidRPr="00963713">
              <w:t>226</w:t>
            </w:r>
          </w:p>
        </w:tc>
        <w:tc>
          <w:tcPr>
            <w:tcW w:w="725" w:type="pct"/>
            <w:tcBorders>
              <w:top w:val="nil"/>
              <w:left w:val="nil"/>
              <w:bottom w:val="single" w:sz="4" w:space="0" w:color="auto"/>
              <w:right w:val="nil"/>
            </w:tcBorders>
            <w:shd w:val="clear" w:color="auto" w:fill="auto"/>
            <w:noWrap/>
            <w:vAlign w:val="bottom"/>
            <w:hideMark/>
          </w:tcPr>
          <w:p w:rsidR="00A056D3" w:rsidRPr="00963713" w:rsidRDefault="00A056D3" w:rsidP="00E740CA">
            <w:pPr>
              <w:pStyle w:val="Tabletext"/>
              <w:jc w:val="center"/>
            </w:pPr>
            <w:r w:rsidRPr="00963713">
              <w:t>1</w:t>
            </w:r>
            <w:r>
              <w:t xml:space="preserve"> </w:t>
            </w:r>
            <w:r w:rsidRPr="00963713">
              <w:t>373</w:t>
            </w:r>
            <w:r>
              <w:t xml:space="preserve"> </w:t>
            </w:r>
            <w:r w:rsidRPr="00963713">
              <w:t>442</w:t>
            </w:r>
          </w:p>
        </w:tc>
        <w:tc>
          <w:tcPr>
            <w:tcW w:w="726" w:type="pct"/>
            <w:tcBorders>
              <w:top w:val="nil"/>
              <w:left w:val="nil"/>
              <w:bottom w:val="single" w:sz="4" w:space="0" w:color="auto"/>
              <w:right w:val="nil"/>
            </w:tcBorders>
            <w:shd w:val="clear" w:color="auto" w:fill="auto"/>
            <w:noWrap/>
            <w:vAlign w:val="bottom"/>
            <w:hideMark/>
          </w:tcPr>
          <w:p w:rsidR="00A056D3" w:rsidRPr="00963713" w:rsidRDefault="00A056D3" w:rsidP="00E740CA">
            <w:pPr>
              <w:pStyle w:val="Tabletext"/>
              <w:jc w:val="center"/>
            </w:pPr>
            <w:r w:rsidRPr="00963713">
              <w:t>2</w:t>
            </w:r>
            <w:r>
              <w:t xml:space="preserve"> </w:t>
            </w:r>
            <w:r w:rsidRPr="00963713">
              <w:t>162</w:t>
            </w:r>
            <w:r>
              <w:t xml:space="preserve"> </w:t>
            </w:r>
            <w:r w:rsidRPr="00963713">
              <w:t>518</w:t>
            </w:r>
          </w:p>
        </w:tc>
      </w:tr>
    </w:tbl>
    <w:p w:rsidR="00A056D3" w:rsidRPr="0063218F" w:rsidRDefault="001B16C6" w:rsidP="008456DB">
      <w:pPr>
        <w:pStyle w:val="Source"/>
        <w:rPr>
          <w:rFonts w:ascii="Arial" w:hAnsi="Arial" w:cs="Arial"/>
          <w:sz w:val="15"/>
          <w:szCs w:val="15"/>
        </w:rPr>
      </w:pPr>
      <w:r w:rsidRPr="00316DEB">
        <w:rPr>
          <w:rStyle w:val="FooterChar"/>
          <w:b w:val="0"/>
          <w:sz w:val="15"/>
          <w:szCs w:val="15"/>
        </w:rPr>
        <w:t>Notes:</w:t>
      </w:r>
      <w:r w:rsidRPr="008456DB">
        <w:rPr>
          <w:rStyle w:val="FooterChar"/>
          <w:rFonts w:ascii="Trebuchet MS" w:hAnsi="Trebuchet MS" w:cs="Times New Roman"/>
          <w:b w:val="0"/>
          <w:sz w:val="16"/>
          <w:szCs w:val="24"/>
        </w:rPr>
        <w:t xml:space="preserve"> </w:t>
      </w:r>
      <w:r w:rsidR="008456DB" w:rsidRPr="008456DB">
        <w:rPr>
          <w:rStyle w:val="FooterChar"/>
          <w:rFonts w:ascii="Trebuchet MS" w:hAnsi="Trebuchet MS" w:cs="Times New Roman"/>
          <w:b w:val="0"/>
          <w:sz w:val="16"/>
          <w:szCs w:val="24"/>
        </w:rPr>
        <w:tab/>
      </w:r>
      <w:r w:rsidR="00A056D3" w:rsidRPr="0063218F">
        <w:rPr>
          <w:rStyle w:val="FooterChar"/>
          <w:b w:val="0"/>
          <w:sz w:val="15"/>
          <w:szCs w:val="15"/>
        </w:rPr>
        <w:t>All models are estimated with month of enrolment dummies, whether or not the state of residence is different</w:t>
      </w:r>
      <w:r w:rsidR="00687E00" w:rsidRPr="0063218F">
        <w:rPr>
          <w:rStyle w:val="FooterChar"/>
          <w:b w:val="0"/>
          <w:sz w:val="15"/>
          <w:szCs w:val="15"/>
        </w:rPr>
        <w:t xml:space="preserve"> from</w:t>
      </w:r>
      <w:r w:rsidR="00A056D3" w:rsidRPr="0063218F">
        <w:rPr>
          <w:rStyle w:val="FooterChar"/>
          <w:b w:val="0"/>
          <w:sz w:val="15"/>
          <w:szCs w:val="15"/>
        </w:rPr>
        <w:t xml:space="preserve"> the state of study and </w:t>
      </w:r>
      <w:r w:rsidR="00316DEB">
        <w:rPr>
          <w:rStyle w:val="FooterChar"/>
          <w:b w:val="0"/>
          <w:sz w:val="15"/>
          <w:szCs w:val="15"/>
        </w:rPr>
        <w:t>statistical local area (SLA)</w:t>
      </w:r>
      <w:r w:rsidR="00A056D3" w:rsidRPr="0063218F">
        <w:rPr>
          <w:rStyle w:val="FooterChar"/>
          <w:b w:val="0"/>
          <w:sz w:val="15"/>
          <w:szCs w:val="15"/>
        </w:rPr>
        <w:t xml:space="preserve"> unemployment rates. The results corresponding to the lis</w:t>
      </w:r>
      <w:r w:rsidR="00687E00" w:rsidRPr="0063218F">
        <w:rPr>
          <w:rStyle w:val="FooterChar"/>
          <w:b w:val="0"/>
          <w:sz w:val="15"/>
          <w:szCs w:val="15"/>
        </w:rPr>
        <w:t xml:space="preserve">ted parameter in the right-hand </w:t>
      </w:r>
      <w:r w:rsidR="00A056D3" w:rsidRPr="0063218F">
        <w:rPr>
          <w:rStyle w:val="FooterChar"/>
          <w:b w:val="0"/>
          <w:sz w:val="15"/>
          <w:szCs w:val="15"/>
        </w:rPr>
        <w:t>side of the table represent the estimated model coefficient (from the equations above) and the values underneath represent their p-value. A p-value represents the probability that we would observe the estimated coefficient</w:t>
      </w:r>
      <w:r w:rsidR="00687E00" w:rsidRPr="0063218F">
        <w:rPr>
          <w:rStyle w:val="FooterChar"/>
          <w:b w:val="0"/>
          <w:sz w:val="15"/>
          <w:szCs w:val="15"/>
        </w:rPr>
        <w:t>,</w:t>
      </w:r>
      <w:r w:rsidR="00A056D3" w:rsidRPr="0063218F">
        <w:rPr>
          <w:rStyle w:val="FooterChar"/>
          <w:b w:val="0"/>
          <w:sz w:val="15"/>
          <w:szCs w:val="15"/>
        </w:rPr>
        <w:t xml:space="preserve"> given that there is no underlying relationship between the variable of interest and the model parameter. A p-value less than 10 is statistically significant at the 90% confidence level, less than 5 is significant at the 95% confidence level and less than 1 is significant at the 99% confidence level. P-values are generated using cluster-robust standard errors from the </w:t>
      </w:r>
      <w:proofErr w:type="gramStart"/>
      <w:r w:rsidR="00A056D3" w:rsidRPr="0063218F">
        <w:rPr>
          <w:rStyle w:val="FooterChar"/>
          <w:b w:val="0"/>
          <w:sz w:val="15"/>
          <w:szCs w:val="15"/>
        </w:rPr>
        <w:t>T(</w:t>
      </w:r>
      <w:proofErr w:type="gramEnd"/>
      <w:r w:rsidR="00A056D3" w:rsidRPr="0063218F">
        <w:rPr>
          <w:rStyle w:val="FooterChar"/>
          <w:b w:val="0"/>
          <w:sz w:val="15"/>
          <w:szCs w:val="15"/>
        </w:rPr>
        <w:t>G-1) distribution, as suggested by Cameron and Miller (2015) for estimation with small group sizes.</w:t>
      </w:r>
    </w:p>
    <w:p w:rsidR="00A056D3" w:rsidRDefault="00A056D3" w:rsidP="00A056D3">
      <w:pPr>
        <w:pStyle w:val="Text"/>
      </w:pPr>
      <w:r>
        <w:t xml:space="preserve">Interestingly, the improvement in alignment with apparent skill demands </w:t>
      </w:r>
      <w:r w:rsidR="00685F22">
        <w:t>occurs</w:t>
      </w:r>
      <w:r>
        <w:t xml:space="preserve"> despite large increases in </w:t>
      </w:r>
      <w:r w:rsidR="00293D53">
        <w:t>foundation</w:t>
      </w:r>
      <w:r>
        <w:t xml:space="preserve"> course enrolments. We estimate (using unconditional </w:t>
      </w:r>
      <w:proofErr w:type="spellStart"/>
      <w:proofErr w:type="gramStart"/>
      <w:r>
        <w:t>DiD</w:t>
      </w:r>
      <w:proofErr w:type="spellEnd"/>
      <w:proofErr w:type="gramEnd"/>
      <w:r>
        <w:t xml:space="preserve">) that the </w:t>
      </w:r>
      <w:r w:rsidR="00316DEB">
        <w:t xml:space="preserve">Victorian </w:t>
      </w:r>
      <w:r w:rsidR="00687E00">
        <w:t>Training Guarantee is associated with a seven-percentage-</w:t>
      </w:r>
      <w:r>
        <w:t>point increase in the proportion of enrolments in</w:t>
      </w:r>
      <w:r w:rsidR="0053164E">
        <w:t xml:space="preserve"> </w:t>
      </w:r>
      <w:r w:rsidR="00293D53">
        <w:t>foundation</w:t>
      </w:r>
      <w:r w:rsidR="0053164E">
        <w:t xml:space="preserve"> courses in Victoria from</w:t>
      </w:r>
      <w:r>
        <w:t xml:space="preserve"> </w:t>
      </w:r>
      <w:r w:rsidRPr="00593141">
        <w:t>January 201</w:t>
      </w:r>
      <w:r w:rsidR="00593141" w:rsidRPr="00593141">
        <w:t>1</w:t>
      </w:r>
      <w:r w:rsidR="00687E00">
        <w:t xml:space="preserve"> </w:t>
      </w:r>
      <w:r w:rsidR="0053164E">
        <w:t>to</w:t>
      </w:r>
      <w:r w:rsidR="00687E00">
        <w:t xml:space="preserve"> </w:t>
      </w:r>
      <w:r>
        <w:t xml:space="preserve">June 2012 (see table </w:t>
      </w:r>
      <w:r w:rsidR="00FF4480">
        <w:t>D1</w:t>
      </w:r>
      <w:r>
        <w:t xml:space="preserve"> in appendix </w:t>
      </w:r>
      <w:r w:rsidR="00FF4480">
        <w:t>D</w:t>
      </w:r>
      <w:r>
        <w:t xml:space="preserve">). </w:t>
      </w:r>
      <w:r w:rsidR="00685F22">
        <w:t>F</w:t>
      </w:r>
      <w:r w:rsidR="00293D53">
        <w:t>oundation</w:t>
      </w:r>
      <w:r>
        <w:t xml:space="preserve"> courses by and large do not prepare peo</w:t>
      </w:r>
      <w:r w:rsidR="00687E00">
        <w:t>ple for specific occupations, meaning</w:t>
      </w:r>
      <w:r>
        <w:t xml:space="preserve"> that they are not related to skill shortages or highly paid jobs. Among foundation courses, the biggest increase has been in vocational training courses designed to give people the general skills to find work. A possible reason </w:t>
      </w:r>
      <w:r w:rsidR="0053164E">
        <w:t>for</w:t>
      </w:r>
      <w:r>
        <w:t xml:space="preserve"> the large increase in </w:t>
      </w:r>
      <w:r w:rsidR="00293D53">
        <w:t>foundation</w:t>
      </w:r>
      <w:r>
        <w:t xml:space="preserve"> course participation not greatly affect</w:t>
      </w:r>
      <w:r w:rsidR="00685F22">
        <w:t>ing</w:t>
      </w:r>
      <w:r>
        <w:t xml:space="preserve"> alignment with skill demands is </w:t>
      </w:r>
      <w:r w:rsidR="00685F22">
        <w:t>that</w:t>
      </w:r>
      <w:r>
        <w:t xml:space="preserve"> enrolments in these areas are likely to have replaced enrolments in other general courses, such as English language courses, literacy and numera</w:t>
      </w:r>
      <w:r w:rsidR="0053164E">
        <w:t>cy (in other basic) courses, which</w:t>
      </w:r>
      <w:r>
        <w:t xml:space="preserve"> are not exempt from the upskilling requirement. We also estimate the </w:t>
      </w:r>
      <w:r w:rsidR="00132A0F">
        <w:t xml:space="preserve">Victorian </w:t>
      </w:r>
      <w:r w:rsidR="00687E00">
        <w:t>Training Guarantee</w:t>
      </w:r>
      <w:r>
        <w:t xml:space="preserve"> to b</w:t>
      </w:r>
      <w:r w:rsidR="00687E00">
        <w:t>e associated with around a five-percentage-</w:t>
      </w:r>
      <w:r>
        <w:t>point increase in the proportion of enrolments in apprenticeships/traineeships (</w:t>
      </w:r>
      <w:r w:rsidRPr="00981E4E">
        <w:t xml:space="preserve">table </w:t>
      </w:r>
      <w:r w:rsidR="00981E4E">
        <w:t>D1</w:t>
      </w:r>
      <w:r>
        <w:t xml:space="preserve">), which as well as </w:t>
      </w:r>
      <w:r w:rsidR="00293D53">
        <w:t>foundation</w:t>
      </w:r>
      <w:r>
        <w:t xml:space="preserve"> courses were exempt from the upskilling requirement. As to be expected, the </w:t>
      </w:r>
      <w:r w:rsidR="00316DEB">
        <w:t xml:space="preserve">Victorian </w:t>
      </w:r>
      <w:r w:rsidR="00687E00">
        <w:t xml:space="preserve">Training Guarantee </w:t>
      </w:r>
      <w:r>
        <w:t xml:space="preserve">is also estimated to have increased the proportion of </w:t>
      </w:r>
      <w:r w:rsidR="005331DE">
        <w:t>25 to 54-year-olds</w:t>
      </w:r>
      <w:r w:rsidR="00687E00">
        <w:t xml:space="preserve"> </w:t>
      </w:r>
      <w:r>
        <w:t>en</w:t>
      </w:r>
      <w:r w:rsidR="00E76220">
        <w:t>rolling at a higher level by 19 percentage points</w:t>
      </w:r>
      <w:r>
        <w:t xml:space="preserve"> (</w:t>
      </w:r>
      <w:r w:rsidRPr="00981E4E">
        <w:t xml:space="preserve">table </w:t>
      </w:r>
      <w:r w:rsidR="00981E4E">
        <w:t>D1</w:t>
      </w:r>
      <w:r>
        <w:t xml:space="preserve">). However, this effect is not as large as might be expected because </w:t>
      </w:r>
      <w:r w:rsidR="0053164E">
        <w:t xml:space="preserve">the </w:t>
      </w:r>
      <w:r>
        <w:t xml:space="preserve">participation response to the </w:t>
      </w:r>
      <w:r w:rsidR="00316DEB">
        <w:t xml:space="preserve">Victorian </w:t>
      </w:r>
      <w:r w:rsidR="00687E00">
        <w:t>Training Guarantee</w:t>
      </w:r>
      <w:r>
        <w:t xml:space="preserve"> was greatest for those with less than certificate III qualifications (table 3).</w:t>
      </w:r>
    </w:p>
    <w:p w:rsidR="00316DEB" w:rsidRDefault="00316DEB" w:rsidP="00A056D3">
      <w:pPr>
        <w:pStyle w:val="Text"/>
        <w:sectPr w:rsidR="00316DEB" w:rsidSect="00011633">
          <w:footerReference w:type="even" r:id="rId54"/>
          <w:footerReference w:type="default" r:id="rId55"/>
          <w:pgSz w:w="11907" w:h="16840" w:code="9"/>
          <w:pgMar w:top="1276" w:right="2835" w:bottom="992" w:left="1134" w:header="709" w:footer="556" w:gutter="0"/>
          <w:cols w:space="708"/>
          <w:docGrid w:linePitch="360"/>
        </w:sectPr>
      </w:pPr>
    </w:p>
    <w:p w:rsidR="00A056D3" w:rsidRDefault="00A056D3" w:rsidP="00A056D3">
      <w:pPr>
        <w:pStyle w:val="Text"/>
      </w:pPr>
      <w:r>
        <w:lastRenderedPageBreak/>
        <w:t xml:space="preserve">An important point to make is that estimated improvements in the alignment of course choice with skill demands are not just being driven by changes in enrolments in a handful of courses. The </w:t>
      </w:r>
      <w:r w:rsidR="00132A0F">
        <w:t xml:space="preserve">Victorian </w:t>
      </w:r>
      <w:r w:rsidR="00687E00">
        <w:t>Training Guarantee</w:t>
      </w:r>
      <w:r>
        <w:t xml:space="preserve"> resulted in changes in VET course enrolments </w:t>
      </w:r>
      <w:r w:rsidR="0016599D">
        <w:t xml:space="preserve">across </w:t>
      </w:r>
      <w:r w:rsidR="00CD5545">
        <w:t xml:space="preserve">at least half of the broad </w:t>
      </w:r>
      <w:r>
        <w:t>field</w:t>
      </w:r>
      <w:r w:rsidR="0016599D">
        <w:t>s</w:t>
      </w:r>
      <w:r>
        <w:t xml:space="preserve"> of </w:t>
      </w:r>
      <w:r w:rsidR="00B8328F">
        <w:t>education</w:t>
      </w:r>
      <w:r>
        <w:t xml:space="preserve"> (</w:t>
      </w:r>
      <w:r w:rsidRPr="00101F27">
        <w:t xml:space="preserve">table </w:t>
      </w:r>
      <w:r w:rsidR="00101F27">
        <w:t>D</w:t>
      </w:r>
      <w:r w:rsidR="009013A9">
        <w:t>1</w:t>
      </w:r>
      <w:r>
        <w:t xml:space="preserve">). </w:t>
      </w:r>
    </w:p>
    <w:p w:rsidR="00A056D3" w:rsidRDefault="00A056D3" w:rsidP="00A056D3">
      <w:pPr>
        <w:pStyle w:val="Heading3"/>
      </w:pPr>
      <w:r>
        <w:t>Effects for select sub-groups</w:t>
      </w:r>
    </w:p>
    <w:p w:rsidR="00A056D3" w:rsidRDefault="00687E00" w:rsidP="00A056D3">
      <w:pPr>
        <w:pStyle w:val="Text"/>
      </w:pPr>
      <w:r>
        <w:t>The r</w:t>
      </w:r>
      <w:r w:rsidR="00A056D3">
        <w:t>esults for specific student groups, including disadvan</w:t>
      </w:r>
      <w:r w:rsidR="00593141">
        <w:t>taged groups, are presented in t</w:t>
      </w:r>
      <w:r w:rsidR="00A056D3">
        <w:t xml:space="preserve">able 6. The first set of results are </w:t>
      </w:r>
      <w:r w:rsidR="00685F22">
        <w:t xml:space="preserve">the </w:t>
      </w:r>
      <w:r w:rsidR="00A056D3">
        <w:t xml:space="preserve">effects of the </w:t>
      </w:r>
      <w:r w:rsidR="00316DEB">
        <w:t xml:space="preserve">Victorian </w:t>
      </w:r>
      <w:r>
        <w:t>Training Guarantee</w:t>
      </w:r>
      <w:r w:rsidR="00A056D3">
        <w:t xml:space="preserve"> estimated for those who are members of the group listed in the first column and the second set are the marginal effects of the </w:t>
      </w:r>
      <w:r w:rsidR="00316DEB">
        <w:t xml:space="preserve">Victorian </w:t>
      </w:r>
      <w:r>
        <w:t>Training Guarantee</w:t>
      </w:r>
      <w:r w:rsidR="00A056D3">
        <w:t xml:space="preserve"> for all other students</w:t>
      </w:r>
      <w:r w:rsidR="0053164E">
        <w:t xml:space="preserve">, </w:t>
      </w:r>
      <w:r w:rsidR="00685F22">
        <w:t xml:space="preserve">that is, </w:t>
      </w:r>
      <w:r w:rsidR="0053164E">
        <w:t>those</w:t>
      </w:r>
      <w:r w:rsidR="00A056D3">
        <w:t xml:space="preserve"> not a member of the specific group. For example, those who are not a member of the gro</w:t>
      </w:r>
      <w:r w:rsidR="0053164E">
        <w:t>up aged 45—</w:t>
      </w:r>
      <w:r w:rsidR="00A056D3">
        <w:t>54</w:t>
      </w:r>
      <w:r w:rsidR="00593141">
        <w:t xml:space="preserve"> years</w:t>
      </w:r>
      <w:r w:rsidR="0053164E">
        <w:t xml:space="preserve"> are all those who are aged 25—</w:t>
      </w:r>
      <w:r w:rsidR="00A056D3">
        <w:t>44</w:t>
      </w:r>
      <w:r w:rsidR="0053164E">
        <w:t xml:space="preserve"> years</w:t>
      </w:r>
      <w:r w:rsidR="00A056D3">
        <w:t xml:space="preserve">, regardless of whether or not they are members of any of the other groups listed in column 1. The final set of results is the difference in the effect of the </w:t>
      </w:r>
      <w:r w:rsidR="00132A0F">
        <w:t xml:space="preserve">Victorian </w:t>
      </w:r>
      <w:r>
        <w:t>Training Guarantee</w:t>
      </w:r>
      <w:r w:rsidR="00A056D3">
        <w:t xml:space="preserve"> between those who are a group member and those who are not. For differences with p-values less than 10, we conclude that, on average, group membership is associated with significantly different course choice</w:t>
      </w:r>
      <w:r w:rsidR="00BE49D9">
        <w:t>s in response</w:t>
      </w:r>
      <w:r w:rsidR="00A056D3">
        <w:t xml:space="preserve"> to </w:t>
      </w:r>
      <w:r w:rsidR="00685F22">
        <w:t xml:space="preserve">the </w:t>
      </w:r>
      <w:r w:rsidR="00A056D3">
        <w:t xml:space="preserve">increased freedom of course choice available under the </w:t>
      </w:r>
      <w:r w:rsidR="00132A0F">
        <w:t xml:space="preserve">Victorian </w:t>
      </w:r>
      <w:r>
        <w:t>Training Guarantee</w:t>
      </w:r>
      <w:r w:rsidR="00A056D3">
        <w:t xml:space="preserve">. </w:t>
      </w:r>
    </w:p>
    <w:p w:rsidR="00A056D3" w:rsidRDefault="00A056D3" w:rsidP="00A056D3">
      <w:pPr>
        <w:pStyle w:val="Text"/>
      </w:pPr>
      <w:r>
        <w:t xml:space="preserve">Interestingly, we find very different responses between males and females to increased course choice under the </w:t>
      </w:r>
      <w:r w:rsidR="00316DEB">
        <w:t xml:space="preserve">Victorian </w:t>
      </w:r>
      <w:r w:rsidR="00687E00">
        <w:t>Training Guarantee</w:t>
      </w:r>
      <w:r>
        <w:t>. In particular, greater freedom of choice for f</w:t>
      </w:r>
      <w:r w:rsidR="00687E00">
        <w:t>emales is associated with an 11-percentage-</w:t>
      </w:r>
      <w:r>
        <w:t>point increase in the proportion of enrolments in skill shortage areas. Thi</w:t>
      </w:r>
      <w:r w:rsidR="00687E00">
        <w:t>s contrasts with around a three-percentage-</w:t>
      </w:r>
      <w:r>
        <w:t xml:space="preserve">point </w:t>
      </w:r>
      <w:r w:rsidRPr="00554ECF">
        <w:rPr>
          <w:i/>
        </w:rPr>
        <w:t>reduction</w:t>
      </w:r>
      <w:r>
        <w:t xml:space="preserve"> for males. However, we find no difference in </w:t>
      </w:r>
      <w:r w:rsidR="00BE49D9">
        <w:t xml:space="preserve">the </w:t>
      </w:r>
      <w:r>
        <w:t xml:space="preserve">expected returns from course choice between males and females. A possible explanation is that there are persistent skill </w:t>
      </w:r>
      <w:r w:rsidR="00687E00">
        <w:t>shortages in a number of female-</w:t>
      </w:r>
      <w:r>
        <w:t xml:space="preserve">dominated occupations, especially in </w:t>
      </w:r>
      <w:r w:rsidR="00687E00">
        <w:t xml:space="preserve">the </w:t>
      </w:r>
      <w:r>
        <w:t>areas of food, hospitality and per</w:t>
      </w:r>
      <w:r w:rsidR="00687E00">
        <w:t>sonal services, especially aged care. The i</w:t>
      </w:r>
      <w:r>
        <w:t xml:space="preserve">ncreased availability of </w:t>
      </w:r>
      <w:r w:rsidR="00801415">
        <w:t xml:space="preserve">publicly funded </w:t>
      </w:r>
      <w:r>
        <w:t>places post-</w:t>
      </w:r>
      <w:r w:rsidR="00316DEB">
        <w:t xml:space="preserve">Victorian </w:t>
      </w:r>
      <w:r w:rsidR="00687E00">
        <w:t>Training Guarantee</w:t>
      </w:r>
      <w:r>
        <w:t xml:space="preserve"> has </w:t>
      </w:r>
      <w:r w:rsidR="0053164E">
        <w:t xml:space="preserve">witnessed a growth in </w:t>
      </w:r>
      <w:r>
        <w:t>female enrolments in these areas (</w:t>
      </w:r>
      <w:r w:rsidR="00593141">
        <w:t>t</w:t>
      </w:r>
      <w:r>
        <w:t xml:space="preserve">able </w:t>
      </w:r>
      <w:r w:rsidR="00FF4480">
        <w:t>D1</w:t>
      </w:r>
      <w:r w:rsidR="00593141">
        <w:t xml:space="preserve"> in a</w:t>
      </w:r>
      <w:r>
        <w:t xml:space="preserve">ppendix </w:t>
      </w:r>
      <w:r w:rsidR="00FF4480">
        <w:t>D</w:t>
      </w:r>
      <w:r>
        <w:t>).</w:t>
      </w:r>
    </w:p>
    <w:p w:rsidR="00BC65DE" w:rsidRDefault="00A056D3" w:rsidP="00A056D3">
      <w:pPr>
        <w:pStyle w:val="Text"/>
      </w:pPr>
      <w:r>
        <w:t>Importantly, we find that improvements in alignment between course choice and labour demand are consistent across all disadvantaged groups, which suggests that all disadvantaged groups respond in a positive way to greater freedom of course choice. Moreover, we find no evidence that the improvements in alignment between course choic</w:t>
      </w:r>
      <w:r w:rsidR="00687E00">
        <w:t>e and skill demand are</w:t>
      </w:r>
      <w:r>
        <w:t xml:space="preserve"> any lower for disadvantaged </w:t>
      </w:r>
      <w:r w:rsidR="00CA70AD">
        <w:t>groups, and in some instances</w:t>
      </w:r>
      <w:r w:rsidR="00687E00">
        <w:t xml:space="preserve"> </w:t>
      </w:r>
      <w:r w:rsidR="00CA70AD">
        <w:t>—</w:t>
      </w:r>
      <w:r w:rsidR="00687E00">
        <w:t xml:space="preserve"> those living in low-</w:t>
      </w:r>
      <w:r>
        <w:t>SES areas, the unemployed and those from non-English speaking backgrounds</w:t>
      </w:r>
      <w:r w:rsidR="00687E00">
        <w:t xml:space="preserve"> </w:t>
      </w:r>
      <w:r w:rsidR="00CA70AD">
        <w:t>—</w:t>
      </w:r>
      <w:r w:rsidR="00687E00">
        <w:t xml:space="preserve"> </w:t>
      </w:r>
      <w:r>
        <w:t xml:space="preserve">the improvement is significantly greater for both measures. The only exception is significantly lower proportional increases in </w:t>
      </w:r>
      <w:r w:rsidR="0053164E">
        <w:t xml:space="preserve">the </w:t>
      </w:r>
      <w:r>
        <w:t xml:space="preserve">skill shortage enrolments associated with the </w:t>
      </w:r>
      <w:r w:rsidR="00316DEB">
        <w:t xml:space="preserve">Victorian </w:t>
      </w:r>
      <w:r w:rsidR="00687E00">
        <w:t>Training Guarantee</w:t>
      </w:r>
      <w:r>
        <w:t xml:space="preserve"> among those without secondary school qualifications, although</w:t>
      </w:r>
      <w:r w:rsidR="00CA70AD">
        <w:t xml:space="preserve"> this is no</w:t>
      </w:r>
      <w:r>
        <w:t>t matched by lower expected course returns. A possible interpretation is that skill shortage occupations ten</w:t>
      </w:r>
      <w:r w:rsidR="000E32A4">
        <w:t>d to be higher-skilled jobs, in which 25 to 44-</w:t>
      </w:r>
      <w:r>
        <w:t>year-olds without a secondary school equiva</w:t>
      </w:r>
      <w:r w:rsidR="000E32A4">
        <w:t>lent are less likely to enrol,</w:t>
      </w:r>
      <w:r>
        <w:t xml:space="preserve"> </w:t>
      </w:r>
      <w:r w:rsidR="00BE49D9">
        <w:t xml:space="preserve">even </w:t>
      </w:r>
      <w:r w:rsidR="0053164E">
        <w:t xml:space="preserve">if </w:t>
      </w:r>
      <w:r>
        <w:t xml:space="preserve">given increased opportunity. However, they are more likely to take advantage of the opportunity by enrolling in courses with higher expected returns, particularly in courses that prepare them for higher-paid jobs in sales, retail, construction and logistics. </w:t>
      </w:r>
    </w:p>
    <w:p w:rsidR="00A056D3" w:rsidRPr="003547FE" w:rsidRDefault="0029731A" w:rsidP="008456DB">
      <w:pPr>
        <w:pStyle w:val="tabletitle0"/>
        <w:tabs>
          <w:tab w:val="clear" w:pos="992"/>
          <w:tab w:val="left" w:pos="709"/>
        </w:tabs>
        <w:ind w:left="705" w:hanging="705"/>
      </w:pPr>
      <w:bookmarkStart w:id="74" w:name="_Toc468881919"/>
      <w:bookmarkStart w:id="75" w:name="_Toc438210019"/>
      <w:r>
        <w:lastRenderedPageBreak/>
        <w:t>Table 6</w:t>
      </w:r>
      <w:r>
        <w:tab/>
      </w:r>
      <w:r w:rsidR="00CD5545">
        <w:t>Estimated marginal effects of the VTG on course choice outcomes across various student groups</w:t>
      </w:r>
      <w:r w:rsidR="000E32A4">
        <w:t xml:space="preserve"> for ages 25–</w:t>
      </w:r>
      <w:r w:rsidR="00BC65DE">
        <w:t>54</w:t>
      </w:r>
      <w:r w:rsidR="0053164E">
        <w:t xml:space="preserve"> years</w:t>
      </w:r>
      <w:r w:rsidR="00CD5545">
        <w:t>, conditional difference-in-differences estimation with time trends</w:t>
      </w:r>
      <w:bookmarkEnd w:id="74"/>
      <w:r w:rsidR="00CD5545" w:rsidRPr="003547FE" w:rsidDel="00CD5545">
        <w:t xml:space="preserve"> </w:t>
      </w:r>
      <w:bookmarkEnd w:id="75"/>
    </w:p>
    <w:tbl>
      <w:tblPr>
        <w:tblW w:w="5000" w:type="pct"/>
        <w:tblLook w:val="04A0" w:firstRow="1" w:lastRow="0" w:firstColumn="1" w:lastColumn="0" w:noHBand="0" w:noVBand="1"/>
      </w:tblPr>
      <w:tblGrid>
        <w:gridCol w:w="2925"/>
        <w:gridCol w:w="935"/>
        <w:gridCol w:w="841"/>
        <w:gridCol w:w="934"/>
        <w:gridCol w:w="794"/>
        <w:gridCol w:w="934"/>
        <w:gridCol w:w="791"/>
      </w:tblGrid>
      <w:tr w:rsidR="00A056D3" w:rsidRPr="00A83415" w:rsidTr="008456DB">
        <w:trPr>
          <w:trHeight w:val="600"/>
        </w:trPr>
        <w:tc>
          <w:tcPr>
            <w:tcW w:w="1793" w:type="pct"/>
            <w:tcBorders>
              <w:top w:val="single" w:sz="4" w:space="0" w:color="auto"/>
              <w:left w:val="nil"/>
              <w:bottom w:val="nil"/>
              <w:right w:val="nil"/>
            </w:tcBorders>
            <w:shd w:val="clear" w:color="auto" w:fill="auto"/>
            <w:noWrap/>
            <w:vAlign w:val="bottom"/>
            <w:hideMark/>
          </w:tcPr>
          <w:p w:rsidR="00A056D3" w:rsidRPr="00A83415" w:rsidRDefault="00A056D3" w:rsidP="000E1068">
            <w:pPr>
              <w:pStyle w:val="Tablehead1"/>
            </w:pPr>
            <w:r>
              <w:t>Group</w:t>
            </w:r>
          </w:p>
        </w:tc>
        <w:tc>
          <w:tcPr>
            <w:tcW w:w="1088" w:type="pct"/>
            <w:gridSpan w:val="2"/>
            <w:tcBorders>
              <w:top w:val="single" w:sz="4" w:space="0" w:color="auto"/>
              <w:left w:val="nil"/>
              <w:bottom w:val="nil"/>
              <w:right w:val="nil"/>
            </w:tcBorders>
            <w:shd w:val="clear" w:color="auto" w:fill="auto"/>
            <w:hideMark/>
          </w:tcPr>
          <w:p w:rsidR="00A056D3" w:rsidRPr="00A83415" w:rsidRDefault="00A056D3" w:rsidP="008456DB">
            <w:pPr>
              <w:pStyle w:val="Tablehead1"/>
              <w:jc w:val="center"/>
            </w:pPr>
            <w:r w:rsidRPr="00A83415">
              <w:t>Member of the group</w:t>
            </w:r>
          </w:p>
        </w:tc>
        <w:tc>
          <w:tcPr>
            <w:tcW w:w="1060" w:type="pct"/>
            <w:gridSpan w:val="2"/>
            <w:tcBorders>
              <w:top w:val="single" w:sz="4" w:space="0" w:color="auto"/>
              <w:left w:val="nil"/>
              <w:bottom w:val="nil"/>
              <w:right w:val="nil"/>
            </w:tcBorders>
            <w:shd w:val="clear" w:color="auto" w:fill="auto"/>
            <w:hideMark/>
          </w:tcPr>
          <w:p w:rsidR="00A056D3" w:rsidRPr="00A83415" w:rsidRDefault="00A056D3" w:rsidP="008456DB">
            <w:pPr>
              <w:pStyle w:val="Tablehead1"/>
              <w:jc w:val="center"/>
            </w:pPr>
            <w:r w:rsidRPr="00A83415">
              <w:t>Not a member of the</w:t>
            </w:r>
            <w:r w:rsidR="00C423C2">
              <w:t xml:space="preserve"> group</w:t>
            </w:r>
          </w:p>
        </w:tc>
        <w:tc>
          <w:tcPr>
            <w:tcW w:w="1058" w:type="pct"/>
            <w:gridSpan w:val="2"/>
            <w:tcBorders>
              <w:top w:val="single" w:sz="4" w:space="0" w:color="auto"/>
              <w:left w:val="nil"/>
              <w:bottom w:val="nil"/>
              <w:right w:val="nil"/>
            </w:tcBorders>
            <w:shd w:val="clear" w:color="auto" w:fill="auto"/>
            <w:hideMark/>
          </w:tcPr>
          <w:p w:rsidR="00A056D3" w:rsidRPr="00A83415" w:rsidRDefault="00A056D3" w:rsidP="008456DB">
            <w:pPr>
              <w:pStyle w:val="Tablehead1"/>
              <w:jc w:val="center"/>
            </w:pPr>
            <w:r w:rsidRPr="00A83415">
              <w:t>Difference</w:t>
            </w:r>
          </w:p>
        </w:tc>
      </w:tr>
      <w:tr w:rsidR="00A056D3" w:rsidRPr="00A83415" w:rsidTr="008456DB">
        <w:trPr>
          <w:trHeight w:val="300"/>
        </w:trPr>
        <w:tc>
          <w:tcPr>
            <w:tcW w:w="1793" w:type="pct"/>
            <w:tcBorders>
              <w:top w:val="nil"/>
              <w:left w:val="nil"/>
              <w:bottom w:val="single" w:sz="4" w:space="0" w:color="auto"/>
              <w:right w:val="nil"/>
            </w:tcBorders>
            <w:shd w:val="clear" w:color="auto" w:fill="auto"/>
            <w:noWrap/>
            <w:vAlign w:val="bottom"/>
            <w:hideMark/>
          </w:tcPr>
          <w:p w:rsidR="00A056D3" w:rsidRPr="00A83415" w:rsidRDefault="00A056D3" w:rsidP="000E1068">
            <w:pPr>
              <w:pStyle w:val="Tablehead2"/>
            </w:pPr>
          </w:p>
        </w:tc>
        <w:tc>
          <w:tcPr>
            <w:tcW w:w="573" w:type="pct"/>
            <w:tcBorders>
              <w:top w:val="nil"/>
              <w:left w:val="nil"/>
              <w:bottom w:val="single" w:sz="4" w:space="0" w:color="auto"/>
              <w:right w:val="nil"/>
            </w:tcBorders>
            <w:shd w:val="clear" w:color="auto" w:fill="auto"/>
            <w:noWrap/>
            <w:vAlign w:val="bottom"/>
            <w:hideMark/>
          </w:tcPr>
          <w:p w:rsidR="00A056D3" w:rsidRPr="00316DEB" w:rsidRDefault="00A056D3" w:rsidP="00316DEB">
            <w:pPr>
              <w:pStyle w:val="Tablehead2"/>
            </w:pPr>
            <w:proofErr w:type="spellStart"/>
            <w:r w:rsidRPr="00316DEB">
              <w:t>VicxPost</w:t>
            </w:r>
            <w:proofErr w:type="spellEnd"/>
          </w:p>
        </w:tc>
        <w:tc>
          <w:tcPr>
            <w:tcW w:w="515" w:type="pct"/>
            <w:tcBorders>
              <w:top w:val="nil"/>
              <w:left w:val="nil"/>
              <w:bottom w:val="single" w:sz="4" w:space="0" w:color="auto"/>
              <w:right w:val="nil"/>
            </w:tcBorders>
            <w:shd w:val="clear" w:color="auto" w:fill="auto"/>
            <w:noWrap/>
            <w:vAlign w:val="bottom"/>
            <w:hideMark/>
          </w:tcPr>
          <w:p w:rsidR="00A056D3" w:rsidRPr="00A83415" w:rsidRDefault="00A056D3" w:rsidP="000E1068">
            <w:pPr>
              <w:pStyle w:val="Tablehead2"/>
            </w:pPr>
            <w:r w:rsidRPr="00A83415">
              <w:t>p-value</w:t>
            </w:r>
          </w:p>
        </w:tc>
        <w:tc>
          <w:tcPr>
            <w:tcW w:w="573" w:type="pct"/>
            <w:tcBorders>
              <w:top w:val="nil"/>
              <w:left w:val="nil"/>
              <w:bottom w:val="single" w:sz="4" w:space="0" w:color="auto"/>
              <w:right w:val="nil"/>
            </w:tcBorders>
            <w:shd w:val="clear" w:color="auto" w:fill="auto"/>
            <w:noWrap/>
            <w:vAlign w:val="bottom"/>
            <w:hideMark/>
          </w:tcPr>
          <w:p w:rsidR="00A056D3" w:rsidRPr="00A83415" w:rsidRDefault="00A056D3" w:rsidP="000E1068">
            <w:pPr>
              <w:pStyle w:val="Tablehead2"/>
            </w:pPr>
            <w:proofErr w:type="spellStart"/>
            <w:r w:rsidRPr="00316DEB">
              <w:t>VicxPost</w:t>
            </w:r>
            <w:proofErr w:type="spellEnd"/>
          </w:p>
        </w:tc>
        <w:tc>
          <w:tcPr>
            <w:tcW w:w="487" w:type="pct"/>
            <w:tcBorders>
              <w:top w:val="nil"/>
              <w:left w:val="nil"/>
              <w:bottom w:val="single" w:sz="4" w:space="0" w:color="auto"/>
              <w:right w:val="nil"/>
            </w:tcBorders>
            <w:shd w:val="clear" w:color="auto" w:fill="auto"/>
            <w:noWrap/>
            <w:vAlign w:val="bottom"/>
            <w:hideMark/>
          </w:tcPr>
          <w:p w:rsidR="00A056D3" w:rsidRPr="00A83415" w:rsidRDefault="00A056D3" w:rsidP="000E1068">
            <w:pPr>
              <w:pStyle w:val="Tablehead2"/>
            </w:pPr>
            <w:r w:rsidRPr="00A83415">
              <w:t>p-value</w:t>
            </w:r>
          </w:p>
        </w:tc>
        <w:tc>
          <w:tcPr>
            <w:tcW w:w="573" w:type="pct"/>
            <w:tcBorders>
              <w:top w:val="nil"/>
              <w:left w:val="nil"/>
              <w:bottom w:val="single" w:sz="4" w:space="0" w:color="auto"/>
              <w:right w:val="nil"/>
            </w:tcBorders>
            <w:shd w:val="clear" w:color="auto" w:fill="auto"/>
            <w:noWrap/>
            <w:vAlign w:val="bottom"/>
            <w:hideMark/>
          </w:tcPr>
          <w:p w:rsidR="00A056D3" w:rsidRPr="00A83415" w:rsidRDefault="00A056D3" w:rsidP="000E1068">
            <w:pPr>
              <w:pStyle w:val="Tablehead2"/>
            </w:pPr>
            <w:proofErr w:type="spellStart"/>
            <w:r w:rsidRPr="00316DEB">
              <w:t>VicxPost</w:t>
            </w:r>
            <w:proofErr w:type="spellEnd"/>
          </w:p>
        </w:tc>
        <w:tc>
          <w:tcPr>
            <w:tcW w:w="485" w:type="pct"/>
            <w:tcBorders>
              <w:top w:val="nil"/>
              <w:left w:val="nil"/>
              <w:bottom w:val="single" w:sz="4" w:space="0" w:color="auto"/>
              <w:right w:val="nil"/>
            </w:tcBorders>
            <w:shd w:val="clear" w:color="auto" w:fill="auto"/>
            <w:noWrap/>
            <w:vAlign w:val="bottom"/>
            <w:hideMark/>
          </w:tcPr>
          <w:p w:rsidR="00A056D3" w:rsidRPr="00A83415" w:rsidRDefault="00A056D3" w:rsidP="000E1068">
            <w:pPr>
              <w:pStyle w:val="Tablehead2"/>
            </w:pPr>
            <w:r w:rsidRPr="00A83415">
              <w:t>p-value</w:t>
            </w:r>
          </w:p>
        </w:tc>
      </w:tr>
      <w:tr w:rsidR="00A056D3" w:rsidRPr="00A83415" w:rsidTr="008456DB">
        <w:trPr>
          <w:trHeight w:val="300"/>
        </w:trPr>
        <w:tc>
          <w:tcPr>
            <w:tcW w:w="1793" w:type="pct"/>
            <w:tcBorders>
              <w:top w:val="single" w:sz="4" w:space="0" w:color="auto"/>
              <w:left w:val="nil"/>
              <w:bottom w:val="nil"/>
              <w:right w:val="nil"/>
            </w:tcBorders>
            <w:shd w:val="clear" w:color="auto" w:fill="auto"/>
            <w:noWrap/>
            <w:vAlign w:val="bottom"/>
            <w:hideMark/>
          </w:tcPr>
          <w:p w:rsidR="00A056D3" w:rsidRPr="00A83415" w:rsidRDefault="00A056D3" w:rsidP="000E1068">
            <w:pPr>
              <w:pStyle w:val="Tabletext"/>
            </w:pPr>
          </w:p>
        </w:tc>
        <w:tc>
          <w:tcPr>
            <w:tcW w:w="573" w:type="pct"/>
            <w:tcBorders>
              <w:top w:val="single" w:sz="4" w:space="0" w:color="auto"/>
              <w:left w:val="nil"/>
              <w:bottom w:val="nil"/>
              <w:right w:val="nil"/>
            </w:tcBorders>
            <w:shd w:val="clear" w:color="auto" w:fill="auto"/>
            <w:noWrap/>
            <w:vAlign w:val="bottom"/>
            <w:hideMark/>
          </w:tcPr>
          <w:p w:rsidR="00A056D3" w:rsidRPr="00A83415" w:rsidRDefault="00A056D3" w:rsidP="000E1068">
            <w:pPr>
              <w:pStyle w:val="Tabletext"/>
            </w:pPr>
          </w:p>
        </w:tc>
        <w:tc>
          <w:tcPr>
            <w:tcW w:w="515" w:type="pct"/>
            <w:tcBorders>
              <w:top w:val="single" w:sz="4" w:space="0" w:color="auto"/>
              <w:left w:val="nil"/>
              <w:bottom w:val="nil"/>
              <w:right w:val="nil"/>
            </w:tcBorders>
            <w:shd w:val="clear" w:color="auto" w:fill="auto"/>
            <w:noWrap/>
            <w:vAlign w:val="bottom"/>
            <w:hideMark/>
          </w:tcPr>
          <w:p w:rsidR="00A056D3" w:rsidRPr="00A83415" w:rsidRDefault="00A056D3" w:rsidP="000E1068">
            <w:pPr>
              <w:pStyle w:val="Tabletext"/>
            </w:pPr>
          </w:p>
        </w:tc>
        <w:tc>
          <w:tcPr>
            <w:tcW w:w="573" w:type="pct"/>
            <w:tcBorders>
              <w:top w:val="single" w:sz="4" w:space="0" w:color="auto"/>
              <w:left w:val="nil"/>
              <w:bottom w:val="nil"/>
              <w:right w:val="nil"/>
            </w:tcBorders>
            <w:shd w:val="clear" w:color="auto" w:fill="auto"/>
            <w:noWrap/>
            <w:vAlign w:val="bottom"/>
            <w:hideMark/>
          </w:tcPr>
          <w:p w:rsidR="00A056D3" w:rsidRPr="00A83415" w:rsidRDefault="00A056D3" w:rsidP="000E1068">
            <w:pPr>
              <w:pStyle w:val="Tabletext"/>
            </w:pPr>
          </w:p>
        </w:tc>
        <w:tc>
          <w:tcPr>
            <w:tcW w:w="487" w:type="pct"/>
            <w:tcBorders>
              <w:top w:val="single" w:sz="4" w:space="0" w:color="auto"/>
              <w:left w:val="nil"/>
              <w:bottom w:val="nil"/>
              <w:right w:val="nil"/>
            </w:tcBorders>
            <w:shd w:val="clear" w:color="auto" w:fill="auto"/>
            <w:noWrap/>
            <w:vAlign w:val="bottom"/>
            <w:hideMark/>
          </w:tcPr>
          <w:p w:rsidR="00A056D3" w:rsidRPr="00A83415" w:rsidRDefault="00A056D3" w:rsidP="000E1068">
            <w:pPr>
              <w:pStyle w:val="Tabletext"/>
            </w:pPr>
          </w:p>
        </w:tc>
        <w:tc>
          <w:tcPr>
            <w:tcW w:w="573" w:type="pct"/>
            <w:tcBorders>
              <w:top w:val="single" w:sz="4" w:space="0" w:color="auto"/>
              <w:left w:val="nil"/>
              <w:bottom w:val="nil"/>
              <w:right w:val="nil"/>
            </w:tcBorders>
            <w:shd w:val="clear" w:color="auto" w:fill="auto"/>
            <w:noWrap/>
            <w:vAlign w:val="bottom"/>
            <w:hideMark/>
          </w:tcPr>
          <w:p w:rsidR="00A056D3" w:rsidRPr="00A83415" w:rsidRDefault="00A056D3" w:rsidP="000E1068">
            <w:pPr>
              <w:pStyle w:val="Tabletext"/>
            </w:pPr>
          </w:p>
        </w:tc>
        <w:tc>
          <w:tcPr>
            <w:tcW w:w="485" w:type="pct"/>
            <w:tcBorders>
              <w:top w:val="single" w:sz="4" w:space="0" w:color="auto"/>
              <w:left w:val="nil"/>
              <w:bottom w:val="nil"/>
              <w:right w:val="nil"/>
            </w:tcBorders>
            <w:shd w:val="clear" w:color="auto" w:fill="auto"/>
            <w:noWrap/>
            <w:vAlign w:val="bottom"/>
            <w:hideMark/>
          </w:tcPr>
          <w:p w:rsidR="00A056D3" w:rsidRPr="00A83415" w:rsidRDefault="00A056D3" w:rsidP="000E1068">
            <w:pPr>
              <w:pStyle w:val="Tabletext"/>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0E32A4" w:rsidP="000E1068">
            <w:pPr>
              <w:pStyle w:val="Tabletext"/>
              <w:rPr>
                <w:i/>
              </w:rPr>
            </w:pPr>
            <w:r>
              <w:rPr>
                <w:i/>
              </w:rPr>
              <w:t>Aged 45–</w:t>
            </w:r>
            <w:r w:rsidR="00A056D3" w:rsidRPr="00613D92">
              <w:rPr>
                <w:i/>
              </w:rPr>
              <w:t>54</w:t>
            </w:r>
          </w:p>
        </w:tc>
        <w:tc>
          <w:tcPr>
            <w:tcW w:w="573" w:type="pct"/>
            <w:tcBorders>
              <w:top w:val="nil"/>
              <w:left w:val="nil"/>
              <w:bottom w:val="nil"/>
              <w:right w:val="nil"/>
            </w:tcBorders>
            <w:shd w:val="clear" w:color="auto" w:fill="auto"/>
            <w:noWrap/>
            <w:vAlign w:val="bottom"/>
            <w:hideMark/>
          </w:tcPr>
          <w:p w:rsidR="00A056D3" w:rsidRPr="00A83415" w:rsidRDefault="00A056D3" w:rsidP="000E1068">
            <w:pPr>
              <w:pStyle w:val="Tabletext"/>
            </w:pPr>
          </w:p>
        </w:tc>
        <w:tc>
          <w:tcPr>
            <w:tcW w:w="515" w:type="pct"/>
            <w:tcBorders>
              <w:top w:val="nil"/>
              <w:left w:val="nil"/>
              <w:bottom w:val="nil"/>
              <w:right w:val="nil"/>
            </w:tcBorders>
            <w:shd w:val="clear" w:color="auto" w:fill="auto"/>
            <w:noWrap/>
            <w:vAlign w:val="bottom"/>
            <w:hideMark/>
          </w:tcPr>
          <w:p w:rsidR="00A056D3" w:rsidRPr="00A83415" w:rsidRDefault="00A056D3" w:rsidP="000E1068">
            <w:pPr>
              <w:pStyle w:val="Tabletext"/>
            </w:pPr>
          </w:p>
        </w:tc>
        <w:tc>
          <w:tcPr>
            <w:tcW w:w="573" w:type="pct"/>
            <w:tcBorders>
              <w:top w:val="nil"/>
              <w:left w:val="nil"/>
              <w:bottom w:val="nil"/>
              <w:right w:val="nil"/>
            </w:tcBorders>
            <w:shd w:val="clear" w:color="auto" w:fill="auto"/>
            <w:noWrap/>
            <w:vAlign w:val="bottom"/>
            <w:hideMark/>
          </w:tcPr>
          <w:p w:rsidR="00A056D3" w:rsidRPr="00A83415" w:rsidRDefault="00A056D3" w:rsidP="000E1068">
            <w:pPr>
              <w:pStyle w:val="Tabletext"/>
            </w:pPr>
          </w:p>
        </w:tc>
        <w:tc>
          <w:tcPr>
            <w:tcW w:w="487" w:type="pct"/>
            <w:tcBorders>
              <w:top w:val="nil"/>
              <w:left w:val="nil"/>
              <w:bottom w:val="nil"/>
              <w:right w:val="nil"/>
            </w:tcBorders>
            <w:shd w:val="clear" w:color="auto" w:fill="auto"/>
            <w:noWrap/>
            <w:vAlign w:val="bottom"/>
            <w:hideMark/>
          </w:tcPr>
          <w:p w:rsidR="00A056D3" w:rsidRPr="00A83415" w:rsidRDefault="00A056D3" w:rsidP="000E1068">
            <w:pPr>
              <w:pStyle w:val="Tabletext"/>
            </w:pPr>
          </w:p>
        </w:tc>
        <w:tc>
          <w:tcPr>
            <w:tcW w:w="573" w:type="pct"/>
            <w:tcBorders>
              <w:top w:val="nil"/>
              <w:left w:val="nil"/>
              <w:bottom w:val="nil"/>
              <w:right w:val="nil"/>
            </w:tcBorders>
            <w:shd w:val="clear" w:color="auto" w:fill="auto"/>
            <w:noWrap/>
            <w:vAlign w:val="bottom"/>
            <w:hideMark/>
          </w:tcPr>
          <w:p w:rsidR="00A056D3" w:rsidRPr="00A83415" w:rsidRDefault="00A056D3" w:rsidP="000E1068">
            <w:pPr>
              <w:pStyle w:val="Tabletext"/>
            </w:pPr>
          </w:p>
        </w:tc>
        <w:tc>
          <w:tcPr>
            <w:tcW w:w="485" w:type="pct"/>
            <w:tcBorders>
              <w:top w:val="nil"/>
              <w:left w:val="nil"/>
              <w:bottom w:val="nil"/>
              <w:right w:val="nil"/>
            </w:tcBorders>
            <w:shd w:val="clear" w:color="auto" w:fill="auto"/>
            <w:noWrap/>
            <w:vAlign w:val="bottom"/>
            <w:hideMark/>
          </w:tcPr>
          <w:p w:rsidR="00A056D3" w:rsidRPr="00A83415" w:rsidRDefault="00A056D3" w:rsidP="000E1068">
            <w:pPr>
              <w:pStyle w:val="Tabletext"/>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5.1</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2.3</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3.4</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4.9</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1.7</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0.8</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1.8</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1.5</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3.1</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0</w:t>
            </w:r>
            <w:r w:rsidR="00316DEB">
              <w:t>.0</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-1.2</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2.5</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A056D3" w:rsidP="000E1068">
            <w:pPr>
              <w:pStyle w:val="Tablehead2"/>
              <w:rPr>
                <w:i/>
              </w:rPr>
            </w:pPr>
            <w:r w:rsidRPr="00613D92">
              <w:rPr>
                <w:i/>
              </w:rPr>
              <w:t>Female</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11.1</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0.1</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-2.7</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6.3</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13.9</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w:t>
            </w:r>
            <w:r w:rsidR="00316DEB">
              <w:t>.0</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2.7</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0.9</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2.4</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0.2</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0.3</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75.8</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A056D3" w:rsidP="000E1068">
            <w:pPr>
              <w:pStyle w:val="Tabletext"/>
              <w:rPr>
                <w:i/>
              </w:rPr>
            </w:pPr>
            <w:r w:rsidRPr="00613D92">
              <w:rPr>
                <w:i/>
              </w:rPr>
              <w:t>Rural</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4.7</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0.4</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3.8</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8.6</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0.9</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55.6</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2.4</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w:t>
            </w:r>
            <w:r w:rsidR="00316DEB">
              <w:t>.0</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2.6</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0.2</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-0.2</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51</w:t>
            </w:r>
            <w:r w:rsidR="00316DEB">
              <w:t>.0</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A056D3" w:rsidP="000E1068">
            <w:pPr>
              <w:pStyle w:val="Tabletext"/>
              <w:rPr>
                <w:b/>
              </w:rPr>
            </w:pPr>
            <w:r w:rsidRPr="00613D92">
              <w:rPr>
                <w:b/>
              </w:rPr>
              <w:t>Disadvantaged groups</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A056D3" w:rsidP="000E1068">
            <w:pPr>
              <w:pStyle w:val="Tabletext"/>
              <w:rPr>
                <w:i/>
              </w:rPr>
            </w:pPr>
            <w:r w:rsidRPr="00613D92">
              <w:rPr>
                <w:i/>
              </w:rPr>
              <w:t>Unemployed</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8</w:t>
            </w:r>
            <w:r w:rsidR="00316DEB">
              <w:t>.0</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1.5</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2.5</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7.1</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5.5</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0.8</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5.5</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w:t>
            </w:r>
            <w:r w:rsidR="00316DEB">
              <w:t>.0</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0.8</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7.8</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4.7</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w:t>
            </w:r>
            <w:r w:rsidR="00316DEB">
              <w:t>.0</w:t>
            </w:r>
          </w:p>
        </w:tc>
      </w:tr>
      <w:tr w:rsidR="00A056D3" w:rsidRPr="00A83415" w:rsidTr="008456DB">
        <w:trPr>
          <w:trHeight w:val="300"/>
        </w:trPr>
        <w:tc>
          <w:tcPr>
            <w:tcW w:w="2366" w:type="pct"/>
            <w:gridSpan w:val="2"/>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rPr>
                <w:i/>
              </w:rPr>
            </w:pPr>
            <w:r w:rsidRPr="00613D92">
              <w:rPr>
                <w:i/>
              </w:rPr>
              <w:t>Without secondary qualification or equivalent</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3.1</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10</w:t>
            </w:r>
            <w:r w:rsidR="00316DEB">
              <w:t>.0</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4.8</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1.7</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-1.8</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0.1</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3.8</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w:t>
            </w:r>
            <w:r w:rsidR="00316DEB">
              <w:t>.0</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1.6</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1.4</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2.1</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0.1</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A056D3" w:rsidP="000E1068">
            <w:pPr>
              <w:pStyle w:val="Tabletext"/>
              <w:rPr>
                <w:i/>
              </w:rPr>
            </w:pPr>
            <w:r w:rsidRPr="00613D92">
              <w:rPr>
                <w:i/>
              </w:rPr>
              <w:t>Aboriginal or Torres Strait Islander</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6.5</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3.7</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4.1</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3.3</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2.5</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8.9</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3.6</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0.1</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2.5</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0.1</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1.1</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15.3</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A056D3" w:rsidP="000E1068">
            <w:pPr>
              <w:pStyle w:val="Tabletext"/>
              <w:rPr>
                <w:i/>
              </w:rPr>
            </w:pPr>
            <w:r w:rsidRPr="00613D92">
              <w:rPr>
                <w:i/>
              </w:rPr>
              <w:t>Has a disability</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5.2</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3.8</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4</w:t>
            </w:r>
            <w:r w:rsidR="00316DEB">
              <w:t>.0</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3.3</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1.1</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17.2</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6.4</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w:t>
            </w:r>
            <w:r w:rsidR="00316DEB">
              <w:t>.0</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2.2</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0.3</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4.2</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w:t>
            </w:r>
            <w:r w:rsidR="00316DEB">
              <w:t>.0</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A056D3" w:rsidP="000E1068">
            <w:pPr>
              <w:pStyle w:val="Tabletext"/>
              <w:rPr>
                <w:i/>
              </w:rPr>
            </w:pPr>
            <w:r w:rsidRPr="00613D92">
              <w:rPr>
                <w:i/>
              </w:rPr>
              <w:t>Live in a low SES area</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7.8</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1.7</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4</w:t>
            </w:r>
            <w:r w:rsidR="00316DEB">
              <w:t>.0</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3.5</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3.9</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0.9</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r w:rsidRPr="00613D92">
              <w:t>4.6</w:t>
            </w: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r w:rsidRPr="00613D92">
              <w:t>0</w:t>
            </w:r>
            <w:r w:rsidR="00316DEB">
              <w:t>.0</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2.4</w:t>
            </w: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r w:rsidRPr="00613D92">
              <w:t>0.2</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r w:rsidRPr="00613D92">
              <w:t>2.2</w:t>
            </w: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r w:rsidRPr="00613D92">
              <w:t>0</w:t>
            </w:r>
            <w:r w:rsidR="00316DEB">
              <w:t>.0</w:t>
            </w:r>
          </w:p>
        </w:tc>
      </w:tr>
      <w:tr w:rsidR="00A056D3" w:rsidRPr="00A83415" w:rsidTr="008456DB">
        <w:trPr>
          <w:trHeight w:val="300"/>
        </w:trPr>
        <w:tc>
          <w:tcPr>
            <w:tcW w:w="1793" w:type="pct"/>
            <w:tcBorders>
              <w:top w:val="nil"/>
              <w:left w:val="nil"/>
              <w:bottom w:val="nil"/>
              <w:right w:val="nil"/>
            </w:tcBorders>
            <w:shd w:val="clear" w:color="auto" w:fill="auto"/>
            <w:noWrap/>
            <w:vAlign w:val="bottom"/>
            <w:hideMark/>
          </w:tcPr>
          <w:p w:rsidR="00A056D3" w:rsidRPr="00613D92" w:rsidRDefault="00A056D3" w:rsidP="000E1068">
            <w:pPr>
              <w:pStyle w:val="Tabletext"/>
              <w:rPr>
                <w:i/>
              </w:rPr>
            </w:pPr>
            <w:r w:rsidRPr="00613D92">
              <w:rPr>
                <w:i/>
              </w:rPr>
              <w:t>Non-English speaking background</w:t>
            </w: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76"/>
              </w:tabs>
            </w:pPr>
          </w:p>
        </w:tc>
        <w:tc>
          <w:tcPr>
            <w:tcW w:w="51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52"/>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7"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20"/>
              </w:tabs>
            </w:pPr>
          </w:p>
        </w:tc>
        <w:tc>
          <w:tcPr>
            <w:tcW w:w="573"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356"/>
              </w:tabs>
            </w:pPr>
          </w:p>
        </w:tc>
        <w:tc>
          <w:tcPr>
            <w:tcW w:w="485" w:type="pct"/>
            <w:tcBorders>
              <w:top w:val="nil"/>
              <w:left w:val="nil"/>
              <w:bottom w:val="nil"/>
              <w:right w:val="nil"/>
            </w:tcBorders>
            <w:shd w:val="clear" w:color="auto" w:fill="auto"/>
            <w:noWrap/>
            <w:vAlign w:val="bottom"/>
            <w:hideMark/>
          </w:tcPr>
          <w:p w:rsidR="00A056D3" w:rsidRPr="00613D92" w:rsidRDefault="00A056D3" w:rsidP="008456DB">
            <w:pPr>
              <w:pStyle w:val="Tabletext"/>
              <w:tabs>
                <w:tab w:val="decimal" w:pos="292"/>
              </w:tabs>
            </w:pPr>
          </w:p>
        </w:tc>
      </w:tr>
      <w:tr w:rsidR="00A056D3" w:rsidRPr="00A83415" w:rsidTr="008456DB">
        <w:trPr>
          <w:trHeight w:val="300"/>
        </w:trPr>
        <w:tc>
          <w:tcPr>
            <w:tcW w:w="1793" w:type="pct"/>
            <w:tcBorders>
              <w:top w:val="nil"/>
              <w:left w:val="nil"/>
              <w:right w:val="nil"/>
            </w:tcBorders>
            <w:shd w:val="clear" w:color="auto" w:fill="auto"/>
            <w:noWrap/>
            <w:vAlign w:val="bottom"/>
            <w:hideMark/>
          </w:tcPr>
          <w:p w:rsidR="00A056D3" w:rsidRPr="00A83415" w:rsidRDefault="00A056D3" w:rsidP="000E1068">
            <w:pPr>
              <w:pStyle w:val="Tabletext"/>
            </w:pPr>
            <w:r w:rsidRPr="00A83415">
              <w:t>National skill shortage</w:t>
            </w:r>
            <w:r w:rsidR="0053164E">
              <w:t xml:space="preserve"> (%</w:t>
            </w:r>
            <w:proofErr w:type="spellStart"/>
            <w:r w:rsidR="0053164E">
              <w:t>pt</w:t>
            </w:r>
            <w:proofErr w:type="spellEnd"/>
            <w:r>
              <w:t>)</w:t>
            </w:r>
          </w:p>
        </w:tc>
        <w:tc>
          <w:tcPr>
            <w:tcW w:w="573" w:type="pct"/>
            <w:tcBorders>
              <w:top w:val="nil"/>
              <w:left w:val="nil"/>
              <w:right w:val="nil"/>
            </w:tcBorders>
            <w:shd w:val="clear" w:color="auto" w:fill="auto"/>
            <w:noWrap/>
            <w:vAlign w:val="bottom"/>
            <w:hideMark/>
          </w:tcPr>
          <w:p w:rsidR="00A056D3" w:rsidRPr="00613D92" w:rsidRDefault="00A056D3" w:rsidP="008456DB">
            <w:pPr>
              <w:pStyle w:val="Tabletext"/>
              <w:tabs>
                <w:tab w:val="decimal" w:pos="376"/>
              </w:tabs>
            </w:pPr>
            <w:r w:rsidRPr="00613D92">
              <w:t>10.1</w:t>
            </w:r>
          </w:p>
        </w:tc>
        <w:tc>
          <w:tcPr>
            <w:tcW w:w="515" w:type="pct"/>
            <w:tcBorders>
              <w:top w:val="nil"/>
              <w:left w:val="nil"/>
              <w:right w:val="nil"/>
            </w:tcBorders>
            <w:shd w:val="clear" w:color="auto" w:fill="auto"/>
            <w:noWrap/>
            <w:vAlign w:val="bottom"/>
            <w:hideMark/>
          </w:tcPr>
          <w:p w:rsidR="00A056D3" w:rsidRPr="00613D92" w:rsidRDefault="00A056D3" w:rsidP="008456DB">
            <w:pPr>
              <w:pStyle w:val="Tabletext"/>
              <w:tabs>
                <w:tab w:val="decimal" w:pos="252"/>
              </w:tabs>
            </w:pPr>
            <w:r w:rsidRPr="00613D92">
              <w:t>1.1</w:t>
            </w:r>
          </w:p>
        </w:tc>
        <w:tc>
          <w:tcPr>
            <w:tcW w:w="573" w:type="pct"/>
            <w:tcBorders>
              <w:top w:val="nil"/>
              <w:left w:val="nil"/>
              <w:right w:val="nil"/>
            </w:tcBorders>
            <w:shd w:val="clear" w:color="auto" w:fill="auto"/>
            <w:noWrap/>
            <w:vAlign w:val="bottom"/>
            <w:hideMark/>
          </w:tcPr>
          <w:p w:rsidR="00A056D3" w:rsidRPr="00613D92" w:rsidRDefault="00A056D3" w:rsidP="008456DB">
            <w:pPr>
              <w:pStyle w:val="Tabletext"/>
              <w:tabs>
                <w:tab w:val="decimal" w:pos="356"/>
              </w:tabs>
            </w:pPr>
            <w:r w:rsidRPr="00613D92">
              <w:t>2.9</w:t>
            </w:r>
          </w:p>
        </w:tc>
        <w:tc>
          <w:tcPr>
            <w:tcW w:w="487" w:type="pct"/>
            <w:tcBorders>
              <w:top w:val="nil"/>
              <w:left w:val="nil"/>
              <w:right w:val="nil"/>
            </w:tcBorders>
            <w:shd w:val="clear" w:color="auto" w:fill="auto"/>
            <w:noWrap/>
            <w:vAlign w:val="bottom"/>
            <w:hideMark/>
          </w:tcPr>
          <w:p w:rsidR="00A056D3" w:rsidRPr="00613D92" w:rsidRDefault="00A056D3" w:rsidP="008456DB">
            <w:pPr>
              <w:pStyle w:val="Tabletext"/>
              <w:tabs>
                <w:tab w:val="decimal" w:pos="320"/>
              </w:tabs>
            </w:pPr>
            <w:r w:rsidRPr="00613D92">
              <w:t>6.3</w:t>
            </w:r>
          </w:p>
        </w:tc>
        <w:tc>
          <w:tcPr>
            <w:tcW w:w="573" w:type="pct"/>
            <w:tcBorders>
              <w:top w:val="nil"/>
              <w:left w:val="nil"/>
              <w:right w:val="nil"/>
            </w:tcBorders>
            <w:shd w:val="clear" w:color="auto" w:fill="auto"/>
            <w:noWrap/>
            <w:vAlign w:val="bottom"/>
            <w:hideMark/>
          </w:tcPr>
          <w:p w:rsidR="00A056D3" w:rsidRPr="00613D92" w:rsidRDefault="00A056D3" w:rsidP="008456DB">
            <w:pPr>
              <w:pStyle w:val="Tabletext"/>
              <w:tabs>
                <w:tab w:val="decimal" w:pos="356"/>
              </w:tabs>
            </w:pPr>
            <w:r w:rsidRPr="00613D92">
              <w:t>7.2</w:t>
            </w:r>
          </w:p>
        </w:tc>
        <w:tc>
          <w:tcPr>
            <w:tcW w:w="485" w:type="pct"/>
            <w:tcBorders>
              <w:top w:val="nil"/>
              <w:left w:val="nil"/>
              <w:right w:val="nil"/>
            </w:tcBorders>
            <w:shd w:val="clear" w:color="auto" w:fill="auto"/>
            <w:noWrap/>
            <w:vAlign w:val="bottom"/>
            <w:hideMark/>
          </w:tcPr>
          <w:p w:rsidR="00A056D3" w:rsidRPr="00613D92" w:rsidRDefault="00A056D3" w:rsidP="008456DB">
            <w:pPr>
              <w:pStyle w:val="Tabletext"/>
              <w:tabs>
                <w:tab w:val="decimal" w:pos="292"/>
              </w:tabs>
            </w:pPr>
            <w:r w:rsidRPr="00613D92">
              <w:t>0.6</w:t>
            </w:r>
          </w:p>
        </w:tc>
      </w:tr>
      <w:tr w:rsidR="00A056D3" w:rsidRPr="00A83415" w:rsidTr="008456DB">
        <w:trPr>
          <w:trHeight w:val="300"/>
        </w:trPr>
        <w:tc>
          <w:tcPr>
            <w:tcW w:w="1793" w:type="pct"/>
            <w:tcBorders>
              <w:top w:val="nil"/>
              <w:left w:val="nil"/>
              <w:bottom w:val="single" w:sz="4" w:space="0" w:color="auto"/>
              <w:right w:val="nil"/>
            </w:tcBorders>
            <w:shd w:val="clear" w:color="auto" w:fill="auto"/>
            <w:noWrap/>
            <w:vAlign w:val="bottom"/>
            <w:hideMark/>
          </w:tcPr>
          <w:p w:rsidR="00A056D3" w:rsidRPr="00A83415" w:rsidRDefault="00A056D3" w:rsidP="000E1068">
            <w:pPr>
              <w:pStyle w:val="Tabletext"/>
            </w:pPr>
            <w:r w:rsidRPr="00A83415">
              <w:t>Expected returns</w:t>
            </w:r>
            <w:r>
              <w:t xml:space="preserve"> (%)</w:t>
            </w:r>
          </w:p>
        </w:tc>
        <w:tc>
          <w:tcPr>
            <w:tcW w:w="573" w:type="pct"/>
            <w:tcBorders>
              <w:top w:val="nil"/>
              <w:left w:val="nil"/>
              <w:bottom w:val="single" w:sz="4" w:space="0" w:color="auto"/>
              <w:right w:val="nil"/>
            </w:tcBorders>
            <w:shd w:val="clear" w:color="auto" w:fill="auto"/>
            <w:noWrap/>
            <w:vAlign w:val="bottom"/>
            <w:hideMark/>
          </w:tcPr>
          <w:p w:rsidR="00A056D3" w:rsidRPr="00613D92" w:rsidRDefault="00A056D3" w:rsidP="008456DB">
            <w:pPr>
              <w:pStyle w:val="Tabletext"/>
              <w:tabs>
                <w:tab w:val="decimal" w:pos="376"/>
              </w:tabs>
            </w:pPr>
            <w:r w:rsidRPr="00613D92">
              <w:t>4.6</w:t>
            </w:r>
          </w:p>
        </w:tc>
        <w:tc>
          <w:tcPr>
            <w:tcW w:w="515" w:type="pct"/>
            <w:tcBorders>
              <w:top w:val="nil"/>
              <w:left w:val="nil"/>
              <w:bottom w:val="single" w:sz="4" w:space="0" w:color="auto"/>
              <w:right w:val="nil"/>
            </w:tcBorders>
            <w:shd w:val="clear" w:color="auto" w:fill="auto"/>
            <w:noWrap/>
            <w:vAlign w:val="bottom"/>
            <w:hideMark/>
          </w:tcPr>
          <w:p w:rsidR="00A056D3" w:rsidRPr="00613D92" w:rsidRDefault="00A056D3" w:rsidP="008456DB">
            <w:pPr>
              <w:pStyle w:val="Tabletext"/>
              <w:tabs>
                <w:tab w:val="decimal" w:pos="252"/>
              </w:tabs>
            </w:pPr>
            <w:r w:rsidRPr="00613D92">
              <w:t>0.1</w:t>
            </w:r>
          </w:p>
        </w:tc>
        <w:tc>
          <w:tcPr>
            <w:tcW w:w="573" w:type="pct"/>
            <w:tcBorders>
              <w:top w:val="nil"/>
              <w:left w:val="nil"/>
              <w:bottom w:val="single" w:sz="4" w:space="0" w:color="auto"/>
              <w:right w:val="nil"/>
            </w:tcBorders>
            <w:shd w:val="clear" w:color="auto" w:fill="auto"/>
            <w:noWrap/>
            <w:vAlign w:val="bottom"/>
            <w:hideMark/>
          </w:tcPr>
          <w:p w:rsidR="00A056D3" w:rsidRPr="00613D92" w:rsidRDefault="00A056D3" w:rsidP="008456DB">
            <w:pPr>
              <w:pStyle w:val="Tabletext"/>
              <w:tabs>
                <w:tab w:val="decimal" w:pos="356"/>
              </w:tabs>
            </w:pPr>
            <w:r w:rsidRPr="00613D92">
              <w:t>1.9</w:t>
            </w:r>
          </w:p>
        </w:tc>
        <w:tc>
          <w:tcPr>
            <w:tcW w:w="487" w:type="pct"/>
            <w:tcBorders>
              <w:top w:val="nil"/>
              <w:left w:val="nil"/>
              <w:bottom w:val="single" w:sz="4" w:space="0" w:color="auto"/>
              <w:right w:val="nil"/>
            </w:tcBorders>
            <w:shd w:val="clear" w:color="auto" w:fill="auto"/>
            <w:noWrap/>
            <w:vAlign w:val="bottom"/>
            <w:hideMark/>
          </w:tcPr>
          <w:p w:rsidR="00A056D3" w:rsidRPr="00613D92" w:rsidRDefault="00A056D3" w:rsidP="008456DB">
            <w:pPr>
              <w:pStyle w:val="Tabletext"/>
              <w:tabs>
                <w:tab w:val="decimal" w:pos="320"/>
              </w:tabs>
            </w:pPr>
            <w:r w:rsidRPr="00613D92">
              <w:t>0.3</w:t>
            </w:r>
          </w:p>
        </w:tc>
        <w:tc>
          <w:tcPr>
            <w:tcW w:w="573" w:type="pct"/>
            <w:tcBorders>
              <w:top w:val="nil"/>
              <w:left w:val="nil"/>
              <w:bottom w:val="single" w:sz="4" w:space="0" w:color="auto"/>
              <w:right w:val="nil"/>
            </w:tcBorders>
            <w:shd w:val="clear" w:color="auto" w:fill="auto"/>
            <w:noWrap/>
            <w:vAlign w:val="bottom"/>
            <w:hideMark/>
          </w:tcPr>
          <w:p w:rsidR="00A056D3" w:rsidRPr="00613D92" w:rsidRDefault="00A056D3" w:rsidP="008456DB">
            <w:pPr>
              <w:pStyle w:val="Tabletext"/>
              <w:tabs>
                <w:tab w:val="decimal" w:pos="356"/>
              </w:tabs>
            </w:pPr>
            <w:r w:rsidRPr="00613D92">
              <w:t>2.7</w:t>
            </w:r>
          </w:p>
        </w:tc>
        <w:tc>
          <w:tcPr>
            <w:tcW w:w="485" w:type="pct"/>
            <w:tcBorders>
              <w:top w:val="nil"/>
              <w:left w:val="nil"/>
              <w:bottom w:val="single" w:sz="4" w:space="0" w:color="auto"/>
              <w:right w:val="nil"/>
            </w:tcBorders>
            <w:shd w:val="clear" w:color="auto" w:fill="auto"/>
            <w:noWrap/>
            <w:vAlign w:val="bottom"/>
            <w:hideMark/>
          </w:tcPr>
          <w:p w:rsidR="00A056D3" w:rsidRPr="00613D92" w:rsidRDefault="00A056D3" w:rsidP="008456DB">
            <w:pPr>
              <w:pStyle w:val="Tabletext"/>
              <w:tabs>
                <w:tab w:val="decimal" w:pos="292"/>
              </w:tabs>
            </w:pPr>
            <w:r w:rsidRPr="00613D92">
              <w:t>0.1</w:t>
            </w:r>
          </w:p>
        </w:tc>
      </w:tr>
    </w:tbl>
    <w:p w:rsidR="00A056D3" w:rsidRPr="0063218F" w:rsidRDefault="001B16C6" w:rsidP="008456DB">
      <w:pPr>
        <w:pStyle w:val="Source"/>
        <w:rPr>
          <w:rStyle w:val="FooterChar"/>
          <w:b w:val="0"/>
          <w:sz w:val="15"/>
          <w:szCs w:val="15"/>
        </w:rPr>
      </w:pPr>
      <w:r w:rsidRPr="00D9218E">
        <w:rPr>
          <w:rStyle w:val="FooterChar"/>
          <w:b w:val="0"/>
          <w:sz w:val="15"/>
          <w:szCs w:val="15"/>
        </w:rPr>
        <w:t>Notes:</w:t>
      </w:r>
      <w:r w:rsidR="008456DB">
        <w:rPr>
          <w:rStyle w:val="FooterChar"/>
          <w:rFonts w:ascii="Trebuchet MS" w:hAnsi="Trebuchet MS" w:cs="Times New Roman"/>
          <w:b w:val="0"/>
          <w:sz w:val="16"/>
          <w:szCs w:val="24"/>
        </w:rPr>
        <w:tab/>
      </w:r>
      <w:r w:rsidR="00A056D3" w:rsidRPr="0063218F">
        <w:rPr>
          <w:rStyle w:val="FooterChar"/>
          <w:b w:val="0"/>
          <w:sz w:val="15"/>
          <w:szCs w:val="15"/>
        </w:rPr>
        <w:t xml:space="preserve">All models are estimated with month of enrolment dummies, whether or not the state of residence is different </w:t>
      </w:r>
      <w:r w:rsidR="000E32A4" w:rsidRPr="0063218F">
        <w:rPr>
          <w:rStyle w:val="FooterChar"/>
          <w:b w:val="0"/>
          <w:sz w:val="15"/>
          <w:szCs w:val="15"/>
        </w:rPr>
        <w:t xml:space="preserve">from </w:t>
      </w:r>
      <w:r w:rsidR="00A056D3" w:rsidRPr="0063218F">
        <w:rPr>
          <w:rStyle w:val="FooterChar"/>
          <w:b w:val="0"/>
          <w:sz w:val="15"/>
          <w:szCs w:val="15"/>
        </w:rPr>
        <w:t xml:space="preserve">the state of study and </w:t>
      </w:r>
      <w:r w:rsidR="00D9218E">
        <w:rPr>
          <w:rStyle w:val="FooterChar"/>
          <w:b w:val="0"/>
          <w:sz w:val="15"/>
          <w:szCs w:val="15"/>
        </w:rPr>
        <w:t>statistical local area (</w:t>
      </w:r>
      <w:r w:rsidR="00A056D3" w:rsidRPr="0063218F">
        <w:rPr>
          <w:rStyle w:val="FooterChar"/>
          <w:b w:val="0"/>
          <w:sz w:val="15"/>
          <w:szCs w:val="15"/>
        </w:rPr>
        <w:t>SLA</w:t>
      </w:r>
      <w:r w:rsidR="00D9218E">
        <w:rPr>
          <w:rStyle w:val="FooterChar"/>
          <w:b w:val="0"/>
          <w:sz w:val="15"/>
          <w:szCs w:val="15"/>
        </w:rPr>
        <w:t>)</w:t>
      </w:r>
      <w:r w:rsidR="00A056D3" w:rsidRPr="0063218F">
        <w:rPr>
          <w:rStyle w:val="FooterChar"/>
          <w:b w:val="0"/>
          <w:sz w:val="15"/>
          <w:szCs w:val="15"/>
        </w:rPr>
        <w:t xml:space="preserve"> unemployment rates. The results corresponding to the lis</w:t>
      </w:r>
      <w:r w:rsidR="000E32A4" w:rsidRPr="0063218F">
        <w:rPr>
          <w:rStyle w:val="FooterChar"/>
          <w:b w:val="0"/>
          <w:sz w:val="15"/>
          <w:szCs w:val="15"/>
        </w:rPr>
        <w:t xml:space="preserve">ted parameter in the right-hand </w:t>
      </w:r>
      <w:r w:rsidR="00A056D3" w:rsidRPr="0063218F">
        <w:rPr>
          <w:rStyle w:val="FooterChar"/>
          <w:b w:val="0"/>
          <w:sz w:val="15"/>
          <w:szCs w:val="15"/>
        </w:rPr>
        <w:t xml:space="preserve">side of the table represent the estimated model coefficient (from the equations above) and the values underneath represent their p-value. A p-value represents the probability that we would observe the estimated coefficient given that there is no underlying relationship between the variable of interest and the model parameter. A p-value less than 10 is statistically significant at the 90% confidence level, less than 5 is significant at the 95% confidence level and 1 is significant at the 99% confidence level. P-values are generated using cluster-robust standard errors from the </w:t>
      </w:r>
      <w:proofErr w:type="gramStart"/>
      <w:r w:rsidR="00A056D3" w:rsidRPr="0063218F">
        <w:rPr>
          <w:rStyle w:val="FooterChar"/>
          <w:b w:val="0"/>
          <w:sz w:val="15"/>
          <w:szCs w:val="15"/>
        </w:rPr>
        <w:t>T(</w:t>
      </w:r>
      <w:proofErr w:type="gramEnd"/>
      <w:r w:rsidR="00A056D3" w:rsidRPr="0063218F">
        <w:rPr>
          <w:rStyle w:val="FooterChar"/>
          <w:b w:val="0"/>
          <w:sz w:val="15"/>
          <w:szCs w:val="15"/>
        </w:rPr>
        <w:t>G-1) distribution, as suggested by Cameron and Miller (2015) for estimation with small group sizes.</w:t>
      </w:r>
    </w:p>
    <w:p w:rsidR="00C44C30" w:rsidRDefault="00C44C30">
      <w:pPr>
        <w:spacing w:before="0" w:line="240" w:lineRule="auto"/>
        <w:rPr>
          <w:rFonts w:ascii="Arial" w:hAnsi="Arial" w:cs="Tahoma"/>
          <w:color w:val="000000"/>
          <w:kern w:val="28"/>
          <w:sz w:val="48"/>
          <w:szCs w:val="56"/>
        </w:rPr>
      </w:pPr>
      <w:bookmarkStart w:id="76" w:name="_Toc438209984"/>
      <w:r>
        <w:br w:type="page"/>
      </w:r>
    </w:p>
    <w:p w:rsidR="00CA70AD" w:rsidRDefault="00A64B44" w:rsidP="00CA70AD">
      <w:pPr>
        <w:pStyle w:val="Heading1"/>
      </w:pPr>
      <w:bookmarkStart w:id="77" w:name="_Toc472517009"/>
      <w:r>
        <w:rPr>
          <w:noProof/>
          <w:lang w:eastAsia="en-AU"/>
        </w:rPr>
        <w:lastRenderedPageBreak/>
        <w:drawing>
          <wp:anchor distT="0" distB="0" distL="114300" distR="114300" simplePos="0" relativeHeight="251669504" behindDoc="1" locked="0" layoutInCell="1" allowOverlap="1" wp14:anchorId="5DE93257" wp14:editId="563D2C50">
            <wp:simplePos x="0" y="0"/>
            <wp:positionH relativeFrom="column">
              <wp:posOffset>11322</wp:posOffset>
            </wp:positionH>
            <wp:positionV relativeFrom="paragraph">
              <wp:posOffset>-42509</wp:posOffset>
            </wp:positionV>
            <wp:extent cx="419100" cy="419100"/>
            <wp:effectExtent l="0" t="0" r="0" b="0"/>
            <wp:wrapSquare wrapText="bothSides"/>
            <wp:docPr id="90" name="Picture 90"/>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CA70AD" w:rsidRPr="002E168E">
        <w:t>Conclusions</w:t>
      </w:r>
      <w:bookmarkEnd w:id="76"/>
      <w:bookmarkEnd w:id="77"/>
      <w:r w:rsidR="00CA70AD" w:rsidRPr="002E168E">
        <w:t xml:space="preserve"> </w:t>
      </w:r>
    </w:p>
    <w:p w:rsidR="00CA70AD" w:rsidRDefault="00CA70AD" w:rsidP="00CA70AD">
      <w:pPr>
        <w:pStyle w:val="Text"/>
      </w:pPr>
      <w:r>
        <w:t xml:space="preserve">Replacing long-standing </w:t>
      </w:r>
      <w:r w:rsidR="000E32A4">
        <w:t>VET-</w:t>
      </w:r>
      <w:r>
        <w:t xml:space="preserve">centred funding models with broad-based entitlement </w:t>
      </w:r>
      <w:r w:rsidR="000E32A4">
        <w:t>schemes in Australia was</w:t>
      </w:r>
      <w:r>
        <w:t xml:space="preserve"> introduced as part of national reforms </w:t>
      </w:r>
      <w:r w:rsidR="0053164E">
        <w:t xml:space="preserve">designed </w:t>
      </w:r>
      <w:r>
        <w:t xml:space="preserve">to upskill the workforce and to make the VET sector more responsive to skill needs. At the time, </w:t>
      </w:r>
      <w:r w:rsidR="000E32A4">
        <w:t xml:space="preserve">the </w:t>
      </w:r>
      <w:r>
        <w:t>key assumptions were that people would respond to these changes by engaging more in training and by choosing courses that are better aligned</w:t>
      </w:r>
      <w:r w:rsidR="009973F2">
        <w:t xml:space="preserve"> with skill needs</w:t>
      </w:r>
      <w:r>
        <w:t xml:space="preserve"> than </w:t>
      </w:r>
      <w:r w:rsidR="000E32A4">
        <w:t xml:space="preserve">was the case </w:t>
      </w:r>
      <w:r>
        <w:t>under the centralised funding model. These assumptions ar</w:t>
      </w:r>
      <w:r w:rsidR="00F15281">
        <w:t>e tested in this study by focus</w:t>
      </w:r>
      <w:r>
        <w:t xml:space="preserve">ing on the responses of </w:t>
      </w:r>
      <w:r w:rsidR="000E32A4">
        <w:t>working-age individuals aged 25—</w:t>
      </w:r>
      <w:r>
        <w:t xml:space="preserve">54 years to the introduction of the Victorian entitlement, </w:t>
      </w:r>
      <w:r w:rsidR="00BE49D9">
        <w:t>an entitlement</w:t>
      </w:r>
      <w:r>
        <w:t xml:space="preserve"> more generous and less restrictive than</w:t>
      </w:r>
      <w:r w:rsidR="00697689">
        <w:t xml:space="preserve"> that which </w:t>
      </w:r>
      <w:r w:rsidR="000A1F1C">
        <w:t>h</w:t>
      </w:r>
      <w:r w:rsidR="00697689">
        <w:t>as since been implemented</w:t>
      </w:r>
      <w:r>
        <w:t xml:space="preserve"> in other states.</w:t>
      </w:r>
    </w:p>
    <w:p w:rsidR="00CA70AD" w:rsidRDefault="00C96ECE" w:rsidP="00CA70AD">
      <w:pPr>
        <w:pStyle w:val="Text"/>
      </w:pPr>
      <w:r>
        <w:t xml:space="preserve">Using </w:t>
      </w:r>
      <w:r w:rsidR="00801415">
        <w:t>National VET Provider Collection</w:t>
      </w:r>
      <w:r>
        <w:t xml:space="preserve"> data, </w:t>
      </w:r>
      <w:r w:rsidR="000E32A4">
        <w:t xml:space="preserve">the </w:t>
      </w:r>
      <w:r>
        <w:t xml:space="preserve">results presented in this paper suggest a substantial increase in course enrolments associated with the Victorian entitlement. </w:t>
      </w:r>
      <w:r w:rsidR="00CA70AD">
        <w:t xml:space="preserve">We find that between January 2011 and June 2012, the rate of </w:t>
      </w:r>
      <w:r w:rsidR="008E0AA6">
        <w:t xml:space="preserve">VET </w:t>
      </w:r>
      <w:r w:rsidR="00CA70AD">
        <w:t xml:space="preserve">participation in Victoria </w:t>
      </w:r>
      <w:r w:rsidR="008E0AA6">
        <w:t xml:space="preserve">among </w:t>
      </w:r>
      <w:r w:rsidR="00CA70AD">
        <w:t>working-age people increased by five percentage points (from 6.3% to 11.3%), which</w:t>
      </w:r>
      <w:r w:rsidR="000E32A4">
        <w:t>,</w:t>
      </w:r>
      <w:r w:rsidR="00CA70AD">
        <w:t xml:space="preserve"> controlling for contemporaneous changes</w:t>
      </w:r>
      <w:r w:rsidR="000E32A4">
        <w:t>, leaves a 4.2-percentage-</w:t>
      </w:r>
      <w:r w:rsidR="00CA70AD">
        <w:t>point increase in VET participation associated with the introduction of the entitlement</w:t>
      </w:r>
      <w:r w:rsidR="00697689">
        <w:t xml:space="preserve"> (table 3)</w:t>
      </w:r>
      <w:r w:rsidR="00CA70AD">
        <w:t>. This represents a two-thirds increase in the VET participation rate</w:t>
      </w:r>
      <w:r w:rsidR="00EA5600">
        <w:t xml:space="preserve">. </w:t>
      </w:r>
      <w:r w:rsidR="00CA70AD">
        <w:t>Importantly, the increase in participation associated with the entitlement was a</w:t>
      </w:r>
      <w:r w:rsidR="000E32A4">
        <w:t>cross the board, including a 36-percentage-</w:t>
      </w:r>
      <w:r w:rsidR="00CA70AD">
        <w:t xml:space="preserve">point increase among unemployed people, </w:t>
      </w:r>
      <w:r w:rsidR="0053164E">
        <w:t xml:space="preserve">a </w:t>
      </w:r>
      <w:r w:rsidR="000E32A4">
        <w:t>12-percentage-</w:t>
      </w:r>
      <w:r w:rsidR="00CA70AD">
        <w:t xml:space="preserve">point increase among people with </w:t>
      </w:r>
      <w:r w:rsidR="005331DE">
        <w:t>disabilities</w:t>
      </w:r>
      <w:r w:rsidR="000E32A4">
        <w:t xml:space="preserve"> and a 13-percentage-</w:t>
      </w:r>
      <w:r w:rsidR="00CA70AD">
        <w:t>point increase among those with only low-level VET qualifications (certificate</w:t>
      </w:r>
      <w:r w:rsidR="00BE49D9">
        <w:t>s</w:t>
      </w:r>
      <w:r w:rsidR="00CA70AD">
        <w:t xml:space="preserve"> I </w:t>
      </w:r>
      <w:r w:rsidR="000E32A4">
        <w:t>and</w:t>
      </w:r>
      <w:r w:rsidR="00CA70AD">
        <w:t xml:space="preserve"> II). The only group where the entitlement is not associated with any increase is for Aboriginal and Torres Strait Islanders, which may be because the entitlement did not provide any extra avenues to training above those already in place. However,</w:t>
      </w:r>
      <w:r w:rsidR="00EA5600">
        <w:t xml:space="preserve"> it is important to stress that these a</w:t>
      </w:r>
      <w:r w:rsidR="000E32A4">
        <w:t xml:space="preserve">re likely to represent an upper </w:t>
      </w:r>
      <w:r w:rsidR="00EA5600">
        <w:t>bound of any true enrolment effects because we are unable to capture</w:t>
      </w:r>
      <w:r w:rsidR="00BE49D9">
        <w:t>,</w:t>
      </w:r>
      <w:r w:rsidR="00EA5600">
        <w:t xml:space="preserve"> </w:t>
      </w:r>
      <w:r w:rsidR="00BE49D9">
        <w:t xml:space="preserve">using the National VET Provider Collection, </w:t>
      </w:r>
      <w:r w:rsidR="00EA5600">
        <w:t>reductions in fee-for-service enrolments with private providers</w:t>
      </w:r>
      <w:r w:rsidR="00BE49D9">
        <w:t>.</w:t>
      </w:r>
      <w:r w:rsidR="00EA5600">
        <w:t xml:space="preserve"> </w:t>
      </w:r>
      <w:r w:rsidR="000E32A4">
        <w:t>The a</w:t>
      </w:r>
      <w:r w:rsidR="00EA5600">
        <w:t>nalysis</w:t>
      </w:r>
      <w:r w:rsidR="0053164E">
        <w:t>,</w:t>
      </w:r>
      <w:r w:rsidR="00EA5600">
        <w:t xml:space="preserve"> using participation rates from the Survey of Education and Work, which include</w:t>
      </w:r>
      <w:r w:rsidR="000E32A4">
        <w:t>s</w:t>
      </w:r>
      <w:r w:rsidR="00EA5600">
        <w:t xml:space="preserve"> all enrolments, did not provide any conclusive evidence on the magnitude of any bias.</w:t>
      </w:r>
    </w:p>
    <w:p w:rsidR="00CA70AD" w:rsidRDefault="00CA70AD" w:rsidP="00F861D8">
      <w:pPr>
        <w:pStyle w:val="Text"/>
      </w:pPr>
      <w:r>
        <w:t>We also find that the introduction of the entitlement in Victoria led to a</w:t>
      </w:r>
      <w:r w:rsidR="000A1F1C">
        <w:t xml:space="preserve">n improvement </w:t>
      </w:r>
      <w:r>
        <w:t>in the match between course choice and skill demand. Overall, the introduction of the Victorian entitlement is estimated to increase the proportion of enrolments in skill shortage areas by four percentage points</w:t>
      </w:r>
      <w:r w:rsidR="005E1EDE">
        <w:t xml:space="preserve"> (table 4)</w:t>
      </w:r>
      <w:r>
        <w:t xml:space="preserve">. Given that </w:t>
      </w:r>
      <w:r w:rsidR="000A1F1C">
        <w:t xml:space="preserve">we estimate that </w:t>
      </w:r>
      <w:r w:rsidR="000E32A4">
        <w:t xml:space="preserve">only 8.3% of 25 to 54-year-old </w:t>
      </w:r>
      <w:r>
        <w:t>enrolments were in skill shortage areas prior to the reforms (2008), this represents a</w:t>
      </w:r>
      <w:r w:rsidR="007D6D93">
        <w:t xml:space="preserve"> large</w:t>
      </w:r>
      <w:r>
        <w:t xml:space="preserve"> improvement, in the order of 50%. Similarly, we find that changes in the course mix associated with the entitlement were associated with 2.4% higher expected graduate earnings</w:t>
      </w:r>
      <w:r w:rsidR="005E1EDE">
        <w:t xml:space="preserve"> (table 4)</w:t>
      </w:r>
      <w:r>
        <w:t xml:space="preserve">. These results are very close to those estimated in a comparable study for </w:t>
      </w:r>
      <w:r w:rsidR="00707FA3">
        <w:t>15 to 19-year-olds</w:t>
      </w:r>
      <w:r>
        <w:t xml:space="preserve"> (</w:t>
      </w:r>
      <w:proofErr w:type="spellStart"/>
      <w:r>
        <w:t>McV</w:t>
      </w:r>
      <w:r w:rsidR="000E32A4">
        <w:t>icar</w:t>
      </w:r>
      <w:proofErr w:type="spellEnd"/>
      <w:r w:rsidR="000E32A4">
        <w:t xml:space="preserve"> &amp; </w:t>
      </w:r>
      <w:proofErr w:type="spellStart"/>
      <w:r w:rsidR="000E32A4">
        <w:t>Polidano</w:t>
      </w:r>
      <w:proofErr w:type="spellEnd"/>
      <w:r w:rsidR="000E32A4">
        <w:t xml:space="preserve"> 2015) — 3.9-percentage-</w:t>
      </w:r>
      <w:r>
        <w:t>point increase in the proportion of enrolments in skill shortages and 2.3% improvement in expected graduate wages. One striking difference in the results between the two studies is that</w:t>
      </w:r>
      <w:r w:rsidR="000E32A4">
        <w:t>,</w:t>
      </w:r>
      <w:r>
        <w:t xml:space="preserve"> while</w:t>
      </w:r>
      <w:r w:rsidR="00EA5EB4">
        <w:t xml:space="preserve"> controlling for compositional changes in provider types increased the estimated alignment of enrolments with skill demand among </w:t>
      </w:r>
      <w:r w:rsidR="00707FA3">
        <w:t>15 to 19-year-olds</w:t>
      </w:r>
      <w:r w:rsidR="00EA5EB4">
        <w:t xml:space="preserve">, no such adjustments in the results were found for </w:t>
      </w:r>
      <w:r w:rsidR="005331DE">
        <w:t>25 to 54-year-olds</w:t>
      </w:r>
      <w:r w:rsidR="000E32A4">
        <w:t xml:space="preserve"> </w:t>
      </w:r>
      <w:r w:rsidR="001C677A">
        <w:t>(table 5)</w:t>
      </w:r>
      <w:r w:rsidR="00EA5EB4">
        <w:t xml:space="preserve">. This suggests that increases in the proportion of privately provided training (negatively) affected the alignment of enrolments with skill demand for </w:t>
      </w:r>
      <w:r w:rsidR="00707FA3">
        <w:t>15 to 19-year-olds</w:t>
      </w:r>
      <w:r w:rsidR="00B01602" w:rsidRPr="00B01602">
        <w:t xml:space="preserve"> </w:t>
      </w:r>
      <w:r w:rsidR="00B01602">
        <w:t>only</w:t>
      </w:r>
      <w:r w:rsidR="00EA5EB4">
        <w:t xml:space="preserve">. </w:t>
      </w:r>
      <w:r>
        <w:t xml:space="preserve">A possible explanation is that working-age </w:t>
      </w:r>
      <w:r>
        <w:lastRenderedPageBreak/>
        <w:t xml:space="preserve">students were less likely to be swayed by </w:t>
      </w:r>
      <w:r w:rsidR="000E32A4">
        <w:t xml:space="preserve">the </w:t>
      </w:r>
      <w:r>
        <w:t>incr</w:t>
      </w:r>
      <w:r w:rsidR="000E32A4">
        <w:t xml:space="preserve">eased availability of privately </w:t>
      </w:r>
      <w:r>
        <w:t xml:space="preserve">run courses with high consumption (and low labour market) benefits, such as health and fitness courses. </w:t>
      </w:r>
    </w:p>
    <w:p w:rsidR="00CA70AD" w:rsidRDefault="00CA70AD" w:rsidP="008456DB">
      <w:pPr>
        <w:pStyle w:val="Text"/>
      </w:pPr>
      <w:r>
        <w:t xml:space="preserve">We find that these improvements in course choice alignment with skill demand occurred across all groups examined, including disadvantaged groups such as those with </w:t>
      </w:r>
      <w:r w:rsidR="005331DE">
        <w:t>disabilities</w:t>
      </w:r>
      <w:r>
        <w:t>, those without a Year 12 qualification or equivalent, Aboriginal and Torres Strait Islanders, people from non-English speaking backgrounds, unempl</w:t>
      </w:r>
      <w:r w:rsidR="000E32A4">
        <w:t>oyed people and people from low-</w:t>
      </w:r>
      <w:r>
        <w:t xml:space="preserve">SES areas. </w:t>
      </w:r>
      <w:r w:rsidR="0053164E">
        <w:t>Furthermore</w:t>
      </w:r>
      <w:r>
        <w:t>, we find that the magnitude of the benefits for these groups is at least as great, if not greater, than for the rest of the community</w:t>
      </w:r>
      <w:r w:rsidR="005E1EDE">
        <w:t xml:space="preserve"> (table 6)</w:t>
      </w:r>
      <w:r>
        <w:t xml:space="preserve">. Again, this result is consistent with the findings of </w:t>
      </w:r>
      <w:proofErr w:type="spellStart"/>
      <w:r>
        <w:t>McVicar</w:t>
      </w:r>
      <w:proofErr w:type="spellEnd"/>
      <w:r>
        <w:t xml:space="preserve"> and </w:t>
      </w:r>
      <w:proofErr w:type="spellStart"/>
      <w:r>
        <w:t>Polidano</w:t>
      </w:r>
      <w:proofErr w:type="spellEnd"/>
      <w:r>
        <w:t xml:space="preserve"> (2015) for </w:t>
      </w:r>
      <w:r w:rsidR="00707FA3">
        <w:t>15 to 19-year-olds</w:t>
      </w:r>
      <w:r>
        <w:t>.</w:t>
      </w:r>
    </w:p>
    <w:p w:rsidR="003E1961" w:rsidRDefault="00CA70AD" w:rsidP="008456DB">
      <w:pPr>
        <w:pStyle w:val="Text"/>
      </w:pPr>
      <w:r>
        <w:t xml:space="preserve">The findings from this study further underline the capacity of people, </w:t>
      </w:r>
      <w:r w:rsidR="005E1EDE">
        <w:t>irrespective of their backgrounds,</w:t>
      </w:r>
      <w:r>
        <w:t xml:space="preserve"> to make good course choices</w:t>
      </w:r>
      <w:r w:rsidR="000E32A4">
        <w:t>,</w:t>
      </w:r>
      <w:r>
        <w:t xml:space="preserve"> given greater freedom to do so, at least as measured in this study. This is a striking result</w:t>
      </w:r>
      <w:r w:rsidR="000E32A4">
        <w:t>,</w:t>
      </w:r>
      <w:r>
        <w:t xml:space="preserve"> given the large number of VET courses available and the limited information on likely course graduate outcomes available to people when enrolling. </w:t>
      </w:r>
      <w:r w:rsidR="005E1EDE">
        <w:t>People from d</w:t>
      </w:r>
      <w:r>
        <w:t xml:space="preserve">isadvantaged </w:t>
      </w:r>
      <w:r w:rsidR="005E1EDE">
        <w:t xml:space="preserve">backgrounds </w:t>
      </w:r>
      <w:r>
        <w:t>ma</w:t>
      </w:r>
      <w:r w:rsidR="000E32A4">
        <w:t xml:space="preserve">y be strongly motivated to seek </w:t>
      </w:r>
      <w:r>
        <w:t>out good options in VET because</w:t>
      </w:r>
      <w:r w:rsidR="0053164E">
        <w:t>,</w:t>
      </w:r>
      <w:r>
        <w:t xml:space="preserve"> compared </w:t>
      </w:r>
      <w:r w:rsidR="000E32A4">
        <w:t>with</w:t>
      </w:r>
      <w:r>
        <w:t xml:space="preserve"> making choices about their schooling (school choice and school dropout), they may see VET as more closely aligned with the</w:t>
      </w:r>
      <w:r w:rsidR="000E32A4">
        <w:t>ir future prospects. For policy-</w:t>
      </w:r>
      <w:r>
        <w:t>makers, the results in this study provide further evidence</w:t>
      </w:r>
      <w:r w:rsidR="00550F3D">
        <w:t xml:space="preserve"> of the importance </w:t>
      </w:r>
      <w:r w:rsidR="003E1961">
        <w:t xml:space="preserve">that students place on available labour market information </w:t>
      </w:r>
      <w:r w:rsidR="00683F0E">
        <w:t xml:space="preserve">when making course choices. </w:t>
      </w:r>
    </w:p>
    <w:p w:rsidR="00030078" w:rsidRDefault="0053164E" w:rsidP="008456DB">
      <w:pPr>
        <w:pStyle w:val="Text"/>
      </w:pPr>
      <w:r>
        <w:t>The e</w:t>
      </w:r>
      <w:r w:rsidR="00683F0E">
        <w:t>vidence in this study support</w:t>
      </w:r>
      <w:r w:rsidR="000E32A4">
        <w:t>s</w:t>
      </w:r>
      <w:r w:rsidR="00683F0E">
        <w:t xml:space="preserve"> the recent changes (July 2015) to the </w:t>
      </w:r>
      <w:proofErr w:type="spellStart"/>
      <w:r w:rsidR="00683F0E">
        <w:t>MySkill</w:t>
      </w:r>
      <w:proofErr w:type="spellEnd"/>
      <w:r w:rsidR="00683F0E">
        <w:t xml:space="preserve"> website, especially </w:t>
      </w:r>
      <w:r w:rsidR="000E32A4">
        <w:t>th</w:t>
      </w:r>
      <w:r w:rsidR="00B01602">
        <w:t>at</w:t>
      </w:r>
      <w:r w:rsidR="000E32A4">
        <w:t xml:space="preserve"> </w:t>
      </w:r>
      <w:r w:rsidR="00683F0E">
        <w:t xml:space="preserve">linking information on skills in demand to individual and </w:t>
      </w:r>
      <w:r w:rsidR="000E32A4">
        <w:t>employment outcomes</w:t>
      </w:r>
      <w:r w:rsidR="00683F0E">
        <w:t xml:space="preserve"> is likely to further improve course choice. However, there may still be more to do in this area. Course employment outcomes are provided only at a highly aggregated level (total graduate employment rates)</w:t>
      </w:r>
      <w:proofErr w:type="gramStart"/>
      <w:r w:rsidR="00683F0E">
        <w:t>,</w:t>
      </w:r>
      <w:proofErr w:type="gramEnd"/>
      <w:r w:rsidR="00683F0E">
        <w:t xml:space="preserve"> with graduate destination information limited to ANZSCO major group level</w:t>
      </w:r>
      <w:r w:rsidR="000E32A4">
        <w:t xml:space="preserve"> (for example,</w:t>
      </w:r>
      <w:r w:rsidR="003E454A">
        <w:t xml:space="preserve"> Technician and</w:t>
      </w:r>
      <w:r>
        <w:t xml:space="preserve"> t</w:t>
      </w:r>
      <w:r w:rsidR="00683F0E">
        <w:t>ra</w:t>
      </w:r>
      <w:r w:rsidR="000E32A4">
        <w:t>des w</w:t>
      </w:r>
      <w:r w:rsidR="003E454A">
        <w:t xml:space="preserve">orkers, Managers, Labourers). </w:t>
      </w:r>
      <w:r w:rsidR="00030078">
        <w:t>Graduate</w:t>
      </w:r>
      <w:r w:rsidR="003E454A">
        <w:t xml:space="preserve"> destination information at </w:t>
      </w:r>
      <w:r w:rsidR="00030078">
        <w:t xml:space="preserve">such a course </w:t>
      </w:r>
      <w:r w:rsidR="003E454A">
        <w:t>level provide</w:t>
      </w:r>
      <w:r w:rsidR="00030078">
        <w:t>s</w:t>
      </w:r>
      <w:r w:rsidR="003E454A">
        <w:t xml:space="preserve"> </w:t>
      </w:r>
      <w:r w:rsidR="00030078">
        <w:t xml:space="preserve">no </w:t>
      </w:r>
      <w:r w:rsidR="003E454A">
        <w:t xml:space="preserve">indication to prospective students on the likelihood that they </w:t>
      </w:r>
      <w:r w:rsidR="00030078">
        <w:t>will</w:t>
      </w:r>
      <w:r w:rsidR="003E454A">
        <w:t xml:space="preserve"> find work</w:t>
      </w:r>
      <w:r w:rsidR="00030078">
        <w:t xml:space="preserve"> after graduating</w:t>
      </w:r>
      <w:r w:rsidR="003E454A">
        <w:t xml:space="preserve"> in the occupation</w:t>
      </w:r>
      <w:r w:rsidR="000E32A4">
        <w:t xml:space="preserve"> for which</w:t>
      </w:r>
      <w:r w:rsidR="003E454A">
        <w:t xml:space="preserve"> the course</w:t>
      </w:r>
      <w:r w:rsidR="000E32A4">
        <w:t xml:space="preserve"> is designed to prepare them</w:t>
      </w:r>
      <w:r w:rsidR="003E454A">
        <w:t xml:space="preserve">. </w:t>
      </w:r>
      <w:r w:rsidR="00030078">
        <w:t>This may be important information</w:t>
      </w:r>
      <w:r w:rsidR="000E32A4">
        <w:t>,</w:t>
      </w:r>
      <w:r w:rsidR="00030078">
        <w:t xml:space="preserve"> given that there is a weak match between the </w:t>
      </w:r>
      <w:r w:rsidR="004B07F8">
        <w:t xml:space="preserve">target </w:t>
      </w:r>
      <w:r w:rsidR="00030078">
        <w:t>occupation and the occupations that they actually get (</w:t>
      </w:r>
      <w:proofErr w:type="spellStart"/>
      <w:r w:rsidR="00030078">
        <w:t>Karmel</w:t>
      </w:r>
      <w:proofErr w:type="spellEnd"/>
      <w:r w:rsidR="00500A26">
        <w:t>,</w:t>
      </w:r>
      <w:r w:rsidR="00030078">
        <w:t xml:space="preserve"> </w:t>
      </w:r>
      <w:r w:rsidR="00500A26">
        <w:t xml:space="preserve">Mlotkowski &amp; </w:t>
      </w:r>
      <w:proofErr w:type="spellStart"/>
      <w:r w:rsidR="00500A26">
        <w:t>Awodeyi</w:t>
      </w:r>
      <w:proofErr w:type="spellEnd"/>
      <w:r w:rsidR="00500A26">
        <w:t xml:space="preserve"> </w:t>
      </w:r>
      <w:r w:rsidR="00030078">
        <w:t>2008) and the likely importance of occupation choice in driving course choice.</w:t>
      </w:r>
    </w:p>
    <w:p w:rsidR="001C677A" w:rsidRDefault="001C677A">
      <w:pPr>
        <w:spacing w:before="0" w:line="240" w:lineRule="auto"/>
        <w:rPr>
          <w:rFonts w:ascii="Arial" w:hAnsi="Arial" w:cs="Tahoma"/>
          <w:color w:val="000000"/>
          <w:kern w:val="28"/>
          <w:sz w:val="48"/>
          <w:szCs w:val="56"/>
        </w:rPr>
      </w:pPr>
      <w:bookmarkStart w:id="78" w:name="_Toc438209985"/>
      <w:r>
        <w:br w:type="page"/>
      </w:r>
    </w:p>
    <w:p w:rsidR="00CA70AD" w:rsidRDefault="007C2328" w:rsidP="00CA70AD">
      <w:pPr>
        <w:pStyle w:val="Heading1"/>
      </w:pPr>
      <w:bookmarkStart w:id="79" w:name="_Toc472517010"/>
      <w:r>
        <w:rPr>
          <w:noProof/>
          <w:lang w:eastAsia="en-AU"/>
        </w:rPr>
        <w:lastRenderedPageBreak/>
        <w:drawing>
          <wp:anchor distT="0" distB="0" distL="114300" distR="114300" simplePos="0" relativeHeight="251670528" behindDoc="1" locked="0" layoutInCell="1" allowOverlap="1" wp14:anchorId="03D9EACF" wp14:editId="5A11B055">
            <wp:simplePos x="0" y="0"/>
            <wp:positionH relativeFrom="column">
              <wp:posOffset>28575</wp:posOffset>
            </wp:positionH>
            <wp:positionV relativeFrom="paragraph">
              <wp:posOffset>-51135</wp:posOffset>
            </wp:positionV>
            <wp:extent cx="419100" cy="419100"/>
            <wp:effectExtent l="0" t="0" r="0" b="0"/>
            <wp:wrapSquare wrapText="bothSides"/>
            <wp:docPr id="93" name="Picture 93"/>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CA70AD">
        <w:t>References</w:t>
      </w:r>
      <w:bookmarkEnd w:id="78"/>
      <w:bookmarkEnd w:id="79"/>
    </w:p>
    <w:p w:rsidR="004A7E0E" w:rsidRPr="00CA70AD" w:rsidRDefault="004A7E0E" w:rsidP="004A7E0E">
      <w:pPr>
        <w:pStyle w:val="References"/>
      </w:pPr>
      <w:r>
        <w:t>Angrist, J &amp;</w:t>
      </w:r>
      <w:r w:rsidRPr="00CA70AD">
        <w:t xml:space="preserve"> </w:t>
      </w:r>
      <w:proofErr w:type="spellStart"/>
      <w:r w:rsidRPr="00CA70AD">
        <w:t>Pischke</w:t>
      </w:r>
      <w:proofErr w:type="spellEnd"/>
      <w:r w:rsidRPr="00CA70AD">
        <w:t>, J</w:t>
      </w:r>
      <w:r>
        <w:t xml:space="preserve"> 2009,</w:t>
      </w:r>
      <w:r w:rsidRPr="00CA70AD">
        <w:t xml:space="preserve"> </w:t>
      </w:r>
      <w:proofErr w:type="gramStart"/>
      <w:r>
        <w:rPr>
          <w:i/>
        </w:rPr>
        <w:t>Mostly</w:t>
      </w:r>
      <w:proofErr w:type="gramEnd"/>
      <w:r>
        <w:rPr>
          <w:i/>
        </w:rPr>
        <w:t xml:space="preserve"> harmless econometrics:</w:t>
      </w:r>
      <w:r w:rsidRPr="00CA70AD">
        <w:rPr>
          <w:i/>
        </w:rPr>
        <w:t xml:space="preserve"> an empiricist’s companion</w:t>
      </w:r>
      <w:r w:rsidRPr="00CA70AD">
        <w:t>, Princeton University Press, New Jersey.</w:t>
      </w:r>
    </w:p>
    <w:p w:rsidR="004A7E0E" w:rsidRPr="00CA70AD" w:rsidRDefault="004A7E0E" w:rsidP="004A7E0E">
      <w:pPr>
        <w:pStyle w:val="References"/>
      </w:pPr>
      <w:proofErr w:type="gramStart"/>
      <w:r w:rsidRPr="00CA70AD">
        <w:t>Bertrand, M,</w:t>
      </w:r>
      <w:r>
        <w:t xml:space="preserve"> </w:t>
      </w:r>
      <w:proofErr w:type="spellStart"/>
      <w:r>
        <w:t>Duflo</w:t>
      </w:r>
      <w:proofErr w:type="spellEnd"/>
      <w:r>
        <w:t>, E</w:t>
      </w:r>
      <w:r w:rsidRPr="00CA70AD">
        <w:t xml:space="preserve"> </w:t>
      </w:r>
      <w:r>
        <w:t>&amp;</w:t>
      </w:r>
      <w:r w:rsidRPr="00CA70AD">
        <w:t xml:space="preserve"> Mullainathan, S 2004</w:t>
      </w:r>
      <w:r>
        <w:t>,</w:t>
      </w:r>
      <w:r w:rsidRPr="00CA70AD">
        <w:t xml:space="preserve"> </w:t>
      </w:r>
      <w:r>
        <w:t>‘</w:t>
      </w:r>
      <w:r w:rsidRPr="00CA70AD">
        <w:t>How much should we trust differences-in-differences estimates?</w:t>
      </w:r>
      <w:r>
        <w:t>’</w:t>
      </w:r>
      <w:proofErr w:type="gramEnd"/>
      <w:r w:rsidRPr="00CA70AD">
        <w:t xml:space="preserve"> </w:t>
      </w:r>
      <w:proofErr w:type="gramStart"/>
      <w:r w:rsidRPr="00CA70AD">
        <w:rPr>
          <w:i/>
        </w:rPr>
        <w:t>The Quarterly Journal of Economics</w:t>
      </w:r>
      <w:r w:rsidRPr="00CA70AD">
        <w:t xml:space="preserve">, </w:t>
      </w:r>
      <w:r>
        <w:t>pp.249—</w:t>
      </w:r>
      <w:r w:rsidRPr="00CA70AD">
        <w:t>75.</w:t>
      </w:r>
      <w:proofErr w:type="gramEnd"/>
    </w:p>
    <w:p w:rsidR="009E788F" w:rsidRPr="009E788F" w:rsidRDefault="009E788F" w:rsidP="004A7E0E">
      <w:pPr>
        <w:pStyle w:val="References"/>
      </w:pPr>
      <w:r>
        <w:t xml:space="preserve">Blundell, R &amp; Costa Dias, M 2008, </w:t>
      </w:r>
      <w:r>
        <w:rPr>
          <w:i/>
        </w:rPr>
        <w:t xml:space="preserve">Alternative approaches to evaluation in empirical microeconomics, </w:t>
      </w:r>
      <w:r>
        <w:t>Institute of Labour Studies (IZA) Discussion paper no. 3800, IZA, Bonn.</w:t>
      </w:r>
    </w:p>
    <w:p w:rsidR="004A7E0E" w:rsidRPr="00CA70AD" w:rsidRDefault="004A7E0E" w:rsidP="004A7E0E">
      <w:pPr>
        <w:pStyle w:val="References"/>
      </w:pPr>
      <w:r w:rsidRPr="00CA70AD">
        <w:t>Cameron, C</w:t>
      </w:r>
      <w:r>
        <w:t xml:space="preserve">, </w:t>
      </w:r>
      <w:proofErr w:type="spellStart"/>
      <w:r>
        <w:t>Gelbach</w:t>
      </w:r>
      <w:proofErr w:type="spellEnd"/>
      <w:r>
        <w:t>, J</w:t>
      </w:r>
      <w:r w:rsidRPr="00CA70AD">
        <w:t xml:space="preserve"> </w:t>
      </w:r>
      <w:r>
        <w:t>&amp;</w:t>
      </w:r>
      <w:r w:rsidRPr="00CA70AD">
        <w:t xml:space="preserve"> Miller, D 2008</w:t>
      </w:r>
      <w:r>
        <w:t>,</w:t>
      </w:r>
      <w:r w:rsidRPr="00CA70AD">
        <w:t xml:space="preserve"> </w:t>
      </w:r>
      <w:r>
        <w:t>‘</w:t>
      </w:r>
      <w:r w:rsidRPr="00CA70AD">
        <w:t>Bootstrap-based improvements for inference with clustered errors</w:t>
      </w:r>
      <w:r>
        <w:t>’</w:t>
      </w:r>
      <w:r w:rsidRPr="00CA70AD">
        <w:t xml:space="preserve">, </w:t>
      </w:r>
      <w:r w:rsidRPr="00AF21D3">
        <w:rPr>
          <w:i/>
        </w:rPr>
        <w:t>The Review of Economics and Statistics</w:t>
      </w:r>
      <w:r w:rsidRPr="00CA70AD">
        <w:t xml:space="preserve">, </w:t>
      </w:r>
      <w:r>
        <w:t>vol.</w:t>
      </w:r>
      <w:r w:rsidRPr="00CA70AD">
        <w:t>90</w:t>
      </w:r>
      <w:r>
        <w:t>, no.</w:t>
      </w:r>
      <w:r w:rsidRPr="00CA70AD">
        <w:t>3</w:t>
      </w:r>
      <w:r>
        <w:t>, pp.414</w:t>
      </w:r>
      <w:r w:rsidR="009E788F">
        <w:t>—</w:t>
      </w:r>
      <w:r w:rsidRPr="00CA70AD">
        <w:t>27.</w:t>
      </w:r>
    </w:p>
    <w:p w:rsidR="004A7E0E" w:rsidRDefault="004A7E0E" w:rsidP="004A7E0E">
      <w:pPr>
        <w:pStyle w:val="References"/>
      </w:pPr>
      <w:proofErr w:type="gramStart"/>
      <w:r w:rsidRPr="00CA70AD">
        <w:t>Cameron, C</w:t>
      </w:r>
      <w:r>
        <w:t xml:space="preserve"> &amp;</w:t>
      </w:r>
      <w:r w:rsidRPr="00CA70AD">
        <w:t xml:space="preserve"> Miller, D 2015</w:t>
      </w:r>
      <w:r>
        <w:t>,</w:t>
      </w:r>
      <w:r w:rsidRPr="00CA70AD">
        <w:t xml:space="preserve"> </w:t>
      </w:r>
      <w:r>
        <w:t>‘</w:t>
      </w:r>
      <w:r w:rsidRPr="00CA70AD">
        <w:t>A practitioner’s guide to cluster-robust inference</w:t>
      </w:r>
      <w:r>
        <w:t>’</w:t>
      </w:r>
      <w:r w:rsidRPr="00CA70AD">
        <w:t xml:space="preserve">, </w:t>
      </w:r>
      <w:r w:rsidRPr="00AF21D3">
        <w:rPr>
          <w:i/>
        </w:rPr>
        <w:t>Journal of Human Resources</w:t>
      </w:r>
      <w:r w:rsidRPr="00CA70AD">
        <w:t xml:space="preserve">, </w:t>
      </w:r>
      <w:r>
        <w:t>vol.</w:t>
      </w:r>
      <w:r w:rsidRPr="00CA70AD">
        <w:t>50</w:t>
      </w:r>
      <w:r>
        <w:t>, no.</w:t>
      </w:r>
      <w:r w:rsidRPr="00CA70AD">
        <w:t>2</w:t>
      </w:r>
      <w:r>
        <w:t>, pp.317—</w:t>
      </w:r>
      <w:r w:rsidRPr="00CA70AD">
        <w:t>72.</w:t>
      </w:r>
      <w:proofErr w:type="gramEnd"/>
    </w:p>
    <w:p w:rsidR="004A7E0E" w:rsidRDefault="004A7E0E" w:rsidP="004A7E0E">
      <w:pPr>
        <w:pStyle w:val="References"/>
      </w:pPr>
      <w:proofErr w:type="gramStart"/>
      <w:r>
        <w:t xml:space="preserve">Council of Australian Governments (COAG) 2015, </w:t>
      </w:r>
      <w:r w:rsidRPr="00D12982">
        <w:rPr>
          <w:i/>
        </w:rPr>
        <w:t>Communiqué for the COAG Industry and Skills Council Meeting</w:t>
      </w:r>
      <w:r>
        <w:t>, COAG, Melbourne.</w:t>
      </w:r>
      <w:proofErr w:type="gramEnd"/>
    </w:p>
    <w:p w:rsidR="004A7E0E" w:rsidRPr="00CA70AD" w:rsidRDefault="004A7E0E" w:rsidP="004A7E0E">
      <w:pPr>
        <w:pStyle w:val="References"/>
      </w:pPr>
      <w:r w:rsidRPr="00CA70AD">
        <w:t>Department of Educa</w:t>
      </w:r>
      <w:r>
        <w:t>tion and Early Childhood</w:t>
      </w:r>
      <w:r w:rsidRPr="00CA70AD">
        <w:t xml:space="preserve"> 2012</w:t>
      </w:r>
      <w:r>
        <w:t>,</w:t>
      </w:r>
      <w:r w:rsidRPr="00CA70AD">
        <w:t xml:space="preserve"> </w:t>
      </w:r>
      <w:proofErr w:type="gramStart"/>
      <w:r>
        <w:rPr>
          <w:i/>
        </w:rPr>
        <w:t>Refocusing</w:t>
      </w:r>
      <w:proofErr w:type="gramEnd"/>
      <w:r>
        <w:rPr>
          <w:i/>
        </w:rPr>
        <w:t xml:space="preserve"> vocational training:</w:t>
      </w:r>
      <w:r w:rsidRPr="00AF21D3">
        <w:rPr>
          <w:i/>
        </w:rPr>
        <w:t xml:space="preserve"> information for students</w:t>
      </w:r>
      <w:r w:rsidRPr="00CA70AD">
        <w:t>, DEECD, Melbourne.</w:t>
      </w:r>
    </w:p>
    <w:p w:rsidR="004A7E0E" w:rsidRPr="00F64520" w:rsidRDefault="004A7E0E" w:rsidP="004A7E0E">
      <w:pPr>
        <w:pStyle w:val="References"/>
      </w:pPr>
      <w:proofErr w:type="spellStart"/>
      <w:proofErr w:type="gramStart"/>
      <w:r w:rsidRPr="00F64520">
        <w:t>Furnham</w:t>
      </w:r>
      <w:proofErr w:type="spellEnd"/>
      <w:r w:rsidRPr="00F64520">
        <w:t>, A</w:t>
      </w:r>
      <w:r>
        <w:t xml:space="preserve"> </w:t>
      </w:r>
      <w:r w:rsidRPr="00F64520">
        <w:t>1986</w:t>
      </w:r>
      <w:r>
        <w:t>,</w:t>
      </w:r>
      <w:r w:rsidRPr="00F64520">
        <w:t xml:space="preserve"> </w:t>
      </w:r>
      <w:r>
        <w:t>‘</w:t>
      </w:r>
      <w:r w:rsidRPr="00F64520">
        <w:t>Response bias, social desirability and dissimulation</w:t>
      </w:r>
      <w:r>
        <w:t>’,</w:t>
      </w:r>
      <w:r w:rsidRPr="00F64520">
        <w:t> </w:t>
      </w:r>
      <w:r w:rsidRPr="00F64520">
        <w:rPr>
          <w:i/>
        </w:rPr>
        <w:t>Personality and Individual Differences</w:t>
      </w:r>
      <w:r>
        <w:rPr>
          <w:i/>
        </w:rPr>
        <w:t>,</w:t>
      </w:r>
      <w:r w:rsidRPr="00F64520">
        <w:rPr>
          <w:i/>
        </w:rPr>
        <w:t> </w:t>
      </w:r>
      <w:r w:rsidRPr="00D12982">
        <w:t>vol.7</w:t>
      </w:r>
      <w:r>
        <w:t>, no.3,</w:t>
      </w:r>
      <w:r w:rsidRPr="00F64520">
        <w:t xml:space="preserve"> </w:t>
      </w:r>
      <w:r>
        <w:t>pp.385—</w:t>
      </w:r>
      <w:r w:rsidRPr="00F64520">
        <w:t>400.</w:t>
      </w:r>
      <w:proofErr w:type="gramEnd"/>
      <w:r w:rsidRPr="00F64520">
        <w:t> </w:t>
      </w:r>
    </w:p>
    <w:p w:rsidR="004A7E0E" w:rsidRPr="00CA70AD" w:rsidRDefault="004A7E0E" w:rsidP="004A7E0E">
      <w:pPr>
        <w:pStyle w:val="References"/>
      </w:pPr>
      <w:r w:rsidRPr="00CA70AD">
        <w:t>Hast</w:t>
      </w:r>
      <w:r>
        <w:t xml:space="preserve">ings, JS &amp; Weinstein, JM </w:t>
      </w:r>
      <w:r w:rsidRPr="00CA70AD">
        <w:t>2008</w:t>
      </w:r>
      <w:r>
        <w:t>,</w:t>
      </w:r>
      <w:r w:rsidRPr="00CA70AD">
        <w:t xml:space="preserve"> </w:t>
      </w:r>
      <w:r>
        <w:t>‘Information, s</w:t>
      </w:r>
      <w:r w:rsidRPr="00CA70AD">
        <w:t xml:space="preserve">chool </w:t>
      </w:r>
      <w:r>
        <w:t>c</w:t>
      </w:r>
      <w:r w:rsidRPr="00CA70AD">
        <w:t xml:space="preserve">hoice, and </w:t>
      </w:r>
      <w:r>
        <w:t>a</w:t>
      </w:r>
      <w:r w:rsidRPr="00CA70AD">
        <w:t xml:space="preserve">cademic </w:t>
      </w:r>
      <w:r>
        <w:t>a</w:t>
      </w:r>
      <w:r w:rsidRPr="00CA70AD">
        <w:t>chievement</w:t>
      </w:r>
      <w:r>
        <w:t>: evidence from two experiments’,</w:t>
      </w:r>
      <w:r w:rsidRPr="00CA70AD">
        <w:t xml:space="preserve"> </w:t>
      </w:r>
      <w:r w:rsidRPr="00A63F9B">
        <w:rPr>
          <w:i/>
        </w:rPr>
        <w:t>Quarterly Journal of Economics</w:t>
      </w:r>
      <w:r>
        <w:t>, vol.</w:t>
      </w:r>
      <w:r w:rsidRPr="00CA70AD">
        <w:t>123,</w:t>
      </w:r>
      <w:r>
        <w:t xml:space="preserve"> no.</w:t>
      </w:r>
      <w:r w:rsidRPr="00CA70AD">
        <w:t>4,</w:t>
      </w:r>
      <w:r>
        <w:t xml:space="preserve"> pp.</w:t>
      </w:r>
      <w:r w:rsidRPr="00CA70AD">
        <w:t>137</w:t>
      </w:r>
      <w:r>
        <w:t>3—</w:t>
      </w:r>
      <w:r w:rsidRPr="00CA70AD">
        <w:t>414.</w:t>
      </w:r>
    </w:p>
    <w:p w:rsidR="004A7E0E" w:rsidRDefault="004A7E0E" w:rsidP="004A7E0E">
      <w:pPr>
        <w:pStyle w:val="References"/>
      </w:pPr>
      <w:r>
        <w:t xml:space="preserve">Hsieh, C-T &amp; </w:t>
      </w:r>
      <w:proofErr w:type="spellStart"/>
      <w:r>
        <w:t>Urquiola</w:t>
      </w:r>
      <w:proofErr w:type="spellEnd"/>
      <w:r>
        <w:t>, M</w:t>
      </w:r>
      <w:r w:rsidRPr="00EA38B5">
        <w:t xml:space="preserve"> 2006</w:t>
      </w:r>
      <w:r>
        <w:t>,</w:t>
      </w:r>
      <w:r w:rsidRPr="00EA38B5">
        <w:t xml:space="preserve"> </w:t>
      </w:r>
      <w:r>
        <w:t>‘</w:t>
      </w:r>
      <w:proofErr w:type="gramStart"/>
      <w:r w:rsidRPr="00EA38B5">
        <w:t>Th</w:t>
      </w:r>
      <w:r>
        <w:t>e</w:t>
      </w:r>
      <w:proofErr w:type="gramEnd"/>
      <w:r w:rsidRPr="00EA38B5">
        <w:t xml:space="preserve"> effects of generalized school choice on achievement and stratification: evidence from Chile’s voucher program</w:t>
      </w:r>
      <w:r>
        <w:t>’,</w:t>
      </w:r>
      <w:r w:rsidRPr="00EA38B5">
        <w:t xml:space="preserve"> </w:t>
      </w:r>
      <w:r w:rsidRPr="00386790">
        <w:rPr>
          <w:i/>
        </w:rPr>
        <w:t>Journal of Public Economics</w:t>
      </w:r>
      <w:r>
        <w:t>, vol.90, pp.1477—</w:t>
      </w:r>
      <w:r w:rsidRPr="00EA38B5">
        <w:t>503.</w:t>
      </w:r>
    </w:p>
    <w:p w:rsidR="004A7E0E" w:rsidRDefault="004A7E0E" w:rsidP="004A7E0E">
      <w:pPr>
        <w:pStyle w:val="References"/>
      </w:pPr>
      <w:proofErr w:type="spellStart"/>
      <w:proofErr w:type="gramStart"/>
      <w:r>
        <w:t>Karmel</w:t>
      </w:r>
      <w:proofErr w:type="spellEnd"/>
      <w:r>
        <w:t xml:space="preserve">, T, Mlotkowski, P &amp; </w:t>
      </w:r>
      <w:proofErr w:type="spellStart"/>
      <w:r>
        <w:t>Awodeyi</w:t>
      </w:r>
      <w:proofErr w:type="spellEnd"/>
      <w:r>
        <w:t xml:space="preserve">, T 2008, </w:t>
      </w:r>
      <w:r w:rsidRPr="00EA69E6">
        <w:rPr>
          <w:i/>
        </w:rPr>
        <w:t>Is VET vocational?</w:t>
      </w:r>
      <w:proofErr w:type="gramEnd"/>
      <w:r w:rsidRPr="00EA69E6">
        <w:rPr>
          <w:i/>
        </w:rPr>
        <w:t xml:space="preserve"> </w:t>
      </w:r>
      <w:proofErr w:type="gramStart"/>
      <w:r w:rsidRPr="00EA69E6">
        <w:rPr>
          <w:i/>
        </w:rPr>
        <w:t xml:space="preserve">The relevance of training to </w:t>
      </w:r>
      <w:r>
        <w:rPr>
          <w:i/>
        </w:rPr>
        <w:t xml:space="preserve">the </w:t>
      </w:r>
      <w:r w:rsidRPr="00EA69E6">
        <w:rPr>
          <w:i/>
        </w:rPr>
        <w:t>occupations of vocational education and training graduates</w:t>
      </w:r>
      <w:r>
        <w:t>, NCVER, Adelaide.</w:t>
      </w:r>
      <w:proofErr w:type="gramEnd"/>
    </w:p>
    <w:p w:rsidR="004A7E0E" w:rsidRPr="00CA70AD" w:rsidRDefault="004A7E0E" w:rsidP="004A7E0E">
      <w:pPr>
        <w:pStyle w:val="References"/>
      </w:pPr>
      <w:r>
        <w:t xml:space="preserve">Ladd, HF </w:t>
      </w:r>
      <w:r w:rsidRPr="00CA70AD">
        <w:t>2002</w:t>
      </w:r>
      <w:r>
        <w:t>,</w:t>
      </w:r>
      <w:r w:rsidRPr="00CA70AD">
        <w:t xml:space="preserve"> </w:t>
      </w:r>
      <w:r>
        <w:t>‘</w:t>
      </w:r>
      <w:r w:rsidRPr="00CA70AD">
        <w:t>School vouch</w:t>
      </w:r>
      <w:r>
        <w:t>ers: a critical view’,</w:t>
      </w:r>
      <w:r w:rsidRPr="00CA70AD">
        <w:t xml:space="preserve"> </w:t>
      </w:r>
      <w:r w:rsidRPr="002C4090">
        <w:rPr>
          <w:i/>
        </w:rPr>
        <w:t>Journal of Economic Perspectives</w:t>
      </w:r>
      <w:r>
        <w:rPr>
          <w:i/>
        </w:rPr>
        <w:t>,</w:t>
      </w:r>
      <w:r w:rsidRPr="00CA70AD">
        <w:t xml:space="preserve"> </w:t>
      </w:r>
      <w:r>
        <w:t>vol.</w:t>
      </w:r>
      <w:r w:rsidRPr="00CA70AD">
        <w:t xml:space="preserve">16, </w:t>
      </w:r>
      <w:r>
        <w:t>no.</w:t>
      </w:r>
      <w:r w:rsidRPr="00CA70AD">
        <w:t xml:space="preserve">4, </w:t>
      </w:r>
      <w:r>
        <w:t>pp.3—</w:t>
      </w:r>
      <w:r w:rsidRPr="00CA70AD">
        <w:t>24.</w:t>
      </w:r>
    </w:p>
    <w:p w:rsidR="004A7E0E" w:rsidRPr="00CA70AD" w:rsidRDefault="004A7E0E" w:rsidP="004A7E0E">
      <w:pPr>
        <w:pStyle w:val="References"/>
      </w:pPr>
      <w:proofErr w:type="gramStart"/>
      <w:r>
        <w:t xml:space="preserve">Levin, HM </w:t>
      </w:r>
      <w:r w:rsidRPr="00CA70AD">
        <w:t>1991</w:t>
      </w:r>
      <w:r>
        <w:t>,</w:t>
      </w:r>
      <w:r w:rsidRPr="00CA70AD">
        <w:t xml:space="preserve"> </w:t>
      </w:r>
      <w:r>
        <w:t>‘</w:t>
      </w:r>
      <w:r w:rsidRPr="00CA70AD">
        <w:t>The economics of educational choice</w:t>
      </w:r>
      <w:r>
        <w:t>’,</w:t>
      </w:r>
      <w:r w:rsidRPr="00CA70AD">
        <w:t xml:space="preserve"> </w:t>
      </w:r>
      <w:r w:rsidRPr="00A63F9B">
        <w:rPr>
          <w:i/>
        </w:rPr>
        <w:t>Economics of Education Review</w:t>
      </w:r>
      <w:r>
        <w:rPr>
          <w:i/>
        </w:rPr>
        <w:t>,</w:t>
      </w:r>
      <w:r w:rsidRPr="00CA70AD">
        <w:t xml:space="preserve"> </w:t>
      </w:r>
      <w:r>
        <w:t>vol.</w:t>
      </w:r>
      <w:r w:rsidRPr="00CA70AD">
        <w:t xml:space="preserve">10, </w:t>
      </w:r>
      <w:r>
        <w:t>no.</w:t>
      </w:r>
      <w:r w:rsidRPr="00CA70AD">
        <w:t xml:space="preserve">2, </w:t>
      </w:r>
      <w:r>
        <w:t>pp.137—</w:t>
      </w:r>
      <w:r w:rsidRPr="00CA70AD">
        <w:t>58.</w:t>
      </w:r>
      <w:proofErr w:type="gramEnd"/>
    </w:p>
    <w:p w:rsidR="004A7E0E" w:rsidRPr="00EA69E6" w:rsidRDefault="004A7E0E" w:rsidP="004A7E0E">
      <w:pPr>
        <w:pStyle w:val="References"/>
      </w:pPr>
      <w:r w:rsidRPr="00EA69E6">
        <w:t xml:space="preserve">Lim, P &amp; </w:t>
      </w:r>
      <w:proofErr w:type="spellStart"/>
      <w:r w:rsidRPr="00EA69E6">
        <w:t>Karmel</w:t>
      </w:r>
      <w:proofErr w:type="spellEnd"/>
      <w:r w:rsidRPr="00EA69E6">
        <w:t xml:space="preserve">, </w:t>
      </w:r>
      <w:proofErr w:type="gramStart"/>
      <w:r w:rsidRPr="00EA69E6">
        <w:t>T</w:t>
      </w:r>
      <w:proofErr w:type="gramEnd"/>
      <w:r w:rsidRPr="00EA69E6">
        <w:t xml:space="preserve"> 2014, </w:t>
      </w:r>
      <w:r w:rsidRPr="00EA69E6">
        <w:rPr>
          <w:i/>
        </w:rPr>
        <w:t>Measuring VET participation by socioeconomic status: an examination of the robustness of ABS SEIFA measures over time</w:t>
      </w:r>
      <w:r w:rsidRPr="00EA69E6">
        <w:t>, NCVER, Adelaide.</w:t>
      </w:r>
    </w:p>
    <w:p w:rsidR="004A7E0E" w:rsidRDefault="004A7E0E" w:rsidP="004A7E0E">
      <w:pPr>
        <w:pStyle w:val="References"/>
      </w:pPr>
      <w:r>
        <w:t xml:space="preserve">Leung, F, </w:t>
      </w:r>
      <w:proofErr w:type="spellStart"/>
      <w:r>
        <w:t>McVicar</w:t>
      </w:r>
      <w:proofErr w:type="spellEnd"/>
      <w:r>
        <w:t xml:space="preserve">, D, </w:t>
      </w:r>
      <w:proofErr w:type="spellStart"/>
      <w:r>
        <w:t>Polidano</w:t>
      </w:r>
      <w:proofErr w:type="spellEnd"/>
      <w:r>
        <w:t xml:space="preserve">, C &amp; Zhang, R 2014, </w:t>
      </w:r>
      <w:r w:rsidRPr="001B16C6">
        <w:rPr>
          <w:i/>
        </w:rPr>
        <w:t>Early impacts of the Victorian Training Guarantee on VET enrolments and graduate outcomes</w:t>
      </w:r>
      <w:r>
        <w:t>, NCVER, Adelaide.</w:t>
      </w:r>
    </w:p>
    <w:p w:rsidR="004A7E0E" w:rsidRPr="0063453C" w:rsidRDefault="004A7E0E" w:rsidP="004A7E0E">
      <w:pPr>
        <w:pStyle w:val="References"/>
      </w:pPr>
      <w:proofErr w:type="spellStart"/>
      <w:r>
        <w:t>McVicar</w:t>
      </w:r>
      <w:proofErr w:type="spellEnd"/>
      <w:r>
        <w:t>, D</w:t>
      </w:r>
      <w:r w:rsidRPr="00CA70AD">
        <w:t xml:space="preserve"> </w:t>
      </w:r>
      <w:r>
        <w:t>&amp;</w:t>
      </w:r>
      <w:r w:rsidRPr="00CA70AD">
        <w:t xml:space="preserve"> </w:t>
      </w:r>
      <w:proofErr w:type="spellStart"/>
      <w:r w:rsidRPr="00CA70AD">
        <w:t>Polidano</w:t>
      </w:r>
      <w:proofErr w:type="spellEnd"/>
      <w:r w:rsidRPr="00CA70AD">
        <w:t>, C</w:t>
      </w:r>
      <w:r w:rsidRPr="0063453C">
        <w:t xml:space="preserve"> 2015, ‘If you get what you want, do you get what you need? Course choice and achievement effects of a vocational education and training voucher scheme’, </w:t>
      </w:r>
      <w:r w:rsidRPr="00EA69E6">
        <w:rPr>
          <w:i/>
        </w:rPr>
        <w:t>Melbourne Institute of Applied Economic and Social Research working paper</w:t>
      </w:r>
      <w:r>
        <w:rPr>
          <w:i/>
        </w:rPr>
        <w:t>,</w:t>
      </w:r>
      <w:r w:rsidRPr="0063453C">
        <w:t xml:space="preserve"> 6/15, University of Melbourne.</w:t>
      </w:r>
    </w:p>
    <w:p w:rsidR="004A7E0E" w:rsidRPr="00F64520" w:rsidRDefault="004A7E0E" w:rsidP="004A7E0E">
      <w:pPr>
        <w:pStyle w:val="References"/>
      </w:pPr>
      <w:r w:rsidRPr="00F64520">
        <w:t> </w:t>
      </w:r>
      <w:proofErr w:type="spellStart"/>
      <w:r w:rsidRPr="00F64520">
        <w:t>Nederhof</w:t>
      </w:r>
      <w:proofErr w:type="spellEnd"/>
      <w:r w:rsidRPr="00F64520">
        <w:t>, A 1985</w:t>
      </w:r>
      <w:r>
        <w:t>,</w:t>
      </w:r>
      <w:r w:rsidRPr="00F64520">
        <w:t xml:space="preserve"> </w:t>
      </w:r>
      <w:r>
        <w:t>‘</w:t>
      </w:r>
      <w:r w:rsidRPr="00F64520">
        <w:t xml:space="preserve">Methods of coping with social desirability bias: </w:t>
      </w:r>
      <w:r>
        <w:t>a</w:t>
      </w:r>
      <w:r w:rsidRPr="00F64520">
        <w:t xml:space="preserve"> review</w:t>
      </w:r>
      <w:r>
        <w:t>’,</w:t>
      </w:r>
      <w:r w:rsidRPr="00F64520">
        <w:t> </w:t>
      </w:r>
      <w:r w:rsidRPr="00EA69E6">
        <w:rPr>
          <w:i/>
        </w:rPr>
        <w:t>European Journal of Social Psychology, </w:t>
      </w:r>
      <w:r w:rsidRPr="00EA69E6">
        <w:t>vol.15</w:t>
      </w:r>
      <w:r>
        <w:t>, no.3, pp.263—</w:t>
      </w:r>
      <w:r w:rsidRPr="00F64520">
        <w:t>80. </w:t>
      </w:r>
    </w:p>
    <w:p w:rsidR="004A7E0E" w:rsidRPr="00CA70AD" w:rsidRDefault="004A7E0E" w:rsidP="004A7E0E">
      <w:pPr>
        <w:pStyle w:val="References"/>
      </w:pPr>
      <w:r>
        <w:t xml:space="preserve">OECD (Organisation for Economic Co-operation and Development) </w:t>
      </w:r>
      <w:r w:rsidRPr="00CA70AD">
        <w:t>2010</w:t>
      </w:r>
      <w:r>
        <w:t xml:space="preserve">, </w:t>
      </w:r>
      <w:proofErr w:type="gramStart"/>
      <w:r w:rsidRPr="00A63F9B">
        <w:rPr>
          <w:i/>
        </w:rPr>
        <w:t>Learning</w:t>
      </w:r>
      <w:proofErr w:type="gramEnd"/>
      <w:r w:rsidRPr="00A63F9B">
        <w:rPr>
          <w:i/>
        </w:rPr>
        <w:t xml:space="preserve"> for jobs: synthesis of the OECD reviews of vocational education and training</w:t>
      </w:r>
      <w:r w:rsidRPr="00CA70AD">
        <w:t xml:space="preserve">, OECD, Paris. </w:t>
      </w:r>
    </w:p>
    <w:p w:rsidR="004A7E0E" w:rsidRPr="00CA70AD" w:rsidRDefault="004A7E0E" w:rsidP="004A7E0E">
      <w:pPr>
        <w:pStyle w:val="References"/>
      </w:pPr>
      <w:r>
        <w:t xml:space="preserve">Productivity Commission </w:t>
      </w:r>
      <w:r w:rsidRPr="00CA70AD">
        <w:t>2012</w:t>
      </w:r>
      <w:r>
        <w:t xml:space="preserve">, </w:t>
      </w:r>
      <w:r w:rsidRPr="00500A26">
        <w:rPr>
          <w:i/>
        </w:rPr>
        <w:t>Impacts and benefits of COAG reforms</w:t>
      </w:r>
      <w:r w:rsidRPr="00CA70AD">
        <w:t>, research report, Canberra.</w:t>
      </w:r>
    </w:p>
    <w:p w:rsidR="004A7E0E" w:rsidRPr="00CA70AD" w:rsidRDefault="004A7E0E" w:rsidP="004A7E0E">
      <w:pPr>
        <w:pStyle w:val="References"/>
      </w:pPr>
      <w:proofErr w:type="spellStart"/>
      <w:r>
        <w:t>Ryoo</w:t>
      </w:r>
      <w:proofErr w:type="spellEnd"/>
      <w:r>
        <w:t xml:space="preserve">, L &amp; Rosen, S </w:t>
      </w:r>
      <w:r w:rsidRPr="00CA70AD">
        <w:t>2004</w:t>
      </w:r>
      <w:r>
        <w:t xml:space="preserve">, ‘The engineering </w:t>
      </w:r>
      <w:proofErr w:type="spellStart"/>
      <w:r>
        <w:t>labor</w:t>
      </w:r>
      <w:proofErr w:type="spellEnd"/>
      <w:r>
        <w:t xml:space="preserve"> market</w:t>
      </w:r>
      <w:r w:rsidRPr="00CA70AD">
        <w:t>’</w:t>
      </w:r>
      <w:r>
        <w:t>,</w:t>
      </w:r>
      <w:r w:rsidRPr="00CA70AD">
        <w:t xml:space="preserve"> </w:t>
      </w:r>
      <w:r w:rsidRPr="00A63F9B">
        <w:rPr>
          <w:i/>
        </w:rPr>
        <w:t>Journal of Political Economy</w:t>
      </w:r>
      <w:r w:rsidRPr="00CA70AD">
        <w:t xml:space="preserve">, </w:t>
      </w:r>
      <w:r>
        <w:t>vol.</w:t>
      </w:r>
      <w:r w:rsidRPr="00CA70AD">
        <w:t xml:space="preserve">112, </w:t>
      </w:r>
      <w:r>
        <w:t>pp.</w:t>
      </w:r>
      <w:r w:rsidRPr="00CA70AD">
        <w:t>S1</w:t>
      </w:r>
      <w:r>
        <w:t>10—</w:t>
      </w:r>
      <w:r w:rsidRPr="00CA70AD">
        <w:t>40.</w:t>
      </w:r>
    </w:p>
    <w:p w:rsidR="004A7E0E" w:rsidRDefault="004A7E0E" w:rsidP="004A7E0E">
      <w:pPr>
        <w:pStyle w:val="References"/>
      </w:pPr>
      <w:proofErr w:type="spellStart"/>
      <w:r w:rsidRPr="00CA70AD">
        <w:t>Schwerdt</w:t>
      </w:r>
      <w:proofErr w:type="spellEnd"/>
      <w:r w:rsidRPr="00CA70AD">
        <w:t xml:space="preserve">, G, Messer, D, </w:t>
      </w:r>
      <w:proofErr w:type="spellStart"/>
      <w:r>
        <w:t>Woessmann</w:t>
      </w:r>
      <w:proofErr w:type="spellEnd"/>
      <w:r>
        <w:t xml:space="preserve">, L &amp; </w:t>
      </w:r>
      <w:proofErr w:type="spellStart"/>
      <w:r>
        <w:t>Wolter</w:t>
      </w:r>
      <w:proofErr w:type="spellEnd"/>
      <w:r>
        <w:t xml:space="preserve">, SC </w:t>
      </w:r>
      <w:r w:rsidRPr="00CA70AD">
        <w:t>2012</w:t>
      </w:r>
      <w:r>
        <w:t>,</w:t>
      </w:r>
      <w:r w:rsidRPr="00CA70AD">
        <w:t xml:space="preserve"> </w:t>
      </w:r>
      <w:r>
        <w:t>‘</w:t>
      </w:r>
      <w:r w:rsidRPr="00CA70AD">
        <w:t>The impact of an adult education voucher program evidence from a randomized field experiment</w:t>
      </w:r>
      <w:r>
        <w:t>’</w:t>
      </w:r>
      <w:r w:rsidRPr="000144EE">
        <w:rPr>
          <w:i/>
        </w:rPr>
        <w:t>, Journal of Public Economics</w:t>
      </w:r>
      <w:r>
        <w:rPr>
          <w:i/>
        </w:rPr>
        <w:t xml:space="preserve">, </w:t>
      </w:r>
      <w:r w:rsidRPr="00A63F9B">
        <w:t>vol.</w:t>
      </w:r>
      <w:r w:rsidRPr="00CA70AD">
        <w:t xml:space="preserve">96, </w:t>
      </w:r>
      <w:r>
        <w:t>pp.569—</w:t>
      </w:r>
      <w:r w:rsidRPr="00CA70AD">
        <w:t xml:space="preserve">83. </w:t>
      </w:r>
    </w:p>
    <w:p w:rsidR="004A7E0E" w:rsidRPr="00F632FB" w:rsidRDefault="004A7E0E" w:rsidP="004A7E0E">
      <w:pPr>
        <w:pStyle w:val="References"/>
      </w:pPr>
      <w:proofErr w:type="spellStart"/>
      <w:r w:rsidRPr="00F632FB">
        <w:t>Warriner</w:t>
      </w:r>
      <w:proofErr w:type="spellEnd"/>
      <w:r w:rsidRPr="00F632FB">
        <w:t>, G &amp; Miller, S 2002</w:t>
      </w:r>
      <w:r>
        <w:t>,</w:t>
      </w:r>
      <w:r w:rsidRPr="00F632FB">
        <w:t xml:space="preserve"> </w:t>
      </w:r>
      <w:r>
        <w:t>‘</w:t>
      </w:r>
      <w:r w:rsidRPr="00F632FB">
        <w:t>Evaluating socio-economic status (SES) bias in survey nonresponse</w:t>
      </w:r>
      <w:r>
        <w:t>’,</w:t>
      </w:r>
      <w:r w:rsidRPr="00F632FB">
        <w:t> </w:t>
      </w:r>
      <w:r w:rsidRPr="001B16C6">
        <w:rPr>
          <w:i/>
        </w:rPr>
        <w:t>Journal of Official Statistics, </w:t>
      </w:r>
      <w:r w:rsidRPr="00EA69E6">
        <w:t>vol</w:t>
      </w:r>
      <w:r w:rsidR="00D9218E">
        <w:t>.</w:t>
      </w:r>
      <w:r w:rsidRPr="00EA69E6">
        <w:t>18</w:t>
      </w:r>
      <w:r>
        <w:t>, no.1, pp.1—</w:t>
      </w:r>
      <w:r w:rsidRPr="00F632FB">
        <w:t>11.</w:t>
      </w:r>
    </w:p>
    <w:p w:rsidR="004A7E0E" w:rsidRDefault="004A7E0E">
      <w:pPr>
        <w:spacing w:before="0" w:line="240" w:lineRule="auto"/>
        <w:rPr>
          <w:rFonts w:ascii="Arial" w:hAnsi="Arial" w:cs="Tahoma"/>
          <w:color w:val="000000"/>
          <w:kern w:val="28"/>
          <w:sz w:val="48"/>
          <w:szCs w:val="56"/>
        </w:rPr>
      </w:pPr>
      <w:bookmarkStart w:id="80" w:name="_Toc438209986"/>
      <w:r>
        <w:br w:type="page"/>
      </w:r>
    </w:p>
    <w:p w:rsidR="00CE7831" w:rsidRDefault="003710EA" w:rsidP="00E2153D">
      <w:pPr>
        <w:pStyle w:val="Heading1"/>
        <w:ind w:left="851"/>
      </w:pPr>
      <w:bookmarkStart w:id="81" w:name="_Toc472517011"/>
      <w:r w:rsidRPr="006A0A1F">
        <w:rPr>
          <w:noProof/>
          <w:lang w:eastAsia="en-AU"/>
        </w:rPr>
        <w:lastRenderedPageBreak/>
        <w:drawing>
          <wp:anchor distT="0" distB="0" distL="114300" distR="114300" simplePos="0" relativeHeight="251663360" behindDoc="1" locked="0" layoutInCell="1" allowOverlap="1" wp14:anchorId="73A6A25D" wp14:editId="5AAFC2CB">
            <wp:simplePos x="1801495" y="811530"/>
            <wp:positionH relativeFrom="margin">
              <wp:align>left</wp:align>
            </wp:positionH>
            <wp:positionV relativeFrom="margin">
              <wp:align>top</wp:align>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CE7831">
        <w:t xml:space="preserve">Appendix A: VET participation using </w:t>
      </w:r>
      <w:r w:rsidR="00705302">
        <w:t xml:space="preserve">the </w:t>
      </w:r>
      <w:r w:rsidR="00281583">
        <w:t xml:space="preserve">ABS </w:t>
      </w:r>
      <w:r w:rsidR="00CE7831">
        <w:t>S</w:t>
      </w:r>
      <w:r w:rsidR="00281583">
        <w:t xml:space="preserve">urvey of </w:t>
      </w:r>
      <w:r w:rsidR="00CE7831">
        <w:t>E</w:t>
      </w:r>
      <w:r w:rsidR="00281583">
        <w:t xml:space="preserve">ducation and </w:t>
      </w:r>
      <w:r w:rsidR="00CE7831">
        <w:t>W</w:t>
      </w:r>
      <w:bookmarkEnd w:id="80"/>
      <w:r w:rsidR="00281583">
        <w:t>ork</w:t>
      </w:r>
      <w:bookmarkEnd w:id="81"/>
    </w:p>
    <w:p w:rsidR="00CE7831" w:rsidRDefault="00CE7831" w:rsidP="00CE7831">
      <w:pPr>
        <w:pStyle w:val="Text"/>
      </w:pPr>
      <w:r>
        <w:t xml:space="preserve">The enrolment rates discussed </w:t>
      </w:r>
      <w:r w:rsidR="008135FA">
        <w:t>in this report</w:t>
      </w:r>
      <w:r>
        <w:t xml:space="preserve"> were calculated by dividing </w:t>
      </w:r>
      <w:r w:rsidR="00500A26">
        <w:t xml:space="preserve">the </w:t>
      </w:r>
      <w:r>
        <w:t xml:space="preserve">enrolment numbers reported by the </w:t>
      </w:r>
      <w:r w:rsidR="00801415">
        <w:t>National VET Provider Collection</w:t>
      </w:r>
      <w:r w:rsidR="00500A26">
        <w:t xml:space="preserve"> administrative dataset</w:t>
      </w:r>
      <w:r>
        <w:t xml:space="preserve"> by </w:t>
      </w:r>
      <w:r w:rsidR="00500A26">
        <w:t xml:space="preserve">the </w:t>
      </w:r>
      <w:r>
        <w:t>population estimates calculated from ABS census</w:t>
      </w:r>
      <w:r w:rsidR="00A31E6F">
        <w:t xml:space="preserve"> and </w:t>
      </w:r>
      <w:r w:rsidR="00DB53DF">
        <w:t xml:space="preserve">Labour Force Survey </w:t>
      </w:r>
      <w:r w:rsidR="00A31E6F">
        <w:t xml:space="preserve">data. </w:t>
      </w:r>
      <w:r>
        <w:t>The Su</w:t>
      </w:r>
      <w:r w:rsidR="00500A26">
        <w:t>rvey of Education and Work</w:t>
      </w:r>
      <w:r w:rsidR="00705302">
        <w:t xml:space="preserve"> (SEW)</w:t>
      </w:r>
      <w:r>
        <w:t xml:space="preserve">, which is collected by the ABS in conjunction with the May wave of the Labour Force Survey, is an alternative micro-data source of education characteristics for Australia. Furthermore, the SEW has </w:t>
      </w:r>
      <w:r w:rsidR="002D4C94">
        <w:t>an</w:t>
      </w:r>
      <w:r>
        <w:t xml:space="preserve"> advantage, relative to </w:t>
      </w:r>
      <w:r w:rsidR="00705302">
        <w:t xml:space="preserve">the </w:t>
      </w:r>
      <w:r w:rsidR="00801415">
        <w:t>National VET Provider Collection</w:t>
      </w:r>
      <w:r>
        <w:t xml:space="preserve">, </w:t>
      </w:r>
      <w:r w:rsidR="002D4C94">
        <w:t xml:space="preserve">in </w:t>
      </w:r>
      <w:r>
        <w:t>that it reports data for a random sample of the full Australian population (excluding individuals in particularly remote parts of the country), and can consequently be used to evaluate enrolment rates without referencing a secondary data source.</w:t>
      </w:r>
      <w:r w:rsidR="00B01602">
        <w:t xml:space="preserve"> </w:t>
      </w:r>
    </w:p>
    <w:p w:rsidR="00CE7831" w:rsidRDefault="002D4C94" w:rsidP="00CE7831">
      <w:pPr>
        <w:pStyle w:val="Text"/>
      </w:pPr>
      <w:r>
        <w:t>While</w:t>
      </w:r>
      <w:r w:rsidR="00CE7831">
        <w:t xml:space="preserve"> the enrolment rates evaluated using </w:t>
      </w:r>
      <w:r w:rsidR="00801415">
        <w:t>National VET Provider Collection</w:t>
      </w:r>
      <w:r w:rsidR="00CE7831">
        <w:t xml:space="preserve"> data indicate a substantive increase in VET participation in Victoria from 2011, the SEW data indicate no systematically discernible difference between e</w:t>
      </w:r>
      <w:r w:rsidR="00A31E6F">
        <w:t xml:space="preserve">nrolments in Victoria and </w:t>
      </w:r>
      <w:r>
        <w:t xml:space="preserve">those in </w:t>
      </w:r>
      <w:r w:rsidR="00A31E6F">
        <w:t xml:space="preserve">NSW. </w:t>
      </w:r>
      <w:r w:rsidR="00CE7831">
        <w:t xml:space="preserve">This conclusion is revealed by </w:t>
      </w:r>
      <w:r>
        <w:t xml:space="preserve">the </w:t>
      </w:r>
      <w:r w:rsidR="00CE7831">
        <w:t>age-specific trends for VET student rates reported by the two data sources, presented grap</w:t>
      </w:r>
      <w:r w:rsidR="00A31E6F">
        <w:t xml:space="preserve">hically in </w:t>
      </w:r>
      <w:r w:rsidR="004A769C">
        <w:t>f</w:t>
      </w:r>
      <w:r w:rsidR="00A31E6F">
        <w:t>igure A</w:t>
      </w:r>
      <w:r w:rsidR="00CE7831">
        <w:t>1.</w:t>
      </w:r>
    </w:p>
    <w:p w:rsidR="00CE7831" w:rsidRDefault="00CE7831" w:rsidP="00CE7831">
      <w:pPr>
        <w:pStyle w:val="Text"/>
      </w:pPr>
      <w:r>
        <w:t xml:space="preserve">The </w:t>
      </w:r>
      <w:r w:rsidR="00A31E6F">
        <w:t xml:space="preserve">SEW rates displayed in </w:t>
      </w:r>
      <w:r w:rsidR="004A769C">
        <w:t>f</w:t>
      </w:r>
      <w:r w:rsidR="00A31E6F">
        <w:t>igure A</w:t>
      </w:r>
      <w:r>
        <w:t>1 were all calculated using data reported for the year p</w:t>
      </w:r>
      <w:r w:rsidR="00A31E6F">
        <w:t>receding the respective survey.</w:t>
      </w:r>
      <w:r>
        <w:t xml:space="preserve"> Larger differences with the </w:t>
      </w:r>
      <w:r w:rsidR="00801415">
        <w:t>National VET Provider Collection</w:t>
      </w:r>
      <w:r>
        <w:t xml:space="preserve"> enrolment rates are obtained if study at the time of each SEW survey wave is considered for analysis, but the results are otherwise qualitatively similar.</w:t>
      </w:r>
      <w:r w:rsidR="00B01602">
        <w:t xml:space="preserve"> </w:t>
      </w:r>
    </w:p>
    <w:p w:rsidR="00CE7831" w:rsidRDefault="00A31E6F" w:rsidP="00CE7831">
      <w:pPr>
        <w:pStyle w:val="Text"/>
      </w:pPr>
      <w:r>
        <w:t xml:space="preserve">Panel A of </w:t>
      </w:r>
      <w:r w:rsidR="004A769C">
        <w:t>f</w:t>
      </w:r>
      <w:r>
        <w:t>igure A</w:t>
      </w:r>
      <w:r w:rsidR="00CE7831">
        <w:t xml:space="preserve">1 displays </w:t>
      </w:r>
      <w:r w:rsidR="00705302">
        <w:t xml:space="preserve">the </w:t>
      </w:r>
      <w:r w:rsidR="00CE7831">
        <w:t xml:space="preserve">VET enrolment </w:t>
      </w:r>
      <w:r>
        <w:t xml:space="preserve">rates calculated for Victoria. </w:t>
      </w:r>
      <w:r w:rsidR="00CE7831">
        <w:t xml:space="preserve">This panel indicates that </w:t>
      </w:r>
      <w:r w:rsidR="00DB53DF">
        <w:t xml:space="preserve">the </w:t>
      </w:r>
      <w:r w:rsidR="00CE7831">
        <w:t xml:space="preserve">enrolment rates calculated using </w:t>
      </w:r>
      <w:r w:rsidR="00801415">
        <w:t>National VET Provider Collection</w:t>
      </w:r>
      <w:r w:rsidR="00CE7831">
        <w:t xml:space="preserve"> data are consistently higher than rates calculated for equivalent periods from data reported by the SEW. </w:t>
      </w:r>
      <w:r w:rsidR="002D4C94">
        <w:t xml:space="preserve">The </w:t>
      </w:r>
      <w:r w:rsidR="00CE7831">
        <w:t xml:space="preserve">VET enrolment rates for Victoria calculated using </w:t>
      </w:r>
      <w:r w:rsidR="00801415">
        <w:t>National VET Provider Collection</w:t>
      </w:r>
      <w:r w:rsidR="00CE7831">
        <w:t xml:space="preserve"> data exceed those calculated </w:t>
      </w:r>
      <w:r>
        <w:t>using the SEW by approximately five</w:t>
      </w:r>
      <w:r w:rsidR="00CE7831">
        <w:t xml:space="preserve"> percentage points for all age groups in all years consid</w:t>
      </w:r>
      <w:r>
        <w:t xml:space="preserve">ered for the two data sources. </w:t>
      </w:r>
      <w:r w:rsidR="00CE7831">
        <w:t xml:space="preserve">Furthermore, whereas </w:t>
      </w:r>
      <w:r w:rsidR="002D4C94">
        <w:t xml:space="preserve">the </w:t>
      </w:r>
      <w:r w:rsidR="00CE7831">
        <w:t xml:space="preserve">enrolment rates calculated using </w:t>
      </w:r>
      <w:r w:rsidR="00705302">
        <w:t xml:space="preserve">the </w:t>
      </w:r>
      <w:r w:rsidR="00801415">
        <w:t>National VET Provider Collection</w:t>
      </w:r>
      <w:r w:rsidR="00CE7831">
        <w:t xml:space="preserve"> vary fairly smoothly and systematically through time for each of the three age bands, the SEW rates display greater volatility, both between and within age bands.</w:t>
      </w:r>
    </w:p>
    <w:p w:rsidR="00A53ED9" w:rsidRDefault="00A53ED9">
      <w:pPr>
        <w:spacing w:before="0" w:line="240" w:lineRule="auto"/>
        <w:rPr>
          <w:rFonts w:ascii="Tahoma" w:hAnsi="Tahoma"/>
          <w:b/>
          <w:sz w:val="17"/>
        </w:rPr>
      </w:pPr>
      <w:bookmarkStart w:id="82" w:name="_Toc437012029"/>
      <w:r>
        <w:br w:type="page"/>
      </w:r>
    </w:p>
    <w:p w:rsidR="00CE7831" w:rsidRPr="000A1914" w:rsidRDefault="00D203EC" w:rsidP="00CE7831">
      <w:pPr>
        <w:pStyle w:val="Figuretitle"/>
        <w:rPr>
          <w:rFonts w:ascii="Arial" w:hAnsi="Arial" w:cs="Arial"/>
        </w:rPr>
      </w:pPr>
      <w:bookmarkStart w:id="83" w:name="_Toc452552434"/>
      <w:r w:rsidRPr="000A1914">
        <w:rPr>
          <w:rFonts w:ascii="Arial" w:hAnsi="Arial" w:cs="Arial"/>
          <w:noProof/>
          <w:lang w:eastAsia="en-AU"/>
        </w:rPr>
        <w:lastRenderedPageBreak/>
        <w:drawing>
          <wp:anchor distT="0" distB="0" distL="114300" distR="114300" simplePos="0" relativeHeight="251643904" behindDoc="1" locked="0" layoutInCell="1" allowOverlap="1" wp14:anchorId="23D0CD13" wp14:editId="1C5817E3">
            <wp:simplePos x="0" y="0"/>
            <wp:positionH relativeFrom="column">
              <wp:posOffset>-218440</wp:posOffset>
            </wp:positionH>
            <wp:positionV relativeFrom="paragraph">
              <wp:posOffset>273050</wp:posOffset>
            </wp:positionV>
            <wp:extent cx="5015865" cy="3060065"/>
            <wp:effectExtent l="0" t="0" r="0" b="0"/>
            <wp:wrapTight wrapText="bothSides">
              <wp:wrapPolygon edited="0">
                <wp:start x="0" y="0"/>
                <wp:lineTo x="0" y="21515"/>
                <wp:lineTo x="21493" y="21515"/>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35" t="510" r="1132" b="1157"/>
                    <a:stretch/>
                  </pic:blipFill>
                  <pic:spPr bwMode="auto">
                    <a:xfrm>
                      <a:off x="0" y="0"/>
                      <a:ext cx="5015865" cy="3060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708" w:rsidRPr="000A1914">
        <w:rPr>
          <w:rFonts w:ascii="Arial" w:hAnsi="Arial" w:cs="Arial"/>
        </w:rPr>
        <w:t>Figure A</w:t>
      </w:r>
      <w:r w:rsidR="00CE7831" w:rsidRPr="000A1914">
        <w:rPr>
          <w:rFonts w:ascii="Arial" w:hAnsi="Arial" w:cs="Arial"/>
        </w:rPr>
        <w:t>1</w:t>
      </w:r>
      <w:r w:rsidR="008135FA" w:rsidRPr="000A1914">
        <w:rPr>
          <w:rFonts w:ascii="Arial" w:hAnsi="Arial" w:cs="Arial"/>
        </w:rPr>
        <w:tab/>
      </w:r>
      <w:r w:rsidR="002D4C94" w:rsidRPr="000A1914">
        <w:rPr>
          <w:rFonts w:ascii="Arial" w:hAnsi="Arial" w:cs="Arial"/>
        </w:rPr>
        <w:t>State-</w:t>
      </w:r>
      <w:r w:rsidR="00CE7831" w:rsidRPr="000A1914">
        <w:rPr>
          <w:rFonts w:ascii="Arial" w:hAnsi="Arial" w:cs="Arial"/>
        </w:rPr>
        <w:t>specific VET en</w:t>
      </w:r>
      <w:r w:rsidR="002D4C94" w:rsidRPr="000A1914">
        <w:rPr>
          <w:rFonts w:ascii="Arial" w:hAnsi="Arial" w:cs="Arial"/>
        </w:rPr>
        <w:t>rolment rates by age band, year</w:t>
      </w:r>
      <w:r w:rsidR="00CE7831" w:rsidRPr="000A1914">
        <w:rPr>
          <w:rFonts w:ascii="Arial" w:hAnsi="Arial" w:cs="Arial"/>
        </w:rPr>
        <w:t xml:space="preserve"> and data source</w:t>
      </w:r>
      <w:bookmarkEnd w:id="82"/>
      <w:bookmarkEnd w:id="83"/>
    </w:p>
    <w:p w:rsidR="00CE7831" w:rsidRDefault="00CE7831" w:rsidP="00A53ED9">
      <w:pPr>
        <w:jc w:val="center"/>
      </w:pPr>
      <w:r>
        <w:t>Panel A: VET enrolment rates in Victoria</w:t>
      </w:r>
    </w:p>
    <w:p w:rsidR="00A53ED9" w:rsidRDefault="00FC65D6" w:rsidP="00D203EC">
      <w:pPr>
        <w:ind w:left="1440" w:firstLine="720"/>
      </w:pPr>
      <w:r>
        <w:rPr>
          <w:noProof/>
          <w:lang w:eastAsia="en-AU"/>
        </w:rPr>
        <w:drawing>
          <wp:anchor distT="0" distB="0" distL="114300" distR="114300" simplePos="0" relativeHeight="251642880" behindDoc="1" locked="0" layoutInCell="1" allowOverlap="1" wp14:anchorId="7A992BF7" wp14:editId="61388E07">
            <wp:simplePos x="0" y="0"/>
            <wp:positionH relativeFrom="column">
              <wp:posOffset>-218440</wp:posOffset>
            </wp:positionH>
            <wp:positionV relativeFrom="paragraph">
              <wp:posOffset>140970</wp:posOffset>
            </wp:positionV>
            <wp:extent cx="5015865" cy="3049270"/>
            <wp:effectExtent l="0" t="0" r="0" b="0"/>
            <wp:wrapTight wrapText="bothSides">
              <wp:wrapPolygon edited="0">
                <wp:start x="0" y="0"/>
                <wp:lineTo x="0" y="21456"/>
                <wp:lineTo x="21493" y="21456"/>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336" t="851" r="1131" b="1008"/>
                    <a:stretch/>
                  </pic:blipFill>
                  <pic:spPr bwMode="auto">
                    <a:xfrm>
                      <a:off x="0" y="0"/>
                      <a:ext cx="5015865" cy="304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ED9">
        <w:t>Panel B: VET enrolment rates in New South Wales</w:t>
      </w:r>
    </w:p>
    <w:p w:rsidR="00440C4D" w:rsidRDefault="00440C4D" w:rsidP="00440C4D">
      <w:pPr>
        <w:jc w:val="center"/>
      </w:pPr>
    </w:p>
    <w:p w:rsidR="00CE7831" w:rsidRPr="0063218F" w:rsidRDefault="00CE7831" w:rsidP="000A1914">
      <w:pPr>
        <w:pStyle w:val="Source"/>
        <w:ind w:left="709" w:hanging="681"/>
        <w:rPr>
          <w:rFonts w:ascii="Arial" w:hAnsi="Arial" w:cs="Arial"/>
          <w:sz w:val="15"/>
          <w:szCs w:val="15"/>
        </w:rPr>
      </w:pPr>
      <w:r w:rsidRPr="0063218F">
        <w:rPr>
          <w:rFonts w:ascii="Arial" w:hAnsi="Arial" w:cs="Arial"/>
          <w:sz w:val="15"/>
          <w:szCs w:val="15"/>
        </w:rPr>
        <w:t>Note:</w:t>
      </w:r>
      <w:r w:rsidRPr="0063218F">
        <w:rPr>
          <w:rFonts w:ascii="Arial" w:hAnsi="Arial" w:cs="Arial"/>
          <w:sz w:val="15"/>
          <w:szCs w:val="15"/>
        </w:rPr>
        <w:tab/>
      </w:r>
      <w:r w:rsidR="00801415" w:rsidRPr="0063218F">
        <w:rPr>
          <w:rFonts w:ascii="Arial" w:hAnsi="Arial" w:cs="Arial"/>
          <w:sz w:val="15"/>
          <w:szCs w:val="15"/>
        </w:rPr>
        <w:t>National VET Provider Collection</w:t>
      </w:r>
      <w:r w:rsidR="002D4C94" w:rsidRPr="0063218F">
        <w:rPr>
          <w:rFonts w:ascii="Arial" w:hAnsi="Arial" w:cs="Arial"/>
          <w:sz w:val="15"/>
          <w:szCs w:val="15"/>
        </w:rPr>
        <w:t xml:space="preserve"> time </w:t>
      </w:r>
      <w:r w:rsidRPr="0063218F">
        <w:rPr>
          <w:rFonts w:ascii="Arial" w:hAnsi="Arial" w:cs="Arial"/>
          <w:sz w:val="15"/>
          <w:szCs w:val="15"/>
        </w:rPr>
        <w:t xml:space="preserve">series calculated by dividing </w:t>
      </w:r>
      <w:r w:rsidR="00705302" w:rsidRPr="0063218F">
        <w:rPr>
          <w:rFonts w:ascii="Arial" w:hAnsi="Arial" w:cs="Arial"/>
          <w:sz w:val="15"/>
          <w:szCs w:val="15"/>
        </w:rPr>
        <w:t xml:space="preserve">the </w:t>
      </w:r>
      <w:r w:rsidRPr="0063218F">
        <w:rPr>
          <w:rFonts w:ascii="Arial" w:hAnsi="Arial" w:cs="Arial"/>
          <w:sz w:val="15"/>
          <w:szCs w:val="15"/>
        </w:rPr>
        <w:t xml:space="preserve">student numbers reported in the </w:t>
      </w:r>
      <w:r w:rsidRPr="0063218F">
        <w:rPr>
          <w:rFonts w:ascii="Arial" w:hAnsi="Arial" w:cs="Arial"/>
          <w:i/>
          <w:sz w:val="15"/>
          <w:szCs w:val="15"/>
        </w:rPr>
        <w:t>Historical time series of vocational education and training in Australia</w:t>
      </w:r>
      <w:r w:rsidRPr="0063218F">
        <w:rPr>
          <w:rFonts w:ascii="Arial" w:hAnsi="Arial" w:cs="Arial"/>
          <w:sz w:val="15"/>
          <w:szCs w:val="15"/>
        </w:rPr>
        <w:t xml:space="preserve">, by </w:t>
      </w:r>
      <w:r w:rsidR="00705302" w:rsidRPr="0063218F">
        <w:rPr>
          <w:rFonts w:ascii="Arial" w:hAnsi="Arial" w:cs="Arial"/>
          <w:sz w:val="15"/>
          <w:szCs w:val="15"/>
        </w:rPr>
        <w:t xml:space="preserve">the </w:t>
      </w:r>
      <w:r w:rsidRPr="0063218F">
        <w:rPr>
          <w:rFonts w:ascii="Arial" w:hAnsi="Arial" w:cs="Arial"/>
          <w:sz w:val="15"/>
          <w:szCs w:val="15"/>
        </w:rPr>
        <w:t>ABS population estimates</w:t>
      </w:r>
      <w:r w:rsidR="002D4C94" w:rsidRPr="0063218F">
        <w:rPr>
          <w:rFonts w:ascii="Arial" w:hAnsi="Arial" w:cs="Arial"/>
          <w:sz w:val="15"/>
          <w:szCs w:val="15"/>
        </w:rPr>
        <w:t xml:space="preserve"> reported in ABS cat.no.</w:t>
      </w:r>
      <w:r w:rsidRPr="0063218F">
        <w:rPr>
          <w:rFonts w:ascii="Arial" w:hAnsi="Arial" w:cs="Arial"/>
          <w:sz w:val="15"/>
          <w:szCs w:val="15"/>
        </w:rPr>
        <w:t>3101.0</w:t>
      </w:r>
      <w:r w:rsidR="002D4C94" w:rsidRPr="0063218F">
        <w:rPr>
          <w:rFonts w:ascii="Arial" w:hAnsi="Arial" w:cs="Arial"/>
          <w:sz w:val="15"/>
          <w:szCs w:val="15"/>
        </w:rPr>
        <w:t>.</w:t>
      </w:r>
    </w:p>
    <w:p w:rsidR="00CE7831" w:rsidRPr="0063218F" w:rsidRDefault="002D4C94" w:rsidP="00D203EC">
      <w:pPr>
        <w:pStyle w:val="Source"/>
        <w:ind w:left="709" w:hanging="709"/>
        <w:rPr>
          <w:rFonts w:ascii="Arial" w:hAnsi="Arial" w:cs="Arial"/>
          <w:sz w:val="15"/>
          <w:szCs w:val="15"/>
        </w:rPr>
      </w:pPr>
      <w:r w:rsidRPr="0063218F">
        <w:rPr>
          <w:rFonts w:ascii="Arial" w:hAnsi="Arial" w:cs="Arial"/>
          <w:sz w:val="15"/>
          <w:szCs w:val="15"/>
        </w:rPr>
        <w:tab/>
        <w:t xml:space="preserve">SEW time </w:t>
      </w:r>
      <w:r w:rsidR="00CE7831" w:rsidRPr="0063218F">
        <w:rPr>
          <w:rFonts w:ascii="Arial" w:hAnsi="Arial" w:cs="Arial"/>
          <w:sz w:val="15"/>
          <w:szCs w:val="15"/>
        </w:rPr>
        <w:t xml:space="preserve">series calculated using reported education for preceding year, from </w:t>
      </w:r>
      <w:proofErr w:type="spellStart"/>
      <w:r w:rsidR="00CE7831" w:rsidRPr="0063218F">
        <w:rPr>
          <w:rFonts w:ascii="Arial" w:hAnsi="Arial" w:cs="Arial"/>
          <w:sz w:val="15"/>
          <w:szCs w:val="15"/>
        </w:rPr>
        <w:t>confidentialised</w:t>
      </w:r>
      <w:proofErr w:type="spellEnd"/>
      <w:r w:rsidR="00CE7831" w:rsidRPr="0063218F">
        <w:rPr>
          <w:rFonts w:ascii="Arial" w:hAnsi="Arial" w:cs="Arial"/>
          <w:sz w:val="15"/>
          <w:szCs w:val="15"/>
        </w:rPr>
        <w:t xml:space="preserve"> unit record files of the Survey of Education and Work to 2009 and the </w:t>
      </w:r>
      <w:proofErr w:type="spellStart"/>
      <w:r w:rsidR="00CE7831" w:rsidRPr="0063218F">
        <w:rPr>
          <w:rFonts w:ascii="Arial" w:hAnsi="Arial" w:cs="Arial"/>
          <w:sz w:val="15"/>
          <w:szCs w:val="15"/>
        </w:rPr>
        <w:t>TableBuilder</w:t>
      </w:r>
      <w:proofErr w:type="spellEnd"/>
      <w:r w:rsidR="00CE7831" w:rsidRPr="0063218F">
        <w:rPr>
          <w:rFonts w:ascii="Arial" w:hAnsi="Arial" w:cs="Arial"/>
          <w:sz w:val="15"/>
          <w:szCs w:val="15"/>
        </w:rPr>
        <w:t xml:space="preserve"> application thereafter.</w:t>
      </w:r>
    </w:p>
    <w:p w:rsidR="00CE7831" w:rsidRPr="0063218F" w:rsidRDefault="00CE7831" w:rsidP="00D203EC">
      <w:pPr>
        <w:pStyle w:val="Source"/>
        <w:ind w:left="709" w:firstLine="0"/>
        <w:rPr>
          <w:rFonts w:ascii="Arial" w:hAnsi="Arial" w:cs="Arial"/>
          <w:sz w:val="15"/>
          <w:szCs w:val="15"/>
        </w:rPr>
      </w:pPr>
      <w:r w:rsidRPr="0063218F">
        <w:rPr>
          <w:rFonts w:ascii="Arial" w:hAnsi="Arial" w:cs="Arial"/>
          <w:sz w:val="15"/>
          <w:szCs w:val="15"/>
        </w:rPr>
        <w:t>Tabulated data underl</w:t>
      </w:r>
      <w:r w:rsidR="00A31E6F" w:rsidRPr="0063218F">
        <w:rPr>
          <w:rFonts w:ascii="Arial" w:hAnsi="Arial" w:cs="Arial"/>
          <w:sz w:val="15"/>
          <w:szCs w:val="15"/>
        </w:rPr>
        <w:t>ying</w:t>
      </w:r>
      <w:r w:rsidR="002D4C94" w:rsidRPr="0063218F">
        <w:rPr>
          <w:rFonts w:ascii="Arial" w:hAnsi="Arial" w:cs="Arial"/>
          <w:sz w:val="15"/>
          <w:szCs w:val="15"/>
        </w:rPr>
        <w:t xml:space="preserve"> figure reported in t</w:t>
      </w:r>
      <w:r w:rsidR="00A31E6F" w:rsidRPr="0063218F">
        <w:rPr>
          <w:rFonts w:ascii="Arial" w:hAnsi="Arial" w:cs="Arial"/>
          <w:sz w:val="15"/>
          <w:szCs w:val="15"/>
        </w:rPr>
        <w:t>able A</w:t>
      </w:r>
      <w:r w:rsidRPr="0063218F">
        <w:rPr>
          <w:rFonts w:ascii="Arial" w:hAnsi="Arial" w:cs="Arial"/>
          <w:sz w:val="15"/>
          <w:szCs w:val="15"/>
        </w:rPr>
        <w:t>1.</w:t>
      </w:r>
    </w:p>
    <w:p w:rsidR="002D4C94" w:rsidRPr="0063218F" w:rsidRDefault="002D4C94" w:rsidP="00D203EC">
      <w:pPr>
        <w:pStyle w:val="Source"/>
        <w:ind w:left="709" w:hanging="709"/>
        <w:rPr>
          <w:rFonts w:ascii="Arial" w:hAnsi="Arial" w:cs="Arial"/>
          <w:sz w:val="15"/>
          <w:szCs w:val="15"/>
        </w:rPr>
      </w:pPr>
      <w:r w:rsidRPr="0063218F">
        <w:rPr>
          <w:rFonts w:ascii="Arial" w:hAnsi="Arial" w:cs="Arial"/>
          <w:sz w:val="15"/>
          <w:szCs w:val="15"/>
        </w:rPr>
        <w:t>Source:</w:t>
      </w:r>
      <w:r w:rsidRPr="0063218F">
        <w:rPr>
          <w:rFonts w:ascii="Arial" w:hAnsi="Arial" w:cs="Arial"/>
          <w:sz w:val="15"/>
          <w:szCs w:val="15"/>
        </w:rPr>
        <w:tab/>
        <w:t xml:space="preserve">Authors’ calculations using data reported </w:t>
      </w:r>
      <w:r w:rsidR="00705302" w:rsidRPr="0063218F">
        <w:rPr>
          <w:rFonts w:ascii="Arial" w:hAnsi="Arial" w:cs="Arial"/>
          <w:sz w:val="15"/>
          <w:szCs w:val="15"/>
        </w:rPr>
        <w:t>in</w:t>
      </w:r>
      <w:r w:rsidRPr="0063218F">
        <w:rPr>
          <w:rFonts w:ascii="Arial" w:hAnsi="Arial" w:cs="Arial"/>
          <w:sz w:val="15"/>
          <w:szCs w:val="15"/>
        </w:rPr>
        <w:t xml:space="preserve"> table 3 of </w:t>
      </w:r>
      <w:r w:rsidRPr="0063218F">
        <w:rPr>
          <w:rFonts w:ascii="Arial" w:hAnsi="Arial" w:cs="Arial"/>
          <w:i/>
          <w:sz w:val="15"/>
          <w:szCs w:val="15"/>
        </w:rPr>
        <w:t>Historical time series of vocational education and training in Australia</w:t>
      </w:r>
      <w:r w:rsidRPr="0063218F">
        <w:rPr>
          <w:rFonts w:ascii="Arial" w:hAnsi="Arial" w:cs="Arial"/>
          <w:sz w:val="15"/>
          <w:szCs w:val="15"/>
        </w:rPr>
        <w:t>, NCVER</w:t>
      </w:r>
      <w:r w:rsidR="00705302" w:rsidRPr="0063218F">
        <w:rPr>
          <w:rFonts w:ascii="Arial" w:hAnsi="Arial" w:cs="Arial"/>
          <w:sz w:val="15"/>
          <w:szCs w:val="15"/>
        </w:rPr>
        <w:t>;</w:t>
      </w:r>
      <w:r w:rsidRPr="0063218F">
        <w:rPr>
          <w:rFonts w:ascii="Arial" w:hAnsi="Arial" w:cs="Arial"/>
          <w:sz w:val="15"/>
          <w:szCs w:val="15"/>
        </w:rPr>
        <w:t xml:space="preserve"> population estimates reported in tables 51 and 52 of ABS cat.no.3101.0 June 2014, and the Survey of Education and Work, waves 2005, 2007, 2009, 2011, 2012, and 2013.</w:t>
      </w:r>
    </w:p>
    <w:p w:rsidR="00CE7831" w:rsidRPr="00A53ED9" w:rsidRDefault="00CE7831" w:rsidP="00A53ED9">
      <w:pPr>
        <w:pStyle w:val="tabletitle0"/>
        <w:rPr>
          <w:rFonts w:eastAsia="Calibri"/>
        </w:rPr>
      </w:pPr>
      <w:bookmarkStart w:id="84" w:name="_Toc438210020"/>
      <w:bookmarkStart w:id="85" w:name="_Toc468881920"/>
      <w:r w:rsidRPr="00A53ED9">
        <w:rPr>
          <w:rFonts w:eastAsia="Calibri"/>
        </w:rPr>
        <w:lastRenderedPageBreak/>
        <w:t>Table A1</w:t>
      </w:r>
      <w:r w:rsidR="00A53ED9">
        <w:rPr>
          <w:rFonts w:eastAsia="Calibri"/>
        </w:rPr>
        <w:tab/>
      </w:r>
      <w:r w:rsidRPr="00A53ED9">
        <w:rPr>
          <w:rFonts w:eastAsia="Calibri"/>
        </w:rPr>
        <w:t xml:space="preserve">Calculated VET enrolment </w:t>
      </w:r>
      <w:r w:rsidR="002D4C94">
        <w:rPr>
          <w:rFonts w:eastAsia="Calibri"/>
        </w:rPr>
        <w:t xml:space="preserve">rates by age group, year, </w:t>
      </w:r>
      <w:proofErr w:type="gramStart"/>
      <w:r w:rsidR="002D4C94">
        <w:rPr>
          <w:rFonts w:eastAsia="Calibri"/>
        </w:rPr>
        <w:t>state</w:t>
      </w:r>
      <w:proofErr w:type="gramEnd"/>
      <w:r w:rsidRPr="00A53ED9">
        <w:rPr>
          <w:rFonts w:eastAsia="Calibri"/>
        </w:rPr>
        <w:t xml:space="preserve"> and data source</w:t>
      </w:r>
      <w:bookmarkEnd w:id="84"/>
      <w:bookmarkEnd w:id="85"/>
    </w:p>
    <w:tbl>
      <w:tblPr>
        <w:tblW w:w="4760" w:type="pct"/>
        <w:tblLayout w:type="fixed"/>
        <w:tblLook w:val="04A0" w:firstRow="1" w:lastRow="0" w:firstColumn="1" w:lastColumn="0" w:noHBand="0" w:noVBand="1"/>
      </w:tblPr>
      <w:tblGrid>
        <w:gridCol w:w="1162"/>
        <w:gridCol w:w="1163"/>
        <w:gridCol w:w="1168"/>
        <w:gridCol w:w="1163"/>
        <w:gridCol w:w="1168"/>
        <w:gridCol w:w="1163"/>
        <w:gridCol w:w="776"/>
      </w:tblGrid>
      <w:tr w:rsidR="00CE7831" w:rsidRPr="00B04DC3" w:rsidTr="00425EB9">
        <w:trPr>
          <w:trHeight w:val="300"/>
        </w:trPr>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A53ED9">
            <w:pPr>
              <w:pStyle w:val="Tablehead1"/>
            </w:pPr>
          </w:p>
        </w:tc>
        <w:tc>
          <w:tcPr>
            <w:tcW w:w="1501" w:type="pct"/>
            <w:gridSpan w:val="2"/>
            <w:tcBorders>
              <w:top w:val="single" w:sz="4" w:space="0" w:color="auto"/>
              <w:left w:val="nil"/>
              <w:bottom w:val="nil"/>
              <w:right w:val="nil"/>
            </w:tcBorders>
            <w:shd w:val="clear" w:color="auto" w:fill="auto"/>
            <w:noWrap/>
            <w:vAlign w:val="center"/>
            <w:hideMark/>
          </w:tcPr>
          <w:p w:rsidR="00CE7831" w:rsidRPr="00B04DC3" w:rsidRDefault="002D4C94" w:rsidP="00FB2FFF">
            <w:pPr>
              <w:pStyle w:val="Tablehead1"/>
              <w:ind w:left="255"/>
              <w:rPr>
                <w:bCs/>
                <w:szCs w:val="17"/>
              </w:rPr>
            </w:pPr>
            <w:r>
              <w:rPr>
                <w:bCs/>
                <w:szCs w:val="17"/>
                <w:lang w:val="en-GB" w:eastAsia="en-GB"/>
              </w:rPr>
              <w:t>Aged 25–</w:t>
            </w:r>
            <w:r w:rsidR="00CE7831" w:rsidRPr="00B04DC3">
              <w:rPr>
                <w:bCs/>
                <w:szCs w:val="17"/>
                <w:lang w:val="en-GB" w:eastAsia="en-GB"/>
              </w:rPr>
              <w:t>29</w:t>
            </w:r>
          </w:p>
        </w:tc>
        <w:tc>
          <w:tcPr>
            <w:tcW w:w="1501" w:type="pct"/>
            <w:gridSpan w:val="2"/>
            <w:tcBorders>
              <w:top w:val="single" w:sz="4" w:space="0" w:color="auto"/>
              <w:left w:val="nil"/>
              <w:bottom w:val="nil"/>
              <w:right w:val="nil"/>
            </w:tcBorders>
            <w:shd w:val="clear" w:color="auto" w:fill="auto"/>
            <w:noWrap/>
            <w:vAlign w:val="center"/>
            <w:hideMark/>
          </w:tcPr>
          <w:p w:rsidR="00CE7831" w:rsidRPr="00B04DC3" w:rsidRDefault="002D4C94" w:rsidP="00FB2FFF">
            <w:pPr>
              <w:pStyle w:val="Tablehead1"/>
              <w:ind w:left="255"/>
              <w:rPr>
                <w:bCs/>
                <w:szCs w:val="17"/>
              </w:rPr>
            </w:pPr>
            <w:r>
              <w:rPr>
                <w:bCs/>
                <w:szCs w:val="17"/>
                <w:lang w:val="en-GB" w:eastAsia="en-GB"/>
              </w:rPr>
              <w:t>Aged 30–</w:t>
            </w:r>
            <w:r w:rsidR="00CE7831" w:rsidRPr="00B04DC3">
              <w:rPr>
                <w:bCs/>
                <w:szCs w:val="17"/>
                <w:lang w:val="en-GB" w:eastAsia="en-GB"/>
              </w:rPr>
              <w:t>39</w:t>
            </w:r>
          </w:p>
        </w:tc>
        <w:tc>
          <w:tcPr>
            <w:tcW w:w="1250" w:type="pct"/>
            <w:gridSpan w:val="2"/>
            <w:tcBorders>
              <w:top w:val="single" w:sz="4" w:space="0" w:color="auto"/>
              <w:left w:val="nil"/>
              <w:bottom w:val="nil"/>
              <w:right w:val="nil"/>
            </w:tcBorders>
            <w:shd w:val="clear" w:color="auto" w:fill="auto"/>
            <w:noWrap/>
            <w:vAlign w:val="center"/>
            <w:hideMark/>
          </w:tcPr>
          <w:p w:rsidR="00CE7831" w:rsidRPr="00B04DC3" w:rsidRDefault="00CE7831" w:rsidP="00FB2FFF">
            <w:pPr>
              <w:pStyle w:val="Tablehead1"/>
              <w:ind w:left="255"/>
              <w:rPr>
                <w:bCs/>
                <w:szCs w:val="17"/>
              </w:rPr>
            </w:pPr>
            <w:r w:rsidRPr="00B04DC3">
              <w:rPr>
                <w:bCs/>
                <w:szCs w:val="17"/>
                <w:lang w:val="en-GB" w:eastAsia="en-GB"/>
              </w:rPr>
              <w:t>Aged 40-49</w:t>
            </w:r>
          </w:p>
        </w:tc>
      </w:tr>
      <w:tr w:rsidR="00CE7831" w:rsidRPr="00B04DC3" w:rsidTr="00425EB9">
        <w:trPr>
          <w:trHeight w:val="315"/>
        </w:trPr>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A53ED9">
            <w:pPr>
              <w:pStyle w:val="Tablehead2"/>
            </w:pPr>
            <w:r w:rsidRPr="00B04DC3">
              <w:rPr>
                <w:lang w:val="en-GB" w:eastAsia="en-GB"/>
              </w:rPr>
              <w:t>Year</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A53ED9">
            <w:pPr>
              <w:pStyle w:val="Tablehead2"/>
            </w:pPr>
            <w:r w:rsidRPr="00B04DC3">
              <w:rPr>
                <w:lang w:val="en-GB" w:eastAsia="en-GB"/>
              </w:rPr>
              <w:t>NSW</w:t>
            </w:r>
          </w:p>
        </w:tc>
        <w:tc>
          <w:tcPr>
            <w:tcW w:w="752" w:type="pct"/>
            <w:tcBorders>
              <w:top w:val="nil"/>
              <w:left w:val="nil"/>
              <w:bottom w:val="single" w:sz="4" w:space="0" w:color="auto"/>
              <w:right w:val="nil"/>
            </w:tcBorders>
            <w:shd w:val="clear" w:color="auto" w:fill="auto"/>
            <w:noWrap/>
            <w:vAlign w:val="center"/>
            <w:hideMark/>
          </w:tcPr>
          <w:p w:rsidR="00CE7831" w:rsidRPr="00B04DC3" w:rsidRDefault="00CE7831" w:rsidP="00A53ED9">
            <w:pPr>
              <w:pStyle w:val="Tablehead2"/>
            </w:pPr>
            <w:r w:rsidRPr="00B04DC3">
              <w:rPr>
                <w:lang w:val="en-GB" w:eastAsia="en-GB"/>
              </w:rPr>
              <w:t>Vic</w:t>
            </w:r>
            <w:r w:rsidR="002D4C94">
              <w:rPr>
                <w:lang w:val="en-GB" w:eastAsia="en-GB"/>
              </w:rPr>
              <w:t>.</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A53ED9">
            <w:pPr>
              <w:pStyle w:val="Tablehead2"/>
            </w:pPr>
            <w:r w:rsidRPr="00B04DC3">
              <w:rPr>
                <w:lang w:val="en-GB" w:eastAsia="en-GB"/>
              </w:rPr>
              <w:t>NSW</w:t>
            </w:r>
          </w:p>
        </w:tc>
        <w:tc>
          <w:tcPr>
            <w:tcW w:w="752" w:type="pct"/>
            <w:tcBorders>
              <w:top w:val="nil"/>
              <w:left w:val="nil"/>
              <w:bottom w:val="single" w:sz="4" w:space="0" w:color="auto"/>
              <w:right w:val="nil"/>
            </w:tcBorders>
            <w:shd w:val="clear" w:color="auto" w:fill="auto"/>
            <w:noWrap/>
            <w:vAlign w:val="center"/>
            <w:hideMark/>
          </w:tcPr>
          <w:p w:rsidR="00CE7831" w:rsidRPr="00B04DC3" w:rsidRDefault="00CE7831" w:rsidP="00A53ED9">
            <w:pPr>
              <w:pStyle w:val="Tablehead2"/>
            </w:pPr>
            <w:r w:rsidRPr="00B04DC3">
              <w:rPr>
                <w:lang w:val="en-GB" w:eastAsia="en-GB"/>
              </w:rPr>
              <w:t>Vic</w:t>
            </w:r>
            <w:r w:rsidR="002D4C94">
              <w:rPr>
                <w:lang w:val="en-GB" w:eastAsia="en-GB"/>
              </w:rPr>
              <w:t>.</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A53ED9">
            <w:pPr>
              <w:pStyle w:val="Tablehead2"/>
            </w:pPr>
            <w:r w:rsidRPr="00B04DC3">
              <w:rPr>
                <w:lang w:val="en-GB" w:eastAsia="en-GB"/>
              </w:rPr>
              <w:t>NSW</w:t>
            </w:r>
          </w:p>
        </w:tc>
        <w:tc>
          <w:tcPr>
            <w:tcW w:w="500" w:type="pct"/>
            <w:tcBorders>
              <w:top w:val="nil"/>
              <w:left w:val="nil"/>
              <w:bottom w:val="single" w:sz="4" w:space="0" w:color="auto"/>
              <w:right w:val="nil"/>
            </w:tcBorders>
            <w:shd w:val="clear" w:color="auto" w:fill="auto"/>
            <w:noWrap/>
            <w:vAlign w:val="center"/>
            <w:hideMark/>
          </w:tcPr>
          <w:p w:rsidR="00CE7831" w:rsidRPr="00B04DC3" w:rsidRDefault="00CE7831" w:rsidP="00A53ED9">
            <w:pPr>
              <w:pStyle w:val="Tablehead2"/>
            </w:pPr>
            <w:r w:rsidRPr="00B04DC3">
              <w:rPr>
                <w:lang w:val="en-GB" w:eastAsia="en-GB"/>
              </w:rPr>
              <w:t>Vic</w:t>
            </w:r>
            <w:r w:rsidR="002D4C94">
              <w:rPr>
                <w:lang w:val="en-GB" w:eastAsia="en-GB"/>
              </w:rPr>
              <w:t>.</w:t>
            </w:r>
          </w:p>
        </w:tc>
      </w:tr>
      <w:tr w:rsidR="00CE7831" w:rsidRPr="00B04DC3" w:rsidTr="00425EB9">
        <w:trPr>
          <w:trHeight w:val="315"/>
        </w:trPr>
        <w:tc>
          <w:tcPr>
            <w:tcW w:w="5000" w:type="pct"/>
            <w:gridSpan w:val="7"/>
            <w:tcBorders>
              <w:top w:val="single" w:sz="4" w:space="0" w:color="auto"/>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VETPC data</w:t>
            </w:r>
          </w:p>
        </w:tc>
      </w:tr>
      <w:tr w:rsidR="00CE7831" w:rsidRPr="00B04DC3" w:rsidTr="00425EB9">
        <w:trPr>
          <w:trHeight w:val="300"/>
        </w:trPr>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1996</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0.119</w:t>
            </w:r>
          </w:p>
        </w:tc>
        <w:tc>
          <w:tcPr>
            <w:tcW w:w="752"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0.138</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0.102</w:t>
            </w:r>
          </w:p>
        </w:tc>
        <w:tc>
          <w:tcPr>
            <w:tcW w:w="752"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0.125</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0.077</w:t>
            </w:r>
          </w:p>
        </w:tc>
        <w:tc>
          <w:tcPr>
            <w:tcW w:w="500"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0.101</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1997</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0.123</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0.147</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0.103</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0.108</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1998</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0.148</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0.083</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1999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0.124</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0.158</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0.106</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0.134</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0.119</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2000</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0.138</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0.149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0.128</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0.112</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0.115</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0.127</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0.151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0.123</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0.111</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2002</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0.121</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0.156</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0.104</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0.126</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0.095</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0.117</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2003</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0.128</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0.153</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0.109</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0.127</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2004</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0.113</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0.143</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0.094</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0.087</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0.111</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2005</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0.094</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2006</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0.095</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0.087</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0.099</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2007</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0.106</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0.132</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0.084</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0.103</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2008</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0.104</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0.135</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0.089</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0.113</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0.083</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0.105</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0.105</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0.089</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0.103</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2010</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0.132</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0.098</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0.089</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0.104</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2011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0.115</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0.151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0.089</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0.119</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2012</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0.118</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0.163</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0.14</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0.128</w:t>
            </w:r>
          </w:p>
        </w:tc>
      </w:tr>
      <w:tr w:rsidR="00CE7831" w:rsidRPr="00B04DC3" w:rsidTr="00425EB9">
        <w:trPr>
          <w:trHeight w:val="315"/>
        </w:trPr>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2013</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0.112</w:t>
            </w:r>
          </w:p>
        </w:tc>
        <w:tc>
          <w:tcPr>
            <w:tcW w:w="752"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0.162</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0.094</w:t>
            </w:r>
          </w:p>
        </w:tc>
        <w:tc>
          <w:tcPr>
            <w:tcW w:w="752"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0.14</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0.081</w:t>
            </w:r>
          </w:p>
        </w:tc>
        <w:tc>
          <w:tcPr>
            <w:tcW w:w="500"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0.126</w:t>
            </w:r>
          </w:p>
        </w:tc>
      </w:tr>
      <w:tr w:rsidR="00CE7831" w:rsidRPr="00B04DC3" w:rsidTr="00425EB9">
        <w:trPr>
          <w:trHeight w:val="315"/>
        </w:trPr>
        <w:tc>
          <w:tcPr>
            <w:tcW w:w="5000" w:type="pct"/>
            <w:gridSpan w:val="7"/>
            <w:tcBorders>
              <w:top w:val="single" w:sz="4" w:space="0" w:color="auto"/>
              <w:left w:val="nil"/>
              <w:bottom w:val="single" w:sz="4" w:space="0" w:color="auto"/>
              <w:right w:val="nil"/>
            </w:tcBorders>
            <w:shd w:val="clear" w:color="auto" w:fill="auto"/>
            <w:noWrap/>
            <w:vAlign w:val="center"/>
            <w:hideMark/>
          </w:tcPr>
          <w:p w:rsidR="00CE7831" w:rsidRPr="00B04DC3" w:rsidRDefault="002D4C94" w:rsidP="003A6A63">
            <w:pPr>
              <w:pStyle w:val="Tabletext"/>
            </w:pPr>
            <w:r>
              <w:rPr>
                <w:lang w:val="en-GB" w:eastAsia="en-GB"/>
              </w:rPr>
              <w:t>SEW-</w:t>
            </w:r>
            <w:r w:rsidR="00CE7831" w:rsidRPr="00B04DC3">
              <w:rPr>
                <w:lang w:val="en-GB" w:eastAsia="en-GB"/>
              </w:rPr>
              <w:t>reported education status preceding year to survey</w:t>
            </w:r>
          </w:p>
        </w:tc>
      </w:tr>
      <w:tr w:rsidR="00CE7831" w:rsidRPr="00B04DC3" w:rsidTr="00425EB9">
        <w:trPr>
          <w:trHeight w:val="300"/>
        </w:trPr>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2004</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0.094</w:t>
            </w:r>
          </w:p>
        </w:tc>
        <w:tc>
          <w:tcPr>
            <w:tcW w:w="752"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0.087</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0.064</w:t>
            </w:r>
          </w:p>
        </w:tc>
        <w:tc>
          <w:tcPr>
            <w:tcW w:w="752"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0.061</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0.049</w:t>
            </w:r>
          </w:p>
        </w:tc>
        <w:tc>
          <w:tcPr>
            <w:tcW w:w="500"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0.063</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2006</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0.085</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0.092</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0.058</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0.058</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0.057</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0.053</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2008</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0.077</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0.087</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0.053</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0.049</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2010</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0.113</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0.106</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0.084</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0.072</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0.058</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0.069</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2011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0.084</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0.089</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0.072</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0.054</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0.059</w:t>
            </w:r>
          </w:p>
        </w:tc>
      </w:tr>
      <w:tr w:rsidR="00CE7831" w:rsidRPr="00B04DC3" w:rsidTr="00425EB9">
        <w:trPr>
          <w:trHeight w:val="315"/>
        </w:trPr>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2012</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0.121</w:t>
            </w:r>
          </w:p>
        </w:tc>
        <w:tc>
          <w:tcPr>
            <w:tcW w:w="752"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0.116</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0.077</w:t>
            </w:r>
          </w:p>
        </w:tc>
        <w:tc>
          <w:tcPr>
            <w:tcW w:w="752"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0.08</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0.055</w:t>
            </w:r>
          </w:p>
        </w:tc>
        <w:tc>
          <w:tcPr>
            <w:tcW w:w="500"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0.061</w:t>
            </w:r>
          </w:p>
        </w:tc>
      </w:tr>
      <w:tr w:rsidR="00CE7831" w:rsidRPr="00B04DC3" w:rsidTr="00425EB9">
        <w:trPr>
          <w:trHeight w:val="315"/>
        </w:trPr>
        <w:tc>
          <w:tcPr>
            <w:tcW w:w="5000" w:type="pct"/>
            <w:gridSpan w:val="7"/>
            <w:tcBorders>
              <w:top w:val="single" w:sz="4" w:space="0" w:color="auto"/>
              <w:left w:val="nil"/>
              <w:bottom w:val="single" w:sz="4" w:space="0" w:color="auto"/>
              <w:right w:val="nil"/>
            </w:tcBorders>
            <w:shd w:val="clear" w:color="auto" w:fill="auto"/>
            <w:noWrap/>
            <w:vAlign w:val="center"/>
            <w:hideMark/>
          </w:tcPr>
          <w:p w:rsidR="00CE7831" w:rsidRPr="00B04DC3" w:rsidRDefault="002D4C94" w:rsidP="003A6A63">
            <w:pPr>
              <w:pStyle w:val="Tabletext"/>
            </w:pPr>
            <w:r>
              <w:rPr>
                <w:lang w:val="en-GB" w:eastAsia="en-GB"/>
              </w:rPr>
              <w:t>SEW-</w:t>
            </w:r>
            <w:r w:rsidR="00CE7831" w:rsidRPr="00B04DC3">
              <w:rPr>
                <w:lang w:val="en-GB" w:eastAsia="en-GB"/>
              </w:rPr>
              <w:t>reported education status at time of survey</w:t>
            </w:r>
          </w:p>
        </w:tc>
      </w:tr>
      <w:tr w:rsidR="00CE7831" w:rsidRPr="00B04DC3" w:rsidTr="00425EB9">
        <w:trPr>
          <w:trHeight w:val="300"/>
        </w:trPr>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2005</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w:t>
            </w:r>
          </w:p>
        </w:tc>
        <w:tc>
          <w:tcPr>
            <w:tcW w:w="752"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0.053</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0.045</w:t>
            </w:r>
          </w:p>
        </w:tc>
        <w:tc>
          <w:tcPr>
            <w:tcW w:w="752"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0.042</w:t>
            </w:r>
          </w:p>
        </w:tc>
        <w:tc>
          <w:tcPr>
            <w:tcW w:w="749"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0.034</w:t>
            </w:r>
          </w:p>
        </w:tc>
        <w:tc>
          <w:tcPr>
            <w:tcW w:w="500" w:type="pct"/>
            <w:tcBorders>
              <w:top w:val="single" w:sz="4" w:space="0" w:color="auto"/>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0.033</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2007</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0.064</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0.043</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0.043</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0.033</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0.034</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2009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0.062</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0.061</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0.039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0.041</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0.044</w:t>
            </w:r>
          </w:p>
        </w:tc>
      </w:tr>
      <w:tr w:rsidR="00CE7831" w:rsidRPr="00B04DC3" w:rsidTr="00D203EC">
        <w:trPr>
          <w:trHeight w:val="300"/>
        </w:trPr>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2011</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0.098</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0.069</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0.058</w:t>
            </w:r>
          </w:p>
        </w:tc>
        <w:tc>
          <w:tcPr>
            <w:tcW w:w="752"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0.048</w:t>
            </w:r>
          </w:p>
        </w:tc>
        <w:tc>
          <w:tcPr>
            <w:tcW w:w="749"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0.042</w:t>
            </w:r>
          </w:p>
        </w:tc>
        <w:tc>
          <w:tcPr>
            <w:tcW w:w="500" w:type="pct"/>
            <w:tcBorders>
              <w:top w:val="nil"/>
              <w:left w:val="nil"/>
              <w:bottom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0.035</w:t>
            </w:r>
          </w:p>
        </w:tc>
      </w:tr>
      <w:tr w:rsidR="00CE7831" w:rsidRPr="00B04DC3" w:rsidTr="00D203EC">
        <w:trPr>
          <w:trHeight w:val="300"/>
        </w:trPr>
        <w:tc>
          <w:tcPr>
            <w:tcW w:w="749" w:type="pct"/>
            <w:tcBorders>
              <w:top w:val="nil"/>
              <w:left w:val="nil"/>
              <w:right w:val="nil"/>
            </w:tcBorders>
            <w:shd w:val="clear" w:color="auto" w:fill="auto"/>
            <w:noWrap/>
            <w:vAlign w:val="center"/>
            <w:hideMark/>
          </w:tcPr>
          <w:p w:rsidR="00CE7831" w:rsidRPr="00B04DC3" w:rsidRDefault="00CE7831" w:rsidP="003A6A63">
            <w:pPr>
              <w:pStyle w:val="Tabletext"/>
            </w:pPr>
            <w:r w:rsidRPr="00B04DC3">
              <w:rPr>
                <w:lang w:val="en-GB" w:eastAsia="en-GB"/>
              </w:rPr>
              <w:t>2012</w:t>
            </w:r>
          </w:p>
        </w:tc>
        <w:tc>
          <w:tcPr>
            <w:tcW w:w="749" w:type="pct"/>
            <w:tcBorders>
              <w:top w:val="nil"/>
              <w:left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0.075</w:t>
            </w:r>
          </w:p>
        </w:tc>
        <w:tc>
          <w:tcPr>
            <w:tcW w:w="752" w:type="pct"/>
            <w:tcBorders>
              <w:top w:val="nil"/>
              <w:left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0.075</w:t>
            </w:r>
          </w:p>
        </w:tc>
        <w:tc>
          <w:tcPr>
            <w:tcW w:w="749" w:type="pct"/>
            <w:tcBorders>
              <w:top w:val="nil"/>
              <w:left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0.058</w:t>
            </w:r>
          </w:p>
        </w:tc>
        <w:tc>
          <w:tcPr>
            <w:tcW w:w="752" w:type="pct"/>
            <w:tcBorders>
              <w:top w:val="nil"/>
              <w:left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0.048</w:t>
            </w:r>
          </w:p>
        </w:tc>
        <w:tc>
          <w:tcPr>
            <w:tcW w:w="749" w:type="pct"/>
            <w:tcBorders>
              <w:top w:val="nil"/>
              <w:left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0.041</w:t>
            </w:r>
          </w:p>
        </w:tc>
        <w:tc>
          <w:tcPr>
            <w:tcW w:w="500" w:type="pct"/>
            <w:tcBorders>
              <w:top w:val="nil"/>
              <w:left w:val="nil"/>
              <w:right w:val="nil"/>
            </w:tcBorders>
            <w:shd w:val="clear" w:color="auto" w:fill="auto"/>
            <w:noWrap/>
            <w:vAlign w:val="center"/>
            <w:hideMark/>
          </w:tcPr>
          <w:p w:rsidR="00CE7831" w:rsidRPr="00B04DC3" w:rsidRDefault="00CE7831" w:rsidP="003A6A63">
            <w:pPr>
              <w:pStyle w:val="Tabletext"/>
            </w:pPr>
            <w:r w:rsidRPr="00B04DC3">
              <w:rPr>
                <w:lang w:val="en-GB" w:eastAsia="en-GB"/>
              </w:rPr>
              <w:t>0.042</w:t>
            </w:r>
          </w:p>
        </w:tc>
      </w:tr>
      <w:tr w:rsidR="00CE7831" w:rsidRPr="00B04DC3" w:rsidTr="00D203EC">
        <w:trPr>
          <w:trHeight w:val="315"/>
        </w:trPr>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2013</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0.093</w:t>
            </w:r>
          </w:p>
        </w:tc>
        <w:tc>
          <w:tcPr>
            <w:tcW w:w="752"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0.087</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0.053</w:t>
            </w:r>
          </w:p>
        </w:tc>
        <w:tc>
          <w:tcPr>
            <w:tcW w:w="752"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0.051</w:t>
            </w:r>
          </w:p>
        </w:tc>
        <w:tc>
          <w:tcPr>
            <w:tcW w:w="749"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0.04</w:t>
            </w:r>
          </w:p>
        </w:tc>
        <w:tc>
          <w:tcPr>
            <w:tcW w:w="500" w:type="pct"/>
            <w:tcBorders>
              <w:top w:val="nil"/>
              <w:left w:val="nil"/>
              <w:bottom w:val="single" w:sz="4" w:space="0" w:color="auto"/>
              <w:right w:val="nil"/>
            </w:tcBorders>
            <w:shd w:val="clear" w:color="auto" w:fill="auto"/>
            <w:noWrap/>
            <w:vAlign w:val="center"/>
            <w:hideMark/>
          </w:tcPr>
          <w:p w:rsidR="00CE7831" w:rsidRPr="00B04DC3" w:rsidRDefault="00CE7831" w:rsidP="003A6A63">
            <w:pPr>
              <w:pStyle w:val="Tabletext"/>
            </w:pPr>
            <w:r w:rsidRPr="00B04DC3">
              <w:rPr>
                <w:lang w:val="en-GB" w:eastAsia="en-GB"/>
              </w:rPr>
              <w:t>0.044</w:t>
            </w:r>
          </w:p>
        </w:tc>
      </w:tr>
    </w:tbl>
    <w:p w:rsidR="002D4C94" w:rsidRPr="0063218F" w:rsidRDefault="002D4C94" w:rsidP="00D203EC">
      <w:pPr>
        <w:pStyle w:val="Source"/>
        <w:ind w:left="709" w:hanging="709"/>
        <w:rPr>
          <w:rFonts w:ascii="Arial" w:hAnsi="Arial" w:cs="Arial"/>
          <w:sz w:val="15"/>
          <w:szCs w:val="15"/>
        </w:rPr>
      </w:pPr>
      <w:r w:rsidRPr="0063218F">
        <w:rPr>
          <w:rFonts w:ascii="Arial" w:hAnsi="Arial" w:cs="Arial"/>
          <w:sz w:val="15"/>
          <w:szCs w:val="15"/>
        </w:rPr>
        <w:t>Note</w:t>
      </w:r>
      <w:r w:rsidR="00DB53DF" w:rsidRPr="0063218F">
        <w:rPr>
          <w:rFonts w:ascii="Arial" w:hAnsi="Arial" w:cs="Arial"/>
          <w:sz w:val="15"/>
          <w:szCs w:val="15"/>
        </w:rPr>
        <w:t>:</w:t>
      </w:r>
      <w:r w:rsidR="00DB53DF" w:rsidRPr="0063218F">
        <w:rPr>
          <w:rFonts w:ascii="Arial" w:hAnsi="Arial" w:cs="Arial"/>
          <w:sz w:val="15"/>
          <w:szCs w:val="15"/>
        </w:rPr>
        <w:tab/>
        <w:t>VETPC data reports rates based on</w:t>
      </w:r>
      <w:r w:rsidRPr="0063218F">
        <w:rPr>
          <w:rFonts w:ascii="Arial" w:hAnsi="Arial" w:cs="Arial"/>
          <w:sz w:val="15"/>
          <w:szCs w:val="15"/>
        </w:rPr>
        <w:t xml:space="preserve"> table 3 of </w:t>
      </w:r>
      <w:r w:rsidRPr="0063218F">
        <w:rPr>
          <w:rFonts w:ascii="Arial" w:hAnsi="Arial" w:cs="Arial"/>
          <w:i/>
          <w:sz w:val="15"/>
          <w:szCs w:val="15"/>
        </w:rPr>
        <w:t xml:space="preserve">Historical time series of vocational education and training in Australia. </w:t>
      </w:r>
      <w:r w:rsidRPr="0063218F">
        <w:rPr>
          <w:rFonts w:ascii="Arial" w:hAnsi="Arial" w:cs="Arial"/>
          <w:sz w:val="15"/>
          <w:szCs w:val="15"/>
        </w:rPr>
        <w:t xml:space="preserve">SEW refers to the Survey of Education and Work, based on </w:t>
      </w:r>
      <w:proofErr w:type="spellStart"/>
      <w:r w:rsidRPr="0063218F">
        <w:rPr>
          <w:rFonts w:ascii="Arial" w:hAnsi="Arial" w:cs="Arial"/>
          <w:sz w:val="15"/>
          <w:szCs w:val="15"/>
        </w:rPr>
        <w:t>confidentialised</w:t>
      </w:r>
      <w:proofErr w:type="spellEnd"/>
      <w:r w:rsidRPr="0063218F">
        <w:rPr>
          <w:rFonts w:ascii="Arial" w:hAnsi="Arial" w:cs="Arial"/>
          <w:sz w:val="15"/>
          <w:szCs w:val="15"/>
        </w:rPr>
        <w:t xml:space="preserve"> unit record files to 2009 and the </w:t>
      </w:r>
      <w:proofErr w:type="spellStart"/>
      <w:r w:rsidRPr="0063218F">
        <w:rPr>
          <w:rFonts w:ascii="Arial" w:hAnsi="Arial" w:cs="Arial"/>
          <w:sz w:val="15"/>
          <w:szCs w:val="15"/>
        </w:rPr>
        <w:t>TableBuilder</w:t>
      </w:r>
      <w:proofErr w:type="spellEnd"/>
      <w:r w:rsidRPr="0063218F">
        <w:rPr>
          <w:rFonts w:ascii="Arial" w:hAnsi="Arial" w:cs="Arial"/>
          <w:sz w:val="15"/>
          <w:szCs w:val="15"/>
        </w:rPr>
        <w:t xml:space="preserve"> application thereafter.</w:t>
      </w:r>
    </w:p>
    <w:p w:rsidR="00CE7831" w:rsidRPr="0063218F" w:rsidRDefault="00CE7831" w:rsidP="00D203EC">
      <w:pPr>
        <w:pStyle w:val="Source"/>
        <w:ind w:left="709" w:hanging="709"/>
        <w:rPr>
          <w:rFonts w:ascii="Arial" w:hAnsi="Arial" w:cs="Arial"/>
          <w:sz w:val="15"/>
          <w:szCs w:val="15"/>
        </w:rPr>
      </w:pPr>
      <w:r w:rsidRPr="0063218F">
        <w:rPr>
          <w:rFonts w:ascii="Arial" w:hAnsi="Arial" w:cs="Arial"/>
          <w:sz w:val="15"/>
          <w:szCs w:val="15"/>
        </w:rPr>
        <w:t xml:space="preserve">Source: </w:t>
      </w:r>
      <w:r w:rsidR="00D203EC" w:rsidRPr="0063218F">
        <w:rPr>
          <w:rFonts w:ascii="Arial" w:hAnsi="Arial" w:cs="Arial"/>
          <w:sz w:val="15"/>
          <w:szCs w:val="15"/>
        </w:rPr>
        <w:tab/>
      </w:r>
      <w:r w:rsidRPr="0063218F">
        <w:rPr>
          <w:rFonts w:ascii="Arial" w:hAnsi="Arial" w:cs="Arial"/>
          <w:sz w:val="15"/>
          <w:szCs w:val="15"/>
        </w:rPr>
        <w:t xml:space="preserve">Authors’ calculations using </w:t>
      </w:r>
      <w:r w:rsidR="002D4C94" w:rsidRPr="0063218F">
        <w:rPr>
          <w:rFonts w:ascii="Arial" w:hAnsi="Arial" w:cs="Arial"/>
          <w:sz w:val="15"/>
          <w:szCs w:val="15"/>
        </w:rPr>
        <w:t>data reported by t</w:t>
      </w:r>
      <w:r w:rsidRPr="0063218F">
        <w:rPr>
          <w:rFonts w:ascii="Arial" w:hAnsi="Arial" w:cs="Arial"/>
          <w:sz w:val="15"/>
          <w:szCs w:val="15"/>
        </w:rPr>
        <w:t xml:space="preserve">able 3 of </w:t>
      </w:r>
      <w:r w:rsidRPr="0063218F">
        <w:rPr>
          <w:rFonts w:ascii="Arial" w:hAnsi="Arial" w:cs="Arial"/>
          <w:i/>
          <w:sz w:val="15"/>
          <w:szCs w:val="15"/>
        </w:rPr>
        <w:t>Historical time series of vocational education and training in Australia</w:t>
      </w:r>
      <w:r w:rsidRPr="0063218F">
        <w:rPr>
          <w:rFonts w:ascii="Arial" w:hAnsi="Arial" w:cs="Arial"/>
          <w:sz w:val="15"/>
          <w:szCs w:val="15"/>
        </w:rPr>
        <w:t xml:space="preserve">, NCVER, </w:t>
      </w:r>
      <w:r w:rsidR="002D4C94" w:rsidRPr="0063218F">
        <w:rPr>
          <w:rFonts w:ascii="Arial" w:hAnsi="Arial" w:cs="Arial"/>
          <w:sz w:val="15"/>
          <w:szCs w:val="15"/>
        </w:rPr>
        <w:t>tables 51 and 52 of ABS cat.no.</w:t>
      </w:r>
      <w:r w:rsidRPr="0063218F">
        <w:rPr>
          <w:rFonts w:ascii="Arial" w:hAnsi="Arial" w:cs="Arial"/>
          <w:sz w:val="15"/>
          <w:szCs w:val="15"/>
        </w:rPr>
        <w:t xml:space="preserve">3101.0 June 2014, </w:t>
      </w:r>
      <w:r w:rsidR="00D203EC" w:rsidRPr="0063218F">
        <w:rPr>
          <w:rFonts w:ascii="Arial" w:hAnsi="Arial" w:cs="Arial"/>
          <w:sz w:val="15"/>
          <w:szCs w:val="15"/>
        </w:rPr>
        <w:br/>
      </w:r>
      <w:r w:rsidRPr="0063218F">
        <w:rPr>
          <w:rFonts w:ascii="Arial" w:hAnsi="Arial" w:cs="Arial"/>
          <w:sz w:val="15"/>
          <w:szCs w:val="15"/>
        </w:rPr>
        <w:t>and the Survey of Education and Work, waves 2005, 2007, 2009, 2011, 2012, and 2013.</w:t>
      </w:r>
    </w:p>
    <w:p w:rsidR="00CE7831" w:rsidRDefault="00CE7831" w:rsidP="00CE7831">
      <w:pPr>
        <w:pStyle w:val="Text"/>
      </w:pPr>
      <w:r>
        <w:t xml:space="preserve">Panel B of </w:t>
      </w:r>
      <w:r w:rsidR="004A769C">
        <w:t>f</w:t>
      </w:r>
      <w:r>
        <w:t xml:space="preserve">igure A1 displays </w:t>
      </w:r>
      <w:r w:rsidR="00DB53DF">
        <w:t xml:space="preserve">the </w:t>
      </w:r>
      <w:r>
        <w:t>VET enrolments rates</w:t>
      </w:r>
      <w:r w:rsidR="00705302">
        <w:t xml:space="preserve"> for NSW</w:t>
      </w:r>
      <w:r>
        <w:t xml:space="preserve"> on the same scale as the rates rep</w:t>
      </w:r>
      <w:r w:rsidR="004A769C">
        <w:t xml:space="preserve">orted for Victoria in Panel A. </w:t>
      </w:r>
      <w:r>
        <w:t>These data are broadly similar to those reported for Victoria</w:t>
      </w:r>
      <w:r w:rsidR="00AF2097">
        <w:t>,</w:t>
      </w:r>
      <w:r>
        <w:t xml:space="preserve"> in the sense that the enrolment rates implied by the SEW are generally lower than those implied by the </w:t>
      </w:r>
      <w:r w:rsidR="00801415">
        <w:t>National VET Provider Collection</w:t>
      </w:r>
      <w:r>
        <w:t xml:space="preserve"> and display greater variation both between and within age bands. Two notable differences bet</w:t>
      </w:r>
      <w:r w:rsidR="004A769C">
        <w:t xml:space="preserve">ween Panels A and B of figure A1 are, however, discernible. </w:t>
      </w:r>
      <w:r>
        <w:t xml:space="preserve">First, the absolute differences between the enrolment rates implied by </w:t>
      </w:r>
      <w:r w:rsidR="00DB53DF">
        <w:t xml:space="preserve">the </w:t>
      </w:r>
      <w:r>
        <w:t xml:space="preserve">SEW and </w:t>
      </w:r>
      <w:r w:rsidR="00DB53DF">
        <w:t xml:space="preserve">the </w:t>
      </w:r>
      <w:r w:rsidR="00801415">
        <w:t>National VET Provider Collection</w:t>
      </w:r>
      <w:r>
        <w:t xml:space="preserve"> data are generally smaller for </w:t>
      </w:r>
      <w:r>
        <w:lastRenderedPageBreak/>
        <w:t>N</w:t>
      </w:r>
      <w:r w:rsidR="004A769C">
        <w:t xml:space="preserve">SW than they are for Victoria. </w:t>
      </w:r>
      <w:r>
        <w:t>Secondly, there is some (weak) evidence that the difference between the enrolment rates implied by the two surveys declined</w:t>
      </w:r>
      <w:r w:rsidR="004A769C">
        <w:t xml:space="preserve"> for NSW, relative to Victoria.</w:t>
      </w:r>
      <w:r>
        <w:t xml:space="preserve"> In part, this is because the SEW enrolment rates for Victoria do not reflect the pronounced </w:t>
      </w:r>
      <w:r w:rsidR="00705302">
        <w:t xml:space="preserve">increases into 2011 and 2012 </w:t>
      </w:r>
      <w:r w:rsidR="004A769C">
        <w:t xml:space="preserve">described by </w:t>
      </w:r>
      <w:r w:rsidR="00801415">
        <w:t>National VET Provider Collection</w:t>
      </w:r>
      <w:r w:rsidR="004A769C">
        <w:t xml:space="preserve"> data. </w:t>
      </w:r>
      <w:r>
        <w:t>It is also, however, due to a conspicuous convergence of enrolment rates reported by t</w:t>
      </w:r>
      <w:r w:rsidR="00AF2097">
        <w:t>he two surveys for 25 to 29-year-</w:t>
      </w:r>
      <w:r>
        <w:t xml:space="preserve">olds in NSW, for whom the SEW implies a higher enrolment rate than the </w:t>
      </w:r>
      <w:r w:rsidR="00801415">
        <w:t>National VET Provider Collection</w:t>
      </w:r>
      <w:r>
        <w:t xml:space="preserve"> in 2012.</w:t>
      </w:r>
    </w:p>
    <w:p w:rsidR="00CE7831" w:rsidRDefault="00CE7831" w:rsidP="00CE7831">
      <w:pPr>
        <w:pStyle w:val="Text"/>
      </w:pPr>
      <w:r>
        <w:t xml:space="preserve">The differences between the enrolment rates implied by the SEW and </w:t>
      </w:r>
      <w:r w:rsidR="00705302">
        <w:t xml:space="preserve">the </w:t>
      </w:r>
      <w:r w:rsidR="00801415">
        <w:t>National VET Provider Collection</w:t>
      </w:r>
      <w:r>
        <w:t xml:space="preserve"> discussed above have important impli</w:t>
      </w:r>
      <w:r w:rsidR="004A769C">
        <w:t xml:space="preserve">cations for the current study. </w:t>
      </w:r>
      <w:r>
        <w:t xml:space="preserve">The </w:t>
      </w:r>
      <w:r w:rsidR="00801415">
        <w:t>National VET Provider Collection</w:t>
      </w:r>
      <w:r>
        <w:t xml:space="preserve"> data suggest that, between 1996 and 2010, VET enrolments in Victoria exceeded those in NSW by an average margin of </w:t>
      </w:r>
      <w:r w:rsidR="00AF2097">
        <w:t>two</w:t>
      </w:r>
      <w:r>
        <w:t xml:space="preserve"> percentage points, varying within a band</w:t>
      </w:r>
      <w:r w:rsidR="00A53ED9">
        <w:t xml:space="preserve"> of +/- 1.5 percentage points. </w:t>
      </w:r>
      <w:r>
        <w:t>The rates for 2012 and 2013 are conspicuous in this series</w:t>
      </w:r>
      <w:r w:rsidR="00AF2097">
        <w:t>,</w:t>
      </w:r>
      <w:r>
        <w:t xml:space="preserve"> in the sense that they exceed 1.96 standard deviations from the respective series averages reported between 1996 and 2010 (the 95% confidence inter</w:t>
      </w:r>
      <w:r w:rsidR="004A769C">
        <w:t xml:space="preserve">val of a normal distribution). </w:t>
      </w:r>
      <w:r>
        <w:t xml:space="preserve">This excess participation in VET in Victoria, relative to NSW, is the focus of the discussion earlier in this section of the statistics reported in </w:t>
      </w:r>
      <w:r w:rsidR="00A53ED9">
        <w:t>t</w:t>
      </w:r>
      <w:r>
        <w:t>able 2.</w:t>
      </w:r>
    </w:p>
    <w:p w:rsidR="00CE7831" w:rsidRDefault="00CE7831" w:rsidP="00CE7831">
      <w:pPr>
        <w:pStyle w:val="Text"/>
      </w:pPr>
      <w:r>
        <w:t>However, the series of enrolment rates calculated using the SEW indicate no systematically discernible diff</w:t>
      </w:r>
      <w:r w:rsidR="00A53ED9">
        <w:t>erences between the two states.</w:t>
      </w:r>
      <w:r>
        <w:t xml:space="preserve"> Furthermore, the SEW series do not indicate any appreciable increase in enrolment rates in Victoria</w:t>
      </w:r>
      <w:r w:rsidRPr="00003727">
        <w:t xml:space="preserve"> </w:t>
      </w:r>
      <w:r>
        <w:t>in 2012, relative to NSW. Indeed, between 2008 and 2012, enrolment rates in Victoria</w:t>
      </w:r>
      <w:r w:rsidR="00DB53DF">
        <w:t>, as</w:t>
      </w:r>
      <w:r>
        <w:t xml:space="preserve"> described by th</w:t>
      </w:r>
      <w:r w:rsidR="00AF2097">
        <w:t>e SEW for 25 to 29-</w:t>
      </w:r>
      <w:r>
        <w:t>year-olds</w:t>
      </w:r>
      <w:r w:rsidR="00DB53DF">
        <w:t>,</w:t>
      </w:r>
      <w:r>
        <w:t xml:space="preserve"> fall by approximately </w:t>
      </w:r>
      <w:r w:rsidR="004A769C">
        <w:t>two</w:t>
      </w:r>
      <w:r>
        <w:t xml:space="preserve"> percentage points, relative to NS</w:t>
      </w:r>
      <w:r w:rsidR="004A769C">
        <w:t>W, despite the introduction of</w:t>
      </w:r>
      <w:r w:rsidR="00AF2097">
        <w:t xml:space="preserve"> </w:t>
      </w:r>
      <w:r w:rsidR="004A769C">
        <w:t>—</w:t>
      </w:r>
      <w:r w:rsidR="00AF2097">
        <w:t xml:space="preserve"> </w:t>
      </w:r>
      <w:r>
        <w:t>and substantial increase in public expenditure associated with</w:t>
      </w:r>
      <w:r w:rsidR="00AF2097">
        <w:t xml:space="preserve"> </w:t>
      </w:r>
      <w:r w:rsidR="004A769C">
        <w:t>—</w:t>
      </w:r>
      <w:r w:rsidR="00AF2097">
        <w:t xml:space="preserve"> </w:t>
      </w:r>
      <w:r>
        <w:t xml:space="preserve">the </w:t>
      </w:r>
      <w:r w:rsidR="00132A0F">
        <w:t xml:space="preserve">Victorian </w:t>
      </w:r>
      <w:r w:rsidR="00687E00">
        <w:t>Training Guarantee</w:t>
      </w:r>
      <w:r>
        <w:t xml:space="preserve">. There are at least three plausible explanations for the substantive differences we identify for </w:t>
      </w:r>
      <w:r w:rsidR="00705302">
        <w:t xml:space="preserve">the </w:t>
      </w:r>
      <w:r>
        <w:t xml:space="preserve">VET enrolment rates implied by </w:t>
      </w:r>
      <w:r w:rsidR="00801415">
        <w:t>National VET Provider Collection</w:t>
      </w:r>
      <w:r>
        <w:t xml:space="preserve"> and SEW data.</w:t>
      </w:r>
      <w:r w:rsidR="00B01602">
        <w:t xml:space="preserve"> </w:t>
      </w:r>
    </w:p>
    <w:p w:rsidR="00CE7831" w:rsidRDefault="00CE7831" w:rsidP="00CE7831">
      <w:pPr>
        <w:pStyle w:val="Text"/>
      </w:pPr>
      <w:r>
        <w:t xml:space="preserve">First, whereas </w:t>
      </w:r>
      <w:r w:rsidR="00801415">
        <w:t>National VET Provider Collection</w:t>
      </w:r>
      <w:r>
        <w:t xml:space="preserve"> reports administrative data for the universe of VET students</w:t>
      </w:r>
      <w:r w:rsidR="00AF2097">
        <w:t>,</w:t>
      </w:r>
      <w:r>
        <w:t xml:space="preserve"> excluding fee-for-service enrolments with private-sector providers, the SEW reports responses to questionnaires administered to a random sample of th</w:t>
      </w:r>
      <w:r w:rsidR="00AF2097">
        <w:t>e Australian population aged 15—</w:t>
      </w:r>
      <w:r>
        <w:t>64</w:t>
      </w:r>
      <w:r w:rsidR="00AF2097">
        <w:t xml:space="preserve"> years</w:t>
      </w:r>
      <w:r>
        <w:t>, independent of education status. This fundamental difference in survey design implies that the SEW is exposed to the distortions commonly associated with randomly admin</w:t>
      </w:r>
      <w:r w:rsidR="004A769C">
        <w:t>istered survey questionnaires</w:t>
      </w:r>
      <w:r w:rsidR="00AF2097">
        <w:t xml:space="preserve"> </w:t>
      </w:r>
      <w:r w:rsidR="004A769C">
        <w:t>—</w:t>
      </w:r>
      <w:r w:rsidR="00AF2097">
        <w:t xml:space="preserve"> </w:t>
      </w:r>
      <w:r>
        <w:t>including non-representative sampling, non-random response bias, and errors in reporting</w:t>
      </w:r>
      <w:r w:rsidR="00AF2097">
        <w:t xml:space="preserve"> </w:t>
      </w:r>
      <w:r w:rsidR="004A769C">
        <w:t>—</w:t>
      </w:r>
      <w:r w:rsidR="00AF2097">
        <w:t xml:space="preserve"> </w:t>
      </w:r>
      <w:r>
        <w:t xml:space="preserve">in a way </w:t>
      </w:r>
      <w:r w:rsidR="00AF2097">
        <w:t>in which the</w:t>
      </w:r>
      <w:r>
        <w:t xml:space="preserve"> </w:t>
      </w:r>
      <w:r w:rsidR="00801415">
        <w:t>National VET Provider Collection</w:t>
      </w:r>
      <w:r>
        <w:t xml:space="preserve"> is not. Exploring this possibility further lies beyond the scope of the current study, but would appear to warrant serious consideration.</w:t>
      </w:r>
    </w:p>
    <w:p w:rsidR="00CE7831" w:rsidRDefault="00CE7831" w:rsidP="00CE7831">
      <w:pPr>
        <w:pStyle w:val="Text"/>
      </w:pPr>
      <w:r>
        <w:t xml:space="preserve">Secondly, the SEW has the advantage, relative to </w:t>
      </w:r>
      <w:r w:rsidR="00705302">
        <w:t xml:space="preserve">the </w:t>
      </w:r>
      <w:r w:rsidR="00801415">
        <w:t>National VET Provider Collection</w:t>
      </w:r>
      <w:r>
        <w:t xml:space="preserve">, of ostensibly capturing fee-for-service enrolments with private-sector providers. It seems unlikely to us, however, that this explanation is driving the differences in enrolment rates that we have identified between the two data sources. This difference in survey design should tend to increase </w:t>
      </w:r>
      <w:r w:rsidR="00AF2097">
        <w:t xml:space="preserve">the </w:t>
      </w:r>
      <w:r>
        <w:t xml:space="preserve">enrolment rates described by the SEW, relative to </w:t>
      </w:r>
      <w:r w:rsidR="00AF2097">
        <w:t xml:space="preserve">the </w:t>
      </w:r>
      <w:r w:rsidR="00801415">
        <w:t>National VET Provider Collection</w:t>
      </w:r>
      <w:r>
        <w:t>,</w:t>
      </w:r>
      <w:r w:rsidR="004A769C">
        <w:t xml:space="preserve"> but, as indicated by figure A1,</w:t>
      </w:r>
      <w:r>
        <w:t xml:space="preserve"> the SEW reports enrolment rates that are systematically and substantively lower than those implied by </w:t>
      </w:r>
      <w:r w:rsidR="00801415">
        <w:t>National VET Provider Collection</w:t>
      </w:r>
      <w:r>
        <w:t>.</w:t>
      </w:r>
      <w:r w:rsidR="00B01602">
        <w:t xml:space="preserve"> </w:t>
      </w:r>
    </w:p>
    <w:p w:rsidR="006C1E1F" w:rsidRDefault="006C1E1F" w:rsidP="00CE7831">
      <w:pPr>
        <w:pStyle w:val="Text"/>
        <w:sectPr w:rsidR="006C1E1F" w:rsidSect="00011633">
          <w:pgSz w:w="11907" w:h="16840" w:code="9"/>
          <w:pgMar w:top="1276" w:right="2835" w:bottom="992" w:left="1134" w:header="709" w:footer="556" w:gutter="0"/>
          <w:cols w:space="708"/>
          <w:docGrid w:linePitch="360"/>
        </w:sectPr>
      </w:pPr>
    </w:p>
    <w:p w:rsidR="00CE7831" w:rsidRDefault="00CE7831" w:rsidP="00CE7831">
      <w:pPr>
        <w:pStyle w:val="Text"/>
      </w:pPr>
      <w:r>
        <w:lastRenderedPageBreak/>
        <w:t xml:space="preserve">Finally, the SEW, being administered as part of the Labour Force Survey, may provide a clearer picture of the incidence of study considered by respondents to be of practical relevance. The lower rates of student enrolments in VET reported by the SEW may, for example, reflect a propensity for survey respondents not to report study toward courses in which they were enrolled but failed to follow through to (successful) completion. This hypothesis, if true, would have worrying implications for the efficacy of the </w:t>
      </w:r>
      <w:r w:rsidR="00132A0F">
        <w:t xml:space="preserve">Victorian </w:t>
      </w:r>
      <w:r w:rsidR="00687E00">
        <w:t>Training Guarantee</w:t>
      </w:r>
      <w:r>
        <w:t xml:space="preserve">, given the weak evidence reported by the SEW for any substantive </w:t>
      </w:r>
      <w:r w:rsidR="00967FFD">
        <w:t>differences</w:t>
      </w:r>
      <w:r>
        <w:t xml:space="preserve"> in VET enrolment rates between Victoria and </w:t>
      </w:r>
      <w:r w:rsidR="00EB0A37">
        <w:t>NSW</w:t>
      </w:r>
      <w:r w:rsidR="004A769C">
        <w:t xml:space="preserve"> between 2008 and 2012. </w:t>
      </w:r>
      <w:r>
        <w:t>We test the validity of this hypothesis by considering whether there is any evidence that the increase in VET enrolments in Victori</w:t>
      </w:r>
      <w:r w:rsidR="00AF2097">
        <w:t>a between 2008 and 2012 was off</w:t>
      </w:r>
      <w:r>
        <w:t>set by a reduction in module completion rates during the same period.</w:t>
      </w:r>
    </w:p>
    <w:p w:rsidR="00CE7831" w:rsidRPr="002E168E" w:rsidRDefault="00CE7831" w:rsidP="00CE7831">
      <w:pPr>
        <w:pStyle w:val="Heading3"/>
      </w:pPr>
      <w:r w:rsidRPr="002E168E">
        <w:t>Rates of VET module completion</w:t>
      </w:r>
    </w:p>
    <w:p w:rsidR="00CE7831" w:rsidRDefault="004A769C" w:rsidP="00CE7831">
      <w:pPr>
        <w:pStyle w:val="Text"/>
      </w:pPr>
      <w:r>
        <w:t>Table A</w:t>
      </w:r>
      <w:r w:rsidR="00CE7831">
        <w:t>2 reports population averages for the proportion of module enrolments completed within the first two years of each student’s course enrolmen</w:t>
      </w:r>
      <w:r>
        <w:t>t. The last row of table A</w:t>
      </w:r>
      <w:r w:rsidR="00CE7831">
        <w:t xml:space="preserve">2 immediately suggests that the lack of evidence for any appreciable increase in VET enrolments in Victoria following the </w:t>
      </w:r>
      <w:r w:rsidR="00132A0F">
        <w:t xml:space="preserve">Victorian </w:t>
      </w:r>
      <w:r w:rsidR="00687E00">
        <w:t>Training Guarantee</w:t>
      </w:r>
      <w:r w:rsidR="00CE7831">
        <w:t xml:space="preserve"> </w:t>
      </w:r>
      <w:r w:rsidR="0079345A">
        <w:t>and</w:t>
      </w:r>
      <w:r w:rsidR="00CE7831">
        <w:t xml:space="preserve"> implied by SEW data is unlikely to be due to a coincident increase in drop-out rates.</w:t>
      </w:r>
      <w:r w:rsidR="00B01602">
        <w:t xml:space="preserve"> </w:t>
      </w:r>
    </w:p>
    <w:p w:rsidR="00CE7831" w:rsidRDefault="00CE7831" w:rsidP="00CE7831">
      <w:pPr>
        <w:pStyle w:val="Text"/>
      </w:pPr>
      <w:r>
        <w:t>Echoing the data f</w:t>
      </w:r>
      <w:r w:rsidR="004A769C">
        <w:t xml:space="preserve">or </w:t>
      </w:r>
      <w:r w:rsidR="00705302">
        <w:t xml:space="preserve">the </w:t>
      </w:r>
      <w:r w:rsidR="004A769C">
        <w:t>enrolment rates reported in t</w:t>
      </w:r>
      <w:r>
        <w:t>able 2 in th</w:t>
      </w:r>
      <w:r w:rsidR="004A769C">
        <w:t xml:space="preserve">e main report, the last row </w:t>
      </w:r>
      <w:r w:rsidR="00E805E2">
        <w:t xml:space="preserve">(total) </w:t>
      </w:r>
      <w:r w:rsidR="004A769C">
        <w:t>of t</w:t>
      </w:r>
      <w:r>
        <w:t>ab</w:t>
      </w:r>
      <w:r w:rsidR="004A769C">
        <w:t>le A</w:t>
      </w:r>
      <w:r>
        <w:t xml:space="preserve">2 indicates that module completion rates among the population of VET students aged 25 to 54 </w:t>
      </w:r>
      <w:r w:rsidR="0079345A">
        <w:t xml:space="preserve">years </w:t>
      </w:r>
      <w:r>
        <w:t xml:space="preserve">increased from 78.3 to 83.0 percentage points in Victoria, and from 75.8 to 78.7 percentage points in </w:t>
      </w:r>
      <w:r w:rsidR="00EB0A37">
        <w:t>NSW</w:t>
      </w:r>
      <w:r>
        <w:t xml:space="preserve">. Hence, VET module completion rates in Victoria, relative to New South Wales, increased by 1.8 </w:t>
      </w:r>
      <w:r w:rsidR="0079345A">
        <w:t>percentage points over the four-</w:t>
      </w:r>
      <w:r>
        <w:t xml:space="preserve">year period between 2008 and 2012, during which time the </w:t>
      </w:r>
      <w:r w:rsidR="00132A0F">
        <w:t xml:space="preserve">Victorian </w:t>
      </w:r>
      <w:r w:rsidR="00687E00">
        <w:t>Training Guarantee</w:t>
      </w:r>
      <w:r>
        <w:t xml:space="preserve"> was (fully) introduced.</w:t>
      </w:r>
      <w:r w:rsidR="00B01602">
        <w:t xml:space="preserve"> </w:t>
      </w:r>
    </w:p>
    <w:p w:rsidR="00D203EC" w:rsidRDefault="00705302" w:rsidP="00CE7831">
      <w:pPr>
        <w:pStyle w:val="Text"/>
      </w:pPr>
      <w:r>
        <w:t>T</w:t>
      </w:r>
      <w:r w:rsidR="00CE7831">
        <w:t xml:space="preserve">he summary statistics reported in the right-most column of </w:t>
      </w:r>
      <w:r w:rsidR="004A769C">
        <w:t>table A</w:t>
      </w:r>
      <w:r>
        <w:t>2 indicate</w:t>
      </w:r>
      <w:r w:rsidR="00CE7831">
        <w:t xml:space="preserve"> that module completion rates increased between 2008 and 2012 in Victoria, relative to NSW, in all but a small number of</w:t>
      </w:r>
      <w:r w:rsidR="004A769C">
        <w:t xml:space="preserve"> population subgroups. Hence, table </w:t>
      </w:r>
      <w:r w:rsidR="0079345A">
        <w:t>3 rei</w:t>
      </w:r>
      <w:r w:rsidR="00CE7831">
        <w:t>nforces the i</w:t>
      </w:r>
      <w:r w:rsidR="004A769C">
        <w:t>mpression inferred from table A</w:t>
      </w:r>
      <w:r w:rsidR="00CE7831">
        <w:t xml:space="preserve">2 that the </w:t>
      </w:r>
      <w:r w:rsidR="00132A0F">
        <w:t xml:space="preserve">Victorian </w:t>
      </w:r>
      <w:r w:rsidR="00687E00">
        <w:t>Training Guarantee</w:t>
      </w:r>
      <w:r w:rsidR="00CE7831">
        <w:t xml:space="preserve"> resulted in appreciably higher rates of participation in VET in Victoria.</w:t>
      </w:r>
      <w:r w:rsidR="00B01602">
        <w:t xml:space="preserve"> </w:t>
      </w:r>
    </w:p>
    <w:p w:rsidR="00D203EC" w:rsidRDefault="00D203EC">
      <w:pPr>
        <w:spacing w:before="0" w:line="240" w:lineRule="auto"/>
      </w:pPr>
      <w:r>
        <w:br w:type="page"/>
      </w:r>
    </w:p>
    <w:p w:rsidR="00CE7831" w:rsidRDefault="00CE7831" w:rsidP="00D203EC">
      <w:pPr>
        <w:pStyle w:val="tabletitle0"/>
        <w:tabs>
          <w:tab w:val="clear" w:pos="992"/>
          <w:tab w:val="left" w:pos="851"/>
        </w:tabs>
        <w:ind w:left="851" w:hanging="851"/>
        <w:rPr>
          <w:rFonts w:eastAsia="Calibri"/>
        </w:rPr>
      </w:pPr>
      <w:bookmarkStart w:id="86" w:name="_Toc468881921"/>
      <w:r>
        <w:rPr>
          <w:rFonts w:eastAsia="Calibri"/>
        </w:rPr>
        <w:lastRenderedPageBreak/>
        <w:t>Table A2</w:t>
      </w:r>
      <w:r w:rsidR="004A769C">
        <w:rPr>
          <w:rFonts w:eastAsia="Calibri"/>
        </w:rPr>
        <w:tab/>
      </w:r>
      <w:r>
        <w:rPr>
          <w:rFonts w:eastAsia="Calibri"/>
        </w:rPr>
        <w:t>Module completion rates within the first two years of VET course enro</w:t>
      </w:r>
      <w:r w:rsidR="0079345A">
        <w:rPr>
          <w:rFonts w:eastAsia="Calibri"/>
        </w:rPr>
        <w:t>lment among students aged 25–</w:t>
      </w:r>
      <w:r>
        <w:rPr>
          <w:rFonts w:eastAsia="Calibri"/>
        </w:rPr>
        <w:t xml:space="preserve">54 </w:t>
      </w:r>
      <w:r w:rsidR="0079345A">
        <w:rPr>
          <w:rFonts w:eastAsia="Calibri"/>
        </w:rPr>
        <w:t xml:space="preserve">years </w:t>
      </w:r>
      <w:r>
        <w:rPr>
          <w:rFonts w:eastAsia="Calibri"/>
        </w:rPr>
        <w:t>(%)</w:t>
      </w:r>
      <w:bookmarkEnd w:id="86"/>
    </w:p>
    <w:tbl>
      <w:tblPr>
        <w:tblW w:w="4987" w:type="pct"/>
        <w:tblLook w:val="04A0" w:firstRow="1" w:lastRow="0" w:firstColumn="1" w:lastColumn="0" w:noHBand="0" w:noVBand="1"/>
      </w:tblPr>
      <w:tblGrid>
        <w:gridCol w:w="405"/>
        <w:gridCol w:w="1775"/>
        <w:gridCol w:w="815"/>
        <w:gridCol w:w="813"/>
        <w:gridCol w:w="817"/>
        <w:gridCol w:w="813"/>
        <w:gridCol w:w="813"/>
        <w:gridCol w:w="804"/>
        <w:gridCol w:w="1078"/>
      </w:tblGrid>
      <w:tr w:rsidR="00CE7831" w:rsidRPr="00363A65" w:rsidTr="00076DC7">
        <w:trPr>
          <w:trHeight w:val="300"/>
        </w:trPr>
        <w:tc>
          <w:tcPr>
            <w:tcW w:w="1340" w:type="pct"/>
            <w:gridSpan w:val="2"/>
            <w:tcBorders>
              <w:top w:val="single" w:sz="4" w:space="0" w:color="auto"/>
              <w:left w:val="nil"/>
              <w:bottom w:val="nil"/>
              <w:right w:val="nil"/>
            </w:tcBorders>
            <w:shd w:val="clear" w:color="auto" w:fill="auto"/>
            <w:noWrap/>
            <w:vAlign w:val="bottom"/>
            <w:hideMark/>
          </w:tcPr>
          <w:p w:rsidR="00CE7831" w:rsidRPr="00363A65" w:rsidRDefault="00CE7831" w:rsidP="004A769C">
            <w:pPr>
              <w:pStyle w:val="Tablehead1"/>
            </w:pPr>
            <w:r>
              <w:t>State of enrolment</w:t>
            </w:r>
          </w:p>
        </w:tc>
        <w:tc>
          <w:tcPr>
            <w:tcW w:w="1503" w:type="pct"/>
            <w:gridSpan w:val="3"/>
            <w:tcBorders>
              <w:top w:val="single" w:sz="4" w:space="0" w:color="auto"/>
              <w:left w:val="nil"/>
              <w:bottom w:val="nil"/>
              <w:right w:val="nil"/>
            </w:tcBorders>
            <w:shd w:val="clear" w:color="auto" w:fill="auto"/>
            <w:noWrap/>
            <w:vAlign w:val="bottom"/>
            <w:hideMark/>
          </w:tcPr>
          <w:p w:rsidR="00CE7831" w:rsidRPr="00363A65" w:rsidRDefault="00CE7831" w:rsidP="00076DC7">
            <w:pPr>
              <w:pStyle w:val="Tablehead1"/>
              <w:ind w:left="655"/>
            </w:pPr>
            <w:r w:rsidRPr="00363A65">
              <w:t>Victoria</w:t>
            </w:r>
          </w:p>
        </w:tc>
        <w:tc>
          <w:tcPr>
            <w:tcW w:w="1494" w:type="pct"/>
            <w:gridSpan w:val="3"/>
            <w:tcBorders>
              <w:top w:val="single" w:sz="4" w:space="0" w:color="auto"/>
              <w:left w:val="nil"/>
              <w:bottom w:val="nil"/>
              <w:right w:val="nil"/>
            </w:tcBorders>
            <w:shd w:val="clear" w:color="auto" w:fill="auto"/>
            <w:noWrap/>
            <w:vAlign w:val="bottom"/>
            <w:hideMark/>
          </w:tcPr>
          <w:p w:rsidR="00CE7831" w:rsidRPr="00363A65" w:rsidRDefault="00CE7831" w:rsidP="00A31E4E">
            <w:pPr>
              <w:pStyle w:val="Tablehead1"/>
              <w:ind w:left="284"/>
            </w:pPr>
            <w:r w:rsidRPr="00363A65">
              <w:t>New South Wales</w:t>
            </w:r>
          </w:p>
        </w:tc>
        <w:tc>
          <w:tcPr>
            <w:tcW w:w="663" w:type="pct"/>
            <w:vMerge w:val="restart"/>
            <w:tcBorders>
              <w:top w:val="single" w:sz="4" w:space="0" w:color="auto"/>
              <w:left w:val="nil"/>
              <w:right w:val="nil"/>
            </w:tcBorders>
            <w:shd w:val="clear" w:color="auto" w:fill="auto"/>
            <w:noWrap/>
            <w:vAlign w:val="bottom"/>
            <w:hideMark/>
          </w:tcPr>
          <w:p w:rsidR="00CE7831" w:rsidRPr="00363A65" w:rsidRDefault="00CE7831" w:rsidP="00831BE1">
            <w:pPr>
              <w:pStyle w:val="Tablehead1"/>
              <w:jc w:val="center"/>
            </w:pPr>
            <w:proofErr w:type="spellStart"/>
            <w:r>
              <w:t>DiD</w:t>
            </w:r>
            <w:r w:rsidR="00831BE1" w:rsidRPr="00831BE1">
              <w:rPr>
                <w:vertAlign w:val="superscript"/>
              </w:rPr>
              <w:t>a</w:t>
            </w:r>
            <w:proofErr w:type="spellEnd"/>
          </w:p>
        </w:tc>
      </w:tr>
      <w:tr w:rsidR="006C2D89" w:rsidRPr="00363A65" w:rsidTr="006C2D89">
        <w:trPr>
          <w:trHeight w:val="300"/>
        </w:trPr>
        <w:tc>
          <w:tcPr>
            <w:tcW w:w="1340" w:type="pct"/>
            <w:gridSpan w:val="2"/>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head2"/>
            </w:pPr>
            <w:r>
              <w:t>Year of course enrolment</w:t>
            </w:r>
          </w:p>
        </w:tc>
        <w:tc>
          <w:tcPr>
            <w:tcW w:w="501"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head2"/>
            </w:pPr>
            <w:r w:rsidRPr="00363A65">
              <w:t>2008</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head2"/>
            </w:pPr>
            <w:r w:rsidRPr="00363A65">
              <w:t>2012</w:t>
            </w:r>
          </w:p>
        </w:tc>
        <w:tc>
          <w:tcPr>
            <w:tcW w:w="502"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head2"/>
            </w:pPr>
            <w:r>
              <w:t>change</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head2"/>
            </w:pPr>
            <w:r w:rsidRPr="00363A65">
              <w:t>2008</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head2"/>
            </w:pPr>
            <w:r w:rsidRPr="00363A65">
              <w:t>2012</w:t>
            </w:r>
          </w:p>
        </w:tc>
        <w:tc>
          <w:tcPr>
            <w:tcW w:w="494"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head2"/>
            </w:pPr>
            <w:r>
              <w:t>change</w:t>
            </w:r>
          </w:p>
        </w:tc>
        <w:tc>
          <w:tcPr>
            <w:tcW w:w="663" w:type="pct"/>
            <w:vMerge/>
            <w:tcBorders>
              <w:left w:val="nil"/>
              <w:bottom w:val="single" w:sz="4" w:space="0" w:color="auto"/>
              <w:right w:val="nil"/>
            </w:tcBorders>
            <w:shd w:val="clear" w:color="auto" w:fill="auto"/>
            <w:noWrap/>
            <w:vAlign w:val="bottom"/>
            <w:hideMark/>
          </w:tcPr>
          <w:p w:rsidR="00CE7831" w:rsidRPr="00363A65" w:rsidRDefault="00CE7831" w:rsidP="004A769C">
            <w:pPr>
              <w:pStyle w:val="Tablehead2"/>
            </w:pPr>
          </w:p>
        </w:tc>
      </w:tr>
      <w:tr w:rsidR="006C2D89" w:rsidRPr="00363A65" w:rsidTr="006C2D89">
        <w:trPr>
          <w:trHeight w:val="300"/>
        </w:trPr>
        <w:tc>
          <w:tcPr>
            <w:tcW w:w="1340" w:type="pct"/>
            <w:gridSpan w:val="2"/>
            <w:tcBorders>
              <w:top w:val="nil"/>
              <w:left w:val="nil"/>
              <w:bottom w:val="nil"/>
              <w:right w:val="nil"/>
            </w:tcBorders>
            <w:shd w:val="clear" w:color="auto" w:fill="auto"/>
            <w:noWrap/>
            <w:vAlign w:val="bottom"/>
            <w:hideMark/>
          </w:tcPr>
          <w:p w:rsidR="00CE7831" w:rsidRPr="00363A65" w:rsidRDefault="00CE7831" w:rsidP="004A769C">
            <w:pPr>
              <w:pStyle w:val="Tabletext"/>
            </w:pPr>
            <w:r>
              <w:t>G</w:t>
            </w:r>
            <w:r w:rsidRPr="00363A65">
              <w:t>ender</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2"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494"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663"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M</w:t>
            </w:r>
            <w:r w:rsidRPr="00363A65">
              <w:t>ale</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80.8</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84.5</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3.7</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77.1</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78.9</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1.8</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1.9</w:t>
            </w:r>
          </w:p>
        </w:tc>
      </w:tr>
      <w:tr w:rsidR="006C2D89" w:rsidRPr="00363A65" w:rsidTr="006C2D89">
        <w:trPr>
          <w:trHeight w:val="300"/>
        </w:trPr>
        <w:tc>
          <w:tcPr>
            <w:tcW w:w="249"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 </w:t>
            </w:r>
          </w:p>
        </w:tc>
        <w:tc>
          <w:tcPr>
            <w:tcW w:w="1091"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t>F</w:t>
            </w:r>
            <w:r w:rsidRPr="00363A65">
              <w:t>emale</w:t>
            </w:r>
          </w:p>
        </w:tc>
        <w:tc>
          <w:tcPr>
            <w:tcW w:w="501"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75.9</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81.4</w:t>
            </w:r>
          </w:p>
        </w:tc>
        <w:tc>
          <w:tcPr>
            <w:tcW w:w="502" w:type="pct"/>
            <w:tcBorders>
              <w:top w:val="nil"/>
              <w:left w:val="nil"/>
              <w:bottom w:val="single" w:sz="4" w:space="0" w:color="auto"/>
              <w:right w:val="nil"/>
            </w:tcBorders>
            <w:shd w:val="clear" w:color="auto" w:fill="auto"/>
            <w:noWrap/>
            <w:vAlign w:val="bottom"/>
            <w:hideMark/>
          </w:tcPr>
          <w:p w:rsidR="00CE7831" w:rsidRPr="00363A65" w:rsidRDefault="00CE7831" w:rsidP="00076DC7">
            <w:pPr>
              <w:pStyle w:val="Tabletext"/>
              <w:tabs>
                <w:tab w:val="decimal" w:pos="162"/>
              </w:tabs>
            </w:pPr>
            <w:r w:rsidRPr="00363A65">
              <w:t>5.5</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74.8</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78.6</w:t>
            </w:r>
          </w:p>
        </w:tc>
        <w:tc>
          <w:tcPr>
            <w:tcW w:w="494" w:type="pct"/>
            <w:tcBorders>
              <w:top w:val="nil"/>
              <w:left w:val="nil"/>
              <w:bottom w:val="single" w:sz="4" w:space="0" w:color="auto"/>
              <w:right w:val="nil"/>
            </w:tcBorders>
            <w:shd w:val="clear" w:color="auto" w:fill="auto"/>
            <w:noWrap/>
            <w:vAlign w:val="bottom"/>
            <w:hideMark/>
          </w:tcPr>
          <w:p w:rsidR="00CE7831" w:rsidRPr="00363A65" w:rsidRDefault="00CE7831" w:rsidP="006C2D89">
            <w:pPr>
              <w:pStyle w:val="Tabletext"/>
              <w:tabs>
                <w:tab w:val="decimal" w:pos="270"/>
              </w:tabs>
            </w:pPr>
            <w:r w:rsidRPr="00363A65">
              <w:t>3.8</w:t>
            </w:r>
          </w:p>
        </w:tc>
        <w:tc>
          <w:tcPr>
            <w:tcW w:w="663" w:type="pct"/>
            <w:tcBorders>
              <w:top w:val="nil"/>
              <w:left w:val="nil"/>
              <w:bottom w:val="single" w:sz="4" w:space="0" w:color="auto"/>
              <w:right w:val="nil"/>
            </w:tcBorders>
            <w:shd w:val="clear" w:color="auto" w:fill="auto"/>
            <w:noWrap/>
            <w:vAlign w:val="bottom"/>
            <w:hideMark/>
          </w:tcPr>
          <w:p w:rsidR="00CE7831" w:rsidRPr="00363A65" w:rsidRDefault="00CE7831" w:rsidP="00076DC7">
            <w:pPr>
              <w:pStyle w:val="Tabletext"/>
              <w:tabs>
                <w:tab w:val="decimal" w:pos="316"/>
              </w:tabs>
            </w:pPr>
            <w:r w:rsidRPr="00363A65">
              <w:t>1.7</w:t>
            </w:r>
          </w:p>
        </w:tc>
      </w:tr>
      <w:tr w:rsidR="006C2D89" w:rsidRPr="00363A65" w:rsidTr="006C2D89">
        <w:trPr>
          <w:trHeight w:val="300"/>
        </w:trPr>
        <w:tc>
          <w:tcPr>
            <w:tcW w:w="1340" w:type="pct"/>
            <w:gridSpan w:val="2"/>
            <w:tcBorders>
              <w:top w:val="nil"/>
              <w:left w:val="nil"/>
              <w:bottom w:val="nil"/>
              <w:right w:val="nil"/>
            </w:tcBorders>
            <w:shd w:val="clear" w:color="auto" w:fill="auto"/>
            <w:noWrap/>
            <w:vAlign w:val="bottom"/>
            <w:hideMark/>
          </w:tcPr>
          <w:p w:rsidR="00CE7831" w:rsidRPr="00363A65" w:rsidRDefault="00CE7831" w:rsidP="004A769C">
            <w:pPr>
              <w:pStyle w:val="Tabletext"/>
            </w:pPr>
            <w:r>
              <w:t>A</w:t>
            </w:r>
            <w:r w:rsidRPr="00363A65">
              <w:t>ge band</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91"/>
                <w:tab w:val="decimal" w:pos="332"/>
                <w:tab w:val="decimal" w:pos="374"/>
                <w:tab w:val="decimal" w:pos="432"/>
                <w:tab w:val="decimal" w:pos="458"/>
                <w:tab w:val="decimal" w:pos="516"/>
                <w:tab w:val="decimal" w:pos="597"/>
              </w:tabs>
            </w:pP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79345A" w:rsidP="004A769C">
            <w:pPr>
              <w:pStyle w:val="Tabletext"/>
            </w:pPr>
            <w:r>
              <w:t>25–</w:t>
            </w:r>
            <w:r w:rsidR="00CE7831" w:rsidRPr="00363A65">
              <w:t>29</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77.8</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82.6</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4.8</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74.3</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77.1</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2.7</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2.1</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79345A" w:rsidP="004A769C">
            <w:pPr>
              <w:pStyle w:val="Tabletext"/>
            </w:pPr>
            <w:r>
              <w:t>30–</w:t>
            </w:r>
            <w:r w:rsidR="00CE7831" w:rsidRPr="00363A65">
              <w:t>34</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77.6</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82.2</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4.6</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74.1</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78.0</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3.9</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0.7</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79345A" w:rsidP="004A769C">
            <w:pPr>
              <w:pStyle w:val="Tabletext"/>
            </w:pPr>
            <w:r>
              <w:t>35–</w:t>
            </w:r>
            <w:r w:rsidR="00CE7831" w:rsidRPr="00363A65">
              <w:t>39</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78.0</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83.1</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5.1</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75.3</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78.6</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3.3</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1.8</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79345A" w:rsidP="004A769C">
            <w:pPr>
              <w:pStyle w:val="Tabletext"/>
            </w:pPr>
            <w:r>
              <w:t>40–</w:t>
            </w:r>
            <w:r w:rsidR="00CE7831" w:rsidRPr="00363A65">
              <w:t>44</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78.5</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83.3</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4.8</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76.7</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79.3</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2.6</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2.1</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79345A" w:rsidP="004A769C">
            <w:pPr>
              <w:pStyle w:val="Tabletext"/>
            </w:pPr>
            <w:r>
              <w:t>45–</w:t>
            </w:r>
            <w:r w:rsidR="00CE7831" w:rsidRPr="00363A65">
              <w:t>49</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79.5</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83.6</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4.1</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77.9</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80.4</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2.6</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1.5</w:t>
            </w:r>
          </w:p>
        </w:tc>
      </w:tr>
      <w:tr w:rsidR="006C2D89" w:rsidRPr="00363A65" w:rsidTr="006C2D89">
        <w:trPr>
          <w:trHeight w:val="300"/>
        </w:trPr>
        <w:tc>
          <w:tcPr>
            <w:tcW w:w="249" w:type="pct"/>
            <w:tcBorders>
              <w:top w:val="nil"/>
              <w:left w:val="nil"/>
              <w:right w:val="nil"/>
            </w:tcBorders>
            <w:shd w:val="clear" w:color="auto" w:fill="auto"/>
            <w:noWrap/>
            <w:vAlign w:val="bottom"/>
            <w:hideMark/>
          </w:tcPr>
          <w:p w:rsidR="00CE7831" w:rsidRPr="00363A65" w:rsidRDefault="00CE7831" w:rsidP="004A769C">
            <w:pPr>
              <w:pStyle w:val="Tabletext"/>
            </w:pPr>
            <w:r w:rsidRPr="00363A65">
              <w:t> </w:t>
            </w:r>
          </w:p>
        </w:tc>
        <w:tc>
          <w:tcPr>
            <w:tcW w:w="1091" w:type="pct"/>
            <w:tcBorders>
              <w:top w:val="nil"/>
              <w:left w:val="nil"/>
              <w:right w:val="nil"/>
            </w:tcBorders>
            <w:shd w:val="clear" w:color="auto" w:fill="auto"/>
            <w:noWrap/>
            <w:vAlign w:val="bottom"/>
            <w:hideMark/>
          </w:tcPr>
          <w:p w:rsidR="00CE7831" w:rsidRPr="00363A65" w:rsidRDefault="0079345A" w:rsidP="004A769C">
            <w:pPr>
              <w:pStyle w:val="Tabletext"/>
            </w:pPr>
            <w:r>
              <w:t>50–</w:t>
            </w:r>
            <w:r w:rsidR="00CE7831" w:rsidRPr="00363A65">
              <w:t>54</w:t>
            </w:r>
          </w:p>
        </w:tc>
        <w:tc>
          <w:tcPr>
            <w:tcW w:w="501"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79.4</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84.1</w:t>
            </w:r>
          </w:p>
        </w:tc>
        <w:tc>
          <w:tcPr>
            <w:tcW w:w="502" w:type="pct"/>
            <w:tcBorders>
              <w:top w:val="nil"/>
              <w:left w:val="nil"/>
              <w:right w:val="nil"/>
            </w:tcBorders>
            <w:shd w:val="clear" w:color="auto" w:fill="auto"/>
            <w:noWrap/>
            <w:vAlign w:val="bottom"/>
            <w:hideMark/>
          </w:tcPr>
          <w:p w:rsidR="00CE7831" w:rsidRPr="00363A65" w:rsidRDefault="00CE7831" w:rsidP="00076DC7">
            <w:pPr>
              <w:pStyle w:val="Tabletext"/>
              <w:tabs>
                <w:tab w:val="decimal" w:pos="162"/>
              </w:tabs>
            </w:pPr>
            <w:r w:rsidRPr="00363A65">
              <w:t>4.7</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78.6</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80.1</w:t>
            </w:r>
          </w:p>
        </w:tc>
        <w:tc>
          <w:tcPr>
            <w:tcW w:w="494" w:type="pct"/>
            <w:tcBorders>
              <w:top w:val="nil"/>
              <w:left w:val="nil"/>
              <w:right w:val="nil"/>
            </w:tcBorders>
            <w:shd w:val="clear" w:color="auto" w:fill="auto"/>
            <w:noWrap/>
            <w:vAlign w:val="bottom"/>
            <w:hideMark/>
          </w:tcPr>
          <w:p w:rsidR="00CE7831" w:rsidRPr="00363A65" w:rsidRDefault="00CE7831" w:rsidP="006C2D89">
            <w:pPr>
              <w:pStyle w:val="Tabletext"/>
              <w:tabs>
                <w:tab w:val="decimal" w:pos="270"/>
              </w:tabs>
            </w:pPr>
            <w:r w:rsidRPr="00363A65">
              <w:t>1.5</w:t>
            </w:r>
          </w:p>
        </w:tc>
        <w:tc>
          <w:tcPr>
            <w:tcW w:w="663" w:type="pct"/>
            <w:tcBorders>
              <w:top w:val="nil"/>
              <w:left w:val="nil"/>
              <w:right w:val="nil"/>
            </w:tcBorders>
            <w:shd w:val="clear" w:color="auto" w:fill="auto"/>
            <w:noWrap/>
            <w:vAlign w:val="bottom"/>
            <w:hideMark/>
          </w:tcPr>
          <w:p w:rsidR="00CE7831" w:rsidRPr="00363A65" w:rsidRDefault="00CE7831" w:rsidP="00076DC7">
            <w:pPr>
              <w:pStyle w:val="Tabletext"/>
              <w:tabs>
                <w:tab w:val="decimal" w:pos="316"/>
              </w:tabs>
            </w:pPr>
            <w:r w:rsidRPr="00363A65">
              <w:t>3.2</w:t>
            </w:r>
          </w:p>
        </w:tc>
      </w:tr>
      <w:tr w:rsidR="006C2D89" w:rsidRPr="00363A65" w:rsidTr="006C2D89">
        <w:trPr>
          <w:trHeight w:val="300"/>
        </w:trPr>
        <w:tc>
          <w:tcPr>
            <w:tcW w:w="1340" w:type="pct"/>
            <w:gridSpan w:val="2"/>
            <w:tcBorders>
              <w:top w:val="nil"/>
              <w:left w:val="nil"/>
              <w:bottom w:val="nil"/>
              <w:right w:val="nil"/>
            </w:tcBorders>
            <w:shd w:val="clear" w:color="auto" w:fill="auto"/>
            <w:noWrap/>
            <w:vAlign w:val="bottom"/>
            <w:hideMark/>
          </w:tcPr>
          <w:p w:rsidR="00CE7831" w:rsidRPr="00363A65" w:rsidRDefault="00CE7831" w:rsidP="004A769C">
            <w:pPr>
              <w:pStyle w:val="Tabletext"/>
            </w:pPr>
            <w:r>
              <w:t>C</w:t>
            </w:r>
            <w:r w:rsidRPr="00363A65">
              <w:t>ountry of birth</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pP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Australia</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81.7</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85.4</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3.7</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77.1</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79.5</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2.4</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1.3</w:t>
            </w:r>
          </w:p>
        </w:tc>
      </w:tr>
      <w:tr w:rsidR="006C2D89" w:rsidRPr="00363A65" w:rsidTr="006C2D89">
        <w:trPr>
          <w:trHeight w:val="300"/>
        </w:trPr>
        <w:tc>
          <w:tcPr>
            <w:tcW w:w="249" w:type="pct"/>
            <w:tcBorders>
              <w:top w:val="nil"/>
              <w:left w:val="nil"/>
              <w:right w:val="nil"/>
            </w:tcBorders>
            <w:shd w:val="clear" w:color="auto" w:fill="auto"/>
            <w:noWrap/>
            <w:vAlign w:val="bottom"/>
            <w:hideMark/>
          </w:tcPr>
          <w:p w:rsidR="00CE7831" w:rsidRPr="00363A65" w:rsidRDefault="00CE7831" w:rsidP="004A769C">
            <w:pPr>
              <w:pStyle w:val="Tabletext"/>
            </w:pPr>
            <w:r w:rsidRPr="00363A65">
              <w:t> </w:t>
            </w:r>
          </w:p>
        </w:tc>
        <w:tc>
          <w:tcPr>
            <w:tcW w:w="1091" w:type="pct"/>
            <w:tcBorders>
              <w:top w:val="nil"/>
              <w:left w:val="nil"/>
              <w:right w:val="nil"/>
            </w:tcBorders>
            <w:shd w:val="clear" w:color="auto" w:fill="auto"/>
            <w:noWrap/>
            <w:vAlign w:val="bottom"/>
            <w:hideMark/>
          </w:tcPr>
          <w:p w:rsidR="00CE7831" w:rsidRPr="00363A65" w:rsidRDefault="00CE7831" w:rsidP="004A769C">
            <w:pPr>
              <w:pStyle w:val="Tabletext"/>
            </w:pPr>
            <w:r>
              <w:t>Foreign</w:t>
            </w:r>
          </w:p>
        </w:tc>
        <w:tc>
          <w:tcPr>
            <w:tcW w:w="501"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71.4</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79.1</w:t>
            </w:r>
          </w:p>
        </w:tc>
        <w:tc>
          <w:tcPr>
            <w:tcW w:w="502" w:type="pct"/>
            <w:tcBorders>
              <w:top w:val="nil"/>
              <w:left w:val="nil"/>
              <w:right w:val="nil"/>
            </w:tcBorders>
            <w:shd w:val="clear" w:color="auto" w:fill="auto"/>
            <w:noWrap/>
            <w:vAlign w:val="bottom"/>
            <w:hideMark/>
          </w:tcPr>
          <w:p w:rsidR="00CE7831" w:rsidRPr="00363A65" w:rsidRDefault="00CE7831" w:rsidP="00076DC7">
            <w:pPr>
              <w:pStyle w:val="Tabletext"/>
              <w:tabs>
                <w:tab w:val="decimal" w:pos="162"/>
              </w:tabs>
            </w:pPr>
            <w:r w:rsidRPr="00363A65">
              <w:t>7.7</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73.4</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77.5</w:t>
            </w:r>
          </w:p>
        </w:tc>
        <w:tc>
          <w:tcPr>
            <w:tcW w:w="494" w:type="pct"/>
            <w:tcBorders>
              <w:top w:val="nil"/>
              <w:left w:val="nil"/>
              <w:right w:val="nil"/>
            </w:tcBorders>
            <w:shd w:val="clear" w:color="auto" w:fill="auto"/>
            <w:noWrap/>
            <w:vAlign w:val="bottom"/>
            <w:hideMark/>
          </w:tcPr>
          <w:p w:rsidR="00CE7831" w:rsidRPr="00363A65" w:rsidRDefault="00CE7831" w:rsidP="006C2D89">
            <w:pPr>
              <w:pStyle w:val="Tabletext"/>
              <w:tabs>
                <w:tab w:val="decimal" w:pos="270"/>
              </w:tabs>
            </w:pPr>
            <w:r w:rsidRPr="00363A65">
              <w:t>4.1</w:t>
            </w:r>
          </w:p>
        </w:tc>
        <w:tc>
          <w:tcPr>
            <w:tcW w:w="663" w:type="pct"/>
            <w:tcBorders>
              <w:top w:val="nil"/>
              <w:left w:val="nil"/>
              <w:right w:val="nil"/>
            </w:tcBorders>
            <w:shd w:val="clear" w:color="auto" w:fill="auto"/>
            <w:noWrap/>
            <w:vAlign w:val="bottom"/>
            <w:hideMark/>
          </w:tcPr>
          <w:p w:rsidR="00CE7831" w:rsidRPr="00363A65" w:rsidRDefault="00CE7831" w:rsidP="00076DC7">
            <w:pPr>
              <w:pStyle w:val="Tabletext"/>
              <w:tabs>
                <w:tab w:val="decimal" w:pos="316"/>
              </w:tabs>
            </w:pPr>
            <w:r w:rsidRPr="00363A65">
              <w:t>3.6</w:t>
            </w:r>
          </w:p>
        </w:tc>
      </w:tr>
      <w:tr w:rsidR="006C2D89" w:rsidRPr="00363A65" w:rsidTr="006C2D89">
        <w:trPr>
          <w:trHeight w:val="300"/>
        </w:trPr>
        <w:tc>
          <w:tcPr>
            <w:tcW w:w="1340" w:type="pct"/>
            <w:gridSpan w:val="2"/>
            <w:tcBorders>
              <w:top w:val="nil"/>
              <w:left w:val="nil"/>
              <w:bottom w:val="nil"/>
              <w:right w:val="nil"/>
            </w:tcBorders>
            <w:shd w:val="clear" w:color="auto" w:fill="auto"/>
            <w:noWrap/>
            <w:vAlign w:val="bottom"/>
            <w:hideMark/>
          </w:tcPr>
          <w:p w:rsidR="00CE7831" w:rsidRPr="00363A65" w:rsidRDefault="00CE7831" w:rsidP="004A769C">
            <w:pPr>
              <w:pStyle w:val="Tabletext"/>
            </w:pPr>
            <w:r>
              <w:t>I</w:t>
            </w:r>
            <w:r w:rsidRPr="00363A65">
              <w:t>ndigenous status</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pP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i</w:t>
            </w:r>
            <w:r w:rsidRPr="00363A65">
              <w:t>ndigenous</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75.9</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74.2</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-1.7</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64.5</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68.2</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3.7</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-5.4</w:t>
            </w:r>
          </w:p>
        </w:tc>
      </w:tr>
      <w:tr w:rsidR="006C2D89" w:rsidRPr="00363A65" w:rsidTr="006C2D89">
        <w:trPr>
          <w:trHeight w:val="300"/>
        </w:trPr>
        <w:tc>
          <w:tcPr>
            <w:tcW w:w="249" w:type="pct"/>
            <w:tcBorders>
              <w:top w:val="nil"/>
              <w:left w:val="nil"/>
              <w:right w:val="nil"/>
            </w:tcBorders>
            <w:shd w:val="clear" w:color="auto" w:fill="auto"/>
            <w:noWrap/>
            <w:vAlign w:val="bottom"/>
            <w:hideMark/>
          </w:tcPr>
          <w:p w:rsidR="00CE7831" w:rsidRPr="00363A65" w:rsidRDefault="00CE7831" w:rsidP="004A769C">
            <w:pPr>
              <w:pStyle w:val="Tabletext"/>
            </w:pPr>
            <w:r w:rsidRPr="00363A65">
              <w:t> </w:t>
            </w:r>
          </w:p>
        </w:tc>
        <w:tc>
          <w:tcPr>
            <w:tcW w:w="1091" w:type="pct"/>
            <w:tcBorders>
              <w:top w:val="nil"/>
              <w:left w:val="nil"/>
              <w:right w:val="nil"/>
            </w:tcBorders>
            <w:shd w:val="clear" w:color="auto" w:fill="auto"/>
            <w:noWrap/>
            <w:vAlign w:val="bottom"/>
            <w:hideMark/>
          </w:tcPr>
          <w:p w:rsidR="00CE7831" w:rsidRPr="00363A65" w:rsidRDefault="00CE7831" w:rsidP="004A769C">
            <w:pPr>
              <w:pStyle w:val="Tabletext"/>
            </w:pPr>
            <w:r>
              <w:t>N</w:t>
            </w:r>
            <w:r w:rsidRPr="00363A65">
              <w:t>on</w:t>
            </w:r>
            <w:r w:rsidR="005D0636">
              <w:t>-I</w:t>
            </w:r>
            <w:r w:rsidRPr="00363A65">
              <w:t>ndigenous</w:t>
            </w:r>
          </w:p>
        </w:tc>
        <w:tc>
          <w:tcPr>
            <w:tcW w:w="501"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78.2</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83.3</w:t>
            </w:r>
          </w:p>
        </w:tc>
        <w:tc>
          <w:tcPr>
            <w:tcW w:w="502" w:type="pct"/>
            <w:tcBorders>
              <w:top w:val="nil"/>
              <w:left w:val="nil"/>
              <w:right w:val="nil"/>
            </w:tcBorders>
            <w:shd w:val="clear" w:color="auto" w:fill="auto"/>
            <w:noWrap/>
            <w:vAlign w:val="bottom"/>
            <w:hideMark/>
          </w:tcPr>
          <w:p w:rsidR="00CE7831" w:rsidRPr="00363A65" w:rsidRDefault="00CE7831" w:rsidP="00076DC7">
            <w:pPr>
              <w:pStyle w:val="Tabletext"/>
              <w:tabs>
                <w:tab w:val="decimal" w:pos="162"/>
              </w:tabs>
            </w:pPr>
            <w:r w:rsidRPr="00363A65">
              <w:t>5.0</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76.5</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79.4</w:t>
            </w:r>
          </w:p>
        </w:tc>
        <w:tc>
          <w:tcPr>
            <w:tcW w:w="494" w:type="pct"/>
            <w:tcBorders>
              <w:top w:val="nil"/>
              <w:left w:val="nil"/>
              <w:right w:val="nil"/>
            </w:tcBorders>
            <w:shd w:val="clear" w:color="auto" w:fill="auto"/>
            <w:noWrap/>
            <w:vAlign w:val="bottom"/>
            <w:hideMark/>
          </w:tcPr>
          <w:p w:rsidR="00CE7831" w:rsidRPr="00363A65" w:rsidRDefault="00CE7831" w:rsidP="006C2D89">
            <w:pPr>
              <w:pStyle w:val="Tabletext"/>
              <w:tabs>
                <w:tab w:val="decimal" w:pos="270"/>
              </w:tabs>
            </w:pPr>
            <w:r w:rsidRPr="00363A65">
              <w:t>2.9</w:t>
            </w:r>
          </w:p>
        </w:tc>
        <w:tc>
          <w:tcPr>
            <w:tcW w:w="663" w:type="pct"/>
            <w:tcBorders>
              <w:top w:val="nil"/>
              <w:left w:val="nil"/>
              <w:right w:val="nil"/>
            </w:tcBorders>
            <w:shd w:val="clear" w:color="auto" w:fill="auto"/>
            <w:noWrap/>
            <w:vAlign w:val="bottom"/>
            <w:hideMark/>
          </w:tcPr>
          <w:p w:rsidR="00CE7831" w:rsidRPr="00363A65" w:rsidRDefault="00CE7831" w:rsidP="00076DC7">
            <w:pPr>
              <w:pStyle w:val="Tabletext"/>
              <w:tabs>
                <w:tab w:val="decimal" w:pos="316"/>
              </w:tabs>
            </w:pPr>
            <w:r w:rsidRPr="00363A65">
              <w:t>2.1</w:t>
            </w:r>
          </w:p>
        </w:tc>
      </w:tr>
      <w:tr w:rsidR="006C2D89" w:rsidRPr="00363A65" w:rsidTr="006C2D89">
        <w:trPr>
          <w:trHeight w:val="300"/>
        </w:trPr>
        <w:tc>
          <w:tcPr>
            <w:tcW w:w="1340" w:type="pct"/>
            <w:gridSpan w:val="2"/>
            <w:tcBorders>
              <w:top w:val="nil"/>
              <w:left w:val="nil"/>
              <w:bottom w:val="nil"/>
              <w:right w:val="nil"/>
            </w:tcBorders>
            <w:shd w:val="clear" w:color="auto" w:fill="auto"/>
            <w:noWrap/>
            <w:vAlign w:val="bottom"/>
            <w:hideMark/>
          </w:tcPr>
          <w:p w:rsidR="00CE7831" w:rsidRPr="00363A65" w:rsidRDefault="00CE7831" w:rsidP="004A769C">
            <w:pPr>
              <w:pStyle w:val="Tabletext"/>
            </w:pPr>
            <w:r>
              <w:t>L</w:t>
            </w:r>
            <w:r w:rsidRPr="00363A65">
              <w:t>ocation</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pP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U</w:t>
            </w:r>
            <w:r w:rsidRPr="00363A65">
              <w:t>rban</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78.1</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83.0</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4.9</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75.4</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78.5</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59"/>
              </w:tabs>
            </w:pPr>
            <w:r w:rsidRPr="00363A65">
              <w:t>3.2</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1.7</w:t>
            </w:r>
          </w:p>
        </w:tc>
      </w:tr>
      <w:tr w:rsidR="006C2D89" w:rsidRPr="00363A65" w:rsidTr="006C2D89">
        <w:trPr>
          <w:trHeight w:val="300"/>
        </w:trPr>
        <w:tc>
          <w:tcPr>
            <w:tcW w:w="249" w:type="pct"/>
            <w:tcBorders>
              <w:top w:val="nil"/>
              <w:left w:val="nil"/>
              <w:right w:val="nil"/>
            </w:tcBorders>
            <w:shd w:val="clear" w:color="auto" w:fill="auto"/>
            <w:noWrap/>
            <w:vAlign w:val="bottom"/>
            <w:hideMark/>
          </w:tcPr>
          <w:p w:rsidR="00CE7831" w:rsidRPr="00363A65" w:rsidRDefault="00CE7831" w:rsidP="004A769C">
            <w:pPr>
              <w:pStyle w:val="Tabletext"/>
            </w:pPr>
            <w:r w:rsidRPr="00363A65">
              <w:t> </w:t>
            </w:r>
          </w:p>
        </w:tc>
        <w:tc>
          <w:tcPr>
            <w:tcW w:w="1091" w:type="pct"/>
            <w:tcBorders>
              <w:top w:val="nil"/>
              <w:left w:val="nil"/>
              <w:right w:val="nil"/>
            </w:tcBorders>
            <w:shd w:val="clear" w:color="auto" w:fill="auto"/>
            <w:noWrap/>
            <w:vAlign w:val="bottom"/>
            <w:hideMark/>
          </w:tcPr>
          <w:p w:rsidR="00CE7831" w:rsidRPr="00363A65" w:rsidRDefault="00CE7831" w:rsidP="004A769C">
            <w:pPr>
              <w:pStyle w:val="Tabletext"/>
            </w:pPr>
            <w:r>
              <w:t>R</w:t>
            </w:r>
            <w:r w:rsidRPr="00363A65">
              <w:t>ural</w:t>
            </w:r>
          </w:p>
        </w:tc>
        <w:tc>
          <w:tcPr>
            <w:tcW w:w="501" w:type="pct"/>
            <w:tcBorders>
              <w:top w:val="nil"/>
              <w:left w:val="nil"/>
              <w:right w:val="nil"/>
            </w:tcBorders>
            <w:shd w:val="clear" w:color="auto" w:fill="auto"/>
            <w:noWrap/>
            <w:vAlign w:val="bottom"/>
            <w:hideMark/>
          </w:tcPr>
          <w:p w:rsidR="00CE7831" w:rsidRPr="00363A65" w:rsidRDefault="00CE7831" w:rsidP="004A769C">
            <w:pPr>
              <w:pStyle w:val="Tabletext"/>
            </w:pPr>
            <w:r w:rsidRPr="00363A65">
              <w:t>81.2</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84.5</w:t>
            </w:r>
          </w:p>
        </w:tc>
        <w:tc>
          <w:tcPr>
            <w:tcW w:w="502" w:type="pct"/>
            <w:tcBorders>
              <w:top w:val="nil"/>
              <w:left w:val="nil"/>
              <w:right w:val="nil"/>
            </w:tcBorders>
            <w:shd w:val="clear" w:color="auto" w:fill="auto"/>
            <w:noWrap/>
            <w:vAlign w:val="bottom"/>
            <w:hideMark/>
          </w:tcPr>
          <w:p w:rsidR="00CE7831" w:rsidRPr="00363A65" w:rsidRDefault="00CE7831" w:rsidP="00076DC7">
            <w:pPr>
              <w:pStyle w:val="Tabletext"/>
              <w:tabs>
                <w:tab w:val="decimal" w:pos="162"/>
              </w:tabs>
            </w:pPr>
            <w:r w:rsidRPr="00363A65">
              <w:t>3.3</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79.9</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79.3</w:t>
            </w:r>
          </w:p>
        </w:tc>
        <w:tc>
          <w:tcPr>
            <w:tcW w:w="494" w:type="pct"/>
            <w:tcBorders>
              <w:top w:val="nil"/>
              <w:left w:val="nil"/>
              <w:right w:val="nil"/>
            </w:tcBorders>
            <w:shd w:val="clear" w:color="auto" w:fill="auto"/>
            <w:noWrap/>
            <w:vAlign w:val="bottom"/>
            <w:hideMark/>
          </w:tcPr>
          <w:p w:rsidR="00CE7831" w:rsidRPr="00363A65" w:rsidRDefault="00CE7831" w:rsidP="006C2D89">
            <w:pPr>
              <w:pStyle w:val="Tabletext"/>
              <w:tabs>
                <w:tab w:val="decimal" w:pos="259"/>
              </w:tabs>
            </w:pPr>
            <w:r w:rsidRPr="00363A65">
              <w:t>-0.6</w:t>
            </w:r>
          </w:p>
        </w:tc>
        <w:tc>
          <w:tcPr>
            <w:tcW w:w="663" w:type="pct"/>
            <w:tcBorders>
              <w:top w:val="nil"/>
              <w:left w:val="nil"/>
              <w:right w:val="nil"/>
            </w:tcBorders>
            <w:shd w:val="clear" w:color="auto" w:fill="auto"/>
            <w:noWrap/>
            <w:vAlign w:val="bottom"/>
            <w:hideMark/>
          </w:tcPr>
          <w:p w:rsidR="00CE7831" w:rsidRPr="00363A65" w:rsidRDefault="00CE7831" w:rsidP="00076DC7">
            <w:pPr>
              <w:pStyle w:val="Tabletext"/>
              <w:tabs>
                <w:tab w:val="decimal" w:pos="316"/>
              </w:tabs>
            </w:pPr>
            <w:r w:rsidRPr="00363A65">
              <w:t>3.9</w:t>
            </w:r>
          </w:p>
        </w:tc>
      </w:tr>
      <w:tr w:rsidR="006C2D89" w:rsidRPr="00363A65" w:rsidTr="006C2D89">
        <w:trPr>
          <w:trHeight w:val="300"/>
        </w:trPr>
        <w:tc>
          <w:tcPr>
            <w:tcW w:w="1340" w:type="pct"/>
            <w:gridSpan w:val="2"/>
            <w:tcBorders>
              <w:top w:val="nil"/>
              <w:left w:val="nil"/>
              <w:bottom w:val="nil"/>
              <w:right w:val="nil"/>
            </w:tcBorders>
            <w:shd w:val="clear" w:color="auto" w:fill="auto"/>
            <w:noWrap/>
            <w:vAlign w:val="bottom"/>
            <w:hideMark/>
          </w:tcPr>
          <w:p w:rsidR="00CE7831" w:rsidRPr="00363A65" w:rsidRDefault="00CE7831" w:rsidP="004A769C">
            <w:pPr>
              <w:pStyle w:val="Tabletext"/>
            </w:pPr>
            <w:r>
              <w:t>H</w:t>
            </w:r>
            <w:r w:rsidRPr="00363A65">
              <w:t>ighest previous education</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pP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B</w:t>
            </w:r>
            <w:r w:rsidRPr="00363A65">
              <w:t>achelor and above</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77.3</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88.3</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10.9</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76.6</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80.2</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3.6</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7.3</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D</w:t>
            </w:r>
            <w:r w:rsidRPr="00363A65">
              <w:t>iploma &amp; adv</w:t>
            </w:r>
            <w:r w:rsidR="0079345A">
              <w:t>.</w:t>
            </w:r>
            <w:r w:rsidRPr="00363A65">
              <w:t xml:space="preserve"> dip</w:t>
            </w:r>
            <w:r w:rsidR="0079345A">
              <w:t>.</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78.4</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87.9</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9.5</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76.0</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79.8</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3.8</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5.8</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C</w:t>
            </w:r>
            <w:r w:rsidRPr="00363A65">
              <w:t>ertificate III &amp; IV</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80.9</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86.5</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5.6</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76.1</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79.7</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3.7</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1.9</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C</w:t>
            </w:r>
            <w:r w:rsidRPr="00363A65">
              <w:t>ertificate I &amp; II</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74.7</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78.1</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3.3</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72.6</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74.7</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2.1</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1.3</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C</w:t>
            </w:r>
            <w:r w:rsidRPr="00363A65">
              <w:t xml:space="preserve">ertificate </w:t>
            </w:r>
            <w:proofErr w:type="spellStart"/>
            <w:r w:rsidRPr="00363A65">
              <w:t>nfd</w:t>
            </w:r>
            <w:proofErr w:type="spellEnd"/>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75.6</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78.6</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3.0</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65.4</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77.4</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12.1</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-9.1</w:t>
            </w:r>
          </w:p>
        </w:tc>
      </w:tr>
      <w:tr w:rsidR="006C2D89" w:rsidRPr="00363A65" w:rsidTr="006C2D89">
        <w:trPr>
          <w:trHeight w:val="300"/>
        </w:trPr>
        <w:tc>
          <w:tcPr>
            <w:tcW w:w="249" w:type="pct"/>
            <w:tcBorders>
              <w:top w:val="nil"/>
              <w:left w:val="nil"/>
              <w:right w:val="nil"/>
            </w:tcBorders>
            <w:shd w:val="clear" w:color="auto" w:fill="auto"/>
            <w:noWrap/>
            <w:vAlign w:val="bottom"/>
            <w:hideMark/>
          </w:tcPr>
          <w:p w:rsidR="00CE7831" w:rsidRPr="00363A65" w:rsidRDefault="00CE7831" w:rsidP="004A769C">
            <w:pPr>
              <w:pStyle w:val="Tabletext"/>
            </w:pPr>
            <w:r w:rsidRPr="00363A65">
              <w:t> </w:t>
            </w:r>
          </w:p>
        </w:tc>
        <w:tc>
          <w:tcPr>
            <w:tcW w:w="1091" w:type="pct"/>
            <w:tcBorders>
              <w:top w:val="nil"/>
              <w:left w:val="nil"/>
              <w:right w:val="nil"/>
            </w:tcBorders>
            <w:shd w:val="clear" w:color="auto" w:fill="auto"/>
            <w:noWrap/>
            <w:vAlign w:val="bottom"/>
            <w:hideMark/>
          </w:tcPr>
          <w:p w:rsidR="00CE7831" w:rsidRPr="00363A65" w:rsidRDefault="00CE7831" w:rsidP="004A769C">
            <w:pPr>
              <w:pStyle w:val="Tabletext"/>
            </w:pPr>
            <w:r>
              <w:t>O</w:t>
            </w:r>
            <w:r w:rsidRPr="00363A65">
              <w:t>ther</w:t>
            </w:r>
          </w:p>
        </w:tc>
        <w:tc>
          <w:tcPr>
            <w:tcW w:w="501"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78.0</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81.2</w:t>
            </w:r>
          </w:p>
        </w:tc>
        <w:tc>
          <w:tcPr>
            <w:tcW w:w="502" w:type="pct"/>
            <w:tcBorders>
              <w:top w:val="nil"/>
              <w:left w:val="nil"/>
              <w:right w:val="nil"/>
            </w:tcBorders>
            <w:shd w:val="clear" w:color="auto" w:fill="auto"/>
            <w:noWrap/>
            <w:vAlign w:val="bottom"/>
            <w:hideMark/>
          </w:tcPr>
          <w:p w:rsidR="00CE7831" w:rsidRPr="00363A65" w:rsidRDefault="00CE7831" w:rsidP="00076DC7">
            <w:pPr>
              <w:pStyle w:val="Tabletext"/>
              <w:tabs>
                <w:tab w:val="decimal" w:pos="162"/>
              </w:tabs>
            </w:pPr>
            <w:r w:rsidRPr="00363A65">
              <w:t>3.2</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75.9</w:t>
            </w:r>
          </w:p>
        </w:tc>
        <w:tc>
          <w:tcPr>
            <w:tcW w:w="500" w:type="pct"/>
            <w:tcBorders>
              <w:top w:val="nil"/>
              <w:left w:val="nil"/>
              <w:right w:val="nil"/>
            </w:tcBorders>
            <w:shd w:val="clear" w:color="auto" w:fill="auto"/>
            <w:noWrap/>
            <w:vAlign w:val="bottom"/>
            <w:hideMark/>
          </w:tcPr>
          <w:p w:rsidR="00CE7831" w:rsidRPr="00363A65" w:rsidRDefault="00CE7831" w:rsidP="004A769C">
            <w:pPr>
              <w:pStyle w:val="Tabletext"/>
            </w:pPr>
            <w:r w:rsidRPr="00363A65">
              <w:t>77.4</w:t>
            </w:r>
          </w:p>
        </w:tc>
        <w:tc>
          <w:tcPr>
            <w:tcW w:w="494" w:type="pct"/>
            <w:tcBorders>
              <w:top w:val="nil"/>
              <w:left w:val="nil"/>
              <w:right w:val="nil"/>
            </w:tcBorders>
            <w:shd w:val="clear" w:color="auto" w:fill="auto"/>
            <w:noWrap/>
            <w:vAlign w:val="bottom"/>
            <w:hideMark/>
          </w:tcPr>
          <w:p w:rsidR="00CE7831" w:rsidRPr="00363A65" w:rsidRDefault="00CE7831" w:rsidP="006C2D89">
            <w:pPr>
              <w:pStyle w:val="Tabletext"/>
              <w:tabs>
                <w:tab w:val="decimal" w:pos="270"/>
              </w:tabs>
            </w:pPr>
            <w:r w:rsidRPr="00363A65">
              <w:t>1.6</w:t>
            </w:r>
          </w:p>
        </w:tc>
        <w:tc>
          <w:tcPr>
            <w:tcW w:w="663" w:type="pct"/>
            <w:tcBorders>
              <w:top w:val="nil"/>
              <w:left w:val="nil"/>
              <w:right w:val="nil"/>
            </w:tcBorders>
            <w:shd w:val="clear" w:color="auto" w:fill="auto"/>
            <w:noWrap/>
            <w:vAlign w:val="bottom"/>
            <w:hideMark/>
          </w:tcPr>
          <w:p w:rsidR="00CE7831" w:rsidRPr="00363A65" w:rsidRDefault="00CE7831" w:rsidP="00076DC7">
            <w:pPr>
              <w:pStyle w:val="Tabletext"/>
              <w:tabs>
                <w:tab w:val="decimal" w:pos="316"/>
              </w:tabs>
            </w:pPr>
            <w:r w:rsidRPr="00363A65">
              <w:t>1.6</w:t>
            </w:r>
          </w:p>
        </w:tc>
      </w:tr>
      <w:tr w:rsidR="006C2D89" w:rsidRPr="00363A65" w:rsidTr="006C2D89">
        <w:trPr>
          <w:trHeight w:val="300"/>
        </w:trPr>
        <w:tc>
          <w:tcPr>
            <w:tcW w:w="1340" w:type="pct"/>
            <w:gridSpan w:val="2"/>
            <w:tcBorders>
              <w:left w:val="nil"/>
              <w:right w:val="nil"/>
            </w:tcBorders>
            <w:shd w:val="clear" w:color="auto" w:fill="auto"/>
            <w:noWrap/>
            <w:vAlign w:val="bottom"/>
            <w:hideMark/>
          </w:tcPr>
          <w:p w:rsidR="00CE7831" w:rsidRPr="00831BE1" w:rsidRDefault="00CE7831" w:rsidP="004A769C">
            <w:pPr>
              <w:pStyle w:val="Tabletext"/>
              <w:rPr>
                <w:vertAlign w:val="superscript"/>
              </w:rPr>
            </w:pPr>
            <w:proofErr w:type="spellStart"/>
            <w:r>
              <w:t>D</w:t>
            </w:r>
            <w:r w:rsidRPr="00363A65">
              <w:t>isability</w:t>
            </w:r>
            <w:r w:rsidR="00831BE1">
              <w:rPr>
                <w:vertAlign w:val="superscript"/>
              </w:rPr>
              <w:t>b</w:t>
            </w:r>
            <w:proofErr w:type="spellEnd"/>
          </w:p>
        </w:tc>
        <w:tc>
          <w:tcPr>
            <w:tcW w:w="501" w:type="pct"/>
            <w:tcBorders>
              <w:left w:val="nil"/>
              <w:right w:val="nil"/>
            </w:tcBorders>
            <w:shd w:val="clear" w:color="auto" w:fill="auto"/>
            <w:noWrap/>
            <w:vAlign w:val="bottom"/>
            <w:hideMark/>
          </w:tcPr>
          <w:p w:rsidR="00CE7831" w:rsidRPr="00363A65" w:rsidRDefault="00CE7831" w:rsidP="004A769C">
            <w:pPr>
              <w:pStyle w:val="Tabletext"/>
            </w:pPr>
            <w:r w:rsidRPr="00363A65">
              <w:t>70.1</w:t>
            </w:r>
          </w:p>
        </w:tc>
        <w:tc>
          <w:tcPr>
            <w:tcW w:w="500" w:type="pct"/>
            <w:tcBorders>
              <w:left w:val="nil"/>
              <w:right w:val="nil"/>
            </w:tcBorders>
            <w:shd w:val="clear" w:color="auto" w:fill="auto"/>
            <w:noWrap/>
            <w:vAlign w:val="bottom"/>
            <w:hideMark/>
          </w:tcPr>
          <w:p w:rsidR="00CE7831" w:rsidRPr="00363A65" w:rsidRDefault="00CE7831" w:rsidP="004A769C">
            <w:pPr>
              <w:pStyle w:val="Tabletext"/>
            </w:pPr>
            <w:r w:rsidRPr="00363A65">
              <w:t>73.8</w:t>
            </w:r>
          </w:p>
        </w:tc>
        <w:tc>
          <w:tcPr>
            <w:tcW w:w="502" w:type="pct"/>
            <w:tcBorders>
              <w:left w:val="nil"/>
              <w:right w:val="nil"/>
            </w:tcBorders>
            <w:shd w:val="clear" w:color="auto" w:fill="auto"/>
            <w:noWrap/>
            <w:vAlign w:val="bottom"/>
            <w:hideMark/>
          </w:tcPr>
          <w:p w:rsidR="00CE7831" w:rsidRPr="00363A65" w:rsidRDefault="00CE7831" w:rsidP="00076DC7">
            <w:pPr>
              <w:pStyle w:val="Tabletext"/>
              <w:tabs>
                <w:tab w:val="decimal" w:pos="162"/>
              </w:tabs>
            </w:pPr>
            <w:r w:rsidRPr="00363A65">
              <w:t>3.8</w:t>
            </w:r>
          </w:p>
        </w:tc>
        <w:tc>
          <w:tcPr>
            <w:tcW w:w="500" w:type="pct"/>
            <w:tcBorders>
              <w:left w:val="nil"/>
              <w:right w:val="nil"/>
            </w:tcBorders>
            <w:shd w:val="clear" w:color="auto" w:fill="auto"/>
            <w:noWrap/>
            <w:vAlign w:val="bottom"/>
            <w:hideMark/>
          </w:tcPr>
          <w:p w:rsidR="00CE7831" w:rsidRPr="00363A65" w:rsidRDefault="00CE7831" w:rsidP="004A769C">
            <w:pPr>
              <w:pStyle w:val="Tabletext"/>
            </w:pPr>
            <w:r w:rsidRPr="00363A65">
              <w:t>61.8</w:t>
            </w:r>
          </w:p>
        </w:tc>
        <w:tc>
          <w:tcPr>
            <w:tcW w:w="500" w:type="pct"/>
            <w:tcBorders>
              <w:left w:val="nil"/>
              <w:right w:val="nil"/>
            </w:tcBorders>
            <w:shd w:val="clear" w:color="auto" w:fill="auto"/>
            <w:noWrap/>
            <w:vAlign w:val="bottom"/>
            <w:hideMark/>
          </w:tcPr>
          <w:p w:rsidR="00CE7831" w:rsidRPr="00363A65" w:rsidRDefault="00CE7831" w:rsidP="004A769C">
            <w:pPr>
              <w:pStyle w:val="Tabletext"/>
            </w:pPr>
            <w:r w:rsidRPr="00363A65">
              <w:t>69.5</w:t>
            </w:r>
          </w:p>
        </w:tc>
        <w:tc>
          <w:tcPr>
            <w:tcW w:w="494" w:type="pct"/>
            <w:tcBorders>
              <w:left w:val="nil"/>
              <w:right w:val="nil"/>
            </w:tcBorders>
            <w:shd w:val="clear" w:color="auto" w:fill="auto"/>
            <w:noWrap/>
            <w:vAlign w:val="bottom"/>
            <w:hideMark/>
          </w:tcPr>
          <w:p w:rsidR="00CE7831" w:rsidRPr="00363A65" w:rsidRDefault="00CE7831" w:rsidP="006C2D89">
            <w:pPr>
              <w:pStyle w:val="Tabletext"/>
              <w:tabs>
                <w:tab w:val="decimal" w:pos="270"/>
              </w:tabs>
            </w:pPr>
            <w:r w:rsidRPr="00363A65">
              <w:t>7.8</w:t>
            </w:r>
          </w:p>
        </w:tc>
        <w:tc>
          <w:tcPr>
            <w:tcW w:w="663" w:type="pct"/>
            <w:tcBorders>
              <w:left w:val="nil"/>
              <w:right w:val="nil"/>
            </w:tcBorders>
            <w:shd w:val="clear" w:color="auto" w:fill="auto"/>
            <w:noWrap/>
            <w:vAlign w:val="bottom"/>
            <w:hideMark/>
          </w:tcPr>
          <w:p w:rsidR="00CE7831" w:rsidRPr="00363A65" w:rsidRDefault="00CE7831" w:rsidP="00076DC7">
            <w:pPr>
              <w:pStyle w:val="Tabletext"/>
              <w:tabs>
                <w:tab w:val="decimal" w:pos="316"/>
              </w:tabs>
            </w:pPr>
            <w:r w:rsidRPr="00363A65">
              <w:t>-4.0</w:t>
            </w:r>
          </w:p>
        </w:tc>
      </w:tr>
      <w:tr w:rsidR="006C2D89" w:rsidRPr="00363A65" w:rsidTr="006C2D89">
        <w:trPr>
          <w:trHeight w:val="300"/>
        </w:trPr>
        <w:tc>
          <w:tcPr>
            <w:tcW w:w="1340" w:type="pct"/>
            <w:gridSpan w:val="2"/>
            <w:tcBorders>
              <w:left w:val="nil"/>
              <w:bottom w:val="nil"/>
              <w:right w:val="nil"/>
            </w:tcBorders>
            <w:shd w:val="clear" w:color="auto" w:fill="auto"/>
            <w:noWrap/>
            <w:vAlign w:val="bottom"/>
            <w:hideMark/>
          </w:tcPr>
          <w:p w:rsidR="00CE7831" w:rsidRPr="00831BE1" w:rsidRDefault="00CE7831" w:rsidP="004A769C">
            <w:pPr>
              <w:pStyle w:val="Tabletext"/>
              <w:rPr>
                <w:vertAlign w:val="superscript"/>
              </w:rPr>
            </w:pPr>
            <w:r>
              <w:t>L</w:t>
            </w:r>
            <w:r w:rsidRPr="00363A65">
              <w:t xml:space="preserve">abour force </w:t>
            </w:r>
            <w:proofErr w:type="spellStart"/>
            <w:r w:rsidRPr="00363A65">
              <w:t>status</w:t>
            </w:r>
            <w:r w:rsidR="00831BE1">
              <w:rPr>
                <w:vertAlign w:val="superscript"/>
              </w:rPr>
              <w:t>c</w:t>
            </w:r>
            <w:proofErr w:type="spellEnd"/>
          </w:p>
        </w:tc>
        <w:tc>
          <w:tcPr>
            <w:tcW w:w="501" w:type="pct"/>
            <w:tcBorders>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left w:val="nil"/>
              <w:bottom w:val="nil"/>
              <w:right w:val="nil"/>
            </w:tcBorders>
            <w:shd w:val="clear" w:color="auto" w:fill="auto"/>
            <w:noWrap/>
            <w:vAlign w:val="bottom"/>
            <w:hideMark/>
          </w:tcPr>
          <w:p w:rsidR="00CE7831" w:rsidRPr="00363A65" w:rsidRDefault="00CE7831" w:rsidP="004A769C">
            <w:pPr>
              <w:pStyle w:val="Tabletext"/>
            </w:pPr>
          </w:p>
        </w:tc>
        <w:tc>
          <w:tcPr>
            <w:tcW w:w="502" w:type="pct"/>
            <w:tcBorders>
              <w:left w:val="nil"/>
              <w:bottom w:val="nil"/>
              <w:right w:val="nil"/>
            </w:tcBorders>
            <w:shd w:val="clear" w:color="auto" w:fill="auto"/>
            <w:noWrap/>
            <w:vAlign w:val="bottom"/>
            <w:hideMark/>
          </w:tcPr>
          <w:p w:rsidR="00CE7831" w:rsidRPr="00363A65" w:rsidRDefault="00CE7831" w:rsidP="00076DC7">
            <w:pPr>
              <w:pStyle w:val="Tabletext"/>
              <w:tabs>
                <w:tab w:val="decimal" w:pos="162"/>
              </w:tabs>
            </w:pPr>
          </w:p>
        </w:tc>
        <w:tc>
          <w:tcPr>
            <w:tcW w:w="500" w:type="pct"/>
            <w:tcBorders>
              <w:left w:val="nil"/>
              <w:bottom w:val="nil"/>
              <w:right w:val="nil"/>
            </w:tcBorders>
            <w:shd w:val="clear" w:color="auto" w:fill="auto"/>
            <w:noWrap/>
            <w:vAlign w:val="bottom"/>
            <w:hideMark/>
          </w:tcPr>
          <w:p w:rsidR="00CE7831" w:rsidRPr="00363A65" w:rsidRDefault="00CE7831" w:rsidP="004A769C">
            <w:pPr>
              <w:pStyle w:val="Tabletext"/>
            </w:pPr>
          </w:p>
        </w:tc>
        <w:tc>
          <w:tcPr>
            <w:tcW w:w="500" w:type="pct"/>
            <w:tcBorders>
              <w:left w:val="nil"/>
              <w:bottom w:val="nil"/>
              <w:right w:val="nil"/>
            </w:tcBorders>
            <w:shd w:val="clear" w:color="auto" w:fill="auto"/>
            <w:noWrap/>
            <w:vAlign w:val="bottom"/>
            <w:hideMark/>
          </w:tcPr>
          <w:p w:rsidR="00CE7831" w:rsidRPr="00363A65" w:rsidRDefault="00CE7831" w:rsidP="004A769C">
            <w:pPr>
              <w:pStyle w:val="Tabletext"/>
            </w:pPr>
          </w:p>
        </w:tc>
        <w:tc>
          <w:tcPr>
            <w:tcW w:w="494" w:type="pct"/>
            <w:tcBorders>
              <w:left w:val="nil"/>
              <w:bottom w:val="nil"/>
              <w:right w:val="nil"/>
            </w:tcBorders>
            <w:shd w:val="clear" w:color="auto" w:fill="auto"/>
            <w:noWrap/>
            <w:vAlign w:val="bottom"/>
            <w:hideMark/>
          </w:tcPr>
          <w:p w:rsidR="00CE7831" w:rsidRPr="00363A65" w:rsidRDefault="00CE7831" w:rsidP="006C2D89">
            <w:pPr>
              <w:pStyle w:val="Tabletext"/>
              <w:tabs>
                <w:tab w:val="decimal" w:pos="91"/>
                <w:tab w:val="decimal" w:pos="332"/>
                <w:tab w:val="decimal" w:pos="374"/>
                <w:tab w:val="decimal" w:pos="432"/>
                <w:tab w:val="decimal" w:pos="458"/>
                <w:tab w:val="decimal" w:pos="516"/>
                <w:tab w:val="decimal" w:pos="597"/>
              </w:tabs>
            </w:pPr>
          </w:p>
        </w:tc>
        <w:tc>
          <w:tcPr>
            <w:tcW w:w="663" w:type="pct"/>
            <w:tcBorders>
              <w:left w:val="nil"/>
              <w:bottom w:val="nil"/>
              <w:right w:val="nil"/>
            </w:tcBorders>
            <w:shd w:val="clear" w:color="auto" w:fill="auto"/>
            <w:noWrap/>
            <w:vAlign w:val="bottom"/>
            <w:hideMark/>
          </w:tcPr>
          <w:p w:rsidR="00CE7831" w:rsidRPr="00363A65" w:rsidRDefault="00CE7831" w:rsidP="00076DC7">
            <w:pPr>
              <w:pStyle w:val="Tabletext"/>
              <w:tabs>
                <w:tab w:val="decimal" w:pos="316"/>
              </w:tabs>
            </w:pP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E</w:t>
            </w:r>
            <w:r w:rsidRPr="00363A65">
              <w:t>mployed</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81.8</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87.2</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5.4</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80.5</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82.8</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2.3</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3.1</w:t>
            </w:r>
          </w:p>
        </w:tc>
      </w:tr>
      <w:tr w:rsidR="006C2D89" w:rsidRPr="00363A65" w:rsidTr="006C2D89">
        <w:trPr>
          <w:trHeight w:val="300"/>
        </w:trPr>
        <w:tc>
          <w:tcPr>
            <w:tcW w:w="249" w:type="pct"/>
            <w:tcBorders>
              <w:top w:val="nil"/>
              <w:left w:val="nil"/>
              <w:bottom w:val="nil"/>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nil"/>
              <w:right w:val="nil"/>
            </w:tcBorders>
            <w:shd w:val="clear" w:color="auto" w:fill="auto"/>
            <w:noWrap/>
            <w:vAlign w:val="bottom"/>
            <w:hideMark/>
          </w:tcPr>
          <w:p w:rsidR="00CE7831" w:rsidRPr="00363A65" w:rsidRDefault="00CE7831" w:rsidP="004A769C">
            <w:pPr>
              <w:pStyle w:val="Tabletext"/>
            </w:pPr>
            <w:r>
              <w:t>U</w:t>
            </w:r>
            <w:r w:rsidRPr="00363A65">
              <w:t>nemployed</w:t>
            </w:r>
          </w:p>
        </w:tc>
        <w:tc>
          <w:tcPr>
            <w:tcW w:w="501"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72.0</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79.9</w:t>
            </w:r>
          </w:p>
        </w:tc>
        <w:tc>
          <w:tcPr>
            <w:tcW w:w="502"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162"/>
              </w:tabs>
            </w:pPr>
            <w:r w:rsidRPr="00363A65">
              <w:t>7.9</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67.8</w:t>
            </w:r>
          </w:p>
        </w:tc>
        <w:tc>
          <w:tcPr>
            <w:tcW w:w="500" w:type="pct"/>
            <w:tcBorders>
              <w:top w:val="nil"/>
              <w:left w:val="nil"/>
              <w:bottom w:val="nil"/>
              <w:right w:val="nil"/>
            </w:tcBorders>
            <w:shd w:val="clear" w:color="auto" w:fill="auto"/>
            <w:noWrap/>
            <w:vAlign w:val="bottom"/>
            <w:hideMark/>
          </w:tcPr>
          <w:p w:rsidR="00CE7831" w:rsidRPr="00363A65" w:rsidRDefault="00CE7831" w:rsidP="004A769C">
            <w:pPr>
              <w:pStyle w:val="Tabletext"/>
            </w:pPr>
            <w:r w:rsidRPr="00363A65">
              <w:t>72.9</w:t>
            </w:r>
          </w:p>
        </w:tc>
        <w:tc>
          <w:tcPr>
            <w:tcW w:w="494" w:type="pct"/>
            <w:tcBorders>
              <w:top w:val="nil"/>
              <w:left w:val="nil"/>
              <w:bottom w:val="nil"/>
              <w:right w:val="nil"/>
            </w:tcBorders>
            <w:shd w:val="clear" w:color="auto" w:fill="auto"/>
            <w:noWrap/>
            <w:vAlign w:val="bottom"/>
            <w:hideMark/>
          </w:tcPr>
          <w:p w:rsidR="00CE7831" w:rsidRPr="00363A65" w:rsidRDefault="00CE7831" w:rsidP="006C2D89">
            <w:pPr>
              <w:pStyle w:val="Tabletext"/>
              <w:tabs>
                <w:tab w:val="decimal" w:pos="270"/>
              </w:tabs>
            </w:pPr>
            <w:r w:rsidRPr="00363A65">
              <w:t>5.1</w:t>
            </w:r>
          </w:p>
        </w:tc>
        <w:tc>
          <w:tcPr>
            <w:tcW w:w="663" w:type="pct"/>
            <w:tcBorders>
              <w:top w:val="nil"/>
              <w:left w:val="nil"/>
              <w:bottom w:val="nil"/>
              <w:right w:val="nil"/>
            </w:tcBorders>
            <w:shd w:val="clear" w:color="auto" w:fill="auto"/>
            <w:noWrap/>
            <w:vAlign w:val="bottom"/>
            <w:hideMark/>
          </w:tcPr>
          <w:p w:rsidR="00CE7831" w:rsidRPr="00363A65" w:rsidRDefault="00CE7831" w:rsidP="00076DC7">
            <w:pPr>
              <w:pStyle w:val="Tabletext"/>
              <w:tabs>
                <w:tab w:val="decimal" w:pos="316"/>
              </w:tabs>
            </w:pPr>
            <w:r w:rsidRPr="00363A65">
              <w:t>2.8</w:t>
            </w:r>
          </w:p>
        </w:tc>
      </w:tr>
      <w:tr w:rsidR="006C2D89" w:rsidRPr="00363A65" w:rsidTr="006C2D89">
        <w:trPr>
          <w:trHeight w:val="300"/>
        </w:trPr>
        <w:tc>
          <w:tcPr>
            <w:tcW w:w="249"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p>
        </w:tc>
        <w:tc>
          <w:tcPr>
            <w:tcW w:w="1091"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t>N</w:t>
            </w:r>
            <w:r w:rsidRPr="00363A65">
              <w:t>ot in labour force</w:t>
            </w:r>
          </w:p>
        </w:tc>
        <w:tc>
          <w:tcPr>
            <w:tcW w:w="501"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72.8</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70.6</w:t>
            </w:r>
          </w:p>
        </w:tc>
        <w:tc>
          <w:tcPr>
            <w:tcW w:w="502" w:type="pct"/>
            <w:tcBorders>
              <w:top w:val="nil"/>
              <w:left w:val="nil"/>
              <w:bottom w:val="single" w:sz="4" w:space="0" w:color="auto"/>
              <w:right w:val="nil"/>
            </w:tcBorders>
            <w:shd w:val="clear" w:color="auto" w:fill="auto"/>
            <w:noWrap/>
            <w:vAlign w:val="bottom"/>
            <w:hideMark/>
          </w:tcPr>
          <w:p w:rsidR="00CE7831" w:rsidRPr="00363A65" w:rsidRDefault="00CE7831" w:rsidP="00076DC7">
            <w:pPr>
              <w:pStyle w:val="Tabletext"/>
              <w:tabs>
                <w:tab w:val="decimal" w:pos="162"/>
              </w:tabs>
            </w:pPr>
            <w:r w:rsidRPr="00363A65">
              <w:t>-2.2</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66.4</w:t>
            </w:r>
          </w:p>
        </w:tc>
        <w:tc>
          <w:tcPr>
            <w:tcW w:w="500" w:type="pct"/>
            <w:tcBorders>
              <w:top w:val="nil"/>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73.5</w:t>
            </w:r>
          </w:p>
        </w:tc>
        <w:tc>
          <w:tcPr>
            <w:tcW w:w="494" w:type="pct"/>
            <w:tcBorders>
              <w:top w:val="nil"/>
              <w:left w:val="nil"/>
              <w:bottom w:val="single" w:sz="4" w:space="0" w:color="auto"/>
              <w:right w:val="nil"/>
            </w:tcBorders>
            <w:shd w:val="clear" w:color="auto" w:fill="auto"/>
            <w:noWrap/>
            <w:vAlign w:val="bottom"/>
            <w:hideMark/>
          </w:tcPr>
          <w:p w:rsidR="00CE7831" w:rsidRPr="00363A65" w:rsidRDefault="00CE7831" w:rsidP="006C2D89">
            <w:pPr>
              <w:pStyle w:val="Tabletext"/>
              <w:tabs>
                <w:tab w:val="decimal" w:pos="270"/>
              </w:tabs>
            </w:pPr>
            <w:r w:rsidRPr="00363A65">
              <w:t>7.0</w:t>
            </w:r>
          </w:p>
        </w:tc>
        <w:tc>
          <w:tcPr>
            <w:tcW w:w="663" w:type="pct"/>
            <w:tcBorders>
              <w:top w:val="nil"/>
              <w:left w:val="nil"/>
              <w:bottom w:val="single" w:sz="4" w:space="0" w:color="auto"/>
              <w:right w:val="nil"/>
            </w:tcBorders>
            <w:shd w:val="clear" w:color="auto" w:fill="auto"/>
            <w:noWrap/>
            <w:vAlign w:val="bottom"/>
            <w:hideMark/>
          </w:tcPr>
          <w:p w:rsidR="00CE7831" w:rsidRPr="00363A65" w:rsidRDefault="00CE7831" w:rsidP="00076DC7">
            <w:pPr>
              <w:pStyle w:val="Tabletext"/>
              <w:tabs>
                <w:tab w:val="decimal" w:pos="316"/>
              </w:tabs>
            </w:pPr>
            <w:r w:rsidRPr="00363A65">
              <w:t>-9.3</w:t>
            </w:r>
          </w:p>
        </w:tc>
      </w:tr>
      <w:tr w:rsidR="006C2D89" w:rsidRPr="00363A65" w:rsidTr="006C2D89">
        <w:trPr>
          <w:trHeight w:val="315"/>
        </w:trPr>
        <w:tc>
          <w:tcPr>
            <w:tcW w:w="1340" w:type="pct"/>
            <w:gridSpan w:val="2"/>
            <w:tcBorders>
              <w:top w:val="single" w:sz="4" w:space="0" w:color="auto"/>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TOTAL</w:t>
            </w:r>
          </w:p>
        </w:tc>
        <w:tc>
          <w:tcPr>
            <w:tcW w:w="501" w:type="pct"/>
            <w:tcBorders>
              <w:top w:val="single" w:sz="4" w:space="0" w:color="auto"/>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78.3</w:t>
            </w:r>
          </w:p>
        </w:tc>
        <w:tc>
          <w:tcPr>
            <w:tcW w:w="500" w:type="pct"/>
            <w:tcBorders>
              <w:top w:val="single" w:sz="4" w:space="0" w:color="auto"/>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83.0</w:t>
            </w:r>
          </w:p>
        </w:tc>
        <w:tc>
          <w:tcPr>
            <w:tcW w:w="502" w:type="pct"/>
            <w:tcBorders>
              <w:top w:val="single" w:sz="4" w:space="0" w:color="auto"/>
              <w:left w:val="nil"/>
              <w:bottom w:val="single" w:sz="4" w:space="0" w:color="auto"/>
              <w:right w:val="nil"/>
            </w:tcBorders>
            <w:shd w:val="clear" w:color="auto" w:fill="auto"/>
            <w:noWrap/>
            <w:vAlign w:val="bottom"/>
            <w:hideMark/>
          </w:tcPr>
          <w:p w:rsidR="00CE7831" w:rsidRPr="00363A65" w:rsidRDefault="00CE7831" w:rsidP="00076DC7">
            <w:pPr>
              <w:pStyle w:val="Tabletext"/>
              <w:tabs>
                <w:tab w:val="decimal" w:pos="162"/>
              </w:tabs>
            </w:pPr>
            <w:r w:rsidRPr="00363A65">
              <w:t>4.7</w:t>
            </w:r>
          </w:p>
        </w:tc>
        <w:tc>
          <w:tcPr>
            <w:tcW w:w="500" w:type="pct"/>
            <w:tcBorders>
              <w:top w:val="single" w:sz="4" w:space="0" w:color="auto"/>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75.8</w:t>
            </w:r>
          </w:p>
        </w:tc>
        <w:tc>
          <w:tcPr>
            <w:tcW w:w="500" w:type="pct"/>
            <w:tcBorders>
              <w:top w:val="single" w:sz="4" w:space="0" w:color="auto"/>
              <w:left w:val="nil"/>
              <w:bottom w:val="single" w:sz="4" w:space="0" w:color="auto"/>
              <w:right w:val="nil"/>
            </w:tcBorders>
            <w:shd w:val="clear" w:color="auto" w:fill="auto"/>
            <w:noWrap/>
            <w:vAlign w:val="bottom"/>
            <w:hideMark/>
          </w:tcPr>
          <w:p w:rsidR="00CE7831" w:rsidRPr="00363A65" w:rsidRDefault="00CE7831" w:rsidP="004A769C">
            <w:pPr>
              <w:pStyle w:val="Tabletext"/>
            </w:pPr>
            <w:r w:rsidRPr="00363A65">
              <w:t>78.7</w:t>
            </w:r>
          </w:p>
        </w:tc>
        <w:tc>
          <w:tcPr>
            <w:tcW w:w="494" w:type="pct"/>
            <w:tcBorders>
              <w:top w:val="single" w:sz="4" w:space="0" w:color="auto"/>
              <w:left w:val="nil"/>
              <w:bottom w:val="single" w:sz="4" w:space="0" w:color="auto"/>
              <w:right w:val="nil"/>
            </w:tcBorders>
            <w:shd w:val="clear" w:color="auto" w:fill="auto"/>
            <w:noWrap/>
            <w:vAlign w:val="bottom"/>
            <w:hideMark/>
          </w:tcPr>
          <w:p w:rsidR="00CE7831" w:rsidRPr="00363A65" w:rsidRDefault="00CE7831" w:rsidP="006C2D89">
            <w:pPr>
              <w:pStyle w:val="Tabletext"/>
              <w:tabs>
                <w:tab w:val="decimal" w:pos="270"/>
              </w:tabs>
            </w:pPr>
            <w:r w:rsidRPr="00363A65">
              <w:t>2.9</w:t>
            </w:r>
          </w:p>
        </w:tc>
        <w:tc>
          <w:tcPr>
            <w:tcW w:w="663" w:type="pct"/>
            <w:tcBorders>
              <w:top w:val="single" w:sz="4" w:space="0" w:color="auto"/>
              <w:left w:val="nil"/>
              <w:bottom w:val="single" w:sz="4" w:space="0" w:color="auto"/>
              <w:right w:val="nil"/>
            </w:tcBorders>
            <w:shd w:val="clear" w:color="auto" w:fill="auto"/>
            <w:noWrap/>
            <w:vAlign w:val="bottom"/>
            <w:hideMark/>
          </w:tcPr>
          <w:p w:rsidR="00CE7831" w:rsidRPr="00363A65" w:rsidRDefault="00CE7831" w:rsidP="00076DC7">
            <w:pPr>
              <w:pStyle w:val="Tabletext"/>
              <w:tabs>
                <w:tab w:val="decimal" w:pos="316"/>
              </w:tabs>
            </w:pPr>
            <w:r w:rsidRPr="00363A65">
              <w:t>1.8</w:t>
            </w:r>
          </w:p>
        </w:tc>
      </w:tr>
    </w:tbl>
    <w:tbl>
      <w:tblPr>
        <w:tblStyle w:val="TableGrid"/>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31"/>
        <w:gridCol w:w="256"/>
        <w:gridCol w:w="5266"/>
        <w:gridCol w:w="2001"/>
      </w:tblGrid>
      <w:tr w:rsidR="00831BE1" w:rsidTr="00E74695">
        <w:tc>
          <w:tcPr>
            <w:tcW w:w="631" w:type="dxa"/>
            <w:tcMar>
              <w:top w:w="28" w:type="dxa"/>
              <w:bottom w:w="28" w:type="dxa"/>
            </w:tcMar>
          </w:tcPr>
          <w:p w:rsidR="00831BE1" w:rsidRDefault="00831BE1" w:rsidP="00831BE1">
            <w:pPr>
              <w:spacing w:line="240" w:lineRule="auto"/>
            </w:pPr>
            <w:r w:rsidRPr="00535AAD" w:rsidDel="006738CC">
              <w:rPr>
                <w:rFonts w:ascii="Arial" w:hAnsi="Arial" w:cs="Arial"/>
                <w:sz w:val="15"/>
                <w:szCs w:val="15"/>
              </w:rPr>
              <w:t>Notes:</w:t>
            </w:r>
          </w:p>
        </w:tc>
        <w:tc>
          <w:tcPr>
            <w:tcW w:w="256" w:type="dxa"/>
            <w:tcMar>
              <w:top w:w="28" w:type="dxa"/>
              <w:left w:w="57" w:type="dxa"/>
              <w:bottom w:w="28" w:type="dxa"/>
              <w:right w:w="57" w:type="dxa"/>
            </w:tcMar>
          </w:tcPr>
          <w:p w:rsidR="00831BE1" w:rsidRPr="00CA5C8D" w:rsidRDefault="00831BE1" w:rsidP="00831BE1">
            <w:pPr>
              <w:spacing w:line="240" w:lineRule="auto"/>
              <w:rPr>
                <w:rFonts w:ascii="Arial" w:hAnsi="Arial" w:cs="Arial"/>
                <w:sz w:val="15"/>
                <w:szCs w:val="15"/>
              </w:rPr>
            </w:pPr>
            <w:r>
              <w:rPr>
                <w:rFonts w:ascii="Arial" w:hAnsi="Arial" w:cs="Arial"/>
                <w:sz w:val="15"/>
                <w:szCs w:val="15"/>
              </w:rPr>
              <w:t>a</w:t>
            </w:r>
            <w:r w:rsidR="00821BE2">
              <w:rPr>
                <w:rFonts w:ascii="Arial" w:hAnsi="Arial" w:cs="Arial"/>
                <w:sz w:val="15"/>
                <w:szCs w:val="15"/>
              </w:rPr>
              <w:t>)</w:t>
            </w:r>
          </w:p>
        </w:tc>
        <w:tc>
          <w:tcPr>
            <w:tcW w:w="7267" w:type="dxa"/>
            <w:gridSpan w:val="2"/>
            <w:tcMar>
              <w:top w:w="28" w:type="dxa"/>
              <w:bottom w:w="28" w:type="dxa"/>
            </w:tcMar>
          </w:tcPr>
          <w:p w:rsidR="00831BE1" w:rsidRPr="00CA5C8D" w:rsidRDefault="00831BE1" w:rsidP="00831BE1">
            <w:pPr>
              <w:spacing w:line="240" w:lineRule="auto"/>
              <w:rPr>
                <w:rFonts w:ascii="Arial" w:hAnsi="Arial" w:cs="Arial"/>
                <w:sz w:val="15"/>
                <w:szCs w:val="15"/>
              </w:rPr>
            </w:pPr>
            <w:r>
              <w:rPr>
                <w:rFonts w:ascii="Arial" w:hAnsi="Arial" w:cs="Arial"/>
                <w:sz w:val="15"/>
                <w:szCs w:val="15"/>
              </w:rPr>
              <w:t>S</w:t>
            </w:r>
            <w:r w:rsidRPr="0063218F">
              <w:rPr>
                <w:rFonts w:ascii="Arial" w:hAnsi="Arial" w:cs="Arial"/>
                <w:sz w:val="15"/>
                <w:szCs w:val="15"/>
              </w:rPr>
              <w:t>tatistics indicate the excess of the changes from 2008 to 2012 evaluated for Victoria, relative to NSW.</w:t>
            </w:r>
          </w:p>
        </w:tc>
      </w:tr>
      <w:tr w:rsidR="00831BE1" w:rsidTr="00E74695">
        <w:tc>
          <w:tcPr>
            <w:tcW w:w="631" w:type="dxa"/>
            <w:tcMar>
              <w:top w:w="28" w:type="dxa"/>
              <w:bottom w:w="28" w:type="dxa"/>
            </w:tcMar>
          </w:tcPr>
          <w:p w:rsidR="00831BE1" w:rsidRDefault="00831BE1" w:rsidP="00C82374">
            <w:pPr>
              <w:spacing w:before="0" w:line="240" w:lineRule="auto"/>
            </w:pPr>
          </w:p>
        </w:tc>
        <w:tc>
          <w:tcPr>
            <w:tcW w:w="256" w:type="dxa"/>
            <w:tcMar>
              <w:top w:w="28" w:type="dxa"/>
              <w:left w:w="57" w:type="dxa"/>
              <w:bottom w:w="28" w:type="dxa"/>
              <w:right w:w="57" w:type="dxa"/>
            </w:tcMar>
          </w:tcPr>
          <w:p w:rsidR="00831BE1" w:rsidRPr="00CA5C8D" w:rsidRDefault="00831BE1" w:rsidP="00C82374">
            <w:pPr>
              <w:spacing w:before="0" w:line="240" w:lineRule="auto"/>
              <w:rPr>
                <w:rFonts w:ascii="Arial" w:hAnsi="Arial" w:cs="Arial"/>
                <w:sz w:val="15"/>
                <w:szCs w:val="15"/>
              </w:rPr>
            </w:pPr>
            <w:r>
              <w:rPr>
                <w:rFonts w:ascii="Arial" w:hAnsi="Arial" w:cs="Arial"/>
                <w:sz w:val="15"/>
                <w:szCs w:val="15"/>
              </w:rPr>
              <w:t>b</w:t>
            </w:r>
            <w:r w:rsidR="00821BE2">
              <w:rPr>
                <w:rFonts w:ascii="Arial" w:hAnsi="Arial" w:cs="Arial"/>
                <w:sz w:val="15"/>
                <w:szCs w:val="15"/>
              </w:rPr>
              <w:t>)</w:t>
            </w:r>
          </w:p>
        </w:tc>
        <w:tc>
          <w:tcPr>
            <w:tcW w:w="7267" w:type="dxa"/>
            <w:gridSpan w:val="2"/>
            <w:tcMar>
              <w:top w:w="28" w:type="dxa"/>
              <w:bottom w:w="28" w:type="dxa"/>
            </w:tcMar>
          </w:tcPr>
          <w:p w:rsidR="00831BE1" w:rsidRPr="00CA5C8D" w:rsidRDefault="00831BE1" w:rsidP="00C82374">
            <w:pPr>
              <w:spacing w:before="0" w:line="240" w:lineRule="auto"/>
              <w:rPr>
                <w:rFonts w:ascii="Arial" w:hAnsi="Arial" w:cs="Arial"/>
                <w:sz w:val="15"/>
                <w:szCs w:val="15"/>
              </w:rPr>
            </w:pPr>
            <w:r w:rsidRPr="0063218F">
              <w:rPr>
                <w:rFonts w:ascii="Arial" w:hAnsi="Arial" w:cs="Arial"/>
                <w:sz w:val="15"/>
                <w:szCs w:val="15"/>
              </w:rPr>
              <w:t xml:space="preserve">Disability identified in </w:t>
            </w:r>
            <w:r>
              <w:rPr>
                <w:rFonts w:ascii="Arial" w:hAnsi="Arial" w:cs="Arial"/>
                <w:sz w:val="15"/>
                <w:szCs w:val="15"/>
              </w:rPr>
              <w:t>National VET Provider Collection</w:t>
            </w:r>
            <w:r w:rsidRPr="0063218F">
              <w:rPr>
                <w:rFonts w:ascii="Arial" w:hAnsi="Arial" w:cs="Arial"/>
                <w:sz w:val="15"/>
                <w:szCs w:val="15"/>
              </w:rPr>
              <w:t xml:space="preserve"> by individual responses to the question ‘Do you consider yourself to have a disability, impairment or long-term condition?’</w:t>
            </w:r>
          </w:p>
        </w:tc>
      </w:tr>
      <w:tr w:rsidR="00831BE1" w:rsidTr="00E74695">
        <w:tc>
          <w:tcPr>
            <w:tcW w:w="631" w:type="dxa"/>
            <w:tcMar>
              <w:top w:w="28" w:type="dxa"/>
              <w:bottom w:w="28" w:type="dxa"/>
            </w:tcMar>
          </w:tcPr>
          <w:p w:rsidR="00831BE1" w:rsidRDefault="00831BE1" w:rsidP="00C82374">
            <w:pPr>
              <w:spacing w:before="0" w:line="240" w:lineRule="auto"/>
            </w:pPr>
          </w:p>
        </w:tc>
        <w:tc>
          <w:tcPr>
            <w:tcW w:w="256" w:type="dxa"/>
            <w:tcMar>
              <w:top w:w="28" w:type="dxa"/>
              <w:left w:w="57" w:type="dxa"/>
              <w:bottom w:w="28" w:type="dxa"/>
              <w:right w:w="57" w:type="dxa"/>
            </w:tcMar>
          </w:tcPr>
          <w:p w:rsidR="00831BE1" w:rsidRDefault="00831BE1" w:rsidP="00C82374">
            <w:pPr>
              <w:spacing w:before="0" w:line="240" w:lineRule="auto"/>
              <w:rPr>
                <w:rFonts w:ascii="Arial" w:hAnsi="Arial" w:cs="Arial"/>
                <w:sz w:val="15"/>
                <w:szCs w:val="15"/>
              </w:rPr>
            </w:pPr>
            <w:r>
              <w:rPr>
                <w:rFonts w:ascii="Arial" w:hAnsi="Arial" w:cs="Arial"/>
                <w:sz w:val="15"/>
                <w:szCs w:val="15"/>
              </w:rPr>
              <w:t>c</w:t>
            </w:r>
            <w:r w:rsidR="00821BE2">
              <w:rPr>
                <w:rFonts w:ascii="Arial" w:hAnsi="Arial" w:cs="Arial"/>
                <w:sz w:val="15"/>
                <w:szCs w:val="15"/>
              </w:rPr>
              <w:t>)</w:t>
            </w:r>
          </w:p>
        </w:tc>
        <w:tc>
          <w:tcPr>
            <w:tcW w:w="7267" w:type="dxa"/>
            <w:gridSpan w:val="2"/>
            <w:tcMar>
              <w:top w:w="28" w:type="dxa"/>
              <w:bottom w:w="28" w:type="dxa"/>
            </w:tcMar>
          </w:tcPr>
          <w:p w:rsidR="00831BE1" w:rsidRPr="0063218F" w:rsidRDefault="00831BE1" w:rsidP="00C82374">
            <w:pPr>
              <w:spacing w:before="0" w:line="240" w:lineRule="auto"/>
              <w:rPr>
                <w:rFonts w:ascii="Arial" w:hAnsi="Arial" w:cs="Arial"/>
                <w:sz w:val="15"/>
                <w:szCs w:val="15"/>
              </w:rPr>
            </w:pPr>
            <w:r w:rsidRPr="0063218F">
              <w:rPr>
                <w:rFonts w:ascii="Arial" w:hAnsi="Arial" w:cs="Arial"/>
                <w:sz w:val="15"/>
                <w:szCs w:val="15"/>
              </w:rPr>
              <w:t xml:space="preserve">Labour force status coded as missing in </w:t>
            </w:r>
            <w:r>
              <w:rPr>
                <w:rFonts w:ascii="Arial" w:hAnsi="Arial" w:cs="Arial"/>
                <w:sz w:val="15"/>
                <w:szCs w:val="15"/>
              </w:rPr>
              <w:t>National VET Provider Collection</w:t>
            </w:r>
            <w:r w:rsidRPr="0063218F">
              <w:rPr>
                <w:rFonts w:ascii="Arial" w:hAnsi="Arial" w:cs="Arial"/>
                <w:sz w:val="15"/>
                <w:szCs w:val="15"/>
              </w:rPr>
              <w:t xml:space="preserve"> for 13.5% of observations in 2008, and 3.2% in 2012.</w:t>
            </w:r>
          </w:p>
        </w:tc>
      </w:tr>
      <w:tr w:rsidR="00E74695" w:rsidTr="00E74695">
        <w:trPr>
          <w:gridAfter w:val="1"/>
          <w:wAfter w:w="2001" w:type="dxa"/>
        </w:trPr>
        <w:tc>
          <w:tcPr>
            <w:tcW w:w="631" w:type="dxa"/>
            <w:tcMar>
              <w:top w:w="28" w:type="dxa"/>
              <w:bottom w:w="28" w:type="dxa"/>
            </w:tcMar>
          </w:tcPr>
          <w:p w:rsidR="00E74695" w:rsidRDefault="00E74695" w:rsidP="00C82374">
            <w:pPr>
              <w:spacing w:before="0" w:line="240" w:lineRule="auto"/>
            </w:pPr>
            <w:r>
              <w:rPr>
                <w:rFonts w:ascii="Arial" w:hAnsi="Arial" w:cs="Arial"/>
                <w:sz w:val="15"/>
                <w:szCs w:val="15"/>
              </w:rPr>
              <w:t>Source</w:t>
            </w:r>
            <w:r w:rsidRPr="00535AAD" w:rsidDel="006738CC">
              <w:rPr>
                <w:rFonts w:ascii="Arial" w:hAnsi="Arial" w:cs="Arial"/>
                <w:sz w:val="15"/>
                <w:szCs w:val="15"/>
              </w:rPr>
              <w:t>:</w:t>
            </w:r>
          </w:p>
        </w:tc>
        <w:tc>
          <w:tcPr>
            <w:tcW w:w="5522" w:type="dxa"/>
            <w:gridSpan w:val="2"/>
            <w:tcMar>
              <w:top w:w="28" w:type="dxa"/>
              <w:left w:w="57" w:type="dxa"/>
              <w:bottom w:w="28" w:type="dxa"/>
              <w:right w:w="57" w:type="dxa"/>
            </w:tcMar>
          </w:tcPr>
          <w:p w:rsidR="00E74695" w:rsidRDefault="00E74695" w:rsidP="00C82374">
            <w:pPr>
              <w:spacing w:before="0" w:line="240" w:lineRule="auto"/>
              <w:rPr>
                <w:rFonts w:ascii="Arial" w:hAnsi="Arial" w:cs="Arial"/>
                <w:sz w:val="15"/>
                <w:szCs w:val="15"/>
              </w:rPr>
            </w:pPr>
            <w:r>
              <w:rPr>
                <w:rFonts w:ascii="Arial" w:hAnsi="Arial" w:cs="Arial"/>
                <w:sz w:val="15"/>
                <w:szCs w:val="15"/>
              </w:rPr>
              <w:t>Authors’ calculations using National VET Provider Collection micro-data.</w:t>
            </w:r>
          </w:p>
        </w:tc>
      </w:tr>
    </w:tbl>
    <w:p w:rsidR="0079345A" w:rsidRDefault="0079345A" w:rsidP="008456DB">
      <w:pPr>
        <w:pStyle w:val="Source"/>
      </w:pPr>
    </w:p>
    <w:p w:rsidR="00CE7831" w:rsidRPr="00820817" w:rsidRDefault="00DA1F9E" w:rsidP="00D213BD">
      <w:pPr>
        <w:pStyle w:val="Heading1"/>
        <w:ind w:left="360"/>
      </w:pPr>
      <w:bookmarkStart w:id="87" w:name="_Toc472517012"/>
      <w:r>
        <w:rPr>
          <w:noProof/>
          <w:lang w:eastAsia="en-AU"/>
        </w:rPr>
        <w:lastRenderedPageBreak/>
        <w:drawing>
          <wp:anchor distT="0" distB="0" distL="114300" distR="114300" simplePos="0" relativeHeight="251680768" behindDoc="1" locked="0" layoutInCell="1" allowOverlap="1" wp14:anchorId="51AD8094" wp14:editId="082A8609">
            <wp:simplePos x="914400" y="850900"/>
            <wp:positionH relativeFrom="margin">
              <wp:align>left</wp:align>
            </wp:positionH>
            <wp:positionV relativeFrom="margin">
              <wp:align>top</wp:align>
            </wp:positionV>
            <wp:extent cx="419100" cy="419100"/>
            <wp:effectExtent l="0" t="0" r="0" b="0"/>
            <wp:wrapSquare wrapText="bothSides"/>
            <wp:docPr id="18" name="Picture 18" descr="P:\WorkInProgress\ShaunPubs\Making good choices\PaperClip Corporate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WorkInProgress\ShaunPubs\Making good choices\PaperClip Corporate 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8" w:name="_Toc438209988"/>
      <w:r w:rsidR="00EB0A37">
        <w:t xml:space="preserve">Appendix </w:t>
      </w:r>
      <w:r w:rsidR="00992398">
        <w:t>B</w:t>
      </w:r>
      <w:r w:rsidR="00EB0A37">
        <w:t>: Course participation supplementary s</w:t>
      </w:r>
      <w:r w:rsidR="00CE7831" w:rsidRPr="00820817">
        <w:t>tatistics</w:t>
      </w:r>
      <w:bookmarkEnd w:id="88"/>
      <w:bookmarkEnd w:id="87"/>
      <w:r w:rsidR="00CE7831" w:rsidRPr="00820817">
        <w:t xml:space="preserve"> </w:t>
      </w:r>
    </w:p>
    <w:p w:rsidR="00CE7831" w:rsidRDefault="00CE7831" w:rsidP="00CE7831">
      <w:pPr>
        <w:pStyle w:val="tabletitle0"/>
        <w:rPr>
          <w:rFonts w:eastAsia="Calibri"/>
        </w:rPr>
      </w:pPr>
      <w:bookmarkStart w:id="89" w:name="_Toc438210024"/>
      <w:bookmarkStart w:id="90" w:name="_Toc468881922"/>
      <w:r>
        <w:rPr>
          <w:rFonts w:eastAsia="Calibri"/>
        </w:rPr>
        <w:t xml:space="preserve">Table </w:t>
      </w:r>
      <w:r w:rsidR="00992398">
        <w:rPr>
          <w:rFonts w:eastAsia="Calibri"/>
        </w:rPr>
        <w:t>B</w:t>
      </w:r>
      <w:r>
        <w:rPr>
          <w:rFonts w:eastAsia="Calibri"/>
        </w:rPr>
        <w:t>1</w:t>
      </w:r>
      <w:r w:rsidR="008135FA">
        <w:rPr>
          <w:rFonts w:eastAsia="Calibri"/>
        </w:rPr>
        <w:tab/>
      </w:r>
      <w:r>
        <w:rPr>
          <w:rFonts w:eastAsia="Calibri"/>
        </w:rPr>
        <w:t>VET student enrolment ra</w:t>
      </w:r>
      <w:r w:rsidR="0079345A">
        <w:rPr>
          <w:rFonts w:eastAsia="Calibri"/>
        </w:rPr>
        <w:t>tes among population aged 25–</w:t>
      </w:r>
      <w:r>
        <w:rPr>
          <w:rFonts w:eastAsia="Calibri"/>
        </w:rPr>
        <w:t>54</w:t>
      </w:r>
      <w:r w:rsidR="0079345A">
        <w:rPr>
          <w:rFonts w:eastAsia="Calibri"/>
        </w:rPr>
        <w:t xml:space="preserve"> years</w:t>
      </w:r>
      <w:r>
        <w:rPr>
          <w:rFonts w:eastAsia="Calibri"/>
        </w:rPr>
        <w:t xml:space="preserve">, by population </w:t>
      </w:r>
      <w:r w:rsidR="00D203EC">
        <w:rPr>
          <w:rFonts w:eastAsia="Calibri"/>
        </w:rPr>
        <w:tab/>
      </w:r>
      <w:r>
        <w:rPr>
          <w:rFonts w:eastAsia="Calibri"/>
        </w:rPr>
        <w:t>subgroup (%)</w:t>
      </w:r>
      <w:bookmarkEnd w:id="89"/>
      <w:bookmarkEnd w:id="90"/>
    </w:p>
    <w:tbl>
      <w:tblPr>
        <w:tblW w:w="5000" w:type="pct"/>
        <w:tblLook w:val="0000" w:firstRow="0" w:lastRow="0" w:firstColumn="0" w:lastColumn="0" w:noHBand="0" w:noVBand="0"/>
      </w:tblPr>
      <w:tblGrid>
        <w:gridCol w:w="246"/>
        <w:gridCol w:w="2069"/>
        <w:gridCol w:w="650"/>
        <w:gridCol w:w="651"/>
        <w:gridCol w:w="774"/>
        <w:gridCol w:w="651"/>
        <w:gridCol w:w="651"/>
        <w:gridCol w:w="774"/>
        <w:gridCol w:w="844"/>
        <w:gridCol w:w="844"/>
      </w:tblGrid>
      <w:tr w:rsidR="00CE7831" w:rsidRPr="00510300" w:rsidTr="0079345A">
        <w:trPr>
          <w:trHeight w:val="289"/>
        </w:trPr>
        <w:tc>
          <w:tcPr>
            <w:tcW w:w="166" w:type="pct"/>
            <w:tcBorders>
              <w:top w:val="single" w:sz="6" w:space="0" w:color="auto"/>
              <w:left w:val="nil"/>
              <w:bottom w:val="nil"/>
              <w:right w:val="nil"/>
            </w:tcBorders>
          </w:tcPr>
          <w:p w:rsidR="00CE7831" w:rsidRPr="00510300" w:rsidRDefault="00CE7831" w:rsidP="003A6A63">
            <w:pPr>
              <w:pStyle w:val="Tablehead1"/>
              <w:rPr>
                <w:lang w:val="en-GB" w:eastAsia="en-GB"/>
              </w:rPr>
            </w:pPr>
          </w:p>
        </w:tc>
        <w:tc>
          <w:tcPr>
            <w:tcW w:w="1283" w:type="pct"/>
            <w:tcBorders>
              <w:top w:val="single" w:sz="6" w:space="0" w:color="auto"/>
              <w:left w:val="nil"/>
              <w:bottom w:val="nil"/>
              <w:right w:val="nil"/>
            </w:tcBorders>
          </w:tcPr>
          <w:p w:rsidR="00CE7831" w:rsidRPr="00510300" w:rsidRDefault="00CE7831" w:rsidP="003A6A63">
            <w:pPr>
              <w:pStyle w:val="Tablehead1"/>
              <w:rPr>
                <w:lang w:val="en-GB" w:eastAsia="en-GB"/>
              </w:rPr>
            </w:pPr>
          </w:p>
        </w:tc>
        <w:tc>
          <w:tcPr>
            <w:tcW w:w="1243" w:type="pct"/>
            <w:gridSpan w:val="3"/>
            <w:tcBorders>
              <w:top w:val="single" w:sz="6" w:space="0" w:color="auto"/>
              <w:left w:val="nil"/>
              <w:bottom w:val="nil"/>
              <w:right w:val="nil"/>
            </w:tcBorders>
          </w:tcPr>
          <w:p w:rsidR="00CE7831" w:rsidRPr="00510300" w:rsidRDefault="00CE7831" w:rsidP="005F0AFC">
            <w:pPr>
              <w:pStyle w:val="Tablehead1"/>
              <w:jc w:val="center"/>
              <w:rPr>
                <w:lang w:val="en-GB" w:eastAsia="en-GB"/>
              </w:rPr>
            </w:pPr>
            <w:r w:rsidRPr="00510300">
              <w:rPr>
                <w:lang w:val="en-GB" w:eastAsia="en-GB"/>
              </w:rPr>
              <w:t>Victoria</w:t>
            </w:r>
          </w:p>
        </w:tc>
        <w:tc>
          <w:tcPr>
            <w:tcW w:w="1243" w:type="pct"/>
            <w:gridSpan w:val="3"/>
            <w:tcBorders>
              <w:top w:val="single" w:sz="6" w:space="0" w:color="auto"/>
              <w:left w:val="nil"/>
              <w:bottom w:val="nil"/>
              <w:right w:val="nil"/>
            </w:tcBorders>
          </w:tcPr>
          <w:p w:rsidR="00CE7831" w:rsidRPr="00510300" w:rsidRDefault="00CE7831" w:rsidP="002326FE">
            <w:pPr>
              <w:pStyle w:val="Tablehead1"/>
              <w:ind w:left="57"/>
              <w:rPr>
                <w:lang w:val="en-GB" w:eastAsia="en-GB"/>
              </w:rPr>
            </w:pPr>
            <w:r>
              <w:rPr>
                <w:lang w:val="en-GB" w:eastAsia="en-GB"/>
              </w:rPr>
              <w:t>Rest of Australia</w:t>
            </w:r>
          </w:p>
        </w:tc>
        <w:tc>
          <w:tcPr>
            <w:tcW w:w="1065" w:type="pct"/>
            <w:gridSpan w:val="2"/>
            <w:tcBorders>
              <w:top w:val="single" w:sz="6" w:space="0" w:color="auto"/>
              <w:left w:val="nil"/>
              <w:bottom w:val="nil"/>
              <w:right w:val="nil"/>
            </w:tcBorders>
          </w:tcPr>
          <w:p w:rsidR="00CE7831" w:rsidRPr="00510300" w:rsidRDefault="00CE7831" w:rsidP="00112C68">
            <w:pPr>
              <w:pStyle w:val="Tablehead1"/>
              <w:ind w:left="549"/>
              <w:rPr>
                <w:lang w:val="en-GB" w:eastAsia="en-GB"/>
              </w:rPr>
            </w:pPr>
            <w:proofErr w:type="spellStart"/>
            <w:r>
              <w:rPr>
                <w:lang w:val="en-GB" w:eastAsia="en-GB"/>
              </w:rPr>
              <w:t>DiD</w:t>
            </w:r>
            <w:r w:rsidR="00112C68" w:rsidRPr="00112C68">
              <w:rPr>
                <w:vertAlign w:val="superscript"/>
                <w:lang w:val="en-GB" w:eastAsia="en-GB"/>
              </w:rPr>
              <w:t>a</w:t>
            </w:r>
            <w:proofErr w:type="spellEnd"/>
          </w:p>
        </w:tc>
      </w:tr>
      <w:tr w:rsidR="00CE7831" w:rsidRPr="00510300" w:rsidTr="0079345A">
        <w:trPr>
          <w:trHeight w:val="289"/>
        </w:trPr>
        <w:tc>
          <w:tcPr>
            <w:tcW w:w="166" w:type="pct"/>
            <w:tcBorders>
              <w:top w:val="nil"/>
              <w:left w:val="nil"/>
              <w:bottom w:val="single" w:sz="6" w:space="0" w:color="auto"/>
              <w:right w:val="nil"/>
            </w:tcBorders>
          </w:tcPr>
          <w:p w:rsidR="00CE7831" w:rsidRPr="00510300" w:rsidRDefault="00CE7831" w:rsidP="003A6A63">
            <w:pPr>
              <w:autoSpaceDE w:val="0"/>
              <w:autoSpaceDN w:val="0"/>
              <w:adjustRightInd w:val="0"/>
              <w:spacing w:before="0" w:line="240" w:lineRule="auto"/>
              <w:jc w:val="right"/>
              <w:rPr>
                <w:rFonts w:ascii="Arial" w:hAnsi="Arial" w:cs="Arial"/>
                <w:color w:val="000000"/>
                <w:sz w:val="17"/>
                <w:szCs w:val="17"/>
                <w:lang w:val="en-GB" w:eastAsia="en-GB"/>
              </w:rPr>
            </w:pPr>
          </w:p>
        </w:tc>
        <w:tc>
          <w:tcPr>
            <w:tcW w:w="1283" w:type="pct"/>
            <w:tcBorders>
              <w:top w:val="nil"/>
              <w:left w:val="nil"/>
              <w:bottom w:val="single" w:sz="6" w:space="0" w:color="auto"/>
              <w:right w:val="nil"/>
            </w:tcBorders>
          </w:tcPr>
          <w:p w:rsidR="00CE7831" w:rsidRPr="00510300" w:rsidRDefault="00CE7831" w:rsidP="003A6A63">
            <w:pPr>
              <w:autoSpaceDE w:val="0"/>
              <w:autoSpaceDN w:val="0"/>
              <w:adjustRightInd w:val="0"/>
              <w:spacing w:before="0" w:line="240" w:lineRule="auto"/>
              <w:jc w:val="right"/>
              <w:rPr>
                <w:rFonts w:ascii="Arial" w:hAnsi="Arial" w:cs="Arial"/>
                <w:color w:val="000000"/>
                <w:sz w:val="17"/>
                <w:szCs w:val="17"/>
                <w:lang w:val="en-GB" w:eastAsia="en-GB"/>
              </w:rPr>
            </w:pPr>
          </w:p>
        </w:tc>
        <w:tc>
          <w:tcPr>
            <w:tcW w:w="414" w:type="pct"/>
            <w:tcBorders>
              <w:top w:val="nil"/>
              <w:left w:val="nil"/>
              <w:bottom w:val="single" w:sz="6" w:space="0" w:color="auto"/>
              <w:right w:val="nil"/>
            </w:tcBorders>
          </w:tcPr>
          <w:p w:rsidR="00CE7831" w:rsidRPr="00510300" w:rsidRDefault="00CE7831" w:rsidP="003A6A63">
            <w:pPr>
              <w:pStyle w:val="Tablehead2"/>
              <w:rPr>
                <w:lang w:val="en-GB" w:eastAsia="en-GB"/>
              </w:rPr>
            </w:pPr>
            <w:r w:rsidRPr="00510300">
              <w:rPr>
                <w:lang w:val="en-GB" w:eastAsia="en-GB"/>
              </w:rPr>
              <w:t>2006</w:t>
            </w:r>
          </w:p>
        </w:tc>
        <w:tc>
          <w:tcPr>
            <w:tcW w:w="414" w:type="pct"/>
            <w:tcBorders>
              <w:top w:val="nil"/>
              <w:left w:val="nil"/>
              <w:bottom w:val="single" w:sz="6" w:space="0" w:color="auto"/>
              <w:right w:val="nil"/>
            </w:tcBorders>
          </w:tcPr>
          <w:p w:rsidR="00CE7831" w:rsidRPr="00510300" w:rsidRDefault="00CE7831" w:rsidP="003A6A63">
            <w:pPr>
              <w:pStyle w:val="Tablehead2"/>
              <w:rPr>
                <w:lang w:val="en-GB" w:eastAsia="en-GB"/>
              </w:rPr>
            </w:pPr>
            <w:r w:rsidRPr="00510300">
              <w:rPr>
                <w:lang w:val="en-GB" w:eastAsia="en-GB"/>
              </w:rPr>
              <w:t>2008</w:t>
            </w:r>
          </w:p>
        </w:tc>
        <w:tc>
          <w:tcPr>
            <w:tcW w:w="414" w:type="pct"/>
            <w:tcBorders>
              <w:top w:val="nil"/>
              <w:left w:val="nil"/>
              <w:bottom w:val="single" w:sz="6" w:space="0" w:color="auto"/>
              <w:right w:val="nil"/>
            </w:tcBorders>
          </w:tcPr>
          <w:p w:rsidR="00CE7831" w:rsidRPr="00510300" w:rsidRDefault="00004840" w:rsidP="00004840">
            <w:pPr>
              <w:pStyle w:val="Tablehead2"/>
              <w:jc w:val="center"/>
              <w:rPr>
                <w:lang w:val="en-GB" w:eastAsia="en-GB"/>
              </w:rPr>
            </w:pPr>
            <w:r>
              <w:rPr>
                <w:lang w:val="en-GB" w:eastAsia="en-GB"/>
              </w:rPr>
              <w:t>change</w:t>
            </w:r>
          </w:p>
        </w:tc>
        <w:tc>
          <w:tcPr>
            <w:tcW w:w="414" w:type="pct"/>
            <w:tcBorders>
              <w:top w:val="nil"/>
              <w:left w:val="nil"/>
              <w:bottom w:val="single" w:sz="6" w:space="0" w:color="auto"/>
              <w:right w:val="nil"/>
            </w:tcBorders>
          </w:tcPr>
          <w:p w:rsidR="00CE7831" w:rsidRPr="00510300" w:rsidRDefault="00CE7831" w:rsidP="003A6A63">
            <w:pPr>
              <w:pStyle w:val="Tablehead2"/>
              <w:rPr>
                <w:lang w:val="en-GB" w:eastAsia="en-GB"/>
              </w:rPr>
            </w:pPr>
            <w:r w:rsidRPr="00510300">
              <w:rPr>
                <w:lang w:val="en-GB" w:eastAsia="en-GB"/>
              </w:rPr>
              <w:t>2006</w:t>
            </w:r>
          </w:p>
        </w:tc>
        <w:tc>
          <w:tcPr>
            <w:tcW w:w="414" w:type="pct"/>
            <w:tcBorders>
              <w:top w:val="nil"/>
              <w:left w:val="nil"/>
              <w:bottom w:val="single" w:sz="6" w:space="0" w:color="auto"/>
              <w:right w:val="nil"/>
            </w:tcBorders>
          </w:tcPr>
          <w:p w:rsidR="00CE7831" w:rsidRPr="00510300" w:rsidRDefault="00CE7831" w:rsidP="003A6A63">
            <w:pPr>
              <w:pStyle w:val="Tablehead2"/>
              <w:rPr>
                <w:lang w:val="en-GB" w:eastAsia="en-GB"/>
              </w:rPr>
            </w:pPr>
            <w:r w:rsidRPr="00510300">
              <w:rPr>
                <w:lang w:val="en-GB" w:eastAsia="en-GB"/>
              </w:rPr>
              <w:t>2008</w:t>
            </w:r>
          </w:p>
        </w:tc>
        <w:tc>
          <w:tcPr>
            <w:tcW w:w="414" w:type="pct"/>
            <w:tcBorders>
              <w:top w:val="nil"/>
              <w:left w:val="nil"/>
              <w:bottom w:val="single" w:sz="6" w:space="0" w:color="auto"/>
              <w:right w:val="nil"/>
            </w:tcBorders>
          </w:tcPr>
          <w:p w:rsidR="00CE7831" w:rsidRPr="00510300" w:rsidRDefault="00004840" w:rsidP="003A6A63">
            <w:pPr>
              <w:pStyle w:val="Tablehead2"/>
              <w:rPr>
                <w:lang w:val="en-GB" w:eastAsia="en-GB"/>
              </w:rPr>
            </w:pPr>
            <w:r>
              <w:rPr>
                <w:lang w:val="en-GB" w:eastAsia="en-GB"/>
              </w:rPr>
              <w:t>change</w:t>
            </w:r>
          </w:p>
        </w:tc>
        <w:tc>
          <w:tcPr>
            <w:tcW w:w="532" w:type="pct"/>
            <w:tcBorders>
              <w:top w:val="nil"/>
              <w:left w:val="nil"/>
              <w:bottom w:val="single" w:sz="6" w:space="0" w:color="auto"/>
              <w:right w:val="nil"/>
            </w:tcBorders>
          </w:tcPr>
          <w:p w:rsidR="00CE7831" w:rsidRPr="00510300" w:rsidRDefault="00CE7831" w:rsidP="003A6A63">
            <w:pPr>
              <w:pStyle w:val="Tablehead2"/>
              <w:rPr>
                <w:lang w:val="en-GB" w:eastAsia="en-GB"/>
              </w:rPr>
            </w:pPr>
            <w:r w:rsidRPr="00510300">
              <w:rPr>
                <w:lang w:val="en-GB" w:eastAsia="en-GB"/>
              </w:rPr>
              <w:t>2008/06</w:t>
            </w:r>
          </w:p>
        </w:tc>
        <w:tc>
          <w:tcPr>
            <w:tcW w:w="532" w:type="pct"/>
            <w:tcBorders>
              <w:top w:val="nil"/>
              <w:left w:val="nil"/>
              <w:bottom w:val="single" w:sz="6" w:space="0" w:color="auto"/>
              <w:right w:val="nil"/>
            </w:tcBorders>
          </w:tcPr>
          <w:p w:rsidR="00CE7831" w:rsidRPr="00510300" w:rsidRDefault="00CE7831" w:rsidP="003A6A63">
            <w:pPr>
              <w:pStyle w:val="Tablehead2"/>
              <w:rPr>
                <w:lang w:val="en-GB" w:eastAsia="en-GB"/>
              </w:rPr>
            </w:pPr>
            <w:r w:rsidRPr="00510300">
              <w:rPr>
                <w:lang w:val="en-GB" w:eastAsia="en-GB"/>
              </w:rPr>
              <w:t>2012/08</w:t>
            </w:r>
          </w:p>
        </w:tc>
      </w:tr>
      <w:tr w:rsidR="00CE7831" w:rsidRPr="00510300" w:rsidTr="0079345A">
        <w:trPr>
          <w:trHeight w:val="289"/>
        </w:trPr>
        <w:tc>
          <w:tcPr>
            <w:tcW w:w="1450" w:type="pct"/>
            <w:gridSpan w:val="2"/>
            <w:tcBorders>
              <w:top w:val="nil"/>
              <w:left w:val="nil"/>
              <w:bottom w:val="nil"/>
              <w:right w:val="nil"/>
            </w:tcBorders>
          </w:tcPr>
          <w:p w:rsidR="00CE7831" w:rsidRPr="00510300" w:rsidRDefault="00CE7831" w:rsidP="003E7263">
            <w:pPr>
              <w:pStyle w:val="Tabletext"/>
              <w:rPr>
                <w:lang w:val="en-GB" w:eastAsia="en-GB"/>
              </w:rPr>
            </w:pPr>
            <w:r>
              <w:rPr>
                <w:lang w:val="en-GB" w:eastAsia="en-GB"/>
              </w:rPr>
              <w:t>G</w:t>
            </w:r>
            <w:r w:rsidRPr="00510300">
              <w:rPr>
                <w:lang w:val="en-GB" w:eastAsia="en-GB"/>
              </w:rPr>
              <w:t>ender</w:t>
            </w:r>
          </w:p>
        </w:tc>
        <w:tc>
          <w:tcPr>
            <w:tcW w:w="414" w:type="pct"/>
            <w:tcBorders>
              <w:top w:val="nil"/>
              <w:left w:val="nil"/>
              <w:bottom w:val="nil"/>
              <w:right w:val="nil"/>
            </w:tcBorders>
          </w:tcPr>
          <w:p w:rsidR="00CE7831" w:rsidRPr="00510300" w:rsidRDefault="00CE7831" w:rsidP="003E7263">
            <w:pPr>
              <w:pStyle w:val="Tabletext"/>
              <w:rPr>
                <w:lang w:val="en-GB" w:eastAsia="en-GB"/>
              </w:rPr>
            </w:pPr>
          </w:p>
        </w:tc>
        <w:tc>
          <w:tcPr>
            <w:tcW w:w="414" w:type="pct"/>
            <w:tcBorders>
              <w:top w:val="nil"/>
              <w:left w:val="nil"/>
              <w:bottom w:val="nil"/>
              <w:right w:val="nil"/>
            </w:tcBorders>
          </w:tcPr>
          <w:p w:rsidR="00CE7831" w:rsidRPr="00510300" w:rsidRDefault="00CE7831" w:rsidP="003E7263">
            <w:pPr>
              <w:pStyle w:val="Tabletext"/>
              <w:rPr>
                <w:lang w:val="en-GB" w:eastAsia="en-GB"/>
              </w:rPr>
            </w:pPr>
          </w:p>
        </w:tc>
        <w:tc>
          <w:tcPr>
            <w:tcW w:w="414" w:type="pct"/>
            <w:tcBorders>
              <w:top w:val="nil"/>
              <w:left w:val="nil"/>
              <w:bottom w:val="nil"/>
              <w:right w:val="nil"/>
            </w:tcBorders>
          </w:tcPr>
          <w:p w:rsidR="00CE7831" w:rsidRPr="00510300" w:rsidRDefault="00CE7831" w:rsidP="003E7263">
            <w:pPr>
              <w:pStyle w:val="Tabletext"/>
              <w:rPr>
                <w:lang w:val="en-GB" w:eastAsia="en-GB"/>
              </w:rPr>
            </w:pPr>
          </w:p>
        </w:tc>
        <w:tc>
          <w:tcPr>
            <w:tcW w:w="414" w:type="pct"/>
            <w:tcBorders>
              <w:top w:val="nil"/>
              <w:left w:val="nil"/>
              <w:bottom w:val="nil"/>
              <w:right w:val="nil"/>
            </w:tcBorders>
          </w:tcPr>
          <w:p w:rsidR="00CE7831" w:rsidRPr="00510300" w:rsidRDefault="00CE7831" w:rsidP="003E7263">
            <w:pPr>
              <w:pStyle w:val="Tabletext"/>
              <w:rPr>
                <w:lang w:val="en-GB" w:eastAsia="en-GB"/>
              </w:rPr>
            </w:pPr>
          </w:p>
        </w:tc>
        <w:tc>
          <w:tcPr>
            <w:tcW w:w="414" w:type="pct"/>
            <w:tcBorders>
              <w:top w:val="nil"/>
              <w:left w:val="nil"/>
              <w:bottom w:val="nil"/>
              <w:right w:val="nil"/>
            </w:tcBorders>
          </w:tcPr>
          <w:p w:rsidR="00CE7831" w:rsidRPr="00510300" w:rsidRDefault="00CE7831" w:rsidP="003E7263">
            <w:pPr>
              <w:pStyle w:val="Tabletext"/>
              <w:rPr>
                <w:lang w:val="en-GB" w:eastAsia="en-GB"/>
              </w:rPr>
            </w:pPr>
          </w:p>
        </w:tc>
        <w:tc>
          <w:tcPr>
            <w:tcW w:w="414" w:type="pct"/>
            <w:tcBorders>
              <w:top w:val="nil"/>
              <w:left w:val="nil"/>
              <w:bottom w:val="nil"/>
              <w:right w:val="nil"/>
            </w:tcBorders>
          </w:tcPr>
          <w:p w:rsidR="00CE7831" w:rsidRPr="00510300" w:rsidRDefault="00CE7831" w:rsidP="003E7263">
            <w:pPr>
              <w:pStyle w:val="Tabletext"/>
              <w:rPr>
                <w:lang w:val="en-GB" w:eastAsia="en-GB"/>
              </w:rPr>
            </w:pPr>
          </w:p>
        </w:tc>
        <w:tc>
          <w:tcPr>
            <w:tcW w:w="532" w:type="pct"/>
            <w:tcBorders>
              <w:top w:val="nil"/>
              <w:left w:val="nil"/>
              <w:bottom w:val="nil"/>
              <w:right w:val="nil"/>
            </w:tcBorders>
          </w:tcPr>
          <w:p w:rsidR="00CE7831" w:rsidRPr="00510300" w:rsidRDefault="00CE7831" w:rsidP="003E7263">
            <w:pPr>
              <w:pStyle w:val="Tabletext"/>
              <w:rPr>
                <w:lang w:val="en-GB" w:eastAsia="en-GB"/>
              </w:rPr>
            </w:pPr>
          </w:p>
        </w:tc>
        <w:tc>
          <w:tcPr>
            <w:tcW w:w="532" w:type="pct"/>
            <w:tcBorders>
              <w:top w:val="nil"/>
              <w:left w:val="nil"/>
              <w:bottom w:val="nil"/>
              <w:right w:val="nil"/>
            </w:tcBorders>
          </w:tcPr>
          <w:p w:rsidR="00CE7831" w:rsidRPr="00510300" w:rsidRDefault="00CE7831" w:rsidP="003E7263">
            <w:pPr>
              <w:pStyle w:val="Tabletext"/>
              <w:rPr>
                <w:lang w:val="en-GB" w:eastAsia="en-GB"/>
              </w:rPr>
            </w:pP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M</w:t>
            </w:r>
            <w:r w:rsidRPr="00510300">
              <w:rPr>
                <w:lang w:val="en-GB" w:eastAsia="en-GB"/>
              </w:rPr>
              <w:t>ale</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6.8</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6.4</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-0.3</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4.3</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4.5</w:t>
            </w:r>
          </w:p>
        </w:tc>
        <w:tc>
          <w:tcPr>
            <w:tcW w:w="414" w:type="pct"/>
            <w:tcBorders>
              <w:top w:val="nil"/>
              <w:left w:val="nil"/>
              <w:bottom w:val="nil"/>
              <w:right w:val="nil"/>
            </w:tcBorders>
          </w:tcPr>
          <w:p w:rsidR="00CE7831" w:rsidRPr="00510300" w:rsidRDefault="00CE7831" w:rsidP="006E6557">
            <w:pPr>
              <w:pStyle w:val="Tabletext"/>
              <w:tabs>
                <w:tab w:val="decimal" w:pos="262"/>
              </w:tabs>
              <w:rPr>
                <w:lang w:val="en-GB" w:eastAsia="en-GB"/>
              </w:rPr>
            </w:pPr>
            <w:r w:rsidRPr="00510300">
              <w:rPr>
                <w:lang w:val="en-GB" w:eastAsia="en-GB"/>
              </w:rPr>
              <w:t>0.1</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4.5</w:t>
            </w:r>
          </w:p>
        </w:tc>
      </w:tr>
      <w:tr w:rsidR="00CE7831" w:rsidRPr="00510300" w:rsidTr="0079345A">
        <w:trPr>
          <w:trHeight w:val="289"/>
        </w:trPr>
        <w:tc>
          <w:tcPr>
            <w:tcW w:w="166" w:type="pct"/>
            <w:tcBorders>
              <w:top w:val="nil"/>
              <w:left w:val="nil"/>
              <w:right w:val="nil"/>
            </w:tcBorders>
          </w:tcPr>
          <w:p w:rsidR="00CE7831" w:rsidRPr="00510300" w:rsidRDefault="00CE7831" w:rsidP="003E7263">
            <w:pPr>
              <w:pStyle w:val="Tabletext"/>
              <w:rPr>
                <w:lang w:val="en-GB" w:eastAsia="en-GB"/>
              </w:rPr>
            </w:pPr>
          </w:p>
        </w:tc>
        <w:tc>
          <w:tcPr>
            <w:tcW w:w="1283" w:type="pct"/>
            <w:tcBorders>
              <w:top w:val="nil"/>
              <w:left w:val="nil"/>
              <w:right w:val="nil"/>
            </w:tcBorders>
          </w:tcPr>
          <w:p w:rsidR="00CE7831" w:rsidRPr="00510300" w:rsidRDefault="00CE7831" w:rsidP="003E7263">
            <w:pPr>
              <w:pStyle w:val="Tabletext"/>
              <w:rPr>
                <w:lang w:val="en-GB" w:eastAsia="en-GB"/>
              </w:rPr>
            </w:pPr>
            <w:r>
              <w:rPr>
                <w:lang w:val="en-GB" w:eastAsia="en-GB"/>
              </w:rPr>
              <w:t>F</w:t>
            </w:r>
            <w:r w:rsidRPr="00510300">
              <w:rPr>
                <w:lang w:val="en-GB" w:eastAsia="en-GB"/>
              </w:rPr>
              <w:t>emale</w:t>
            </w:r>
          </w:p>
        </w:tc>
        <w:tc>
          <w:tcPr>
            <w:tcW w:w="414" w:type="pct"/>
            <w:tcBorders>
              <w:top w:val="nil"/>
              <w:left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6.1</w:t>
            </w:r>
          </w:p>
        </w:tc>
        <w:tc>
          <w:tcPr>
            <w:tcW w:w="414" w:type="pct"/>
            <w:tcBorders>
              <w:top w:val="nil"/>
              <w:left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6.2</w:t>
            </w:r>
          </w:p>
        </w:tc>
        <w:tc>
          <w:tcPr>
            <w:tcW w:w="414" w:type="pct"/>
            <w:tcBorders>
              <w:top w:val="nil"/>
              <w:left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0.1</w:t>
            </w:r>
          </w:p>
        </w:tc>
        <w:tc>
          <w:tcPr>
            <w:tcW w:w="414" w:type="pct"/>
            <w:tcBorders>
              <w:top w:val="nil"/>
              <w:left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5.0</w:t>
            </w:r>
          </w:p>
        </w:tc>
        <w:tc>
          <w:tcPr>
            <w:tcW w:w="414" w:type="pct"/>
            <w:tcBorders>
              <w:top w:val="nil"/>
              <w:left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5.4</w:t>
            </w:r>
          </w:p>
        </w:tc>
        <w:tc>
          <w:tcPr>
            <w:tcW w:w="414" w:type="pct"/>
            <w:tcBorders>
              <w:top w:val="nil"/>
              <w:left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0.4</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-0.3</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3.8</w:t>
            </w:r>
          </w:p>
        </w:tc>
      </w:tr>
      <w:tr w:rsidR="00CE7831" w:rsidRPr="00510300" w:rsidTr="0079345A">
        <w:trPr>
          <w:trHeight w:val="289"/>
        </w:trPr>
        <w:tc>
          <w:tcPr>
            <w:tcW w:w="1450" w:type="pct"/>
            <w:gridSpan w:val="2"/>
            <w:tcBorders>
              <w:top w:val="nil"/>
              <w:left w:val="nil"/>
              <w:bottom w:val="nil"/>
              <w:right w:val="nil"/>
            </w:tcBorders>
          </w:tcPr>
          <w:p w:rsidR="00CE7831" w:rsidRPr="00510300" w:rsidRDefault="00CE7831" w:rsidP="003E7263">
            <w:pPr>
              <w:pStyle w:val="Tabletext"/>
              <w:rPr>
                <w:lang w:val="en-GB" w:eastAsia="en-GB"/>
              </w:rPr>
            </w:pPr>
            <w:r>
              <w:rPr>
                <w:lang w:val="en-GB" w:eastAsia="en-GB"/>
              </w:rPr>
              <w:t>A</w:t>
            </w:r>
            <w:r w:rsidRPr="00510300">
              <w:rPr>
                <w:lang w:val="en-GB" w:eastAsia="en-GB"/>
              </w:rPr>
              <w:t>ge band</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79345A" w:rsidP="003E7263">
            <w:pPr>
              <w:pStyle w:val="Tabletext"/>
              <w:rPr>
                <w:lang w:val="en-GB" w:eastAsia="en-GB"/>
              </w:rPr>
            </w:pPr>
            <w:r>
              <w:rPr>
                <w:lang w:val="en-GB" w:eastAsia="en-GB"/>
              </w:rPr>
              <w:t>25–</w:t>
            </w:r>
            <w:r w:rsidR="00CE7831" w:rsidRPr="00510300">
              <w:rPr>
                <w:lang w:val="en-GB" w:eastAsia="en-GB"/>
              </w:rPr>
              <w:t>29</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8.8</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8.5</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-0.3</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6.6</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6.7</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0.1</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-0.3</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5.1</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79345A" w:rsidP="003E7263">
            <w:pPr>
              <w:pStyle w:val="Tabletext"/>
              <w:rPr>
                <w:lang w:val="en-GB" w:eastAsia="en-GB"/>
              </w:rPr>
            </w:pPr>
            <w:r>
              <w:rPr>
                <w:lang w:val="en-GB" w:eastAsia="en-GB"/>
              </w:rPr>
              <w:t>30–</w:t>
            </w:r>
            <w:r w:rsidR="00CE7831" w:rsidRPr="00510300">
              <w:rPr>
                <w:lang w:val="en-GB" w:eastAsia="en-GB"/>
              </w:rPr>
              <w:t>34</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7.5</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7.0</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-0.5</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5.5</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5.6</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0.1</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-0.6</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4.4</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79345A" w:rsidP="003E7263">
            <w:pPr>
              <w:pStyle w:val="Tabletext"/>
              <w:rPr>
                <w:lang w:val="en-GB" w:eastAsia="en-GB"/>
              </w:rPr>
            </w:pPr>
            <w:r>
              <w:rPr>
                <w:lang w:val="en-GB" w:eastAsia="en-GB"/>
              </w:rPr>
              <w:t>35–</w:t>
            </w:r>
            <w:r w:rsidR="00CE7831" w:rsidRPr="00510300">
              <w:rPr>
                <w:lang w:val="en-GB" w:eastAsia="en-GB"/>
              </w:rPr>
              <w:t>39</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6.5</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6.6</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0.1</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4.9</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5.3</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0.5</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4.2</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79345A" w:rsidP="003E7263">
            <w:pPr>
              <w:pStyle w:val="Tabletext"/>
              <w:rPr>
                <w:lang w:val="en-GB" w:eastAsia="en-GB"/>
              </w:rPr>
            </w:pPr>
            <w:r>
              <w:rPr>
                <w:lang w:val="en-GB" w:eastAsia="en-GB"/>
              </w:rPr>
              <w:t>40–</w:t>
            </w:r>
            <w:r w:rsidR="00CE7831" w:rsidRPr="00510300">
              <w:rPr>
                <w:lang w:val="en-GB" w:eastAsia="en-GB"/>
              </w:rPr>
              <w:t>44</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6.2</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6.0</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-0.2</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4.5</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4.7</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0.2</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4.2</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79345A" w:rsidP="003E7263">
            <w:pPr>
              <w:pStyle w:val="Tabletext"/>
              <w:rPr>
                <w:lang w:val="en-GB" w:eastAsia="en-GB"/>
              </w:rPr>
            </w:pPr>
            <w:r>
              <w:rPr>
                <w:lang w:val="en-GB" w:eastAsia="en-GB"/>
              </w:rPr>
              <w:t>45–</w:t>
            </w:r>
            <w:r w:rsidR="00CE7831" w:rsidRPr="00510300">
              <w:rPr>
                <w:lang w:val="en-GB" w:eastAsia="en-GB"/>
              </w:rPr>
              <w:t>49</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5.3</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5.5</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0.2</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3.8</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4.2</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-0.3</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3.7</w:t>
            </w:r>
          </w:p>
        </w:tc>
      </w:tr>
      <w:tr w:rsidR="00CE7831" w:rsidRPr="00510300" w:rsidTr="0079345A">
        <w:trPr>
          <w:trHeight w:val="289"/>
        </w:trPr>
        <w:tc>
          <w:tcPr>
            <w:tcW w:w="166" w:type="pct"/>
            <w:tcBorders>
              <w:top w:val="nil"/>
              <w:left w:val="nil"/>
              <w:right w:val="nil"/>
            </w:tcBorders>
          </w:tcPr>
          <w:p w:rsidR="00CE7831" w:rsidRPr="00510300" w:rsidRDefault="00CE7831" w:rsidP="003E7263">
            <w:pPr>
              <w:pStyle w:val="Tabletext"/>
              <w:rPr>
                <w:lang w:val="en-GB" w:eastAsia="en-GB"/>
              </w:rPr>
            </w:pPr>
          </w:p>
        </w:tc>
        <w:tc>
          <w:tcPr>
            <w:tcW w:w="1283" w:type="pct"/>
            <w:tcBorders>
              <w:top w:val="nil"/>
              <w:left w:val="nil"/>
              <w:right w:val="nil"/>
            </w:tcBorders>
          </w:tcPr>
          <w:p w:rsidR="00CE7831" w:rsidRPr="00510300" w:rsidRDefault="0079345A" w:rsidP="003E7263">
            <w:pPr>
              <w:pStyle w:val="Tabletext"/>
              <w:rPr>
                <w:lang w:val="en-GB" w:eastAsia="en-GB"/>
              </w:rPr>
            </w:pPr>
            <w:r>
              <w:rPr>
                <w:lang w:val="en-GB" w:eastAsia="en-GB"/>
              </w:rPr>
              <w:t>50–</w:t>
            </w:r>
            <w:r w:rsidR="00CE7831" w:rsidRPr="00510300">
              <w:rPr>
                <w:lang w:val="en-GB" w:eastAsia="en-GB"/>
              </w:rPr>
              <w:t>54</w:t>
            </w:r>
          </w:p>
        </w:tc>
        <w:tc>
          <w:tcPr>
            <w:tcW w:w="414" w:type="pct"/>
            <w:tcBorders>
              <w:top w:val="nil"/>
              <w:left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4.1</w:t>
            </w:r>
          </w:p>
        </w:tc>
        <w:tc>
          <w:tcPr>
            <w:tcW w:w="414" w:type="pct"/>
            <w:tcBorders>
              <w:top w:val="nil"/>
              <w:left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4.1</w:t>
            </w:r>
          </w:p>
        </w:tc>
        <w:tc>
          <w:tcPr>
            <w:tcW w:w="414" w:type="pct"/>
            <w:tcBorders>
              <w:top w:val="nil"/>
              <w:left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0.0</w:t>
            </w:r>
          </w:p>
        </w:tc>
        <w:tc>
          <w:tcPr>
            <w:tcW w:w="414" w:type="pct"/>
            <w:tcBorders>
              <w:top w:val="nil"/>
              <w:left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2.8</w:t>
            </w:r>
          </w:p>
        </w:tc>
        <w:tc>
          <w:tcPr>
            <w:tcW w:w="414" w:type="pct"/>
            <w:tcBorders>
              <w:top w:val="nil"/>
              <w:left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3.2</w:t>
            </w:r>
          </w:p>
        </w:tc>
        <w:tc>
          <w:tcPr>
            <w:tcW w:w="414" w:type="pct"/>
            <w:tcBorders>
              <w:top w:val="nil"/>
              <w:left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0.3</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3.3</w:t>
            </w:r>
          </w:p>
        </w:tc>
      </w:tr>
      <w:tr w:rsidR="00CE7831" w:rsidRPr="00510300" w:rsidTr="0079345A">
        <w:trPr>
          <w:trHeight w:val="289"/>
        </w:trPr>
        <w:tc>
          <w:tcPr>
            <w:tcW w:w="1450" w:type="pct"/>
            <w:gridSpan w:val="2"/>
            <w:tcBorders>
              <w:top w:val="nil"/>
              <w:left w:val="nil"/>
              <w:bottom w:val="nil"/>
              <w:right w:val="nil"/>
            </w:tcBorders>
          </w:tcPr>
          <w:p w:rsidR="00CE7831" w:rsidRPr="00510300" w:rsidRDefault="00CE7831" w:rsidP="003E7263">
            <w:pPr>
              <w:pStyle w:val="Tabletext"/>
              <w:rPr>
                <w:lang w:val="en-GB" w:eastAsia="en-GB"/>
              </w:rPr>
            </w:pPr>
            <w:r>
              <w:rPr>
                <w:lang w:val="en-GB" w:eastAsia="en-GB"/>
              </w:rPr>
              <w:t>C</w:t>
            </w:r>
            <w:r w:rsidRPr="00510300">
              <w:rPr>
                <w:lang w:val="en-GB" w:eastAsia="en-GB"/>
              </w:rPr>
              <w:t>ountry of birth</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79"/>
                <w:tab w:val="decimal" w:pos="265"/>
                <w:tab w:val="decimal" w:pos="320"/>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sidRPr="00510300">
              <w:rPr>
                <w:lang w:val="en-GB" w:eastAsia="en-GB"/>
              </w:rPr>
              <w:t>Australia</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6.0</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5.9</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-0.2</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4.3</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4.5</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0.3</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4.2</w:t>
            </w:r>
          </w:p>
        </w:tc>
      </w:tr>
      <w:tr w:rsidR="00CE7831" w:rsidRPr="00510300" w:rsidTr="0079345A">
        <w:trPr>
          <w:trHeight w:val="289"/>
        </w:trPr>
        <w:tc>
          <w:tcPr>
            <w:tcW w:w="166" w:type="pct"/>
            <w:tcBorders>
              <w:top w:val="nil"/>
              <w:left w:val="nil"/>
              <w:right w:val="nil"/>
            </w:tcBorders>
          </w:tcPr>
          <w:p w:rsidR="00CE7831" w:rsidRPr="00510300" w:rsidRDefault="00CE7831" w:rsidP="003E7263">
            <w:pPr>
              <w:pStyle w:val="Tabletext"/>
              <w:rPr>
                <w:lang w:val="en-GB" w:eastAsia="en-GB"/>
              </w:rPr>
            </w:pPr>
          </w:p>
        </w:tc>
        <w:tc>
          <w:tcPr>
            <w:tcW w:w="1283" w:type="pct"/>
            <w:tcBorders>
              <w:top w:val="nil"/>
              <w:left w:val="nil"/>
              <w:right w:val="nil"/>
            </w:tcBorders>
          </w:tcPr>
          <w:p w:rsidR="00CE7831" w:rsidRPr="00510300" w:rsidRDefault="00CE7831" w:rsidP="003E7263">
            <w:pPr>
              <w:pStyle w:val="Tabletext"/>
              <w:rPr>
                <w:lang w:val="en-GB" w:eastAsia="en-GB"/>
              </w:rPr>
            </w:pPr>
            <w:r>
              <w:rPr>
                <w:lang w:val="en-GB" w:eastAsia="en-GB"/>
              </w:rPr>
              <w:t>Foreign</w:t>
            </w:r>
          </w:p>
        </w:tc>
        <w:tc>
          <w:tcPr>
            <w:tcW w:w="414" w:type="pct"/>
            <w:tcBorders>
              <w:top w:val="nil"/>
              <w:left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7.2</w:t>
            </w:r>
          </w:p>
        </w:tc>
        <w:tc>
          <w:tcPr>
            <w:tcW w:w="414" w:type="pct"/>
            <w:tcBorders>
              <w:top w:val="nil"/>
              <w:left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7.2</w:t>
            </w:r>
          </w:p>
        </w:tc>
        <w:tc>
          <w:tcPr>
            <w:tcW w:w="414" w:type="pct"/>
            <w:tcBorders>
              <w:top w:val="nil"/>
              <w:left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0.1</w:t>
            </w:r>
          </w:p>
        </w:tc>
        <w:tc>
          <w:tcPr>
            <w:tcW w:w="414" w:type="pct"/>
            <w:tcBorders>
              <w:top w:val="nil"/>
              <w:left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5.4</w:t>
            </w:r>
          </w:p>
        </w:tc>
        <w:tc>
          <w:tcPr>
            <w:tcW w:w="414" w:type="pct"/>
            <w:tcBorders>
              <w:top w:val="nil"/>
              <w:left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5.8</w:t>
            </w:r>
          </w:p>
        </w:tc>
        <w:tc>
          <w:tcPr>
            <w:tcW w:w="414" w:type="pct"/>
            <w:tcBorders>
              <w:top w:val="nil"/>
              <w:left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0.4</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-0.3</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4.2</w:t>
            </w:r>
          </w:p>
        </w:tc>
      </w:tr>
      <w:tr w:rsidR="00CE7831" w:rsidRPr="00510300" w:rsidTr="0079345A">
        <w:trPr>
          <w:trHeight w:val="289"/>
        </w:trPr>
        <w:tc>
          <w:tcPr>
            <w:tcW w:w="1450" w:type="pct"/>
            <w:gridSpan w:val="2"/>
            <w:tcBorders>
              <w:top w:val="nil"/>
              <w:left w:val="nil"/>
              <w:bottom w:val="nil"/>
              <w:right w:val="nil"/>
            </w:tcBorders>
          </w:tcPr>
          <w:p w:rsidR="00CE7831" w:rsidRPr="00510300" w:rsidRDefault="00CE7831" w:rsidP="003E7263">
            <w:pPr>
              <w:pStyle w:val="Tabletext"/>
              <w:rPr>
                <w:lang w:val="en-GB" w:eastAsia="en-GB"/>
              </w:rPr>
            </w:pPr>
            <w:r>
              <w:rPr>
                <w:lang w:val="en-GB" w:eastAsia="en-GB"/>
              </w:rPr>
              <w:t>I</w:t>
            </w:r>
            <w:r w:rsidRPr="00510300">
              <w:rPr>
                <w:lang w:val="en-GB" w:eastAsia="en-GB"/>
              </w:rPr>
              <w:t>ndigenous status</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I</w:t>
            </w:r>
            <w:r w:rsidRPr="00510300">
              <w:rPr>
                <w:lang w:val="en-GB" w:eastAsia="en-GB"/>
              </w:rPr>
              <w:t>ndigenous</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1.6</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2.0</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0.4</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3.8</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3.8</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0.0</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-1.0</w:t>
            </w:r>
          </w:p>
        </w:tc>
      </w:tr>
      <w:tr w:rsidR="00CE7831" w:rsidRPr="00510300" w:rsidTr="0079345A">
        <w:trPr>
          <w:trHeight w:val="289"/>
        </w:trPr>
        <w:tc>
          <w:tcPr>
            <w:tcW w:w="166" w:type="pct"/>
            <w:tcBorders>
              <w:top w:val="nil"/>
              <w:left w:val="nil"/>
              <w:right w:val="nil"/>
            </w:tcBorders>
          </w:tcPr>
          <w:p w:rsidR="00CE7831" w:rsidRPr="00510300" w:rsidRDefault="00CE7831" w:rsidP="003E7263">
            <w:pPr>
              <w:pStyle w:val="Tabletext"/>
              <w:rPr>
                <w:lang w:val="en-GB" w:eastAsia="en-GB"/>
              </w:rPr>
            </w:pPr>
          </w:p>
        </w:tc>
        <w:tc>
          <w:tcPr>
            <w:tcW w:w="1283" w:type="pct"/>
            <w:tcBorders>
              <w:top w:val="nil"/>
              <w:left w:val="nil"/>
              <w:right w:val="nil"/>
            </w:tcBorders>
          </w:tcPr>
          <w:p w:rsidR="00CE7831" w:rsidRPr="00510300" w:rsidRDefault="00CE7831" w:rsidP="003E7263">
            <w:pPr>
              <w:pStyle w:val="Tabletext"/>
              <w:rPr>
                <w:lang w:val="en-GB" w:eastAsia="en-GB"/>
              </w:rPr>
            </w:pPr>
            <w:r>
              <w:rPr>
                <w:lang w:val="en-GB" w:eastAsia="en-GB"/>
              </w:rPr>
              <w:t>N</w:t>
            </w:r>
            <w:r w:rsidRPr="00510300">
              <w:rPr>
                <w:lang w:val="en-GB" w:eastAsia="en-GB"/>
              </w:rPr>
              <w:t>on-indigenous</w:t>
            </w:r>
          </w:p>
        </w:tc>
        <w:tc>
          <w:tcPr>
            <w:tcW w:w="414" w:type="pct"/>
            <w:tcBorders>
              <w:top w:val="nil"/>
              <w:left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6.7</w:t>
            </w:r>
          </w:p>
        </w:tc>
        <w:tc>
          <w:tcPr>
            <w:tcW w:w="414" w:type="pct"/>
            <w:tcBorders>
              <w:top w:val="nil"/>
              <w:left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6.6</w:t>
            </w:r>
          </w:p>
        </w:tc>
        <w:tc>
          <w:tcPr>
            <w:tcW w:w="414" w:type="pct"/>
            <w:tcBorders>
              <w:top w:val="nil"/>
              <w:left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-0.1</w:t>
            </w:r>
          </w:p>
        </w:tc>
        <w:tc>
          <w:tcPr>
            <w:tcW w:w="414" w:type="pct"/>
            <w:tcBorders>
              <w:top w:val="nil"/>
              <w:left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4.7</w:t>
            </w:r>
          </w:p>
        </w:tc>
        <w:tc>
          <w:tcPr>
            <w:tcW w:w="414" w:type="pct"/>
            <w:tcBorders>
              <w:top w:val="nil"/>
              <w:left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5.0</w:t>
            </w:r>
          </w:p>
        </w:tc>
        <w:tc>
          <w:tcPr>
            <w:tcW w:w="414" w:type="pct"/>
            <w:tcBorders>
              <w:top w:val="nil"/>
              <w:left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0.3</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4.5</w:t>
            </w:r>
          </w:p>
        </w:tc>
      </w:tr>
      <w:tr w:rsidR="00CE7831" w:rsidRPr="00510300" w:rsidTr="0079345A">
        <w:trPr>
          <w:trHeight w:val="289"/>
        </w:trPr>
        <w:tc>
          <w:tcPr>
            <w:tcW w:w="1450" w:type="pct"/>
            <w:gridSpan w:val="2"/>
            <w:tcBorders>
              <w:top w:val="nil"/>
              <w:left w:val="nil"/>
              <w:bottom w:val="nil"/>
              <w:right w:val="nil"/>
            </w:tcBorders>
          </w:tcPr>
          <w:p w:rsidR="00CE7831" w:rsidRPr="00510300" w:rsidRDefault="00CE7831" w:rsidP="003E7263">
            <w:pPr>
              <w:pStyle w:val="Tabletext"/>
              <w:rPr>
                <w:lang w:val="en-GB" w:eastAsia="en-GB"/>
              </w:rPr>
            </w:pPr>
            <w:r>
              <w:rPr>
                <w:lang w:val="en-GB" w:eastAsia="en-GB"/>
              </w:rPr>
              <w:t>L</w:t>
            </w:r>
            <w:r w:rsidRPr="00510300">
              <w:rPr>
                <w:lang w:val="en-GB" w:eastAsia="en-GB"/>
              </w:rPr>
              <w:t>ocation</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U</w:t>
            </w:r>
            <w:r w:rsidRPr="00510300">
              <w:rPr>
                <w:lang w:val="en-GB" w:eastAsia="en-GB"/>
              </w:rPr>
              <w:t>rban</w:t>
            </w:r>
          </w:p>
        </w:tc>
        <w:tc>
          <w:tcPr>
            <w:tcW w:w="414" w:type="pct"/>
            <w:tcBorders>
              <w:top w:val="nil"/>
              <w:left w:val="nil"/>
              <w:bottom w:val="nil"/>
              <w:right w:val="nil"/>
            </w:tcBorders>
          </w:tcPr>
          <w:p w:rsidR="00CE7831" w:rsidRPr="00510300" w:rsidRDefault="00CE7831" w:rsidP="005F0AFC">
            <w:pPr>
              <w:pStyle w:val="Tabletext"/>
              <w:tabs>
                <w:tab w:val="decimal" w:pos="156"/>
              </w:tabs>
              <w:rPr>
                <w:lang w:val="en-GB" w:eastAsia="en-GB"/>
              </w:rPr>
            </w:pPr>
            <w:r w:rsidRPr="00510300">
              <w:rPr>
                <w:lang w:val="en-GB" w:eastAsia="en-GB"/>
              </w:rPr>
              <w:t>6.3</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6.2</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-0.1</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4.4</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4.7</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0.3</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4.2</w:t>
            </w:r>
          </w:p>
        </w:tc>
      </w:tr>
      <w:tr w:rsidR="00CE7831" w:rsidRPr="00510300" w:rsidTr="0079345A">
        <w:trPr>
          <w:trHeight w:val="289"/>
        </w:trPr>
        <w:tc>
          <w:tcPr>
            <w:tcW w:w="166" w:type="pct"/>
            <w:tcBorders>
              <w:top w:val="nil"/>
              <w:left w:val="nil"/>
              <w:right w:val="nil"/>
            </w:tcBorders>
          </w:tcPr>
          <w:p w:rsidR="00CE7831" w:rsidRPr="00510300" w:rsidRDefault="00CE7831" w:rsidP="003E7263">
            <w:pPr>
              <w:pStyle w:val="Tabletext"/>
              <w:rPr>
                <w:lang w:val="en-GB" w:eastAsia="en-GB"/>
              </w:rPr>
            </w:pPr>
          </w:p>
        </w:tc>
        <w:tc>
          <w:tcPr>
            <w:tcW w:w="1283" w:type="pct"/>
            <w:tcBorders>
              <w:top w:val="nil"/>
              <w:left w:val="nil"/>
              <w:right w:val="nil"/>
            </w:tcBorders>
          </w:tcPr>
          <w:p w:rsidR="00CE7831" w:rsidRPr="00510300" w:rsidRDefault="00CE7831" w:rsidP="003E7263">
            <w:pPr>
              <w:pStyle w:val="Tabletext"/>
              <w:rPr>
                <w:lang w:val="en-GB" w:eastAsia="en-GB"/>
              </w:rPr>
            </w:pPr>
            <w:r>
              <w:rPr>
                <w:lang w:val="en-GB" w:eastAsia="en-GB"/>
              </w:rPr>
              <w:t>R</w:t>
            </w:r>
            <w:r w:rsidRPr="00510300">
              <w:rPr>
                <w:lang w:val="en-GB" w:eastAsia="en-GB"/>
              </w:rPr>
              <w:t>ural</w:t>
            </w:r>
          </w:p>
        </w:tc>
        <w:tc>
          <w:tcPr>
            <w:tcW w:w="414" w:type="pct"/>
            <w:tcBorders>
              <w:top w:val="nil"/>
              <w:left w:val="nil"/>
              <w:right w:val="nil"/>
            </w:tcBorders>
          </w:tcPr>
          <w:p w:rsidR="00CE7831" w:rsidRPr="00510300" w:rsidRDefault="00CE7831" w:rsidP="006E6557">
            <w:pPr>
              <w:pStyle w:val="Tabletext"/>
              <w:tabs>
                <w:tab w:val="decimal" w:pos="156"/>
              </w:tabs>
              <w:rPr>
                <w:lang w:val="en-GB" w:eastAsia="en-GB"/>
              </w:rPr>
            </w:pPr>
            <w:r w:rsidRPr="00510300">
              <w:rPr>
                <w:lang w:val="en-GB" w:eastAsia="en-GB"/>
              </w:rPr>
              <w:t>9.1</w:t>
            </w:r>
          </w:p>
        </w:tc>
        <w:tc>
          <w:tcPr>
            <w:tcW w:w="414" w:type="pct"/>
            <w:tcBorders>
              <w:top w:val="nil"/>
              <w:left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9.4</w:t>
            </w:r>
          </w:p>
        </w:tc>
        <w:tc>
          <w:tcPr>
            <w:tcW w:w="414" w:type="pct"/>
            <w:tcBorders>
              <w:top w:val="nil"/>
              <w:left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0.3</w:t>
            </w:r>
          </w:p>
        </w:tc>
        <w:tc>
          <w:tcPr>
            <w:tcW w:w="414" w:type="pct"/>
            <w:tcBorders>
              <w:top w:val="nil"/>
              <w:left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6.4</w:t>
            </w:r>
          </w:p>
        </w:tc>
        <w:tc>
          <w:tcPr>
            <w:tcW w:w="414" w:type="pct"/>
            <w:tcBorders>
              <w:top w:val="nil"/>
              <w:left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6.7</w:t>
            </w:r>
          </w:p>
        </w:tc>
        <w:tc>
          <w:tcPr>
            <w:tcW w:w="414" w:type="pct"/>
            <w:tcBorders>
              <w:top w:val="nil"/>
              <w:left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0.2</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0.1</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5.9</w:t>
            </w:r>
          </w:p>
        </w:tc>
      </w:tr>
      <w:tr w:rsidR="00CE7831" w:rsidRPr="00510300" w:rsidTr="0079345A">
        <w:trPr>
          <w:trHeight w:val="289"/>
        </w:trPr>
        <w:tc>
          <w:tcPr>
            <w:tcW w:w="1864" w:type="pct"/>
            <w:gridSpan w:val="3"/>
            <w:tcBorders>
              <w:top w:val="nil"/>
              <w:left w:val="nil"/>
              <w:bottom w:val="nil"/>
              <w:right w:val="nil"/>
            </w:tcBorders>
          </w:tcPr>
          <w:p w:rsidR="00CE7831" w:rsidRPr="00510300" w:rsidRDefault="00CE7831" w:rsidP="003E7263">
            <w:pPr>
              <w:pStyle w:val="Tabletext"/>
              <w:rPr>
                <w:lang w:val="en-GB" w:eastAsia="en-GB"/>
              </w:rPr>
            </w:pPr>
            <w:r>
              <w:rPr>
                <w:lang w:val="en-GB" w:eastAsia="en-GB"/>
              </w:rPr>
              <w:t>H</w:t>
            </w:r>
            <w:r w:rsidRPr="00510300">
              <w:rPr>
                <w:lang w:val="en-GB" w:eastAsia="en-GB"/>
              </w:rPr>
              <w:t>ighest previous education</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B</w:t>
            </w:r>
            <w:r w:rsidRPr="00510300">
              <w:rPr>
                <w:lang w:val="en-GB" w:eastAsia="en-GB"/>
              </w:rPr>
              <w:t>achelor and above</w:t>
            </w:r>
          </w:p>
        </w:tc>
        <w:tc>
          <w:tcPr>
            <w:tcW w:w="414" w:type="pct"/>
            <w:tcBorders>
              <w:top w:val="nil"/>
              <w:left w:val="nil"/>
              <w:bottom w:val="nil"/>
              <w:right w:val="nil"/>
            </w:tcBorders>
          </w:tcPr>
          <w:p w:rsidR="00CE7831" w:rsidRPr="00510300" w:rsidRDefault="00CE7831" w:rsidP="006E6557">
            <w:pPr>
              <w:pStyle w:val="Tabletext"/>
              <w:tabs>
                <w:tab w:val="decimal" w:pos="159"/>
              </w:tabs>
              <w:rPr>
                <w:lang w:val="en-GB" w:eastAsia="en-GB"/>
              </w:rPr>
            </w:pPr>
            <w:r w:rsidRPr="00510300">
              <w:rPr>
                <w:lang w:val="en-GB" w:eastAsia="en-GB"/>
              </w:rPr>
              <w:t>2.9</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2.7</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-0.3</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2.2</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2.4</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0.2</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-0.7</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A</w:t>
            </w:r>
            <w:r w:rsidR="005D0636">
              <w:rPr>
                <w:lang w:val="en-GB" w:eastAsia="en-GB"/>
              </w:rPr>
              <w:t xml:space="preserve">dvanced diploma/ </w:t>
            </w:r>
            <w:r w:rsidRPr="00510300">
              <w:rPr>
                <w:lang w:val="en-GB" w:eastAsia="en-GB"/>
              </w:rPr>
              <w:t>diploma</w:t>
            </w:r>
          </w:p>
        </w:tc>
        <w:tc>
          <w:tcPr>
            <w:tcW w:w="414" w:type="pct"/>
            <w:tcBorders>
              <w:top w:val="nil"/>
              <w:left w:val="nil"/>
              <w:bottom w:val="nil"/>
              <w:right w:val="nil"/>
            </w:tcBorders>
          </w:tcPr>
          <w:p w:rsidR="00CE7831" w:rsidRPr="00510300" w:rsidRDefault="00CE7831" w:rsidP="006E6557">
            <w:pPr>
              <w:pStyle w:val="Tabletext"/>
              <w:tabs>
                <w:tab w:val="decimal" w:pos="159"/>
              </w:tabs>
              <w:rPr>
                <w:lang w:val="en-GB" w:eastAsia="en-GB"/>
              </w:rPr>
            </w:pPr>
            <w:r w:rsidRPr="00510300">
              <w:rPr>
                <w:lang w:val="en-GB" w:eastAsia="en-GB"/>
              </w:rPr>
              <w:t>5.7</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5.3</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-0.4</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3.8</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4.3</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0.5</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-0.9</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-0.1</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C</w:t>
            </w:r>
            <w:r w:rsidRPr="00510300">
              <w:rPr>
                <w:lang w:val="en-GB" w:eastAsia="en-GB"/>
              </w:rPr>
              <w:t>ertificate III &amp; IV</w:t>
            </w:r>
          </w:p>
        </w:tc>
        <w:tc>
          <w:tcPr>
            <w:tcW w:w="414" w:type="pct"/>
            <w:tcBorders>
              <w:top w:val="nil"/>
              <w:left w:val="nil"/>
              <w:bottom w:val="nil"/>
              <w:right w:val="nil"/>
            </w:tcBorders>
          </w:tcPr>
          <w:p w:rsidR="00CE7831" w:rsidRPr="00510300" w:rsidRDefault="00CE7831" w:rsidP="006E6557">
            <w:pPr>
              <w:pStyle w:val="Tabletext"/>
              <w:tabs>
                <w:tab w:val="decimal" w:pos="156"/>
              </w:tabs>
              <w:rPr>
                <w:lang w:val="en-GB" w:eastAsia="en-GB"/>
              </w:rPr>
            </w:pPr>
            <w:r w:rsidRPr="00510300">
              <w:rPr>
                <w:lang w:val="en-GB" w:eastAsia="en-GB"/>
              </w:rPr>
              <w:t>6.4</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6.1</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-0.3</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4.5</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4.9</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-0.7</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6.7</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C</w:t>
            </w:r>
            <w:r w:rsidRPr="00510300">
              <w:rPr>
                <w:lang w:val="en-GB" w:eastAsia="en-GB"/>
              </w:rPr>
              <w:t>ertificate I &amp; II</w:t>
            </w:r>
          </w:p>
        </w:tc>
        <w:tc>
          <w:tcPr>
            <w:tcW w:w="414" w:type="pct"/>
            <w:tcBorders>
              <w:top w:val="nil"/>
              <w:left w:val="nil"/>
              <w:bottom w:val="nil"/>
              <w:right w:val="nil"/>
            </w:tcBorders>
          </w:tcPr>
          <w:p w:rsidR="00CE7831" w:rsidRPr="00510300" w:rsidRDefault="00CE7831" w:rsidP="006E6557">
            <w:pPr>
              <w:pStyle w:val="Tabletext"/>
              <w:tabs>
                <w:tab w:val="decimal" w:pos="156"/>
              </w:tabs>
              <w:rPr>
                <w:lang w:val="en-GB" w:eastAsia="en-GB"/>
              </w:rPr>
            </w:pPr>
            <w:r w:rsidRPr="00510300">
              <w:rPr>
                <w:lang w:val="en-GB" w:eastAsia="en-GB"/>
              </w:rPr>
              <w:t>11.3</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11.6</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0.2</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8.1</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9.5</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1.4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-1.2</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12.7</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C</w:t>
            </w:r>
            <w:r w:rsidRPr="00510300">
              <w:rPr>
                <w:lang w:val="en-GB" w:eastAsia="en-GB"/>
              </w:rPr>
              <w:t xml:space="preserve">ertificate </w:t>
            </w:r>
            <w:proofErr w:type="spellStart"/>
            <w:r w:rsidRPr="00510300">
              <w:rPr>
                <w:lang w:val="en-GB" w:eastAsia="en-GB"/>
              </w:rPr>
              <w:t>nfd</w:t>
            </w:r>
            <w:proofErr w:type="spellEnd"/>
          </w:p>
        </w:tc>
        <w:tc>
          <w:tcPr>
            <w:tcW w:w="414" w:type="pct"/>
            <w:tcBorders>
              <w:top w:val="nil"/>
              <w:left w:val="nil"/>
              <w:bottom w:val="nil"/>
              <w:right w:val="nil"/>
            </w:tcBorders>
          </w:tcPr>
          <w:p w:rsidR="00CE7831" w:rsidRPr="00510300" w:rsidRDefault="00CE7831" w:rsidP="006E6557">
            <w:pPr>
              <w:pStyle w:val="Tabletext"/>
              <w:tabs>
                <w:tab w:val="decimal" w:pos="156"/>
              </w:tabs>
              <w:rPr>
                <w:lang w:val="en-GB" w:eastAsia="en-GB"/>
              </w:rPr>
            </w:pPr>
            <w:r w:rsidRPr="00510300">
              <w:rPr>
                <w:lang w:val="en-GB" w:eastAsia="en-GB"/>
              </w:rPr>
              <w:t>3.6</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3.0</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-0.7</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2.1</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2.1</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0.0</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-0.7</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0.1</w:t>
            </w:r>
          </w:p>
        </w:tc>
      </w:tr>
      <w:tr w:rsidR="00CE7831" w:rsidRPr="00510300" w:rsidTr="0079345A">
        <w:trPr>
          <w:trHeight w:val="289"/>
        </w:trPr>
        <w:tc>
          <w:tcPr>
            <w:tcW w:w="166" w:type="pct"/>
            <w:tcBorders>
              <w:top w:val="nil"/>
              <w:left w:val="nil"/>
              <w:right w:val="nil"/>
            </w:tcBorders>
          </w:tcPr>
          <w:p w:rsidR="00CE7831" w:rsidRPr="00510300" w:rsidRDefault="00CE7831" w:rsidP="003E7263">
            <w:pPr>
              <w:pStyle w:val="Tabletext"/>
              <w:rPr>
                <w:lang w:val="en-GB" w:eastAsia="en-GB"/>
              </w:rPr>
            </w:pPr>
          </w:p>
        </w:tc>
        <w:tc>
          <w:tcPr>
            <w:tcW w:w="1283" w:type="pct"/>
            <w:tcBorders>
              <w:top w:val="nil"/>
              <w:left w:val="nil"/>
              <w:right w:val="nil"/>
            </w:tcBorders>
          </w:tcPr>
          <w:p w:rsidR="00CE7831" w:rsidRPr="00510300" w:rsidRDefault="00CE7831" w:rsidP="003E7263">
            <w:pPr>
              <w:pStyle w:val="Tabletext"/>
              <w:rPr>
                <w:lang w:val="en-GB" w:eastAsia="en-GB"/>
              </w:rPr>
            </w:pPr>
            <w:r>
              <w:rPr>
                <w:lang w:val="en-GB" w:eastAsia="en-GB"/>
              </w:rPr>
              <w:t>O</w:t>
            </w:r>
            <w:r w:rsidRPr="00510300">
              <w:rPr>
                <w:lang w:val="en-GB" w:eastAsia="en-GB"/>
              </w:rPr>
              <w:t>ther</w:t>
            </w:r>
          </w:p>
        </w:tc>
        <w:tc>
          <w:tcPr>
            <w:tcW w:w="414" w:type="pct"/>
            <w:tcBorders>
              <w:top w:val="nil"/>
              <w:left w:val="nil"/>
              <w:right w:val="nil"/>
            </w:tcBorders>
          </w:tcPr>
          <w:p w:rsidR="00CE7831" w:rsidRPr="00510300" w:rsidRDefault="00CE7831" w:rsidP="006E6557">
            <w:pPr>
              <w:pStyle w:val="Tabletext"/>
              <w:tabs>
                <w:tab w:val="decimal" w:pos="156"/>
              </w:tabs>
              <w:rPr>
                <w:lang w:val="en-GB" w:eastAsia="en-GB"/>
              </w:rPr>
            </w:pPr>
            <w:r w:rsidRPr="00510300">
              <w:rPr>
                <w:lang w:val="en-GB" w:eastAsia="en-GB"/>
              </w:rPr>
              <w:t>8.3</w:t>
            </w:r>
          </w:p>
        </w:tc>
        <w:tc>
          <w:tcPr>
            <w:tcW w:w="414" w:type="pct"/>
            <w:tcBorders>
              <w:top w:val="nil"/>
              <w:left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8.7</w:t>
            </w:r>
          </w:p>
        </w:tc>
        <w:tc>
          <w:tcPr>
            <w:tcW w:w="414" w:type="pct"/>
            <w:tcBorders>
              <w:top w:val="nil"/>
              <w:left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0.4</w:t>
            </w:r>
          </w:p>
        </w:tc>
        <w:tc>
          <w:tcPr>
            <w:tcW w:w="414" w:type="pct"/>
            <w:tcBorders>
              <w:top w:val="nil"/>
              <w:left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5.9</w:t>
            </w:r>
          </w:p>
        </w:tc>
        <w:tc>
          <w:tcPr>
            <w:tcW w:w="414" w:type="pct"/>
            <w:tcBorders>
              <w:top w:val="nil"/>
              <w:left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6.3</w:t>
            </w:r>
          </w:p>
        </w:tc>
        <w:tc>
          <w:tcPr>
            <w:tcW w:w="414" w:type="pct"/>
            <w:tcBorders>
              <w:top w:val="nil"/>
              <w:left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0.4</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0.1</w:t>
            </w:r>
          </w:p>
        </w:tc>
        <w:tc>
          <w:tcPr>
            <w:tcW w:w="532" w:type="pct"/>
            <w:tcBorders>
              <w:top w:val="nil"/>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7.9</w:t>
            </w:r>
          </w:p>
        </w:tc>
      </w:tr>
      <w:tr w:rsidR="00CE7831" w:rsidRPr="00510300" w:rsidTr="0079345A">
        <w:trPr>
          <w:trHeight w:val="289"/>
        </w:trPr>
        <w:tc>
          <w:tcPr>
            <w:tcW w:w="1450" w:type="pct"/>
            <w:gridSpan w:val="2"/>
            <w:tcBorders>
              <w:left w:val="nil"/>
              <w:right w:val="nil"/>
            </w:tcBorders>
          </w:tcPr>
          <w:p w:rsidR="00CE7831" w:rsidRPr="00510300" w:rsidRDefault="00CE7831" w:rsidP="003E7263">
            <w:pPr>
              <w:pStyle w:val="Tabletext"/>
              <w:rPr>
                <w:lang w:val="en-GB" w:eastAsia="en-GB"/>
              </w:rPr>
            </w:pPr>
            <w:r>
              <w:rPr>
                <w:lang w:val="en-GB" w:eastAsia="en-GB"/>
              </w:rPr>
              <w:t>D</w:t>
            </w:r>
            <w:r w:rsidRPr="00510300">
              <w:rPr>
                <w:lang w:val="en-GB" w:eastAsia="en-GB"/>
              </w:rPr>
              <w:t>isability</w:t>
            </w:r>
          </w:p>
        </w:tc>
        <w:tc>
          <w:tcPr>
            <w:tcW w:w="414" w:type="pct"/>
            <w:tcBorders>
              <w:left w:val="nil"/>
              <w:right w:val="nil"/>
            </w:tcBorders>
          </w:tcPr>
          <w:p w:rsidR="00CE7831" w:rsidRPr="00510300" w:rsidRDefault="00CE7831" w:rsidP="006E6557">
            <w:pPr>
              <w:pStyle w:val="Tabletext"/>
              <w:tabs>
                <w:tab w:val="decimal" w:pos="156"/>
              </w:tabs>
              <w:rPr>
                <w:lang w:val="en-GB" w:eastAsia="en-GB"/>
              </w:rPr>
            </w:pPr>
            <w:r w:rsidRPr="00510300">
              <w:rPr>
                <w:lang w:val="en-GB" w:eastAsia="en-GB"/>
              </w:rPr>
              <w:t>26.4</w:t>
            </w:r>
          </w:p>
        </w:tc>
        <w:tc>
          <w:tcPr>
            <w:tcW w:w="414" w:type="pct"/>
            <w:tcBorders>
              <w:left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24.0</w:t>
            </w:r>
          </w:p>
        </w:tc>
        <w:tc>
          <w:tcPr>
            <w:tcW w:w="414" w:type="pct"/>
            <w:tcBorders>
              <w:left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-2.3</w:t>
            </w:r>
          </w:p>
        </w:tc>
        <w:tc>
          <w:tcPr>
            <w:tcW w:w="414" w:type="pct"/>
            <w:tcBorders>
              <w:left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17.1</w:t>
            </w:r>
          </w:p>
        </w:tc>
        <w:tc>
          <w:tcPr>
            <w:tcW w:w="414" w:type="pct"/>
            <w:tcBorders>
              <w:left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15.9</w:t>
            </w:r>
          </w:p>
        </w:tc>
        <w:tc>
          <w:tcPr>
            <w:tcW w:w="414" w:type="pct"/>
            <w:tcBorders>
              <w:left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-1.2</w:t>
            </w:r>
          </w:p>
        </w:tc>
        <w:tc>
          <w:tcPr>
            <w:tcW w:w="532" w:type="pct"/>
            <w:tcBorders>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-1.1</w:t>
            </w:r>
          </w:p>
        </w:tc>
        <w:tc>
          <w:tcPr>
            <w:tcW w:w="532" w:type="pct"/>
            <w:tcBorders>
              <w:left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11.9</w:t>
            </w:r>
          </w:p>
        </w:tc>
      </w:tr>
      <w:tr w:rsidR="00CE7831" w:rsidRPr="00510300" w:rsidTr="0079345A">
        <w:trPr>
          <w:trHeight w:val="289"/>
        </w:trPr>
        <w:tc>
          <w:tcPr>
            <w:tcW w:w="1450" w:type="pct"/>
            <w:gridSpan w:val="2"/>
            <w:tcBorders>
              <w:top w:val="nil"/>
              <w:left w:val="nil"/>
              <w:bottom w:val="nil"/>
              <w:right w:val="nil"/>
            </w:tcBorders>
          </w:tcPr>
          <w:p w:rsidR="00CE7831" w:rsidRPr="00510300" w:rsidRDefault="00CE7831" w:rsidP="003E7263">
            <w:pPr>
              <w:pStyle w:val="Tabletext"/>
              <w:rPr>
                <w:lang w:val="en-GB" w:eastAsia="en-GB"/>
              </w:rPr>
            </w:pPr>
            <w:r>
              <w:rPr>
                <w:lang w:val="en-GB" w:eastAsia="en-GB"/>
              </w:rPr>
              <w:t>L</w:t>
            </w:r>
            <w:r w:rsidRPr="00510300">
              <w:rPr>
                <w:lang w:val="en-GB" w:eastAsia="en-GB"/>
              </w:rPr>
              <w:t>abour force status</w:t>
            </w:r>
          </w:p>
        </w:tc>
        <w:tc>
          <w:tcPr>
            <w:tcW w:w="414" w:type="pct"/>
            <w:tcBorders>
              <w:top w:val="nil"/>
              <w:left w:val="nil"/>
              <w:bottom w:val="nil"/>
              <w:right w:val="nil"/>
            </w:tcBorders>
          </w:tcPr>
          <w:p w:rsidR="00CE7831" w:rsidRPr="00510300" w:rsidRDefault="00CE7831" w:rsidP="005F0AFC">
            <w:pPr>
              <w:pStyle w:val="Tabletext"/>
              <w:tabs>
                <w:tab w:val="decimal" w:pos="156"/>
                <w:tab w:val="decimal" w:pos="191"/>
                <w:tab w:val="decimal" w:pos="232"/>
                <w:tab w:val="decimal" w:pos="298"/>
              </w:tabs>
              <w:jc w:val="center"/>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E</w:t>
            </w:r>
            <w:r w:rsidRPr="00510300">
              <w:rPr>
                <w:lang w:val="en-GB" w:eastAsia="en-GB"/>
              </w:rPr>
              <w:t>mployed</w:t>
            </w:r>
          </w:p>
        </w:tc>
        <w:tc>
          <w:tcPr>
            <w:tcW w:w="414" w:type="pct"/>
            <w:tcBorders>
              <w:top w:val="nil"/>
              <w:left w:val="nil"/>
              <w:bottom w:val="nil"/>
              <w:right w:val="nil"/>
            </w:tcBorders>
          </w:tcPr>
          <w:p w:rsidR="00CE7831" w:rsidRPr="00510300" w:rsidRDefault="00CE7831" w:rsidP="006E6557">
            <w:pPr>
              <w:pStyle w:val="Tabletext"/>
              <w:tabs>
                <w:tab w:val="decimal" w:pos="156"/>
              </w:tabs>
              <w:rPr>
                <w:lang w:val="en-GB" w:eastAsia="en-GB"/>
              </w:rPr>
            </w:pPr>
            <w:r w:rsidRPr="00510300">
              <w:rPr>
                <w:lang w:val="en-GB" w:eastAsia="en-GB"/>
              </w:rPr>
              <w:t>4.6</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4.3</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-0.3</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3.2</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3.6</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-0.7</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4.3</w:t>
            </w:r>
          </w:p>
        </w:tc>
      </w:tr>
      <w:tr w:rsidR="00CE7831" w:rsidRPr="00510300" w:rsidTr="0079345A">
        <w:trPr>
          <w:trHeight w:val="289"/>
        </w:trPr>
        <w:tc>
          <w:tcPr>
            <w:tcW w:w="166" w:type="pct"/>
            <w:tcBorders>
              <w:top w:val="nil"/>
              <w:left w:val="nil"/>
              <w:bottom w:val="nil"/>
              <w:right w:val="nil"/>
            </w:tcBorders>
          </w:tcPr>
          <w:p w:rsidR="00CE7831" w:rsidRPr="00510300" w:rsidRDefault="00CE7831" w:rsidP="003E7263">
            <w:pPr>
              <w:pStyle w:val="Tabletext"/>
              <w:rPr>
                <w:lang w:val="en-GB" w:eastAsia="en-GB"/>
              </w:rPr>
            </w:pPr>
          </w:p>
        </w:tc>
        <w:tc>
          <w:tcPr>
            <w:tcW w:w="1283" w:type="pct"/>
            <w:tcBorders>
              <w:top w:val="nil"/>
              <w:left w:val="nil"/>
              <w:bottom w:val="nil"/>
              <w:right w:val="nil"/>
            </w:tcBorders>
          </w:tcPr>
          <w:p w:rsidR="00CE7831" w:rsidRPr="00510300" w:rsidRDefault="00CE7831" w:rsidP="003E7263">
            <w:pPr>
              <w:pStyle w:val="Tabletext"/>
              <w:rPr>
                <w:lang w:val="en-GB" w:eastAsia="en-GB"/>
              </w:rPr>
            </w:pPr>
            <w:r>
              <w:rPr>
                <w:lang w:val="en-GB" w:eastAsia="en-GB"/>
              </w:rPr>
              <w:t>U</w:t>
            </w:r>
            <w:r w:rsidRPr="00510300">
              <w:rPr>
                <w:lang w:val="en-GB" w:eastAsia="en-GB"/>
              </w:rPr>
              <w:t>nemployed</w:t>
            </w:r>
          </w:p>
        </w:tc>
        <w:tc>
          <w:tcPr>
            <w:tcW w:w="414" w:type="pct"/>
            <w:tcBorders>
              <w:top w:val="nil"/>
              <w:left w:val="nil"/>
              <w:bottom w:val="nil"/>
              <w:right w:val="nil"/>
            </w:tcBorders>
          </w:tcPr>
          <w:p w:rsidR="00CE7831" w:rsidRPr="00510300" w:rsidRDefault="00CE7831" w:rsidP="006E6557">
            <w:pPr>
              <w:pStyle w:val="Tabletext"/>
              <w:tabs>
                <w:tab w:val="decimal" w:pos="156"/>
              </w:tabs>
              <w:rPr>
                <w:lang w:val="en-GB" w:eastAsia="en-GB"/>
              </w:rPr>
            </w:pPr>
            <w:r w:rsidRPr="00510300">
              <w:rPr>
                <w:lang w:val="en-GB" w:eastAsia="en-GB"/>
              </w:rPr>
              <w:t>31.8</w:t>
            </w:r>
          </w:p>
        </w:tc>
        <w:tc>
          <w:tcPr>
            <w:tcW w:w="414" w:type="pct"/>
            <w:tcBorders>
              <w:top w:val="nil"/>
              <w:left w:val="nil"/>
              <w:bottom w:val="nil"/>
              <w:right w:val="nil"/>
            </w:tcBorders>
          </w:tcPr>
          <w:p w:rsidR="00CE7831" w:rsidRPr="00510300" w:rsidRDefault="00CE7831" w:rsidP="005F0AFC">
            <w:pPr>
              <w:pStyle w:val="Tabletext"/>
              <w:tabs>
                <w:tab w:val="decimal" w:pos="163"/>
              </w:tabs>
              <w:rPr>
                <w:lang w:val="en-GB" w:eastAsia="en-GB"/>
              </w:rPr>
            </w:pPr>
            <w:r w:rsidRPr="00510300">
              <w:rPr>
                <w:lang w:val="en-GB" w:eastAsia="en-GB"/>
              </w:rPr>
              <w:t>34.8</w:t>
            </w:r>
          </w:p>
        </w:tc>
        <w:tc>
          <w:tcPr>
            <w:tcW w:w="414" w:type="pct"/>
            <w:tcBorders>
              <w:top w:val="nil"/>
              <w:left w:val="nil"/>
              <w:bottom w:val="nil"/>
              <w:right w:val="nil"/>
            </w:tcBorders>
          </w:tcPr>
          <w:p w:rsidR="00CE7831" w:rsidRPr="00510300" w:rsidRDefault="00CE7831" w:rsidP="005F0AFC">
            <w:pPr>
              <w:pStyle w:val="Tabletext"/>
              <w:tabs>
                <w:tab w:val="decimal" w:pos="153"/>
              </w:tabs>
              <w:rPr>
                <w:lang w:val="en-GB" w:eastAsia="en-GB"/>
              </w:rPr>
            </w:pPr>
            <w:r w:rsidRPr="00510300">
              <w:rPr>
                <w:lang w:val="en-GB" w:eastAsia="en-GB"/>
              </w:rPr>
              <w:t>3.0</w:t>
            </w:r>
          </w:p>
        </w:tc>
        <w:tc>
          <w:tcPr>
            <w:tcW w:w="414" w:type="pct"/>
            <w:tcBorders>
              <w:top w:val="nil"/>
              <w:left w:val="nil"/>
              <w:bottom w:val="nil"/>
              <w:right w:val="nil"/>
            </w:tcBorders>
          </w:tcPr>
          <w:p w:rsidR="00CE7831" w:rsidRPr="00510300" w:rsidRDefault="00CE7831" w:rsidP="005F0AFC">
            <w:pPr>
              <w:pStyle w:val="Tabletext"/>
              <w:tabs>
                <w:tab w:val="decimal" w:pos="231"/>
              </w:tabs>
              <w:rPr>
                <w:lang w:val="en-GB" w:eastAsia="en-GB"/>
              </w:rPr>
            </w:pPr>
            <w:r w:rsidRPr="00510300">
              <w:rPr>
                <w:lang w:val="en-GB" w:eastAsia="en-GB"/>
              </w:rPr>
              <w:t>25.1</w:t>
            </w:r>
          </w:p>
        </w:tc>
        <w:tc>
          <w:tcPr>
            <w:tcW w:w="414" w:type="pct"/>
            <w:tcBorders>
              <w:top w:val="nil"/>
              <w:left w:val="nil"/>
              <w:bottom w:val="nil"/>
              <w:right w:val="nil"/>
            </w:tcBorders>
          </w:tcPr>
          <w:p w:rsidR="00CE7831" w:rsidRPr="00510300" w:rsidRDefault="00CE7831" w:rsidP="002326FE">
            <w:pPr>
              <w:pStyle w:val="Tabletext"/>
              <w:tabs>
                <w:tab w:val="decimal" w:pos="179"/>
              </w:tabs>
              <w:rPr>
                <w:lang w:val="en-GB" w:eastAsia="en-GB"/>
              </w:rPr>
            </w:pPr>
            <w:r w:rsidRPr="00510300">
              <w:rPr>
                <w:lang w:val="en-GB" w:eastAsia="en-GB"/>
              </w:rPr>
              <w:t>24.8</w:t>
            </w:r>
          </w:p>
        </w:tc>
        <w:tc>
          <w:tcPr>
            <w:tcW w:w="414" w:type="pct"/>
            <w:tcBorders>
              <w:top w:val="nil"/>
              <w:left w:val="nil"/>
              <w:bottom w:val="nil"/>
              <w:right w:val="nil"/>
            </w:tcBorders>
          </w:tcPr>
          <w:p w:rsidR="00CE7831" w:rsidRPr="00510300" w:rsidRDefault="00CE7831" w:rsidP="006E6557">
            <w:pPr>
              <w:pStyle w:val="Tabletext"/>
              <w:tabs>
                <w:tab w:val="decimal" w:pos="265"/>
              </w:tabs>
              <w:rPr>
                <w:lang w:val="en-GB" w:eastAsia="en-GB"/>
              </w:rPr>
            </w:pPr>
            <w:r w:rsidRPr="00510300">
              <w:rPr>
                <w:lang w:val="en-GB" w:eastAsia="en-GB"/>
              </w:rPr>
              <w:t>-0.4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3.4</w:t>
            </w:r>
          </w:p>
        </w:tc>
        <w:tc>
          <w:tcPr>
            <w:tcW w:w="532" w:type="pct"/>
            <w:tcBorders>
              <w:top w:val="nil"/>
              <w:left w:val="nil"/>
              <w:bottom w:val="nil"/>
              <w:right w:val="nil"/>
            </w:tcBorders>
          </w:tcPr>
          <w:p w:rsidR="00CE7831" w:rsidRPr="00510300" w:rsidRDefault="00CE7831" w:rsidP="005F0AFC">
            <w:pPr>
              <w:pStyle w:val="Tabletext"/>
              <w:tabs>
                <w:tab w:val="decimal" w:pos="285"/>
              </w:tabs>
              <w:rPr>
                <w:lang w:val="en-GB" w:eastAsia="en-GB"/>
              </w:rPr>
            </w:pPr>
            <w:r w:rsidRPr="00510300">
              <w:rPr>
                <w:lang w:val="en-GB" w:eastAsia="en-GB"/>
              </w:rPr>
              <w:t>33.7</w:t>
            </w:r>
          </w:p>
        </w:tc>
      </w:tr>
      <w:tr w:rsidR="00CE7831" w:rsidRPr="00510300" w:rsidTr="0079345A">
        <w:trPr>
          <w:trHeight w:val="289"/>
        </w:trPr>
        <w:tc>
          <w:tcPr>
            <w:tcW w:w="166" w:type="pct"/>
            <w:tcBorders>
              <w:top w:val="nil"/>
              <w:left w:val="nil"/>
              <w:bottom w:val="single" w:sz="6" w:space="0" w:color="auto"/>
              <w:right w:val="nil"/>
            </w:tcBorders>
          </w:tcPr>
          <w:p w:rsidR="00CE7831" w:rsidRPr="00510300" w:rsidRDefault="00CE7831" w:rsidP="003E7263">
            <w:pPr>
              <w:pStyle w:val="Tabletext"/>
              <w:rPr>
                <w:lang w:val="en-GB" w:eastAsia="en-GB"/>
              </w:rPr>
            </w:pPr>
          </w:p>
        </w:tc>
        <w:tc>
          <w:tcPr>
            <w:tcW w:w="1283" w:type="pct"/>
            <w:tcBorders>
              <w:top w:val="nil"/>
              <w:left w:val="nil"/>
              <w:bottom w:val="single" w:sz="6" w:space="0" w:color="auto"/>
              <w:right w:val="nil"/>
            </w:tcBorders>
          </w:tcPr>
          <w:p w:rsidR="00CE7831" w:rsidRPr="00510300" w:rsidRDefault="00CE7831" w:rsidP="003E7263">
            <w:pPr>
              <w:pStyle w:val="Tabletext"/>
              <w:rPr>
                <w:lang w:val="en-GB" w:eastAsia="en-GB"/>
              </w:rPr>
            </w:pPr>
            <w:r>
              <w:rPr>
                <w:lang w:val="en-GB" w:eastAsia="en-GB"/>
              </w:rPr>
              <w:t>n</w:t>
            </w:r>
            <w:r w:rsidRPr="00510300">
              <w:rPr>
                <w:lang w:val="en-GB" w:eastAsia="en-GB"/>
              </w:rPr>
              <w:t>ot in labour force</w:t>
            </w:r>
          </w:p>
        </w:tc>
        <w:tc>
          <w:tcPr>
            <w:tcW w:w="414" w:type="pct"/>
            <w:tcBorders>
              <w:top w:val="nil"/>
              <w:left w:val="nil"/>
              <w:bottom w:val="single" w:sz="6" w:space="0" w:color="auto"/>
              <w:right w:val="nil"/>
            </w:tcBorders>
          </w:tcPr>
          <w:p w:rsidR="00CE7831" w:rsidRPr="00510300" w:rsidRDefault="00CE7831" w:rsidP="006E6557">
            <w:pPr>
              <w:pStyle w:val="Tabletext"/>
              <w:tabs>
                <w:tab w:val="decimal" w:pos="156"/>
              </w:tabs>
              <w:rPr>
                <w:lang w:val="en-GB" w:eastAsia="en-GB"/>
              </w:rPr>
            </w:pPr>
            <w:r w:rsidRPr="00510300">
              <w:rPr>
                <w:lang w:val="en-GB" w:eastAsia="en-GB"/>
              </w:rPr>
              <w:t>9.7</w:t>
            </w:r>
          </w:p>
        </w:tc>
        <w:tc>
          <w:tcPr>
            <w:tcW w:w="414" w:type="pct"/>
            <w:tcBorders>
              <w:top w:val="nil"/>
              <w:left w:val="nil"/>
              <w:bottom w:val="single" w:sz="6" w:space="0" w:color="auto"/>
              <w:right w:val="nil"/>
            </w:tcBorders>
          </w:tcPr>
          <w:p w:rsidR="00CE7831" w:rsidRPr="00510300" w:rsidRDefault="00CE7831" w:rsidP="005F0AFC">
            <w:pPr>
              <w:pStyle w:val="Tabletext"/>
              <w:tabs>
                <w:tab w:val="decimal" w:pos="163"/>
              </w:tabs>
              <w:rPr>
                <w:lang w:val="en-GB" w:eastAsia="en-GB"/>
              </w:rPr>
            </w:pPr>
            <w:r w:rsidRPr="00510300">
              <w:rPr>
                <w:lang w:val="en-GB" w:eastAsia="en-GB"/>
              </w:rPr>
              <w:t>10.2</w:t>
            </w:r>
          </w:p>
        </w:tc>
        <w:tc>
          <w:tcPr>
            <w:tcW w:w="414" w:type="pct"/>
            <w:tcBorders>
              <w:top w:val="nil"/>
              <w:left w:val="nil"/>
              <w:bottom w:val="single" w:sz="6" w:space="0" w:color="auto"/>
              <w:right w:val="nil"/>
            </w:tcBorders>
          </w:tcPr>
          <w:p w:rsidR="00CE7831" w:rsidRPr="00510300" w:rsidRDefault="00CE7831" w:rsidP="005F0AFC">
            <w:pPr>
              <w:pStyle w:val="Tabletext"/>
              <w:tabs>
                <w:tab w:val="decimal" w:pos="153"/>
              </w:tabs>
              <w:rPr>
                <w:lang w:val="en-GB" w:eastAsia="en-GB"/>
              </w:rPr>
            </w:pPr>
            <w:r w:rsidRPr="00510300">
              <w:rPr>
                <w:lang w:val="en-GB" w:eastAsia="en-GB"/>
              </w:rPr>
              <w:t>0.5</w:t>
            </w:r>
          </w:p>
        </w:tc>
        <w:tc>
          <w:tcPr>
            <w:tcW w:w="414" w:type="pct"/>
            <w:tcBorders>
              <w:top w:val="nil"/>
              <w:left w:val="nil"/>
              <w:bottom w:val="single" w:sz="6" w:space="0" w:color="auto"/>
              <w:right w:val="nil"/>
            </w:tcBorders>
          </w:tcPr>
          <w:p w:rsidR="00CE7831" w:rsidRPr="00510300" w:rsidRDefault="00CE7831" w:rsidP="005F0AFC">
            <w:pPr>
              <w:pStyle w:val="Tabletext"/>
              <w:tabs>
                <w:tab w:val="decimal" w:pos="231"/>
              </w:tabs>
              <w:rPr>
                <w:lang w:val="en-GB" w:eastAsia="en-GB"/>
              </w:rPr>
            </w:pPr>
            <w:r w:rsidRPr="00510300">
              <w:rPr>
                <w:lang w:val="en-GB" w:eastAsia="en-GB"/>
              </w:rPr>
              <w:t>7.7</w:t>
            </w:r>
          </w:p>
        </w:tc>
        <w:tc>
          <w:tcPr>
            <w:tcW w:w="414" w:type="pct"/>
            <w:tcBorders>
              <w:top w:val="nil"/>
              <w:left w:val="nil"/>
              <w:bottom w:val="single" w:sz="6" w:space="0" w:color="auto"/>
              <w:right w:val="nil"/>
            </w:tcBorders>
          </w:tcPr>
          <w:p w:rsidR="00CE7831" w:rsidRPr="00510300" w:rsidRDefault="00CE7831" w:rsidP="002326FE">
            <w:pPr>
              <w:pStyle w:val="Tabletext"/>
              <w:tabs>
                <w:tab w:val="decimal" w:pos="179"/>
              </w:tabs>
              <w:rPr>
                <w:lang w:val="en-GB" w:eastAsia="en-GB"/>
              </w:rPr>
            </w:pPr>
            <w:r w:rsidRPr="00510300">
              <w:rPr>
                <w:lang w:val="en-GB" w:eastAsia="en-GB"/>
              </w:rPr>
              <w:t>7.6</w:t>
            </w:r>
          </w:p>
        </w:tc>
        <w:tc>
          <w:tcPr>
            <w:tcW w:w="414" w:type="pct"/>
            <w:tcBorders>
              <w:top w:val="nil"/>
              <w:left w:val="nil"/>
              <w:bottom w:val="single" w:sz="6" w:space="0" w:color="auto"/>
              <w:right w:val="nil"/>
            </w:tcBorders>
          </w:tcPr>
          <w:p w:rsidR="00CE7831" w:rsidRPr="00510300" w:rsidRDefault="00CE7831" w:rsidP="006E6557">
            <w:pPr>
              <w:pStyle w:val="Tabletext"/>
              <w:tabs>
                <w:tab w:val="decimal" w:pos="265"/>
              </w:tabs>
              <w:rPr>
                <w:lang w:val="en-GB" w:eastAsia="en-GB"/>
              </w:rPr>
            </w:pPr>
            <w:r w:rsidRPr="00510300">
              <w:rPr>
                <w:lang w:val="en-GB" w:eastAsia="en-GB"/>
              </w:rPr>
              <w:t>-0.1</w:t>
            </w:r>
          </w:p>
        </w:tc>
        <w:tc>
          <w:tcPr>
            <w:tcW w:w="532" w:type="pct"/>
            <w:tcBorders>
              <w:top w:val="nil"/>
              <w:left w:val="nil"/>
              <w:bottom w:val="single" w:sz="6" w:space="0" w:color="auto"/>
              <w:right w:val="nil"/>
            </w:tcBorders>
          </w:tcPr>
          <w:p w:rsidR="00CE7831" w:rsidRPr="00510300" w:rsidRDefault="00CE7831" w:rsidP="005F0AFC">
            <w:pPr>
              <w:pStyle w:val="Tabletext"/>
              <w:tabs>
                <w:tab w:val="decimal" w:pos="285"/>
              </w:tabs>
              <w:rPr>
                <w:lang w:val="en-GB" w:eastAsia="en-GB"/>
              </w:rPr>
            </w:pPr>
            <w:r w:rsidRPr="00510300">
              <w:rPr>
                <w:lang w:val="en-GB" w:eastAsia="en-GB"/>
              </w:rPr>
              <w:t>0.6</w:t>
            </w:r>
          </w:p>
        </w:tc>
        <w:tc>
          <w:tcPr>
            <w:tcW w:w="532" w:type="pct"/>
            <w:tcBorders>
              <w:top w:val="nil"/>
              <w:left w:val="nil"/>
              <w:bottom w:val="single" w:sz="6" w:space="0" w:color="auto"/>
              <w:right w:val="nil"/>
            </w:tcBorders>
          </w:tcPr>
          <w:p w:rsidR="00CE7831" w:rsidRPr="00510300" w:rsidRDefault="00CE7831" w:rsidP="005F0AFC">
            <w:pPr>
              <w:pStyle w:val="Tabletext"/>
              <w:tabs>
                <w:tab w:val="decimal" w:pos="285"/>
              </w:tabs>
              <w:rPr>
                <w:lang w:val="en-GB" w:eastAsia="en-GB"/>
              </w:rPr>
            </w:pPr>
            <w:r w:rsidRPr="00510300">
              <w:rPr>
                <w:lang w:val="en-GB" w:eastAsia="en-GB"/>
              </w:rPr>
              <w:t>-1.2</w:t>
            </w:r>
          </w:p>
        </w:tc>
      </w:tr>
      <w:tr w:rsidR="00CE7831" w:rsidRPr="00510300" w:rsidTr="0079345A">
        <w:trPr>
          <w:trHeight w:val="303"/>
        </w:trPr>
        <w:tc>
          <w:tcPr>
            <w:tcW w:w="1450" w:type="pct"/>
            <w:gridSpan w:val="2"/>
            <w:tcBorders>
              <w:top w:val="single" w:sz="6" w:space="0" w:color="auto"/>
              <w:left w:val="nil"/>
              <w:bottom w:val="single" w:sz="4" w:space="0" w:color="auto"/>
              <w:right w:val="nil"/>
            </w:tcBorders>
          </w:tcPr>
          <w:p w:rsidR="00CE7831" w:rsidRPr="00510300" w:rsidRDefault="00CE7831" w:rsidP="003E7263">
            <w:pPr>
              <w:pStyle w:val="Tabletext"/>
              <w:rPr>
                <w:lang w:val="en-GB" w:eastAsia="en-GB"/>
              </w:rPr>
            </w:pPr>
            <w:r w:rsidRPr="00510300">
              <w:rPr>
                <w:lang w:val="en-GB" w:eastAsia="en-GB"/>
              </w:rPr>
              <w:t>TOTAL</w:t>
            </w:r>
          </w:p>
        </w:tc>
        <w:tc>
          <w:tcPr>
            <w:tcW w:w="414" w:type="pct"/>
            <w:tcBorders>
              <w:top w:val="single" w:sz="6" w:space="0" w:color="auto"/>
              <w:left w:val="nil"/>
              <w:bottom w:val="single" w:sz="4" w:space="0" w:color="auto"/>
              <w:right w:val="nil"/>
            </w:tcBorders>
          </w:tcPr>
          <w:p w:rsidR="00CE7831" w:rsidRPr="00510300" w:rsidRDefault="00CE7831" w:rsidP="006E6557">
            <w:pPr>
              <w:pStyle w:val="Tabletext"/>
              <w:tabs>
                <w:tab w:val="decimal" w:pos="156"/>
              </w:tabs>
              <w:rPr>
                <w:lang w:val="en-GB" w:eastAsia="en-GB"/>
              </w:rPr>
            </w:pPr>
            <w:r w:rsidRPr="00510300">
              <w:rPr>
                <w:lang w:val="en-GB" w:eastAsia="en-GB"/>
              </w:rPr>
              <w:t>6.4</w:t>
            </w:r>
          </w:p>
        </w:tc>
        <w:tc>
          <w:tcPr>
            <w:tcW w:w="414" w:type="pct"/>
            <w:tcBorders>
              <w:top w:val="single" w:sz="6" w:space="0" w:color="auto"/>
              <w:left w:val="nil"/>
              <w:bottom w:val="single" w:sz="4" w:space="0" w:color="auto"/>
              <w:right w:val="nil"/>
            </w:tcBorders>
          </w:tcPr>
          <w:p w:rsidR="00CE7831" w:rsidRPr="00510300" w:rsidRDefault="00CE7831" w:rsidP="005F0AFC">
            <w:pPr>
              <w:pStyle w:val="Tabletext"/>
              <w:tabs>
                <w:tab w:val="decimal" w:pos="163"/>
              </w:tabs>
              <w:rPr>
                <w:lang w:val="en-GB" w:eastAsia="en-GB"/>
              </w:rPr>
            </w:pPr>
            <w:r w:rsidRPr="00510300">
              <w:rPr>
                <w:lang w:val="en-GB" w:eastAsia="en-GB"/>
              </w:rPr>
              <w:t>6.3</w:t>
            </w:r>
          </w:p>
        </w:tc>
        <w:tc>
          <w:tcPr>
            <w:tcW w:w="414" w:type="pct"/>
            <w:tcBorders>
              <w:top w:val="single" w:sz="6" w:space="0" w:color="auto"/>
              <w:left w:val="nil"/>
              <w:bottom w:val="single" w:sz="4" w:space="0" w:color="auto"/>
              <w:right w:val="nil"/>
            </w:tcBorders>
          </w:tcPr>
          <w:p w:rsidR="00CE7831" w:rsidRPr="00510300" w:rsidRDefault="00CE7831" w:rsidP="005F0AFC">
            <w:pPr>
              <w:pStyle w:val="Tabletext"/>
              <w:tabs>
                <w:tab w:val="decimal" w:pos="153"/>
              </w:tabs>
              <w:rPr>
                <w:lang w:val="en-GB" w:eastAsia="en-GB"/>
              </w:rPr>
            </w:pPr>
            <w:r w:rsidRPr="00510300">
              <w:rPr>
                <w:lang w:val="en-GB" w:eastAsia="en-GB"/>
              </w:rPr>
              <w:t>-0.1</w:t>
            </w:r>
          </w:p>
        </w:tc>
        <w:tc>
          <w:tcPr>
            <w:tcW w:w="414" w:type="pct"/>
            <w:tcBorders>
              <w:top w:val="single" w:sz="6" w:space="0" w:color="auto"/>
              <w:left w:val="nil"/>
              <w:bottom w:val="single" w:sz="4" w:space="0" w:color="auto"/>
              <w:right w:val="nil"/>
            </w:tcBorders>
          </w:tcPr>
          <w:p w:rsidR="00CE7831" w:rsidRPr="00510300" w:rsidRDefault="00CE7831" w:rsidP="005F0AFC">
            <w:pPr>
              <w:pStyle w:val="Tabletext"/>
              <w:tabs>
                <w:tab w:val="decimal" w:pos="231"/>
              </w:tabs>
              <w:rPr>
                <w:lang w:val="en-GB" w:eastAsia="en-GB"/>
              </w:rPr>
            </w:pPr>
            <w:r w:rsidRPr="00510300">
              <w:rPr>
                <w:lang w:val="en-GB" w:eastAsia="en-GB"/>
              </w:rPr>
              <w:t>4.7</w:t>
            </w:r>
          </w:p>
        </w:tc>
        <w:tc>
          <w:tcPr>
            <w:tcW w:w="414" w:type="pct"/>
            <w:tcBorders>
              <w:top w:val="single" w:sz="6" w:space="0" w:color="auto"/>
              <w:left w:val="nil"/>
              <w:bottom w:val="single" w:sz="4" w:space="0" w:color="auto"/>
              <w:right w:val="nil"/>
            </w:tcBorders>
          </w:tcPr>
          <w:p w:rsidR="00CE7831" w:rsidRPr="00510300" w:rsidRDefault="00CE7831" w:rsidP="002326FE">
            <w:pPr>
              <w:pStyle w:val="Tabletext"/>
              <w:tabs>
                <w:tab w:val="decimal" w:pos="179"/>
              </w:tabs>
              <w:rPr>
                <w:lang w:val="en-GB" w:eastAsia="en-GB"/>
              </w:rPr>
            </w:pPr>
            <w:r w:rsidRPr="00510300">
              <w:rPr>
                <w:lang w:val="en-GB" w:eastAsia="en-GB"/>
              </w:rPr>
              <w:t>4.9</w:t>
            </w:r>
          </w:p>
        </w:tc>
        <w:tc>
          <w:tcPr>
            <w:tcW w:w="414" w:type="pct"/>
            <w:tcBorders>
              <w:top w:val="single" w:sz="6" w:space="0" w:color="auto"/>
              <w:left w:val="nil"/>
              <w:bottom w:val="single" w:sz="4" w:space="0" w:color="auto"/>
              <w:right w:val="nil"/>
            </w:tcBorders>
          </w:tcPr>
          <w:p w:rsidR="00CE7831" w:rsidRPr="00510300" w:rsidRDefault="00CE7831" w:rsidP="006E6557">
            <w:pPr>
              <w:pStyle w:val="Tabletext"/>
              <w:tabs>
                <w:tab w:val="decimal" w:pos="265"/>
              </w:tabs>
              <w:rPr>
                <w:lang w:val="en-GB" w:eastAsia="en-GB"/>
              </w:rPr>
            </w:pPr>
            <w:r w:rsidRPr="00510300">
              <w:rPr>
                <w:lang w:val="en-GB" w:eastAsia="en-GB"/>
              </w:rPr>
              <w:t>0.3</w:t>
            </w:r>
          </w:p>
        </w:tc>
        <w:tc>
          <w:tcPr>
            <w:tcW w:w="532" w:type="pct"/>
            <w:tcBorders>
              <w:top w:val="single" w:sz="6" w:space="0" w:color="auto"/>
              <w:left w:val="nil"/>
              <w:bottom w:val="single" w:sz="4" w:space="0" w:color="auto"/>
              <w:right w:val="nil"/>
            </w:tcBorders>
          </w:tcPr>
          <w:p w:rsidR="00CE7831" w:rsidRPr="00510300" w:rsidRDefault="00CE7831" w:rsidP="005F0AFC">
            <w:pPr>
              <w:pStyle w:val="Tabletext"/>
              <w:tabs>
                <w:tab w:val="decimal" w:pos="285"/>
              </w:tabs>
              <w:rPr>
                <w:lang w:val="en-GB" w:eastAsia="en-GB"/>
              </w:rPr>
            </w:pPr>
            <w:r w:rsidRPr="00510300">
              <w:rPr>
                <w:lang w:val="en-GB" w:eastAsia="en-GB"/>
              </w:rPr>
              <w:t>-0.4</w:t>
            </w:r>
          </w:p>
        </w:tc>
        <w:tc>
          <w:tcPr>
            <w:tcW w:w="532" w:type="pct"/>
            <w:tcBorders>
              <w:top w:val="single" w:sz="6" w:space="0" w:color="auto"/>
              <w:left w:val="nil"/>
              <w:bottom w:val="single" w:sz="4" w:space="0" w:color="auto"/>
              <w:right w:val="nil"/>
            </w:tcBorders>
          </w:tcPr>
          <w:p w:rsidR="00CE7831" w:rsidRPr="00510300" w:rsidRDefault="00CE7831" w:rsidP="005F0AFC">
            <w:pPr>
              <w:pStyle w:val="Tabletext"/>
              <w:tabs>
                <w:tab w:val="decimal" w:pos="285"/>
              </w:tabs>
              <w:rPr>
                <w:lang w:val="en-GB" w:eastAsia="en-GB"/>
              </w:rPr>
            </w:pPr>
            <w:r w:rsidRPr="00510300">
              <w:rPr>
                <w:lang w:val="en-GB" w:eastAsia="en-GB"/>
              </w:rPr>
              <w:t>4.2</w:t>
            </w:r>
          </w:p>
        </w:tc>
      </w:tr>
    </w:tbl>
    <w:tbl>
      <w:tblPr>
        <w:tblStyle w:val="TableGrid"/>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284"/>
        <w:gridCol w:w="7087"/>
        <w:gridCol w:w="159"/>
      </w:tblGrid>
      <w:tr w:rsidR="00C82374" w:rsidTr="00615627">
        <w:tc>
          <w:tcPr>
            <w:tcW w:w="624" w:type="dxa"/>
            <w:tcMar>
              <w:top w:w="28" w:type="dxa"/>
              <w:bottom w:w="28" w:type="dxa"/>
            </w:tcMar>
          </w:tcPr>
          <w:p w:rsidR="00C82374" w:rsidRDefault="00C82374" w:rsidP="00C82374">
            <w:pPr>
              <w:spacing w:line="240" w:lineRule="auto"/>
            </w:pPr>
            <w:r w:rsidRPr="00535AAD" w:rsidDel="006738CC">
              <w:rPr>
                <w:rFonts w:ascii="Arial" w:hAnsi="Arial" w:cs="Arial"/>
                <w:sz w:val="15"/>
                <w:szCs w:val="15"/>
              </w:rPr>
              <w:t>Notes:</w:t>
            </w:r>
          </w:p>
        </w:tc>
        <w:tc>
          <w:tcPr>
            <w:tcW w:w="7371" w:type="dxa"/>
            <w:gridSpan w:val="2"/>
            <w:tcMar>
              <w:top w:w="28" w:type="dxa"/>
              <w:left w:w="57" w:type="dxa"/>
              <w:bottom w:w="28" w:type="dxa"/>
              <w:right w:w="57" w:type="dxa"/>
            </w:tcMar>
          </w:tcPr>
          <w:p w:rsidR="00C82374" w:rsidRPr="00CA5C8D" w:rsidRDefault="00C82374" w:rsidP="00C82374">
            <w:pPr>
              <w:spacing w:line="240" w:lineRule="auto"/>
              <w:rPr>
                <w:rFonts w:ascii="Arial" w:hAnsi="Arial" w:cs="Arial"/>
                <w:sz w:val="15"/>
                <w:szCs w:val="15"/>
              </w:rPr>
            </w:pPr>
            <w:r>
              <w:rPr>
                <w:rFonts w:ascii="Arial" w:hAnsi="Arial" w:cs="Arial"/>
                <w:sz w:val="15"/>
                <w:szCs w:val="15"/>
              </w:rPr>
              <w:t>P</w:t>
            </w:r>
            <w:r w:rsidRPr="0063218F">
              <w:rPr>
                <w:rFonts w:ascii="Arial" w:hAnsi="Arial" w:cs="Arial"/>
                <w:sz w:val="15"/>
                <w:szCs w:val="15"/>
              </w:rPr>
              <w:t>opulation aggregates for 2008 and 2012 approximated by assuming linear interpolations from census data.</w:t>
            </w:r>
          </w:p>
        </w:tc>
        <w:tc>
          <w:tcPr>
            <w:tcW w:w="159" w:type="dxa"/>
            <w:tcMar>
              <w:top w:w="28" w:type="dxa"/>
              <w:bottom w:w="28" w:type="dxa"/>
            </w:tcMar>
          </w:tcPr>
          <w:p w:rsidR="00C82374" w:rsidRPr="00CA5C8D" w:rsidRDefault="00C82374" w:rsidP="00C82374">
            <w:pPr>
              <w:spacing w:line="240" w:lineRule="auto"/>
              <w:rPr>
                <w:rFonts w:ascii="Arial" w:hAnsi="Arial" w:cs="Arial"/>
                <w:sz w:val="15"/>
                <w:szCs w:val="15"/>
              </w:rPr>
            </w:pPr>
          </w:p>
        </w:tc>
      </w:tr>
      <w:tr w:rsidR="00C82374" w:rsidTr="00615627">
        <w:tc>
          <w:tcPr>
            <w:tcW w:w="624" w:type="dxa"/>
            <w:tcMar>
              <w:top w:w="28" w:type="dxa"/>
              <w:bottom w:w="28" w:type="dxa"/>
            </w:tcMar>
          </w:tcPr>
          <w:p w:rsidR="00C82374" w:rsidRDefault="00C82374" w:rsidP="00C82374">
            <w:pPr>
              <w:spacing w:before="0" w:line="240" w:lineRule="auto"/>
            </w:pPr>
          </w:p>
        </w:tc>
        <w:tc>
          <w:tcPr>
            <w:tcW w:w="284" w:type="dxa"/>
            <w:tcMar>
              <w:top w:w="28" w:type="dxa"/>
              <w:left w:w="57" w:type="dxa"/>
              <w:bottom w:w="28" w:type="dxa"/>
              <w:right w:w="57" w:type="dxa"/>
            </w:tcMar>
          </w:tcPr>
          <w:p w:rsidR="00C82374" w:rsidRPr="00CA5C8D" w:rsidRDefault="00C82374" w:rsidP="00C82374">
            <w:pPr>
              <w:spacing w:before="0" w:line="240" w:lineRule="auto"/>
              <w:rPr>
                <w:rFonts w:ascii="Arial" w:hAnsi="Arial" w:cs="Arial"/>
                <w:sz w:val="15"/>
                <w:szCs w:val="15"/>
              </w:rPr>
            </w:pPr>
            <w:r>
              <w:rPr>
                <w:rFonts w:ascii="Arial" w:hAnsi="Arial" w:cs="Arial"/>
                <w:sz w:val="15"/>
                <w:szCs w:val="15"/>
              </w:rPr>
              <w:t>a)</w:t>
            </w:r>
          </w:p>
        </w:tc>
        <w:tc>
          <w:tcPr>
            <w:tcW w:w="7246" w:type="dxa"/>
            <w:gridSpan w:val="2"/>
            <w:tcMar>
              <w:top w:w="28" w:type="dxa"/>
              <w:bottom w:w="28" w:type="dxa"/>
            </w:tcMar>
          </w:tcPr>
          <w:p w:rsidR="00C82374" w:rsidRPr="00CA5C8D" w:rsidRDefault="00615627" w:rsidP="00615627">
            <w:pPr>
              <w:spacing w:before="0" w:line="240" w:lineRule="auto"/>
              <w:rPr>
                <w:rFonts w:ascii="Arial" w:hAnsi="Arial" w:cs="Arial"/>
                <w:sz w:val="15"/>
                <w:szCs w:val="15"/>
              </w:rPr>
            </w:pPr>
            <w:r>
              <w:rPr>
                <w:rFonts w:ascii="Arial" w:hAnsi="Arial" w:cs="Arial"/>
                <w:sz w:val="15"/>
                <w:szCs w:val="15"/>
              </w:rPr>
              <w:t>S</w:t>
            </w:r>
            <w:r w:rsidRPr="0063218F">
              <w:rPr>
                <w:rFonts w:ascii="Arial" w:hAnsi="Arial" w:cs="Arial"/>
                <w:sz w:val="15"/>
                <w:szCs w:val="15"/>
              </w:rPr>
              <w:t>tatistics indicate the excess of the changes from 2008 to 2012 evaluated for Victoria, relative to the same</w:t>
            </w:r>
            <w:r>
              <w:rPr>
                <w:rFonts w:ascii="Arial" w:hAnsi="Arial" w:cs="Arial"/>
                <w:sz w:val="15"/>
                <w:szCs w:val="15"/>
              </w:rPr>
              <w:t xml:space="preserve"> </w:t>
            </w:r>
            <w:r w:rsidRPr="0063218F">
              <w:rPr>
                <w:rFonts w:ascii="Arial" w:hAnsi="Arial" w:cs="Arial"/>
                <w:sz w:val="15"/>
                <w:szCs w:val="15"/>
              </w:rPr>
              <w:t>statistics evaluated for the rest of Australia.</w:t>
            </w:r>
          </w:p>
        </w:tc>
      </w:tr>
      <w:tr w:rsidR="00615627" w:rsidTr="00615627">
        <w:trPr>
          <w:gridAfter w:val="1"/>
          <w:wAfter w:w="159" w:type="dxa"/>
        </w:trPr>
        <w:tc>
          <w:tcPr>
            <w:tcW w:w="624" w:type="dxa"/>
            <w:tcMar>
              <w:top w:w="28" w:type="dxa"/>
              <w:bottom w:w="28" w:type="dxa"/>
              <w:right w:w="28" w:type="dxa"/>
            </w:tcMar>
          </w:tcPr>
          <w:p w:rsidR="00615627" w:rsidRDefault="00615627" w:rsidP="00C82374">
            <w:pPr>
              <w:spacing w:before="0" w:line="240" w:lineRule="auto"/>
            </w:pPr>
            <w:r>
              <w:rPr>
                <w:rFonts w:ascii="Arial" w:hAnsi="Arial" w:cs="Arial"/>
                <w:sz w:val="15"/>
                <w:szCs w:val="15"/>
              </w:rPr>
              <w:t>Source:</w:t>
            </w:r>
          </w:p>
        </w:tc>
        <w:tc>
          <w:tcPr>
            <w:tcW w:w="7371" w:type="dxa"/>
            <w:gridSpan w:val="2"/>
            <w:tcMar>
              <w:top w:w="28" w:type="dxa"/>
              <w:bottom w:w="28" w:type="dxa"/>
            </w:tcMar>
          </w:tcPr>
          <w:p w:rsidR="00615627" w:rsidRDefault="00615627" w:rsidP="00615627">
            <w:pPr>
              <w:spacing w:before="0" w:line="240" w:lineRule="auto"/>
              <w:rPr>
                <w:rFonts w:ascii="Arial" w:hAnsi="Arial" w:cs="Arial"/>
                <w:sz w:val="15"/>
                <w:szCs w:val="15"/>
              </w:rPr>
            </w:pPr>
            <w:r>
              <w:rPr>
                <w:rFonts w:ascii="Arial" w:hAnsi="Arial" w:cs="Arial"/>
                <w:sz w:val="15"/>
                <w:szCs w:val="15"/>
              </w:rPr>
              <w:t>Authors’</w:t>
            </w:r>
            <w:r w:rsidRPr="0063218F">
              <w:rPr>
                <w:rFonts w:ascii="Arial" w:hAnsi="Arial" w:cs="Arial"/>
                <w:sz w:val="15"/>
                <w:szCs w:val="15"/>
              </w:rPr>
              <w:t xml:space="preserve"> calculations. Enrolment numbers evaluated from VETPC micro-data. Population aggregates evaluated using census data reported in 2006 and 2011, and labour force status reported in June of the respective years reported by the Labour Force Survey.</w:t>
            </w:r>
          </w:p>
        </w:tc>
      </w:tr>
    </w:tbl>
    <w:p w:rsidR="00D203EC" w:rsidRDefault="00D203EC">
      <w:pPr>
        <w:spacing w:before="0" w:line="240" w:lineRule="auto"/>
        <w:rPr>
          <w:rFonts w:eastAsia="Calibri"/>
        </w:rPr>
      </w:pPr>
      <w:r>
        <w:rPr>
          <w:rFonts w:eastAsia="Calibri"/>
        </w:rPr>
        <w:br w:type="page"/>
      </w:r>
    </w:p>
    <w:p w:rsidR="00CE7831" w:rsidRDefault="00CE7831" w:rsidP="00CE7831">
      <w:pPr>
        <w:pStyle w:val="Text"/>
        <w:rPr>
          <w:rFonts w:eastAsia="Calibri"/>
        </w:rPr>
      </w:pPr>
      <w:r>
        <w:rPr>
          <w:rFonts w:eastAsia="Calibri"/>
        </w:rPr>
        <w:lastRenderedPageBreak/>
        <w:t xml:space="preserve">Table </w:t>
      </w:r>
      <w:r w:rsidR="00992398">
        <w:rPr>
          <w:rFonts w:eastAsia="Calibri"/>
        </w:rPr>
        <w:t>B</w:t>
      </w:r>
      <w:r>
        <w:rPr>
          <w:rFonts w:eastAsia="Calibri"/>
        </w:rPr>
        <w:t>1 provides a limited out-of-sample test of the assumption of common underlying temporal variation that underlies the difference-in-differences (</w:t>
      </w:r>
      <w:proofErr w:type="spellStart"/>
      <w:r>
        <w:rPr>
          <w:rFonts w:eastAsia="Calibri"/>
        </w:rPr>
        <w:t>DiD</w:t>
      </w:r>
      <w:proofErr w:type="spellEnd"/>
      <w:r>
        <w:rPr>
          <w:rFonts w:eastAsia="Calibri"/>
        </w:rPr>
        <w:t>) analysis of participation rates in VET between Victori</w:t>
      </w:r>
      <w:r w:rsidR="0079345A">
        <w:rPr>
          <w:rFonts w:eastAsia="Calibri"/>
        </w:rPr>
        <w:t>a and the rest of Australia</w:t>
      </w:r>
      <w:r>
        <w:rPr>
          <w:rFonts w:eastAsia="Calibri"/>
        </w:rPr>
        <w:t xml:space="preserve"> presented in the report.</w:t>
      </w:r>
      <w:r w:rsidR="00B01602">
        <w:rPr>
          <w:rFonts w:eastAsia="Calibri"/>
        </w:rPr>
        <w:t xml:space="preserve"> </w:t>
      </w:r>
    </w:p>
    <w:p w:rsidR="00CE7831" w:rsidRDefault="0079345A" w:rsidP="00CE7831">
      <w:pPr>
        <w:pStyle w:val="Text"/>
        <w:rPr>
          <w:rFonts w:eastAsia="Calibri"/>
        </w:rPr>
      </w:pPr>
      <w:r>
        <w:rPr>
          <w:rFonts w:eastAsia="Calibri"/>
        </w:rPr>
        <w:t>An out-of-</w:t>
      </w:r>
      <w:r w:rsidR="00CE7831">
        <w:rPr>
          <w:rFonts w:eastAsia="Calibri"/>
        </w:rPr>
        <w:t>sample test of the type considered here woul</w:t>
      </w:r>
      <w:r>
        <w:rPr>
          <w:rFonts w:eastAsia="Calibri"/>
        </w:rPr>
        <w:t xml:space="preserve">d be facilitated by a long time </w:t>
      </w:r>
      <w:r w:rsidR="00CE7831">
        <w:rPr>
          <w:rFonts w:eastAsia="Calibri"/>
        </w:rPr>
        <w:t xml:space="preserve">series of data covering </w:t>
      </w:r>
      <w:r w:rsidR="008D3FCA">
        <w:rPr>
          <w:rFonts w:eastAsia="Calibri"/>
        </w:rPr>
        <w:t>the</w:t>
      </w:r>
      <w:r w:rsidR="00CE7831">
        <w:rPr>
          <w:rFonts w:eastAsia="Calibri"/>
        </w:rPr>
        <w:t xml:space="preserve"> period during which </w:t>
      </w:r>
      <w:r w:rsidR="005D0636">
        <w:rPr>
          <w:rFonts w:eastAsia="Calibri"/>
        </w:rPr>
        <w:t xml:space="preserve">the </w:t>
      </w:r>
      <w:r w:rsidR="00CE7831">
        <w:rPr>
          <w:rFonts w:eastAsia="Calibri"/>
        </w:rPr>
        <w:t>policy that is the focus of the study was held fixed. Unfortunately, such data do not exist. Here we consider data covering t</w:t>
      </w:r>
      <w:r>
        <w:rPr>
          <w:rFonts w:eastAsia="Calibri"/>
        </w:rPr>
        <w:t>he period 2006 to 2008, a three-</w:t>
      </w:r>
      <w:r w:rsidR="00CE7831">
        <w:rPr>
          <w:rFonts w:eastAsia="Calibri"/>
        </w:rPr>
        <w:t xml:space="preserve">year interval, which is slightly shorter than the four-and-a-half year interval that is the focus in the paper. Although some policy variation did take place between 2006 and 2008, this variation was minor compared with the </w:t>
      </w:r>
      <w:r w:rsidR="00132A0F">
        <w:t xml:space="preserve">Victorian </w:t>
      </w:r>
      <w:r w:rsidR="00687E00">
        <w:rPr>
          <w:rFonts w:eastAsia="Calibri"/>
        </w:rPr>
        <w:t>Training Guarantee</w:t>
      </w:r>
      <w:r>
        <w:rPr>
          <w:rFonts w:eastAsia="Calibri"/>
        </w:rPr>
        <w:t>,</w:t>
      </w:r>
      <w:r w:rsidR="00CE7831">
        <w:rPr>
          <w:rFonts w:eastAsia="Calibri"/>
        </w:rPr>
        <w:t xml:space="preserve"> the focus here. Both of these observations imply that we should expect far smaller </w:t>
      </w:r>
      <w:proofErr w:type="spellStart"/>
      <w:proofErr w:type="gramStart"/>
      <w:r w:rsidR="00CE7831">
        <w:rPr>
          <w:rFonts w:eastAsia="Calibri"/>
        </w:rPr>
        <w:t>DiD</w:t>
      </w:r>
      <w:proofErr w:type="spellEnd"/>
      <w:proofErr w:type="gramEnd"/>
      <w:r w:rsidR="00CE7831">
        <w:rPr>
          <w:rFonts w:eastAsia="Calibri"/>
        </w:rPr>
        <w:t xml:space="preserve"> effects evaluated between Victoria and the remainder of A</w:t>
      </w:r>
      <w:r>
        <w:rPr>
          <w:rFonts w:eastAsia="Calibri"/>
        </w:rPr>
        <w:t xml:space="preserve">ustralia between 2006 and 2008 </w:t>
      </w:r>
      <w:r w:rsidR="00CE7831" w:rsidRPr="003E7263">
        <w:rPr>
          <w:rFonts w:eastAsia="Calibri"/>
        </w:rPr>
        <w:t xml:space="preserve">than are reported in </w:t>
      </w:r>
      <w:r>
        <w:rPr>
          <w:rFonts w:eastAsia="Calibri"/>
        </w:rPr>
        <w:t>t</w:t>
      </w:r>
      <w:r w:rsidR="00C44C30">
        <w:rPr>
          <w:rFonts w:eastAsia="Calibri"/>
        </w:rPr>
        <w:t>able 3</w:t>
      </w:r>
      <w:r>
        <w:rPr>
          <w:rFonts w:eastAsia="Calibri"/>
        </w:rPr>
        <w:t xml:space="preserve"> </w:t>
      </w:r>
      <w:r w:rsidR="00CE7831">
        <w:rPr>
          <w:rFonts w:eastAsia="Calibri"/>
        </w:rPr>
        <w:t xml:space="preserve">between 2008 and </w:t>
      </w:r>
      <w:r w:rsidR="005D0636">
        <w:rPr>
          <w:rFonts w:eastAsia="Calibri"/>
        </w:rPr>
        <w:t>2011—</w:t>
      </w:r>
      <w:r w:rsidR="00747916">
        <w:rPr>
          <w:rFonts w:eastAsia="Calibri"/>
        </w:rPr>
        <w:t>12</w:t>
      </w:r>
      <w:r w:rsidR="00CE7831">
        <w:rPr>
          <w:rFonts w:eastAsia="Calibri"/>
        </w:rPr>
        <w:t>.</w:t>
      </w:r>
    </w:p>
    <w:p w:rsidR="00CE7831" w:rsidRDefault="0079345A" w:rsidP="00CE7831">
      <w:pPr>
        <w:pStyle w:val="Text"/>
        <w:rPr>
          <w:rFonts w:eastAsia="Calibri"/>
        </w:rPr>
      </w:pPr>
      <w:r>
        <w:rPr>
          <w:rFonts w:eastAsia="Calibri"/>
        </w:rPr>
        <w:t xml:space="preserve">The </w:t>
      </w:r>
      <w:r w:rsidR="00E76220">
        <w:rPr>
          <w:rFonts w:eastAsia="Calibri"/>
        </w:rPr>
        <w:t>right</w:t>
      </w:r>
      <w:r>
        <w:rPr>
          <w:rFonts w:eastAsia="Calibri"/>
        </w:rPr>
        <w:t>-most column of t</w:t>
      </w:r>
      <w:r w:rsidR="00CE7831">
        <w:rPr>
          <w:rFonts w:eastAsia="Calibri"/>
        </w:rPr>
        <w:t xml:space="preserve">able </w:t>
      </w:r>
      <w:r w:rsidR="00992398">
        <w:rPr>
          <w:rFonts w:eastAsia="Calibri"/>
        </w:rPr>
        <w:t>B</w:t>
      </w:r>
      <w:r>
        <w:rPr>
          <w:rFonts w:eastAsia="Calibri"/>
        </w:rPr>
        <w:t>1 re</w:t>
      </w:r>
      <w:r w:rsidR="00CE7831">
        <w:rPr>
          <w:rFonts w:eastAsia="Calibri"/>
        </w:rPr>
        <w:t xml:space="preserve">produces the </w:t>
      </w:r>
      <w:proofErr w:type="spellStart"/>
      <w:proofErr w:type="gramStart"/>
      <w:r w:rsidR="00CE7831">
        <w:rPr>
          <w:rFonts w:eastAsia="Calibri"/>
        </w:rPr>
        <w:t>DiD</w:t>
      </w:r>
      <w:proofErr w:type="spellEnd"/>
      <w:proofErr w:type="gramEnd"/>
      <w:r w:rsidR="00CE7831">
        <w:rPr>
          <w:rFonts w:eastAsia="Calibri"/>
        </w:rPr>
        <w:t xml:space="preserve"> statistics for 2008 to </w:t>
      </w:r>
      <w:r w:rsidR="005D0636">
        <w:rPr>
          <w:rFonts w:eastAsia="Calibri"/>
        </w:rPr>
        <w:t xml:space="preserve">2011—12, </w:t>
      </w:r>
      <w:r w:rsidR="00CE7831">
        <w:rPr>
          <w:rFonts w:eastAsia="Calibri"/>
        </w:rPr>
        <w:t xml:space="preserve">the focus of discussion in </w:t>
      </w:r>
      <w:r>
        <w:rPr>
          <w:rFonts w:eastAsia="Calibri"/>
        </w:rPr>
        <w:t xml:space="preserve">the fourth section </w:t>
      </w:r>
      <w:r w:rsidR="00CE7831">
        <w:rPr>
          <w:rFonts w:eastAsia="Calibri"/>
        </w:rPr>
        <w:t>of the report. The second column from the right reports similar statistics</w:t>
      </w:r>
      <w:r w:rsidR="005D0636">
        <w:rPr>
          <w:rFonts w:eastAsia="Calibri"/>
        </w:rPr>
        <w:t>,</w:t>
      </w:r>
      <w:r w:rsidR="00CE7831">
        <w:rPr>
          <w:rFonts w:eastAsia="Calibri"/>
        </w:rPr>
        <w:t xml:space="preserve"> calc</w:t>
      </w:r>
      <w:r w:rsidR="005D0636">
        <w:rPr>
          <w:rFonts w:eastAsia="Calibri"/>
        </w:rPr>
        <w:t>ulated for the period 2006—</w:t>
      </w:r>
      <w:r w:rsidR="00CE7831">
        <w:rPr>
          <w:rFonts w:eastAsia="Calibri"/>
        </w:rPr>
        <w:t xml:space="preserve">08. Two key points are of note. First, the </w:t>
      </w:r>
      <w:proofErr w:type="spellStart"/>
      <w:proofErr w:type="gramStart"/>
      <w:r w:rsidR="00CE7831">
        <w:rPr>
          <w:rFonts w:eastAsia="Calibri"/>
        </w:rPr>
        <w:t>DiD</w:t>
      </w:r>
      <w:proofErr w:type="spellEnd"/>
      <w:proofErr w:type="gramEnd"/>
      <w:r w:rsidR="00CE7831">
        <w:rPr>
          <w:rFonts w:eastAsia="Calibri"/>
        </w:rPr>
        <w:t xml:space="preserve"> statistics for 2006 to 2008 are approximately one-tenth </w:t>
      </w:r>
      <w:r w:rsidR="008D3FCA">
        <w:rPr>
          <w:rFonts w:eastAsia="Calibri"/>
        </w:rPr>
        <w:t xml:space="preserve">of </w:t>
      </w:r>
      <w:r w:rsidR="00CE7831">
        <w:rPr>
          <w:rFonts w:eastAsia="Calibri"/>
        </w:rPr>
        <w:t>the absolute magnitude of the s</w:t>
      </w:r>
      <w:r w:rsidR="003E7263">
        <w:rPr>
          <w:rFonts w:eastAsia="Calibri"/>
        </w:rPr>
        <w:t xml:space="preserve">tatistics for 2008 to </w:t>
      </w:r>
      <w:r>
        <w:rPr>
          <w:rFonts w:eastAsia="Calibri"/>
        </w:rPr>
        <w:t>2011—</w:t>
      </w:r>
      <w:r w:rsidR="00747916">
        <w:rPr>
          <w:rFonts w:eastAsia="Calibri"/>
        </w:rPr>
        <w:t>12</w:t>
      </w:r>
      <w:r w:rsidR="003E7263">
        <w:rPr>
          <w:rFonts w:eastAsia="Calibri"/>
        </w:rPr>
        <w:t xml:space="preserve">. </w:t>
      </w:r>
      <w:r w:rsidR="00CE7831">
        <w:rPr>
          <w:rFonts w:eastAsia="Calibri"/>
        </w:rPr>
        <w:t xml:space="preserve">This observation underscores the substantive nature of the </w:t>
      </w:r>
      <w:proofErr w:type="spellStart"/>
      <w:proofErr w:type="gramStart"/>
      <w:r w:rsidR="00CE7831">
        <w:rPr>
          <w:rFonts w:eastAsia="Calibri"/>
        </w:rPr>
        <w:t>DiD</w:t>
      </w:r>
      <w:proofErr w:type="spellEnd"/>
      <w:proofErr w:type="gramEnd"/>
      <w:r w:rsidR="00CE7831">
        <w:rPr>
          <w:rFonts w:eastAsia="Calibri"/>
        </w:rPr>
        <w:t xml:space="preserve"> statistics </w:t>
      </w:r>
      <w:r w:rsidR="003E7263">
        <w:rPr>
          <w:rFonts w:eastAsia="Calibri"/>
        </w:rPr>
        <w:t xml:space="preserve">reported in this study. </w:t>
      </w:r>
      <w:r w:rsidR="00CE7831">
        <w:rPr>
          <w:rFonts w:eastAsia="Calibri"/>
        </w:rPr>
        <w:t xml:space="preserve">Secondly, the </w:t>
      </w:r>
      <w:proofErr w:type="spellStart"/>
      <w:proofErr w:type="gramStart"/>
      <w:r w:rsidR="00CE7831">
        <w:rPr>
          <w:rFonts w:eastAsia="Calibri"/>
        </w:rPr>
        <w:t>DiD</w:t>
      </w:r>
      <w:proofErr w:type="spellEnd"/>
      <w:proofErr w:type="gramEnd"/>
      <w:r w:rsidR="00CE7831">
        <w:rPr>
          <w:rFonts w:eastAsia="Calibri"/>
        </w:rPr>
        <w:t xml:space="preserve"> statistics for 2006 to 2008 are generally negative, whereas those for 2008 to </w:t>
      </w:r>
      <w:r w:rsidR="0009575A">
        <w:rPr>
          <w:rFonts w:eastAsia="Calibri"/>
        </w:rPr>
        <w:t xml:space="preserve">2011—12 </w:t>
      </w:r>
      <w:r w:rsidR="003E7263">
        <w:rPr>
          <w:rFonts w:eastAsia="Calibri"/>
        </w:rPr>
        <w:t xml:space="preserve">are predominantly positive. </w:t>
      </w:r>
      <w:r w:rsidR="00CE7831">
        <w:rPr>
          <w:rFonts w:eastAsia="Calibri"/>
        </w:rPr>
        <w:t xml:space="preserve">This suggests that, prior to 2008, VET participation rates in the rest of Australia were displaying </w:t>
      </w:r>
      <w:r w:rsidR="008D3FCA">
        <w:rPr>
          <w:rFonts w:eastAsia="Calibri"/>
        </w:rPr>
        <w:t xml:space="preserve">a </w:t>
      </w:r>
      <w:r w:rsidR="00CE7831">
        <w:rPr>
          <w:rFonts w:eastAsia="Calibri"/>
        </w:rPr>
        <w:t xml:space="preserve">slight convergence toward </w:t>
      </w:r>
      <w:r w:rsidR="008D3FCA">
        <w:rPr>
          <w:rFonts w:eastAsia="Calibri"/>
        </w:rPr>
        <w:t xml:space="preserve">the </w:t>
      </w:r>
      <w:r w:rsidR="00CE7831">
        <w:rPr>
          <w:rFonts w:eastAsia="Calibri"/>
        </w:rPr>
        <w:t xml:space="preserve">rates observed in Victoria. Any persistence of this convergence beyond 2008 in the absence of policy change would work to dampen the </w:t>
      </w:r>
      <w:proofErr w:type="spellStart"/>
      <w:proofErr w:type="gramStart"/>
      <w:r w:rsidR="00CE7831">
        <w:rPr>
          <w:rFonts w:eastAsia="Calibri"/>
        </w:rPr>
        <w:t>DiD</w:t>
      </w:r>
      <w:proofErr w:type="spellEnd"/>
      <w:proofErr w:type="gramEnd"/>
      <w:r w:rsidR="00CE7831">
        <w:rPr>
          <w:rFonts w:eastAsia="Calibri"/>
        </w:rPr>
        <w:t xml:space="preserve"> statistics that are the focus of this study. </w:t>
      </w:r>
    </w:p>
    <w:p w:rsidR="00CE7831" w:rsidRPr="00E301C1" w:rsidRDefault="00CE7831" w:rsidP="00CE7831">
      <w:pPr>
        <w:pStyle w:val="Text"/>
      </w:pPr>
    </w:p>
    <w:p w:rsidR="00CE7831" w:rsidRPr="00820817" w:rsidRDefault="00CE7831" w:rsidP="00C44C30">
      <w:pPr>
        <w:pStyle w:val="tabletitle0"/>
        <w:rPr>
          <w:rFonts w:eastAsia="Calibri"/>
        </w:rPr>
      </w:pPr>
      <w:r>
        <w:rPr>
          <w:rFonts w:eastAsia="Calibri"/>
        </w:rPr>
        <w:br w:type="page"/>
      </w:r>
    </w:p>
    <w:p w:rsidR="00CE7831" w:rsidRDefault="007C2328" w:rsidP="00CE7831">
      <w:pPr>
        <w:pStyle w:val="Heading1"/>
      </w:pPr>
      <w:bookmarkStart w:id="91" w:name="_Toc472517013"/>
      <w:r>
        <w:rPr>
          <w:noProof/>
          <w:lang w:eastAsia="en-AU"/>
        </w:rPr>
        <w:lastRenderedPageBreak/>
        <w:drawing>
          <wp:anchor distT="0" distB="0" distL="114300" distR="114300" simplePos="0" relativeHeight="251671552" behindDoc="1" locked="0" layoutInCell="1" allowOverlap="1" wp14:anchorId="6264B9B2" wp14:editId="4D34C4DE">
            <wp:simplePos x="0" y="0"/>
            <wp:positionH relativeFrom="margin">
              <wp:posOffset>-21590</wp:posOffset>
            </wp:positionH>
            <wp:positionV relativeFrom="margin">
              <wp:posOffset>-54610</wp:posOffset>
            </wp:positionV>
            <wp:extent cx="417830" cy="417830"/>
            <wp:effectExtent l="0" t="0" r="1270" b="1270"/>
            <wp:wrapTight wrapText="bothSides">
              <wp:wrapPolygon edited="0">
                <wp:start x="4924" y="0"/>
                <wp:lineTo x="0" y="4924"/>
                <wp:lineTo x="0" y="16742"/>
                <wp:lineTo x="4924" y="20681"/>
                <wp:lineTo x="5909" y="20681"/>
                <wp:lineTo x="14772" y="20681"/>
                <wp:lineTo x="15757" y="20681"/>
                <wp:lineTo x="20681" y="16742"/>
                <wp:lineTo x="20681" y="4924"/>
                <wp:lineTo x="15757" y="0"/>
                <wp:lineTo x="4924"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ttachment icon green"/>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pic:spPr>
                </pic:pic>
              </a:graphicData>
            </a:graphic>
            <wp14:sizeRelH relativeFrom="page">
              <wp14:pctWidth>0</wp14:pctWidth>
            </wp14:sizeRelH>
            <wp14:sizeRelV relativeFrom="page">
              <wp14:pctHeight>0</wp14:pctHeight>
            </wp14:sizeRelV>
          </wp:anchor>
        </w:drawing>
      </w:r>
      <w:bookmarkStart w:id="92" w:name="_Toc438209989"/>
      <w:r w:rsidR="00CE7831">
        <w:t xml:space="preserve">Appendix </w:t>
      </w:r>
      <w:r w:rsidR="00992398">
        <w:t>C</w:t>
      </w:r>
      <w:r w:rsidR="00CE7831" w:rsidRPr="00820817">
        <w:t xml:space="preserve">: </w:t>
      </w:r>
      <w:r w:rsidR="00CE7831">
        <w:t>Sensitivity tests</w:t>
      </w:r>
      <w:bookmarkEnd w:id="92"/>
      <w:bookmarkEnd w:id="91"/>
    </w:p>
    <w:p w:rsidR="00CE7831" w:rsidRPr="00B234B8" w:rsidRDefault="00CE7831" w:rsidP="00357286">
      <w:pPr>
        <w:pStyle w:val="tabletitle0"/>
      </w:pPr>
      <w:bookmarkStart w:id="93" w:name="_Toc468881923"/>
      <w:r>
        <w:t xml:space="preserve">Table </w:t>
      </w:r>
      <w:r w:rsidR="00992398">
        <w:t>C1</w:t>
      </w:r>
      <w:r w:rsidR="008135FA">
        <w:tab/>
      </w:r>
      <w:r>
        <w:t xml:space="preserve">Key estimated marginal effects from unconditional difference-in-differences </w:t>
      </w:r>
      <w:r w:rsidR="00D203EC">
        <w:tab/>
      </w:r>
      <w:r>
        <w:t>estimation, Jan</w:t>
      </w:r>
      <w:r w:rsidR="00357286">
        <w:t>uary</w:t>
      </w:r>
      <w:r w:rsidR="0079345A">
        <w:t xml:space="preserve"> 2011 – </w:t>
      </w:r>
      <w:r>
        <w:t>June 2012, alternative modelling results</w:t>
      </w:r>
      <w:bookmarkEnd w:id="93"/>
    </w:p>
    <w:tbl>
      <w:tblPr>
        <w:tblW w:w="5090" w:type="pct"/>
        <w:tblLayout w:type="fixed"/>
        <w:tblLook w:val="04A0" w:firstRow="1" w:lastRow="0" w:firstColumn="1" w:lastColumn="0" w:noHBand="0" w:noVBand="1"/>
      </w:tblPr>
      <w:tblGrid>
        <w:gridCol w:w="1056"/>
        <w:gridCol w:w="1220"/>
        <w:gridCol w:w="1068"/>
        <w:gridCol w:w="1373"/>
        <w:gridCol w:w="1107"/>
        <w:gridCol w:w="1373"/>
        <w:gridCol w:w="1104"/>
      </w:tblGrid>
      <w:tr w:rsidR="00CE7831" w:rsidRPr="00326E54" w:rsidTr="00D203EC">
        <w:trPr>
          <w:trHeight w:val="300"/>
        </w:trPr>
        <w:tc>
          <w:tcPr>
            <w:tcW w:w="636" w:type="pct"/>
            <w:tcBorders>
              <w:top w:val="single" w:sz="4" w:space="0" w:color="auto"/>
              <w:left w:val="nil"/>
              <w:bottom w:val="nil"/>
              <w:right w:val="nil"/>
            </w:tcBorders>
            <w:shd w:val="clear" w:color="auto" w:fill="auto"/>
            <w:noWrap/>
            <w:vAlign w:val="bottom"/>
          </w:tcPr>
          <w:p w:rsidR="00CE7831" w:rsidRPr="00326E54" w:rsidRDefault="00CE7831" w:rsidP="00357286">
            <w:pPr>
              <w:pStyle w:val="Tablehead1"/>
            </w:pPr>
          </w:p>
        </w:tc>
        <w:tc>
          <w:tcPr>
            <w:tcW w:w="1378" w:type="pct"/>
            <w:gridSpan w:val="2"/>
            <w:tcBorders>
              <w:top w:val="single" w:sz="4" w:space="0" w:color="auto"/>
              <w:left w:val="nil"/>
              <w:bottom w:val="nil"/>
              <w:right w:val="nil"/>
            </w:tcBorders>
            <w:shd w:val="clear" w:color="auto" w:fill="auto"/>
            <w:noWrap/>
          </w:tcPr>
          <w:p w:rsidR="00CE7831" w:rsidRPr="00963713" w:rsidRDefault="00CE7831" w:rsidP="00D203EC">
            <w:pPr>
              <w:pStyle w:val="Tablehead1"/>
              <w:jc w:val="center"/>
            </w:pPr>
            <w:r w:rsidRPr="00963713">
              <w:t>Unconditional</w:t>
            </w:r>
          </w:p>
        </w:tc>
        <w:tc>
          <w:tcPr>
            <w:tcW w:w="1494" w:type="pct"/>
            <w:gridSpan w:val="2"/>
            <w:tcBorders>
              <w:top w:val="single" w:sz="4" w:space="0" w:color="auto"/>
              <w:left w:val="nil"/>
              <w:bottom w:val="nil"/>
              <w:right w:val="nil"/>
            </w:tcBorders>
            <w:shd w:val="clear" w:color="auto" w:fill="auto"/>
            <w:noWrap/>
          </w:tcPr>
          <w:p w:rsidR="00CE7831" w:rsidRPr="00963713" w:rsidRDefault="00CE7831" w:rsidP="00D203EC">
            <w:pPr>
              <w:pStyle w:val="Tablehead1"/>
              <w:jc w:val="center"/>
            </w:pPr>
            <w:r w:rsidRPr="00963713">
              <w:t>With student controls</w:t>
            </w:r>
          </w:p>
        </w:tc>
        <w:tc>
          <w:tcPr>
            <w:tcW w:w="1492" w:type="pct"/>
            <w:gridSpan w:val="2"/>
            <w:tcBorders>
              <w:top w:val="single" w:sz="4" w:space="0" w:color="auto"/>
              <w:left w:val="nil"/>
              <w:bottom w:val="nil"/>
              <w:right w:val="nil"/>
            </w:tcBorders>
            <w:shd w:val="clear" w:color="auto" w:fill="auto"/>
            <w:noWrap/>
          </w:tcPr>
          <w:p w:rsidR="00CE7831" w:rsidRPr="00963713" w:rsidRDefault="00CE7831" w:rsidP="00D203EC">
            <w:pPr>
              <w:pStyle w:val="Tablehead1"/>
              <w:jc w:val="center"/>
            </w:pPr>
            <w:r w:rsidRPr="00963713">
              <w:t>With student and provider controls</w:t>
            </w:r>
          </w:p>
        </w:tc>
      </w:tr>
      <w:tr w:rsidR="00CE7831" w:rsidRPr="00326E54" w:rsidTr="00D203EC">
        <w:trPr>
          <w:trHeight w:val="300"/>
        </w:trPr>
        <w:tc>
          <w:tcPr>
            <w:tcW w:w="636" w:type="pct"/>
            <w:tcBorders>
              <w:top w:val="nil"/>
              <w:left w:val="nil"/>
              <w:bottom w:val="single" w:sz="4" w:space="0" w:color="auto"/>
              <w:right w:val="nil"/>
            </w:tcBorders>
            <w:shd w:val="clear" w:color="auto" w:fill="auto"/>
            <w:noWrap/>
            <w:vAlign w:val="bottom"/>
            <w:hideMark/>
          </w:tcPr>
          <w:p w:rsidR="00CE7831" w:rsidRPr="00326E54" w:rsidRDefault="00CE7831" w:rsidP="00357286">
            <w:pPr>
              <w:pStyle w:val="Tablehead2"/>
            </w:pPr>
          </w:p>
        </w:tc>
        <w:tc>
          <w:tcPr>
            <w:tcW w:w="735" w:type="pct"/>
            <w:tcBorders>
              <w:top w:val="nil"/>
              <w:left w:val="nil"/>
              <w:bottom w:val="single" w:sz="4" w:space="0" w:color="auto"/>
              <w:right w:val="nil"/>
            </w:tcBorders>
            <w:shd w:val="clear" w:color="auto" w:fill="auto"/>
            <w:noWrap/>
            <w:hideMark/>
          </w:tcPr>
          <w:p w:rsidR="00CE7831" w:rsidRPr="00326E54" w:rsidRDefault="00CE7831" w:rsidP="00D203EC">
            <w:pPr>
              <w:pStyle w:val="Tablehead2"/>
              <w:jc w:val="center"/>
            </w:pPr>
            <w:r w:rsidRPr="00326E54">
              <w:t>National skill shortage</w:t>
            </w:r>
          </w:p>
        </w:tc>
        <w:tc>
          <w:tcPr>
            <w:tcW w:w="643" w:type="pct"/>
            <w:tcBorders>
              <w:top w:val="nil"/>
              <w:left w:val="nil"/>
              <w:bottom w:val="single" w:sz="4" w:space="0" w:color="auto"/>
              <w:right w:val="nil"/>
            </w:tcBorders>
            <w:shd w:val="clear" w:color="auto" w:fill="auto"/>
            <w:noWrap/>
            <w:hideMark/>
          </w:tcPr>
          <w:p w:rsidR="00CE7831" w:rsidRPr="00326E54" w:rsidRDefault="00CE7831" w:rsidP="00D203EC">
            <w:pPr>
              <w:pStyle w:val="Tablehead2"/>
              <w:jc w:val="center"/>
            </w:pPr>
            <w:r w:rsidRPr="00326E54">
              <w:t>Expected returns</w:t>
            </w:r>
          </w:p>
        </w:tc>
        <w:tc>
          <w:tcPr>
            <w:tcW w:w="827" w:type="pct"/>
            <w:tcBorders>
              <w:top w:val="nil"/>
              <w:left w:val="nil"/>
              <w:bottom w:val="single" w:sz="4" w:space="0" w:color="auto"/>
              <w:right w:val="nil"/>
            </w:tcBorders>
            <w:shd w:val="clear" w:color="auto" w:fill="auto"/>
            <w:noWrap/>
            <w:hideMark/>
          </w:tcPr>
          <w:p w:rsidR="00CE7831" w:rsidRPr="00326E54" w:rsidRDefault="00CE7831" w:rsidP="00D203EC">
            <w:pPr>
              <w:pStyle w:val="Tablehead2"/>
              <w:jc w:val="center"/>
            </w:pPr>
            <w:r w:rsidRPr="00326E54">
              <w:t>National skill shortage</w:t>
            </w:r>
          </w:p>
        </w:tc>
        <w:tc>
          <w:tcPr>
            <w:tcW w:w="667" w:type="pct"/>
            <w:tcBorders>
              <w:top w:val="nil"/>
              <w:left w:val="nil"/>
              <w:bottom w:val="single" w:sz="4" w:space="0" w:color="auto"/>
              <w:right w:val="nil"/>
            </w:tcBorders>
            <w:shd w:val="clear" w:color="auto" w:fill="auto"/>
            <w:noWrap/>
            <w:hideMark/>
          </w:tcPr>
          <w:p w:rsidR="00CE7831" w:rsidRPr="00326E54" w:rsidRDefault="00CE7831" w:rsidP="00D203EC">
            <w:pPr>
              <w:pStyle w:val="Tablehead2"/>
              <w:jc w:val="center"/>
            </w:pPr>
            <w:r w:rsidRPr="00326E54">
              <w:t>Expected returns</w:t>
            </w:r>
          </w:p>
        </w:tc>
        <w:tc>
          <w:tcPr>
            <w:tcW w:w="827" w:type="pct"/>
            <w:tcBorders>
              <w:top w:val="nil"/>
              <w:left w:val="nil"/>
              <w:bottom w:val="single" w:sz="4" w:space="0" w:color="auto"/>
              <w:right w:val="nil"/>
            </w:tcBorders>
            <w:shd w:val="clear" w:color="auto" w:fill="auto"/>
            <w:noWrap/>
            <w:hideMark/>
          </w:tcPr>
          <w:p w:rsidR="00CE7831" w:rsidRPr="00326E54" w:rsidRDefault="00CE7831" w:rsidP="00D203EC">
            <w:pPr>
              <w:pStyle w:val="Tablehead2"/>
              <w:jc w:val="center"/>
            </w:pPr>
            <w:r w:rsidRPr="00326E54">
              <w:t>National skill shortage</w:t>
            </w:r>
          </w:p>
        </w:tc>
        <w:tc>
          <w:tcPr>
            <w:tcW w:w="665" w:type="pct"/>
            <w:tcBorders>
              <w:top w:val="nil"/>
              <w:left w:val="nil"/>
              <w:bottom w:val="single" w:sz="4" w:space="0" w:color="auto"/>
              <w:right w:val="nil"/>
            </w:tcBorders>
            <w:shd w:val="clear" w:color="auto" w:fill="auto"/>
            <w:noWrap/>
            <w:hideMark/>
          </w:tcPr>
          <w:p w:rsidR="00CE7831" w:rsidRPr="00326E54" w:rsidRDefault="00CE7831" w:rsidP="00D203EC">
            <w:pPr>
              <w:pStyle w:val="Tablehead2"/>
              <w:jc w:val="center"/>
            </w:pPr>
            <w:r w:rsidRPr="00326E54">
              <w:t>Expected returns</w:t>
            </w:r>
          </w:p>
        </w:tc>
      </w:tr>
      <w:tr w:rsidR="00CE7831" w:rsidRPr="00326E54" w:rsidTr="00D203EC">
        <w:trPr>
          <w:trHeight w:val="300"/>
        </w:trPr>
        <w:tc>
          <w:tcPr>
            <w:tcW w:w="636" w:type="pct"/>
            <w:tcBorders>
              <w:top w:val="single" w:sz="4" w:space="0" w:color="auto"/>
              <w:left w:val="nil"/>
              <w:bottom w:val="nil"/>
              <w:right w:val="nil"/>
            </w:tcBorders>
            <w:shd w:val="clear" w:color="auto" w:fill="auto"/>
            <w:noWrap/>
            <w:vAlign w:val="bottom"/>
          </w:tcPr>
          <w:p w:rsidR="00CE7831" w:rsidRPr="00326E54" w:rsidRDefault="00CE7831" w:rsidP="003A6A63">
            <w:pPr>
              <w:pStyle w:val="Tabletext"/>
            </w:pPr>
          </w:p>
        </w:tc>
        <w:tc>
          <w:tcPr>
            <w:tcW w:w="735" w:type="pct"/>
            <w:tcBorders>
              <w:top w:val="single" w:sz="4" w:space="0" w:color="auto"/>
              <w:left w:val="nil"/>
              <w:bottom w:val="nil"/>
              <w:right w:val="nil"/>
            </w:tcBorders>
            <w:shd w:val="clear" w:color="auto" w:fill="auto"/>
            <w:noWrap/>
          </w:tcPr>
          <w:p w:rsidR="00CE7831" w:rsidRPr="00326E54" w:rsidRDefault="00CE7831" w:rsidP="00D203EC">
            <w:pPr>
              <w:pStyle w:val="Tabletext"/>
              <w:jc w:val="center"/>
            </w:pPr>
            <w:r>
              <w:t>%pt.</w:t>
            </w:r>
          </w:p>
        </w:tc>
        <w:tc>
          <w:tcPr>
            <w:tcW w:w="643" w:type="pct"/>
            <w:tcBorders>
              <w:top w:val="single" w:sz="4" w:space="0" w:color="auto"/>
              <w:left w:val="nil"/>
              <w:bottom w:val="nil"/>
              <w:right w:val="nil"/>
            </w:tcBorders>
            <w:shd w:val="clear" w:color="auto" w:fill="auto"/>
            <w:noWrap/>
          </w:tcPr>
          <w:p w:rsidR="00CE7831" w:rsidRPr="00326E54" w:rsidRDefault="00CE7831" w:rsidP="00D203EC">
            <w:pPr>
              <w:pStyle w:val="Tabletext"/>
              <w:jc w:val="center"/>
            </w:pPr>
            <w:r>
              <w:t>%</w:t>
            </w:r>
          </w:p>
        </w:tc>
        <w:tc>
          <w:tcPr>
            <w:tcW w:w="827" w:type="pct"/>
            <w:tcBorders>
              <w:top w:val="single" w:sz="4" w:space="0" w:color="auto"/>
              <w:left w:val="nil"/>
              <w:bottom w:val="nil"/>
              <w:right w:val="nil"/>
            </w:tcBorders>
            <w:shd w:val="clear" w:color="auto" w:fill="auto"/>
            <w:noWrap/>
          </w:tcPr>
          <w:p w:rsidR="00CE7831" w:rsidRPr="00326E54" w:rsidRDefault="00CE7831" w:rsidP="00D203EC">
            <w:pPr>
              <w:pStyle w:val="Tabletext"/>
              <w:jc w:val="center"/>
            </w:pPr>
            <w:r>
              <w:t>%pt.</w:t>
            </w:r>
          </w:p>
        </w:tc>
        <w:tc>
          <w:tcPr>
            <w:tcW w:w="667" w:type="pct"/>
            <w:tcBorders>
              <w:top w:val="single" w:sz="4" w:space="0" w:color="auto"/>
              <w:left w:val="nil"/>
              <w:bottom w:val="nil"/>
              <w:right w:val="nil"/>
            </w:tcBorders>
            <w:shd w:val="clear" w:color="auto" w:fill="auto"/>
            <w:noWrap/>
          </w:tcPr>
          <w:p w:rsidR="00CE7831" w:rsidRPr="00326E54" w:rsidRDefault="00CE7831" w:rsidP="00D203EC">
            <w:pPr>
              <w:pStyle w:val="Tabletext"/>
              <w:jc w:val="center"/>
            </w:pPr>
            <w:r>
              <w:t>%</w:t>
            </w:r>
          </w:p>
        </w:tc>
        <w:tc>
          <w:tcPr>
            <w:tcW w:w="827" w:type="pct"/>
            <w:tcBorders>
              <w:top w:val="single" w:sz="4" w:space="0" w:color="auto"/>
              <w:left w:val="nil"/>
              <w:bottom w:val="nil"/>
              <w:right w:val="nil"/>
            </w:tcBorders>
            <w:shd w:val="clear" w:color="auto" w:fill="auto"/>
            <w:noWrap/>
          </w:tcPr>
          <w:p w:rsidR="00CE7831" w:rsidRPr="00326E54" w:rsidRDefault="00CE7831" w:rsidP="00D203EC">
            <w:pPr>
              <w:pStyle w:val="Tabletext"/>
              <w:jc w:val="center"/>
            </w:pPr>
            <w:r>
              <w:t>%pt.</w:t>
            </w:r>
          </w:p>
        </w:tc>
        <w:tc>
          <w:tcPr>
            <w:tcW w:w="665" w:type="pct"/>
            <w:tcBorders>
              <w:top w:val="single" w:sz="4" w:space="0" w:color="auto"/>
              <w:left w:val="nil"/>
              <w:bottom w:val="nil"/>
              <w:right w:val="nil"/>
            </w:tcBorders>
            <w:shd w:val="clear" w:color="auto" w:fill="auto"/>
            <w:noWrap/>
          </w:tcPr>
          <w:p w:rsidR="00CE7831" w:rsidRPr="00326E54" w:rsidRDefault="00CE7831" w:rsidP="00D203EC">
            <w:pPr>
              <w:pStyle w:val="Tabletext"/>
              <w:jc w:val="center"/>
            </w:pPr>
            <w:r>
              <w:t>%</w:t>
            </w:r>
          </w:p>
        </w:tc>
      </w:tr>
      <w:tr w:rsidR="00CE7831" w:rsidRPr="00326E54" w:rsidTr="00357286">
        <w:trPr>
          <w:trHeight w:val="300"/>
        </w:trPr>
        <w:tc>
          <w:tcPr>
            <w:tcW w:w="5000" w:type="pct"/>
            <w:gridSpan w:val="7"/>
            <w:tcBorders>
              <w:top w:val="nil"/>
              <w:left w:val="nil"/>
              <w:bottom w:val="nil"/>
              <w:right w:val="nil"/>
            </w:tcBorders>
            <w:shd w:val="clear" w:color="auto" w:fill="auto"/>
            <w:noWrap/>
            <w:vAlign w:val="bottom"/>
            <w:hideMark/>
          </w:tcPr>
          <w:p w:rsidR="00CE7831" w:rsidRPr="00F873A1" w:rsidRDefault="00CE7831" w:rsidP="003A6A63">
            <w:pPr>
              <w:pStyle w:val="Tabletext"/>
            </w:pPr>
            <w:r w:rsidRPr="00F873A1">
              <w:rPr>
                <w:i/>
              </w:rPr>
              <w:t xml:space="preserve">p-values based on wild </w:t>
            </w:r>
            <w:proofErr w:type="spellStart"/>
            <w:r w:rsidRPr="00F873A1">
              <w:rPr>
                <w:i/>
              </w:rPr>
              <w:t>boostrapped</w:t>
            </w:r>
            <w:proofErr w:type="spellEnd"/>
            <w:r w:rsidRPr="00F873A1">
              <w:rPr>
                <w:i/>
              </w:rPr>
              <w:t xml:space="preserve"> standard errors</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326E54" w:rsidRDefault="00CE7831" w:rsidP="00357286">
            <w:pPr>
              <w:pStyle w:val="Tabletext"/>
            </w:pPr>
            <w:r>
              <w:t>Time trend (ref:2008)</w:t>
            </w:r>
          </w:p>
        </w:tc>
        <w:tc>
          <w:tcPr>
            <w:tcW w:w="735" w:type="pct"/>
            <w:tcBorders>
              <w:top w:val="nil"/>
              <w:left w:val="nil"/>
              <w:bottom w:val="nil"/>
              <w:right w:val="nil"/>
            </w:tcBorders>
            <w:shd w:val="clear" w:color="auto" w:fill="auto"/>
            <w:noWrap/>
            <w:vAlign w:val="bottom"/>
          </w:tcPr>
          <w:p w:rsidR="00CE7831" w:rsidRDefault="00CE7831" w:rsidP="00357286">
            <w:pPr>
              <w:pStyle w:val="Tabletext"/>
            </w:pPr>
          </w:p>
        </w:tc>
        <w:tc>
          <w:tcPr>
            <w:tcW w:w="643" w:type="pct"/>
            <w:tcBorders>
              <w:top w:val="nil"/>
              <w:left w:val="nil"/>
              <w:bottom w:val="nil"/>
              <w:right w:val="nil"/>
            </w:tcBorders>
            <w:shd w:val="clear" w:color="auto" w:fill="auto"/>
            <w:noWrap/>
            <w:vAlign w:val="bottom"/>
          </w:tcPr>
          <w:p w:rsidR="00CE7831" w:rsidRDefault="00CE7831" w:rsidP="00357286">
            <w:pPr>
              <w:pStyle w:val="Tabletext"/>
            </w:pPr>
          </w:p>
        </w:tc>
        <w:tc>
          <w:tcPr>
            <w:tcW w:w="827" w:type="pct"/>
            <w:tcBorders>
              <w:top w:val="nil"/>
              <w:left w:val="nil"/>
              <w:bottom w:val="nil"/>
              <w:right w:val="nil"/>
            </w:tcBorders>
            <w:shd w:val="clear" w:color="auto" w:fill="auto"/>
            <w:noWrap/>
            <w:vAlign w:val="bottom"/>
          </w:tcPr>
          <w:p w:rsidR="00CE7831" w:rsidRDefault="00CE7831" w:rsidP="00357286">
            <w:pPr>
              <w:pStyle w:val="Tabletext"/>
            </w:pPr>
          </w:p>
        </w:tc>
        <w:tc>
          <w:tcPr>
            <w:tcW w:w="667" w:type="pct"/>
            <w:tcBorders>
              <w:top w:val="nil"/>
              <w:left w:val="nil"/>
              <w:bottom w:val="nil"/>
              <w:right w:val="nil"/>
            </w:tcBorders>
            <w:shd w:val="clear" w:color="auto" w:fill="auto"/>
            <w:noWrap/>
            <w:vAlign w:val="bottom"/>
          </w:tcPr>
          <w:p w:rsidR="00CE7831" w:rsidRDefault="00CE7831" w:rsidP="00357286">
            <w:pPr>
              <w:pStyle w:val="Tabletext"/>
            </w:pPr>
          </w:p>
        </w:tc>
        <w:tc>
          <w:tcPr>
            <w:tcW w:w="827" w:type="pct"/>
            <w:tcBorders>
              <w:top w:val="nil"/>
              <w:left w:val="nil"/>
              <w:bottom w:val="nil"/>
              <w:right w:val="nil"/>
            </w:tcBorders>
            <w:shd w:val="clear" w:color="auto" w:fill="auto"/>
            <w:noWrap/>
            <w:vAlign w:val="bottom"/>
          </w:tcPr>
          <w:p w:rsidR="00CE7831" w:rsidRDefault="00CE7831" w:rsidP="00357286">
            <w:pPr>
              <w:pStyle w:val="Tabletext"/>
            </w:pPr>
          </w:p>
        </w:tc>
        <w:tc>
          <w:tcPr>
            <w:tcW w:w="665" w:type="pct"/>
            <w:tcBorders>
              <w:top w:val="nil"/>
              <w:left w:val="nil"/>
              <w:bottom w:val="nil"/>
              <w:right w:val="nil"/>
            </w:tcBorders>
            <w:shd w:val="clear" w:color="auto" w:fill="auto"/>
            <w:noWrap/>
            <w:vAlign w:val="bottom"/>
          </w:tcPr>
          <w:p w:rsidR="00CE7831" w:rsidRDefault="00CE7831" w:rsidP="00357286">
            <w:pPr>
              <w:pStyle w:val="Tabletext"/>
            </w:pP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2006</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-4</w:t>
            </w:r>
            <w:r w:rsidR="0045331A">
              <w:t>.0</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6.3</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-3.8</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6.3</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-3.8</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6.3</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p-value</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6.8</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11.2</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14.4</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2007</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-5.9</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-7.4</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-5.7</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-7.5</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-5.8</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-7.5</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p-value</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0.2</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2011</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-4.2</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0.5</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-4.3</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0.6</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-4</w:t>
            </w:r>
            <w:r w:rsidR="0045331A">
              <w:t>.0</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0.8</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p-value</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35.8</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42.8</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34.6</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43.2</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21.6</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33.4</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2012</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-1.9</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-7.7</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-2.3</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-7.4</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-2</w:t>
            </w:r>
            <w:r w:rsidR="0045331A">
              <w:t>.0</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-7.2</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p-value</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59.8</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54.8</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54</w:t>
            </w:r>
            <w:r w:rsidR="0045331A">
              <w:t>.0</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Vic</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-7</w:t>
            </w:r>
            <w:r w:rsidR="0045331A">
              <w:t>.0</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3.3</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-6.7</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3.4</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-6.5</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3.2</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r w:rsidRPr="00326E54">
              <w:t>p-value</w:t>
            </w:r>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0.2</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0.2</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rPr>
                <w:b/>
                <w:bCs/>
              </w:rPr>
            </w:pPr>
            <w:proofErr w:type="spellStart"/>
            <w:r w:rsidRPr="00326E54">
              <w:rPr>
                <w:b/>
                <w:bCs/>
              </w:rPr>
              <w:t>VicxPost</w:t>
            </w:r>
            <w:proofErr w:type="spellEnd"/>
          </w:p>
        </w:tc>
        <w:tc>
          <w:tcPr>
            <w:tcW w:w="735" w:type="pct"/>
            <w:tcBorders>
              <w:top w:val="nil"/>
              <w:left w:val="nil"/>
              <w:bottom w:val="nil"/>
              <w:right w:val="nil"/>
            </w:tcBorders>
            <w:shd w:val="clear" w:color="auto" w:fill="auto"/>
            <w:noWrap/>
            <w:vAlign w:val="bottom"/>
            <w:hideMark/>
          </w:tcPr>
          <w:p w:rsidR="00CE7831" w:rsidRPr="00326E54" w:rsidRDefault="00CE7831" w:rsidP="00C57AE6">
            <w:pPr>
              <w:pStyle w:val="Tabletext"/>
              <w:tabs>
                <w:tab w:val="decimal" w:pos="504"/>
              </w:tabs>
            </w:pPr>
            <w:r>
              <w:t>4</w:t>
            </w:r>
            <w:r w:rsidR="0045331A">
              <w:t>.0</w:t>
            </w:r>
          </w:p>
        </w:tc>
        <w:tc>
          <w:tcPr>
            <w:tcW w:w="643"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2.4</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3.9</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2.5</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4.1</w:t>
            </w:r>
          </w:p>
        </w:tc>
        <w:tc>
          <w:tcPr>
            <w:tcW w:w="665" w:type="pct"/>
            <w:tcBorders>
              <w:top w:val="nil"/>
              <w:left w:val="nil"/>
              <w:bottom w:val="nil"/>
              <w:right w:val="nil"/>
            </w:tcBorders>
            <w:shd w:val="clear" w:color="auto" w:fill="auto"/>
            <w:noWrap/>
            <w:vAlign w:val="bottom"/>
            <w:hideMark/>
          </w:tcPr>
          <w:p w:rsidR="00CE7831" w:rsidRPr="00326E54" w:rsidRDefault="00CE7831" w:rsidP="00D203EC">
            <w:pPr>
              <w:pStyle w:val="Tabletext"/>
              <w:tabs>
                <w:tab w:val="decimal" w:pos="504"/>
              </w:tabs>
            </w:pPr>
            <w:r>
              <w:t>2.5</w:t>
            </w:r>
          </w:p>
        </w:tc>
      </w:tr>
      <w:tr w:rsidR="00CE7831" w:rsidRPr="00326E54" w:rsidTr="00357286">
        <w:trPr>
          <w:trHeight w:val="300"/>
        </w:trPr>
        <w:tc>
          <w:tcPr>
            <w:tcW w:w="636" w:type="pct"/>
            <w:tcBorders>
              <w:top w:val="nil"/>
              <w:left w:val="nil"/>
              <w:right w:val="nil"/>
            </w:tcBorders>
            <w:shd w:val="clear" w:color="auto" w:fill="auto"/>
            <w:noWrap/>
            <w:vAlign w:val="bottom"/>
            <w:hideMark/>
          </w:tcPr>
          <w:p w:rsidR="00CE7831" w:rsidRPr="00326E54" w:rsidRDefault="00CE7831" w:rsidP="00357286">
            <w:pPr>
              <w:pStyle w:val="Tabletext"/>
            </w:pPr>
            <w:r w:rsidRPr="00326E54">
              <w:t>p-value</w:t>
            </w:r>
          </w:p>
        </w:tc>
        <w:tc>
          <w:tcPr>
            <w:tcW w:w="735" w:type="pct"/>
            <w:tcBorders>
              <w:top w:val="nil"/>
              <w:left w:val="nil"/>
              <w:right w:val="nil"/>
            </w:tcBorders>
            <w:shd w:val="clear" w:color="auto" w:fill="auto"/>
            <w:noWrap/>
            <w:vAlign w:val="bottom"/>
            <w:hideMark/>
          </w:tcPr>
          <w:p w:rsidR="00CE7831" w:rsidRPr="00326E54" w:rsidRDefault="00CE7831" w:rsidP="00C57AE6">
            <w:pPr>
              <w:pStyle w:val="Tabletext"/>
              <w:tabs>
                <w:tab w:val="decimal" w:pos="504"/>
              </w:tabs>
            </w:pPr>
            <w:r>
              <w:t>25.4</w:t>
            </w:r>
          </w:p>
        </w:tc>
        <w:tc>
          <w:tcPr>
            <w:tcW w:w="643" w:type="pct"/>
            <w:tcBorders>
              <w:top w:val="nil"/>
              <w:left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c>
          <w:tcPr>
            <w:tcW w:w="827" w:type="pct"/>
            <w:tcBorders>
              <w:top w:val="nil"/>
              <w:left w:val="nil"/>
              <w:right w:val="nil"/>
            </w:tcBorders>
            <w:shd w:val="clear" w:color="auto" w:fill="auto"/>
            <w:noWrap/>
            <w:vAlign w:val="bottom"/>
            <w:hideMark/>
          </w:tcPr>
          <w:p w:rsidR="00CE7831" w:rsidRPr="00326E54" w:rsidRDefault="00CE7831" w:rsidP="00D203EC">
            <w:pPr>
              <w:pStyle w:val="Tabletext"/>
              <w:tabs>
                <w:tab w:val="decimal" w:pos="504"/>
              </w:tabs>
            </w:pPr>
            <w:r>
              <w:t>24.8</w:t>
            </w:r>
          </w:p>
        </w:tc>
        <w:tc>
          <w:tcPr>
            <w:tcW w:w="667" w:type="pct"/>
            <w:tcBorders>
              <w:top w:val="nil"/>
              <w:left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c>
          <w:tcPr>
            <w:tcW w:w="827" w:type="pct"/>
            <w:tcBorders>
              <w:top w:val="nil"/>
              <w:left w:val="nil"/>
              <w:right w:val="nil"/>
            </w:tcBorders>
            <w:shd w:val="clear" w:color="auto" w:fill="auto"/>
            <w:noWrap/>
            <w:vAlign w:val="bottom"/>
            <w:hideMark/>
          </w:tcPr>
          <w:p w:rsidR="00CE7831" w:rsidRPr="00326E54" w:rsidRDefault="00CE7831" w:rsidP="00D203EC">
            <w:pPr>
              <w:pStyle w:val="Tabletext"/>
              <w:tabs>
                <w:tab w:val="decimal" w:pos="504"/>
              </w:tabs>
            </w:pPr>
            <w:r>
              <w:t>3.2</w:t>
            </w:r>
          </w:p>
        </w:tc>
        <w:tc>
          <w:tcPr>
            <w:tcW w:w="665" w:type="pct"/>
            <w:tcBorders>
              <w:top w:val="nil"/>
              <w:left w:val="nil"/>
              <w:right w:val="nil"/>
            </w:tcBorders>
            <w:shd w:val="clear" w:color="auto" w:fill="auto"/>
            <w:noWrap/>
            <w:vAlign w:val="bottom"/>
            <w:hideMark/>
          </w:tcPr>
          <w:p w:rsidR="00CE7831" w:rsidRPr="00326E54" w:rsidRDefault="00CE7831" w:rsidP="00D203EC">
            <w:pPr>
              <w:pStyle w:val="Tabletext"/>
              <w:tabs>
                <w:tab w:val="decimal" w:pos="504"/>
              </w:tabs>
            </w:pPr>
            <w:r>
              <w:t>0</w:t>
            </w:r>
            <w:r w:rsidR="0045331A">
              <w:t>.0</w:t>
            </w:r>
          </w:p>
        </w:tc>
      </w:tr>
      <w:tr w:rsidR="00CE7831" w:rsidRPr="00326E54" w:rsidTr="00357286">
        <w:trPr>
          <w:trHeight w:val="300"/>
        </w:trPr>
        <w:tc>
          <w:tcPr>
            <w:tcW w:w="636" w:type="pct"/>
            <w:tcBorders>
              <w:top w:val="nil"/>
              <w:left w:val="nil"/>
              <w:bottom w:val="nil"/>
              <w:right w:val="nil"/>
            </w:tcBorders>
            <w:shd w:val="clear" w:color="auto" w:fill="auto"/>
            <w:noWrap/>
            <w:vAlign w:val="bottom"/>
            <w:hideMark/>
          </w:tcPr>
          <w:p w:rsidR="00CE7831" w:rsidRPr="00326E54" w:rsidRDefault="00CE7831" w:rsidP="00357286">
            <w:pPr>
              <w:pStyle w:val="Tabletext"/>
            </w:pPr>
          </w:p>
        </w:tc>
        <w:tc>
          <w:tcPr>
            <w:tcW w:w="735" w:type="pct"/>
            <w:tcBorders>
              <w:top w:val="nil"/>
              <w:left w:val="nil"/>
              <w:bottom w:val="nil"/>
              <w:right w:val="nil"/>
            </w:tcBorders>
            <w:shd w:val="clear" w:color="auto" w:fill="auto"/>
            <w:noWrap/>
            <w:vAlign w:val="bottom"/>
            <w:hideMark/>
          </w:tcPr>
          <w:p w:rsidR="00CE7831" w:rsidRPr="00326E54" w:rsidRDefault="00CE7831" w:rsidP="00F213B9">
            <w:pPr>
              <w:pStyle w:val="Tabletext"/>
              <w:jc w:val="center"/>
            </w:pPr>
            <w:r w:rsidRPr="00326E54">
              <w:t>1</w:t>
            </w:r>
            <w:r w:rsidR="00357286">
              <w:t xml:space="preserve"> </w:t>
            </w:r>
            <w:r w:rsidRPr="00326E54">
              <w:t>380</w:t>
            </w:r>
            <w:r w:rsidR="00357286">
              <w:t xml:space="preserve"> </w:t>
            </w:r>
            <w:r w:rsidRPr="00326E54">
              <w:t>765</w:t>
            </w:r>
          </w:p>
        </w:tc>
        <w:tc>
          <w:tcPr>
            <w:tcW w:w="643" w:type="pct"/>
            <w:tcBorders>
              <w:top w:val="nil"/>
              <w:left w:val="nil"/>
              <w:bottom w:val="nil"/>
              <w:right w:val="nil"/>
            </w:tcBorders>
            <w:shd w:val="clear" w:color="auto" w:fill="auto"/>
            <w:noWrap/>
            <w:vAlign w:val="bottom"/>
            <w:hideMark/>
          </w:tcPr>
          <w:p w:rsidR="00CE7831" w:rsidRPr="00326E54" w:rsidRDefault="00CE7831" w:rsidP="00F213B9">
            <w:pPr>
              <w:pStyle w:val="Tabletext"/>
              <w:tabs>
                <w:tab w:val="decimal" w:pos="559"/>
              </w:tabs>
              <w:jc w:val="center"/>
            </w:pPr>
            <w:r w:rsidRPr="00326E54">
              <w:t>2</w:t>
            </w:r>
            <w:r w:rsidR="00357286">
              <w:t xml:space="preserve"> </w:t>
            </w:r>
            <w:r w:rsidRPr="00326E54">
              <w:t>174</w:t>
            </w:r>
            <w:r w:rsidR="00357286">
              <w:t xml:space="preserve"> </w:t>
            </w:r>
            <w:r w:rsidRPr="00326E54">
              <w:t>137</w:t>
            </w:r>
          </w:p>
        </w:tc>
        <w:tc>
          <w:tcPr>
            <w:tcW w:w="827" w:type="pct"/>
            <w:tcBorders>
              <w:top w:val="nil"/>
              <w:left w:val="nil"/>
              <w:bottom w:val="nil"/>
              <w:right w:val="nil"/>
            </w:tcBorders>
            <w:shd w:val="clear" w:color="auto" w:fill="auto"/>
            <w:noWrap/>
            <w:vAlign w:val="bottom"/>
            <w:hideMark/>
          </w:tcPr>
          <w:p w:rsidR="00CE7831" w:rsidRPr="00326E54" w:rsidRDefault="00CE7831" w:rsidP="00F213B9">
            <w:pPr>
              <w:pStyle w:val="Tabletext"/>
              <w:ind w:right="106"/>
              <w:jc w:val="center"/>
            </w:pPr>
            <w:r w:rsidRPr="00326E54">
              <w:t>1</w:t>
            </w:r>
            <w:r w:rsidR="00357286">
              <w:t xml:space="preserve"> </w:t>
            </w:r>
            <w:r w:rsidRPr="00326E54">
              <w:t>374</w:t>
            </w:r>
            <w:r w:rsidR="00357286">
              <w:t xml:space="preserve"> </w:t>
            </w:r>
            <w:r w:rsidRPr="00326E54">
              <w:t>359</w:t>
            </w:r>
          </w:p>
        </w:tc>
        <w:tc>
          <w:tcPr>
            <w:tcW w:w="667" w:type="pct"/>
            <w:tcBorders>
              <w:top w:val="nil"/>
              <w:left w:val="nil"/>
              <w:bottom w:val="nil"/>
              <w:right w:val="nil"/>
            </w:tcBorders>
            <w:shd w:val="clear" w:color="auto" w:fill="auto"/>
            <w:noWrap/>
            <w:vAlign w:val="bottom"/>
            <w:hideMark/>
          </w:tcPr>
          <w:p w:rsidR="00CE7831" w:rsidRPr="00326E54" w:rsidRDefault="00CE7831" w:rsidP="00D203EC">
            <w:pPr>
              <w:pStyle w:val="Tabletext"/>
              <w:jc w:val="center"/>
            </w:pPr>
            <w:r w:rsidRPr="00326E54">
              <w:t>2</w:t>
            </w:r>
            <w:r w:rsidR="00357286">
              <w:t xml:space="preserve"> </w:t>
            </w:r>
            <w:r w:rsidRPr="00326E54">
              <w:t>164</w:t>
            </w:r>
            <w:r w:rsidR="00357286">
              <w:t xml:space="preserve"> </w:t>
            </w:r>
            <w:r w:rsidRPr="00326E54">
              <w:t>226</w:t>
            </w:r>
          </w:p>
        </w:tc>
        <w:tc>
          <w:tcPr>
            <w:tcW w:w="827" w:type="pct"/>
            <w:tcBorders>
              <w:top w:val="nil"/>
              <w:left w:val="nil"/>
              <w:bottom w:val="nil"/>
              <w:right w:val="nil"/>
            </w:tcBorders>
            <w:shd w:val="clear" w:color="auto" w:fill="auto"/>
            <w:noWrap/>
            <w:vAlign w:val="bottom"/>
            <w:hideMark/>
          </w:tcPr>
          <w:p w:rsidR="00CE7831" w:rsidRPr="00326E54" w:rsidRDefault="00CE7831" w:rsidP="00D203EC">
            <w:pPr>
              <w:pStyle w:val="Tabletext"/>
              <w:jc w:val="center"/>
            </w:pPr>
            <w:r w:rsidRPr="00326E54">
              <w:t>1</w:t>
            </w:r>
            <w:r w:rsidR="00357286">
              <w:t xml:space="preserve"> </w:t>
            </w:r>
            <w:r w:rsidRPr="00326E54">
              <w:t>373</w:t>
            </w:r>
            <w:r w:rsidR="00357286">
              <w:t xml:space="preserve"> </w:t>
            </w:r>
            <w:r w:rsidRPr="00326E54">
              <w:t>442</w:t>
            </w:r>
          </w:p>
        </w:tc>
        <w:tc>
          <w:tcPr>
            <w:tcW w:w="665" w:type="pct"/>
            <w:tcBorders>
              <w:top w:val="nil"/>
              <w:left w:val="nil"/>
              <w:bottom w:val="nil"/>
              <w:right w:val="nil"/>
            </w:tcBorders>
            <w:shd w:val="clear" w:color="auto" w:fill="auto"/>
            <w:noWrap/>
            <w:vAlign w:val="bottom"/>
            <w:hideMark/>
          </w:tcPr>
          <w:p w:rsidR="00CE7831" w:rsidRPr="00326E54" w:rsidRDefault="00CE7831" w:rsidP="00F213B9">
            <w:pPr>
              <w:pStyle w:val="Tabletext"/>
              <w:ind w:right="-137"/>
              <w:jc w:val="center"/>
            </w:pPr>
            <w:r w:rsidRPr="00326E54">
              <w:t>2</w:t>
            </w:r>
            <w:r w:rsidR="00357286">
              <w:t xml:space="preserve"> </w:t>
            </w:r>
            <w:r w:rsidRPr="00326E54">
              <w:t>162</w:t>
            </w:r>
            <w:r w:rsidR="00357286">
              <w:t xml:space="preserve"> </w:t>
            </w:r>
            <w:r w:rsidRPr="00326E54">
              <w:t>518</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p>
        </w:tc>
        <w:tc>
          <w:tcPr>
            <w:tcW w:w="735" w:type="pct"/>
            <w:tcBorders>
              <w:top w:val="nil"/>
              <w:left w:val="nil"/>
              <w:bottom w:val="nil"/>
              <w:right w:val="nil"/>
            </w:tcBorders>
            <w:shd w:val="clear" w:color="auto" w:fill="auto"/>
            <w:noWrap/>
            <w:vAlign w:val="bottom"/>
          </w:tcPr>
          <w:p w:rsidR="00CE7831" w:rsidRPr="004F42CF" w:rsidRDefault="00CE7831" w:rsidP="00357286">
            <w:pPr>
              <w:pStyle w:val="Tabletext"/>
            </w:pPr>
          </w:p>
        </w:tc>
        <w:tc>
          <w:tcPr>
            <w:tcW w:w="643" w:type="pct"/>
            <w:tcBorders>
              <w:top w:val="nil"/>
              <w:left w:val="nil"/>
              <w:bottom w:val="nil"/>
              <w:right w:val="nil"/>
            </w:tcBorders>
            <w:shd w:val="clear" w:color="auto" w:fill="auto"/>
            <w:noWrap/>
            <w:vAlign w:val="bottom"/>
          </w:tcPr>
          <w:p w:rsidR="00CE7831" w:rsidRPr="004F42CF" w:rsidRDefault="00CE7831" w:rsidP="00357286">
            <w:pPr>
              <w:pStyle w:val="Tabletext"/>
            </w:pPr>
          </w:p>
        </w:tc>
        <w:tc>
          <w:tcPr>
            <w:tcW w:w="827" w:type="pct"/>
            <w:tcBorders>
              <w:top w:val="nil"/>
              <w:left w:val="nil"/>
              <w:bottom w:val="nil"/>
              <w:right w:val="nil"/>
            </w:tcBorders>
            <w:shd w:val="clear" w:color="auto" w:fill="auto"/>
            <w:noWrap/>
            <w:vAlign w:val="bottom"/>
          </w:tcPr>
          <w:p w:rsidR="00CE7831" w:rsidRPr="004F42CF" w:rsidRDefault="00CE7831" w:rsidP="00357286">
            <w:pPr>
              <w:pStyle w:val="Tabletext"/>
            </w:pPr>
          </w:p>
        </w:tc>
        <w:tc>
          <w:tcPr>
            <w:tcW w:w="667" w:type="pct"/>
            <w:tcBorders>
              <w:top w:val="nil"/>
              <w:left w:val="nil"/>
              <w:bottom w:val="nil"/>
              <w:right w:val="nil"/>
            </w:tcBorders>
            <w:shd w:val="clear" w:color="auto" w:fill="auto"/>
            <w:noWrap/>
            <w:vAlign w:val="bottom"/>
          </w:tcPr>
          <w:p w:rsidR="00CE7831" w:rsidRPr="004F42CF" w:rsidRDefault="00CE7831" w:rsidP="00357286">
            <w:pPr>
              <w:pStyle w:val="Tabletext"/>
            </w:pPr>
          </w:p>
        </w:tc>
        <w:tc>
          <w:tcPr>
            <w:tcW w:w="827" w:type="pct"/>
            <w:tcBorders>
              <w:top w:val="nil"/>
              <w:left w:val="nil"/>
              <w:bottom w:val="nil"/>
              <w:right w:val="nil"/>
            </w:tcBorders>
            <w:shd w:val="clear" w:color="auto" w:fill="auto"/>
            <w:noWrap/>
            <w:vAlign w:val="bottom"/>
          </w:tcPr>
          <w:p w:rsidR="00CE7831" w:rsidRPr="004F42CF" w:rsidRDefault="00CE7831" w:rsidP="00357286">
            <w:pPr>
              <w:pStyle w:val="Tabletext"/>
            </w:pPr>
          </w:p>
        </w:tc>
        <w:tc>
          <w:tcPr>
            <w:tcW w:w="665" w:type="pct"/>
            <w:tcBorders>
              <w:top w:val="nil"/>
              <w:left w:val="nil"/>
              <w:bottom w:val="nil"/>
              <w:right w:val="nil"/>
            </w:tcBorders>
            <w:shd w:val="clear" w:color="auto" w:fill="auto"/>
            <w:noWrap/>
            <w:vAlign w:val="bottom"/>
          </w:tcPr>
          <w:p w:rsidR="00CE7831" w:rsidRPr="004F42CF" w:rsidRDefault="00CE7831" w:rsidP="00357286">
            <w:pPr>
              <w:pStyle w:val="Tabletext"/>
            </w:pPr>
          </w:p>
        </w:tc>
      </w:tr>
      <w:tr w:rsidR="00CE7831" w:rsidRPr="00326E54" w:rsidTr="00357286">
        <w:trPr>
          <w:trHeight w:val="300"/>
        </w:trPr>
        <w:tc>
          <w:tcPr>
            <w:tcW w:w="5000" w:type="pct"/>
            <w:gridSpan w:val="7"/>
            <w:tcBorders>
              <w:top w:val="nil"/>
              <w:left w:val="nil"/>
              <w:bottom w:val="nil"/>
              <w:right w:val="nil"/>
            </w:tcBorders>
            <w:shd w:val="clear" w:color="auto" w:fill="auto"/>
            <w:noWrap/>
            <w:vAlign w:val="bottom"/>
          </w:tcPr>
          <w:p w:rsidR="00CE7831" w:rsidRPr="004F42CF" w:rsidRDefault="00CE7831" w:rsidP="00357286">
            <w:pPr>
              <w:pStyle w:val="Tabletext"/>
            </w:pPr>
            <w:r>
              <w:rPr>
                <w:i/>
              </w:rPr>
              <w:t>NSW used as an alternative counterfactual</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t>Time trend (ref:2008)</w:t>
            </w:r>
          </w:p>
        </w:tc>
        <w:tc>
          <w:tcPr>
            <w:tcW w:w="735" w:type="pct"/>
            <w:tcBorders>
              <w:top w:val="nil"/>
              <w:left w:val="nil"/>
              <w:bottom w:val="nil"/>
              <w:right w:val="nil"/>
            </w:tcBorders>
            <w:shd w:val="clear" w:color="auto" w:fill="auto"/>
            <w:noWrap/>
            <w:vAlign w:val="bottom"/>
          </w:tcPr>
          <w:p w:rsidR="00CE7831" w:rsidRDefault="00CE7831" w:rsidP="00357286">
            <w:pPr>
              <w:pStyle w:val="Tabletext"/>
            </w:pPr>
          </w:p>
        </w:tc>
        <w:tc>
          <w:tcPr>
            <w:tcW w:w="643" w:type="pct"/>
            <w:tcBorders>
              <w:top w:val="nil"/>
              <w:left w:val="nil"/>
              <w:bottom w:val="nil"/>
              <w:right w:val="nil"/>
            </w:tcBorders>
            <w:shd w:val="clear" w:color="auto" w:fill="auto"/>
            <w:noWrap/>
            <w:vAlign w:val="bottom"/>
          </w:tcPr>
          <w:p w:rsidR="00CE7831" w:rsidRDefault="00CE7831" w:rsidP="00357286">
            <w:pPr>
              <w:pStyle w:val="Tabletext"/>
            </w:pPr>
          </w:p>
        </w:tc>
        <w:tc>
          <w:tcPr>
            <w:tcW w:w="827" w:type="pct"/>
            <w:tcBorders>
              <w:top w:val="nil"/>
              <w:left w:val="nil"/>
              <w:bottom w:val="nil"/>
              <w:right w:val="nil"/>
            </w:tcBorders>
            <w:shd w:val="clear" w:color="auto" w:fill="auto"/>
            <w:noWrap/>
            <w:vAlign w:val="bottom"/>
          </w:tcPr>
          <w:p w:rsidR="00CE7831" w:rsidRDefault="00CE7831" w:rsidP="00357286">
            <w:pPr>
              <w:pStyle w:val="Tabletext"/>
            </w:pPr>
          </w:p>
        </w:tc>
        <w:tc>
          <w:tcPr>
            <w:tcW w:w="667" w:type="pct"/>
            <w:tcBorders>
              <w:top w:val="nil"/>
              <w:left w:val="nil"/>
              <w:bottom w:val="nil"/>
              <w:right w:val="nil"/>
            </w:tcBorders>
            <w:shd w:val="clear" w:color="auto" w:fill="auto"/>
            <w:noWrap/>
            <w:vAlign w:val="bottom"/>
          </w:tcPr>
          <w:p w:rsidR="00CE7831" w:rsidRDefault="00CE7831" w:rsidP="00357286">
            <w:pPr>
              <w:pStyle w:val="Tabletext"/>
            </w:pPr>
          </w:p>
        </w:tc>
        <w:tc>
          <w:tcPr>
            <w:tcW w:w="827" w:type="pct"/>
            <w:tcBorders>
              <w:top w:val="nil"/>
              <w:left w:val="nil"/>
              <w:bottom w:val="nil"/>
              <w:right w:val="nil"/>
            </w:tcBorders>
            <w:shd w:val="clear" w:color="auto" w:fill="auto"/>
            <w:noWrap/>
            <w:vAlign w:val="bottom"/>
          </w:tcPr>
          <w:p w:rsidR="00CE7831" w:rsidRDefault="00CE7831" w:rsidP="00357286">
            <w:pPr>
              <w:pStyle w:val="Tabletext"/>
            </w:pPr>
          </w:p>
        </w:tc>
        <w:tc>
          <w:tcPr>
            <w:tcW w:w="665" w:type="pct"/>
            <w:tcBorders>
              <w:top w:val="nil"/>
              <w:left w:val="nil"/>
              <w:bottom w:val="nil"/>
              <w:right w:val="nil"/>
            </w:tcBorders>
            <w:shd w:val="clear" w:color="auto" w:fill="auto"/>
            <w:noWrap/>
            <w:vAlign w:val="bottom"/>
          </w:tcPr>
          <w:p w:rsidR="00CE7831" w:rsidRDefault="00CE7831" w:rsidP="00357286">
            <w:pPr>
              <w:pStyle w:val="Tabletext"/>
            </w:pP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2006</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-4.5</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6.3</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-4.6</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6.4</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-4.6</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6.4</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p-value</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19.3</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5.6</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21.1</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7.5</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22.4</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7.3</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2007</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-3.8</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-8.1</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-3.7</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-8.2</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-3.8</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-8.2</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p-value</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21.8</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11.6</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21.1</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11.1</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19.9</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11.3</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2011</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-1.3</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0.6</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-1.4</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0.9</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-1.7</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0.9</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p-value</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33.7</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65.9</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27</w:t>
            </w:r>
            <w:r w:rsidR="00A31D66">
              <w:t>.0</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52.4</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38</w:t>
            </w:r>
            <w:r w:rsidR="00A31D66">
              <w:t>.0</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50.2</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2012</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0.6</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-7.6</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0.1</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-7</w:t>
            </w:r>
            <w:r w:rsidR="00A31D66">
              <w:t>.0</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-0.3</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-7</w:t>
            </w:r>
            <w:r w:rsidR="00A31D66">
              <w:t>.0</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p-value</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42.8</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2.1</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83.3</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0.4</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32.6</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1.1</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Vic</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-8.3</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3.8</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-7.5</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3.9</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-8.3</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3.9</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pPr>
            <w:r w:rsidRPr="004F42CF">
              <w:t>p-value</w:t>
            </w:r>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3.1</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3.5</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6.9</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2.4</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8.9</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3.1</w:t>
            </w:r>
          </w:p>
        </w:tc>
      </w:tr>
      <w:tr w:rsidR="00CE7831" w:rsidRPr="00326E54" w:rsidTr="00357286">
        <w:trPr>
          <w:trHeight w:val="300"/>
        </w:trPr>
        <w:tc>
          <w:tcPr>
            <w:tcW w:w="636" w:type="pct"/>
            <w:tcBorders>
              <w:top w:val="nil"/>
              <w:left w:val="nil"/>
              <w:bottom w:val="nil"/>
              <w:right w:val="nil"/>
            </w:tcBorders>
            <w:shd w:val="clear" w:color="auto" w:fill="auto"/>
            <w:noWrap/>
            <w:vAlign w:val="bottom"/>
          </w:tcPr>
          <w:p w:rsidR="00CE7831" w:rsidRPr="004F42CF" w:rsidRDefault="00CE7831" w:rsidP="00357286">
            <w:pPr>
              <w:pStyle w:val="Tabletext"/>
              <w:rPr>
                <w:b/>
                <w:bCs/>
              </w:rPr>
            </w:pPr>
            <w:proofErr w:type="spellStart"/>
            <w:r w:rsidRPr="004F42CF">
              <w:rPr>
                <w:b/>
                <w:bCs/>
              </w:rPr>
              <w:t>VicxPost</w:t>
            </w:r>
            <w:proofErr w:type="spellEnd"/>
          </w:p>
        </w:tc>
        <w:tc>
          <w:tcPr>
            <w:tcW w:w="73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2.2</w:t>
            </w:r>
          </w:p>
        </w:tc>
        <w:tc>
          <w:tcPr>
            <w:tcW w:w="643"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2.2</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2.2</w:t>
            </w:r>
          </w:p>
        </w:tc>
        <w:tc>
          <w:tcPr>
            <w:tcW w:w="66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2.1</w:t>
            </w:r>
          </w:p>
        </w:tc>
        <w:tc>
          <w:tcPr>
            <w:tcW w:w="827"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3</w:t>
            </w:r>
            <w:r w:rsidR="00A31D66">
              <w:t>.0</w:t>
            </w:r>
          </w:p>
        </w:tc>
        <w:tc>
          <w:tcPr>
            <w:tcW w:w="665" w:type="pct"/>
            <w:tcBorders>
              <w:top w:val="nil"/>
              <w:left w:val="nil"/>
              <w:bottom w:val="nil"/>
              <w:right w:val="nil"/>
            </w:tcBorders>
            <w:shd w:val="clear" w:color="auto" w:fill="auto"/>
            <w:noWrap/>
            <w:vAlign w:val="bottom"/>
          </w:tcPr>
          <w:p w:rsidR="00CE7831" w:rsidRPr="004F42CF" w:rsidRDefault="00CE7831" w:rsidP="00D203EC">
            <w:pPr>
              <w:pStyle w:val="Tabletext"/>
              <w:tabs>
                <w:tab w:val="decimal" w:pos="513"/>
              </w:tabs>
            </w:pPr>
            <w:r>
              <w:t>2.3</w:t>
            </w:r>
          </w:p>
        </w:tc>
      </w:tr>
      <w:tr w:rsidR="00CE7831" w:rsidRPr="00326E54" w:rsidTr="00357286">
        <w:trPr>
          <w:trHeight w:val="300"/>
        </w:trPr>
        <w:tc>
          <w:tcPr>
            <w:tcW w:w="636" w:type="pct"/>
            <w:tcBorders>
              <w:top w:val="nil"/>
              <w:left w:val="nil"/>
              <w:right w:val="nil"/>
            </w:tcBorders>
            <w:shd w:val="clear" w:color="auto" w:fill="auto"/>
            <w:noWrap/>
            <w:vAlign w:val="bottom"/>
          </w:tcPr>
          <w:p w:rsidR="00CE7831" w:rsidRPr="004F42CF" w:rsidRDefault="00CE7831" w:rsidP="00357286">
            <w:pPr>
              <w:pStyle w:val="Tabletext"/>
            </w:pPr>
            <w:r w:rsidRPr="004F42CF">
              <w:t>p-value</w:t>
            </w:r>
          </w:p>
        </w:tc>
        <w:tc>
          <w:tcPr>
            <w:tcW w:w="735" w:type="pct"/>
            <w:tcBorders>
              <w:top w:val="nil"/>
              <w:left w:val="nil"/>
              <w:right w:val="nil"/>
            </w:tcBorders>
            <w:shd w:val="clear" w:color="auto" w:fill="auto"/>
            <w:noWrap/>
            <w:vAlign w:val="bottom"/>
          </w:tcPr>
          <w:p w:rsidR="00CE7831" w:rsidRPr="004F42CF" w:rsidRDefault="00CE7831" w:rsidP="00D203EC">
            <w:pPr>
              <w:pStyle w:val="Tabletext"/>
              <w:tabs>
                <w:tab w:val="decimal" w:pos="513"/>
              </w:tabs>
            </w:pPr>
            <w:r>
              <w:t>9.1</w:t>
            </w:r>
          </w:p>
        </w:tc>
        <w:tc>
          <w:tcPr>
            <w:tcW w:w="643" w:type="pct"/>
            <w:tcBorders>
              <w:top w:val="nil"/>
              <w:left w:val="nil"/>
              <w:right w:val="nil"/>
            </w:tcBorders>
            <w:shd w:val="clear" w:color="auto" w:fill="auto"/>
            <w:noWrap/>
            <w:vAlign w:val="bottom"/>
          </w:tcPr>
          <w:p w:rsidR="00CE7831" w:rsidRPr="004F42CF" w:rsidRDefault="00CE7831" w:rsidP="00D203EC">
            <w:pPr>
              <w:pStyle w:val="Tabletext"/>
              <w:tabs>
                <w:tab w:val="decimal" w:pos="513"/>
              </w:tabs>
            </w:pPr>
            <w:r>
              <w:t>4.2</w:t>
            </w:r>
          </w:p>
        </w:tc>
        <w:tc>
          <w:tcPr>
            <w:tcW w:w="827" w:type="pct"/>
            <w:tcBorders>
              <w:top w:val="nil"/>
              <w:left w:val="nil"/>
              <w:right w:val="nil"/>
            </w:tcBorders>
            <w:shd w:val="clear" w:color="auto" w:fill="auto"/>
            <w:noWrap/>
            <w:vAlign w:val="bottom"/>
          </w:tcPr>
          <w:p w:rsidR="00CE7831" w:rsidRPr="004F42CF" w:rsidRDefault="00CE7831" w:rsidP="00D203EC">
            <w:pPr>
              <w:pStyle w:val="Tabletext"/>
              <w:tabs>
                <w:tab w:val="decimal" w:pos="513"/>
              </w:tabs>
            </w:pPr>
            <w:r>
              <w:t>4.2</w:t>
            </w:r>
          </w:p>
        </w:tc>
        <w:tc>
          <w:tcPr>
            <w:tcW w:w="667" w:type="pct"/>
            <w:tcBorders>
              <w:top w:val="nil"/>
              <w:left w:val="nil"/>
              <w:right w:val="nil"/>
            </w:tcBorders>
            <w:shd w:val="clear" w:color="auto" w:fill="auto"/>
            <w:noWrap/>
            <w:vAlign w:val="bottom"/>
          </w:tcPr>
          <w:p w:rsidR="00CE7831" w:rsidRPr="004F42CF" w:rsidRDefault="00CE7831" w:rsidP="00D203EC">
            <w:pPr>
              <w:pStyle w:val="Tabletext"/>
              <w:tabs>
                <w:tab w:val="decimal" w:pos="513"/>
              </w:tabs>
            </w:pPr>
            <w:r>
              <w:t>9.7</w:t>
            </w:r>
          </w:p>
        </w:tc>
        <w:tc>
          <w:tcPr>
            <w:tcW w:w="827" w:type="pct"/>
            <w:tcBorders>
              <w:top w:val="nil"/>
              <w:left w:val="nil"/>
              <w:right w:val="nil"/>
            </w:tcBorders>
            <w:shd w:val="clear" w:color="auto" w:fill="auto"/>
            <w:noWrap/>
            <w:vAlign w:val="bottom"/>
          </w:tcPr>
          <w:p w:rsidR="00CE7831" w:rsidRPr="004F42CF" w:rsidRDefault="00CE7831" w:rsidP="00D203EC">
            <w:pPr>
              <w:pStyle w:val="Tabletext"/>
              <w:tabs>
                <w:tab w:val="decimal" w:pos="513"/>
              </w:tabs>
            </w:pPr>
            <w:r>
              <w:t>18.5</w:t>
            </w:r>
          </w:p>
        </w:tc>
        <w:tc>
          <w:tcPr>
            <w:tcW w:w="665" w:type="pct"/>
            <w:tcBorders>
              <w:top w:val="nil"/>
              <w:left w:val="nil"/>
              <w:right w:val="nil"/>
            </w:tcBorders>
            <w:shd w:val="clear" w:color="auto" w:fill="auto"/>
            <w:noWrap/>
            <w:vAlign w:val="bottom"/>
          </w:tcPr>
          <w:p w:rsidR="00CE7831" w:rsidRPr="004F42CF" w:rsidRDefault="00CE7831" w:rsidP="00D203EC">
            <w:pPr>
              <w:pStyle w:val="Tabletext"/>
              <w:tabs>
                <w:tab w:val="decimal" w:pos="513"/>
              </w:tabs>
            </w:pPr>
            <w:r>
              <w:t>8.2</w:t>
            </w:r>
          </w:p>
        </w:tc>
      </w:tr>
      <w:tr w:rsidR="00CE7831" w:rsidRPr="00326E54" w:rsidTr="00357286">
        <w:trPr>
          <w:trHeight w:val="300"/>
        </w:trPr>
        <w:tc>
          <w:tcPr>
            <w:tcW w:w="636" w:type="pct"/>
            <w:tcBorders>
              <w:top w:val="nil"/>
              <w:left w:val="nil"/>
              <w:bottom w:val="single" w:sz="4" w:space="0" w:color="auto"/>
              <w:right w:val="nil"/>
            </w:tcBorders>
            <w:shd w:val="clear" w:color="auto" w:fill="auto"/>
            <w:noWrap/>
            <w:vAlign w:val="bottom"/>
          </w:tcPr>
          <w:p w:rsidR="00CE7831" w:rsidRPr="004F42CF" w:rsidRDefault="00CE7831" w:rsidP="00357286">
            <w:pPr>
              <w:pStyle w:val="Tabletext"/>
              <w:rPr>
                <w:rFonts w:ascii="Calibri" w:hAnsi="Calibri"/>
                <w:color w:val="000000"/>
                <w:szCs w:val="22"/>
              </w:rPr>
            </w:pPr>
          </w:p>
        </w:tc>
        <w:tc>
          <w:tcPr>
            <w:tcW w:w="735" w:type="pct"/>
            <w:tcBorders>
              <w:top w:val="nil"/>
              <w:left w:val="nil"/>
              <w:bottom w:val="single" w:sz="4" w:space="0" w:color="auto"/>
              <w:right w:val="nil"/>
            </w:tcBorders>
            <w:shd w:val="clear" w:color="auto" w:fill="auto"/>
            <w:noWrap/>
            <w:vAlign w:val="bottom"/>
          </w:tcPr>
          <w:p w:rsidR="00CE7831" w:rsidRPr="004F42CF" w:rsidRDefault="00CE7831" w:rsidP="00D203EC">
            <w:pPr>
              <w:pStyle w:val="Tabletext"/>
              <w:jc w:val="center"/>
            </w:pPr>
            <w:r w:rsidRPr="004F42CF">
              <w:t>792</w:t>
            </w:r>
            <w:r w:rsidR="00357286">
              <w:t xml:space="preserve"> </w:t>
            </w:r>
            <w:r w:rsidRPr="004F42CF">
              <w:t>254</w:t>
            </w:r>
          </w:p>
        </w:tc>
        <w:tc>
          <w:tcPr>
            <w:tcW w:w="643" w:type="pct"/>
            <w:tcBorders>
              <w:top w:val="nil"/>
              <w:left w:val="nil"/>
              <w:bottom w:val="single" w:sz="4" w:space="0" w:color="auto"/>
              <w:right w:val="nil"/>
            </w:tcBorders>
            <w:shd w:val="clear" w:color="auto" w:fill="auto"/>
            <w:noWrap/>
            <w:vAlign w:val="bottom"/>
          </w:tcPr>
          <w:p w:rsidR="00CE7831" w:rsidRPr="004F42CF" w:rsidRDefault="007357BC" w:rsidP="007357BC">
            <w:pPr>
              <w:pStyle w:val="Tabletext"/>
            </w:pPr>
            <w:r>
              <w:t xml:space="preserve">   </w:t>
            </w:r>
            <w:r w:rsidR="00CE7831" w:rsidRPr="004F42CF">
              <w:t>1</w:t>
            </w:r>
            <w:r w:rsidR="00357286">
              <w:t xml:space="preserve"> </w:t>
            </w:r>
            <w:r w:rsidR="00CE7831" w:rsidRPr="004F42CF">
              <w:t>268</w:t>
            </w:r>
            <w:r w:rsidR="00357286">
              <w:t xml:space="preserve"> </w:t>
            </w:r>
            <w:r w:rsidR="00CE7831" w:rsidRPr="004F42CF">
              <w:t>200</w:t>
            </w:r>
          </w:p>
        </w:tc>
        <w:tc>
          <w:tcPr>
            <w:tcW w:w="827" w:type="pct"/>
            <w:tcBorders>
              <w:top w:val="nil"/>
              <w:left w:val="nil"/>
              <w:bottom w:val="single" w:sz="4" w:space="0" w:color="auto"/>
              <w:right w:val="nil"/>
            </w:tcBorders>
            <w:shd w:val="clear" w:color="auto" w:fill="auto"/>
            <w:noWrap/>
            <w:vAlign w:val="bottom"/>
          </w:tcPr>
          <w:p w:rsidR="00CE7831" w:rsidRPr="004F42CF" w:rsidRDefault="00CE7831" w:rsidP="00D203EC">
            <w:pPr>
              <w:pStyle w:val="Tabletext"/>
              <w:jc w:val="center"/>
            </w:pPr>
            <w:r w:rsidRPr="004F42CF">
              <w:t>787</w:t>
            </w:r>
            <w:r w:rsidR="00357286">
              <w:t xml:space="preserve"> </w:t>
            </w:r>
            <w:r w:rsidRPr="004F42CF">
              <w:t>534</w:t>
            </w:r>
          </w:p>
        </w:tc>
        <w:tc>
          <w:tcPr>
            <w:tcW w:w="667" w:type="pct"/>
            <w:tcBorders>
              <w:top w:val="nil"/>
              <w:left w:val="nil"/>
              <w:bottom w:val="single" w:sz="4" w:space="0" w:color="auto"/>
              <w:right w:val="nil"/>
            </w:tcBorders>
            <w:shd w:val="clear" w:color="auto" w:fill="auto"/>
            <w:noWrap/>
            <w:vAlign w:val="bottom"/>
          </w:tcPr>
          <w:p w:rsidR="00CE7831" w:rsidRPr="004F42CF" w:rsidRDefault="007357BC" w:rsidP="00D203EC">
            <w:pPr>
              <w:pStyle w:val="Tabletext"/>
              <w:jc w:val="center"/>
            </w:pPr>
            <w:r>
              <w:t xml:space="preserve">   </w:t>
            </w:r>
            <w:r w:rsidR="00CE7831" w:rsidRPr="004F42CF">
              <w:t>1</w:t>
            </w:r>
            <w:r w:rsidR="00357286">
              <w:t xml:space="preserve"> </w:t>
            </w:r>
            <w:r w:rsidR="00CE7831" w:rsidRPr="004F42CF">
              <w:t>261</w:t>
            </w:r>
            <w:r w:rsidR="00357286">
              <w:t xml:space="preserve"> </w:t>
            </w:r>
            <w:r w:rsidR="00CE7831" w:rsidRPr="004F42CF">
              <w:t>026</w:t>
            </w:r>
          </w:p>
        </w:tc>
        <w:tc>
          <w:tcPr>
            <w:tcW w:w="827" w:type="pct"/>
            <w:tcBorders>
              <w:top w:val="nil"/>
              <w:left w:val="nil"/>
              <w:bottom w:val="single" w:sz="4" w:space="0" w:color="auto"/>
              <w:right w:val="nil"/>
            </w:tcBorders>
            <w:shd w:val="clear" w:color="auto" w:fill="auto"/>
            <w:noWrap/>
            <w:vAlign w:val="bottom"/>
          </w:tcPr>
          <w:p w:rsidR="00CE7831" w:rsidRPr="004F42CF" w:rsidRDefault="007357BC" w:rsidP="007357BC">
            <w:pPr>
              <w:pStyle w:val="Tabletext"/>
            </w:pPr>
            <w:r>
              <w:t xml:space="preserve">     </w:t>
            </w:r>
            <w:r w:rsidR="00CE7831" w:rsidRPr="004F42CF">
              <w:t>786</w:t>
            </w:r>
            <w:r w:rsidR="00357286">
              <w:t xml:space="preserve"> </w:t>
            </w:r>
            <w:r w:rsidR="00CE7831" w:rsidRPr="004F42CF">
              <w:t>714</w:t>
            </w:r>
          </w:p>
        </w:tc>
        <w:tc>
          <w:tcPr>
            <w:tcW w:w="665" w:type="pct"/>
            <w:tcBorders>
              <w:top w:val="nil"/>
              <w:left w:val="nil"/>
              <w:bottom w:val="single" w:sz="4" w:space="0" w:color="auto"/>
              <w:right w:val="nil"/>
            </w:tcBorders>
            <w:shd w:val="clear" w:color="auto" w:fill="auto"/>
            <w:noWrap/>
            <w:vAlign w:val="bottom"/>
          </w:tcPr>
          <w:p w:rsidR="00CE7831" w:rsidRPr="004F42CF" w:rsidRDefault="00CE7831" w:rsidP="007357BC">
            <w:pPr>
              <w:pStyle w:val="Tabletext"/>
              <w:ind w:right="-137"/>
              <w:jc w:val="center"/>
            </w:pPr>
            <w:r w:rsidRPr="004F42CF">
              <w:t>1</w:t>
            </w:r>
            <w:r w:rsidR="00357286">
              <w:t xml:space="preserve"> </w:t>
            </w:r>
            <w:r w:rsidRPr="004F42CF">
              <w:t>259</w:t>
            </w:r>
            <w:r w:rsidR="00357286">
              <w:t xml:space="preserve"> </w:t>
            </w:r>
            <w:r w:rsidRPr="004F42CF">
              <w:t>673</w:t>
            </w:r>
          </w:p>
        </w:tc>
      </w:tr>
    </w:tbl>
    <w:p w:rsidR="00CE7831" w:rsidRPr="00535AAD" w:rsidRDefault="0079345A" w:rsidP="00D203EC">
      <w:pPr>
        <w:pStyle w:val="Source"/>
        <w:rPr>
          <w:rStyle w:val="FooterChar"/>
          <w:b w:val="0"/>
          <w:sz w:val="15"/>
          <w:szCs w:val="15"/>
        </w:rPr>
      </w:pPr>
      <w:r w:rsidRPr="00535AAD">
        <w:rPr>
          <w:rStyle w:val="FooterChar"/>
          <w:b w:val="0"/>
          <w:sz w:val="15"/>
          <w:szCs w:val="15"/>
        </w:rPr>
        <w:t xml:space="preserve">Note: </w:t>
      </w:r>
      <w:r w:rsidR="00D203EC" w:rsidRPr="00535AAD">
        <w:rPr>
          <w:rStyle w:val="FooterChar"/>
          <w:b w:val="0"/>
          <w:sz w:val="15"/>
          <w:szCs w:val="15"/>
        </w:rPr>
        <w:tab/>
      </w:r>
      <w:r w:rsidR="00CE7831" w:rsidRPr="00535AAD">
        <w:rPr>
          <w:rStyle w:val="FooterChar"/>
          <w:b w:val="0"/>
          <w:sz w:val="15"/>
          <w:szCs w:val="15"/>
        </w:rPr>
        <w:t xml:space="preserve">All models are estimated with month of enrolment dummies, whether or not the state of residence is different </w:t>
      </w:r>
      <w:r w:rsidRPr="00535AAD">
        <w:rPr>
          <w:rStyle w:val="FooterChar"/>
          <w:b w:val="0"/>
          <w:sz w:val="15"/>
          <w:szCs w:val="15"/>
        </w:rPr>
        <w:t>from</w:t>
      </w:r>
      <w:r w:rsidR="00CE7831" w:rsidRPr="00535AAD">
        <w:rPr>
          <w:rStyle w:val="FooterChar"/>
          <w:b w:val="0"/>
          <w:sz w:val="15"/>
          <w:szCs w:val="15"/>
        </w:rPr>
        <w:t xml:space="preserve"> the state of study and SLA unemployment rates. P-values are generated using wild cluster bootstrapped p-values, as suggested by Cameron and Miller (2015). A p-value less than 0.1 </w:t>
      </w:r>
      <w:proofErr w:type="gramStart"/>
      <w:r w:rsidR="00CE7831" w:rsidRPr="00535AAD">
        <w:rPr>
          <w:rStyle w:val="FooterChar"/>
          <w:b w:val="0"/>
          <w:sz w:val="15"/>
          <w:szCs w:val="15"/>
        </w:rPr>
        <w:t>is</w:t>
      </w:r>
      <w:proofErr w:type="gramEnd"/>
      <w:r w:rsidR="00CE7831" w:rsidRPr="00535AAD">
        <w:rPr>
          <w:rStyle w:val="FooterChar"/>
          <w:b w:val="0"/>
          <w:sz w:val="15"/>
          <w:szCs w:val="15"/>
        </w:rPr>
        <w:t xml:space="preserve"> statistically significant at the 90% level, 0.05 is significant at the 95% level and 0.01 is significant at the 99% level. </w:t>
      </w:r>
    </w:p>
    <w:p w:rsidR="00CE7831" w:rsidRDefault="007C2328" w:rsidP="00CE7831">
      <w:pPr>
        <w:pStyle w:val="Heading1"/>
      </w:pPr>
      <w:bookmarkStart w:id="94" w:name="_Toc472517014"/>
      <w:r>
        <w:rPr>
          <w:noProof/>
          <w:lang w:eastAsia="en-AU"/>
        </w:rPr>
        <w:lastRenderedPageBreak/>
        <w:drawing>
          <wp:anchor distT="0" distB="0" distL="114300" distR="114300" simplePos="0" relativeHeight="251672576" behindDoc="1" locked="0" layoutInCell="1" allowOverlap="1" wp14:anchorId="7C71655E" wp14:editId="254AB67E">
            <wp:simplePos x="0" y="0"/>
            <wp:positionH relativeFrom="margin">
              <wp:posOffset>-41275</wp:posOffset>
            </wp:positionH>
            <wp:positionV relativeFrom="margin">
              <wp:posOffset>-3810</wp:posOffset>
            </wp:positionV>
            <wp:extent cx="417830" cy="417830"/>
            <wp:effectExtent l="0" t="0" r="1270" b="1270"/>
            <wp:wrapTight wrapText="bothSides">
              <wp:wrapPolygon edited="0">
                <wp:start x="4924" y="0"/>
                <wp:lineTo x="0" y="4924"/>
                <wp:lineTo x="0" y="16742"/>
                <wp:lineTo x="4924" y="20681"/>
                <wp:lineTo x="5909" y="20681"/>
                <wp:lineTo x="14772" y="20681"/>
                <wp:lineTo x="15757" y="20681"/>
                <wp:lineTo x="20681" y="16742"/>
                <wp:lineTo x="20681" y="4924"/>
                <wp:lineTo x="15757" y="0"/>
                <wp:lineTo x="4924"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ttachment icon purpl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pic:spPr>
                </pic:pic>
              </a:graphicData>
            </a:graphic>
            <wp14:sizeRelH relativeFrom="page">
              <wp14:pctWidth>0</wp14:pctWidth>
            </wp14:sizeRelH>
            <wp14:sizeRelV relativeFrom="page">
              <wp14:pctHeight>0</wp14:pctHeight>
            </wp14:sizeRelV>
          </wp:anchor>
        </w:drawing>
      </w:r>
      <w:bookmarkStart w:id="95" w:name="_Toc438209990"/>
      <w:r w:rsidR="00CE7831" w:rsidRPr="00D03773">
        <w:t xml:space="preserve">Appendix </w:t>
      </w:r>
      <w:r w:rsidR="00992398">
        <w:t>D</w:t>
      </w:r>
      <w:r w:rsidR="00CE7831" w:rsidRPr="00D03773">
        <w:t>: Course choice supplementary statistics</w:t>
      </w:r>
      <w:bookmarkEnd w:id="95"/>
      <w:bookmarkEnd w:id="94"/>
    </w:p>
    <w:p w:rsidR="00CE7831" w:rsidRPr="002529EC" w:rsidDel="006738CC" w:rsidRDefault="00CE7831" w:rsidP="00D203EC">
      <w:pPr>
        <w:pStyle w:val="tabletitle0"/>
        <w:tabs>
          <w:tab w:val="clear" w:pos="992"/>
          <w:tab w:val="left" w:pos="851"/>
        </w:tabs>
        <w:ind w:right="-426"/>
        <w:rPr>
          <w:rFonts w:eastAsia="Calibri"/>
        </w:rPr>
      </w:pPr>
      <w:bookmarkStart w:id="96" w:name="_Toc438210026"/>
      <w:bookmarkStart w:id="97" w:name="_Toc468881924"/>
      <w:r w:rsidRPr="002529EC" w:rsidDel="006738CC">
        <w:rPr>
          <w:rFonts w:eastAsia="Calibri"/>
        </w:rPr>
        <w:t xml:space="preserve">Table </w:t>
      </w:r>
      <w:r w:rsidR="00992398">
        <w:rPr>
          <w:rFonts w:eastAsia="Calibri"/>
        </w:rPr>
        <w:t>D</w:t>
      </w:r>
      <w:r w:rsidR="001C205A">
        <w:rPr>
          <w:rFonts w:eastAsia="Calibri"/>
        </w:rPr>
        <w:t>1</w:t>
      </w:r>
      <w:r w:rsidR="008135FA">
        <w:rPr>
          <w:rFonts w:eastAsia="Calibri"/>
        </w:rPr>
        <w:tab/>
      </w:r>
      <w:r w:rsidRPr="002529EC" w:rsidDel="006738CC">
        <w:rPr>
          <w:rFonts w:eastAsia="Calibri"/>
        </w:rPr>
        <w:t>Unconditional difference-in-difference effects for course choice indicators</w:t>
      </w:r>
      <w:r w:rsidR="0079345A">
        <w:rPr>
          <w:rFonts w:eastAsia="Calibri"/>
        </w:rPr>
        <w:t>, 2008 to 2011–</w:t>
      </w:r>
      <w:r w:rsidR="00747916">
        <w:rPr>
          <w:rFonts w:eastAsia="Calibri"/>
        </w:rPr>
        <w:t>12</w:t>
      </w:r>
      <w:bookmarkEnd w:id="96"/>
      <w:bookmarkEnd w:id="97"/>
      <w:r w:rsidR="00DD1CAB" w:rsidRPr="00DD1CAB">
        <w:rPr>
          <w:rFonts w:eastAsia="Calibri"/>
          <w:vertAlign w:val="superscript"/>
        </w:rPr>
        <w:t>1</w:t>
      </w:r>
      <w:r>
        <w:rPr>
          <w:rFonts w:eastAsia="Calibri"/>
        </w:rPr>
        <w:t xml:space="preserve"> </w:t>
      </w:r>
    </w:p>
    <w:tbl>
      <w:tblPr>
        <w:tblW w:w="5195" w:type="pct"/>
        <w:tblLayout w:type="fixed"/>
        <w:tblLook w:val="0000" w:firstRow="0" w:lastRow="0" w:firstColumn="0" w:lastColumn="0" w:noHBand="0" w:noVBand="0"/>
      </w:tblPr>
      <w:tblGrid>
        <w:gridCol w:w="242"/>
        <w:gridCol w:w="2635"/>
        <w:gridCol w:w="1006"/>
        <w:gridCol w:w="1191"/>
        <w:gridCol w:w="1130"/>
        <w:gridCol w:w="996"/>
        <w:gridCol w:w="1272"/>
      </w:tblGrid>
      <w:tr w:rsidR="00D203EC" w:rsidDel="006738CC" w:rsidTr="00683C03">
        <w:trPr>
          <w:trHeight w:val="593"/>
        </w:trPr>
        <w:tc>
          <w:tcPr>
            <w:tcW w:w="1697" w:type="pct"/>
            <w:gridSpan w:val="2"/>
            <w:tcBorders>
              <w:top w:val="single" w:sz="6" w:space="0" w:color="auto"/>
              <w:left w:val="nil"/>
              <w:bottom w:val="single" w:sz="4" w:space="0" w:color="auto"/>
              <w:right w:val="nil"/>
            </w:tcBorders>
          </w:tcPr>
          <w:p w:rsidR="00CE7831" w:rsidDel="006738CC" w:rsidRDefault="00CE7831" w:rsidP="003A6A63">
            <w:pPr>
              <w:pStyle w:val="Tablehead1"/>
              <w:rPr>
                <w:lang w:val="en-GB"/>
              </w:rPr>
            </w:pPr>
            <w:r w:rsidDel="006738CC">
              <w:rPr>
                <w:lang w:val="en-GB"/>
              </w:rPr>
              <w:t>Course identifier</w:t>
            </w:r>
          </w:p>
        </w:tc>
        <w:tc>
          <w:tcPr>
            <w:tcW w:w="594" w:type="pct"/>
            <w:tcBorders>
              <w:top w:val="single" w:sz="6" w:space="0" w:color="auto"/>
              <w:left w:val="nil"/>
              <w:bottom w:val="single" w:sz="4" w:space="0" w:color="auto"/>
              <w:right w:val="nil"/>
            </w:tcBorders>
          </w:tcPr>
          <w:p w:rsidR="00CE7831" w:rsidDel="006738CC" w:rsidRDefault="00CE7831" w:rsidP="00683C03">
            <w:pPr>
              <w:pStyle w:val="Tablehead1"/>
              <w:jc w:val="center"/>
              <w:rPr>
                <w:lang w:val="en-GB"/>
              </w:rPr>
            </w:pPr>
            <w:r w:rsidDel="006738CC">
              <w:rPr>
                <w:lang w:val="en-GB"/>
              </w:rPr>
              <w:t>All</w:t>
            </w:r>
          </w:p>
        </w:tc>
        <w:tc>
          <w:tcPr>
            <w:tcW w:w="703" w:type="pct"/>
            <w:tcBorders>
              <w:top w:val="single" w:sz="6" w:space="0" w:color="auto"/>
              <w:left w:val="nil"/>
              <w:bottom w:val="single" w:sz="4" w:space="0" w:color="auto"/>
              <w:right w:val="nil"/>
            </w:tcBorders>
          </w:tcPr>
          <w:p w:rsidR="00CE7831" w:rsidDel="006738CC" w:rsidRDefault="003C6BFC" w:rsidP="00FB2D25">
            <w:pPr>
              <w:pStyle w:val="Tablehead1"/>
              <w:jc w:val="center"/>
              <w:rPr>
                <w:lang w:val="en-GB"/>
              </w:rPr>
            </w:pPr>
            <w:r>
              <w:rPr>
                <w:lang w:val="en-GB"/>
              </w:rPr>
              <w:t xml:space="preserve">Aged </w:t>
            </w:r>
            <w:r w:rsidR="00FB2D25">
              <w:rPr>
                <w:lang w:val="en-GB"/>
              </w:rPr>
              <w:t>2</w:t>
            </w:r>
            <w:r>
              <w:rPr>
                <w:lang w:val="en-GB"/>
              </w:rPr>
              <w:t>5–</w:t>
            </w:r>
            <w:r w:rsidR="00CE7831" w:rsidDel="006738CC">
              <w:rPr>
                <w:lang w:val="en-GB"/>
              </w:rPr>
              <w:t>54</w:t>
            </w:r>
          </w:p>
        </w:tc>
        <w:tc>
          <w:tcPr>
            <w:tcW w:w="667" w:type="pct"/>
            <w:tcBorders>
              <w:top w:val="single" w:sz="6" w:space="0" w:color="auto"/>
              <w:left w:val="nil"/>
              <w:bottom w:val="single" w:sz="4" w:space="0" w:color="auto"/>
              <w:right w:val="nil"/>
            </w:tcBorders>
          </w:tcPr>
          <w:p w:rsidR="00CE7831" w:rsidDel="006738CC" w:rsidRDefault="00CE7831" w:rsidP="00D203EC">
            <w:pPr>
              <w:pStyle w:val="Tablehead1"/>
              <w:jc w:val="center"/>
              <w:rPr>
                <w:lang w:val="en-GB"/>
              </w:rPr>
            </w:pPr>
            <w:r w:rsidDel="006738CC">
              <w:rPr>
                <w:lang w:val="en-GB"/>
              </w:rPr>
              <w:t>Female</w:t>
            </w:r>
          </w:p>
        </w:tc>
        <w:tc>
          <w:tcPr>
            <w:tcW w:w="588" w:type="pct"/>
            <w:tcBorders>
              <w:top w:val="single" w:sz="6" w:space="0" w:color="auto"/>
              <w:left w:val="nil"/>
              <w:bottom w:val="single" w:sz="4" w:space="0" w:color="auto"/>
              <w:right w:val="nil"/>
            </w:tcBorders>
          </w:tcPr>
          <w:p w:rsidR="00CE7831" w:rsidDel="006738CC" w:rsidRDefault="00CE7831" w:rsidP="00D203EC">
            <w:pPr>
              <w:pStyle w:val="Tablehead1"/>
              <w:jc w:val="center"/>
              <w:rPr>
                <w:lang w:val="en-GB"/>
              </w:rPr>
            </w:pPr>
            <w:r w:rsidDel="006738CC">
              <w:rPr>
                <w:lang w:val="en-GB"/>
              </w:rPr>
              <w:t>Rural or remote</w:t>
            </w:r>
          </w:p>
        </w:tc>
        <w:tc>
          <w:tcPr>
            <w:tcW w:w="752" w:type="pct"/>
            <w:tcBorders>
              <w:top w:val="single" w:sz="6" w:space="0" w:color="auto"/>
              <w:left w:val="nil"/>
              <w:bottom w:val="single" w:sz="4" w:space="0" w:color="auto"/>
              <w:right w:val="nil"/>
            </w:tcBorders>
          </w:tcPr>
          <w:p w:rsidR="00CE7831" w:rsidDel="006738CC" w:rsidRDefault="00CE7831" w:rsidP="00D203EC">
            <w:pPr>
              <w:pStyle w:val="Tablehead1"/>
              <w:jc w:val="center"/>
              <w:rPr>
                <w:lang w:val="en-GB"/>
              </w:rPr>
            </w:pPr>
            <w:r w:rsidDel="006738CC">
              <w:rPr>
                <w:lang w:val="en-GB"/>
              </w:rPr>
              <w:t>Unemployed</w:t>
            </w:r>
          </w:p>
        </w:tc>
      </w:tr>
      <w:tr w:rsidR="00D203EC" w:rsidDel="006738CC" w:rsidTr="00683C03">
        <w:trPr>
          <w:trHeight w:val="289"/>
        </w:trPr>
        <w:tc>
          <w:tcPr>
            <w:tcW w:w="1697" w:type="pct"/>
            <w:gridSpan w:val="2"/>
            <w:tcBorders>
              <w:top w:val="single" w:sz="4" w:space="0" w:color="auto"/>
              <w:left w:val="nil"/>
              <w:bottom w:val="nil"/>
              <w:right w:val="nil"/>
            </w:tcBorders>
          </w:tcPr>
          <w:p w:rsidR="00CE7831" w:rsidDel="006738CC" w:rsidRDefault="00CE7831" w:rsidP="003A6A63">
            <w:pPr>
              <w:autoSpaceDE w:val="0"/>
              <w:autoSpaceDN w:val="0"/>
              <w:adjustRightInd w:val="0"/>
              <w:spacing w:before="0" w:line="240" w:lineRule="auto"/>
              <w:rPr>
                <w:rFonts w:ascii="Arial" w:hAnsi="Arial" w:cs="Arial"/>
                <w:color w:val="000000"/>
                <w:sz w:val="17"/>
                <w:szCs w:val="17"/>
                <w:lang w:val="en-GB"/>
              </w:rPr>
            </w:pPr>
          </w:p>
        </w:tc>
        <w:tc>
          <w:tcPr>
            <w:tcW w:w="594" w:type="pct"/>
            <w:tcBorders>
              <w:top w:val="single" w:sz="4" w:space="0" w:color="auto"/>
              <w:left w:val="nil"/>
              <w:bottom w:val="nil"/>
              <w:right w:val="nil"/>
            </w:tcBorders>
          </w:tcPr>
          <w:p w:rsidR="00CE7831" w:rsidDel="006738CC" w:rsidRDefault="00CE7831" w:rsidP="00683C03">
            <w:pPr>
              <w:pStyle w:val="Tabletext"/>
              <w:jc w:val="center"/>
              <w:rPr>
                <w:lang w:val="en-GB"/>
              </w:rPr>
            </w:pPr>
            <w:r>
              <w:rPr>
                <w:lang w:val="en-GB"/>
              </w:rPr>
              <w:t>%pt.</w:t>
            </w:r>
          </w:p>
        </w:tc>
        <w:tc>
          <w:tcPr>
            <w:tcW w:w="703" w:type="pct"/>
            <w:tcBorders>
              <w:top w:val="single" w:sz="4" w:space="0" w:color="auto"/>
              <w:left w:val="nil"/>
              <w:bottom w:val="nil"/>
              <w:right w:val="nil"/>
            </w:tcBorders>
          </w:tcPr>
          <w:p w:rsidR="00CE7831" w:rsidDel="006738CC" w:rsidRDefault="00CE7831" w:rsidP="00683C03">
            <w:pPr>
              <w:pStyle w:val="Tabletext"/>
              <w:jc w:val="center"/>
              <w:rPr>
                <w:lang w:val="en-GB"/>
              </w:rPr>
            </w:pPr>
            <w:r>
              <w:rPr>
                <w:lang w:val="en-GB"/>
              </w:rPr>
              <w:t>%pt.</w:t>
            </w:r>
          </w:p>
        </w:tc>
        <w:tc>
          <w:tcPr>
            <w:tcW w:w="667" w:type="pct"/>
            <w:tcBorders>
              <w:top w:val="single" w:sz="4" w:space="0" w:color="auto"/>
              <w:left w:val="nil"/>
              <w:bottom w:val="nil"/>
              <w:right w:val="nil"/>
            </w:tcBorders>
          </w:tcPr>
          <w:p w:rsidR="00CE7831" w:rsidDel="006738CC" w:rsidRDefault="00CE7831" w:rsidP="00683C03">
            <w:pPr>
              <w:pStyle w:val="Tabletext"/>
              <w:jc w:val="center"/>
              <w:rPr>
                <w:lang w:val="en-GB"/>
              </w:rPr>
            </w:pPr>
            <w:r>
              <w:rPr>
                <w:lang w:val="en-GB"/>
              </w:rPr>
              <w:t>%pt.</w:t>
            </w:r>
          </w:p>
        </w:tc>
        <w:tc>
          <w:tcPr>
            <w:tcW w:w="588" w:type="pct"/>
            <w:tcBorders>
              <w:top w:val="single" w:sz="4" w:space="0" w:color="auto"/>
              <w:left w:val="nil"/>
              <w:bottom w:val="nil"/>
              <w:right w:val="nil"/>
            </w:tcBorders>
          </w:tcPr>
          <w:p w:rsidR="00CE7831" w:rsidDel="006738CC" w:rsidRDefault="00CE7831" w:rsidP="00683C03">
            <w:pPr>
              <w:pStyle w:val="Tabletext"/>
              <w:jc w:val="center"/>
              <w:rPr>
                <w:lang w:val="en-GB"/>
              </w:rPr>
            </w:pPr>
            <w:r>
              <w:rPr>
                <w:lang w:val="en-GB"/>
              </w:rPr>
              <w:t>%pt.</w:t>
            </w:r>
          </w:p>
        </w:tc>
        <w:tc>
          <w:tcPr>
            <w:tcW w:w="752" w:type="pct"/>
            <w:tcBorders>
              <w:top w:val="single" w:sz="4" w:space="0" w:color="auto"/>
              <w:left w:val="nil"/>
              <w:bottom w:val="nil"/>
              <w:right w:val="nil"/>
            </w:tcBorders>
          </w:tcPr>
          <w:p w:rsidR="00CE7831" w:rsidDel="006738CC" w:rsidRDefault="00CE7831" w:rsidP="00683C03">
            <w:pPr>
              <w:pStyle w:val="Tabletext"/>
              <w:jc w:val="center"/>
              <w:rPr>
                <w:lang w:val="en-GB"/>
              </w:rPr>
            </w:pPr>
            <w:r>
              <w:rPr>
                <w:lang w:val="en-GB"/>
              </w:rPr>
              <w:t>%pt.</w:t>
            </w:r>
          </w:p>
        </w:tc>
      </w:tr>
      <w:tr w:rsidR="00D203EC" w:rsidDel="006738CC" w:rsidTr="00683C03">
        <w:trPr>
          <w:trHeight w:val="289"/>
        </w:trPr>
        <w:tc>
          <w:tcPr>
            <w:tcW w:w="1697" w:type="pct"/>
            <w:gridSpan w:val="2"/>
            <w:tcBorders>
              <w:top w:val="nil"/>
              <w:left w:val="nil"/>
              <w:bottom w:val="nil"/>
              <w:right w:val="nil"/>
            </w:tcBorders>
          </w:tcPr>
          <w:p w:rsidR="00CE7831" w:rsidDel="006738CC" w:rsidRDefault="00CE7831" w:rsidP="00DD1CAB">
            <w:pPr>
              <w:pStyle w:val="Tabletext"/>
              <w:rPr>
                <w:lang w:val="en-GB"/>
              </w:rPr>
            </w:pPr>
            <w:r w:rsidDel="006738CC">
              <w:rPr>
                <w:lang w:val="en-GB"/>
              </w:rPr>
              <w:t>All English language courses</w:t>
            </w:r>
            <w:r w:rsidR="00DD1CAB">
              <w:rPr>
                <w:vertAlign w:val="superscript"/>
                <w:lang w:val="en-GB"/>
              </w:rPr>
              <w:t>2</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-1.0</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-0.6</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1.9</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-0.3</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1.5</w:t>
            </w:r>
          </w:p>
        </w:tc>
      </w:tr>
      <w:tr w:rsidR="00D203EC" w:rsidDel="006738CC" w:rsidTr="00683C03">
        <w:trPr>
          <w:trHeight w:val="289"/>
        </w:trPr>
        <w:tc>
          <w:tcPr>
            <w:tcW w:w="1697"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Foundation course</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7.2</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7.5</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8.7</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6.4</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13.1</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English language</w:t>
            </w:r>
          </w:p>
        </w:tc>
        <w:tc>
          <w:tcPr>
            <w:tcW w:w="594" w:type="pct"/>
            <w:tcBorders>
              <w:top w:val="nil"/>
              <w:left w:val="nil"/>
              <w:bottom w:val="nil"/>
              <w:right w:val="nil"/>
            </w:tcBorders>
            <w:vAlign w:val="bottom"/>
          </w:tcPr>
          <w:p w:rsidR="00CE7831" w:rsidRPr="00683C03" w:rsidDel="006738CC" w:rsidRDefault="00CE7831" w:rsidP="00683C03">
            <w:pPr>
              <w:pStyle w:val="Tabletext"/>
              <w:tabs>
                <w:tab w:val="decimal" w:pos="382"/>
              </w:tabs>
              <w:rPr>
                <w:lang w:val="en-GB"/>
              </w:rPr>
            </w:pPr>
            <w:r w:rsidRPr="00683C03" w:rsidDel="006738CC">
              <w:rPr>
                <w:lang w:val="en-GB"/>
              </w:rPr>
              <w:t>1.8</w:t>
            </w:r>
          </w:p>
        </w:tc>
        <w:tc>
          <w:tcPr>
            <w:tcW w:w="703" w:type="pct"/>
            <w:tcBorders>
              <w:top w:val="nil"/>
              <w:left w:val="nil"/>
              <w:bottom w:val="nil"/>
              <w:right w:val="nil"/>
            </w:tcBorders>
            <w:vAlign w:val="bottom"/>
          </w:tcPr>
          <w:p w:rsidR="00CE7831" w:rsidRPr="00683C03" w:rsidDel="006738CC" w:rsidRDefault="00CE7831" w:rsidP="00683C03">
            <w:pPr>
              <w:pStyle w:val="Tabletext"/>
              <w:tabs>
                <w:tab w:val="decimal" w:pos="382"/>
              </w:tabs>
              <w:rPr>
                <w:lang w:val="en-GB"/>
              </w:rPr>
            </w:pPr>
            <w:r w:rsidRPr="00683C03" w:rsidDel="006738CC">
              <w:rPr>
                <w:lang w:val="en-GB"/>
              </w:rPr>
              <w:t>3.0</w:t>
            </w:r>
          </w:p>
        </w:tc>
        <w:tc>
          <w:tcPr>
            <w:tcW w:w="667" w:type="pct"/>
            <w:tcBorders>
              <w:top w:val="nil"/>
              <w:left w:val="nil"/>
              <w:bottom w:val="nil"/>
              <w:right w:val="nil"/>
            </w:tcBorders>
            <w:vAlign w:val="bottom"/>
          </w:tcPr>
          <w:p w:rsidR="00CE7831" w:rsidRPr="00683C03" w:rsidDel="006738CC" w:rsidRDefault="00CE7831" w:rsidP="00683C03">
            <w:pPr>
              <w:pStyle w:val="Tabletext"/>
              <w:tabs>
                <w:tab w:val="decimal" w:pos="382"/>
              </w:tabs>
              <w:rPr>
                <w:lang w:val="en-GB"/>
              </w:rPr>
            </w:pPr>
            <w:r w:rsidRPr="00683C03" w:rsidDel="006738CC">
              <w:rPr>
                <w:lang w:val="en-GB"/>
              </w:rPr>
              <w:t>2.6</w:t>
            </w:r>
          </w:p>
        </w:tc>
        <w:tc>
          <w:tcPr>
            <w:tcW w:w="588" w:type="pct"/>
            <w:tcBorders>
              <w:top w:val="nil"/>
              <w:left w:val="nil"/>
              <w:bottom w:val="nil"/>
              <w:right w:val="nil"/>
            </w:tcBorders>
            <w:vAlign w:val="bottom"/>
          </w:tcPr>
          <w:p w:rsidR="00CE7831" w:rsidRPr="00683C03" w:rsidDel="006738CC" w:rsidRDefault="00CE7831" w:rsidP="00683C03">
            <w:pPr>
              <w:pStyle w:val="Tabletext"/>
              <w:tabs>
                <w:tab w:val="decimal" w:pos="382"/>
              </w:tabs>
              <w:rPr>
                <w:lang w:val="en-GB"/>
              </w:rPr>
            </w:pPr>
            <w:r w:rsidRPr="00683C03" w:rsidDel="006738CC">
              <w:rPr>
                <w:lang w:val="en-GB"/>
              </w:rPr>
              <w:t>-0.2</w:t>
            </w:r>
          </w:p>
        </w:tc>
        <w:tc>
          <w:tcPr>
            <w:tcW w:w="752" w:type="pct"/>
            <w:tcBorders>
              <w:top w:val="nil"/>
              <w:left w:val="nil"/>
              <w:bottom w:val="nil"/>
              <w:right w:val="nil"/>
            </w:tcBorders>
            <w:vAlign w:val="bottom"/>
          </w:tcPr>
          <w:p w:rsidR="00CE7831" w:rsidRPr="00683C03" w:rsidDel="006738CC" w:rsidRDefault="00CE7831" w:rsidP="00683C03">
            <w:pPr>
              <w:pStyle w:val="Tabletext"/>
              <w:tabs>
                <w:tab w:val="decimal" w:pos="455"/>
              </w:tabs>
              <w:rPr>
                <w:lang w:val="en-GB"/>
              </w:rPr>
            </w:pPr>
            <w:r w:rsidRPr="00683C03" w:rsidDel="006738CC">
              <w:rPr>
                <w:lang w:val="en-GB"/>
              </w:rPr>
              <w:t>5.3</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Other</w:t>
            </w:r>
          </w:p>
        </w:tc>
        <w:tc>
          <w:tcPr>
            <w:tcW w:w="594" w:type="pct"/>
            <w:tcBorders>
              <w:top w:val="nil"/>
              <w:left w:val="nil"/>
              <w:bottom w:val="nil"/>
              <w:right w:val="nil"/>
            </w:tcBorders>
            <w:vAlign w:val="bottom"/>
          </w:tcPr>
          <w:p w:rsidR="00CE7831" w:rsidRPr="00683C03" w:rsidDel="006738CC" w:rsidRDefault="00CE7831" w:rsidP="00683C03">
            <w:pPr>
              <w:pStyle w:val="Tabletext"/>
              <w:tabs>
                <w:tab w:val="decimal" w:pos="382"/>
              </w:tabs>
              <w:rPr>
                <w:lang w:val="en-GB"/>
              </w:rPr>
            </w:pPr>
            <w:r w:rsidRPr="00683C03" w:rsidDel="006738CC">
              <w:rPr>
                <w:lang w:val="en-GB"/>
              </w:rPr>
              <w:t>5.4</w:t>
            </w:r>
          </w:p>
        </w:tc>
        <w:tc>
          <w:tcPr>
            <w:tcW w:w="703" w:type="pct"/>
            <w:tcBorders>
              <w:top w:val="nil"/>
              <w:left w:val="nil"/>
              <w:bottom w:val="nil"/>
              <w:right w:val="nil"/>
            </w:tcBorders>
            <w:vAlign w:val="bottom"/>
          </w:tcPr>
          <w:p w:rsidR="00CE7831" w:rsidRPr="00683C03" w:rsidDel="006738CC" w:rsidRDefault="00CE7831" w:rsidP="00683C03">
            <w:pPr>
              <w:pStyle w:val="Tabletext"/>
              <w:tabs>
                <w:tab w:val="decimal" w:pos="382"/>
              </w:tabs>
              <w:rPr>
                <w:lang w:val="en-GB"/>
              </w:rPr>
            </w:pPr>
            <w:r w:rsidRPr="00683C03" w:rsidDel="006738CC">
              <w:rPr>
                <w:lang w:val="en-GB"/>
              </w:rPr>
              <w:t>4.6</w:t>
            </w:r>
          </w:p>
        </w:tc>
        <w:tc>
          <w:tcPr>
            <w:tcW w:w="667" w:type="pct"/>
            <w:tcBorders>
              <w:top w:val="nil"/>
              <w:left w:val="nil"/>
              <w:bottom w:val="nil"/>
              <w:right w:val="nil"/>
            </w:tcBorders>
            <w:vAlign w:val="bottom"/>
          </w:tcPr>
          <w:p w:rsidR="00CE7831" w:rsidRPr="00683C03" w:rsidDel="006738CC" w:rsidRDefault="00CE7831" w:rsidP="00683C03">
            <w:pPr>
              <w:pStyle w:val="Tabletext"/>
              <w:tabs>
                <w:tab w:val="decimal" w:pos="382"/>
              </w:tabs>
              <w:rPr>
                <w:lang w:val="en-GB"/>
              </w:rPr>
            </w:pPr>
            <w:r w:rsidRPr="00683C03" w:rsidDel="006738CC">
              <w:rPr>
                <w:lang w:val="en-GB"/>
              </w:rPr>
              <w:t>6.0</w:t>
            </w:r>
          </w:p>
        </w:tc>
        <w:tc>
          <w:tcPr>
            <w:tcW w:w="588" w:type="pct"/>
            <w:tcBorders>
              <w:top w:val="nil"/>
              <w:left w:val="nil"/>
              <w:bottom w:val="nil"/>
              <w:right w:val="nil"/>
            </w:tcBorders>
            <w:vAlign w:val="bottom"/>
          </w:tcPr>
          <w:p w:rsidR="00CE7831" w:rsidRPr="00683C03" w:rsidDel="006738CC" w:rsidRDefault="00CE7831" w:rsidP="00683C03">
            <w:pPr>
              <w:pStyle w:val="Tabletext"/>
              <w:tabs>
                <w:tab w:val="decimal" w:pos="382"/>
              </w:tabs>
              <w:rPr>
                <w:lang w:val="en-GB"/>
              </w:rPr>
            </w:pPr>
            <w:r w:rsidRPr="00683C03" w:rsidDel="006738CC">
              <w:rPr>
                <w:lang w:val="en-GB"/>
              </w:rPr>
              <w:t>6.6</w:t>
            </w:r>
          </w:p>
        </w:tc>
        <w:tc>
          <w:tcPr>
            <w:tcW w:w="752" w:type="pct"/>
            <w:tcBorders>
              <w:top w:val="nil"/>
              <w:left w:val="nil"/>
              <w:bottom w:val="nil"/>
              <w:right w:val="nil"/>
            </w:tcBorders>
            <w:vAlign w:val="bottom"/>
          </w:tcPr>
          <w:p w:rsidR="00CE7831" w:rsidRPr="00683C03" w:rsidDel="006738CC" w:rsidRDefault="00CE7831" w:rsidP="00683C03">
            <w:pPr>
              <w:pStyle w:val="Tabletext"/>
              <w:tabs>
                <w:tab w:val="decimal" w:pos="455"/>
              </w:tabs>
              <w:rPr>
                <w:lang w:val="en-GB"/>
              </w:rPr>
            </w:pPr>
            <w:r w:rsidRPr="00683C03" w:rsidDel="006738CC">
              <w:rPr>
                <w:lang w:val="en-GB"/>
              </w:rPr>
              <w:t>7.8</w:t>
            </w:r>
          </w:p>
        </w:tc>
      </w:tr>
      <w:tr w:rsidR="00D203EC" w:rsidDel="006738CC" w:rsidTr="00683C03">
        <w:trPr>
          <w:trHeight w:val="289"/>
        </w:trPr>
        <w:tc>
          <w:tcPr>
            <w:tcW w:w="1697"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All basic skills</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0.9</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0.5</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2.1</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0.8</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0.3</w:t>
            </w:r>
          </w:p>
        </w:tc>
      </w:tr>
      <w:tr w:rsidR="00D203EC" w:rsidDel="006738CC" w:rsidTr="00683C03">
        <w:trPr>
          <w:trHeight w:val="289"/>
        </w:trPr>
        <w:tc>
          <w:tcPr>
            <w:tcW w:w="1697" w:type="pct"/>
            <w:gridSpan w:val="2"/>
            <w:tcBorders>
              <w:top w:val="nil"/>
              <w:left w:val="nil"/>
              <w:bottom w:val="nil"/>
              <w:right w:val="nil"/>
            </w:tcBorders>
          </w:tcPr>
          <w:p w:rsidR="00CE7831" w:rsidDel="006738CC" w:rsidRDefault="00CE7831" w:rsidP="00DD1CAB">
            <w:pPr>
              <w:pStyle w:val="Tabletext"/>
              <w:rPr>
                <w:lang w:val="en-GB"/>
              </w:rPr>
            </w:pPr>
            <w:r w:rsidDel="006738CC">
              <w:rPr>
                <w:lang w:val="en-GB"/>
              </w:rPr>
              <w:t>Upskilling</w:t>
            </w:r>
            <w:r w:rsidR="00DD1CAB">
              <w:rPr>
                <w:vertAlign w:val="superscript"/>
                <w:lang w:val="en-GB"/>
              </w:rPr>
              <w:t>3</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19.2</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19.6</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20.6</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13.9</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20.3</w:t>
            </w:r>
          </w:p>
        </w:tc>
      </w:tr>
      <w:tr w:rsidR="00D203EC" w:rsidDel="006738CC" w:rsidTr="00683C03">
        <w:trPr>
          <w:trHeight w:val="289"/>
        </w:trPr>
        <w:tc>
          <w:tcPr>
            <w:tcW w:w="1697"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Apprentice/trainee</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4.9</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6.3</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3.3</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5.4</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-0.2</w:t>
            </w:r>
          </w:p>
        </w:tc>
      </w:tr>
      <w:tr w:rsidR="00D203EC" w:rsidDel="006738CC" w:rsidTr="00683C03">
        <w:trPr>
          <w:trHeight w:val="289"/>
        </w:trPr>
        <w:tc>
          <w:tcPr>
            <w:tcW w:w="1697" w:type="pct"/>
            <w:gridSpan w:val="2"/>
            <w:tcBorders>
              <w:top w:val="nil"/>
              <w:left w:val="nil"/>
              <w:bottom w:val="nil"/>
              <w:right w:val="nil"/>
            </w:tcBorders>
          </w:tcPr>
          <w:p w:rsidR="00CE7831" w:rsidDel="006738CC" w:rsidRDefault="00CE7831" w:rsidP="00DD1CAB">
            <w:pPr>
              <w:pStyle w:val="Tabletext"/>
              <w:rPr>
                <w:lang w:val="en-GB"/>
              </w:rPr>
            </w:pPr>
            <w:r w:rsidDel="006738CC">
              <w:rPr>
                <w:lang w:val="en-GB"/>
              </w:rPr>
              <w:t>Occupational classification of study</w:t>
            </w:r>
            <w:r w:rsidR="00DD1CAB">
              <w:rPr>
                <w:vertAlign w:val="superscript"/>
                <w:lang w:val="en-GB"/>
              </w:rPr>
              <w:t>4</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Manager</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0.2</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0.2</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0.2</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0.3</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0.0</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Professional</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1.9</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1.8</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1.7</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4.4</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-2.6</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Technical and trades</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-2.9</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-3.0</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-2.8</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-3.0</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1.6</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Community and personal service</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-1.3</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-1.9</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0.4</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0.9</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1.6</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Clerical and administrative</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1.0</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-0.1</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-1.4</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-1.3</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-3.9</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Sales workers</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1.5</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1.8</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1.3</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-0.2</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4.3</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Machinery operators</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-0.1</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-0.9</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-0.3</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0.1</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-1.0</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Labourers</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2.4</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2.7</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0.9</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3.7</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2.6</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Missing (not related to an occupation)</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-3.0</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-1.6</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-0.8</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-7.1</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-4.6</w:t>
            </w:r>
          </w:p>
        </w:tc>
      </w:tr>
      <w:tr w:rsidR="00D203EC" w:rsidDel="006738CC" w:rsidTr="00683C03">
        <w:trPr>
          <w:trHeight w:val="289"/>
        </w:trPr>
        <w:tc>
          <w:tcPr>
            <w:tcW w:w="1697"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Field of education</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Natural and </w:t>
            </w:r>
            <w:r w:rsidR="003C6BFC" w:rsidDel="006738CC">
              <w:rPr>
                <w:lang w:val="en-GB"/>
              </w:rPr>
              <w:t>physical sciences</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-0.4</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-0.3</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-0.4</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-0.2</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-0.1</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Information </w:t>
            </w:r>
            <w:r w:rsidR="003C6BFC" w:rsidDel="006738CC">
              <w:rPr>
                <w:lang w:val="en-GB"/>
              </w:rPr>
              <w:t>technology</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-0.7</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-0.6</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-0.7</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-0.6</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-0.9</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Engineering and </w:t>
            </w:r>
            <w:r w:rsidR="003C6BFC" w:rsidDel="006738CC">
              <w:rPr>
                <w:lang w:val="en-GB"/>
              </w:rPr>
              <w:t>related tech</w:t>
            </w:r>
            <w:r w:rsidR="003C6BFC">
              <w:rPr>
                <w:lang w:val="en-GB"/>
              </w:rPr>
              <w:t>.</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1.3</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2.9</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1.5</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4.0</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1.1</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Architecture and</w:t>
            </w:r>
            <w:r w:rsidR="003C6BFC" w:rsidDel="006738CC">
              <w:rPr>
                <w:lang w:val="en-GB"/>
              </w:rPr>
              <w:t xml:space="preserve"> building</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0.2</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-0.5</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-0.1</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0.1</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-0.1</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Agriculture, </w:t>
            </w:r>
            <w:r w:rsidR="005D0636">
              <w:rPr>
                <w:lang w:val="en-GB"/>
              </w:rPr>
              <w:t>environmental</w:t>
            </w:r>
            <w:r w:rsidR="003C6BFC" w:rsidDel="006738CC">
              <w:rPr>
                <w:lang w:val="en-GB"/>
              </w:rPr>
              <w:t xml:space="preserve"> </w:t>
            </w:r>
            <w:r w:rsidDel="006738CC">
              <w:rPr>
                <w:lang w:val="en-GB"/>
              </w:rPr>
              <w:t>etc.</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-0.3</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0.3</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-0.2</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0.4</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-0.6</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Health</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-0.4</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-0.6</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-0.9</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0.6</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-1.4</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Education</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-2.7</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-3.6</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-2.9</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-2.7</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-0.2</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Management </w:t>
            </w:r>
            <w:r w:rsidR="003C6BFC" w:rsidDel="006738CC">
              <w:rPr>
                <w:lang w:val="en-GB"/>
              </w:rPr>
              <w:t>and commerce</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1.7</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1.4</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2.0</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-0.9</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0.5</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Society and </w:t>
            </w:r>
            <w:r w:rsidR="003C6BFC" w:rsidDel="006738CC">
              <w:rPr>
                <w:lang w:val="en-GB"/>
              </w:rPr>
              <w:t>culture</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1.5</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-0.4</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1.2</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-1.8</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3.0</w:t>
            </w:r>
          </w:p>
        </w:tc>
      </w:tr>
      <w:tr w:rsidR="00D203EC" w:rsidDel="006738CC" w:rsidTr="00683C03">
        <w:trPr>
          <w:trHeight w:val="289"/>
        </w:trPr>
        <w:tc>
          <w:tcPr>
            <w:tcW w:w="142" w:type="pct"/>
            <w:tcBorders>
              <w:top w:val="nil"/>
              <w:left w:val="nil"/>
              <w:bottom w:val="nil"/>
              <w:right w:val="nil"/>
            </w:tcBorders>
          </w:tcPr>
          <w:p w:rsidR="00CE7831" w:rsidDel="006738CC" w:rsidRDefault="00CE7831" w:rsidP="003A6A63">
            <w:pPr>
              <w:pStyle w:val="Tabletext"/>
              <w:rPr>
                <w:lang w:val="en-GB"/>
              </w:rPr>
            </w:pPr>
          </w:p>
        </w:tc>
        <w:tc>
          <w:tcPr>
            <w:tcW w:w="1555" w:type="pct"/>
            <w:tcBorders>
              <w:top w:val="nil"/>
              <w:left w:val="nil"/>
              <w:bottom w:val="nil"/>
              <w:right w:val="nil"/>
            </w:tcBorders>
          </w:tcPr>
          <w:p w:rsidR="00CE7831" w:rsidDel="006738CC" w:rsidRDefault="00CE7831" w:rsidP="003A6A63">
            <w:pPr>
              <w:pStyle w:val="Tabletext"/>
              <w:rPr>
                <w:lang w:val="en-GB"/>
              </w:rPr>
            </w:pPr>
            <w:r w:rsidDel="006738CC">
              <w:rPr>
                <w:lang w:val="en-GB"/>
              </w:rPr>
              <w:t>Creative</w:t>
            </w:r>
            <w:r w:rsidR="003C6BFC" w:rsidDel="006738CC">
              <w:rPr>
                <w:lang w:val="en-GB"/>
              </w:rPr>
              <w:t xml:space="preserve"> arts</w:t>
            </w:r>
          </w:p>
        </w:tc>
        <w:tc>
          <w:tcPr>
            <w:tcW w:w="594"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0.0</w:t>
            </w:r>
          </w:p>
        </w:tc>
        <w:tc>
          <w:tcPr>
            <w:tcW w:w="703"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-0.1</w:t>
            </w:r>
          </w:p>
        </w:tc>
        <w:tc>
          <w:tcPr>
            <w:tcW w:w="667"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0.0</w:t>
            </w:r>
          </w:p>
        </w:tc>
        <w:tc>
          <w:tcPr>
            <w:tcW w:w="588" w:type="pct"/>
            <w:tcBorders>
              <w:top w:val="nil"/>
              <w:left w:val="nil"/>
              <w:bottom w:val="nil"/>
              <w:right w:val="nil"/>
            </w:tcBorders>
          </w:tcPr>
          <w:p w:rsidR="00CE7831" w:rsidDel="006738CC" w:rsidRDefault="00CE7831" w:rsidP="00683C03">
            <w:pPr>
              <w:pStyle w:val="Tabletext"/>
              <w:tabs>
                <w:tab w:val="decimal" w:pos="382"/>
              </w:tabs>
              <w:rPr>
                <w:lang w:val="en-GB"/>
              </w:rPr>
            </w:pPr>
            <w:r w:rsidDel="006738CC">
              <w:rPr>
                <w:lang w:val="en-GB"/>
              </w:rPr>
              <w:t>0.0</w:t>
            </w:r>
          </w:p>
        </w:tc>
        <w:tc>
          <w:tcPr>
            <w:tcW w:w="752" w:type="pct"/>
            <w:tcBorders>
              <w:top w:val="nil"/>
              <w:left w:val="nil"/>
              <w:bottom w:val="nil"/>
              <w:right w:val="nil"/>
            </w:tcBorders>
          </w:tcPr>
          <w:p w:rsidR="00CE7831" w:rsidDel="006738CC" w:rsidRDefault="00CE7831" w:rsidP="00683C03">
            <w:pPr>
              <w:pStyle w:val="Tabletext"/>
              <w:tabs>
                <w:tab w:val="decimal" w:pos="455"/>
              </w:tabs>
              <w:rPr>
                <w:lang w:val="en-GB"/>
              </w:rPr>
            </w:pPr>
            <w:r w:rsidDel="006738CC">
              <w:rPr>
                <w:lang w:val="en-GB"/>
              </w:rPr>
              <w:t>0.6</w:t>
            </w:r>
          </w:p>
        </w:tc>
      </w:tr>
      <w:tr w:rsidR="00D203EC" w:rsidDel="006738CC" w:rsidTr="00683C03">
        <w:trPr>
          <w:trHeight w:val="289"/>
        </w:trPr>
        <w:tc>
          <w:tcPr>
            <w:tcW w:w="142" w:type="pct"/>
            <w:tcBorders>
              <w:top w:val="nil"/>
              <w:left w:val="nil"/>
              <w:right w:val="nil"/>
            </w:tcBorders>
          </w:tcPr>
          <w:p w:rsidR="00CE7831" w:rsidDel="006738CC" w:rsidRDefault="00CE7831" w:rsidP="003A6A63">
            <w:pPr>
              <w:pStyle w:val="Tabletext"/>
              <w:rPr>
                <w:lang w:val="en-GB"/>
              </w:rPr>
            </w:pPr>
          </w:p>
        </w:tc>
        <w:tc>
          <w:tcPr>
            <w:tcW w:w="1555" w:type="pct"/>
            <w:tcBorders>
              <w:top w:val="nil"/>
              <w:left w:val="nil"/>
              <w:right w:val="nil"/>
            </w:tcBorders>
          </w:tcPr>
          <w:p w:rsidR="00CE7831" w:rsidDel="006738CC" w:rsidRDefault="00CE7831" w:rsidP="003A6A63">
            <w:pPr>
              <w:pStyle w:val="Tabletext"/>
              <w:rPr>
                <w:lang w:val="en-GB"/>
              </w:rPr>
            </w:pPr>
            <w:r w:rsidDel="006738CC">
              <w:rPr>
                <w:lang w:val="en-GB"/>
              </w:rPr>
              <w:t xml:space="preserve">Food, </w:t>
            </w:r>
            <w:r w:rsidR="003C6BFC" w:rsidDel="006738CC">
              <w:rPr>
                <w:lang w:val="en-GB"/>
              </w:rPr>
              <w:t>hospitality and personal services</w:t>
            </w:r>
          </w:p>
        </w:tc>
        <w:tc>
          <w:tcPr>
            <w:tcW w:w="594" w:type="pct"/>
            <w:tcBorders>
              <w:top w:val="nil"/>
              <w:left w:val="nil"/>
              <w:right w:val="nil"/>
            </w:tcBorders>
          </w:tcPr>
          <w:p w:rsidR="00CE7831" w:rsidDel="006738CC" w:rsidRDefault="00CE7831" w:rsidP="00683C03">
            <w:pPr>
              <w:pStyle w:val="Tabletext"/>
              <w:tabs>
                <w:tab w:val="decimal" w:pos="382"/>
              </w:tabs>
              <w:rPr>
                <w:lang w:val="en-GB"/>
              </w:rPr>
            </w:pPr>
            <w:r w:rsidDel="006738CC">
              <w:rPr>
                <w:lang w:val="en-GB"/>
              </w:rPr>
              <w:t>1.6</w:t>
            </w:r>
          </w:p>
        </w:tc>
        <w:tc>
          <w:tcPr>
            <w:tcW w:w="703" w:type="pct"/>
            <w:tcBorders>
              <w:top w:val="nil"/>
              <w:left w:val="nil"/>
              <w:right w:val="nil"/>
            </w:tcBorders>
          </w:tcPr>
          <w:p w:rsidR="00CE7831" w:rsidDel="006738CC" w:rsidRDefault="00CE7831" w:rsidP="00683C03">
            <w:pPr>
              <w:pStyle w:val="Tabletext"/>
              <w:tabs>
                <w:tab w:val="decimal" w:pos="382"/>
              </w:tabs>
              <w:rPr>
                <w:lang w:val="en-GB"/>
              </w:rPr>
            </w:pPr>
            <w:r w:rsidDel="006738CC">
              <w:rPr>
                <w:lang w:val="en-GB"/>
              </w:rPr>
              <w:t>2.1</w:t>
            </w:r>
          </w:p>
        </w:tc>
        <w:tc>
          <w:tcPr>
            <w:tcW w:w="667" w:type="pct"/>
            <w:tcBorders>
              <w:top w:val="nil"/>
              <w:left w:val="nil"/>
              <w:right w:val="nil"/>
            </w:tcBorders>
          </w:tcPr>
          <w:p w:rsidR="00CE7831" w:rsidDel="006738CC" w:rsidRDefault="00CE7831" w:rsidP="00683C03">
            <w:pPr>
              <w:pStyle w:val="Tabletext"/>
              <w:tabs>
                <w:tab w:val="decimal" w:pos="382"/>
              </w:tabs>
              <w:rPr>
                <w:lang w:val="en-GB"/>
              </w:rPr>
            </w:pPr>
            <w:r w:rsidDel="006738CC">
              <w:rPr>
                <w:lang w:val="en-GB"/>
              </w:rPr>
              <w:t>2.4</w:t>
            </w:r>
          </w:p>
        </w:tc>
        <w:tc>
          <w:tcPr>
            <w:tcW w:w="588" w:type="pct"/>
            <w:tcBorders>
              <w:top w:val="nil"/>
              <w:left w:val="nil"/>
              <w:right w:val="nil"/>
            </w:tcBorders>
          </w:tcPr>
          <w:p w:rsidR="00CE7831" w:rsidDel="006738CC" w:rsidRDefault="00CE7831" w:rsidP="00683C03">
            <w:pPr>
              <w:pStyle w:val="Tabletext"/>
              <w:tabs>
                <w:tab w:val="decimal" w:pos="382"/>
              </w:tabs>
              <w:rPr>
                <w:lang w:val="en-GB"/>
              </w:rPr>
            </w:pPr>
            <w:r w:rsidDel="006738CC">
              <w:rPr>
                <w:lang w:val="en-GB"/>
              </w:rPr>
              <w:t>-1.1</w:t>
            </w:r>
          </w:p>
        </w:tc>
        <w:tc>
          <w:tcPr>
            <w:tcW w:w="752" w:type="pct"/>
            <w:tcBorders>
              <w:top w:val="nil"/>
              <w:left w:val="nil"/>
              <w:right w:val="nil"/>
            </w:tcBorders>
          </w:tcPr>
          <w:p w:rsidR="00CE7831" w:rsidDel="006738CC" w:rsidRDefault="00CE7831" w:rsidP="00683C03">
            <w:pPr>
              <w:pStyle w:val="Tabletext"/>
              <w:tabs>
                <w:tab w:val="decimal" w:pos="455"/>
              </w:tabs>
              <w:rPr>
                <w:lang w:val="en-GB"/>
              </w:rPr>
            </w:pPr>
            <w:r w:rsidDel="006738CC">
              <w:rPr>
                <w:lang w:val="en-GB"/>
              </w:rPr>
              <w:t>-0.4</w:t>
            </w:r>
          </w:p>
        </w:tc>
      </w:tr>
      <w:tr w:rsidR="00D203EC" w:rsidDel="006738CC" w:rsidTr="00683C03">
        <w:trPr>
          <w:trHeight w:val="303"/>
        </w:trPr>
        <w:tc>
          <w:tcPr>
            <w:tcW w:w="142" w:type="pct"/>
            <w:tcBorders>
              <w:top w:val="nil"/>
              <w:left w:val="nil"/>
              <w:bottom w:val="single" w:sz="6" w:space="0" w:color="auto"/>
              <w:right w:val="nil"/>
            </w:tcBorders>
          </w:tcPr>
          <w:p w:rsidR="00CE7831" w:rsidDel="006738CC" w:rsidRDefault="00CE7831" w:rsidP="003A6A63">
            <w:pPr>
              <w:pStyle w:val="Tabletext"/>
              <w:rPr>
                <w:lang w:val="en-GB"/>
              </w:rPr>
            </w:pPr>
          </w:p>
        </w:tc>
        <w:tc>
          <w:tcPr>
            <w:tcW w:w="1555" w:type="pct"/>
            <w:tcBorders>
              <w:top w:val="nil"/>
              <w:left w:val="nil"/>
              <w:bottom w:val="single" w:sz="6" w:space="0" w:color="auto"/>
              <w:right w:val="nil"/>
            </w:tcBorders>
          </w:tcPr>
          <w:p w:rsidR="00CE7831" w:rsidDel="006738CC" w:rsidRDefault="00CE7831" w:rsidP="003A6A63">
            <w:pPr>
              <w:pStyle w:val="Tabletext"/>
              <w:rPr>
                <w:lang w:val="en-GB"/>
              </w:rPr>
            </w:pPr>
            <w:r w:rsidDel="006738CC">
              <w:rPr>
                <w:lang w:val="en-GB"/>
              </w:rPr>
              <w:t xml:space="preserve">Mixed </w:t>
            </w:r>
            <w:r w:rsidR="003C6BFC" w:rsidDel="006738CC">
              <w:rPr>
                <w:lang w:val="en-GB"/>
              </w:rPr>
              <w:t>field programs</w:t>
            </w:r>
          </w:p>
        </w:tc>
        <w:tc>
          <w:tcPr>
            <w:tcW w:w="594" w:type="pct"/>
            <w:tcBorders>
              <w:top w:val="nil"/>
              <w:left w:val="nil"/>
              <w:bottom w:val="single" w:sz="6" w:space="0" w:color="auto"/>
              <w:right w:val="nil"/>
            </w:tcBorders>
          </w:tcPr>
          <w:p w:rsidR="00CE7831" w:rsidDel="006738CC" w:rsidRDefault="00CE7831" w:rsidP="00683C03">
            <w:pPr>
              <w:pStyle w:val="Tabletext"/>
              <w:tabs>
                <w:tab w:val="decimal" w:pos="382"/>
              </w:tabs>
              <w:rPr>
                <w:lang w:val="en-GB"/>
              </w:rPr>
            </w:pPr>
            <w:r w:rsidDel="006738CC">
              <w:rPr>
                <w:lang w:val="en-GB"/>
              </w:rPr>
              <w:t>-1.2</w:t>
            </w:r>
          </w:p>
        </w:tc>
        <w:tc>
          <w:tcPr>
            <w:tcW w:w="703" w:type="pct"/>
            <w:tcBorders>
              <w:top w:val="nil"/>
              <w:left w:val="nil"/>
              <w:bottom w:val="single" w:sz="6" w:space="0" w:color="auto"/>
              <w:right w:val="nil"/>
            </w:tcBorders>
          </w:tcPr>
          <w:p w:rsidR="00CE7831" w:rsidDel="006738CC" w:rsidRDefault="00CE7831" w:rsidP="00683C03">
            <w:pPr>
              <w:pStyle w:val="Tabletext"/>
              <w:tabs>
                <w:tab w:val="decimal" w:pos="382"/>
              </w:tabs>
              <w:rPr>
                <w:lang w:val="en-GB"/>
              </w:rPr>
            </w:pPr>
            <w:r w:rsidDel="006738CC">
              <w:rPr>
                <w:lang w:val="en-GB"/>
              </w:rPr>
              <w:t>0.0</w:t>
            </w:r>
          </w:p>
        </w:tc>
        <w:tc>
          <w:tcPr>
            <w:tcW w:w="667" w:type="pct"/>
            <w:tcBorders>
              <w:top w:val="nil"/>
              <w:left w:val="nil"/>
              <w:bottom w:val="single" w:sz="6" w:space="0" w:color="auto"/>
              <w:right w:val="nil"/>
            </w:tcBorders>
          </w:tcPr>
          <w:p w:rsidR="00CE7831" w:rsidDel="006738CC" w:rsidRDefault="00CE7831" w:rsidP="00683C03">
            <w:pPr>
              <w:pStyle w:val="Tabletext"/>
              <w:tabs>
                <w:tab w:val="decimal" w:pos="382"/>
              </w:tabs>
              <w:rPr>
                <w:lang w:val="en-GB"/>
              </w:rPr>
            </w:pPr>
            <w:r w:rsidDel="006738CC">
              <w:rPr>
                <w:lang w:val="en-GB"/>
              </w:rPr>
              <w:t>-1.1</w:t>
            </w:r>
          </w:p>
        </w:tc>
        <w:tc>
          <w:tcPr>
            <w:tcW w:w="588" w:type="pct"/>
            <w:tcBorders>
              <w:top w:val="nil"/>
              <w:left w:val="nil"/>
              <w:bottom w:val="single" w:sz="6" w:space="0" w:color="auto"/>
              <w:right w:val="nil"/>
            </w:tcBorders>
          </w:tcPr>
          <w:p w:rsidR="00CE7831" w:rsidDel="006738CC" w:rsidRDefault="00CE7831" w:rsidP="00683C03">
            <w:pPr>
              <w:pStyle w:val="Tabletext"/>
              <w:tabs>
                <w:tab w:val="decimal" w:pos="382"/>
              </w:tabs>
              <w:rPr>
                <w:lang w:val="en-GB"/>
              </w:rPr>
            </w:pPr>
            <w:r w:rsidDel="006738CC">
              <w:rPr>
                <w:lang w:val="en-GB"/>
              </w:rPr>
              <w:t>2.3</w:t>
            </w:r>
          </w:p>
        </w:tc>
        <w:tc>
          <w:tcPr>
            <w:tcW w:w="752" w:type="pct"/>
            <w:tcBorders>
              <w:top w:val="nil"/>
              <w:left w:val="nil"/>
              <w:bottom w:val="single" w:sz="6" w:space="0" w:color="auto"/>
              <w:right w:val="nil"/>
            </w:tcBorders>
          </w:tcPr>
          <w:p w:rsidR="00CE7831" w:rsidDel="006738CC" w:rsidRDefault="00CE7831" w:rsidP="00683C03">
            <w:pPr>
              <w:pStyle w:val="Tabletext"/>
              <w:tabs>
                <w:tab w:val="decimal" w:pos="455"/>
              </w:tabs>
              <w:rPr>
                <w:lang w:val="en-GB"/>
              </w:rPr>
            </w:pPr>
            <w:r w:rsidDel="006738CC">
              <w:rPr>
                <w:lang w:val="en-GB"/>
              </w:rPr>
              <w:t>-0.1</w:t>
            </w:r>
          </w:p>
        </w:tc>
      </w:tr>
    </w:tbl>
    <w:p w:rsidR="009C1B75" w:rsidRDefault="009C1B75" w:rsidP="00CE7831">
      <w:pPr>
        <w:pStyle w:val="tabletitle0"/>
        <w:rPr>
          <w:rFonts w:eastAsia="Calibri"/>
        </w:rPr>
      </w:pPr>
      <w:bookmarkStart w:id="98" w:name="_Toc438210027"/>
    </w:p>
    <w:p w:rsidR="009C1B75" w:rsidRDefault="009C1B75">
      <w:pPr>
        <w:spacing w:before="0" w:line="240" w:lineRule="auto"/>
        <w:rPr>
          <w:rFonts w:ascii="Arial" w:eastAsia="Calibri" w:hAnsi="Arial"/>
          <w:b/>
          <w:sz w:val="17"/>
          <w:lang w:eastAsia="en-AU"/>
        </w:rPr>
      </w:pPr>
      <w:r>
        <w:rPr>
          <w:rFonts w:eastAsia="Calibri"/>
        </w:rPr>
        <w:br w:type="page"/>
      </w:r>
    </w:p>
    <w:p w:rsidR="00CE7831" w:rsidDel="006738CC" w:rsidRDefault="00CE7831" w:rsidP="00CE7831">
      <w:pPr>
        <w:pStyle w:val="tabletitle0"/>
        <w:rPr>
          <w:rFonts w:eastAsia="Calibri"/>
        </w:rPr>
      </w:pPr>
      <w:bookmarkStart w:id="99" w:name="_Toc452552433"/>
      <w:bookmarkStart w:id="100" w:name="_Toc468881925"/>
      <w:r w:rsidDel="006738CC">
        <w:rPr>
          <w:rFonts w:eastAsia="Calibri"/>
        </w:rPr>
        <w:lastRenderedPageBreak/>
        <w:t xml:space="preserve">Table </w:t>
      </w:r>
      <w:r w:rsidR="009C1B75">
        <w:rPr>
          <w:rFonts w:eastAsia="Calibri"/>
        </w:rPr>
        <w:t>D1</w:t>
      </w:r>
      <w:r w:rsidDel="006738CC">
        <w:rPr>
          <w:rFonts w:eastAsia="Calibri"/>
        </w:rPr>
        <w:t xml:space="preserve"> cont.</w:t>
      </w:r>
      <w:bookmarkEnd w:id="98"/>
      <w:bookmarkEnd w:id="99"/>
      <w:bookmarkEnd w:id="100"/>
      <w:r w:rsidR="00BF3ACA">
        <w:rPr>
          <w:rFonts w:eastAsia="Calibri"/>
        </w:rPr>
        <w:t xml:space="preserve"> </w:t>
      </w:r>
      <w:r w:rsidR="009C4535">
        <w:rPr>
          <w:rFonts w:eastAsia="Calibri"/>
        </w:rPr>
        <w:t>(columns)</w:t>
      </w:r>
    </w:p>
    <w:tbl>
      <w:tblPr>
        <w:tblW w:w="5000" w:type="pct"/>
        <w:tblLook w:val="0000" w:firstRow="0" w:lastRow="0" w:firstColumn="0" w:lastColumn="0" w:noHBand="0" w:noVBand="0"/>
      </w:tblPr>
      <w:tblGrid>
        <w:gridCol w:w="231"/>
        <w:gridCol w:w="2985"/>
        <w:gridCol w:w="1067"/>
        <w:gridCol w:w="978"/>
        <w:gridCol w:w="1094"/>
        <w:gridCol w:w="907"/>
        <w:gridCol w:w="892"/>
      </w:tblGrid>
      <w:tr w:rsidR="00CE7831" w:rsidDel="006738CC" w:rsidTr="00683C03">
        <w:trPr>
          <w:trHeight w:val="601"/>
        </w:trPr>
        <w:tc>
          <w:tcPr>
            <w:tcW w:w="1971" w:type="pct"/>
            <w:gridSpan w:val="2"/>
            <w:tcBorders>
              <w:top w:val="single" w:sz="6" w:space="0" w:color="auto"/>
              <w:left w:val="nil"/>
              <w:bottom w:val="single" w:sz="4" w:space="0" w:color="auto"/>
              <w:right w:val="nil"/>
            </w:tcBorders>
          </w:tcPr>
          <w:p w:rsidR="00CE7831" w:rsidDel="006738CC" w:rsidRDefault="00CE7831" w:rsidP="003A6A63">
            <w:pPr>
              <w:pStyle w:val="Tablehead1"/>
              <w:rPr>
                <w:lang w:val="en-GB"/>
              </w:rPr>
            </w:pPr>
            <w:r w:rsidDel="006738CC">
              <w:rPr>
                <w:lang w:val="en-GB"/>
              </w:rPr>
              <w:t>Course identifier</w:t>
            </w:r>
          </w:p>
        </w:tc>
        <w:tc>
          <w:tcPr>
            <w:tcW w:w="654" w:type="pct"/>
            <w:tcBorders>
              <w:top w:val="single" w:sz="6" w:space="0" w:color="auto"/>
              <w:left w:val="nil"/>
              <w:bottom w:val="single" w:sz="4" w:space="0" w:color="auto"/>
              <w:right w:val="nil"/>
            </w:tcBorders>
          </w:tcPr>
          <w:p w:rsidR="00CE7831" w:rsidDel="006738CC" w:rsidRDefault="00CE7831" w:rsidP="00683C03">
            <w:pPr>
              <w:pStyle w:val="Tablehead1"/>
              <w:jc w:val="center"/>
              <w:rPr>
                <w:lang w:val="en-GB"/>
              </w:rPr>
            </w:pPr>
            <w:r w:rsidDel="006738CC">
              <w:rPr>
                <w:lang w:val="en-GB"/>
              </w:rPr>
              <w:t>No secondary school equiv.</w:t>
            </w:r>
          </w:p>
        </w:tc>
        <w:tc>
          <w:tcPr>
            <w:tcW w:w="600" w:type="pct"/>
            <w:tcBorders>
              <w:top w:val="single" w:sz="6" w:space="0" w:color="auto"/>
              <w:left w:val="nil"/>
              <w:bottom w:val="single" w:sz="4" w:space="0" w:color="auto"/>
              <w:right w:val="nil"/>
            </w:tcBorders>
          </w:tcPr>
          <w:p w:rsidR="00CE7831" w:rsidDel="006738CC" w:rsidRDefault="00CE7831" w:rsidP="00683C03">
            <w:pPr>
              <w:pStyle w:val="Tablehead1"/>
              <w:jc w:val="center"/>
              <w:rPr>
                <w:lang w:val="en-GB"/>
              </w:rPr>
            </w:pPr>
            <w:r w:rsidDel="006738CC">
              <w:rPr>
                <w:lang w:val="en-GB"/>
              </w:rPr>
              <w:t>ATSI</w:t>
            </w:r>
          </w:p>
        </w:tc>
        <w:tc>
          <w:tcPr>
            <w:tcW w:w="671" w:type="pct"/>
            <w:tcBorders>
              <w:top w:val="single" w:sz="6" w:space="0" w:color="auto"/>
              <w:left w:val="nil"/>
              <w:bottom w:val="single" w:sz="4" w:space="0" w:color="auto"/>
              <w:right w:val="nil"/>
            </w:tcBorders>
          </w:tcPr>
          <w:p w:rsidR="00CE7831" w:rsidDel="006738CC" w:rsidRDefault="00CE7831" w:rsidP="00DD1CAB">
            <w:pPr>
              <w:pStyle w:val="Tablehead1"/>
              <w:jc w:val="center"/>
              <w:rPr>
                <w:lang w:val="en-GB"/>
              </w:rPr>
            </w:pPr>
            <w:r w:rsidDel="006738CC">
              <w:rPr>
                <w:lang w:val="en-GB"/>
              </w:rPr>
              <w:t>Has a disability</w:t>
            </w:r>
            <w:r w:rsidR="00DD1CAB">
              <w:rPr>
                <w:vertAlign w:val="superscript"/>
                <w:lang w:val="en-GB"/>
              </w:rPr>
              <w:t>5</w:t>
            </w:r>
          </w:p>
        </w:tc>
        <w:tc>
          <w:tcPr>
            <w:tcW w:w="556" w:type="pct"/>
            <w:tcBorders>
              <w:top w:val="single" w:sz="6" w:space="0" w:color="auto"/>
              <w:left w:val="nil"/>
              <w:bottom w:val="single" w:sz="4" w:space="0" w:color="auto"/>
              <w:right w:val="nil"/>
            </w:tcBorders>
          </w:tcPr>
          <w:p w:rsidR="00CE7831" w:rsidDel="006738CC" w:rsidRDefault="00CE7831" w:rsidP="00683C03">
            <w:pPr>
              <w:pStyle w:val="Tablehead1"/>
              <w:jc w:val="center"/>
              <w:rPr>
                <w:lang w:val="en-GB"/>
              </w:rPr>
            </w:pPr>
            <w:r w:rsidDel="006738CC">
              <w:rPr>
                <w:lang w:val="en-GB"/>
              </w:rPr>
              <w:t>Low SES</w:t>
            </w:r>
          </w:p>
        </w:tc>
        <w:tc>
          <w:tcPr>
            <w:tcW w:w="547" w:type="pct"/>
            <w:tcBorders>
              <w:top w:val="single" w:sz="6" w:space="0" w:color="auto"/>
              <w:left w:val="nil"/>
              <w:bottom w:val="single" w:sz="4" w:space="0" w:color="auto"/>
              <w:right w:val="nil"/>
            </w:tcBorders>
          </w:tcPr>
          <w:p w:rsidR="00CE7831" w:rsidDel="006738CC" w:rsidRDefault="00CE7831" w:rsidP="00683C03">
            <w:pPr>
              <w:pStyle w:val="Tablehead1"/>
              <w:jc w:val="center"/>
              <w:rPr>
                <w:lang w:val="en-GB"/>
              </w:rPr>
            </w:pPr>
            <w:r w:rsidDel="006738CC">
              <w:rPr>
                <w:lang w:val="en-GB"/>
              </w:rPr>
              <w:t>NESB</w:t>
            </w:r>
          </w:p>
        </w:tc>
      </w:tr>
      <w:tr w:rsidR="00CE7831" w:rsidDel="006738CC" w:rsidTr="00683C03">
        <w:trPr>
          <w:trHeight w:val="174"/>
        </w:trPr>
        <w:tc>
          <w:tcPr>
            <w:tcW w:w="1971"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All English language courses</w:t>
            </w:r>
            <w:r w:rsidR="00DD1CAB" w:rsidRPr="00DD1CAB">
              <w:rPr>
                <w:vertAlign w:val="superscript"/>
                <w:lang w:val="en-GB"/>
              </w:rPr>
              <w:t>2</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3.3</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1.6</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-1.6</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-8.4</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1.3</w:t>
            </w:r>
          </w:p>
        </w:tc>
      </w:tr>
      <w:tr w:rsidR="00CE7831" w:rsidDel="006738CC" w:rsidTr="00683C03">
        <w:trPr>
          <w:trHeight w:val="202"/>
        </w:trPr>
        <w:tc>
          <w:tcPr>
            <w:tcW w:w="1971"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Foundation course</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5.9</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9.0</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10.7</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4.0</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13.7</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English language</w:t>
            </w:r>
          </w:p>
        </w:tc>
        <w:tc>
          <w:tcPr>
            <w:tcW w:w="654" w:type="pct"/>
            <w:tcBorders>
              <w:top w:val="nil"/>
              <w:left w:val="nil"/>
              <w:bottom w:val="nil"/>
              <w:right w:val="nil"/>
            </w:tcBorders>
            <w:vAlign w:val="bottom"/>
          </w:tcPr>
          <w:p w:rsidR="00CE7831" w:rsidRPr="00683C03" w:rsidDel="006738CC" w:rsidRDefault="00CE7831" w:rsidP="00683C03">
            <w:pPr>
              <w:pStyle w:val="Tabletext"/>
              <w:tabs>
                <w:tab w:val="decimal" w:pos="427"/>
              </w:tabs>
              <w:rPr>
                <w:lang w:val="en-GB"/>
              </w:rPr>
            </w:pPr>
            <w:r w:rsidRPr="00683C03" w:rsidDel="006738CC">
              <w:rPr>
                <w:lang w:val="en-GB"/>
              </w:rPr>
              <w:t>1.9</w:t>
            </w:r>
          </w:p>
        </w:tc>
        <w:tc>
          <w:tcPr>
            <w:tcW w:w="600" w:type="pct"/>
            <w:tcBorders>
              <w:top w:val="nil"/>
              <w:left w:val="nil"/>
              <w:bottom w:val="nil"/>
              <w:right w:val="nil"/>
            </w:tcBorders>
            <w:vAlign w:val="bottom"/>
          </w:tcPr>
          <w:p w:rsidR="00CE7831" w:rsidRPr="00683C03" w:rsidDel="006738CC" w:rsidRDefault="00CE7831" w:rsidP="00683C03">
            <w:pPr>
              <w:pStyle w:val="Tabletext"/>
              <w:tabs>
                <w:tab w:val="decimal" w:pos="395"/>
              </w:tabs>
              <w:rPr>
                <w:lang w:val="en-GB"/>
              </w:rPr>
            </w:pPr>
            <w:r w:rsidRPr="00683C03" w:rsidDel="006738CC">
              <w:rPr>
                <w:lang w:val="en-GB"/>
              </w:rPr>
              <w:t>0.8</w:t>
            </w:r>
          </w:p>
        </w:tc>
        <w:tc>
          <w:tcPr>
            <w:tcW w:w="671" w:type="pct"/>
            <w:tcBorders>
              <w:top w:val="nil"/>
              <w:left w:val="nil"/>
              <w:bottom w:val="nil"/>
              <w:right w:val="nil"/>
            </w:tcBorders>
            <w:vAlign w:val="bottom"/>
          </w:tcPr>
          <w:p w:rsidR="00CE7831" w:rsidRPr="00683C03" w:rsidDel="006738CC" w:rsidRDefault="00CE7831" w:rsidP="00683C03">
            <w:pPr>
              <w:pStyle w:val="Tabletext"/>
              <w:tabs>
                <w:tab w:val="decimal" w:pos="435"/>
              </w:tabs>
              <w:rPr>
                <w:lang w:val="en-GB"/>
              </w:rPr>
            </w:pPr>
            <w:r w:rsidRPr="00683C03" w:rsidDel="006738CC">
              <w:rPr>
                <w:lang w:val="en-GB"/>
              </w:rPr>
              <w:t>3.8</w:t>
            </w:r>
          </w:p>
        </w:tc>
        <w:tc>
          <w:tcPr>
            <w:tcW w:w="556" w:type="pct"/>
            <w:tcBorders>
              <w:top w:val="nil"/>
              <w:left w:val="nil"/>
              <w:bottom w:val="nil"/>
              <w:right w:val="nil"/>
            </w:tcBorders>
            <w:vAlign w:val="bottom"/>
          </w:tcPr>
          <w:p w:rsidR="00CE7831" w:rsidRPr="00683C03" w:rsidDel="006738CC" w:rsidRDefault="00CE7831" w:rsidP="00683C03">
            <w:pPr>
              <w:pStyle w:val="Tabletext"/>
              <w:tabs>
                <w:tab w:val="decimal" w:pos="308"/>
              </w:tabs>
              <w:rPr>
                <w:lang w:val="en-GB"/>
              </w:rPr>
            </w:pPr>
            <w:r w:rsidRPr="00683C03" w:rsidDel="006738CC">
              <w:rPr>
                <w:lang w:val="en-GB"/>
              </w:rPr>
              <w:t>4.0</w:t>
            </w:r>
          </w:p>
        </w:tc>
        <w:tc>
          <w:tcPr>
            <w:tcW w:w="547" w:type="pct"/>
            <w:tcBorders>
              <w:top w:val="nil"/>
              <w:left w:val="nil"/>
              <w:bottom w:val="nil"/>
              <w:right w:val="nil"/>
            </w:tcBorders>
            <w:vAlign w:val="bottom"/>
          </w:tcPr>
          <w:p w:rsidR="00CE7831" w:rsidRPr="00683C03" w:rsidDel="006738CC" w:rsidRDefault="00CE7831" w:rsidP="00683C03">
            <w:pPr>
              <w:pStyle w:val="Tabletext"/>
              <w:tabs>
                <w:tab w:val="decimal" w:pos="306"/>
              </w:tabs>
              <w:rPr>
                <w:lang w:val="en-GB"/>
              </w:rPr>
            </w:pPr>
            <w:r w:rsidRPr="00683C03" w:rsidDel="006738CC">
              <w:rPr>
                <w:lang w:val="en-GB"/>
              </w:rPr>
              <w:t>9.8</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Other</w:t>
            </w:r>
          </w:p>
        </w:tc>
        <w:tc>
          <w:tcPr>
            <w:tcW w:w="654" w:type="pct"/>
            <w:tcBorders>
              <w:top w:val="nil"/>
              <w:left w:val="nil"/>
              <w:bottom w:val="nil"/>
              <w:right w:val="nil"/>
            </w:tcBorders>
            <w:vAlign w:val="bottom"/>
          </w:tcPr>
          <w:p w:rsidR="00CE7831" w:rsidRPr="00683C03" w:rsidDel="006738CC" w:rsidRDefault="00CE7831" w:rsidP="00683C03">
            <w:pPr>
              <w:pStyle w:val="Tabletext"/>
              <w:tabs>
                <w:tab w:val="decimal" w:pos="427"/>
              </w:tabs>
              <w:rPr>
                <w:lang w:val="en-GB"/>
              </w:rPr>
            </w:pPr>
            <w:r w:rsidRPr="00683C03" w:rsidDel="006738CC">
              <w:rPr>
                <w:lang w:val="en-GB"/>
              </w:rPr>
              <w:t>4.0</w:t>
            </w:r>
          </w:p>
        </w:tc>
        <w:tc>
          <w:tcPr>
            <w:tcW w:w="600" w:type="pct"/>
            <w:tcBorders>
              <w:top w:val="nil"/>
              <w:left w:val="nil"/>
              <w:bottom w:val="nil"/>
              <w:right w:val="nil"/>
            </w:tcBorders>
            <w:vAlign w:val="bottom"/>
          </w:tcPr>
          <w:p w:rsidR="00CE7831" w:rsidRPr="00683C03" w:rsidDel="006738CC" w:rsidRDefault="00CE7831" w:rsidP="00683C03">
            <w:pPr>
              <w:pStyle w:val="Tabletext"/>
              <w:tabs>
                <w:tab w:val="decimal" w:pos="395"/>
              </w:tabs>
              <w:rPr>
                <w:lang w:val="en-GB"/>
              </w:rPr>
            </w:pPr>
            <w:r w:rsidRPr="00683C03" w:rsidDel="006738CC">
              <w:rPr>
                <w:lang w:val="en-GB"/>
              </w:rPr>
              <w:t>8.2</w:t>
            </w:r>
          </w:p>
        </w:tc>
        <w:tc>
          <w:tcPr>
            <w:tcW w:w="671" w:type="pct"/>
            <w:tcBorders>
              <w:top w:val="nil"/>
              <w:left w:val="nil"/>
              <w:bottom w:val="nil"/>
              <w:right w:val="nil"/>
            </w:tcBorders>
            <w:vAlign w:val="bottom"/>
          </w:tcPr>
          <w:p w:rsidR="00CE7831" w:rsidRPr="00683C03" w:rsidDel="006738CC" w:rsidRDefault="00CE7831" w:rsidP="00683C03">
            <w:pPr>
              <w:pStyle w:val="Tabletext"/>
              <w:tabs>
                <w:tab w:val="decimal" w:pos="435"/>
              </w:tabs>
              <w:rPr>
                <w:lang w:val="en-GB"/>
              </w:rPr>
            </w:pPr>
            <w:r w:rsidRPr="00683C03" w:rsidDel="006738CC">
              <w:rPr>
                <w:lang w:val="en-GB"/>
              </w:rPr>
              <w:t>6.9</w:t>
            </w:r>
          </w:p>
        </w:tc>
        <w:tc>
          <w:tcPr>
            <w:tcW w:w="556" w:type="pct"/>
            <w:tcBorders>
              <w:top w:val="nil"/>
              <w:left w:val="nil"/>
              <w:bottom w:val="nil"/>
              <w:right w:val="nil"/>
            </w:tcBorders>
            <w:vAlign w:val="bottom"/>
          </w:tcPr>
          <w:p w:rsidR="00CE7831" w:rsidRPr="00683C03" w:rsidDel="006738CC" w:rsidRDefault="00CE7831" w:rsidP="00683C03">
            <w:pPr>
              <w:pStyle w:val="Tabletext"/>
              <w:tabs>
                <w:tab w:val="decimal" w:pos="308"/>
              </w:tabs>
              <w:rPr>
                <w:lang w:val="en-GB"/>
              </w:rPr>
            </w:pPr>
            <w:r w:rsidRPr="00683C03" w:rsidDel="006738CC">
              <w:rPr>
                <w:lang w:val="en-GB"/>
              </w:rPr>
              <w:t>0.0</w:t>
            </w:r>
          </w:p>
        </w:tc>
        <w:tc>
          <w:tcPr>
            <w:tcW w:w="547" w:type="pct"/>
            <w:tcBorders>
              <w:top w:val="nil"/>
              <w:left w:val="nil"/>
              <w:bottom w:val="nil"/>
              <w:right w:val="nil"/>
            </w:tcBorders>
            <w:vAlign w:val="bottom"/>
          </w:tcPr>
          <w:p w:rsidR="00CE7831" w:rsidRPr="00683C03" w:rsidDel="006738CC" w:rsidRDefault="00CE7831" w:rsidP="00683C03">
            <w:pPr>
              <w:pStyle w:val="Tabletext"/>
              <w:tabs>
                <w:tab w:val="decimal" w:pos="306"/>
              </w:tabs>
              <w:rPr>
                <w:lang w:val="en-GB"/>
              </w:rPr>
            </w:pPr>
            <w:r w:rsidRPr="00683C03" w:rsidDel="006738CC">
              <w:rPr>
                <w:lang w:val="en-GB"/>
              </w:rPr>
              <w:t>3.9</w:t>
            </w:r>
          </w:p>
        </w:tc>
      </w:tr>
      <w:tr w:rsidR="00CE7831" w:rsidDel="006738CC" w:rsidTr="00683C03">
        <w:trPr>
          <w:trHeight w:val="289"/>
        </w:trPr>
        <w:tc>
          <w:tcPr>
            <w:tcW w:w="1971"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All basic skill courses</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-1.9</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-4.9</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-5.5</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-3.6</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-0.3</w:t>
            </w:r>
          </w:p>
        </w:tc>
      </w:tr>
      <w:tr w:rsidR="00CE7831" w:rsidDel="006738CC" w:rsidTr="00683C03">
        <w:trPr>
          <w:trHeight w:val="289"/>
        </w:trPr>
        <w:tc>
          <w:tcPr>
            <w:tcW w:w="1971"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Upskilling</w:t>
            </w:r>
            <w:r w:rsidR="00DD1CAB" w:rsidRPr="00DD1CAB">
              <w:rPr>
                <w:vertAlign w:val="superscript"/>
                <w:lang w:val="en-GB"/>
              </w:rPr>
              <w:t>3</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2.3</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12.9</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14.3</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20.8</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25.9</w:t>
            </w:r>
          </w:p>
        </w:tc>
      </w:tr>
      <w:tr w:rsidR="00CE7831" w:rsidDel="006738CC" w:rsidTr="00683C03">
        <w:trPr>
          <w:trHeight w:val="289"/>
        </w:trPr>
        <w:tc>
          <w:tcPr>
            <w:tcW w:w="1971"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Apprentice/trainee</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6.5</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7.1</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3.2</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8.1</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2.4</w:t>
            </w:r>
          </w:p>
        </w:tc>
      </w:tr>
      <w:tr w:rsidR="00CE7831" w:rsidDel="006738CC" w:rsidTr="00683C03">
        <w:trPr>
          <w:trHeight w:val="289"/>
        </w:trPr>
        <w:tc>
          <w:tcPr>
            <w:tcW w:w="1971"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Occupational classification of study</w:t>
            </w:r>
            <w:r w:rsidR="00DD1CAB" w:rsidRPr="00DD1CAB">
              <w:rPr>
                <w:vertAlign w:val="superscript"/>
                <w:lang w:val="en-GB"/>
              </w:rPr>
              <w:t>4</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Manager</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0.1</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0.4</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0.0</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0.4</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0.1</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Professional</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0.3</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2.5</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-0.5</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-3.4</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2.3</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Technical and trades</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-3.5</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1.8</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1.9</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-0.6</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-0.1</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Community and personal service</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-2.4</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2.7</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1.9</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2.4</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-0.2</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Clerical and administrative</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1.0</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3.6</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0.5</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-1.7</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1.0</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Sales workers</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3.6</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-0.2</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1.1</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2.3</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-1.5</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Machinery operators</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-0.2</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-0.7</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0.0</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-1.6</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-0.1</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Labourers</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5.9</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0.1</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2.8</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-0.2</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3.0</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Missing (not related to an occupation)</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-3.7</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-8.7</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-5.2</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4.9</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1.2</w:t>
            </w:r>
          </w:p>
        </w:tc>
      </w:tr>
      <w:tr w:rsidR="00CE7831" w:rsidDel="006738CC" w:rsidTr="00683C03">
        <w:trPr>
          <w:trHeight w:val="289"/>
        </w:trPr>
        <w:tc>
          <w:tcPr>
            <w:tcW w:w="1971" w:type="pct"/>
            <w:gridSpan w:val="2"/>
            <w:tcBorders>
              <w:top w:val="nil"/>
              <w:left w:val="nil"/>
              <w:bottom w:val="nil"/>
              <w:right w:val="nil"/>
            </w:tcBorders>
          </w:tcPr>
          <w:p w:rsidR="00CE7831" w:rsidDel="006738CC" w:rsidRDefault="00CE7831" w:rsidP="003A6A63">
            <w:pPr>
              <w:pStyle w:val="Tabletext"/>
              <w:rPr>
                <w:lang w:val="en-GB"/>
              </w:rPr>
            </w:pPr>
            <w:r w:rsidDel="006738CC">
              <w:rPr>
                <w:lang w:val="en-GB"/>
              </w:rPr>
              <w:t>Field of education</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Natural and </w:t>
            </w:r>
            <w:r w:rsidR="003C6BFC" w:rsidDel="006738CC">
              <w:rPr>
                <w:lang w:val="en-GB"/>
              </w:rPr>
              <w:t>physical sciences</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-0.2</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0.2</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-0.2</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-0.2</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-0.6</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Information</w:t>
            </w:r>
            <w:r w:rsidR="003C6BFC" w:rsidDel="006738CC">
              <w:rPr>
                <w:lang w:val="en-GB"/>
              </w:rPr>
              <w:t xml:space="preserve"> technology</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-0.6</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0.8</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-0.4</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-0.8</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-1.3</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Engineering and </w:t>
            </w:r>
            <w:r w:rsidR="003C6BFC" w:rsidDel="006738CC">
              <w:rPr>
                <w:lang w:val="en-GB"/>
              </w:rPr>
              <w:t>related tech</w:t>
            </w:r>
            <w:r w:rsidR="003C6BFC">
              <w:rPr>
                <w:lang w:val="en-GB"/>
              </w:rPr>
              <w:t>.</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3.2</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-2.3</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1.3</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7.4</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2.9</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 xml:space="preserve">Architecture and </w:t>
            </w:r>
            <w:r w:rsidR="003C6BFC" w:rsidDel="006738CC">
              <w:rPr>
                <w:lang w:val="en-GB"/>
              </w:rPr>
              <w:t>building</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-0.8</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-1.1</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-0.5</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-0.6</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1.0</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3C6BFC" w:rsidP="003A6A63">
            <w:pPr>
              <w:pStyle w:val="Tabletext"/>
              <w:rPr>
                <w:lang w:val="en-GB"/>
              </w:rPr>
            </w:pPr>
            <w:r>
              <w:rPr>
                <w:lang w:val="en-GB"/>
              </w:rPr>
              <w:t>Agriculture, e</w:t>
            </w:r>
            <w:r w:rsidR="005D0636">
              <w:rPr>
                <w:lang w:val="en-GB"/>
              </w:rPr>
              <w:t>nvironmental</w:t>
            </w:r>
            <w:r w:rsidR="00CE7831" w:rsidDel="006738CC">
              <w:rPr>
                <w:lang w:val="en-GB"/>
              </w:rPr>
              <w:t xml:space="preserve"> etc.</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-0.3</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-0.3</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-0.2</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-0.4</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0.0</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Health</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-1.8</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-2.0</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-0.6</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-1.3</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0.2</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CE7831" w:rsidP="003A6A63">
            <w:pPr>
              <w:pStyle w:val="Tabletext"/>
              <w:rPr>
                <w:lang w:val="en-GB"/>
              </w:rPr>
            </w:pPr>
            <w:r w:rsidDel="006738CC">
              <w:rPr>
                <w:lang w:val="en-GB"/>
              </w:rPr>
              <w:t>Education</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-2.9</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-3.7</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-1.2</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-0.6</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-1.0</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3C6BFC" w:rsidP="003A6A63">
            <w:pPr>
              <w:pStyle w:val="Tabletext"/>
              <w:rPr>
                <w:lang w:val="en-GB"/>
              </w:rPr>
            </w:pPr>
            <w:r>
              <w:rPr>
                <w:lang w:val="en-GB"/>
              </w:rPr>
              <w:t>Management and c</w:t>
            </w:r>
            <w:r w:rsidR="00CE7831" w:rsidDel="006738CC">
              <w:rPr>
                <w:lang w:val="en-GB"/>
              </w:rPr>
              <w:t>ommerce</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3.0</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-2.0</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1.3</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2.6</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-1.8</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3C6BFC" w:rsidP="003A6A63">
            <w:pPr>
              <w:pStyle w:val="Tabletext"/>
              <w:rPr>
                <w:lang w:val="en-GB"/>
              </w:rPr>
            </w:pPr>
            <w:r>
              <w:rPr>
                <w:lang w:val="en-GB"/>
              </w:rPr>
              <w:t>Society and c</w:t>
            </w:r>
            <w:r w:rsidR="00CE7831" w:rsidDel="006738CC">
              <w:rPr>
                <w:lang w:val="en-GB"/>
              </w:rPr>
              <w:t>ulture</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2.8</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4.6</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2.6</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1.1</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9.4</w:t>
            </w:r>
          </w:p>
        </w:tc>
      </w:tr>
      <w:tr w:rsidR="00CE7831" w:rsidDel="006738CC" w:rsidTr="00683C03">
        <w:trPr>
          <w:trHeight w:val="289"/>
        </w:trPr>
        <w:tc>
          <w:tcPr>
            <w:tcW w:w="141" w:type="pct"/>
            <w:tcBorders>
              <w:top w:val="nil"/>
              <w:left w:val="nil"/>
              <w:bottom w:val="nil"/>
              <w:right w:val="nil"/>
            </w:tcBorders>
          </w:tcPr>
          <w:p w:rsidR="00CE7831" w:rsidDel="006738CC" w:rsidRDefault="00CE7831" w:rsidP="003A6A63">
            <w:pPr>
              <w:pStyle w:val="Tabletext"/>
              <w:rPr>
                <w:lang w:val="en-GB"/>
              </w:rPr>
            </w:pPr>
          </w:p>
        </w:tc>
        <w:tc>
          <w:tcPr>
            <w:tcW w:w="1830" w:type="pct"/>
            <w:tcBorders>
              <w:top w:val="nil"/>
              <w:left w:val="nil"/>
              <w:bottom w:val="nil"/>
              <w:right w:val="nil"/>
            </w:tcBorders>
          </w:tcPr>
          <w:p w:rsidR="00CE7831" w:rsidDel="006738CC" w:rsidRDefault="003C6BFC" w:rsidP="003A6A63">
            <w:pPr>
              <w:pStyle w:val="Tabletext"/>
              <w:rPr>
                <w:lang w:val="en-GB"/>
              </w:rPr>
            </w:pPr>
            <w:r>
              <w:rPr>
                <w:lang w:val="en-GB"/>
              </w:rPr>
              <w:t>Creative a</w:t>
            </w:r>
            <w:r w:rsidR="00CE7831" w:rsidDel="006738CC">
              <w:rPr>
                <w:lang w:val="en-GB"/>
              </w:rPr>
              <w:t>rts</w:t>
            </w:r>
          </w:p>
        </w:tc>
        <w:tc>
          <w:tcPr>
            <w:tcW w:w="654" w:type="pct"/>
            <w:tcBorders>
              <w:top w:val="nil"/>
              <w:left w:val="nil"/>
              <w:bottom w:val="nil"/>
              <w:right w:val="nil"/>
            </w:tcBorders>
          </w:tcPr>
          <w:p w:rsidR="00CE7831" w:rsidDel="006738CC" w:rsidRDefault="00CE7831" w:rsidP="00683C03">
            <w:pPr>
              <w:pStyle w:val="Tabletext"/>
              <w:tabs>
                <w:tab w:val="decimal" w:pos="427"/>
              </w:tabs>
              <w:rPr>
                <w:lang w:val="en-GB"/>
              </w:rPr>
            </w:pPr>
            <w:r w:rsidDel="006738CC">
              <w:rPr>
                <w:lang w:val="en-GB"/>
              </w:rPr>
              <w:t>0.2</w:t>
            </w:r>
          </w:p>
        </w:tc>
        <w:tc>
          <w:tcPr>
            <w:tcW w:w="600" w:type="pct"/>
            <w:tcBorders>
              <w:top w:val="nil"/>
              <w:left w:val="nil"/>
              <w:bottom w:val="nil"/>
              <w:right w:val="nil"/>
            </w:tcBorders>
          </w:tcPr>
          <w:p w:rsidR="00CE7831" w:rsidDel="006738CC" w:rsidRDefault="00CE7831" w:rsidP="00683C03">
            <w:pPr>
              <w:pStyle w:val="Tabletext"/>
              <w:tabs>
                <w:tab w:val="decimal" w:pos="395"/>
              </w:tabs>
              <w:rPr>
                <w:lang w:val="en-GB"/>
              </w:rPr>
            </w:pPr>
            <w:r w:rsidDel="006738CC">
              <w:rPr>
                <w:lang w:val="en-GB"/>
              </w:rPr>
              <w:t>2.7</w:t>
            </w:r>
          </w:p>
        </w:tc>
        <w:tc>
          <w:tcPr>
            <w:tcW w:w="671" w:type="pct"/>
            <w:tcBorders>
              <w:top w:val="nil"/>
              <w:left w:val="nil"/>
              <w:bottom w:val="nil"/>
              <w:right w:val="nil"/>
            </w:tcBorders>
          </w:tcPr>
          <w:p w:rsidR="00CE7831" w:rsidDel="006738CC" w:rsidRDefault="00CE7831" w:rsidP="00683C03">
            <w:pPr>
              <w:pStyle w:val="Tabletext"/>
              <w:tabs>
                <w:tab w:val="decimal" w:pos="435"/>
              </w:tabs>
              <w:rPr>
                <w:lang w:val="en-GB"/>
              </w:rPr>
            </w:pPr>
            <w:r w:rsidDel="006738CC">
              <w:rPr>
                <w:lang w:val="en-GB"/>
              </w:rPr>
              <w:t>1.0</w:t>
            </w:r>
          </w:p>
        </w:tc>
        <w:tc>
          <w:tcPr>
            <w:tcW w:w="556" w:type="pct"/>
            <w:tcBorders>
              <w:top w:val="nil"/>
              <w:left w:val="nil"/>
              <w:bottom w:val="nil"/>
              <w:right w:val="nil"/>
            </w:tcBorders>
          </w:tcPr>
          <w:p w:rsidR="00CE7831" w:rsidDel="006738CC" w:rsidRDefault="00CE7831" w:rsidP="00683C03">
            <w:pPr>
              <w:pStyle w:val="Tabletext"/>
              <w:tabs>
                <w:tab w:val="decimal" w:pos="308"/>
              </w:tabs>
              <w:rPr>
                <w:lang w:val="en-GB"/>
              </w:rPr>
            </w:pPr>
            <w:r w:rsidDel="006738CC">
              <w:rPr>
                <w:lang w:val="en-GB"/>
              </w:rPr>
              <w:t>0.5</w:t>
            </w:r>
          </w:p>
        </w:tc>
        <w:tc>
          <w:tcPr>
            <w:tcW w:w="547" w:type="pct"/>
            <w:tcBorders>
              <w:top w:val="nil"/>
              <w:left w:val="nil"/>
              <w:bottom w:val="nil"/>
              <w:right w:val="nil"/>
            </w:tcBorders>
          </w:tcPr>
          <w:p w:rsidR="00CE7831" w:rsidDel="006738CC" w:rsidRDefault="00CE7831" w:rsidP="00683C03">
            <w:pPr>
              <w:pStyle w:val="Tabletext"/>
              <w:tabs>
                <w:tab w:val="decimal" w:pos="306"/>
              </w:tabs>
              <w:rPr>
                <w:lang w:val="en-GB"/>
              </w:rPr>
            </w:pPr>
            <w:r w:rsidDel="006738CC">
              <w:rPr>
                <w:lang w:val="en-GB"/>
              </w:rPr>
              <w:t>-0.2</w:t>
            </w:r>
          </w:p>
        </w:tc>
      </w:tr>
      <w:tr w:rsidR="00CE7831" w:rsidDel="006738CC" w:rsidTr="00683C03">
        <w:trPr>
          <w:trHeight w:val="289"/>
        </w:trPr>
        <w:tc>
          <w:tcPr>
            <w:tcW w:w="141" w:type="pct"/>
            <w:tcBorders>
              <w:top w:val="nil"/>
              <w:left w:val="nil"/>
              <w:right w:val="nil"/>
            </w:tcBorders>
          </w:tcPr>
          <w:p w:rsidR="00CE7831" w:rsidDel="006738CC" w:rsidRDefault="00CE7831" w:rsidP="003A6A63">
            <w:pPr>
              <w:pStyle w:val="Tabletext"/>
              <w:rPr>
                <w:lang w:val="en-GB"/>
              </w:rPr>
            </w:pPr>
          </w:p>
        </w:tc>
        <w:tc>
          <w:tcPr>
            <w:tcW w:w="1830" w:type="pct"/>
            <w:tcBorders>
              <w:top w:val="nil"/>
              <w:left w:val="nil"/>
              <w:right w:val="nil"/>
            </w:tcBorders>
          </w:tcPr>
          <w:p w:rsidR="00CE7831" w:rsidDel="006738CC" w:rsidRDefault="00CE7831" w:rsidP="003A6A63">
            <w:pPr>
              <w:pStyle w:val="Tabletext"/>
              <w:rPr>
                <w:lang w:val="en-GB"/>
              </w:rPr>
            </w:pPr>
            <w:r w:rsidDel="006738CC">
              <w:rPr>
                <w:lang w:val="en-GB"/>
              </w:rPr>
              <w:t xml:space="preserve">Food, </w:t>
            </w:r>
            <w:r w:rsidR="003C6BFC" w:rsidDel="006738CC">
              <w:rPr>
                <w:lang w:val="en-GB"/>
              </w:rPr>
              <w:t>hospitality and personal</w:t>
            </w:r>
          </w:p>
        </w:tc>
        <w:tc>
          <w:tcPr>
            <w:tcW w:w="654" w:type="pct"/>
            <w:tcBorders>
              <w:top w:val="nil"/>
              <w:left w:val="nil"/>
              <w:right w:val="nil"/>
            </w:tcBorders>
          </w:tcPr>
          <w:p w:rsidR="00CE7831" w:rsidDel="006738CC" w:rsidRDefault="00CE7831" w:rsidP="00683C03">
            <w:pPr>
              <w:pStyle w:val="Tabletext"/>
              <w:tabs>
                <w:tab w:val="decimal" w:pos="427"/>
              </w:tabs>
              <w:rPr>
                <w:lang w:val="en-GB"/>
              </w:rPr>
            </w:pPr>
            <w:r w:rsidDel="006738CC">
              <w:rPr>
                <w:lang w:val="en-GB"/>
              </w:rPr>
              <w:t>1.5</w:t>
            </w:r>
          </w:p>
        </w:tc>
        <w:tc>
          <w:tcPr>
            <w:tcW w:w="600" w:type="pct"/>
            <w:tcBorders>
              <w:top w:val="nil"/>
              <w:left w:val="nil"/>
              <w:right w:val="nil"/>
            </w:tcBorders>
          </w:tcPr>
          <w:p w:rsidR="00CE7831" w:rsidDel="006738CC" w:rsidRDefault="00CE7831" w:rsidP="00683C03">
            <w:pPr>
              <w:pStyle w:val="Tabletext"/>
              <w:tabs>
                <w:tab w:val="decimal" w:pos="395"/>
              </w:tabs>
              <w:rPr>
                <w:lang w:val="en-GB"/>
              </w:rPr>
            </w:pPr>
            <w:r w:rsidDel="006738CC">
              <w:rPr>
                <w:lang w:val="en-GB"/>
              </w:rPr>
              <w:t>1.4</w:t>
            </w:r>
          </w:p>
        </w:tc>
        <w:tc>
          <w:tcPr>
            <w:tcW w:w="671" w:type="pct"/>
            <w:tcBorders>
              <w:top w:val="nil"/>
              <w:left w:val="nil"/>
              <w:right w:val="nil"/>
            </w:tcBorders>
          </w:tcPr>
          <w:p w:rsidR="00CE7831" w:rsidDel="006738CC" w:rsidRDefault="00CE7831" w:rsidP="00683C03">
            <w:pPr>
              <w:pStyle w:val="Tabletext"/>
              <w:tabs>
                <w:tab w:val="decimal" w:pos="435"/>
              </w:tabs>
              <w:rPr>
                <w:lang w:val="en-GB"/>
              </w:rPr>
            </w:pPr>
            <w:r w:rsidDel="006738CC">
              <w:rPr>
                <w:lang w:val="en-GB"/>
              </w:rPr>
              <w:t>-0.2</w:t>
            </w:r>
          </w:p>
        </w:tc>
        <w:tc>
          <w:tcPr>
            <w:tcW w:w="556" w:type="pct"/>
            <w:tcBorders>
              <w:top w:val="nil"/>
              <w:left w:val="nil"/>
              <w:right w:val="nil"/>
            </w:tcBorders>
          </w:tcPr>
          <w:p w:rsidR="00CE7831" w:rsidDel="006738CC" w:rsidRDefault="00CE7831" w:rsidP="00683C03">
            <w:pPr>
              <w:pStyle w:val="Tabletext"/>
              <w:tabs>
                <w:tab w:val="decimal" w:pos="308"/>
              </w:tabs>
              <w:rPr>
                <w:lang w:val="en-GB"/>
              </w:rPr>
            </w:pPr>
            <w:r w:rsidDel="006738CC">
              <w:rPr>
                <w:lang w:val="en-GB"/>
              </w:rPr>
              <w:t>2.9</w:t>
            </w:r>
          </w:p>
        </w:tc>
        <w:tc>
          <w:tcPr>
            <w:tcW w:w="547" w:type="pct"/>
            <w:tcBorders>
              <w:top w:val="nil"/>
              <w:left w:val="nil"/>
              <w:right w:val="nil"/>
            </w:tcBorders>
          </w:tcPr>
          <w:p w:rsidR="00CE7831" w:rsidDel="006738CC" w:rsidRDefault="00CE7831" w:rsidP="00683C03">
            <w:pPr>
              <w:pStyle w:val="Tabletext"/>
              <w:tabs>
                <w:tab w:val="decimal" w:pos="306"/>
              </w:tabs>
              <w:rPr>
                <w:lang w:val="en-GB"/>
              </w:rPr>
            </w:pPr>
            <w:r w:rsidDel="006738CC">
              <w:rPr>
                <w:lang w:val="en-GB"/>
              </w:rPr>
              <w:t>1.6</w:t>
            </w:r>
          </w:p>
        </w:tc>
      </w:tr>
      <w:tr w:rsidR="00CE7831" w:rsidDel="006738CC" w:rsidTr="00683C03">
        <w:trPr>
          <w:trHeight w:val="303"/>
        </w:trPr>
        <w:tc>
          <w:tcPr>
            <w:tcW w:w="141" w:type="pct"/>
            <w:tcBorders>
              <w:top w:val="nil"/>
              <w:left w:val="nil"/>
              <w:bottom w:val="single" w:sz="6" w:space="0" w:color="auto"/>
              <w:right w:val="nil"/>
            </w:tcBorders>
          </w:tcPr>
          <w:p w:rsidR="00CE7831" w:rsidDel="006738CC" w:rsidRDefault="00CE7831" w:rsidP="003A6A63">
            <w:pPr>
              <w:pStyle w:val="Tabletext"/>
              <w:rPr>
                <w:lang w:val="en-GB"/>
              </w:rPr>
            </w:pPr>
          </w:p>
        </w:tc>
        <w:tc>
          <w:tcPr>
            <w:tcW w:w="1830" w:type="pct"/>
            <w:tcBorders>
              <w:top w:val="nil"/>
              <w:left w:val="nil"/>
              <w:bottom w:val="single" w:sz="6" w:space="0" w:color="auto"/>
              <w:right w:val="nil"/>
            </w:tcBorders>
          </w:tcPr>
          <w:p w:rsidR="00CE7831" w:rsidDel="006738CC" w:rsidRDefault="00CE7831" w:rsidP="003A6A63">
            <w:pPr>
              <w:pStyle w:val="Tabletext"/>
              <w:rPr>
                <w:lang w:val="en-GB"/>
              </w:rPr>
            </w:pPr>
            <w:r w:rsidDel="006738CC">
              <w:rPr>
                <w:lang w:val="en-GB"/>
              </w:rPr>
              <w:t xml:space="preserve">Mixed </w:t>
            </w:r>
            <w:r w:rsidR="003C6BFC" w:rsidDel="006738CC">
              <w:rPr>
                <w:lang w:val="en-GB"/>
              </w:rPr>
              <w:t>field programs</w:t>
            </w:r>
          </w:p>
        </w:tc>
        <w:tc>
          <w:tcPr>
            <w:tcW w:w="654" w:type="pct"/>
            <w:tcBorders>
              <w:top w:val="nil"/>
              <w:left w:val="nil"/>
              <w:bottom w:val="single" w:sz="6" w:space="0" w:color="auto"/>
              <w:right w:val="nil"/>
            </w:tcBorders>
          </w:tcPr>
          <w:p w:rsidR="00CE7831" w:rsidDel="006738CC" w:rsidRDefault="00CE7831" w:rsidP="00683C03">
            <w:pPr>
              <w:pStyle w:val="Tabletext"/>
              <w:tabs>
                <w:tab w:val="decimal" w:pos="427"/>
              </w:tabs>
              <w:rPr>
                <w:lang w:val="en-GB"/>
              </w:rPr>
            </w:pPr>
            <w:r w:rsidDel="006738CC">
              <w:rPr>
                <w:lang w:val="en-GB"/>
              </w:rPr>
              <w:t>-3.6</w:t>
            </w:r>
          </w:p>
        </w:tc>
        <w:tc>
          <w:tcPr>
            <w:tcW w:w="600" w:type="pct"/>
            <w:tcBorders>
              <w:top w:val="nil"/>
              <w:left w:val="nil"/>
              <w:bottom w:val="single" w:sz="6" w:space="0" w:color="auto"/>
              <w:right w:val="nil"/>
            </w:tcBorders>
          </w:tcPr>
          <w:p w:rsidR="00CE7831" w:rsidDel="006738CC" w:rsidRDefault="00CE7831" w:rsidP="00683C03">
            <w:pPr>
              <w:pStyle w:val="Tabletext"/>
              <w:tabs>
                <w:tab w:val="decimal" w:pos="395"/>
              </w:tabs>
              <w:rPr>
                <w:lang w:val="en-GB"/>
              </w:rPr>
            </w:pPr>
            <w:r w:rsidDel="006738CC">
              <w:rPr>
                <w:lang w:val="en-GB"/>
              </w:rPr>
              <w:t>1.2</w:t>
            </w:r>
          </w:p>
        </w:tc>
        <w:tc>
          <w:tcPr>
            <w:tcW w:w="671" w:type="pct"/>
            <w:tcBorders>
              <w:top w:val="nil"/>
              <w:left w:val="nil"/>
              <w:bottom w:val="single" w:sz="6" w:space="0" w:color="auto"/>
              <w:right w:val="nil"/>
            </w:tcBorders>
          </w:tcPr>
          <w:p w:rsidR="00CE7831" w:rsidDel="006738CC" w:rsidRDefault="00CE7831" w:rsidP="00683C03">
            <w:pPr>
              <w:pStyle w:val="Tabletext"/>
              <w:tabs>
                <w:tab w:val="decimal" w:pos="435"/>
              </w:tabs>
              <w:rPr>
                <w:lang w:val="en-GB"/>
              </w:rPr>
            </w:pPr>
            <w:r w:rsidDel="006738CC">
              <w:rPr>
                <w:lang w:val="en-GB"/>
              </w:rPr>
              <w:t>0.1</w:t>
            </w:r>
          </w:p>
        </w:tc>
        <w:tc>
          <w:tcPr>
            <w:tcW w:w="556" w:type="pct"/>
            <w:tcBorders>
              <w:top w:val="nil"/>
              <w:left w:val="nil"/>
              <w:bottom w:val="single" w:sz="6" w:space="0" w:color="auto"/>
              <w:right w:val="nil"/>
            </w:tcBorders>
          </w:tcPr>
          <w:p w:rsidR="00CE7831" w:rsidDel="006738CC" w:rsidRDefault="00CE7831" w:rsidP="00683C03">
            <w:pPr>
              <w:pStyle w:val="Tabletext"/>
              <w:tabs>
                <w:tab w:val="decimal" w:pos="308"/>
              </w:tabs>
              <w:rPr>
                <w:lang w:val="en-GB"/>
              </w:rPr>
            </w:pPr>
            <w:r w:rsidDel="006738CC">
              <w:rPr>
                <w:lang w:val="en-GB"/>
              </w:rPr>
              <w:t>-9.4</w:t>
            </w:r>
          </w:p>
        </w:tc>
        <w:tc>
          <w:tcPr>
            <w:tcW w:w="547" w:type="pct"/>
            <w:tcBorders>
              <w:top w:val="nil"/>
              <w:left w:val="nil"/>
              <w:bottom w:val="single" w:sz="6" w:space="0" w:color="auto"/>
              <w:right w:val="nil"/>
            </w:tcBorders>
          </w:tcPr>
          <w:p w:rsidR="00CE7831" w:rsidDel="006738CC" w:rsidRDefault="00CE7831" w:rsidP="00683C03">
            <w:pPr>
              <w:pStyle w:val="Tabletext"/>
              <w:tabs>
                <w:tab w:val="decimal" w:pos="306"/>
              </w:tabs>
              <w:rPr>
                <w:lang w:val="en-GB"/>
              </w:rPr>
            </w:pPr>
            <w:r w:rsidDel="006738CC">
              <w:rPr>
                <w:lang w:val="en-GB"/>
              </w:rPr>
              <w:t>-9.4</w:t>
            </w:r>
          </w:p>
        </w:tc>
      </w:tr>
      <w:bookmarkEnd w:id="36"/>
      <w:bookmarkEnd w:id="49"/>
    </w:tbl>
    <w:p w:rsidR="00CA5C8D" w:rsidRDefault="00CA5C8D">
      <w:pPr>
        <w:spacing w:before="0" w:line="240" w:lineRule="auto"/>
      </w:pPr>
    </w:p>
    <w:tbl>
      <w:tblPr>
        <w:tblStyle w:val="TableGrid"/>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232"/>
        <w:gridCol w:w="7127"/>
        <w:gridCol w:w="171"/>
      </w:tblGrid>
      <w:tr w:rsidR="0054771E" w:rsidTr="00911071">
        <w:tc>
          <w:tcPr>
            <w:tcW w:w="624" w:type="dxa"/>
            <w:tcMar>
              <w:top w:w="28" w:type="dxa"/>
              <w:bottom w:w="28" w:type="dxa"/>
              <w:right w:w="0" w:type="dxa"/>
            </w:tcMar>
          </w:tcPr>
          <w:p w:rsidR="00CA5C8D" w:rsidRDefault="00CA5C8D">
            <w:pPr>
              <w:spacing w:before="0" w:line="240" w:lineRule="auto"/>
            </w:pPr>
            <w:r w:rsidRPr="00535AAD" w:rsidDel="006738CC">
              <w:rPr>
                <w:rFonts w:ascii="Arial" w:hAnsi="Arial" w:cs="Arial"/>
                <w:sz w:val="15"/>
                <w:szCs w:val="15"/>
              </w:rPr>
              <w:t>Notes:</w:t>
            </w:r>
          </w:p>
        </w:tc>
        <w:tc>
          <w:tcPr>
            <w:tcW w:w="232" w:type="dxa"/>
            <w:tcMar>
              <w:top w:w="28" w:type="dxa"/>
              <w:left w:w="57" w:type="dxa"/>
              <w:bottom w:w="28" w:type="dxa"/>
              <w:right w:w="57" w:type="dxa"/>
            </w:tcMar>
          </w:tcPr>
          <w:p w:rsidR="00CA5C8D" w:rsidRPr="00CA5C8D" w:rsidRDefault="00CA5C8D">
            <w:pPr>
              <w:spacing w:before="0" w:line="240" w:lineRule="auto"/>
              <w:rPr>
                <w:rFonts w:ascii="Arial" w:hAnsi="Arial" w:cs="Arial"/>
                <w:sz w:val="15"/>
                <w:szCs w:val="15"/>
              </w:rPr>
            </w:pPr>
            <w:r w:rsidRPr="00CA5C8D">
              <w:rPr>
                <w:rFonts w:ascii="Arial" w:hAnsi="Arial" w:cs="Arial"/>
                <w:sz w:val="15"/>
                <w:szCs w:val="15"/>
              </w:rPr>
              <w:t>1</w:t>
            </w:r>
          </w:p>
        </w:tc>
        <w:tc>
          <w:tcPr>
            <w:tcW w:w="7298" w:type="dxa"/>
            <w:gridSpan w:val="2"/>
            <w:tcMar>
              <w:top w:w="28" w:type="dxa"/>
              <w:bottom w:w="28" w:type="dxa"/>
            </w:tcMar>
          </w:tcPr>
          <w:p w:rsidR="00CA5C8D" w:rsidRPr="00CA5C8D" w:rsidRDefault="00CA5C8D">
            <w:pPr>
              <w:spacing w:before="0" w:line="240" w:lineRule="auto"/>
              <w:rPr>
                <w:rFonts w:ascii="Arial" w:hAnsi="Arial" w:cs="Arial"/>
                <w:sz w:val="15"/>
                <w:szCs w:val="15"/>
              </w:rPr>
            </w:pPr>
            <w:r w:rsidRPr="00535AAD" w:rsidDel="006738CC">
              <w:rPr>
                <w:rFonts w:ascii="Arial" w:hAnsi="Arial" w:cs="Arial"/>
                <w:sz w:val="15"/>
                <w:szCs w:val="15"/>
              </w:rPr>
              <w:t>All statistics report differences in Victorian enrolmen</w:t>
            </w:r>
            <w:r w:rsidRPr="00535AAD">
              <w:rPr>
                <w:rFonts w:ascii="Arial" w:hAnsi="Arial" w:cs="Arial"/>
                <w:sz w:val="15"/>
                <w:szCs w:val="15"/>
              </w:rPr>
              <w:t>ts reported from 2008 to 2011–</w:t>
            </w:r>
            <w:r w:rsidRPr="00535AAD" w:rsidDel="006738CC">
              <w:rPr>
                <w:rFonts w:ascii="Arial" w:hAnsi="Arial" w:cs="Arial"/>
                <w:sz w:val="15"/>
                <w:szCs w:val="15"/>
              </w:rPr>
              <w:t xml:space="preserve">12, less differences in the rest of Australia </w:t>
            </w:r>
            <w:r w:rsidRPr="00535AAD">
              <w:rPr>
                <w:rFonts w:ascii="Arial" w:hAnsi="Arial" w:cs="Arial"/>
                <w:sz w:val="15"/>
                <w:szCs w:val="15"/>
              </w:rPr>
              <w:t>reported for the same period; t</w:t>
            </w:r>
            <w:r w:rsidRPr="00535AAD" w:rsidDel="006738CC">
              <w:rPr>
                <w:rFonts w:ascii="Arial" w:hAnsi="Arial" w:cs="Arial"/>
                <w:sz w:val="15"/>
                <w:szCs w:val="15"/>
              </w:rPr>
              <w:t>hat is, the proportion of all VET course enrolments for the respective population subgroup corresponding to the respective course identifier, evaluated for Victoria in 2011</w:t>
            </w:r>
            <w:r w:rsidRPr="00535AAD">
              <w:rPr>
                <w:rFonts w:ascii="Arial" w:hAnsi="Arial" w:cs="Arial"/>
                <w:sz w:val="15"/>
                <w:szCs w:val="15"/>
              </w:rPr>
              <w:t>–</w:t>
            </w:r>
            <w:r w:rsidRPr="00535AAD" w:rsidDel="006738CC">
              <w:rPr>
                <w:rFonts w:ascii="Arial" w:hAnsi="Arial" w:cs="Arial"/>
                <w:sz w:val="15"/>
                <w:szCs w:val="15"/>
              </w:rPr>
              <w:t>12, less the associated statistic revaluated for Victoria in 2008, less the same difference evaluated for the rest of Australia.</w:t>
            </w:r>
          </w:p>
        </w:tc>
      </w:tr>
      <w:tr w:rsidR="0054771E" w:rsidTr="00911071">
        <w:tc>
          <w:tcPr>
            <w:tcW w:w="624" w:type="dxa"/>
            <w:tcMar>
              <w:top w:w="28" w:type="dxa"/>
              <w:bottom w:w="28" w:type="dxa"/>
              <w:right w:w="0" w:type="dxa"/>
            </w:tcMar>
          </w:tcPr>
          <w:p w:rsidR="00CA5C8D" w:rsidRDefault="00CA5C8D">
            <w:pPr>
              <w:spacing w:before="0" w:line="240" w:lineRule="auto"/>
            </w:pPr>
          </w:p>
        </w:tc>
        <w:tc>
          <w:tcPr>
            <w:tcW w:w="232" w:type="dxa"/>
            <w:tcMar>
              <w:top w:w="28" w:type="dxa"/>
              <w:left w:w="57" w:type="dxa"/>
              <w:bottom w:w="28" w:type="dxa"/>
              <w:right w:w="57" w:type="dxa"/>
            </w:tcMar>
          </w:tcPr>
          <w:p w:rsidR="00CA5C8D" w:rsidRPr="00CA5C8D" w:rsidRDefault="00CA5C8D">
            <w:pPr>
              <w:spacing w:before="0" w:line="240" w:lineRule="auto"/>
              <w:rPr>
                <w:rFonts w:ascii="Arial" w:hAnsi="Arial" w:cs="Arial"/>
                <w:sz w:val="15"/>
                <w:szCs w:val="15"/>
              </w:rPr>
            </w:pPr>
            <w:r>
              <w:rPr>
                <w:rFonts w:ascii="Arial" w:hAnsi="Arial" w:cs="Arial"/>
                <w:sz w:val="15"/>
                <w:szCs w:val="15"/>
              </w:rPr>
              <w:t>2</w:t>
            </w:r>
          </w:p>
        </w:tc>
        <w:tc>
          <w:tcPr>
            <w:tcW w:w="7298" w:type="dxa"/>
            <w:gridSpan w:val="2"/>
            <w:tcMar>
              <w:top w:w="28" w:type="dxa"/>
              <w:bottom w:w="28" w:type="dxa"/>
            </w:tcMar>
          </w:tcPr>
          <w:p w:rsidR="00CA5C8D" w:rsidRPr="00CA5C8D" w:rsidRDefault="00436BC2">
            <w:pPr>
              <w:spacing w:before="0" w:line="240" w:lineRule="auto"/>
              <w:rPr>
                <w:rFonts w:ascii="Arial" w:hAnsi="Arial" w:cs="Arial"/>
                <w:sz w:val="15"/>
                <w:szCs w:val="15"/>
              </w:rPr>
            </w:pPr>
            <w:r w:rsidRPr="00535AAD" w:rsidDel="006738CC">
              <w:rPr>
                <w:rFonts w:ascii="Arial" w:hAnsi="Arial" w:cs="Arial"/>
                <w:sz w:val="15"/>
                <w:szCs w:val="15"/>
              </w:rPr>
              <w:t xml:space="preserve">English language courses identified as any course with </w:t>
            </w:r>
            <w:r w:rsidRPr="00535AAD">
              <w:rPr>
                <w:rFonts w:ascii="Arial" w:hAnsi="Arial" w:cs="Arial"/>
                <w:sz w:val="15"/>
                <w:szCs w:val="15"/>
              </w:rPr>
              <w:t>‘</w:t>
            </w:r>
            <w:r w:rsidRPr="00535AAD" w:rsidDel="006738CC">
              <w:rPr>
                <w:rFonts w:ascii="Arial" w:hAnsi="Arial" w:cs="Arial"/>
                <w:sz w:val="15"/>
                <w:szCs w:val="15"/>
              </w:rPr>
              <w:t>ENGLISH</w:t>
            </w:r>
            <w:r w:rsidRPr="00535AAD">
              <w:rPr>
                <w:rFonts w:ascii="Arial" w:hAnsi="Arial" w:cs="Arial"/>
                <w:sz w:val="15"/>
                <w:szCs w:val="15"/>
              </w:rPr>
              <w:t>’</w:t>
            </w:r>
            <w:r w:rsidRPr="00535AAD" w:rsidDel="006738CC">
              <w:rPr>
                <w:rFonts w:ascii="Arial" w:hAnsi="Arial" w:cs="Arial"/>
                <w:sz w:val="15"/>
                <w:szCs w:val="15"/>
              </w:rPr>
              <w:t xml:space="preserve">, </w:t>
            </w:r>
            <w:r w:rsidRPr="00535AAD">
              <w:rPr>
                <w:rFonts w:ascii="Arial" w:hAnsi="Arial" w:cs="Arial"/>
                <w:sz w:val="15"/>
                <w:szCs w:val="15"/>
              </w:rPr>
              <w:t>‘</w:t>
            </w:r>
            <w:r w:rsidRPr="00535AAD" w:rsidDel="006738CC">
              <w:rPr>
                <w:rFonts w:ascii="Arial" w:hAnsi="Arial" w:cs="Arial"/>
                <w:sz w:val="15"/>
                <w:szCs w:val="15"/>
              </w:rPr>
              <w:t>ESL</w:t>
            </w:r>
            <w:r w:rsidRPr="00535AAD">
              <w:rPr>
                <w:rFonts w:ascii="Arial" w:hAnsi="Arial" w:cs="Arial"/>
                <w:sz w:val="15"/>
                <w:szCs w:val="15"/>
              </w:rPr>
              <w:t>’</w:t>
            </w:r>
            <w:r w:rsidRPr="00535AAD" w:rsidDel="006738CC">
              <w:rPr>
                <w:rFonts w:ascii="Arial" w:hAnsi="Arial" w:cs="Arial"/>
                <w:sz w:val="15"/>
                <w:szCs w:val="15"/>
              </w:rPr>
              <w:t xml:space="preserve"> (English as a Second Language), or </w:t>
            </w:r>
            <w:r w:rsidRPr="00535AAD">
              <w:rPr>
                <w:rFonts w:ascii="Arial" w:hAnsi="Arial" w:cs="Arial"/>
                <w:sz w:val="15"/>
                <w:szCs w:val="15"/>
              </w:rPr>
              <w:t>‘</w:t>
            </w:r>
            <w:r w:rsidRPr="00535AAD" w:rsidDel="006738CC">
              <w:rPr>
                <w:rFonts w:ascii="Arial" w:hAnsi="Arial" w:cs="Arial"/>
                <w:sz w:val="15"/>
                <w:szCs w:val="15"/>
              </w:rPr>
              <w:t>ESOL</w:t>
            </w:r>
            <w:r w:rsidRPr="00535AAD">
              <w:rPr>
                <w:rFonts w:ascii="Arial" w:hAnsi="Arial" w:cs="Arial"/>
                <w:sz w:val="15"/>
                <w:szCs w:val="15"/>
              </w:rPr>
              <w:t>’</w:t>
            </w:r>
            <w:r w:rsidRPr="00535AAD" w:rsidDel="006738CC">
              <w:rPr>
                <w:rFonts w:ascii="Arial" w:hAnsi="Arial" w:cs="Arial"/>
                <w:sz w:val="15"/>
                <w:szCs w:val="15"/>
              </w:rPr>
              <w:t xml:space="preserve"> (English for Speakers of Other Languages) in its title.</w:t>
            </w:r>
            <w:r w:rsidRPr="00535AAD">
              <w:rPr>
                <w:rFonts w:ascii="Arial" w:hAnsi="Arial" w:cs="Arial"/>
                <w:sz w:val="15"/>
                <w:szCs w:val="15"/>
              </w:rPr>
              <w:t xml:space="preserve"> </w:t>
            </w:r>
            <w:r w:rsidRPr="00535AAD" w:rsidDel="006738CC">
              <w:rPr>
                <w:rFonts w:ascii="Arial" w:hAnsi="Arial" w:cs="Arial"/>
                <w:sz w:val="15"/>
                <w:szCs w:val="15"/>
              </w:rPr>
              <w:t xml:space="preserve">Basic skills courses identified as any course with </w:t>
            </w:r>
            <w:r w:rsidRPr="00535AAD">
              <w:rPr>
                <w:rFonts w:ascii="Arial" w:hAnsi="Arial" w:cs="Arial"/>
                <w:sz w:val="15"/>
                <w:szCs w:val="15"/>
              </w:rPr>
              <w:t>‘</w:t>
            </w:r>
            <w:r w:rsidRPr="00535AAD" w:rsidDel="006738CC">
              <w:rPr>
                <w:rFonts w:ascii="Arial" w:hAnsi="Arial" w:cs="Arial"/>
                <w:sz w:val="15"/>
                <w:szCs w:val="15"/>
              </w:rPr>
              <w:t>PATHWAY</w:t>
            </w:r>
            <w:r w:rsidRPr="00535AAD">
              <w:rPr>
                <w:rFonts w:ascii="Arial" w:hAnsi="Arial" w:cs="Arial"/>
                <w:sz w:val="15"/>
                <w:szCs w:val="15"/>
              </w:rPr>
              <w:t>’</w:t>
            </w:r>
            <w:r w:rsidRPr="00535AAD" w:rsidDel="006738CC">
              <w:rPr>
                <w:rFonts w:ascii="Arial" w:hAnsi="Arial" w:cs="Arial"/>
                <w:sz w:val="15"/>
                <w:szCs w:val="15"/>
              </w:rPr>
              <w:t xml:space="preserve">, </w:t>
            </w:r>
            <w:r w:rsidRPr="00535AAD">
              <w:rPr>
                <w:rFonts w:ascii="Arial" w:hAnsi="Arial" w:cs="Arial"/>
                <w:sz w:val="15"/>
                <w:szCs w:val="15"/>
              </w:rPr>
              <w:t>‘</w:t>
            </w:r>
            <w:r w:rsidRPr="00535AAD" w:rsidDel="006738CC">
              <w:rPr>
                <w:rFonts w:ascii="Arial" w:hAnsi="Arial" w:cs="Arial"/>
                <w:sz w:val="15"/>
                <w:szCs w:val="15"/>
              </w:rPr>
              <w:t>GE</w:t>
            </w:r>
            <w:r w:rsidRPr="00535AAD">
              <w:rPr>
                <w:rFonts w:ascii="Arial" w:hAnsi="Arial" w:cs="Arial"/>
                <w:sz w:val="15"/>
                <w:szCs w:val="15"/>
              </w:rPr>
              <w:t>NERAL EDUCATION’, ‘NUMERACY’</w:t>
            </w:r>
            <w:r w:rsidRPr="00535AAD" w:rsidDel="006738CC">
              <w:rPr>
                <w:rFonts w:ascii="Arial" w:hAnsi="Arial" w:cs="Arial"/>
                <w:sz w:val="15"/>
                <w:szCs w:val="15"/>
              </w:rPr>
              <w:t xml:space="preserve">, or </w:t>
            </w:r>
            <w:r w:rsidRPr="00535AAD">
              <w:rPr>
                <w:rFonts w:ascii="Arial" w:hAnsi="Arial" w:cs="Arial"/>
                <w:sz w:val="15"/>
                <w:szCs w:val="15"/>
              </w:rPr>
              <w:t>‘</w:t>
            </w:r>
            <w:r w:rsidRPr="00535AAD" w:rsidDel="006738CC">
              <w:rPr>
                <w:rFonts w:ascii="Arial" w:hAnsi="Arial" w:cs="Arial"/>
                <w:sz w:val="15"/>
                <w:szCs w:val="15"/>
              </w:rPr>
              <w:t>LITERACY</w:t>
            </w:r>
            <w:r w:rsidRPr="00535AAD">
              <w:rPr>
                <w:rFonts w:ascii="Arial" w:hAnsi="Arial" w:cs="Arial"/>
                <w:sz w:val="15"/>
                <w:szCs w:val="15"/>
              </w:rPr>
              <w:t>’</w:t>
            </w:r>
            <w:r w:rsidRPr="00535AAD" w:rsidDel="006738CC">
              <w:rPr>
                <w:rFonts w:ascii="Arial" w:hAnsi="Arial" w:cs="Arial"/>
                <w:sz w:val="15"/>
                <w:szCs w:val="15"/>
              </w:rPr>
              <w:t xml:space="preserve"> in its title.</w:t>
            </w:r>
          </w:p>
        </w:tc>
      </w:tr>
      <w:tr w:rsidR="00436BC2" w:rsidTr="00911071">
        <w:tc>
          <w:tcPr>
            <w:tcW w:w="624" w:type="dxa"/>
            <w:tcMar>
              <w:top w:w="28" w:type="dxa"/>
              <w:bottom w:w="28" w:type="dxa"/>
              <w:right w:w="0" w:type="dxa"/>
            </w:tcMar>
          </w:tcPr>
          <w:p w:rsidR="00436BC2" w:rsidRDefault="00436BC2" w:rsidP="00C82374">
            <w:pPr>
              <w:spacing w:before="0" w:line="240" w:lineRule="auto"/>
            </w:pPr>
          </w:p>
        </w:tc>
        <w:tc>
          <w:tcPr>
            <w:tcW w:w="232" w:type="dxa"/>
            <w:tcMar>
              <w:top w:w="28" w:type="dxa"/>
              <w:left w:w="57" w:type="dxa"/>
              <w:bottom w:w="28" w:type="dxa"/>
              <w:right w:w="57" w:type="dxa"/>
            </w:tcMar>
          </w:tcPr>
          <w:p w:rsidR="00436BC2" w:rsidRPr="00CA5C8D" w:rsidRDefault="00436BC2">
            <w:pPr>
              <w:spacing w:before="0" w:line="240" w:lineRule="auto"/>
              <w:rPr>
                <w:rFonts w:ascii="Arial" w:hAnsi="Arial" w:cs="Arial"/>
                <w:sz w:val="15"/>
                <w:szCs w:val="15"/>
              </w:rPr>
            </w:pPr>
            <w:r>
              <w:rPr>
                <w:rFonts w:ascii="Arial" w:hAnsi="Arial" w:cs="Arial"/>
                <w:sz w:val="15"/>
                <w:szCs w:val="15"/>
              </w:rPr>
              <w:t>3</w:t>
            </w:r>
          </w:p>
        </w:tc>
        <w:tc>
          <w:tcPr>
            <w:tcW w:w="7298" w:type="dxa"/>
            <w:gridSpan w:val="2"/>
            <w:tcMar>
              <w:top w:w="28" w:type="dxa"/>
              <w:bottom w:w="28" w:type="dxa"/>
            </w:tcMar>
          </w:tcPr>
          <w:p w:rsidR="00436BC2" w:rsidRPr="00CA5C8D" w:rsidRDefault="00436BC2" w:rsidP="00085EED">
            <w:pPr>
              <w:spacing w:before="0" w:line="240" w:lineRule="auto"/>
              <w:rPr>
                <w:rFonts w:ascii="Arial" w:hAnsi="Arial" w:cs="Arial"/>
                <w:sz w:val="15"/>
                <w:szCs w:val="15"/>
              </w:rPr>
            </w:pPr>
            <w:r w:rsidRPr="00535AAD" w:rsidDel="006738CC">
              <w:rPr>
                <w:rFonts w:ascii="Arial" w:hAnsi="Arial" w:cs="Arial"/>
                <w:sz w:val="15"/>
                <w:szCs w:val="15"/>
              </w:rPr>
              <w:t>Upskilling identifier missing for 14% of sample in 2008, 11% of sample in 2011 and 9% of sample in 2012.</w:t>
            </w:r>
          </w:p>
        </w:tc>
      </w:tr>
      <w:tr w:rsidR="00436BC2" w:rsidTr="00911071">
        <w:tc>
          <w:tcPr>
            <w:tcW w:w="624" w:type="dxa"/>
            <w:tcMar>
              <w:top w:w="28" w:type="dxa"/>
              <w:bottom w:w="28" w:type="dxa"/>
              <w:right w:w="0" w:type="dxa"/>
            </w:tcMar>
          </w:tcPr>
          <w:p w:rsidR="00436BC2" w:rsidRDefault="00436BC2" w:rsidP="00C82374">
            <w:pPr>
              <w:spacing w:before="0" w:line="240" w:lineRule="auto"/>
              <w:rPr>
                <w:rFonts w:ascii="Arial" w:hAnsi="Arial" w:cs="Arial"/>
                <w:sz w:val="15"/>
                <w:szCs w:val="15"/>
                <w:lang w:val="en-GB"/>
              </w:rPr>
            </w:pPr>
          </w:p>
        </w:tc>
        <w:tc>
          <w:tcPr>
            <w:tcW w:w="232" w:type="dxa"/>
            <w:tcMar>
              <w:top w:w="28" w:type="dxa"/>
              <w:left w:w="57" w:type="dxa"/>
              <w:bottom w:w="28" w:type="dxa"/>
              <w:right w:w="57" w:type="dxa"/>
            </w:tcMar>
          </w:tcPr>
          <w:p w:rsidR="00436BC2" w:rsidRPr="00CA5C8D" w:rsidRDefault="00436BC2">
            <w:pPr>
              <w:spacing w:before="0" w:line="240" w:lineRule="auto"/>
              <w:rPr>
                <w:rFonts w:ascii="Arial" w:hAnsi="Arial" w:cs="Arial"/>
                <w:sz w:val="15"/>
                <w:szCs w:val="15"/>
              </w:rPr>
            </w:pPr>
            <w:r>
              <w:rPr>
                <w:rFonts w:ascii="Arial" w:hAnsi="Arial" w:cs="Arial"/>
                <w:sz w:val="15"/>
                <w:szCs w:val="15"/>
              </w:rPr>
              <w:t>4</w:t>
            </w:r>
          </w:p>
        </w:tc>
        <w:tc>
          <w:tcPr>
            <w:tcW w:w="7298" w:type="dxa"/>
            <w:gridSpan w:val="2"/>
            <w:tcMar>
              <w:top w:w="28" w:type="dxa"/>
              <w:bottom w:w="28" w:type="dxa"/>
            </w:tcMar>
          </w:tcPr>
          <w:p w:rsidR="00436BC2" w:rsidRPr="00CA5C8D" w:rsidRDefault="00436BC2" w:rsidP="00DF2BBB">
            <w:pPr>
              <w:spacing w:before="0" w:line="240" w:lineRule="auto"/>
              <w:rPr>
                <w:rFonts w:ascii="Arial" w:hAnsi="Arial" w:cs="Arial"/>
                <w:sz w:val="15"/>
                <w:szCs w:val="15"/>
              </w:rPr>
            </w:pPr>
            <w:r w:rsidRPr="00535AAD" w:rsidDel="006738CC">
              <w:rPr>
                <w:rFonts w:ascii="Arial" w:hAnsi="Arial" w:cs="Arial"/>
                <w:sz w:val="15"/>
                <w:szCs w:val="15"/>
              </w:rPr>
              <w:t xml:space="preserve">Occupational classification identified from 4-digit ANZSCO code; courses without an ANZSCO code identified as </w:t>
            </w:r>
            <w:r w:rsidRPr="00535AAD">
              <w:rPr>
                <w:rFonts w:ascii="Arial" w:hAnsi="Arial" w:cs="Arial"/>
                <w:sz w:val="15"/>
                <w:szCs w:val="15"/>
              </w:rPr>
              <w:t>‘</w:t>
            </w:r>
            <w:r w:rsidR="00DF2BBB">
              <w:rPr>
                <w:rFonts w:ascii="Arial" w:hAnsi="Arial" w:cs="Arial"/>
                <w:sz w:val="15"/>
                <w:szCs w:val="15"/>
              </w:rPr>
              <w:t>Missing (not related to an occupation)</w:t>
            </w:r>
            <w:r w:rsidRPr="00535AAD">
              <w:rPr>
                <w:rFonts w:ascii="Arial" w:hAnsi="Arial" w:cs="Arial"/>
                <w:sz w:val="15"/>
                <w:szCs w:val="15"/>
              </w:rPr>
              <w:t>’</w:t>
            </w:r>
            <w:r w:rsidRPr="00535AAD" w:rsidDel="006738CC">
              <w:rPr>
                <w:rFonts w:ascii="Arial" w:hAnsi="Arial" w:cs="Arial"/>
                <w:sz w:val="15"/>
                <w:szCs w:val="15"/>
              </w:rPr>
              <w:t>.</w:t>
            </w:r>
          </w:p>
        </w:tc>
      </w:tr>
      <w:tr w:rsidR="00436BC2" w:rsidTr="00911071">
        <w:tc>
          <w:tcPr>
            <w:tcW w:w="624" w:type="dxa"/>
            <w:tcMar>
              <w:top w:w="28" w:type="dxa"/>
              <w:bottom w:w="28" w:type="dxa"/>
              <w:right w:w="0" w:type="dxa"/>
            </w:tcMar>
          </w:tcPr>
          <w:p w:rsidR="00436BC2" w:rsidRDefault="00436BC2" w:rsidP="00C82374">
            <w:pPr>
              <w:spacing w:before="0" w:line="240" w:lineRule="auto"/>
            </w:pPr>
          </w:p>
        </w:tc>
        <w:tc>
          <w:tcPr>
            <w:tcW w:w="232" w:type="dxa"/>
            <w:tcMar>
              <w:top w:w="28" w:type="dxa"/>
              <w:left w:w="57" w:type="dxa"/>
              <w:bottom w:w="28" w:type="dxa"/>
              <w:right w:w="57" w:type="dxa"/>
            </w:tcMar>
          </w:tcPr>
          <w:p w:rsidR="00436BC2" w:rsidRPr="00CA5C8D" w:rsidRDefault="00436BC2">
            <w:pPr>
              <w:spacing w:before="0" w:line="240" w:lineRule="auto"/>
              <w:rPr>
                <w:rFonts w:ascii="Arial" w:hAnsi="Arial" w:cs="Arial"/>
                <w:sz w:val="15"/>
                <w:szCs w:val="15"/>
              </w:rPr>
            </w:pPr>
            <w:r>
              <w:rPr>
                <w:rFonts w:ascii="Arial" w:hAnsi="Arial" w:cs="Arial"/>
                <w:sz w:val="15"/>
                <w:szCs w:val="15"/>
              </w:rPr>
              <w:t>5</w:t>
            </w:r>
          </w:p>
        </w:tc>
        <w:tc>
          <w:tcPr>
            <w:tcW w:w="7298" w:type="dxa"/>
            <w:gridSpan w:val="2"/>
            <w:tcMar>
              <w:top w:w="28" w:type="dxa"/>
              <w:bottom w:w="28" w:type="dxa"/>
            </w:tcMar>
          </w:tcPr>
          <w:p w:rsidR="00436BC2" w:rsidRPr="00CA5C8D" w:rsidRDefault="00436BC2">
            <w:pPr>
              <w:spacing w:before="0" w:line="240" w:lineRule="auto"/>
              <w:rPr>
                <w:rFonts w:ascii="Arial" w:hAnsi="Arial" w:cs="Arial"/>
                <w:sz w:val="15"/>
                <w:szCs w:val="15"/>
              </w:rPr>
            </w:pPr>
            <w:r w:rsidRPr="00535AAD" w:rsidDel="006738CC">
              <w:rPr>
                <w:rFonts w:ascii="Arial" w:hAnsi="Arial" w:cs="Arial"/>
                <w:sz w:val="15"/>
                <w:szCs w:val="15"/>
              </w:rPr>
              <w:t>Disability identified in the VETPC by indivi</w:t>
            </w:r>
            <w:r w:rsidRPr="00535AAD">
              <w:rPr>
                <w:rFonts w:ascii="Arial" w:hAnsi="Arial" w:cs="Arial"/>
                <w:sz w:val="15"/>
                <w:szCs w:val="15"/>
              </w:rPr>
              <w:t>dual responses to the question ‘</w:t>
            </w:r>
            <w:r w:rsidRPr="00535AAD" w:rsidDel="006738CC">
              <w:rPr>
                <w:rFonts w:ascii="Arial" w:hAnsi="Arial" w:cs="Arial"/>
                <w:sz w:val="15"/>
                <w:szCs w:val="15"/>
              </w:rPr>
              <w:t>Do you consider yourself to have a disability, impa</w:t>
            </w:r>
            <w:r w:rsidRPr="00535AAD">
              <w:rPr>
                <w:rFonts w:ascii="Arial" w:hAnsi="Arial" w:cs="Arial"/>
                <w:sz w:val="15"/>
                <w:szCs w:val="15"/>
              </w:rPr>
              <w:t>irment or long-term condition?’</w:t>
            </w:r>
          </w:p>
        </w:tc>
      </w:tr>
      <w:tr w:rsidR="00436BC2" w:rsidTr="00911071">
        <w:trPr>
          <w:gridAfter w:val="1"/>
          <w:wAfter w:w="171" w:type="dxa"/>
        </w:trPr>
        <w:tc>
          <w:tcPr>
            <w:tcW w:w="624" w:type="dxa"/>
            <w:tcMar>
              <w:top w:w="28" w:type="dxa"/>
              <w:bottom w:w="28" w:type="dxa"/>
              <w:right w:w="0" w:type="dxa"/>
            </w:tcMar>
          </w:tcPr>
          <w:p w:rsidR="00436BC2" w:rsidRPr="0054771E" w:rsidRDefault="00436BC2" w:rsidP="00011633">
            <w:pPr>
              <w:spacing w:before="0" w:line="240" w:lineRule="auto"/>
              <w:rPr>
                <w:sz w:val="15"/>
                <w:szCs w:val="15"/>
              </w:rPr>
            </w:pPr>
            <w:r w:rsidRPr="0054771E">
              <w:rPr>
                <w:rFonts w:ascii="Arial" w:hAnsi="Arial" w:cs="Arial"/>
                <w:sz w:val="15"/>
                <w:szCs w:val="15"/>
                <w:lang w:val="en-GB"/>
              </w:rPr>
              <w:t>Source:</w:t>
            </w:r>
          </w:p>
        </w:tc>
        <w:tc>
          <w:tcPr>
            <w:tcW w:w="7359" w:type="dxa"/>
            <w:gridSpan w:val="2"/>
            <w:tcMar>
              <w:top w:w="28" w:type="dxa"/>
              <w:bottom w:w="28" w:type="dxa"/>
            </w:tcMar>
          </w:tcPr>
          <w:p w:rsidR="00436BC2" w:rsidRPr="00CA5C8D" w:rsidRDefault="00436BC2">
            <w:pPr>
              <w:spacing w:before="0" w:line="240" w:lineRule="auto"/>
              <w:rPr>
                <w:rFonts w:ascii="Arial" w:hAnsi="Arial" w:cs="Arial"/>
                <w:sz w:val="15"/>
                <w:szCs w:val="15"/>
              </w:rPr>
            </w:pPr>
            <w:r>
              <w:rPr>
                <w:rFonts w:ascii="Arial" w:hAnsi="Arial" w:cs="Arial"/>
                <w:sz w:val="15"/>
                <w:szCs w:val="15"/>
                <w:lang w:val="en-GB"/>
              </w:rPr>
              <w:t>Authors’</w:t>
            </w:r>
            <w:r w:rsidRPr="00535AAD" w:rsidDel="006738CC">
              <w:rPr>
                <w:rFonts w:ascii="Arial" w:hAnsi="Arial" w:cs="Arial"/>
                <w:sz w:val="15"/>
                <w:szCs w:val="15"/>
                <w:lang w:val="en-GB"/>
              </w:rPr>
              <w:t xml:space="preserve"> calculations.</w:t>
            </w:r>
            <w:r w:rsidRPr="00535AAD">
              <w:rPr>
                <w:rFonts w:ascii="Arial" w:hAnsi="Arial" w:cs="Arial"/>
                <w:sz w:val="15"/>
                <w:szCs w:val="15"/>
                <w:lang w:val="en-GB"/>
              </w:rPr>
              <w:t xml:space="preserve"> </w:t>
            </w:r>
            <w:r w:rsidRPr="00535AAD" w:rsidDel="006738CC">
              <w:rPr>
                <w:rFonts w:ascii="Arial" w:hAnsi="Arial" w:cs="Arial"/>
                <w:sz w:val="15"/>
                <w:szCs w:val="15"/>
                <w:lang w:val="en-GB"/>
              </w:rPr>
              <w:t>Enrolment numbers evaluated from VETPC micro-data.</w:t>
            </w:r>
          </w:p>
        </w:tc>
      </w:tr>
    </w:tbl>
    <w:p w:rsidR="00856118" w:rsidRDefault="00856118">
      <w:pPr>
        <w:spacing w:before="0" w:line="240" w:lineRule="auto"/>
        <w:sectPr w:rsidR="00856118" w:rsidSect="00011633">
          <w:footerReference w:type="even" r:id="rId58"/>
          <w:footerReference w:type="default" r:id="rId59"/>
          <w:pgSz w:w="11907" w:h="16840" w:code="9"/>
          <w:pgMar w:top="1276" w:right="2835" w:bottom="992" w:left="1134" w:header="709" w:footer="556" w:gutter="0"/>
          <w:cols w:space="708"/>
          <w:docGrid w:linePitch="360"/>
        </w:sectPr>
      </w:pPr>
    </w:p>
    <w:p w:rsidR="00606061" w:rsidRPr="009F3844" w:rsidRDefault="00DC2FE3" w:rsidP="00A93A9F">
      <w:pPr>
        <w:spacing w:before="0" w:line="240" w:lineRule="auto"/>
        <w:rPr>
          <w:noProof/>
        </w:rPr>
      </w:pPr>
      <w:r w:rsidRPr="009F3844">
        <w:rPr>
          <w:noProof/>
          <w:lang w:eastAsia="en-AU"/>
        </w:rPr>
        <w:lastRenderedPageBreak/>
        <w:drawing>
          <wp:anchor distT="0" distB="0" distL="114300" distR="114300" simplePos="0" relativeHeight="251649024" behindDoc="0" locked="0" layoutInCell="1" allowOverlap="1" wp14:anchorId="5A469788" wp14:editId="61301126">
            <wp:simplePos x="0" y="0"/>
            <wp:positionH relativeFrom="column">
              <wp:posOffset>3112770</wp:posOffset>
            </wp:positionH>
            <wp:positionV relativeFrom="paragraph">
              <wp:posOffset>6923405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246BBF">
        <w:rPr>
          <w:noProof/>
          <w:lang w:eastAsia="en-AU"/>
        </w:rPr>
        <w:drawing>
          <wp:anchor distT="0" distB="0" distL="114300" distR="114300" simplePos="0" relativeHeight="251652096" behindDoc="0" locked="0" layoutInCell="1" allowOverlap="1" wp14:anchorId="343CD152" wp14:editId="1C36F548">
            <wp:simplePos x="0" y="0"/>
            <wp:positionH relativeFrom="column">
              <wp:posOffset>1775460</wp:posOffset>
            </wp:positionH>
            <wp:positionV relativeFrom="paragraph">
              <wp:posOffset>8755380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653120" behindDoc="0" locked="0" layoutInCell="1" allowOverlap="1" wp14:anchorId="324FE028" wp14:editId="3D5724E4">
            <wp:simplePos x="0" y="0"/>
            <wp:positionH relativeFrom="column">
              <wp:posOffset>3259455</wp:posOffset>
            </wp:positionH>
            <wp:positionV relativeFrom="paragraph">
              <wp:posOffset>8752205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51072" behindDoc="0" locked="0" layoutInCell="1" allowOverlap="1" wp14:anchorId="601F6293" wp14:editId="2F159445">
                <wp:simplePos x="0" y="0"/>
                <wp:positionH relativeFrom="column">
                  <wp:posOffset>316865</wp:posOffset>
                </wp:positionH>
                <wp:positionV relativeFrom="paragraph">
                  <wp:posOffset>7623810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EED" w:rsidRPr="006E0B9E" w:rsidRDefault="00085EED" w:rsidP="009F3844">
                            <w:pPr>
                              <w:jc w:val="right"/>
                              <w:rPr>
                                <w:rFonts w:ascii="Arial" w:hAnsi="Arial" w:cs="Arial"/>
                                <w:b/>
                              </w:rPr>
                            </w:pPr>
                            <w:r w:rsidRPr="006E0B9E">
                              <w:rPr>
                                <w:rFonts w:ascii="Arial" w:hAnsi="Arial" w:cs="Arial"/>
                                <w:b/>
                              </w:rPr>
                              <w:t>National Centre for Vocational Education Research</w:t>
                            </w:r>
                          </w:p>
                          <w:p w:rsidR="00085EED" w:rsidRPr="006E0B9E" w:rsidRDefault="00085EED"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085EED" w:rsidRPr="006E0B9E" w:rsidRDefault="00085EED"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085EED" w:rsidRPr="006E0B9E" w:rsidRDefault="00085EED"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62" w:history="1">
                              <w:r w:rsidRPr="006C271D">
                                <w:rPr>
                                  <w:rStyle w:val="Hyperlink"/>
                                  <w:rFonts w:ascii="Arial" w:hAnsi="Arial" w:cs="Arial"/>
                                  <w:sz w:val="16"/>
                                  <w:szCs w:val="16"/>
                                </w:rPr>
                                <w:t>http://www.lsay.edu.au</w:t>
                              </w:r>
                            </w:hyperlink>
                            <w:r w:rsidRPr="006C271D">
                              <w:rPr>
                                <w:rFonts w:ascii="Arial" w:hAnsi="Arial" w:cs="Arial"/>
                                <w:szCs w:val="16"/>
                              </w:rPr>
                              <w:t>&gt;</w:t>
                            </w:r>
                          </w:p>
                          <w:p w:rsidR="00085EED" w:rsidRPr="006E0B9E" w:rsidRDefault="00085EE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1D1864">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085EED" w:rsidRPr="009F3844" w:rsidRDefault="00085EED"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24.95pt;margin-top:600.3pt;width:405pt;height:1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" filled="f" stroked="f" strokeweight=".5pt">
                <v:path arrowok="t"/>
                <v:textbox>
                  <w:txbxContent>
                    <w:p w:rsidR="00085EED" w:rsidRPr="006E0B9E" w:rsidRDefault="00085EED" w:rsidP="009F3844">
                      <w:pPr>
                        <w:jc w:val="right"/>
                        <w:rPr>
                          <w:rFonts w:ascii="Arial" w:hAnsi="Arial" w:cs="Arial"/>
                          <w:b/>
                        </w:rPr>
                      </w:pPr>
                      <w:r w:rsidRPr="006E0B9E">
                        <w:rPr>
                          <w:rFonts w:ascii="Arial" w:hAnsi="Arial" w:cs="Arial"/>
                          <w:b/>
                        </w:rPr>
                        <w:t>National Centre for Vocational Education Research</w:t>
                      </w:r>
                    </w:p>
                    <w:p w:rsidR="00085EED" w:rsidRPr="006E0B9E" w:rsidRDefault="00085EED"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085EED" w:rsidRPr="006E0B9E" w:rsidRDefault="00085EED"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085EED" w:rsidRPr="006E0B9E" w:rsidRDefault="00085EED"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5"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66" w:history="1">
                        <w:r w:rsidRPr="006C271D">
                          <w:rPr>
                            <w:rStyle w:val="Hyperlink"/>
                            <w:rFonts w:ascii="Arial" w:hAnsi="Arial" w:cs="Arial"/>
                            <w:sz w:val="16"/>
                            <w:szCs w:val="16"/>
                          </w:rPr>
                          <w:t>http://www.lsay.edu.au</w:t>
                        </w:r>
                      </w:hyperlink>
                      <w:r w:rsidRPr="006C271D">
                        <w:rPr>
                          <w:rFonts w:ascii="Arial" w:hAnsi="Arial" w:cs="Arial"/>
                          <w:szCs w:val="16"/>
                        </w:rPr>
                        <w:t>&gt;</w:t>
                      </w:r>
                    </w:p>
                    <w:p w:rsidR="00085EED" w:rsidRPr="006E0B9E" w:rsidRDefault="00085EE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7" w:history="1">
                        <w:r w:rsidRPr="001D1864">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085EED" w:rsidRPr="009F3844" w:rsidRDefault="00085EED" w:rsidP="009F3844">
                      <w:pPr>
                        <w:rPr>
                          <w:rFonts w:ascii="Arial" w:hAnsi="Arial" w:cs="Arial"/>
                          <w:sz w:val="16"/>
                          <w:szCs w:val="16"/>
                        </w:rPr>
                      </w:pPr>
                    </w:p>
                  </w:txbxContent>
                </v:textbox>
              </v:shape>
            </w:pict>
          </mc:Fallback>
        </mc:AlternateContent>
      </w:r>
      <w:r w:rsidR="001F573F" w:rsidRPr="009F3844">
        <w:rPr>
          <w:noProof/>
          <w:lang w:eastAsia="en-AU"/>
        </w:rPr>
        <w:drawing>
          <wp:anchor distT="0" distB="0" distL="114300" distR="114300" simplePos="0" relativeHeight="251650048" behindDoc="0" locked="0" layoutInCell="1" allowOverlap="1" wp14:anchorId="3153AEFE" wp14:editId="726D2488">
            <wp:simplePos x="0" y="0"/>
            <wp:positionH relativeFrom="column">
              <wp:posOffset>-1768096</wp:posOffset>
            </wp:positionH>
            <wp:positionV relativeFrom="paragraph">
              <wp:posOffset>9121140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011633">
      <w:footerReference w:type="even" r:id="rId69"/>
      <w:footerReference w:type="default" r:id="rId70"/>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EED" w:rsidRDefault="00085EED">
      <w:r>
        <w:separator/>
      </w:r>
    </w:p>
    <w:p w:rsidR="00085EED" w:rsidRDefault="00085EED"/>
  </w:endnote>
  <w:endnote w:type="continuationSeparator" w:id="0">
    <w:p w:rsidR="00085EED" w:rsidRDefault="00085EED">
      <w:r>
        <w:continuationSeparator/>
      </w:r>
    </w:p>
    <w:p w:rsidR="00085EED" w:rsidRDefault="00085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C83D73" w:rsidRDefault="00085EED"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513938" w:rsidRDefault="00085EED" w:rsidP="008456DB">
    <w:pPr>
      <w:pStyle w:val="Footer"/>
      <w:tabs>
        <w:tab w:val="clear" w:pos="7655"/>
        <w:tab w:val="left" w:pos="9526"/>
        <w:tab w:val="right" w:pos="9923"/>
      </w:tabs>
      <w:ind w:hanging="284"/>
      <w:rPr>
        <w:color w:val="000000" w:themeColor="text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8456DB" w:rsidRDefault="00085EED" w:rsidP="008456DB">
    <w:pPr>
      <w:pStyle w:val="Footer"/>
      <w:tabs>
        <w:tab w:val="clear" w:pos="7655"/>
        <w:tab w:val="right" w:pos="8364"/>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C0547">
      <w:rPr>
        <w:noProof/>
        <w:color w:val="000000" w:themeColor="text1"/>
      </w:rPr>
      <w:t>20</w:t>
    </w:r>
    <w:r w:rsidRPr="00606061">
      <w:rPr>
        <w:b w:val="0"/>
        <w:color w:val="000000" w:themeColor="text1"/>
      </w:rPr>
      <w:fldChar w:fldCharType="end"/>
    </w:r>
    <w:r w:rsidRPr="00606061">
      <w:rPr>
        <w:color w:val="000000" w:themeColor="text1"/>
      </w:rPr>
      <w:tab/>
    </w:r>
    <w:r>
      <w:rPr>
        <w:color w:val="000000" w:themeColor="text1"/>
      </w:rPr>
      <w:tab/>
      <w:t>Making ‘good choices’: the impact of entitlement models on upskilling later in life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513938" w:rsidRDefault="00085EED" w:rsidP="008456DB">
    <w:pPr>
      <w:pStyle w:val="Footer"/>
      <w:tabs>
        <w:tab w:val="clear" w:pos="7655"/>
        <w:tab w:val="left" w:pos="9526"/>
        <w:tab w:val="right" w:pos="9923"/>
      </w:tabs>
      <w:ind w:hanging="284"/>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EC0547">
      <w:rPr>
        <w:rStyle w:val="PageNumber"/>
        <w:rFonts w:ascii="Arial" w:hAnsi="Arial"/>
        <w:noProof/>
        <w:color w:val="000000" w:themeColor="text1"/>
        <w:sz w:val="17"/>
      </w:rPr>
      <w:t>19</w:t>
    </w:r>
    <w:r w:rsidRPr="00513938">
      <w:rPr>
        <w:rStyle w:val="PageNumber"/>
        <w:rFonts w:ascii="Arial" w:hAnsi="Arial"/>
        <w:b w:val="0"/>
        <w:color w:val="000000" w:themeColor="text1"/>
        <w:sz w:val="17"/>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513938" w:rsidRDefault="00085EED" w:rsidP="008456DB">
    <w:pPr>
      <w:pStyle w:val="Footer"/>
      <w:tabs>
        <w:tab w:val="clear" w:pos="7655"/>
        <w:tab w:val="left" w:pos="9526"/>
        <w:tab w:val="right" w:pos="9923"/>
      </w:tabs>
      <w:ind w:hanging="284"/>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EC0547">
      <w:rPr>
        <w:rStyle w:val="PageNumber"/>
        <w:rFonts w:ascii="Arial" w:hAnsi="Arial"/>
        <w:noProof/>
        <w:color w:val="000000" w:themeColor="text1"/>
        <w:sz w:val="17"/>
      </w:rPr>
      <w:t>21</w:t>
    </w:r>
    <w:r w:rsidRPr="00513938">
      <w:rPr>
        <w:rStyle w:val="PageNumber"/>
        <w:rFonts w:ascii="Arial" w:hAnsi="Arial"/>
        <w:b w:val="0"/>
        <w:color w:val="000000" w:themeColor="text1"/>
        <w:sz w:val="17"/>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8456DB" w:rsidRDefault="00085EED" w:rsidP="008456DB">
    <w:pPr>
      <w:pStyle w:val="Footer"/>
      <w:tabs>
        <w:tab w:val="clear" w:pos="7655"/>
        <w:tab w:val="right" w:pos="8364"/>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C0547">
      <w:rPr>
        <w:noProof/>
        <w:color w:val="000000" w:themeColor="text1"/>
      </w:rPr>
      <w:t>42</w:t>
    </w:r>
    <w:r w:rsidRPr="00606061">
      <w:rPr>
        <w:b w:val="0"/>
        <w:color w:val="000000" w:themeColor="text1"/>
      </w:rPr>
      <w:fldChar w:fldCharType="end"/>
    </w:r>
    <w:r w:rsidRPr="00606061">
      <w:rPr>
        <w:color w:val="000000" w:themeColor="text1"/>
      </w:rPr>
      <w:tab/>
    </w:r>
    <w:r>
      <w:rPr>
        <w:color w:val="000000" w:themeColor="text1"/>
      </w:rPr>
      <w:tab/>
      <w:t>Making ‘good choices’: the impact of entitlement models on upskilling later in life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513938" w:rsidRDefault="00085EED" w:rsidP="008456DB">
    <w:pPr>
      <w:pStyle w:val="Footer"/>
      <w:tabs>
        <w:tab w:val="clear" w:pos="7655"/>
        <w:tab w:val="left" w:pos="9526"/>
        <w:tab w:val="right" w:pos="9923"/>
      </w:tabs>
      <w:ind w:hanging="284"/>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EC0547">
      <w:rPr>
        <w:rStyle w:val="PageNumber"/>
        <w:rFonts w:ascii="Arial" w:hAnsi="Arial"/>
        <w:noProof/>
        <w:color w:val="000000" w:themeColor="text1"/>
        <w:sz w:val="17"/>
      </w:rPr>
      <w:t>41</w:t>
    </w:r>
    <w:r w:rsidRPr="00513938">
      <w:rPr>
        <w:rStyle w:val="PageNumber"/>
        <w:rFonts w:ascii="Arial" w:hAnsi="Arial"/>
        <w:b w:val="0"/>
        <w:color w:val="000000" w:themeColor="text1"/>
        <w:sz w:val="17"/>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8456DB" w:rsidRDefault="00085EED" w:rsidP="008456DB">
    <w:pPr>
      <w:pStyle w:val="Footer"/>
      <w:tabs>
        <w:tab w:val="clear" w:pos="7655"/>
        <w:tab w:val="right" w:pos="8364"/>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C0547">
      <w:rPr>
        <w:noProof/>
        <w:color w:val="000000" w:themeColor="text1"/>
      </w:rPr>
      <w:t>48</w:t>
    </w:r>
    <w:r w:rsidRPr="00606061">
      <w:rPr>
        <w:b w:val="0"/>
        <w:color w:val="000000" w:themeColor="text1"/>
      </w:rPr>
      <w:fldChar w:fldCharType="end"/>
    </w:r>
    <w:r w:rsidRPr="00606061">
      <w:rPr>
        <w:color w:val="000000" w:themeColor="text1"/>
      </w:rPr>
      <w:tab/>
    </w:r>
    <w:r>
      <w:rPr>
        <w:color w:val="000000" w:themeColor="text1"/>
      </w:rPr>
      <w:tab/>
      <w:t>Making ‘good choices’: the impact of entitlement models on upskilling later in life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513938" w:rsidRDefault="00085EED" w:rsidP="008456DB">
    <w:pPr>
      <w:pStyle w:val="Footer"/>
      <w:tabs>
        <w:tab w:val="clear" w:pos="7655"/>
        <w:tab w:val="left" w:pos="9526"/>
        <w:tab w:val="right" w:pos="9923"/>
      </w:tabs>
      <w:ind w:hanging="284"/>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EC0547">
      <w:rPr>
        <w:rStyle w:val="PageNumber"/>
        <w:rFonts w:ascii="Arial" w:hAnsi="Arial"/>
        <w:noProof/>
        <w:color w:val="000000" w:themeColor="text1"/>
        <w:sz w:val="17"/>
      </w:rPr>
      <w:t>49</w:t>
    </w:r>
    <w:r w:rsidRPr="00513938">
      <w:rPr>
        <w:rStyle w:val="PageNumber"/>
        <w:rFonts w:ascii="Arial" w:hAnsi="Arial"/>
        <w:b w:val="0"/>
        <w:color w:val="000000" w:themeColor="text1"/>
        <w:sz w:val="17"/>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9F3844" w:rsidRDefault="00085EED" w:rsidP="009F384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9F3844" w:rsidRDefault="00085EED"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C83D73" w:rsidRDefault="00085EED"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4B031A" w:rsidRDefault="00085EED"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214ED0" w:rsidRDefault="00085EED"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606061" w:rsidRDefault="00085EED" w:rsidP="00A1314F">
    <w:pPr>
      <w:pStyle w:val="Footer"/>
      <w:tabs>
        <w:tab w:val="clear" w:pos="7655"/>
        <w:tab w:val="right" w:pos="8505"/>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C0547">
      <w:rPr>
        <w:noProof/>
        <w:color w:val="000000" w:themeColor="text1"/>
      </w:rPr>
      <w:t>6</w:t>
    </w:r>
    <w:r w:rsidRPr="00606061">
      <w:rPr>
        <w:b w:val="0"/>
        <w:color w:val="000000" w:themeColor="text1"/>
      </w:rPr>
      <w:fldChar w:fldCharType="end"/>
    </w:r>
    <w:r w:rsidRPr="00606061">
      <w:rPr>
        <w:color w:val="000000" w:themeColor="text1"/>
      </w:rPr>
      <w:tab/>
    </w:r>
    <w:r>
      <w:rPr>
        <w:color w:val="000000" w:themeColor="text1"/>
      </w:rPr>
      <w:tab/>
      <w:t>Making ‘good’ choices: the impact of entitlement models on upskilling later in life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513938" w:rsidRDefault="00085EED" w:rsidP="008456DB">
    <w:pPr>
      <w:pStyle w:val="Footer"/>
      <w:tabs>
        <w:tab w:val="clear" w:pos="7655"/>
        <w:tab w:val="left" w:pos="9526"/>
        <w:tab w:val="right" w:pos="9923"/>
      </w:tabs>
      <w:ind w:hanging="284"/>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EC0547">
      <w:rPr>
        <w:rStyle w:val="PageNumber"/>
        <w:rFonts w:ascii="Arial" w:hAnsi="Arial"/>
        <w:noProof/>
        <w:color w:val="000000" w:themeColor="text1"/>
        <w:sz w:val="17"/>
      </w:rPr>
      <w:t>7</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606061" w:rsidRDefault="00085EED" w:rsidP="008456DB">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C0547">
      <w:rPr>
        <w:noProof/>
        <w:color w:val="000000" w:themeColor="text1"/>
      </w:rPr>
      <w:t>14</w:t>
    </w:r>
    <w:r w:rsidRPr="00606061">
      <w:rPr>
        <w:b w:val="0"/>
        <w:color w:val="000000" w:themeColor="text1"/>
      </w:rPr>
      <w:fldChar w:fldCharType="end"/>
    </w:r>
    <w:r w:rsidRPr="00606061">
      <w:rPr>
        <w:color w:val="000000" w:themeColor="text1"/>
      </w:rPr>
      <w:tab/>
    </w:r>
    <w:r>
      <w:rPr>
        <w:color w:val="000000" w:themeColor="text1"/>
      </w:rPr>
      <w:tab/>
      <w:t>Making ‘good’ choices: the impact of entitlement models on upskilling later in life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513938" w:rsidRDefault="00085EED" w:rsidP="008456DB">
    <w:pPr>
      <w:pStyle w:val="Footer"/>
      <w:tabs>
        <w:tab w:val="clear" w:pos="7655"/>
        <w:tab w:val="left" w:pos="9526"/>
        <w:tab w:val="right" w:pos="9923"/>
      </w:tabs>
      <w:ind w:hanging="284"/>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EC0547">
      <w:rPr>
        <w:rStyle w:val="PageNumber"/>
        <w:rFonts w:ascii="Arial" w:hAnsi="Arial"/>
        <w:noProof/>
        <w:color w:val="000000" w:themeColor="text1"/>
        <w:sz w:val="17"/>
      </w:rPr>
      <w:t>15</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FE1D0A" w:rsidRDefault="00085EED" w:rsidP="00FE1D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EED" w:rsidRDefault="00085EED">
      <w:r>
        <w:separator/>
      </w:r>
    </w:p>
  </w:footnote>
  <w:footnote w:type="continuationSeparator" w:id="0">
    <w:p w:rsidR="00085EED" w:rsidRDefault="00085EED">
      <w:r>
        <w:continuationSeparator/>
      </w:r>
    </w:p>
    <w:p w:rsidR="00085EED" w:rsidRDefault="00085EED"/>
  </w:footnote>
  <w:footnote w:id="1">
    <w:p w:rsidR="00085EED" w:rsidRPr="00F2109F" w:rsidRDefault="00085EED" w:rsidP="002910DA">
      <w:pPr>
        <w:pStyle w:val="FootnoteText"/>
        <w:ind w:left="170" w:hanging="170"/>
        <w:rPr>
          <w:rStyle w:val="FootnoteReference"/>
          <w:vertAlign w:val="baseline"/>
        </w:rPr>
      </w:pPr>
      <w:r w:rsidRPr="00F254C9">
        <w:rPr>
          <w:rStyle w:val="FootnoteReference"/>
          <w:vertAlign w:val="baseline"/>
        </w:rPr>
        <w:footnoteRef/>
      </w:r>
      <w:r>
        <w:t xml:space="preserve">  </w:t>
      </w:r>
      <w:r w:rsidRPr="00F2109F">
        <w:rPr>
          <w:rStyle w:val="FootnoteReference"/>
          <w:vertAlign w:val="baseline"/>
        </w:rPr>
        <w:t>As at 1 January 2017, the Victorian Training Guarantee was superseded by Skills First http://www.education.vic.gov.au/skillsfirst</w:t>
      </w:r>
    </w:p>
  </w:footnote>
  <w:footnote w:id="2">
    <w:p w:rsidR="00085EED" w:rsidRDefault="00085EED">
      <w:pPr>
        <w:pStyle w:val="FootnoteText"/>
      </w:pPr>
      <w:r w:rsidRPr="00F2109F">
        <w:rPr>
          <w:rStyle w:val="FootnoteReference"/>
          <w:vertAlign w:val="baseline"/>
        </w:rPr>
        <w:footnoteRef/>
      </w:r>
      <w:r w:rsidRPr="00F2109F">
        <w:t xml:space="preserve"> </w:t>
      </w:r>
      <w:r>
        <w:tab/>
        <w:t xml:space="preserve">We also attempted to cross-check these results against data from the Survey of Education and Work (SEW), which has information on participation in all VET courses, to quantify the magnitude of any bias. However, estimates from this survey did not provide any conclusive evidence on the magnitude of any bias because, despite collecting information on participation in all VET courses, the rates of VET participation were well below those estimated in the National VET Provider Collection. </w:t>
      </w:r>
    </w:p>
  </w:footnote>
  <w:footnote w:id="3">
    <w:p w:rsidR="00085EED" w:rsidRDefault="00085EED" w:rsidP="00EA186F">
      <w:pPr>
        <w:pStyle w:val="FootnoteText"/>
      </w:pPr>
      <w:r w:rsidRPr="00F2109F">
        <w:rPr>
          <w:rStyle w:val="FootnoteReference"/>
          <w:vertAlign w:val="baseline"/>
        </w:rPr>
        <w:footnoteRef/>
      </w:r>
      <w:r w:rsidRPr="00FE1D0A">
        <w:t xml:space="preserve"> </w:t>
      </w:r>
      <w:r>
        <w:tab/>
      </w:r>
      <w:proofErr w:type="spellStart"/>
      <w:r>
        <w:t>McVicar</w:t>
      </w:r>
      <w:proofErr w:type="spellEnd"/>
      <w:r>
        <w:t xml:space="preserve"> and </w:t>
      </w:r>
      <w:proofErr w:type="spellStart"/>
      <w:r>
        <w:t>Polidano</w:t>
      </w:r>
      <w:proofErr w:type="spellEnd"/>
      <w:r>
        <w:t xml:space="preserve"> (2015) report a 3.9-percentage-point increase in the proportion of enrolments in skill shortages and 2.3% improvement in expected graduate wages for 15 to 19-year-olds.</w:t>
      </w:r>
    </w:p>
  </w:footnote>
  <w:footnote w:id="4">
    <w:p w:rsidR="00085EED" w:rsidRDefault="00085EED">
      <w:pPr>
        <w:pStyle w:val="FootnoteText"/>
      </w:pPr>
      <w:r w:rsidRPr="00F2109F">
        <w:rPr>
          <w:rStyle w:val="FootnoteReference"/>
          <w:vertAlign w:val="baseline"/>
        </w:rPr>
        <w:footnoteRef/>
      </w:r>
      <w:r w:rsidRPr="00F2109F">
        <w:t xml:space="preserve"> </w:t>
      </w:r>
      <w:r>
        <w:tab/>
        <w:t>ANZSCO = Australian and New Zealand Standard Classification of Occupations.</w:t>
      </w:r>
    </w:p>
  </w:footnote>
  <w:footnote w:id="5">
    <w:p w:rsidR="00085EED" w:rsidRDefault="00085EED" w:rsidP="00FE1D0A">
      <w:pPr>
        <w:pStyle w:val="FootnoteText"/>
      </w:pPr>
      <w:r w:rsidRPr="00F2109F">
        <w:rPr>
          <w:rStyle w:val="FootnoteReference"/>
          <w:vertAlign w:val="baseline"/>
        </w:rPr>
        <w:footnoteRef/>
      </w:r>
      <w:r w:rsidRPr="00C74605">
        <w:rPr>
          <w:vertAlign w:val="superscript"/>
        </w:rPr>
        <w:tab/>
      </w:r>
      <w:r>
        <w:t xml:space="preserve">The need of reform and the objectives of VET reforms were first spelt out in the </w:t>
      </w:r>
      <w:r w:rsidRPr="00707FA3">
        <w:t>National Agreement for Skills a</w:t>
      </w:r>
      <w:r>
        <w:t>nd Workforce Development</w:t>
      </w:r>
      <w:r>
        <w:rPr>
          <w:i/>
        </w:rPr>
        <w:t xml:space="preserve"> </w:t>
      </w:r>
      <w:r w:rsidRPr="00ED1AFA">
        <w:t xml:space="preserve">in November </w:t>
      </w:r>
      <w:r>
        <w:t>2008.</w:t>
      </w:r>
    </w:p>
  </w:footnote>
  <w:footnote w:id="6">
    <w:p w:rsidR="00085EED" w:rsidRDefault="00085EED">
      <w:pPr>
        <w:pStyle w:val="FootnoteText"/>
      </w:pPr>
      <w:r w:rsidRPr="00F2109F">
        <w:rPr>
          <w:rStyle w:val="FootnoteReference"/>
          <w:vertAlign w:val="baseline"/>
        </w:rPr>
        <w:footnoteRef/>
      </w:r>
      <w:r w:rsidRPr="00C74605">
        <w:rPr>
          <w:vertAlign w:val="superscript"/>
        </w:rPr>
        <w:tab/>
      </w:r>
      <w:r>
        <w:t>Victoria’s training and TAFE system was superseded by Skills First on 1 January 2017.</w:t>
      </w:r>
    </w:p>
  </w:footnote>
  <w:footnote w:id="7">
    <w:p w:rsidR="00085EED" w:rsidRDefault="00085EED" w:rsidP="00FE1D0A">
      <w:pPr>
        <w:pStyle w:val="FootnoteText"/>
      </w:pPr>
      <w:r w:rsidRPr="00F2109F">
        <w:rPr>
          <w:rStyle w:val="FootnoteReference"/>
          <w:vertAlign w:val="baseline"/>
        </w:rPr>
        <w:footnoteRef/>
      </w:r>
      <w:r>
        <w:tab/>
        <w:t xml:space="preserve">Other states maintained some aspects of a supply-driven system by restricting the use of the </w:t>
      </w:r>
      <w:r w:rsidR="002C66E2">
        <w:t xml:space="preserve">entitlement </w:t>
      </w:r>
      <w:r>
        <w:t xml:space="preserve">to courses on state government priority lists. </w:t>
      </w:r>
    </w:p>
  </w:footnote>
  <w:footnote w:id="8">
    <w:p w:rsidR="00085EED" w:rsidRPr="00FE1D0A" w:rsidRDefault="00085EED" w:rsidP="00FE1D0A">
      <w:pPr>
        <w:pStyle w:val="FootnoteText"/>
      </w:pPr>
      <w:r w:rsidRPr="00636CD6">
        <w:rPr>
          <w:rStyle w:val="FootnoteReference"/>
          <w:vertAlign w:val="baseline"/>
        </w:rPr>
        <w:footnoteRef/>
      </w:r>
      <w:r w:rsidRPr="00C74605">
        <w:rPr>
          <w:vertAlign w:val="superscript"/>
        </w:rPr>
        <w:t xml:space="preserve"> </w:t>
      </w:r>
      <w:r>
        <w:tab/>
      </w:r>
      <w:r w:rsidRPr="00FE1D0A">
        <w:t>An exception is the user choice program (introduced in 1998), where eligible employers and apprentices/trainees were given the freedom to choose their own registered training organisation (RTO).</w:t>
      </w:r>
    </w:p>
  </w:footnote>
  <w:footnote w:id="9">
    <w:p w:rsidR="00085EED" w:rsidRPr="00BE6334" w:rsidRDefault="00085EED" w:rsidP="00FE1D0A">
      <w:pPr>
        <w:pStyle w:val="FootnoteText"/>
        <w:ind w:right="-568"/>
        <w:rPr>
          <w:lang w:val="en-US"/>
        </w:rPr>
      </w:pPr>
      <w:r w:rsidRPr="00636CD6">
        <w:rPr>
          <w:rStyle w:val="FootnoteReference"/>
          <w:vertAlign w:val="baseline"/>
        </w:rPr>
        <w:footnoteRef/>
      </w:r>
      <w:r>
        <w:tab/>
      </w:r>
      <w:r w:rsidRPr="00FE1D0A">
        <w:t>Course fee exemptions and concessions are determined by the individual states. Generally speaking, those eligible for fee exemptions/concessions are low-income earners and other disadvantaged members of the community.</w:t>
      </w:r>
    </w:p>
  </w:footnote>
  <w:footnote w:id="10">
    <w:p w:rsidR="00085EED" w:rsidRPr="00BE27F9" w:rsidRDefault="00085EED" w:rsidP="00FE1D0A">
      <w:pPr>
        <w:pStyle w:val="FootnoteText"/>
        <w:rPr>
          <w:lang w:val="en-GB"/>
        </w:rPr>
      </w:pPr>
      <w:r w:rsidRPr="002C575A">
        <w:rPr>
          <w:rStyle w:val="FootnoteReference"/>
          <w:vertAlign w:val="baseline"/>
        </w:rPr>
        <w:footnoteRef/>
      </w:r>
      <w:r>
        <w:tab/>
        <w:t xml:space="preserve"> </w:t>
      </w:r>
      <w:r>
        <w:rPr>
          <w:lang w:val="en-GB"/>
        </w:rPr>
        <w:t>The Victorian reforms preceded the associated national agreement.</w:t>
      </w:r>
    </w:p>
  </w:footnote>
  <w:footnote w:id="11">
    <w:p w:rsidR="00085EED" w:rsidRPr="00FE1D0A" w:rsidRDefault="00085EED" w:rsidP="00FE1D0A">
      <w:pPr>
        <w:pStyle w:val="FootnoteText"/>
        <w:ind w:left="284" w:hanging="284"/>
      </w:pPr>
      <w:r w:rsidRPr="00FB483A">
        <w:rPr>
          <w:rStyle w:val="FootnoteReference"/>
          <w:vertAlign w:val="baseline"/>
        </w:rPr>
        <w:footnoteRef/>
      </w:r>
      <w:r>
        <w:tab/>
      </w:r>
      <w:r w:rsidRPr="00FE1D0A">
        <w:t xml:space="preserve">There are also minimum course and hourly fee rates. </w:t>
      </w:r>
    </w:p>
  </w:footnote>
  <w:footnote w:id="12">
    <w:p w:rsidR="00085EED" w:rsidRDefault="00085EED" w:rsidP="00FE1D0A">
      <w:pPr>
        <w:pStyle w:val="FootnoteText"/>
        <w:tabs>
          <w:tab w:val="clear" w:pos="1418"/>
        </w:tabs>
        <w:ind w:left="284" w:hanging="284"/>
      </w:pPr>
      <w:r w:rsidRPr="00FB483A">
        <w:rPr>
          <w:rStyle w:val="FootnoteReference"/>
          <w:vertAlign w:val="baseline"/>
        </w:rPr>
        <w:footnoteRef/>
      </w:r>
      <w:r>
        <w:tab/>
      </w:r>
      <w:r w:rsidRPr="00FE1D0A">
        <w:t>TAFE = technical and further education; ACE = adult and community education.</w:t>
      </w:r>
    </w:p>
  </w:footnote>
  <w:footnote w:id="13">
    <w:p w:rsidR="00085EED" w:rsidRPr="00FE1D0A" w:rsidRDefault="00085EED" w:rsidP="00FE1D0A">
      <w:pPr>
        <w:pStyle w:val="FootnoteText"/>
        <w:ind w:left="284" w:hanging="284"/>
      </w:pPr>
      <w:r w:rsidRPr="0064720C">
        <w:rPr>
          <w:rStyle w:val="FootnoteReference"/>
          <w:vertAlign w:val="baseline"/>
        </w:rPr>
        <w:footnoteRef/>
      </w:r>
      <w:r w:rsidRPr="00FE1D0A">
        <w:t xml:space="preserve"> </w:t>
      </w:r>
      <w:r>
        <w:tab/>
      </w:r>
      <w:r w:rsidRPr="00FE1D0A">
        <w:t>Using multiple enrolments for the same student means that there is likely to be correlation across course choice observations, which raises issues for the estimation of standard errors. However, estimating results with cluster-robust standard errors (clustered at the student level) makes little difference to the standard errors, which suggests that this is not a major issue.</w:t>
      </w:r>
    </w:p>
  </w:footnote>
  <w:footnote w:id="14">
    <w:p w:rsidR="00085EED" w:rsidRDefault="00085EED" w:rsidP="00FE1D0A">
      <w:pPr>
        <w:pStyle w:val="FootnoteText"/>
        <w:ind w:left="284" w:hanging="284"/>
      </w:pPr>
      <w:r w:rsidRPr="0064720C">
        <w:rPr>
          <w:rStyle w:val="FootnoteReference"/>
          <w:vertAlign w:val="baseline"/>
        </w:rPr>
        <w:footnoteRef/>
      </w:r>
      <w:r w:rsidRPr="0064720C">
        <w:t xml:space="preserve"> </w:t>
      </w:r>
      <w:r>
        <w:tab/>
      </w:r>
      <w:r w:rsidRPr="00FE1D0A">
        <w:t>Census data are available for 2006 and 2011. For non-census years, population estimates were approximated using linear interpolation. Population aggregates by labour market status were evaluated by disaggregating the census population by the population shares reported in the January waves of the Labour Force Survey.</w:t>
      </w:r>
    </w:p>
  </w:footnote>
  <w:footnote w:id="15">
    <w:p w:rsidR="00085EED" w:rsidRPr="00FE1D0A" w:rsidRDefault="00085EED" w:rsidP="00FE1D0A">
      <w:pPr>
        <w:pStyle w:val="FootnoteText"/>
        <w:ind w:left="284" w:hanging="284"/>
      </w:pPr>
      <w:r w:rsidRPr="0064720C">
        <w:rPr>
          <w:rStyle w:val="FootnoteReference"/>
          <w:vertAlign w:val="baseline"/>
        </w:rPr>
        <w:footnoteRef/>
      </w:r>
      <w:r w:rsidRPr="00FE1D0A">
        <w:t xml:space="preserve"> </w:t>
      </w:r>
      <w:r>
        <w:tab/>
      </w:r>
      <w:r w:rsidRPr="00FE1D0A">
        <w:t xml:space="preserve">In principle this can be adjusted for using weights, but only if the weights are up to date and capture differences in survey participation rates in the population. </w:t>
      </w:r>
    </w:p>
  </w:footnote>
  <w:footnote w:id="16">
    <w:p w:rsidR="00085EED" w:rsidRPr="003B122F" w:rsidRDefault="00085EED" w:rsidP="006C1E1F">
      <w:pPr>
        <w:pStyle w:val="FootnoteText"/>
        <w:tabs>
          <w:tab w:val="clear" w:pos="1418"/>
        </w:tabs>
        <w:ind w:left="284" w:hanging="284"/>
      </w:pPr>
      <w:r w:rsidRPr="00C20C49">
        <w:rPr>
          <w:rStyle w:val="FootnoteReference"/>
          <w:vertAlign w:val="baseline"/>
        </w:rPr>
        <w:footnoteRef/>
      </w:r>
      <w:r w:rsidRPr="00C74605">
        <w:rPr>
          <w:vertAlign w:val="superscript"/>
        </w:rPr>
        <w:tab/>
      </w:r>
      <w:r w:rsidRPr="003B122F">
        <w:t>If the enrolment rate is r, evaluated for a population of size N, then the variance of the rate is given by r</w:t>
      </w:r>
      <w:proofErr w:type="gramStart"/>
      <w:r w:rsidRPr="003B122F">
        <w:t>.(</w:t>
      </w:r>
      <w:proofErr w:type="gramEnd"/>
      <w:r w:rsidRPr="003B122F">
        <w:t>1-r) / N.</w:t>
      </w:r>
    </w:p>
  </w:footnote>
  <w:footnote w:id="17">
    <w:p w:rsidR="00085EED" w:rsidRDefault="00085EED" w:rsidP="006C1E1F">
      <w:pPr>
        <w:pStyle w:val="FootnoteText"/>
        <w:tabs>
          <w:tab w:val="clear" w:pos="1418"/>
          <w:tab w:val="left" w:pos="426"/>
        </w:tabs>
        <w:ind w:left="284" w:hanging="284"/>
      </w:pPr>
      <w:r w:rsidRPr="00C20C49">
        <w:rPr>
          <w:rStyle w:val="FootnoteReference"/>
          <w:vertAlign w:val="baseline"/>
        </w:rPr>
        <w:footnoteRef/>
      </w:r>
      <w:r w:rsidRPr="00C74605">
        <w:rPr>
          <w:vertAlign w:val="superscript"/>
        </w:rPr>
        <w:tab/>
      </w:r>
      <w:r w:rsidRPr="00340EA8">
        <w:t xml:space="preserve">The linear interpolations used to approximate population sizes beyond 2006 and 2011 introduce a margin of error to the calculated VET participation rates. Although this error is difficult to quantify, it is likely to be small. This is because the population subgroups considered for analysing VET participation rates are highly aggregated, and are reasonably stable during the sample </w:t>
      </w:r>
      <w:r w:rsidRPr="00A5410F">
        <w:rPr>
          <w:spacing w:val="-4"/>
        </w:rPr>
        <w:t>period, as indicated by</w:t>
      </w:r>
      <w:r>
        <w:t xml:space="preserve"> </w:t>
      </w:r>
      <w:r w:rsidRPr="00A5410F">
        <w:rPr>
          <w:spacing w:val="-4"/>
        </w:rPr>
        <w:t>statistics reported in table</w:t>
      </w:r>
      <w:r w:rsidRPr="00340EA8">
        <w:t xml:space="preserve"> 2.</w:t>
      </w:r>
    </w:p>
  </w:footnote>
  <w:footnote w:id="18">
    <w:p w:rsidR="00085EED" w:rsidRDefault="00085EED" w:rsidP="006C1E1F">
      <w:pPr>
        <w:pStyle w:val="FootnoteText"/>
        <w:tabs>
          <w:tab w:val="clear" w:pos="1418"/>
          <w:tab w:val="left" w:pos="426"/>
        </w:tabs>
        <w:ind w:left="284" w:hanging="284"/>
      </w:pPr>
      <w:r w:rsidRPr="003B122F">
        <w:rPr>
          <w:rStyle w:val="FootnoteReference"/>
          <w:vertAlign w:val="baseline"/>
        </w:rPr>
        <w:footnoteRef/>
      </w:r>
      <w:r w:rsidRPr="00C74605">
        <w:rPr>
          <w:vertAlign w:val="superscript"/>
        </w:rPr>
        <w:tab/>
      </w:r>
      <w:r>
        <w:t>SLA is a geographical division from the ABS that is larger than a postcode, but smaller than a local government area.</w:t>
      </w:r>
    </w:p>
  </w:footnote>
  <w:footnote w:id="19">
    <w:p w:rsidR="00085EED" w:rsidRPr="008456DB" w:rsidRDefault="00085EED" w:rsidP="008456DB">
      <w:pPr>
        <w:pStyle w:val="FootnoteText"/>
        <w:ind w:left="284" w:hanging="284"/>
      </w:pPr>
      <w:r w:rsidRPr="003B122F">
        <w:rPr>
          <w:rStyle w:val="FootnoteReference"/>
          <w:vertAlign w:val="baseline"/>
        </w:rPr>
        <w:footnoteRef/>
      </w:r>
      <w:r w:rsidRPr="00C74605">
        <w:rPr>
          <w:vertAlign w:val="superscript"/>
        </w:rPr>
        <w:tab/>
      </w:r>
      <w:r w:rsidRPr="008456DB">
        <w:t>This analysis is carried out by estimating equation (1) on the pre-reform period and also estimating equation (1) with the Vic. dummy substituted with a series of state-specific dummies. In the former case, evidence of diverging linear trends is evidenced by a significant coefficient on the Vic*Post dummy. In the latter case, diverging trends among states other than Victoria is evidenced by an F-test result that showed the State*Post interaction effects for all other states were jointly different from zero.</w:t>
      </w:r>
    </w:p>
  </w:footnote>
  <w:footnote w:id="20">
    <w:p w:rsidR="00085EED" w:rsidRPr="008456DB" w:rsidRDefault="00085EED" w:rsidP="008456DB">
      <w:pPr>
        <w:pStyle w:val="FootnoteText"/>
        <w:ind w:left="284" w:hanging="284"/>
      </w:pPr>
      <w:r w:rsidRPr="006F13BF">
        <w:rPr>
          <w:rStyle w:val="FootnoteReference"/>
          <w:vertAlign w:val="baseline"/>
        </w:rPr>
        <w:footnoteRef/>
      </w:r>
      <w:r w:rsidRPr="00C74605">
        <w:rPr>
          <w:vertAlign w:val="superscript"/>
        </w:rPr>
        <w:t xml:space="preserve"> </w:t>
      </w:r>
      <w:r>
        <w:tab/>
      </w:r>
      <w:r w:rsidRPr="008456DB">
        <w:t xml:space="preserve">Data reported for 2011 by the OECD (the most recent series available) indicate that Australia had the third highest proportion of residents born overseas (26.6%), slightly behind Switzerland (27.3%), and more substantively behind Luxembourg (42.1%; table A4). </w:t>
      </w:r>
      <w:proofErr w:type="gramStart"/>
      <w:r w:rsidRPr="00B30B03">
        <w:rPr>
          <w:i/>
        </w:rPr>
        <w:t>Stocks of foreign-born population in OECD countries and the Russian Federation</w:t>
      </w:r>
      <w:r w:rsidRPr="00B30B03">
        <w:t>, International Migration Outlook 2013, OECD.</w:t>
      </w:r>
      <w:proofErr w:type="gramEnd"/>
      <w:r w:rsidRPr="00B30B03">
        <w:t xml:space="preserve"> </w:t>
      </w:r>
    </w:p>
  </w:footnote>
  <w:footnote w:id="21">
    <w:p w:rsidR="00085EED" w:rsidRDefault="00085EED" w:rsidP="008456DB">
      <w:pPr>
        <w:pStyle w:val="FootnoteText"/>
        <w:ind w:left="284" w:hanging="284"/>
      </w:pPr>
      <w:r w:rsidRPr="006F13BF">
        <w:rPr>
          <w:rStyle w:val="FootnoteReference"/>
          <w:vertAlign w:val="baseline"/>
        </w:rPr>
        <w:footnoteRef/>
      </w:r>
      <w:r w:rsidRPr="00C74605">
        <w:rPr>
          <w:vertAlign w:val="superscript"/>
        </w:rPr>
        <w:t xml:space="preserve"> </w:t>
      </w:r>
      <w:r>
        <w:tab/>
      </w:r>
      <w:r w:rsidRPr="008456DB">
        <w:t>Data from the Household Income and Labour Dynamics in Australia survey suggest that 39% of employed people living in urban centres were employed in professional and managerial jobs compared with 28% of the working population outside urban centres in 2013.</w:t>
      </w:r>
    </w:p>
  </w:footnote>
  <w:footnote w:id="22">
    <w:p w:rsidR="00085EED" w:rsidRPr="008456DB" w:rsidRDefault="00085EED" w:rsidP="008456DB">
      <w:pPr>
        <w:pStyle w:val="FootnoteText"/>
        <w:tabs>
          <w:tab w:val="clear" w:pos="1418"/>
        </w:tabs>
        <w:ind w:left="284" w:hanging="284"/>
      </w:pPr>
      <w:r w:rsidRPr="006F13BF">
        <w:rPr>
          <w:rStyle w:val="FootnoteReference"/>
          <w:vertAlign w:val="baseline"/>
        </w:rPr>
        <w:footnoteRef/>
      </w:r>
      <w:r w:rsidRPr="008456DB">
        <w:t xml:space="preserve"> </w:t>
      </w:r>
      <w:r>
        <w:tab/>
      </w:r>
      <w:r w:rsidRPr="008456DB">
        <w:t xml:space="preserve">This result is due to large changes in the number of people in VET in Victoria who report being unemployed in the </w:t>
      </w:r>
      <w:r>
        <w:t xml:space="preserve">National </w:t>
      </w:r>
      <w:r w:rsidRPr="008456DB">
        <w:t xml:space="preserve">VET Provider Collection and not due to changes in the number of unemployed in Victoria from the census. Over this period there were also no changes in the way in which unemployed was identified in the </w:t>
      </w:r>
      <w:r>
        <w:t>National VET Provider Collection</w:t>
      </w:r>
      <w:r w:rsidRPr="008456DB">
        <w:t xml:space="preserve"> and which may have biased the results. Unemployed in the VETPC is defined as not currently in work, but seeking full-time or part-time 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Default="00085EED" w:rsidP="004E1A1B">
    <w:pPr>
      <w:tabs>
        <w:tab w:val="left" w:pos="5972"/>
      </w:tabs>
    </w:pPr>
    <w:r w:rsidRPr="00214ED0">
      <w:rPr>
        <w:noProof/>
        <w:lang w:eastAsia="en-AU"/>
      </w:rPr>
      <w:drawing>
        <wp:anchor distT="0" distB="0" distL="114300" distR="114300" simplePos="0" relativeHeight="251657728" behindDoc="1" locked="0" layoutInCell="1" allowOverlap="1" wp14:anchorId="5CD6B03E" wp14:editId="33340FB8">
          <wp:simplePos x="0" y="0"/>
          <wp:positionH relativeFrom="column">
            <wp:posOffset>34925</wp:posOffset>
          </wp:positionH>
          <wp:positionV relativeFrom="paragraph">
            <wp:posOffset>8621</wp:posOffset>
          </wp:positionV>
          <wp:extent cx="5930153" cy="101167"/>
          <wp:effectExtent l="0" t="0" r="0" b="0"/>
          <wp:wrapNone/>
          <wp:docPr id="19" name="Picture 1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ED" w:rsidRPr="00D66D9A" w:rsidRDefault="00085EED"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8.55pt;height:28.55pt;visibility:visible;mso-wrap-style:square" o:bullet="t">
        <v:imagedata r:id="rId1" o:title="attachment icon"/>
      </v:shape>
    </w:pict>
  </w:numPicBullet>
  <w:numPicBullet w:numPicBulletId="1">
    <w:pict>
      <v:shape id="_x0000_i1083" type="#_x0000_t75" style="width:33.3pt;height:33.3pt;visibility:visible;mso-wrap-style:square" o:bullet="t">
        <v:imagedata r:id="rId2" o:title=""/>
      </v:shape>
    </w:pict>
  </w:numPicBullet>
  <w:numPicBullet w:numPicBulletId="2">
    <w:pict>
      <v:shape id="_x0000_i1084" type="#_x0000_t75" style="width:28.55pt;height:28.55pt;visibility:visible;mso-wrap-style:square" o:bullet="t">
        <v:imagedata r:id="rId3" o:title="Attachment icon dark blue"/>
      </v:shape>
    </w:pict>
  </w:numPicBullet>
  <w:numPicBullet w:numPicBulletId="3">
    <w:pict>
      <v:shape id="_x0000_i1085" type="#_x0000_t75" style="width:27.85pt;height:27.85pt;visibility:visible;mso-wrap-style:square" o:bullet="t">
        <v:imagedata r:id="rId4" o:title="Attachment icon dark blue V2"/>
      </v:shape>
    </w:pict>
  </w:numPicBullet>
  <w:numPicBullet w:numPicBulletId="4">
    <w:pict>
      <v:shape id="_x0000_i1086" type="#_x0000_t75" style="width:27.85pt;height:27.85pt;visibility:visible;mso-wrap-style:square" o:bullet="t">
        <v:imagedata r:id="rId5" o:title="Attachment icon purple"/>
      </v:shape>
    </w:pict>
  </w:numPicBullet>
  <w:numPicBullet w:numPicBulletId="5">
    <w:pict>
      <v:shape id="_x0000_i1087" type="#_x0000_t75" style="width:27.85pt;height:27.85pt;visibility:visible;mso-wrap-style:square" o:bullet="t">
        <v:imagedata r:id="rId6" o:title="Attachment icon green"/>
      </v:shape>
    </w:pict>
  </w:numPicBullet>
  <w:numPicBullet w:numPicBulletId="6">
    <w:pict>
      <v:shape id="_x0000_i1088" type="#_x0000_t75" style="width:27.85pt;height:27.85pt;visibility:visible;mso-wrap-style:square" o:bullet="t">
        <v:imagedata r:id="rId7" o:title="Attachment icon light blue"/>
      </v:shape>
    </w:pict>
  </w:numPicBullet>
  <w:numPicBullet w:numPicBulletId="7">
    <w:pict>
      <v:shape id="_x0000_i1089" type="#_x0000_t75" style="width:32.6pt;height:32.6pt;visibility:visible;mso-wrap-style:square" o:bullet="t">
        <v:imagedata r:id="rId8" o:title="PaperClip Corporate Blue"/>
      </v:shape>
    </w:pict>
  </w:numPicBullet>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5540A29"/>
    <w:multiLevelType w:val="multilevel"/>
    <w:tmpl w:val="D0F61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12">
    <w:nsid w:val="07D52020"/>
    <w:multiLevelType w:val="hybridMultilevel"/>
    <w:tmpl w:val="67B06802"/>
    <w:lvl w:ilvl="0" w:tplc="098822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D121320"/>
    <w:multiLevelType w:val="hybridMultilevel"/>
    <w:tmpl w:val="D7B00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3CD5221"/>
    <w:multiLevelType w:val="multilevel"/>
    <w:tmpl w:val="0ED6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4A2C71"/>
    <w:multiLevelType w:val="singleLevel"/>
    <w:tmpl w:val="90A0C7A8"/>
    <w:lvl w:ilvl="0">
      <w:start w:val="1"/>
      <w:numFmt w:val="bullet"/>
      <w:lvlText w:val=""/>
      <w:lvlJc w:val="left"/>
      <w:pPr>
        <w:tabs>
          <w:tab w:val="num" w:pos="0"/>
        </w:tabs>
        <w:ind w:left="360" w:hanging="360"/>
      </w:pPr>
      <w:rPr>
        <w:rFonts w:ascii="Symbol" w:hAnsi="Symbol" w:hint="default"/>
      </w:rPr>
    </w:lvl>
  </w:abstractNum>
  <w:abstractNum w:abstractNumId="16">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8F365BB"/>
    <w:multiLevelType w:val="hybridMultilevel"/>
    <w:tmpl w:val="4C9C50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7D7650A"/>
    <w:multiLevelType w:val="hybridMultilevel"/>
    <w:tmpl w:val="1C7C1C90"/>
    <w:lvl w:ilvl="0" w:tplc="0C090019">
      <w:start w:val="1"/>
      <w:numFmt w:val="lowerLetter"/>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nsid w:val="38FA0819"/>
    <w:multiLevelType w:val="hybridMultilevel"/>
    <w:tmpl w:val="2FF641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9410A5A"/>
    <w:multiLevelType w:val="hybridMultilevel"/>
    <w:tmpl w:val="2FF641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0A17172"/>
    <w:multiLevelType w:val="hybridMultilevel"/>
    <w:tmpl w:val="9CDC36F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4D07100"/>
    <w:multiLevelType w:val="hybridMultilevel"/>
    <w:tmpl w:val="F7AAD97A"/>
    <w:lvl w:ilvl="0" w:tplc="C84E13FC">
      <w:start w:val="1"/>
      <w:numFmt w:val="lowerLetter"/>
      <w:lvlText w:val="%1)"/>
      <w:lvlJc w:val="left"/>
      <w:pPr>
        <w:ind w:left="720" w:hanging="360"/>
      </w:pPr>
      <w:rPr>
        <w:rFonts w:ascii="Trebuchet MS" w:eastAsia="Times New Roman" w:hAnsi="Trebuchet M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4E35448"/>
    <w:multiLevelType w:val="hybridMultilevel"/>
    <w:tmpl w:val="11600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9C237E9"/>
    <w:multiLevelType w:val="hybridMultilevel"/>
    <w:tmpl w:val="C7A0BA28"/>
    <w:lvl w:ilvl="0" w:tplc="0C090019">
      <w:start w:val="1"/>
      <w:numFmt w:val="lowerLetter"/>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2">
    <w:nsid w:val="696067A1"/>
    <w:multiLevelType w:val="hybridMultilevel"/>
    <w:tmpl w:val="B100C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ACF43B2"/>
    <w:multiLevelType w:val="hybridMultilevel"/>
    <w:tmpl w:val="986E2AD2"/>
    <w:lvl w:ilvl="0" w:tplc="17B83D1A">
      <w:start w:val="1"/>
      <w:numFmt w:val="bullet"/>
      <w:lvlText w:val=""/>
      <w:lvlPicBulletId w:val="2"/>
      <w:lvlJc w:val="left"/>
      <w:pPr>
        <w:tabs>
          <w:tab w:val="num" w:pos="720"/>
        </w:tabs>
        <w:ind w:left="720" w:hanging="360"/>
      </w:pPr>
      <w:rPr>
        <w:rFonts w:ascii="Symbol" w:hAnsi="Symbol" w:hint="default"/>
      </w:rPr>
    </w:lvl>
    <w:lvl w:ilvl="1" w:tplc="888C0C48" w:tentative="1">
      <w:start w:val="1"/>
      <w:numFmt w:val="bullet"/>
      <w:lvlText w:val=""/>
      <w:lvlJc w:val="left"/>
      <w:pPr>
        <w:tabs>
          <w:tab w:val="num" w:pos="1440"/>
        </w:tabs>
        <w:ind w:left="1440" w:hanging="360"/>
      </w:pPr>
      <w:rPr>
        <w:rFonts w:ascii="Symbol" w:hAnsi="Symbol" w:hint="default"/>
      </w:rPr>
    </w:lvl>
    <w:lvl w:ilvl="2" w:tplc="6C044284" w:tentative="1">
      <w:start w:val="1"/>
      <w:numFmt w:val="bullet"/>
      <w:lvlText w:val=""/>
      <w:lvlJc w:val="left"/>
      <w:pPr>
        <w:tabs>
          <w:tab w:val="num" w:pos="2160"/>
        </w:tabs>
        <w:ind w:left="2160" w:hanging="360"/>
      </w:pPr>
      <w:rPr>
        <w:rFonts w:ascii="Symbol" w:hAnsi="Symbol" w:hint="default"/>
      </w:rPr>
    </w:lvl>
    <w:lvl w:ilvl="3" w:tplc="4822C7B8" w:tentative="1">
      <w:start w:val="1"/>
      <w:numFmt w:val="bullet"/>
      <w:lvlText w:val=""/>
      <w:lvlJc w:val="left"/>
      <w:pPr>
        <w:tabs>
          <w:tab w:val="num" w:pos="2880"/>
        </w:tabs>
        <w:ind w:left="2880" w:hanging="360"/>
      </w:pPr>
      <w:rPr>
        <w:rFonts w:ascii="Symbol" w:hAnsi="Symbol" w:hint="default"/>
      </w:rPr>
    </w:lvl>
    <w:lvl w:ilvl="4" w:tplc="67000612" w:tentative="1">
      <w:start w:val="1"/>
      <w:numFmt w:val="bullet"/>
      <w:lvlText w:val=""/>
      <w:lvlJc w:val="left"/>
      <w:pPr>
        <w:tabs>
          <w:tab w:val="num" w:pos="3600"/>
        </w:tabs>
        <w:ind w:left="3600" w:hanging="360"/>
      </w:pPr>
      <w:rPr>
        <w:rFonts w:ascii="Symbol" w:hAnsi="Symbol" w:hint="default"/>
      </w:rPr>
    </w:lvl>
    <w:lvl w:ilvl="5" w:tplc="52E20DB4" w:tentative="1">
      <w:start w:val="1"/>
      <w:numFmt w:val="bullet"/>
      <w:lvlText w:val=""/>
      <w:lvlJc w:val="left"/>
      <w:pPr>
        <w:tabs>
          <w:tab w:val="num" w:pos="4320"/>
        </w:tabs>
        <w:ind w:left="4320" w:hanging="360"/>
      </w:pPr>
      <w:rPr>
        <w:rFonts w:ascii="Symbol" w:hAnsi="Symbol" w:hint="default"/>
      </w:rPr>
    </w:lvl>
    <w:lvl w:ilvl="6" w:tplc="19EE1554" w:tentative="1">
      <w:start w:val="1"/>
      <w:numFmt w:val="bullet"/>
      <w:lvlText w:val=""/>
      <w:lvlJc w:val="left"/>
      <w:pPr>
        <w:tabs>
          <w:tab w:val="num" w:pos="5040"/>
        </w:tabs>
        <w:ind w:left="5040" w:hanging="360"/>
      </w:pPr>
      <w:rPr>
        <w:rFonts w:ascii="Symbol" w:hAnsi="Symbol" w:hint="default"/>
      </w:rPr>
    </w:lvl>
    <w:lvl w:ilvl="7" w:tplc="8E361BEC" w:tentative="1">
      <w:start w:val="1"/>
      <w:numFmt w:val="bullet"/>
      <w:lvlText w:val=""/>
      <w:lvlJc w:val="left"/>
      <w:pPr>
        <w:tabs>
          <w:tab w:val="num" w:pos="5760"/>
        </w:tabs>
        <w:ind w:left="5760" w:hanging="360"/>
      </w:pPr>
      <w:rPr>
        <w:rFonts w:ascii="Symbol" w:hAnsi="Symbol" w:hint="default"/>
      </w:rPr>
    </w:lvl>
    <w:lvl w:ilvl="8" w:tplc="A5A89174" w:tentative="1">
      <w:start w:val="1"/>
      <w:numFmt w:val="bullet"/>
      <w:lvlText w:val=""/>
      <w:lvlJc w:val="left"/>
      <w:pPr>
        <w:tabs>
          <w:tab w:val="num" w:pos="6480"/>
        </w:tabs>
        <w:ind w:left="6480" w:hanging="360"/>
      </w:pPr>
      <w:rPr>
        <w:rFonts w:ascii="Symbol" w:hAnsi="Symbol" w:hint="default"/>
      </w:rPr>
    </w:lvl>
  </w:abstractNum>
  <w:abstractNum w:abstractNumId="34">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77D16898"/>
    <w:multiLevelType w:val="hybridMultilevel"/>
    <w:tmpl w:val="CDEC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C12A70"/>
    <w:multiLevelType w:val="hybridMultilevel"/>
    <w:tmpl w:val="785CE1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34"/>
  </w:num>
  <w:num w:numId="3">
    <w:abstractNumId w:val="29"/>
  </w:num>
  <w:num w:numId="4">
    <w:abstractNumId w:val="30"/>
  </w:num>
  <w:num w:numId="5">
    <w:abstractNumId w:val="16"/>
  </w:num>
  <w:num w:numId="6">
    <w:abstractNumId w:val="35"/>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9"/>
  </w:num>
  <w:num w:numId="10">
    <w:abstractNumId w:val="26"/>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1"/>
  </w:num>
  <w:num w:numId="22">
    <w:abstractNumId w:val="15"/>
  </w:num>
  <w:num w:numId="23">
    <w:abstractNumId w:val="23"/>
  </w:num>
  <w:num w:numId="24">
    <w:abstractNumId w:val="22"/>
  </w:num>
  <w:num w:numId="25">
    <w:abstractNumId w:val="17"/>
  </w:num>
  <w:num w:numId="26">
    <w:abstractNumId w:val="27"/>
  </w:num>
  <w:num w:numId="27">
    <w:abstractNumId w:val="20"/>
  </w:num>
  <w:num w:numId="28">
    <w:abstractNumId w:val="13"/>
  </w:num>
  <w:num w:numId="29">
    <w:abstractNumId w:val="36"/>
  </w:num>
  <w:num w:numId="30">
    <w:abstractNumId w:val="12"/>
  </w:num>
  <w:num w:numId="31">
    <w:abstractNumId w:val="37"/>
  </w:num>
  <w:num w:numId="32">
    <w:abstractNumId w:val="32"/>
  </w:num>
  <w:num w:numId="33">
    <w:abstractNumId w:val="24"/>
  </w:num>
  <w:num w:numId="34">
    <w:abstractNumId w:val="14"/>
  </w:num>
  <w:num w:numId="35">
    <w:abstractNumId w:val="21"/>
  </w:num>
  <w:num w:numId="36">
    <w:abstractNumId w:val="10"/>
  </w:num>
  <w:num w:numId="37">
    <w:abstractNumId w:val="25"/>
  </w:num>
  <w:num w:numId="38">
    <w:abstractNumId w:val="33"/>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stin van de Ven">
    <w15:presenceInfo w15:providerId="Windows Live" w15:userId="8057082224acf6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37"/>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691"/>
    <w:rsid w:val="00004840"/>
    <w:rsid w:val="000108B2"/>
    <w:rsid w:val="00011633"/>
    <w:rsid w:val="000138F5"/>
    <w:rsid w:val="000144EE"/>
    <w:rsid w:val="00015DAB"/>
    <w:rsid w:val="00022290"/>
    <w:rsid w:val="0002340E"/>
    <w:rsid w:val="00024BAE"/>
    <w:rsid w:val="00030078"/>
    <w:rsid w:val="00031497"/>
    <w:rsid w:val="000325B8"/>
    <w:rsid w:val="000335DE"/>
    <w:rsid w:val="000435A6"/>
    <w:rsid w:val="00045E77"/>
    <w:rsid w:val="0004657F"/>
    <w:rsid w:val="0005068B"/>
    <w:rsid w:val="00052084"/>
    <w:rsid w:val="000533F9"/>
    <w:rsid w:val="0005351B"/>
    <w:rsid w:val="000562A4"/>
    <w:rsid w:val="0005656E"/>
    <w:rsid w:val="0006125F"/>
    <w:rsid w:val="00062334"/>
    <w:rsid w:val="000656A6"/>
    <w:rsid w:val="00067452"/>
    <w:rsid w:val="000676EB"/>
    <w:rsid w:val="00074BD4"/>
    <w:rsid w:val="00076DC7"/>
    <w:rsid w:val="0008282D"/>
    <w:rsid w:val="00083C29"/>
    <w:rsid w:val="00085EED"/>
    <w:rsid w:val="00087FC0"/>
    <w:rsid w:val="000939E6"/>
    <w:rsid w:val="00094A44"/>
    <w:rsid w:val="000955EF"/>
    <w:rsid w:val="0009575A"/>
    <w:rsid w:val="000A1914"/>
    <w:rsid w:val="000A1A90"/>
    <w:rsid w:val="000A1F1C"/>
    <w:rsid w:val="000A31E0"/>
    <w:rsid w:val="000A4472"/>
    <w:rsid w:val="000A577F"/>
    <w:rsid w:val="000A6A74"/>
    <w:rsid w:val="000A7BF4"/>
    <w:rsid w:val="000B108C"/>
    <w:rsid w:val="000B318B"/>
    <w:rsid w:val="000C041E"/>
    <w:rsid w:val="000C1395"/>
    <w:rsid w:val="000C6AF5"/>
    <w:rsid w:val="000D1083"/>
    <w:rsid w:val="000D28FB"/>
    <w:rsid w:val="000D439B"/>
    <w:rsid w:val="000D675B"/>
    <w:rsid w:val="000D792D"/>
    <w:rsid w:val="000D7B11"/>
    <w:rsid w:val="000D7EF9"/>
    <w:rsid w:val="000E097E"/>
    <w:rsid w:val="000E1068"/>
    <w:rsid w:val="000E32A4"/>
    <w:rsid w:val="000E51AF"/>
    <w:rsid w:val="000E5211"/>
    <w:rsid w:val="000E5942"/>
    <w:rsid w:val="000F0F1C"/>
    <w:rsid w:val="000F5C33"/>
    <w:rsid w:val="00101F27"/>
    <w:rsid w:val="00102349"/>
    <w:rsid w:val="0010761A"/>
    <w:rsid w:val="00111938"/>
    <w:rsid w:val="00112C68"/>
    <w:rsid w:val="00113805"/>
    <w:rsid w:val="00116C3A"/>
    <w:rsid w:val="001209BE"/>
    <w:rsid w:val="00123B5C"/>
    <w:rsid w:val="00124B8F"/>
    <w:rsid w:val="00124E32"/>
    <w:rsid w:val="00126A0C"/>
    <w:rsid w:val="00126AC0"/>
    <w:rsid w:val="00131C09"/>
    <w:rsid w:val="001329BC"/>
    <w:rsid w:val="00132A0F"/>
    <w:rsid w:val="0013477E"/>
    <w:rsid w:val="00134DF5"/>
    <w:rsid w:val="00135C75"/>
    <w:rsid w:val="001418A4"/>
    <w:rsid w:val="00141F9A"/>
    <w:rsid w:val="00142EC0"/>
    <w:rsid w:val="001450E8"/>
    <w:rsid w:val="001461A6"/>
    <w:rsid w:val="001465CF"/>
    <w:rsid w:val="001467E4"/>
    <w:rsid w:val="00150874"/>
    <w:rsid w:val="001509F3"/>
    <w:rsid w:val="00151ED1"/>
    <w:rsid w:val="0015223B"/>
    <w:rsid w:val="001549F2"/>
    <w:rsid w:val="00156177"/>
    <w:rsid w:val="0016030B"/>
    <w:rsid w:val="00164227"/>
    <w:rsid w:val="001647B6"/>
    <w:rsid w:val="0016599D"/>
    <w:rsid w:val="0017177C"/>
    <w:rsid w:val="00172167"/>
    <w:rsid w:val="00172EC0"/>
    <w:rsid w:val="00186EFB"/>
    <w:rsid w:val="00187BF6"/>
    <w:rsid w:val="00191843"/>
    <w:rsid w:val="001934C2"/>
    <w:rsid w:val="001A2DFE"/>
    <w:rsid w:val="001B01FF"/>
    <w:rsid w:val="001B026E"/>
    <w:rsid w:val="001B16C6"/>
    <w:rsid w:val="001B43CF"/>
    <w:rsid w:val="001B696E"/>
    <w:rsid w:val="001C004A"/>
    <w:rsid w:val="001C205A"/>
    <w:rsid w:val="001C677A"/>
    <w:rsid w:val="001C72F1"/>
    <w:rsid w:val="001D101D"/>
    <w:rsid w:val="001D465F"/>
    <w:rsid w:val="001D5AE2"/>
    <w:rsid w:val="001E0721"/>
    <w:rsid w:val="001E6B9B"/>
    <w:rsid w:val="001E7E4A"/>
    <w:rsid w:val="001F3740"/>
    <w:rsid w:val="001F573F"/>
    <w:rsid w:val="001F64D2"/>
    <w:rsid w:val="001F7D84"/>
    <w:rsid w:val="00210E0D"/>
    <w:rsid w:val="00211950"/>
    <w:rsid w:val="00214ED0"/>
    <w:rsid w:val="00215140"/>
    <w:rsid w:val="00220A0A"/>
    <w:rsid w:val="00224B44"/>
    <w:rsid w:val="002257CC"/>
    <w:rsid w:val="002277A9"/>
    <w:rsid w:val="002326FE"/>
    <w:rsid w:val="00233BFA"/>
    <w:rsid w:val="00233D50"/>
    <w:rsid w:val="0024319E"/>
    <w:rsid w:val="00251024"/>
    <w:rsid w:val="00251272"/>
    <w:rsid w:val="00254AA9"/>
    <w:rsid w:val="00260DE2"/>
    <w:rsid w:val="00262B49"/>
    <w:rsid w:val="00262CBC"/>
    <w:rsid w:val="00263D92"/>
    <w:rsid w:val="00267FE2"/>
    <w:rsid w:val="00271267"/>
    <w:rsid w:val="00271720"/>
    <w:rsid w:val="0027394F"/>
    <w:rsid w:val="00276CBD"/>
    <w:rsid w:val="00281583"/>
    <w:rsid w:val="0028464B"/>
    <w:rsid w:val="00284FCB"/>
    <w:rsid w:val="002869DC"/>
    <w:rsid w:val="002910DA"/>
    <w:rsid w:val="002936E4"/>
    <w:rsid w:val="00293D53"/>
    <w:rsid w:val="002947D3"/>
    <w:rsid w:val="0029731A"/>
    <w:rsid w:val="00297BEF"/>
    <w:rsid w:val="002A7158"/>
    <w:rsid w:val="002B1C15"/>
    <w:rsid w:val="002B38B7"/>
    <w:rsid w:val="002B5AD1"/>
    <w:rsid w:val="002C0A23"/>
    <w:rsid w:val="002C4090"/>
    <w:rsid w:val="002C575A"/>
    <w:rsid w:val="002C61C4"/>
    <w:rsid w:val="002C630F"/>
    <w:rsid w:val="002C66E2"/>
    <w:rsid w:val="002C766F"/>
    <w:rsid w:val="002D120A"/>
    <w:rsid w:val="002D4C94"/>
    <w:rsid w:val="002D61F7"/>
    <w:rsid w:val="002E0ABE"/>
    <w:rsid w:val="002E196B"/>
    <w:rsid w:val="002E2006"/>
    <w:rsid w:val="002E61A4"/>
    <w:rsid w:val="002E7E18"/>
    <w:rsid w:val="002F4CC4"/>
    <w:rsid w:val="003028F7"/>
    <w:rsid w:val="00316DEB"/>
    <w:rsid w:val="00323C21"/>
    <w:rsid w:val="00324917"/>
    <w:rsid w:val="00325682"/>
    <w:rsid w:val="003334A3"/>
    <w:rsid w:val="0033376E"/>
    <w:rsid w:val="003356D7"/>
    <w:rsid w:val="00336323"/>
    <w:rsid w:val="003364D3"/>
    <w:rsid w:val="0033653C"/>
    <w:rsid w:val="00336C1D"/>
    <w:rsid w:val="0034004F"/>
    <w:rsid w:val="00340DF1"/>
    <w:rsid w:val="00343A0F"/>
    <w:rsid w:val="00350153"/>
    <w:rsid w:val="00350BFE"/>
    <w:rsid w:val="003547FE"/>
    <w:rsid w:val="00355FD6"/>
    <w:rsid w:val="00357286"/>
    <w:rsid w:val="00360FAD"/>
    <w:rsid w:val="0036101C"/>
    <w:rsid w:val="0036352D"/>
    <w:rsid w:val="00366E4E"/>
    <w:rsid w:val="00370636"/>
    <w:rsid w:val="003710EA"/>
    <w:rsid w:val="0037479E"/>
    <w:rsid w:val="003812D1"/>
    <w:rsid w:val="003813E4"/>
    <w:rsid w:val="003825E9"/>
    <w:rsid w:val="003858CC"/>
    <w:rsid w:val="00386790"/>
    <w:rsid w:val="0039263D"/>
    <w:rsid w:val="0039425C"/>
    <w:rsid w:val="00395440"/>
    <w:rsid w:val="00395447"/>
    <w:rsid w:val="00395708"/>
    <w:rsid w:val="003A368F"/>
    <w:rsid w:val="003A452E"/>
    <w:rsid w:val="003A66E4"/>
    <w:rsid w:val="003A6A63"/>
    <w:rsid w:val="003B0363"/>
    <w:rsid w:val="003B122F"/>
    <w:rsid w:val="003B16DA"/>
    <w:rsid w:val="003B483E"/>
    <w:rsid w:val="003C6BFC"/>
    <w:rsid w:val="003D14BA"/>
    <w:rsid w:val="003D3308"/>
    <w:rsid w:val="003D4B3E"/>
    <w:rsid w:val="003E1961"/>
    <w:rsid w:val="003E454A"/>
    <w:rsid w:val="003E67CB"/>
    <w:rsid w:val="003E7263"/>
    <w:rsid w:val="003F5B20"/>
    <w:rsid w:val="00406B07"/>
    <w:rsid w:val="00406BB7"/>
    <w:rsid w:val="004070C3"/>
    <w:rsid w:val="00407E5D"/>
    <w:rsid w:val="004170DF"/>
    <w:rsid w:val="004210A6"/>
    <w:rsid w:val="00424885"/>
    <w:rsid w:val="00424CAB"/>
    <w:rsid w:val="00425EB9"/>
    <w:rsid w:val="0043019D"/>
    <w:rsid w:val="00430892"/>
    <w:rsid w:val="00430BE3"/>
    <w:rsid w:val="004322A5"/>
    <w:rsid w:val="00432394"/>
    <w:rsid w:val="00432F30"/>
    <w:rsid w:val="00436BC2"/>
    <w:rsid w:val="00436F20"/>
    <w:rsid w:val="00437BCA"/>
    <w:rsid w:val="00440610"/>
    <w:rsid w:val="00440C4D"/>
    <w:rsid w:val="004458AF"/>
    <w:rsid w:val="00446BEA"/>
    <w:rsid w:val="00450AD2"/>
    <w:rsid w:val="00450D7C"/>
    <w:rsid w:val="00452372"/>
    <w:rsid w:val="0045331A"/>
    <w:rsid w:val="004551A0"/>
    <w:rsid w:val="00456222"/>
    <w:rsid w:val="0045777C"/>
    <w:rsid w:val="00461337"/>
    <w:rsid w:val="00471DF1"/>
    <w:rsid w:val="0047224C"/>
    <w:rsid w:val="0047255F"/>
    <w:rsid w:val="00473164"/>
    <w:rsid w:val="0047592B"/>
    <w:rsid w:val="00475F5C"/>
    <w:rsid w:val="00483922"/>
    <w:rsid w:val="00485DDA"/>
    <w:rsid w:val="00490DBD"/>
    <w:rsid w:val="0049204C"/>
    <w:rsid w:val="004A2720"/>
    <w:rsid w:val="004A2B1F"/>
    <w:rsid w:val="004A769C"/>
    <w:rsid w:val="004A7E0E"/>
    <w:rsid w:val="004B031A"/>
    <w:rsid w:val="004B07F8"/>
    <w:rsid w:val="004B190D"/>
    <w:rsid w:val="004B2F2C"/>
    <w:rsid w:val="004B5E86"/>
    <w:rsid w:val="004B6FD1"/>
    <w:rsid w:val="004C12DF"/>
    <w:rsid w:val="004C4DF3"/>
    <w:rsid w:val="004C630C"/>
    <w:rsid w:val="004D4A38"/>
    <w:rsid w:val="004D5632"/>
    <w:rsid w:val="004D7E8F"/>
    <w:rsid w:val="004E1A1B"/>
    <w:rsid w:val="004E3FE6"/>
    <w:rsid w:val="004E5AC1"/>
    <w:rsid w:val="004E6BBD"/>
    <w:rsid w:val="004E7227"/>
    <w:rsid w:val="004F063C"/>
    <w:rsid w:val="004F0B76"/>
    <w:rsid w:val="004F1179"/>
    <w:rsid w:val="004F14FF"/>
    <w:rsid w:val="004F4BBC"/>
    <w:rsid w:val="004F66CE"/>
    <w:rsid w:val="00500A26"/>
    <w:rsid w:val="00505449"/>
    <w:rsid w:val="00513938"/>
    <w:rsid w:val="005146E0"/>
    <w:rsid w:val="0052276C"/>
    <w:rsid w:val="005274D6"/>
    <w:rsid w:val="0053011C"/>
    <w:rsid w:val="00530156"/>
    <w:rsid w:val="0053164E"/>
    <w:rsid w:val="005331DE"/>
    <w:rsid w:val="00535AAD"/>
    <w:rsid w:val="005378DA"/>
    <w:rsid w:val="00540ED5"/>
    <w:rsid w:val="00543BFF"/>
    <w:rsid w:val="00544552"/>
    <w:rsid w:val="0054771E"/>
    <w:rsid w:val="00550F3D"/>
    <w:rsid w:val="00552A99"/>
    <w:rsid w:val="00556CDB"/>
    <w:rsid w:val="005632B3"/>
    <w:rsid w:val="005635D1"/>
    <w:rsid w:val="005674AD"/>
    <w:rsid w:val="005700C3"/>
    <w:rsid w:val="00570758"/>
    <w:rsid w:val="00581F49"/>
    <w:rsid w:val="00584EEA"/>
    <w:rsid w:val="00590B22"/>
    <w:rsid w:val="00591D38"/>
    <w:rsid w:val="00591E2A"/>
    <w:rsid w:val="00593141"/>
    <w:rsid w:val="005935DF"/>
    <w:rsid w:val="005955B2"/>
    <w:rsid w:val="00595CCB"/>
    <w:rsid w:val="005A0A55"/>
    <w:rsid w:val="005A4D71"/>
    <w:rsid w:val="005A4E08"/>
    <w:rsid w:val="005A6279"/>
    <w:rsid w:val="005B05A6"/>
    <w:rsid w:val="005B0748"/>
    <w:rsid w:val="005B1B25"/>
    <w:rsid w:val="005B5647"/>
    <w:rsid w:val="005C0CAC"/>
    <w:rsid w:val="005C277E"/>
    <w:rsid w:val="005C2A62"/>
    <w:rsid w:val="005C2ABB"/>
    <w:rsid w:val="005C50F8"/>
    <w:rsid w:val="005C6F28"/>
    <w:rsid w:val="005D0482"/>
    <w:rsid w:val="005D0636"/>
    <w:rsid w:val="005D4447"/>
    <w:rsid w:val="005D491C"/>
    <w:rsid w:val="005D63CE"/>
    <w:rsid w:val="005E1EDE"/>
    <w:rsid w:val="005E46E9"/>
    <w:rsid w:val="005E4764"/>
    <w:rsid w:val="005E50B1"/>
    <w:rsid w:val="005E5DFC"/>
    <w:rsid w:val="005E7FB8"/>
    <w:rsid w:val="005F0AFC"/>
    <w:rsid w:val="005F32A8"/>
    <w:rsid w:val="005F3550"/>
    <w:rsid w:val="005F527F"/>
    <w:rsid w:val="00602556"/>
    <w:rsid w:val="00602E8A"/>
    <w:rsid w:val="00606061"/>
    <w:rsid w:val="00606763"/>
    <w:rsid w:val="00610B4F"/>
    <w:rsid w:val="00610FC3"/>
    <w:rsid w:val="00615627"/>
    <w:rsid w:val="006203DE"/>
    <w:rsid w:val="00621FAA"/>
    <w:rsid w:val="00624F96"/>
    <w:rsid w:val="00626B30"/>
    <w:rsid w:val="0063218F"/>
    <w:rsid w:val="0063222A"/>
    <w:rsid w:val="0063453C"/>
    <w:rsid w:val="00636CD6"/>
    <w:rsid w:val="006447AB"/>
    <w:rsid w:val="00644BD0"/>
    <w:rsid w:val="006459D9"/>
    <w:rsid w:val="0064720C"/>
    <w:rsid w:val="006475E3"/>
    <w:rsid w:val="00652973"/>
    <w:rsid w:val="00653095"/>
    <w:rsid w:val="006564B7"/>
    <w:rsid w:val="0065668B"/>
    <w:rsid w:val="00657C9E"/>
    <w:rsid w:val="00662513"/>
    <w:rsid w:val="006706FA"/>
    <w:rsid w:val="00671517"/>
    <w:rsid w:val="0067712D"/>
    <w:rsid w:val="00683C03"/>
    <w:rsid w:val="00683F0E"/>
    <w:rsid w:val="00685F22"/>
    <w:rsid w:val="00687E00"/>
    <w:rsid w:val="006902A2"/>
    <w:rsid w:val="00690AD9"/>
    <w:rsid w:val="006924B9"/>
    <w:rsid w:val="0069560C"/>
    <w:rsid w:val="00696A48"/>
    <w:rsid w:val="0069741F"/>
    <w:rsid w:val="00697689"/>
    <w:rsid w:val="006A1C8A"/>
    <w:rsid w:val="006A1DCF"/>
    <w:rsid w:val="006A1F73"/>
    <w:rsid w:val="006A3207"/>
    <w:rsid w:val="006A679B"/>
    <w:rsid w:val="006A68AE"/>
    <w:rsid w:val="006A6EEA"/>
    <w:rsid w:val="006B0B10"/>
    <w:rsid w:val="006B282D"/>
    <w:rsid w:val="006B5DC6"/>
    <w:rsid w:val="006C1E1F"/>
    <w:rsid w:val="006C271D"/>
    <w:rsid w:val="006C2D89"/>
    <w:rsid w:val="006C3104"/>
    <w:rsid w:val="006C5DA9"/>
    <w:rsid w:val="006C607B"/>
    <w:rsid w:val="006C74DA"/>
    <w:rsid w:val="006D189E"/>
    <w:rsid w:val="006D2EFC"/>
    <w:rsid w:val="006D421E"/>
    <w:rsid w:val="006D546E"/>
    <w:rsid w:val="006D7691"/>
    <w:rsid w:val="006E0926"/>
    <w:rsid w:val="006E4D57"/>
    <w:rsid w:val="006E4E77"/>
    <w:rsid w:val="006E6557"/>
    <w:rsid w:val="006F1326"/>
    <w:rsid w:val="006F13BF"/>
    <w:rsid w:val="006F7837"/>
    <w:rsid w:val="006F7FC2"/>
    <w:rsid w:val="00702446"/>
    <w:rsid w:val="00702C20"/>
    <w:rsid w:val="007037A4"/>
    <w:rsid w:val="00704075"/>
    <w:rsid w:val="00704F86"/>
    <w:rsid w:val="00705302"/>
    <w:rsid w:val="00707FA3"/>
    <w:rsid w:val="0071247D"/>
    <w:rsid w:val="0071272F"/>
    <w:rsid w:val="0072064B"/>
    <w:rsid w:val="00722F2F"/>
    <w:rsid w:val="00723354"/>
    <w:rsid w:val="007307CF"/>
    <w:rsid w:val="00731EC8"/>
    <w:rsid w:val="007357BC"/>
    <w:rsid w:val="007412E2"/>
    <w:rsid w:val="007473D2"/>
    <w:rsid w:val="00747916"/>
    <w:rsid w:val="00747E62"/>
    <w:rsid w:val="00753998"/>
    <w:rsid w:val="007578B0"/>
    <w:rsid w:val="00760BFC"/>
    <w:rsid w:val="00763EBF"/>
    <w:rsid w:val="00770069"/>
    <w:rsid w:val="0077379D"/>
    <w:rsid w:val="007740C3"/>
    <w:rsid w:val="00774214"/>
    <w:rsid w:val="00775BBD"/>
    <w:rsid w:val="0078371C"/>
    <w:rsid w:val="00783F44"/>
    <w:rsid w:val="00784ADF"/>
    <w:rsid w:val="00787960"/>
    <w:rsid w:val="00791459"/>
    <w:rsid w:val="007924A1"/>
    <w:rsid w:val="0079345A"/>
    <w:rsid w:val="007974E1"/>
    <w:rsid w:val="0079765E"/>
    <w:rsid w:val="007A57BD"/>
    <w:rsid w:val="007A62A5"/>
    <w:rsid w:val="007B5536"/>
    <w:rsid w:val="007B65C2"/>
    <w:rsid w:val="007C2328"/>
    <w:rsid w:val="007C2B88"/>
    <w:rsid w:val="007C50A7"/>
    <w:rsid w:val="007C5ED5"/>
    <w:rsid w:val="007C667B"/>
    <w:rsid w:val="007C6C01"/>
    <w:rsid w:val="007D3607"/>
    <w:rsid w:val="007D3CC1"/>
    <w:rsid w:val="007D5983"/>
    <w:rsid w:val="007D5C50"/>
    <w:rsid w:val="007D67EE"/>
    <w:rsid w:val="007D6D93"/>
    <w:rsid w:val="007E1AB1"/>
    <w:rsid w:val="007F0F2D"/>
    <w:rsid w:val="007F2852"/>
    <w:rsid w:val="007F31C3"/>
    <w:rsid w:val="007F3590"/>
    <w:rsid w:val="007F3753"/>
    <w:rsid w:val="00801415"/>
    <w:rsid w:val="00801E72"/>
    <w:rsid w:val="00806025"/>
    <w:rsid w:val="00806C1C"/>
    <w:rsid w:val="00807698"/>
    <w:rsid w:val="00807913"/>
    <w:rsid w:val="008135FA"/>
    <w:rsid w:val="00814689"/>
    <w:rsid w:val="00820D6C"/>
    <w:rsid w:val="00821BE2"/>
    <w:rsid w:val="00823507"/>
    <w:rsid w:val="00823825"/>
    <w:rsid w:val="00826757"/>
    <w:rsid w:val="00831A4B"/>
    <w:rsid w:val="00831BE1"/>
    <w:rsid w:val="0084119E"/>
    <w:rsid w:val="008437B3"/>
    <w:rsid w:val="008442AF"/>
    <w:rsid w:val="008456DB"/>
    <w:rsid w:val="008503AE"/>
    <w:rsid w:val="00851EF7"/>
    <w:rsid w:val="0085322A"/>
    <w:rsid w:val="00855724"/>
    <w:rsid w:val="00856118"/>
    <w:rsid w:val="008561AF"/>
    <w:rsid w:val="0086073D"/>
    <w:rsid w:val="00862088"/>
    <w:rsid w:val="00873E3E"/>
    <w:rsid w:val="00881FF5"/>
    <w:rsid w:val="0088361A"/>
    <w:rsid w:val="00883624"/>
    <w:rsid w:val="00885BA1"/>
    <w:rsid w:val="008906D7"/>
    <w:rsid w:val="008917CC"/>
    <w:rsid w:val="00891FB8"/>
    <w:rsid w:val="00895D69"/>
    <w:rsid w:val="00897C19"/>
    <w:rsid w:val="008A2C28"/>
    <w:rsid w:val="008A471F"/>
    <w:rsid w:val="008B3151"/>
    <w:rsid w:val="008B5078"/>
    <w:rsid w:val="008C0A74"/>
    <w:rsid w:val="008C1091"/>
    <w:rsid w:val="008C309F"/>
    <w:rsid w:val="008C3889"/>
    <w:rsid w:val="008C612D"/>
    <w:rsid w:val="008D3FCA"/>
    <w:rsid w:val="008E0AA6"/>
    <w:rsid w:val="008E34D0"/>
    <w:rsid w:val="008E5829"/>
    <w:rsid w:val="008E5A51"/>
    <w:rsid w:val="008F20BA"/>
    <w:rsid w:val="008F30CE"/>
    <w:rsid w:val="008F5023"/>
    <w:rsid w:val="008F5B62"/>
    <w:rsid w:val="008F6B7E"/>
    <w:rsid w:val="00900417"/>
    <w:rsid w:val="009013A9"/>
    <w:rsid w:val="00901D16"/>
    <w:rsid w:val="0090307E"/>
    <w:rsid w:val="009034D4"/>
    <w:rsid w:val="00905057"/>
    <w:rsid w:val="009058B5"/>
    <w:rsid w:val="00905F50"/>
    <w:rsid w:val="00906ECD"/>
    <w:rsid w:val="00906F99"/>
    <w:rsid w:val="0090798B"/>
    <w:rsid w:val="0091088A"/>
    <w:rsid w:val="009108AA"/>
    <w:rsid w:val="00911071"/>
    <w:rsid w:val="009124E6"/>
    <w:rsid w:val="009140A6"/>
    <w:rsid w:val="00914715"/>
    <w:rsid w:val="009165A9"/>
    <w:rsid w:val="00920D3B"/>
    <w:rsid w:val="0092305D"/>
    <w:rsid w:val="00923241"/>
    <w:rsid w:val="009272DF"/>
    <w:rsid w:val="009304AC"/>
    <w:rsid w:val="00932575"/>
    <w:rsid w:val="00933317"/>
    <w:rsid w:val="009335DA"/>
    <w:rsid w:val="009346F4"/>
    <w:rsid w:val="009367D1"/>
    <w:rsid w:val="00940924"/>
    <w:rsid w:val="00952A35"/>
    <w:rsid w:val="00952F16"/>
    <w:rsid w:val="009538E6"/>
    <w:rsid w:val="00957BAC"/>
    <w:rsid w:val="00957EAA"/>
    <w:rsid w:val="00960673"/>
    <w:rsid w:val="00966200"/>
    <w:rsid w:val="00966E30"/>
    <w:rsid w:val="00967992"/>
    <w:rsid w:val="00967FFD"/>
    <w:rsid w:val="009704E4"/>
    <w:rsid w:val="00970694"/>
    <w:rsid w:val="00977032"/>
    <w:rsid w:val="009775C7"/>
    <w:rsid w:val="00981E4E"/>
    <w:rsid w:val="00985D65"/>
    <w:rsid w:val="00992398"/>
    <w:rsid w:val="0099311F"/>
    <w:rsid w:val="009973F2"/>
    <w:rsid w:val="009A0289"/>
    <w:rsid w:val="009A5E17"/>
    <w:rsid w:val="009B34D9"/>
    <w:rsid w:val="009C0EE9"/>
    <w:rsid w:val="009C1B75"/>
    <w:rsid w:val="009C22BE"/>
    <w:rsid w:val="009C26B1"/>
    <w:rsid w:val="009C388D"/>
    <w:rsid w:val="009C4535"/>
    <w:rsid w:val="009D28A7"/>
    <w:rsid w:val="009D65FE"/>
    <w:rsid w:val="009D765F"/>
    <w:rsid w:val="009D77B8"/>
    <w:rsid w:val="009E231A"/>
    <w:rsid w:val="009E2F64"/>
    <w:rsid w:val="009E61CF"/>
    <w:rsid w:val="009E788F"/>
    <w:rsid w:val="009F3844"/>
    <w:rsid w:val="00A0109A"/>
    <w:rsid w:val="00A02157"/>
    <w:rsid w:val="00A056D3"/>
    <w:rsid w:val="00A06F2C"/>
    <w:rsid w:val="00A071F8"/>
    <w:rsid w:val="00A10E2B"/>
    <w:rsid w:val="00A1314F"/>
    <w:rsid w:val="00A13173"/>
    <w:rsid w:val="00A14D4F"/>
    <w:rsid w:val="00A16557"/>
    <w:rsid w:val="00A17B12"/>
    <w:rsid w:val="00A20AD0"/>
    <w:rsid w:val="00A2246E"/>
    <w:rsid w:val="00A2676C"/>
    <w:rsid w:val="00A26D11"/>
    <w:rsid w:val="00A30084"/>
    <w:rsid w:val="00A31D66"/>
    <w:rsid w:val="00A31E4E"/>
    <w:rsid w:val="00A31E6F"/>
    <w:rsid w:val="00A34864"/>
    <w:rsid w:val="00A350A2"/>
    <w:rsid w:val="00A35232"/>
    <w:rsid w:val="00A41B4A"/>
    <w:rsid w:val="00A473B4"/>
    <w:rsid w:val="00A50895"/>
    <w:rsid w:val="00A50968"/>
    <w:rsid w:val="00A53ED9"/>
    <w:rsid w:val="00A5410F"/>
    <w:rsid w:val="00A6097C"/>
    <w:rsid w:val="00A63F9B"/>
    <w:rsid w:val="00A64B44"/>
    <w:rsid w:val="00A70669"/>
    <w:rsid w:val="00A73318"/>
    <w:rsid w:val="00A83136"/>
    <w:rsid w:val="00A840F7"/>
    <w:rsid w:val="00A93A9F"/>
    <w:rsid w:val="00AA2518"/>
    <w:rsid w:val="00AA2F35"/>
    <w:rsid w:val="00AA44D4"/>
    <w:rsid w:val="00AA5949"/>
    <w:rsid w:val="00AA5FA3"/>
    <w:rsid w:val="00AB1630"/>
    <w:rsid w:val="00AB555D"/>
    <w:rsid w:val="00AC073E"/>
    <w:rsid w:val="00AC142C"/>
    <w:rsid w:val="00AC38DC"/>
    <w:rsid w:val="00AC4AC7"/>
    <w:rsid w:val="00AC5497"/>
    <w:rsid w:val="00AC6E16"/>
    <w:rsid w:val="00AC79A9"/>
    <w:rsid w:val="00AD1238"/>
    <w:rsid w:val="00AD17F8"/>
    <w:rsid w:val="00AD309B"/>
    <w:rsid w:val="00AD4D89"/>
    <w:rsid w:val="00AE0DC5"/>
    <w:rsid w:val="00AE31B2"/>
    <w:rsid w:val="00AF0D97"/>
    <w:rsid w:val="00AF1005"/>
    <w:rsid w:val="00AF1824"/>
    <w:rsid w:val="00AF2097"/>
    <w:rsid w:val="00AF21D3"/>
    <w:rsid w:val="00AF5CBC"/>
    <w:rsid w:val="00AF6116"/>
    <w:rsid w:val="00B01602"/>
    <w:rsid w:val="00B03D9A"/>
    <w:rsid w:val="00B071A1"/>
    <w:rsid w:val="00B113C6"/>
    <w:rsid w:val="00B20253"/>
    <w:rsid w:val="00B27020"/>
    <w:rsid w:val="00B30286"/>
    <w:rsid w:val="00B30B03"/>
    <w:rsid w:val="00B31F53"/>
    <w:rsid w:val="00B32CD1"/>
    <w:rsid w:val="00B33C76"/>
    <w:rsid w:val="00B346B2"/>
    <w:rsid w:val="00B41272"/>
    <w:rsid w:val="00B414DA"/>
    <w:rsid w:val="00B44CDA"/>
    <w:rsid w:val="00B50782"/>
    <w:rsid w:val="00B53D71"/>
    <w:rsid w:val="00B64D1D"/>
    <w:rsid w:val="00B64D72"/>
    <w:rsid w:val="00B71237"/>
    <w:rsid w:val="00B71261"/>
    <w:rsid w:val="00B7175C"/>
    <w:rsid w:val="00B71EA4"/>
    <w:rsid w:val="00B72DC9"/>
    <w:rsid w:val="00B81DBB"/>
    <w:rsid w:val="00B8244A"/>
    <w:rsid w:val="00B8328F"/>
    <w:rsid w:val="00B832C0"/>
    <w:rsid w:val="00B85CAC"/>
    <w:rsid w:val="00B86D06"/>
    <w:rsid w:val="00B90179"/>
    <w:rsid w:val="00B91EB5"/>
    <w:rsid w:val="00BA6F9E"/>
    <w:rsid w:val="00BA7C2D"/>
    <w:rsid w:val="00BB3C6F"/>
    <w:rsid w:val="00BB5088"/>
    <w:rsid w:val="00BB6B2D"/>
    <w:rsid w:val="00BB738F"/>
    <w:rsid w:val="00BC330A"/>
    <w:rsid w:val="00BC65DE"/>
    <w:rsid w:val="00BD3267"/>
    <w:rsid w:val="00BD4C1C"/>
    <w:rsid w:val="00BD7320"/>
    <w:rsid w:val="00BE3528"/>
    <w:rsid w:val="00BE49D9"/>
    <w:rsid w:val="00BE5A71"/>
    <w:rsid w:val="00BE5DCB"/>
    <w:rsid w:val="00BF12B1"/>
    <w:rsid w:val="00BF13EC"/>
    <w:rsid w:val="00BF1C9A"/>
    <w:rsid w:val="00BF3ACA"/>
    <w:rsid w:val="00BF4C20"/>
    <w:rsid w:val="00BF502B"/>
    <w:rsid w:val="00BF6748"/>
    <w:rsid w:val="00BF690E"/>
    <w:rsid w:val="00C00CFD"/>
    <w:rsid w:val="00C053D5"/>
    <w:rsid w:val="00C14D78"/>
    <w:rsid w:val="00C1550E"/>
    <w:rsid w:val="00C16AE6"/>
    <w:rsid w:val="00C175EF"/>
    <w:rsid w:val="00C176A8"/>
    <w:rsid w:val="00C20C49"/>
    <w:rsid w:val="00C26E8A"/>
    <w:rsid w:val="00C3314D"/>
    <w:rsid w:val="00C40215"/>
    <w:rsid w:val="00C423C2"/>
    <w:rsid w:val="00C442A4"/>
    <w:rsid w:val="00C44C30"/>
    <w:rsid w:val="00C46D5C"/>
    <w:rsid w:val="00C5220C"/>
    <w:rsid w:val="00C52A76"/>
    <w:rsid w:val="00C52D93"/>
    <w:rsid w:val="00C54125"/>
    <w:rsid w:val="00C5541B"/>
    <w:rsid w:val="00C56620"/>
    <w:rsid w:val="00C57AE6"/>
    <w:rsid w:val="00C60729"/>
    <w:rsid w:val="00C63294"/>
    <w:rsid w:val="00C668CB"/>
    <w:rsid w:val="00C71AA1"/>
    <w:rsid w:val="00C73216"/>
    <w:rsid w:val="00C74605"/>
    <w:rsid w:val="00C74953"/>
    <w:rsid w:val="00C77DC6"/>
    <w:rsid w:val="00C81AA2"/>
    <w:rsid w:val="00C82374"/>
    <w:rsid w:val="00C83D73"/>
    <w:rsid w:val="00C86777"/>
    <w:rsid w:val="00C926F0"/>
    <w:rsid w:val="00C92C65"/>
    <w:rsid w:val="00C96ECE"/>
    <w:rsid w:val="00C96F28"/>
    <w:rsid w:val="00C9777B"/>
    <w:rsid w:val="00CA16BA"/>
    <w:rsid w:val="00CA1DFE"/>
    <w:rsid w:val="00CA5C8D"/>
    <w:rsid w:val="00CA655D"/>
    <w:rsid w:val="00CA6A33"/>
    <w:rsid w:val="00CA70AD"/>
    <w:rsid w:val="00CB1B79"/>
    <w:rsid w:val="00CB3780"/>
    <w:rsid w:val="00CB509B"/>
    <w:rsid w:val="00CC1616"/>
    <w:rsid w:val="00CC2B32"/>
    <w:rsid w:val="00CC377B"/>
    <w:rsid w:val="00CD549A"/>
    <w:rsid w:val="00CD54AF"/>
    <w:rsid w:val="00CD5545"/>
    <w:rsid w:val="00CD5F32"/>
    <w:rsid w:val="00CE248F"/>
    <w:rsid w:val="00CE4291"/>
    <w:rsid w:val="00CE7563"/>
    <w:rsid w:val="00CE7831"/>
    <w:rsid w:val="00CF4409"/>
    <w:rsid w:val="00CF63F6"/>
    <w:rsid w:val="00D026AC"/>
    <w:rsid w:val="00D02EEB"/>
    <w:rsid w:val="00D03476"/>
    <w:rsid w:val="00D0486A"/>
    <w:rsid w:val="00D056F3"/>
    <w:rsid w:val="00D107AE"/>
    <w:rsid w:val="00D12982"/>
    <w:rsid w:val="00D145E3"/>
    <w:rsid w:val="00D203EC"/>
    <w:rsid w:val="00D20C0B"/>
    <w:rsid w:val="00D213BD"/>
    <w:rsid w:val="00D2237C"/>
    <w:rsid w:val="00D23BA7"/>
    <w:rsid w:val="00D24A54"/>
    <w:rsid w:val="00D27708"/>
    <w:rsid w:val="00D366B1"/>
    <w:rsid w:val="00D366BC"/>
    <w:rsid w:val="00D3710F"/>
    <w:rsid w:val="00D3765B"/>
    <w:rsid w:val="00D37F97"/>
    <w:rsid w:val="00D428BA"/>
    <w:rsid w:val="00D44F06"/>
    <w:rsid w:val="00D45437"/>
    <w:rsid w:val="00D503F4"/>
    <w:rsid w:val="00D54880"/>
    <w:rsid w:val="00D5690B"/>
    <w:rsid w:val="00D60127"/>
    <w:rsid w:val="00D62AB3"/>
    <w:rsid w:val="00D66D9A"/>
    <w:rsid w:val="00D67BD6"/>
    <w:rsid w:val="00D72EE0"/>
    <w:rsid w:val="00D739C2"/>
    <w:rsid w:val="00D8716A"/>
    <w:rsid w:val="00D9017A"/>
    <w:rsid w:val="00D908F2"/>
    <w:rsid w:val="00D9218E"/>
    <w:rsid w:val="00D93E78"/>
    <w:rsid w:val="00D96E35"/>
    <w:rsid w:val="00DA1F9E"/>
    <w:rsid w:val="00DA4F5E"/>
    <w:rsid w:val="00DA56E7"/>
    <w:rsid w:val="00DA70A5"/>
    <w:rsid w:val="00DA7192"/>
    <w:rsid w:val="00DA7709"/>
    <w:rsid w:val="00DB0D48"/>
    <w:rsid w:val="00DB19C0"/>
    <w:rsid w:val="00DB53DF"/>
    <w:rsid w:val="00DB599C"/>
    <w:rsid w:val="00DB6660"/>
    <w:rsid w:val="00DB6B66"/>
    <w:rsid w:val="00DC2FE3"/>
    <w:rsid w:val="00DC4F22"/>
    <w:rsid w:val="00DC5E88"/>
    <w:rsid w:val="00DC5F5C"/>
    <w:rsid w:val="00DD0343"/>
    <w:rsid w:val="00DD1414"/>
    <w:rsid w:val="00DD1CAB"/>
    <w:rsid w:val="00DD4111"/>
    <w:rsid w:val="00DD69EE"/>
    <w:rsid w:val="00DD6BA7"/>
    <w:rsid w:val="00DF12DA"/>
    <w:rsid w:val="00DF19A7"/>
    <w:rsid w:val="00DF2B88"/>
    <w:rsid w:val="00DF2BBB"/>
    <w:rsid w:val="00E005F3"/>
    <w:rsid w:val="00E04C31"/>
    <w:rsid w:val="00E06B95"/>
    <w:rsid w:val="00E123CB"/>
    <w:rsid w:val="00E14783"/>
    <w:rsid w:val="00E16A3C"/>
    <w:rsid w:val="00E16B3E"/>
    <w:rsid w:val="00E2153D"/>
    <w:rsid w:val="00E2334E"/>
    <w:rsid w:val="00E27416"/>
    <w:rsid w:val="00E277C8"/>
    <w:rsid w:val="00E316AB"/>
    <w:rsid w:val="00E31CE6"/>
    <w:rsid w:val="00E333AC"/>
    <w:rsid w:val="00E36563"/>
    <w:rsid w:val="00E365F8"/>
    <w:rsid w:val="00E3672E"/>
    <w:rsid w:val="00E40501"/>
    <w:rsid w:val="00E40B9B"/>
    <w:rsid w:val="00E41DB5"/>
    <w:rsid w:val="00E44A23"/>
    <w:rsid w:val="00E45672"/>
    <w:rsid w:val="00E4621D"/>
    <w:rsid w:val="00E47788"/>
    <w:rsid w:val="00E52313"/>
    <w:rsid w:val="00E54165"/>
    <w:rsid w:val="00E55837"/>
    <w:rsid w:val="00E56EC1"/>
    <w:rsid w:val="00E57675"/>
    <w:rsid w:val="00E57D40"/>
    <w:rsid w:val="00E6294E"/>
    <w:rsid w:val="00E63975"/>
    <w:rsid w:val="00E70019"/>
    <w:rsid w:val="00E740CA"/>
    <w:rsid w:val="00E7412B"/>
    <w:rsid w:val="00E74695"/>
    <w:rsid w:val="00E76220"/>
    <w:rsid w:val="00E77CC1"/>
    <w:rsid w:val="00E805E2"/>
    <w:rsid w:val="00E811C3"/>
    <w:rsid w:val="00E81A91"/>
    <w:rsid w:val="00E81F72"/>
    <w:rsid w:val="00E825C9"/>
    <w:rsid w:val="00E87482"/>
    <w:rsid w:val="00E906C7"/>
    <w:rsid w:val="00E9290B"/>
    <w:rsid w:val="00E92DB2"/>
    <w:rsid w:val="00E93206"/>
    <w:rsid w:val="00E95948"/>
    <w:rsid w:val="00EA186F"/>
    <w:rsid w:val="00EA29B7"/>
    <w:rsid w:val="00EA2ED8"/>
    <w:rsid w:val="00EA5600"/>
    <w:rsid w:val="00EA5EB4"/>
    <w:rsid w:val="00EA69E6"/>
    <w:rsid w:val="00EB0A37"/>
    <w:rsid w:val="00EB0AD7"/>
    <w:rsid w:val="00EB0BA5"/>
    <w:rsid w:val="00EB3190"/>
    <w:rsid w:val="00EB420E"/>
    <w:rsid w:val="00EB4899"/>
    <w:rsid w:val="00EB5112"/>
    <w:rsid w:val="00EC0547"/>
    <w:rsid w:val="00EC145D"/>
    <w:rsid w:val="00EC4FB3"/>
    <w:rsid w:val="00ED01AC"/>
    <w:rsid w:val="00ED0BA4"/>
    <w:rsid w:val="00ED0C08"/>
    <w:rsid w:val="00ED52FF"/>
    <w:rsid w:val="00EE0C00"/>
    <w:rsid w:val="00EE3B69"/>
    <w:rsid w:val="00EE4013"/>
    <w:rsid w:val="00EE42D9"/>
    <w:rsid w:val="00EE49F2"/>
    <w:rsid w:val="00EE7100"/>
    <w:rsid w:val="00EF17D2"/>
    <w:rsid w:val="00EF401E"/>
    <w:rsid w:val="00F010FB"/>
    <w:rsid w:val="00F01B5B"/>
    <w:rsid w:val="00F01E3A"/>
    <w:rsid w:val="00F04502"/>
    <w:rsid w:val="00F051CC"/>
    <w:rsid w:val="00F0565E"/>
    <w:rsid w:val="00F05F22"/>
    <w:rsid w:val="00F0647E"/>
    <w:rsid w:val="00F06723"/>
    <w:rsid w:val="00F12DFE"/>
    <w:rsid w:val="00F14CA9"/>
    <w:rsid w:val="00F15281"/>
    <w:rsid w:val="00F20C76"/>
    <w:rsid w:val="00F2109F"/>
    <w:rsid w:val="00F213B9"/>
    <w:rsid w:val="00F22156"/>
    <w:rsid w:val="00F254C9"/>
    <w:rsid w:val="00F266BF"/>
    <w:rsid w:val="00F2735B"/>
    <w:rsid w:val="00F27804"/>
    <w:rsid w:val="00F307DD"/>
    <w:rsid w:val="00F33784"/>
    <w:rsid w:val="00F344BE"/>
    <w:rsid w:val="00F3520A"/>
    <w:rsid w:val="00F430AF"/>
    <w:rsid w:val="00F47D38"/>
    <w:rsid w:val="00F5100C"/>
    <w:rsid w:val="00F56595"/>
    <w:rsid w:val="00F62331"/>
    <w:rsid w:val="00F632FB"/>
    <w:rsid w:val="00F64520"/>
    <w:rsid w:val="00F6742E"/>
    <w:rsid w:val="00F72704"/>
    <w:rsid w:val="00F7424D"/>
    <w:rsid w:val="00F75BD4"/>
    <w:rsid w:val="00F80D2D"/>
    <w:rsid w:val="00F81345"/>
    <w:rsid w:val="00F861D8"/>
    <w:rsid w:val="00F87ABF"/>
    <w:rsid w:val="00F87DF3"/>
    <w:rsid w:val="00F9452D"/>
    <w:rsid w:val="00F94A89"/>
    <w:rsid w:val="00FA2DFD"/>
    <w:rsid w:val="00FA34C9"/>
    <w:rsid w:val="00FA37FC"/>
    <w:rsid w:val="00FA4672"/>
    <w:rsid w:val="00FA5DA0"/>
    <w:rsid w:val="00FA695D"/>
    <w:rsid w:val="00FA79F7"/>
    <w:rsid w:val="00FB1FB8"/>
    <w:rsid w:val="00FB2D25"/>
    <w:rsid w:val="00FB2FFF"/>
    <w:rsid w:val="00FB483A"/>
    <w:rsid w:val="00FB5304"/>
    <w:rsid w:val="00FB5BA4"/>
    <w:rsid w:val="00FB68B6"/>
    <w:rsid w:val="00FB6B3E"/>
    <w:rsid w:val="00FC0DC6"/>
    <w:rsid w:val="00FC21C3"/>
    <w:rsid w:val="00FC65D6"/>
    <w:rsid w:val="00FD4A0C"/>
    <w:rsid w:val="00FD542B"/>
    <w:rsid w:val="00FD7E96"/>
    <w:rsid w:val="00FE0EB5"/>
    <w:rsid w:val="00FE1D0A"/>
    <w:rsid w:val="00FE3F74"/>
    <w:rsid w:val="00FE4A2D"/>
    <w:rsid w:val="00FF10CF"/>
    <w:rsid w:val="00FF4480"/>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FB483A"/>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FE1D0A"/>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8456D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8456DB"/>
    <w:pPr>
      <w:spacing w:before="120"/>
      <w:ind w:left="567" w:hanging="567"/>
    </w:pPr>
    <w:rPr>
      <w:rFonts w:ascii="Trebuchet MS" w:hAnsi="Trebuchet MS"/>
      <w:sz w:val="16"/>
      <w:szCs w:val="24"/>
      <w:lang w:val="en-AU"/>
    </w:rPr>
  </w:style>
  <w:style w:type="paragraph" w:styleId="FootnoteText">
    <w:name w:val="footnote text"/>
    <w:basedOn w:val="Text"/>
    <w:link w:val="FootnoteTextChar"/>
    <w:rsid w:val="003B122F"/>
    <w:pPr>
      <w:tabs>
        <w:tab w:val="left" w:pos="1418"/>
      </w:tabs>
      <w:spacing w:before="0" w:line="220" w:lineRule="exact"/>
      <w:ind w:left="227" w:hanging="227"/>
    </w:pPr>
    <w:rPr>
      <w:sz w:val="16"/>
    </w:rPr>
  </w:style>
  <w:style w:type="character" w:customStyle="1" w:styleId="FootnoteTextChar">
    <w:name w:val="Footnote Text Char"/>
    <w:basedOn w:val="DefaultParagraphFont"/>
    <w:link w:val="FootnoteText"/>
    <w:rsid w:val="003B122F"/>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459D9"/>
    <w:pPr>
      <w:spacing w:before="360"/>
    </w:pPr>
    <w:rPr>
      <w:rFonts w:ascii="Arial" w:hAnsi="Arial" w:cs="Tahoma"/>
      <w:i/>
      <w:sz w:val="28"/>
      <w:lang w:val="en-AU"/>
    </w:rPr>
  </w:style>
  <w:style w:type="paragraph" w:customStyle="1" w:styleId="Abouttheresearch">
    <w:name w:val="About the research"/>
    <w:uiPriority w:val="1"/>
    <w:qFormat/>
    <w:rsid w:val="006459D9"/>
    <w:rPr>
      <w:rFonts w:ascii="Arial" w:hAnsi="Arial" w:cs="Tahoma"/>
      <w:color w:val="000000"/>
      <w:kern w:val="28"/>
      <w:sz w:val="56"/>
      <w:szCs w:val="56"/>
      <w:lang w:val="en-AU"/>
    </w:rPr>
  </w:style>
  <w:style w:type="paragraph" w:customStyle="1" w:styleId="Keymessages">
    <w:name w:val="Key messages"/>
    <w:uiPriority w:val="1"/>
    <w:qFormat/>
    <w:rsid w:val="006459D9"/>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rsid w:val="00251024"/>
    <w:rPr>
      <w:b/>
      <w:bCs/>
    </w:rPr>
  </w:style>
  <w:style w:type="character" w:customStyle="1" w:styleId="CommentSubjectChar">
    <w:name w:val="Comment Subject Char"/>
    <w:basedOn w:val="CommentTextChar"/>
    <w:link w:val="CommentSubject"/>
    <w:uiPriority w:val="99"/>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rsid w:val="00AC6E16"/>
    <w:pPr>
      <w:ind w:firstLine="360"/>
    </w:pPr>
    <w:rPr>
      <w:b/>
    </w:rPr>
  </w:style>
  <w:style w:type="character" w:customStyle="1" w:styleId="BodyTextFirstIndentChar">
    <w:name w:val="Body Text First Indent Char"/>
    <w:basedOn w:val="DefaultParagraphFont"/>
    <w:link w:val="BodyTextFirstIndent"/>
    <w:uiPriority w:val="99"/>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rsid w:val="00A83136"/>
  </w:style>
  <w:style w:type="character" w:customStyle="1" w:styleId="DateChar">
    <w:name w:val="Date Char"/>
    <w:basedOn w:val="DefaultParagraphFont"/>
    <w:link w:val="Date"/>
    <w:uiPriority w:val="99"/>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rsid w:val="00A83136"/>
    <w:pPr>
      <w:ind w:left="1132" w:hanging="283"/>
      <w:contextualSpacing/>
    </w:pPr>
  </w:style>
  <w:style w:type="paragraph" w:styleId="List5">
    <w:name w:val="List 5"/>
    <w:basedOn w:val="Normal"/>
    <w:uiPriority w:val="99"/>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rsid w:val="00A83136"/>
  </w:style>
  <w:style w:type="character" w:customStyle="1" w:styleId="SalutationChar">
    <w:name w:val="Salutation Char"/>
    <w:basedOn w:val="DefaultParagraphFont"/>
    <w:link w:val="Salutation"/>
    <w:uiPriority w:val="99"/>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uiPriority w:val="99"/>
    <w:rsid w:val="00FB483A"/>
    <w:rPr>
      <w:vertAlign w:val="superscript"/>
    </w:rPr>
  </w:style>
  <w:style w:type="paragraph" w:customStyle="1" w:styleId="Note">
    <w:name w:val="Note"/>
    <w:basedOn w:val="Normal"/>
    <w:link w:val="NoteChar"/>
    <w:qFormat/>
    <w:rsid w:val="00C74953"/>
    <w:pPr>
      <w:spacing w:before="0" w:after="120" w:line="240" w:lineRule="auto"/>
    </w:pPr>
    <w:rPr>
      <w:sz w:val="16"/>
      <w:szCs w:val="24"/>
    </w:rPr>
  </w:style>
  <w:style w:type="character" w:customStyle="1" w:styleId="NoteChar">
    <w:name w:val="Note Char"/>
    <w:link w:val="Note"/>
    <w:rsid w:val="00C74953"/>
    <w:rPr>
      <w:rFonts w:ascii="Trebuchet MS" w:hAnsi="Trebuchet MS"/>
      <w:sz w:val="16"/>
      <w:szCs w:val="24"/>
      <w:lang w:val="en-AU"/>
    </w:rPr>
  </w:style>
  <w:style w:type="paragraph" w:customStyle="1" w:styleId="tabletitle0">
    <w:name w:val="tabletitle"/>
    <w:next w:val="Text"/>
    <w:rsid w:val="004551A0"/>
    <w:pPr>
      <w:keepNext/>
      <w:tabs>
        <w:tab w:val="left" w:pos="992"/>
      </w:tabs>
      <w:spacing w:before="360" w:after="80"/>
    </w:pPr>
    <w:rPr>
      <w:rFonts w:ascii="Arial" w:hAnsi="Arial"/>
      <w:b/>
      <w:sz w:val="17"/>
      <w:lang w:val="en-AU" w:eastAsia="en-AU"/>
    </w:rPr>
  </w:style>
  <w:style w:type="paragraph" w:customStyle="1" w:styleId="contents0">
    <w:name w:val="contents"/>
    <w:rsid w:val="00CE7831"/>
    <w:pPr>
      <w:pBdr>
        <w:bottom w:val="single" w:sz="4" w:space="1" w:color="auto"/>
      </w:pBdr>
      <w:spacing w:before="440"/>
      <w:jc w:val="right"/>
    </w:pPr>
    <w:rPr>
      <w:rFonts w:ascii="Garamond" w:hAnsi="Garamond"/>
      <w:kern w:val="28"/>
      <w:sz w:val="60"/>
      <w:lang w:val="en-AU" w:eastAsia="en-AU"/>
    </w:rPr>
  </w:style>
  <w:style w:type="paragraph" w:styleId="Caption">
    <w:name w:val="caption"/>
    <w:basedOn w:val="Normal"/>
    <w:next w:val="Normal"/>
    <w:unhideWhenUsed/>
    <w:qFormat/>
    <w:rsid w:val="00CE7831"/>
    <w:pPr>
      <w:spacing w:before="0"/>
      <w:jc w:val="center"/>
    </w:pPr>
    <w:rPr>
      <w:rFonts w:ascii="Arial" w:hAnsi="Arial"/>
      <w:b/>
      <w:bCs/>
      <w:sz w:val="17"/>
      <w:szCs w:val="18"/>
      <w:lang w:val="en-US"/>
    </w:rPr>
  </w:style>
  <w:style w:type="character" w:customStyle="1" w:styleId="apple-converted-space">
    <w:name w:val="apple-converted-space"/>
    <w:basedOn w:val="DefaultParagraphFont"/>
    <w:rsid w:val="00CE7831"/>
  </w:style>
  <w:style w:type="paragraph" w:styleId="BodyText">
    <w:name w:val="Body Text"/>
    <w:basedOn w:val="Normal"/>
    <w:link w:val="BodyTextChar"/>
    <w:semiHidden/>
    <w:unhideWhenUsed/>
    <w:rsid w:val="00CE7831"/>
    <w:pPr>
      <w:spacing w:after="120"/>
    </w:pPr>
  </w:style>
  <w:style w:type="character" w:customStyle="1" w:styleId="BodyTextChar">
    <w:name w:val="Body Text Char"/>
    <w:basedOn w:val="DefaultParagraphFont"/>
    <w:link w:val="BodyText"/>
    <w:semiHidden/>
    <w:rsid w:val="00CE7831"/>
    <w:rPr>
      <w:rFonts w:ascii="Trebuchet MS" w:hAnsi="Trebuchet MS"/>
      <w:sz w:val="19"/>
      <w:lang w:val="en-AU"/>
    </w:rPr>
  </w:style>
  <w:style w:type="paragraph" w:styleId="BodyTextIndent">
    <w:name w:val="Body Text Indent"/>
    <w:basedOn w:val="Normal"/>
    <w:link w:val="BodyTextIndentChar"/>
    <w:semiHidden/>
    <w:unhideWhenUsed/>
    <w:rsid w:val="00CE7831"/>
    <w:pPr>
      <w:spacing w:after="120"/>
      <w:ind w:left="283"/>
    </w:pPr>
  </w:style>
  <w:style w:type="character" w:customStyle="1" w:styleId="BodyTextIndentChar">
    <w:name w:val="Body Text Indent Char"/>
    <w:basedOn w:val="DefaultParagraphFont"/>
    <w:link w:val="BodyTextIndent"/>
    <w:semiHidden/>
    <w:rsid w:val="00CE7831"/>
    <w:rPr>
      <w:rFonts w:ascii="Trebuchet MS" w:hAnsi="Trebuchet MS"/>
      <w:sz w:val="19"/>
      <w:lang w:val="en-AU"/>
    </w:rPr>
  </w:style>
  <w:style w:type="character" w:styleId="HTMLCite">
    <w:name w:val="HTML Cite"/>
    <w:basedOn w:val="DefaultParagraphFont"/>
    <w:uiPriority w:val="99"/>
    <w:semiHidden/>
    <w:unhideWhenUsed/>
    <w:rsid w:val="00F64520"/>
    <w:rPr>
      <w:i/>
      <w:iCs/>
    </w:rPr>
  </w:style>
  <w:style w:type="character" w:customStyle="1" w:styleId="mw-cite-backlink">
    <w:name w:val="mw-cite-backlink"/>
    <w:basedOn w:val="DefaultParagraphFont"/>
    <w:rsid w:val="00F64520"/>
  </w:style>
  <w:style w:type="character" w:customStyle="1" w:styleId="cite-accessibility-label">
    <w:name w:val="cite-accessibility-label"/>
    <w:basedOn w:val="DefaultParagraphFont"/>
    <w:rsid w:val="00F64520"/>
  </w:style>
  <w:style w:type="paragraph" w:styleId="ListParagraph">
    <w:name w:val="List Paragraph"/>
    <w:basedOn w:val="Normal"/>
    <w:uiPriority w:val="34"/>
    <w:qFormat/>
    <w:rsid w:val="00DB19C0"/>
    <w:pPr>
      <w:spacing w:before="0" w:line="240" w:lineRule="auto"/>
      <w:ind w:left="720"/>
    </w:pPr>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FB483A"/>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FE1D0A"/>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8456D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8456DB"/>
    <w:pPr>
      <w:spacing w:before="120"/>
      <w:ind w:left="567" w:hanging="567"/>
    </w:pPr>
    <w:rPr>
      <w:rFonts w:ascii="Trebuchet MS" w:hAnsi="Trebuchet MS"/>
      <w:sz w:val="16"/>
      <w:szCs w:val="24"/>
      <w:lang w:val="en-AU"/>
    </w:rPr>
  </w:style>
  <w:style w:type="paragraph" w:styleId="FootnoteText">
    <w:name w:val="footnote text"/>
    <w:basedOn w:val="Text"/>
    <w:link w:val="FootnoteTextChar"/>
    <w:rsid w:val="003B122F"/>
    <w:pPr>
      <w:tabs>
        <w:tab w:val="left" w:pos="1418"/>
      </w:tabs>
      <w:spacing w:before="0" w:line="220" w:lineRule="exact"/>
      <w:ind w:left="227" w:hanging="227"/>
    </w:pPr>
    <w:rPr>
      <w:sz w:val="16"/>
    </w:rPr>
  </w:style>
  <w:style w:type="character" w:customStyle="1" w:styleId="FootnoteTextChar">
    <w:name w:val="Footnote Text Char"/>
    <w:basedOn w:val="DefaultParagraphFont"/>
    <w:link w:val="FootnoteText"/>
    <w:rsid w:val="003B122F"/>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459D9"/>
    <w:pPr>
      <w:spacing w:before="360"/>
    </w:pPr>
    <w:rPr>
      <w:rFonts w:ascii="Arial" w:hAnsi="Arial" w:cs="Tahoma"/>
      <w:i/>
      <w:sz w:val="28"/>
      <w:lang w:val="en-AU"/>
    </w:rPr>
  </w:style>
  <w:style w:type="paragraph" w:customStyle="1" w:styleId="Abouttheresearch">
    <w:name w:val="About the research"/>
    <w:uiPriority w:val="1"/>
    <w:qFormat/>
    <w:rsid w:val="006459D9"/>
    <w:rPr>
      <w:rFonts w:ascii="Arial" w:hAnsi="Arial" w:cs="Tahoma"/>
      <w:color w:val="000000"/>
      <w:kern w:val="28"/>
      <w:sz w:val="56"/>
      <w:szCs w:val="56"/>
      <w:lang w:val="en-AU"/>
    </w:rPr>
  </w:style>
  <w:style w:type="paragraph" w:customStyle="1" w:styleId="Keymessages">
    <w:name w:val="Key messages"/>
    <w:uiPriority w:val="1"/>
    <w:qFormat/>
    <w:rsid w:val="006459D9"/>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rsid w:val="00251024"/>
    <w:rPr>
      <w:b/>
      <w:bCs/>
    </w:rPr>
  </w:style>
  <w:style w:type="character" w:customStyle="1" w:styleId="CommentSubjectChar">
    <w:name w:val="Comment Subject Char"/>
    <w:basedOn w:val="CommentTextChar"/>
    <w:link w:val="CommentSubject"/>
    <w:uiPriority w:val="99"/>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rsid w:val="00AC6E16"/>
    <w:pPr>
      <w:ind w:firstLine="360"/>
    </w:pPr>
    <w:rPr>
      <w:b/>
    </w:rPr>
  </w:style>
  <w:style w:type="character" w:customStyle="1" w:styleId="BodyTextFirstIndentChar">
    <w:name w:val="Body Text First Indent Char"/>
    <w:basedOn w:val="DefaultParagraphFont"/>
    <w:link w:val="BodyTextFirstIndent"/>
    <w:uiPriority w:val="99"/>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rsid w:val="00A83136"/>
  </w:style>
  <w:style w:type="character" w:customStyle="1" w:styleId="DateChar">
    <w:name w:val="Date Char"/>
    <w:basedOn w:val="DefaultParagraphFont"/>
    <w:link w:val="Date"/>
    <w:uiPriority w:val="99"/>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rsid w:val="00A83136"/>
    <w:pPr>
      <w:ind w:left="1132" w:hanging="283"/>
      <w:contextualSpacing/>
    </w:pPr>
  </w:style>
  <w:style w:type="paragraph" w:styleId="List5">
    <w:name w:val="List 5"/>
    <w:basedOn w:val="Normal"/>
    <w:uiPriority w:val="99"/>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rsid w:val="00A83136"/>
  </w:style>
  <w:style w:type="character" w:customStyle="1" w:styleId="SalutationChar">
    <w:name w:val="Salutation Char"/>
    <w:basedOn w:val="DefaultParagraphFont"/>
    <w:link w:val="Salutation"/>
    <w:uiPriority w:val="99"/>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uiPriority w:val="99"/>
    <w:rsid w:val="00FB483A"/>
    <w:rPr>
      <w:vertAlign w:val="superscript"/>
    </w:rPr>
  </w:style>
  <w:style w:type="paragraph" w:customStyle="1" w:styleId="Note">
    <w:name w:val="Note"/>
    <w:basedOn w:val="Normal"/>
    <w:link w:val="NoteChar"/>
    <w:qFormat/>
    <w:rsid w:val="00C74953"/>
    <w:pPr>
      <w:spacing w:before="0" w:after="120" w:line="240" w:lineRule="auto"/>
    </w:pPr>
    <w:rPr>
      <w:sz w:val="16"/>
      <w:szCs w:val="24"/>
    </w:rPr>
  </w:style>
  <w:style w:type="character" w:customStyle="1" w:styleId="NoteChar">
    <w:name w:val="Note Char"/>
    <w:link w:val="Note"/>
    <w:rsid w:val="00C74953"/>
    <w:rPr>
      <w:rFonts w:ascii="Trebuchet MS" w:hAnsi="Trebuchet MS"/>
      <w:sz w:val="16"/>
      <w:szCs w:val="24"/>
      <w:lang w:val="en-AU"/>
    </w:rPr>
  </w:style>
  <w:style w:type="paragraph" w:customStyle="1" w:styleId="tabletitle0">
    <w:name w:val="tabletitle"/>
    <w:next w:val="Text"/>
    <w:rsid w:val="004551A0"/>
    <w:pPr>
      <w:keepNext/>
      <w:tabs>
        <w:tab w:val="left" w:pos="992"/>
      </w:tabs>
      <w:spacing w:before="360" w:after="80"/>
    </w:pPr>
    <w:rPr>
      <w:rFonts w:ascii="Arial" w:hAnsi="Arial"/>
      <w:b/>
      <w:sz w:val="17"/>
      <w:lang w:val="en-AU" w:eastAsia="en-AU"/>
    </w:rPr>
  </w:style>
  <w:style w:type="paragraph" w:customStyle="1" w:styleId="contents0">
    <w:name w:val="contents"/>
    <w:rsid w:val="00CE7831"/>
    <w:pPr>
      <w:pBdr>
        <w:bottom w:val="single" w:sz="4" w:space="1" w:color="auto"/>
      </w:pBdr>
      <w:spacing w:before="440"/>
      <w:jc w:val="right"/>
    </w:pPr>
    <w:rPr>
      <w:rFonts w:ascii="Garamond" w:hAnsi="Garamond"/>
      <w:kern w:val="28"/>
      <w:sz w:val="60"/>
      <w:lang w:val="en-AU" w:eastAsia="en-AU"/>
    </w:rPr>
  </w:style>
  <w:style w:type="paragraph" w:styleId="Caption">
    <w:name w:val="caption"/>
    <w:basedOn w:val="Normal"/>
    <w:next w:val="Normal"/>
    <w:unhideWhenUsed/>
    <w:qFormat/>
    <w:rsid w:val="00CE7831"/>
    <w:pPr>
      <w:spacing w:before="0"/>
      <w:jc w:val="center"/>
    </w:pPr>
    <w:rPr>
      <w:rFonts w:ascii="Arial" w:hAnsi="Arial"/>
      <w:b/>
      <w:bCs/>
      <w:sz w:val="17"/>
      <w:szCs w:val="18"/>
      <w:lang w:val="en-US"/>
    </w:rPr>
  </w:style>
  <w:style w:type="character" w:customStyle="1" w:styleId="apple-converted-space">
    <w:name w:val="apple-converted-space"/>
    <w:basedOn w:val="DefaultParagraphFont"/>
    <w:rsid w:val="00CE7831"/>
  </w:style>
  <w:style w:type="paragraph" w:styleId="BodyText">
    <w:name w:val="Body Text"/>
    <w:basedOn w:val="Normal"/>
    <w:link w:val="BodyTextChar"/>
    <w:semiHidden/>
    <w:unhideWhenUsed/>
    <w:rsid w:val="00CE7831"/>
    <w:pPr>
      <w:spacing w:after="120"/>
    </w:pPr>
  </w:style>
  <w:style w:type="character" w:customStyle="1" w:styleId="BodyTextChar">
    <w:name w:val="Body Text Char"/>
    <w:basedOn w:val="DefaultParagraphFont"/>
    <w:link w:val="BodyText"/>
    <w:semiHidden/>
    <w:rsid w:val="00CE7831"/>
    <w:rPr>
      <w:rFonts w:ascii="Trebuchet MS" w:hAnsi="Trebuchet MS"/>
      <w:sz w:val="19"/>
      <w:lang w:val="en-AU"/>
    </w:rPr>
  </w:style>
  <w:style w:type="paragraph" w:styleId="BodyTextIndent">
    <w:name w:val="Body Text Indent"/>
    <w:basedOn w:val="Normal"/>
    <w:link w:val="BodyTextIndentChar"/>
    <w:semiHidden/>
    <w:unhideWhenUsed/>
    <w:rsid w:val="00CE7831"/>
    <w:pPr>
      <w:spacing w:after="120"/>
      <w:ind w:left="283"/>
    </w:pPr>
  </w:style>
  <w:style w:type="character" w:customStyle="1" w:styleId="BodyTextIndentChar">
    <w:name w:val="Body Text Indent Char"/>
    <w:basedOn w:val="DefaultParagraphFont"/>
    <w:link w:val="BodyTextIndent"/>
    <w:semiHidden/>
    <w:rsid w:val="00CE7831"/>
    <w:rPr>
      <w:rFonts w:ascii="Trebuchet MS" w:hAnsi="Trebuchet MS"/>
      <w:sz w:val="19"/>
      <w:lang w:val="en-AU"/>
    </w:rPr>
  </w:style>
  <w:style w:type="character" w:styleId="HTMLCite">
    <w:name w:val="HTML Cite"/>
    <w:basedOn w:val="DefaultParagraphFont"/>
    <w:uiPriority w:val="99"/>
    <w:semiHidden/>
    <w:unhideWhenUsed/>
    <w:rsid w:val="00F64520"/>
    <w:rPr>
      <w:i/>
      <w:iCs/>
    </w:rPr>
  </w:style>
  <w:style w:type="character" w:customStyle="1" w:styleId="mw-cite-backlink">
    <w:name w:val="mw-cite-backlink"/>
    <w:basedOn w:val="DefaultParagraphFont"/>
    <w:rsid w:val="00F64520"/>
  </w:style>
  <w:style w:type="character" w:customStyle="1" w:styleId="cite-accessibility-label">
    <w:name w:val="cite-accessibility-label"/>
    <w:basedOn w:val="DefaultParagraphFont"/>
    <w:rsid w:val="00F64520"/>
  </w:style>
  <w:style w:type="paragraph" w:styleId="ListParagraph">
    <w:name w:val="List Paragraph"/>
    <w:basedOn w:val="Normal"/>
    <w:uiPriority w:val="34"/>
    <w:qFormat/>
    <w:rsid w:val="00DB19C0"/>
    <w:pPr>
      <w:spacing w:before="0" w:line="240" w:lineRule="auto"/>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1020">
      <w:bodyDiv w:val="1"/>
      <w:marLeft w:val="0"/>
      <w:marRight w:val="0"/>
      <w:marTop w:val="0"/>
      <w:marBottom w:val="0"/>
      <w:divBdr>
        <w:top w:val="none" w:sz="0" w:space="0" w:color="auto"/>
        <w:left w:val="none" w:sz="0" w:space="0" w:color="auto"/>
        <w:bottom w:val="none" w:sz="0" w:space="0" w:color="auto"/>
        <w:right w:val="none" w:sz="0" w:space="0" w:color="auto"/>
      </w:divBdr>
    </w:div>
    <w:div w:id="82000564">
      <w:bodyDiv w:val="1"/>
      <w:marLeft w:val="0"/>
      <w:marRight w:val="0"/>
      <w:marTop w:val="0"/>
      <w:marBottom w:val="0"/>
      <w:divBdr>
        <w:top w:val="none" w:sz="0" w:space="0" w:color="auto"/>
        <w:left w:val="none" w:sz="0" w:space="0" w:color="auto"/>
        <w:bottom w:val="none" w:sz="0" w:space="0" w:color="auto"/>
        <w:right w:val="none" w:sz="0" w:space="0" w:color="auto"/>
      </w:divBdr>
    </w:div>
    <w:div w:id="102655235">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94078544">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236087566">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48882114">
      <w:bodyDiv w:val="1"/>
      <w:marLeft w:val="0"/>
      <w:marRight w:val="0"/>
      <w:marTop w:val="0"/>
      <w:marBottom w:val="0"/>
      <w:divBdr>
        <w:top w:val="none" w:sz="0" w:space="0" w:color="auto"/>
        <w:left w:val="none" w:sz="0" w:space="0" w:color="auto"/>
        <w:bottom w:val="none" w:sz="0" w:space="0" w:color="auto"/>
        <w:right w:val="none" w:sz="0" w:space="0" w:color="auto"/>
      </w:divBdr>
    </w:div>
    <w:div w:id="176167993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36206494">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hyperlink" Target="mailto:ncver@ncver.edu.au" TargetMode="External"/><Relationship Id="rId39" Type="http://schemas.openxmlformats.org/officeDocument/2006/relationships/image" Target="media/image26.emf"/><Relationship Id="rId34" Type="http://schemas.openxmlformats.org/officeDocument/2006/relationships/image" Target="media/image21.emf"/><Relationship Id="rId42" Type="http://schemas.openxmlformats.org/officeDocument/2006/relationships/footer" Target="footer5.xml"/><Relationship Id="rId47"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footer" Target="footer15.xml"/><Relationship Id="rId63" Type="http://schemas.openxmlformats.org/officeDocument/2006/relationships/hyperlink" Target="https://twitter.com/ncver" TargetMode="External"/><Relationship Id="rId68"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footer" Target="footer4.xml"/><Relationship Id="rId41" Type="http://schemas.openxmlformats.org/officeDocument/2006/relationships/header" Target="header2.xml"/><Relationship Id="rId54" Type="http://schemas.openxmlformats.org/officeDocument/2006/relationships/footer" Target="footer14.xml"/><Relationship Id="rId62" Type="http://schemas.openxmlformats.org/officeDocument/2006/relationships/hyperlink" Target="http://www.lsay.edu.au" TargetMode="External"/><Relationship Id="rId70"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wmf"/><Relationship Id="rId24" Type="http://schemas.openxmlformats.org/officeDocument/2006/relationships/image" Target="media/image15.w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footer" Target="footer8.xml"/><Relationship Id="rId53" Type="http://schemas.openxmlformats.org/officeDocument/2006/relationships/oleObject" Target="embeddings/oleObject1.bin"/><Relationship Id="rId58" Type="http://schemas.openxmlformats.org/officeDocument/2006/relationships/footer" Target="footer16.xml"/><Relationship Id="rId66" Type="http://schemas.openxmlformats.org/officeDocument/2006/relationships/hyperlink" Target="http://www.lsay.edu.au" TargetMode="External"/><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image" Target="media/image23.emf"/><Relationship Id="rId49" Type="http://schemas.openxmlformats.org/officeDocument/2006/relationships/footer" Target="footer12.xml"/><Relationship Id="rId57" Type="http://schemas.openxmlformats.org/officeDocument/2006/relationships/image" Target="media/image30.emf"/><Relationship Id="rId61" Type="http://schemas.openxmlformats.org/officeDocument/2006/relationships/hyperlink" Target="mailto:ncver@ncver.edu.au" TargetMode="External"/><Relationship Id="rId10" Type="http://schemas.openxmlformats.org/officeDocument/2006/relationships/image" Target="media/image10.jpeg"/><Relationship Id="rId31" Type="http://schemas.openxmlformats.org/officeDocument/2006/relationships/image" Target="media/image18.emf"/><Relationship Id="rId44" Type="http://schemas.openxmlformats.org/officeDocument/2006/relationships/footer" Target="footer7.xml"/><Relationship Id="rId52" Type="http://schemas.openxmlformats.org/officeDocument/2006/relationships/image" Target="media/image28.wmf"/><Relationship Id="rId60" Type="http://schemas.openxmlformats.org/officeDocument/2006/relationships/image" Target="media/image31.wmf"/><Relationship Id="rId65" Type="http://schemas.openxmlformats.org/officeDocument/2006/relationships/hyperlink" Target="mailto:ncver@ncver.edu.au" TargetMode="External"/><Relationship Id="rId4" Type="http://schemas.microsoft.com/office/2007/relationships/stylesWithEffects" Target="stylesWithEffects.xml"/><Relationship Id="rId9" Type="http://schemas.openxmlformats.org/officeDocument/2006/relationships/image" Target="media/image9.jpeg"/><Relationship Id="rId14" Type="http://schemas.openxmlformats.org/officeDocument/2006/relationships/footer" Target="footer2.xml"/><Relationship Id="rId27" Type="http://schemas.openxmlformats.org/officeDocument/2006/relationships/header" Target="header1.xml"/><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oter" Target="footer6.xml"/><Relationship Id="rId48" Type="http://schemas.openxmlformats.org/officeDocument/2006/relationships/footer" Target="footer11.xml"/><Relationship Id="rId56" Type="http://schemas.openxmlformats.org/officeDocument/2006/relationships/image" Target="media/image29.emf"/><Relationship Id="rId69"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hyperlink" Target="http://www.ncver.edu.au/so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14.w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oter" Target="footer9.xml"/><Relationship Id="rId59" Type="http://schemas.openxmlformats.org/officeDocument/2006/relationships/footer" Target="footer17.xml"/><Relationship Id="rId67" Type="http://schemas.openxmlformats.org/officeDocument/2006/relationships/hyperlink" Target="https://twitter.com/ncv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8FE39-3DC4-4A3B-AFCC-25238578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0</TotalTime>
  <Pages>50</Pages>
  <Words>18597</Words>
  <Characters>106004</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Making 'good' choices</vt:lpstr>
    </vt:vector>
  </TitlesOfParts>
  <Company>NCVER</Company>
  <LinksUpToDate>false</LinksUpToDate>
  <CharactersWithSpaces>124353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'good' choices</dc:title>
  <dc:creator>Cain Polidano, Justin van de Ven, Sarah Voitchovsky</dc:creator>
  <cp:lastModifiedBy>Elise Rivett</cp:lastModifiedBy>
  <cp:revision>2</cp:revision>
  <cp:lastPrinted>2017-01-26T23:28:00Z</cp:lastPrinted>
  <dcterms:created xsi:type="dcterms:W3CDTF">2017-01-31T00:32:00Z</dcterms:created>
  <dcterms:modified xsi:type="dcterms:W3CDTF">2017-01-31T00:32:00Z</dcterms:modified>
</cp:coreProperties>
</file>