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72" w:rsidRPr="00805CD9" w:rsidRDefault="00541C77" w:rsidP="00674BAA">
      <w:pPr>
        <w:spacing w:line="360" w:lineRule="auto"/>
        <w:rPr>
          <w:b/>
          <w:sz w:val="40"/>
          <w:szCs w:val="40"/>
        </w:rPr>
      </w:pPr>
      <w:r w:rsidRPr="00BB5BA9">
        <w:rPr>
          <w:b/>
          <w:noProof/>
          <w:sz w:val="40"/>
          <w:szCs w:val="40"/>
          <w:lang w:eastAsia="en-AU"/>
        </w:rPr>
        <w:t xml:space="preserve"> </w:t>
      </w:r>
      <w:r w:rsidR="002F4A4C" w:rsidRPr="00BB5BA9">
        <w:rPr>
          <w:b/>
          <w:noProof/>
          <w:sz w:val="40"/>
          <w:szCs w:val="40"/>
          <w:lang w:eastAsia="en-AU"/>
        </w:rPr>
        <w:drawing>
          <wp:anchor distT="0" distB="0" distL="114300" distR="114300" simplePos="0" relativeHeight="251665408" behindDoc="1" locked="0" layoutInCell="1" allowOverlap="1" wp14:anchorId="1F8382F9" wp14:editId="134440A2">
            <wp:simplePos x="0" y="0"/>
            <wp:positionH relativeFrom="column">
              <wp:posOffset>-923925</wp:posOffset>
            </wp:positionH>
            <wp:positionV relativeFrom="paragraph">
              <wp:posOffset>-710781</wp:posOffset>
            </wp:positionV>
            <wp:extent cx="7572375" cy="1447165"/>
            <wp:effectExtent l="0" t="0" r="9525"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165"/>
                    </a:xfrm>
                    <a:prstGeom prst="rect">
                      <a:avLst/>
                    </a:prstGeom>
                    <a:noFill/>
                    <a:ln>
                      <a:noFill/>
                    </a:ln>
                  </pic:spPr>
                </pic:pic>
              </a:graphicData>
            </a:graphic>
          </wp:anchor>
        </w:drawing>
      </w:r>
      <w:r w:rsidR="00AE523D">
        <w:rPr>
          <w:b/>
          <w:noProof/>
          <w:sz w:val="40"/>
          <w:szCs w:val="40"/>
          <w:lang w:eastAsia="en-AU"/>
        </w:rPr>
        <mc:AlternateContent>
          <mc:Choice Requires="wps">
            <w:drawing>
              <wp:anchor distT="0" distB="0" distL="114300" distR="114300" simplePos="0" relativeHeight="251661312" behindDoc="0" locked="0" layoutInCell="1" allowOverlap="1" wp14:anchorId="3C7046D7" wp14:editId="3A5A8497">
                <wp:simplePos x="0" y="0"/>
                <wp:positionH relativeFrom="column">
                  <wp:posOffset>4648200</wp:posOffset>
                </wp:positionH>
                <wp:positionV relativeFrom="paragraph">
                  <wp:posOffset>-495300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4756" w:rsidRPr="0088361A" w:rsidRDefault="00574756" w:rsidP="00BB5BA9">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Occasional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366pt;margin-top:-39pt;width:137.25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" filled="f" stroked="f" strokeweight=".5pt">
                <v:path arrowok="t"/>
                <v:textbox inset="1mm,0,1mm,0">
                  <w:txbxContent>
                    <w:p w:rsidR="00574756" w:rsidRPr="0088361A" w:rsidRDefault="00574756" w:rsidP="00BB5BA9">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Occasional paper</w:t>
                      </w:r>
                    </w:p>
                  </w:txbxContent>
                </v:textbox>
              </v:shape>
            </w:pict>
          </mc:Fallback>
        </mc:AlternateContent>
      </w:r>
      <w:r w:rsidR="00132C98" w:rsidRPr="00805CD9">
        <w:rPr>
          <w:b/>
          <w:sz w:val="40"/>
          <w:szCs w:val="40"/>
        </w:rPr>
        <w:t xml:space="preserve"> </w:t>
      </w:r>
    </w:p>
    <w:p w:rsidR="00BB5BA9" w:rsidRDefault="00BB5BA9" w:rsidP="00674BAA">
      <w:pPr>
        <w:spacing w:line="360" w:lineRule="auto"/>
        <w:jc w:val="center"/>
        <w:rPr>
          <w:b/>
          <w:sz w:val="40"/>
          <w:szCs w:val="40"/>
        </w:rPr>
      </w:pPr>
    </w:p>
    <w:p w:rsidR="00BB5BA9" w:rsidRDefault="00541C77">
      <w:pPr>
        <w:spacing w:before="0" w:after="200" w:line="276" w:lineRule="auto"/>
        <w:rPr>
          <w:b/>
          <w:sz w:val="40"/>
          <w:szCs w:val="40"/>
        </w:rPr>
      </w:pPr>
      <w:r>
        <w:rPr>
          <w:noProof/>
          <w:lang w:eastAsia="en-AU"/>
        </w:rPr>
        <w:drawing>
          <wp:anchor distT="0" distB="0" distL="114300" distR="114300" simplePos="0" relativeHeight="251758592" behindDoc="0" locked="0" layoutInCell="1" allowOverlap="1" wp14:anchorId="53A7A223" wp14:editId="610401C3">
            <wp:simplePos x="0" y="0"/>
            <wp:positionH relativeFrom="column">
              <wp:posOffset>-593355</wp:posOffset>
            </wp:positionH>
            <wp:positionV relativeFrom="paragraph">
              <wp:posOffset>2571627</wp:posOffset>
            </wp:positionV>
            <wp:extent cx="6974006" cy="5661164"/>
            <wp:effectExtent l="0" t="0" r="0" b="0"/>
            <wp:wrapNone/>
            <wp:docPr id="4" name="Picture 4" descr="P:\WorkInProgress\Elise'sPubs\2898 - VET Qualification completition rates\iStock_91036097_LARGE.jpg"/>
            <wp:cNvGraphicFramePr/>
            <a:graphic xmlns:a="http://schemas.openxmlformats.org/drawingml/2006/main">
              <a:graphicData uri="http://schemas.openxmlformats.org/drawingml/2006/picture">
                <pic:pic xmlns:pic="http://schemas.openxmlformats.org/drawingml/2006/picture">
                  <pic:nvPicPr>
                    <pic:cNvPr id="4" name="Picture 4" descr="P:\WorkInProgress\Elise'sPubs\2898 - VET Qualification completition rates\iStock_91036097_LARGE.jpg"/>
                    <pic:cNvPicPr/>
                  </pic:nvPicPr>
                  <pic:blipFill rotWithShape="1">
                    <a:blip r:embed="rId11" cstate="print">
                      <a:extLst>
                        <a:ext uri="{28A0092B-C50C-407E-A947-70E740481C1C}">
                          <a14:useLocalDpi xmlns:a14="http://schemas.microsoft.com/office/drawing/2010/main" val="0"/>
                        </a:ext>
                      </a:extLst>
                    </a:blip>
                    <a:srcRect l="18775"/>
                    <a:stretch/>
                  </pic:blipFill>
                  <pic:spPr bwMode="auto">
                    <a:xfrm>
                      <a:off x="0" y="0"/>
                      <a:ext cx="6977279" cy="5663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3810">
        <w:rPr>
          <w:b/>
          <w:noProof/>
          <w:sz w:val="40"/>
          <w:szCs w:val="40"/>
          <w:lang w:eastAsia="en-AU"/>
        </w:rPr>
        <mc:AlternateContent>
          <mc:Choice Requires="wps">
            <w:drawing>
              <wp:anchor distT="0" distB="0" distL="114300" distR="114300" simplePos="0" relativeHeight="251662336" behindDoc="0" locked="0" layoutInCell="1" allowOverlap="1" wp14:anchorId="4B33C632" wp14:editId="1C474927">
                <wp:simplePos x="0" y="0"/>
                <wp:positionH relativeFrom="column">
                  <wp:posOffset>-659130</wp:posOffset>
                </wp:positionH>
                <wp:positionV relativeFrom="paragraph">
                  <wp:posOffset>172085</wp:posOffset>
                </wp:positionV>
                <wp:extent cx="5267325" cy="2190750"/>
                <wp:effectExtent l="0" t="0" r="0" b="0"/>
                <wp:wrapNone/>
                <wp:docPr id="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7325" cy="219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4756" w:rsidRPr="00241375" w:rsidRDefault="00574756" w:rsidP="00241375">
                            <w:pPr>
                              <w:pStyle w:val="Titlepage"/>
                            </w:pPr>
                            <w:bookmarkStart w:id="0" w:name="_GoBack"/>
                            <w:r w:rsidRPr="00241375">
                              <w:t xml:space="preserve">VET </w:t>
                            </w:r>
                            <w:r>
                              <w:t xml:space="preserve">program </w:t>
                            </w:r>
                            <w:r w:rsidRPr="00241375">
                              <w:t>completion rates: an evaluation of the current method</w:t>
                            </w:r>
                          </w:p>
                          <w:bookmarkEnd w:id="0"/>
                          <w:p w:rsidR="00574756" w:rsidRPr="00241375" w:rsidRDefault="00574756" w:rsidP="0004066C">
                            <w:pPr>
                              <w:pStyle w:val="Abouttheresearch"/>
                              <w:spacing w:before="720"/>
                              <w:rPr>
                                <w:rFonts w:ascii="Arial" w:hAnsi="Arial" w:cs="Arial"/>
                                <w:b/>
                                <w:color w:val="595959" w:themeColor="text1" w:themeTint="A6"/>
                                <w:sz w:val="27"/>
                                <w:szCs w:val="27"/>
                              </w:rPr>
                            </w:pPr>
                          </w:p>
                          <w:p w:rsidR="00574756" w:rsidRPr="00241375" w:rsidRDefault="00574756" w:rsidP="00BB5BA9">
                            <w:pPr>
                              <w:pStyle w:val="Abouttheresearch"/>
                              <w:rPr>
                                <w:rFonts w:ascii="Arial" w:hAnsi="Arial" w:cs="Arial"/>
                                <w:color w:val="595959" w:themeColor="text1" w:themeTint="A6"/>
                                <w:sz w:val="27"/>
                                <w:szCs w:val="27"/>
                              </w:rPr>
                            </w:pPr>
                            <w:r w:rsidRPr="00241375">
                              <w:rPr>
                                <w:rFonts w:ascii="Arial" w:hAnsi="Arial" w:cs="Arial"/>
                                <w:color w:val="595959" w:themeColor="text1" w:themeTint="A6"/>
                                <w:sz w:val="27"/>
                                <w:szCs w:val="27"/>
                              </w:rPr>
                              <w:t>National Centre for Vocational Education Research</w:t>
                            </w:r>
                          </w:p>
                          <w:p w:rsidR="00574756" w:rsidRPr="00360FAD" w:rsidRDefault="00574756" w:rsidP="00BB5BA9">
                            <w:pPr>
                              <w:pStyle w:val="Abouttheresearch"/>
                              <w:rPr>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51.9pt;margin-top:13.55pt;width:414.7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" filled="f" stroked="f" strokeweight=".5pt">
                <v:path arrowok="t"/>
                <v:textbox inset=",,,0">
                  <w:txbxContent>
                    <w:p w:rsidR="00574756" w:rsidRPr="00241375" w:rsidRDefault="00574756" w:rsidP="00241375">
                      <w:pPr>
                        <w:pStyle w:val="Titlepage"/>
                      </w:pPr>
                      <w:r w:rsidRPr="00241375">
                        <w:t xml:space="preserve">VET </w:t>
                      </w:r>
                      <w:r>
                        <w:t xml:space="preserve">program </w:t>
                      </w:r>
                      <w:r w:rsidRPr="00241375">
                        <w:t>completion rates: an evaluation of the current method</w:t>
                      </w:r>
                    </w:p>
                    <w:p w:rsidR="00574756" w:rsidRPr="00241375" w:rsidRDefault="00574756" w:rsidP="0004066C">
                      <w:pPr>
                        <w:pStyle w:val="Abouttheresearch"/>
                        <w:spacing w:before="720"/>
                        <w:rPr>
                          <w:rFonts w:ascii="Arial" w:hAnsi="Arial" w:cs="Arial"/>
                          <w:b/>
                          <w:color w:val="595959" w:themeColor="text1" w:themeTint="A6"/>
                          <w:sz w:val="27"/>
                          <w:szCs w:val="27"/>
                        </w:rPr>
                      </w:pPr>
                    </w:p>
                    <w:p w:rsidR="00574756" w:rsidRPr="00241375" w:rsidRDefault="00574756" w:rsidP="00BB5BA9">
                      <w:pPr>
                        <w:pStyle w:val="Abouttheresearch"/>
                        <w:rPr>
                          <w:rFonts w:ascii="Arial" w:hAnsi="Arial" w:cs="Arial"/>
                          <w:color w:val="595959" w:themeColor="text1" w:themeTint="A6"/>
                          <w:sz w:val="27"/>
                          <w:szCs w:val="27"/>
                        </w:rPr>
                      </w:pPr>
                      <w:r w:rsidRPr="00241375">
                        <w:rPr>
                          <w:rFonts w:ascii="Arial" w:hAnsi="Arial" w:cs="Arial"/>
                          <w:color w:val="595959" w:themeColor="text1" w:themeTint="A6"/>
                          <w:sz w:val="27"/>
                          <w:szCs w:val="27"/>
                        </w:rPr>
                        <w:t>National Centre for Vocational Education Research</w:t>
                      </w:r>
                    </w:p>
                    <w:p w:rsidR="00574756" w:rsidRPr="00360FAD" w:rsidRDefault="00574756" w:rsidP="00BB5BA9">
                      <w:pPr>
                        <w:pStyle w:val="Abouttheresearch"/>
                        <w:rPr>
                          <w:color w:val="595959" w:themeColor="text1" w:themeTint="A6"/>
                          <w:sz w:val="27"/>
                          <w:szCs w:val="27"/>
                        </w:rPr>
                      </w:pPr>
                    </w:p>
                  </w:txbxContent>
                </v:textbox>
              </v:shape>
            </w:pict>
          </mc:Fallback>
        </mc:AlternateContent>
      </w:r>
      <w:r w:rsidR="00E44F84">
        <w:rPr>
          <w:noProof/>
          <w:lang w:eastAsia="en-AU"/>
        </w:rPr>
        <mc:AlternateContent>
          <mc:Choice Requires="wps">
            <w:drawing>
              <wp:anchor distT="4294967294" distB="4294967294" distL="114300" distR="114300" simplePos="0" relativeHeight="251668480" behindDoc="0" locked="0" layoutInCell="1" allowOverlap="1" wp14:anchorId="050506CF" wp14:editId="2CE2E720">
                <wp:simplePos x="0" y="0"/>
                <wp:positionH relativeFrom="column">
                  <wp:posOffset>-593725</wp:posOffset>
                </wp:positionH>
                <wp:positionV relativeFrom="paragraph">
                  <wp:posOffset>1723390</wp:posOffset>
                </wp:positionV>
                <wp:extent cx="2115820" cy="0"/>
                <wp:effectExtent l="0" t="0" r="17780" b="19050"/>
                <wp:wrapNone/>
                <wp:docPr id="3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75pt,135.7pt" to="119.8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" strokecolor="black [3213]" strokeweight="1pt">
                <o:lock v:ext="edit" shapetype="f"/>
              </v:line>
            </w:pict>
          </mc:Fallback>
        </mc:AlternateContent>
      </w:r>
      <w:r w:rsidR="00241375" w:rsidRPr="00BB5BA9">
        <w:rPr>
          <w:b/>
          <w:noProof/>
          <w:sz w:val="40"/>
          <w:szCs w:val="40"/>
          <w:lang w:eastAsia="en-AU"/>
        </w:rPr>
        <w:drawing>
          <wp:anchor distT="0" distB="0" distL="114300" distR="114300" simplePos="0" relativeHeight="251663360" behindDoc="0" locked="0" layoutInCell="1" allowOverlap="1" wp14:anchorId="17C98BBF" wp14:editId="2A02DF0D">
            <wp:simplePos x="0" y="0"/>
            <wp:positionH relativeFrom="column">
              <wp:posOffset>4608830</wp:posOffset>
            </wp:positionH>
            <wp:positionV relativeFrom="paragraph">
              <wp:posOffset>8380095</wp:posOffset>
            </wp:positionV>
            <wp:extent cx="1791335" cy="2476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1335" cy="247650"/>
                    </a:xfrm>
                    <a:prstGeom prst="rect">
                      <a:avLst/>
                    </a:prstGeom>
                  </pic:spPr>
                </pic:pic>
              </a:graphicData>
            </a:graphic>
          </wp:anchor>
        </w:drawing>
      </w:r>
      <w:r w:rsidR="00BB5BA9">
        <w:rPr>
          <w:b/>
          <w:sz w:val="40"/>
          <w:szCs w:val="40"/>
        </w:rPr>
        <w:br w:type="page"/>
      </w:r>
    </w:p>
    <w:p w:rsidR="006C11B9" w:rsidRPr="005C2FCF" w:rsidRDefault="006C11B9" w:rsidP="006C11B9">
      <w:pPr>
        <w:pStyle w:val="Heading3"/>
        <w:ind w:right="-1"/>
      </w:pPr>
      <w:r w:rsidRPr="005C2FCF">
        <w:lastRenderedPageBreak/>
        <w:t>Publisher’s note</w:t>
      </w:r>
    </w:p>
    <w:p w:rsidR="006C11B9" w:rsidRPr="007C667B" w:rsidRDefault="006C11B9" w:rsidP="00241375">
      <w:pPr>
        <w:pStyle w:val="Imprint"/>
      </w:pPr>
      <w:r w:rsidRPr="007C667B">
        <w:t xml:space="preserve">The views and opinions expressed in this document are those of the author/project team and do not necessarily reflect the views of the Australian Government, </w:t>
      </w:r>
      <w:r>
        <w:t xml:space="preserve">or </w:t>
      </w:r>
      <w:r w:rsidRPr="007C667B">
        <w:t xml:space="preserve">state and territory </w:t>
      </w:r>
      <w:r w:rsidRPr="00CE248F">
        <w:t>governments</w:t>
      </w:r>
      <w:r w:rsidRPr="007C667B">
        <w:t>.</w:t>
      </w:r>
      <w:r>
        <w:t xml:space="preserve"> </w:t>
      </w:r>
      <w:r w:rsidRPr="007C667B">
        <w:t>Any interpretation of data is the responsibility of the author/project team.</w:t>
      </w:r>
    </w:p>
    <w:p w:rsidR="00241375" w:rsidRDefault="00241375" w:rsidP="00241375">
      <w:pPr>
        <w:pStyle w:val="Imprint"/>
      </w:pPr>
      <w:r>
        <w:t xml:space="preserve">To find other material of interest, search </w:t>
      </w:r>
      <w:proofErr w:type="spellStart"/>
      <w:r>
        <w:t>VOCEDplus</w:t>
      </w:r>
      <w:proofErr w:type="spellEnd"/>
      <w:r>
        <w:t xml:space="preserve"> (the UNESCO/NCVER international database </w:t>
      </w:r>
      <w:r w:rsidRPr="00CE248F">
        <w:t>&lt;</w:t>
      </w:r>
      <w:hyperlink r:id="rId13" w:history="1">
        <w:r w:rsidRPr="00CE248F">
          <w:t>http://www.voced.edu.au</w:t>
        </w:r>
      </w:hyperlink>
      <w:r w:rsidRPr="00CE248F">
        <w:t>&gt;)</w:t>
      </w:r>
      <w:r>
        <w:t xml:space="preserve"> using the following keywords: </w:t>
      </w:r>
      <w:r w:rsidR="001432D9">
        <w:t>c</w:t>
      </w:r>
      <w:r w:rsidR="001432D9" w:rsidRPr="001432D9">
        <w:t xml:space="preserve">ompletion; </w:t>
      </w:r>
      <w:r w:rsidR="001432D9">
        <w:t>d</w:t>
      </w:r>
      <w:r w:rsidR="001432D9" w:rsidRPr="001432D9">
        <w:t xml:space="preserve">ata analysis; </w:t>
      </w:r>
      <w:r w:rsidR="001432D9">
        <w:t>e</w:t>
      </w:r>
      <w:r w:rsidR="001432D9" w:rsidRPr="001432D9">
        <w:t xml:space="preserve">valuation; </w:t>
      </w:r>
      <w:r w:rsidR="001432D9">
        <w:t>o</w:t>
      </w:r>
      <w:r w:rsidR="001432D9" w:rsidRPr="001432D9">
        <w:t xml:space="preserve">utcomes; </w:t>
      </w:r>
      <w:r w:rsidR="001432D9">
        <w:t>participation; q</w:t>
      </w:r>
      <w:r w:rsidR="001432D9" w:rsidRPr="001432D9">
        <w:t xml:space="preserve">ualifications; </w:t>
      </w:r>
      <w:r w:rsidR="001432D9">
        <w:t>statistical method; v</w:t>
      </w:r>
      <w:r w:rsidR="001432D9" w:rsidRPr="001432D9">
        <w:t>ocational education and training</w:t>
      </w:r>
      <w:r w:rsidR="001432D9">
        <w:t>.</w:t>
      </w:r>
    </w:p>
    <w:p w:rsidR="006C11B9" w:rsidRPr="009842DB" w:rsidRDefault="006C11B9" w:rsidP="00241375">
      <w:pPr>
        <w:pStyle w:val="Text"/>
      </w:pPr>
    </w:p>
    <w:p w:rsidR="000672C6" w:rsidRDefault="00241375" w:rsidP="000672C6">
      <w:pPr>
        <w:sectPr w:rsidR="000672C6" w:rsidSect="000672C6">
          <w:headerReference w:type="even" r:id="rId14"/>
          <w:headerReference w:type="default" r:id="rId15"/>
          <w:footerReference w:type="even" r:id="rId16"/>
          <w:footerReference w:type="default" r:id="rId17"/>
          <w:headerReference w:type="first" r:id="rId18"/>
          <w:footerReference w:type="first" r:id="rId19"/>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28896" behindDoc="0" locked="0" layoutInCell="1" allowOverlap="1" wp14:anchorId="2D8034DB" wp14:editId="2A787699">
            <wp:simplePos x="0" y="0"/>
            <wp:positionH relativeFrom="column">
              <wp:posOffset>2159000</wp:posOffset>
            </wp:positionH>
            <wp:positionV relativeFrom="paragraph">
              <wp:posOffset>7244715</wp:posOffset>
            </wp:positionV>
            <wp:extent cx="139065" cy="152400"/>
            <wp:effectExtent l="0" t="0" r="0" b="0"/>
            <wp:wrapNone/>
            <wp:docPr id="8" name="Picture 8"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0"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29920" behindDoc="0" locked="0" layoutInCell="1" allowOverlap="1" wp14:anchorId="6A6A9888" wp14:editId="166A8827">
            <wp:simplePos x="0" y="0"/>
            <wp:positionH relativeFrom="column">
              <wp:posOffset>524036</wp:posOffset>
            </wp:positionH>
            <wp:positionV relativeFrom="paragraph">
              <wp:posOffset>7237095</wp:posOffset>
            </wp:positionV>
            <wp:extent cx="141605" cy="152400"/>
            <wp:effectExtent l="0" t="0" r="0" b="0"/>
            <wp:wrapNone/>
            <wp:docPr id="6"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AE523D">
        <w:rPr>
          <w:noProof/>
          <w:lang w:eastAsia="en-AU"/>
        </w:rPr>
        <mc:AlternateContent>
          <mc:Choice Requires="wps">
            <w:drawing>
              <wp:anchor distT="0" distB="0" distL="114300" distR="114300" simplePos="0" relativeHeight="251727872" behindDoc="0" locked="0" layoutInCell="1" allowOverlap="1" wp14:anchorId="0FF6057B" wp14:editId="6C3CF3D5">
                <wp:simplePos x="0" y="0"/>
                <wp:positionH relativeFrom="column">
                  <wp:posOffset>-1905</wp:posOffset>
                </wp:positionH>
                <wp:positionV relativeFrom="paragraph">
                  <wp:posOffset>2395220</wp:posOffset>
                </wp:positionV>
                <wp:extent cx="5596890" cy="5036185"/>
                <wp:effectExtent l="0" t="0" r="381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03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4756" w:rsidRPr="00A021FC" w:rsidRDefault="00574756" w:rsidP="000672C6">
                            <w:pPr>
                              <w:pStyle w:val="Imprint"/>
                              <w:rPr>
                                <w:b/>
                              </w:rPr>
                            </w:pPr>
                            <w:r w:rsidRPr="004F6E13">
                              <w:rPr>
                                <w:b/>
                              </w:rPr>
                              <w:t>© National Centre for Vocational Education Research, 2016</w:t>
                            </w:r>
                          </w:p>
                          <w:p w:rsidR="00574756" w:rsidRDefault="00574756" w:rsidP="000672C6">
                            <w:pPr>
                              <w:pStyle w:val="Imprint"/>
                              <w:rPr>
                                <w:sz w:val="20"/>
                              </w:rPr>
                            </w:pPr>
                            <w:r w:rsidRPr="00E80270">
                              <w:rPr>
                                <w:noProof/>
                                <w:sz w:val="20"/>
                                <w:lang w:eastAsia="en-AU"/>
                              </w:rPr>
                              <w:drawing>
                                <wp:inline distT="0" distB="0" distL="0" distR="0" wp14:anchorId="026159CC" wp14:editId="6BBE99C2">
                                  <wp:extent cx="850265" cy="302895"/>
                                  <wp:effectExtent l="19050" t="0" r="6985" b="0"/>
                                  <wp:docPr id="1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574756" w:rsidRDefault="00574756" w:rsidP="00241375">
                            <w:pPr>
                              <w:pStyle w:val="Imprint"/>
                              <w:rPr>
                                <w:b/>
                                <w:bCs/>
                                <w:lang w:val="en-US"/>
                              </w:rPr>
                            </w:pPr>
                            <w:r>
                              <w:rPr>
                                <w:lang w:val="en-US"/>
                              </w:rPr>
                              <w:t xml:space="preserve">With the exception of cover design, artwork, photographs, all logos, and any other material where copyright is owned by a third party, all material presented in this document </w:t>
                            </w:r>
                            <w:proofErr w:type="gramStart"/>
                            <w:r>
                              <w:rPr>
                                <w:lang w:val="en-US"/>
                              </w:rPr>
                              <w:t>is</w:t>
                            </w:r>
                            <w:proofErr w:type="gramEnd"/>
                            <w:r>
                              <w:rPr>
                                <w:lang w:val="en-US"/>
                              </w:rPr>
                              <w:t xml:space="preserve"> provided under a Creative Commons Attribution 3.0 Australia </w:t>
                            </w:r>
                            <w:r w:rsidRPr="003637AD">
                              <w:t>&lt;</w:t>
                            </w:r>
                            <w:hyperlink r:id="rId23" w:history="1">
                              <w:r w:rsidRPr="003637AD">
                                <w:t>http://creativecommons.org/licenses/by/3.0/au</w:t>
                              </w:r>
                            </w:hyperlink>
                            <w:r w:rsidRPr="003637AD">
                              <w:t>&gt;.</w:t>
                            </w:r>
                            <w:r>
                              <w:rPr>
                                <w:lang w:val="en-US"/>
                              </w:rPr>
                              <w:t xml:space="preserve"> </w:t>
                            </w:r>
                          </w:p>
                          <w:p w:rsidR="00574756" w:rsidRDefault="00574756" w:rsidP="00241375">
                            <w:pPr>
                              <w:pStyle w:val="Imprint"/>
                            </w:pPr>
                            <w:r w:rsidRPr="00A021FC">
                              <w:t xml:space="preserve">This document should be attributed as </w:t>
                            </w:r>
                            <w:r>
                              <w:t>NCVER 2016</w:t>
                            </w:r>
                            <w:r w:rsidRPr="00E36563">
                              <w:t xml:space="preserve">, </w:t>
                            </w:r>
                            <w:r w:rsidRPr="00241375">
                              <w:rPr>
                                <w:i/>
                              </w:rPr>
                              <w:t xml:space="preserve">VET </w:t>
                            </w:r>
                            <w:r w:rsidR="001C3002">
                              <w:rPr>
                                <w:i/>
                              </w:rPr>
                              <w:t>program</w:t>
                            </w:r>
                            <w:r w:rsidRPr="00241375">
                              <w:rPr>
                                <w:i/>
                              </w:rPr>
                              <w:t xml:space="preserve"> completion rates: an evaluation of the current method</w:t>
                            </w:r>
                            <w:r w:rsidRPr="00A021FC">
                              <w:rPr>
                                <w:i/>
                              </w:rPr>
                              <w:t>,</w:t>
                            </w:r>
                            <w:r w:rsidRPr="00A021FC">
                              <w:t xml:space="preserve"> NCVER, Adelaide.</w:t>
                            </w:r>
                          </w:p>
                          <w:p w:rsidR="00574756" w:rsidRDefault="00574756" w:rsidP="00241375">
                            <w:pPr>
                              <w:pStyle w:val="Imprint"/>
                              <w:rPr>
                                <w:b/>
                                <w:bCs/>
                                <w:lang w:val="en-US"/>
                              </w:rPr>
                            </w:pPr>
                            <w:r>
                              <w:rPr>
                                <w:lang w:val="en-US"/>
                              </w:rPr>
                              <w:t xml:space="preserve">NCVER is an independent body responsible for collecting, managing and </w:t>
                            </w:r>
                            <w:proofErr w:type="spellStart"/>
                            <w:r>
                              <w:rPr>
                                <w:lang w:val="en-US"/>
                              </w:rPr>
                              <w:t>analysing</w:t>
                            </w:r>
                            <w:proofErr w:type="spellEnd"/>
                            <w:r>
                              <w:rPr>
                                <w:lang w:val="en-US"/>
                              </w:rPr>
                              <w:t>, evaluating and communicating research and statistics about vocational education and training (VET).</w:t>
                            </w:r>
                          </w:p>
                          <w:p w:rsidR="00574756" w:rsidRDefault="00574756" w:rsidP="00241375">
                            <w:pPr>
                              <w:pStyle w:val="Imprint"/>
                              <w:rPr>
                                <w:lang w:val="en-US"/>
                              </w:rPr>
                            </w:pPr>
                            <w:r>
                              <w:rPr>
                                <w:lang w:val="en-US"/>
                              </w:rPr>
                              <w:t>NCVER’s in-house research and evaluation program undertakes projects which are strategic to the VET sector. These projects are developed and conducted by NCVER’s research staff and are funded by NCVER. This research aims to improve policy and practice in the VET sector.</w:t>
                            </w:r>
                          </w:p>
                          <w:p w:rsidR="00574756" w:rsidRPr="00C9777B" w:rsidRDefault="00574756" w:rsidP="00241375">
                            <w:pPr>
                              <w:pStyle w:val="Imprint"/>
                              <w:ind w:right="1700"/>
                              <w:rPr>
                                <w:color w:val="000000"/>
                              </w:rPr>
                            </w:pPr>
                            <w:r>
                              <w:rPr>
                                <w:smallCaps/>
                                <w:color w:val="000000"/>
                              </w:rPr>
                              <w:t>COVER IMAGE: GETTY IMAGES/</w:t>
                            </w:r>
                            <w:proofErr w:type="spellStart"/>
                            <w:r>
                              <w:rPr>
                                <w:color w:val="000000"/>
                              </w:rPr>
                              <w:t>iStock</w:t>
                            </w:r>
                            <w:proofErr w:type="spellEnd"/>
                          </w:p>
                          <w:p w:rsidR="00574756" w:rsidRDefault="00574756" w:rsidP="000672C6">
                            <w:pPr>
                              <w:pStyle w:val="Imprint"/>
                              <w:rPr>
                                <w:color w:val="000000"/>
                              </w:rPr>
                            </w:pPr>
                            <w:r w:rsidRPr="005C2FCF">
                              <w:rPr>
                                <w:color w:val="000000"/>
                              </w:rPr>
                              <w:t>ISBN</w:t>
                            </w:r>
                            <w:r>
                              <w:rPr>
                                <w:color w:val="000000"/>
                              </w:rPr>
                              <w:t xml:space="preserve"> </w:t>
                            </w:r>
                            <w:r w:rsidRPr="005C2FCF">
                              <w:rPr>
                                <w:color w:val="000000"/>
                              </w:rPr>
                              <w:tab/>
                            </w:r>
                            <w:r>
                              <w:rPr>
                                <w:color w:val="000000"/>
                              </w:rPr>
                              <w:t xml:space="preserve">978 1 925173 71 </w:t>
                            </w:r>
                            <w:r w:rsidRPr="00CB409E">
                              <w:rPr>
                                <w:color w:val="000000"/>
                              </w:rPr>
                              <w:t>0</w:t>
                            </w:r>
                          </w:p>
                          <w:p w:rsidR="00574756" w:rsidRPr="005C2FCF" w:rsidRDefault="00574756" w:rsidP="000672C6">
                            <w:pPr>
                              <w:pStyle w:val="Imprint"/>
                              <w:spacing w:before="0"/>
                              <w:rPr>
                                <w:color w:val="000000"/>
                              </w:rPr>
                            </w:pPr>
                            <w:r w:rsidRPr="005C2FCF">
                              <w:rPr>
                                <w:color w:val="000000"/>
                              </w:rPr>
                              <w:t>TD/TNC</w:t>
                            </w:r>
                            <w:r w:rsidRPr="005C2FCF">
                              <w:rPr>
                                <w:color w:val="000000"/>
                              </w:rPr>
                              <w:tab/>
                            </w:r>
                            <w:r>
                              <w:rPr>
                                <w:color w:val="000000"/>
                              </w:rPr>
                              <w:t>126.07</w:t>
                            </w:r>
                          </w:p>
                          <w:p w:rsidR="00574756" w:rsidRPr="005C2FCF" w:rsidRDefault="00574756" w:rsidP="000672C6">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574756" w:rsidRPr="005C2FCF" w:rsidRDefault="00574756" w:rsidP="000672C6">
                            <w:pPr>
                              <w:pStyle w:val="Imprint"/>
                              <w:spacing w:before="80"/>
                              <w:rPr>
                                <w:color w:val="000000"/>
                              </w:rPr>
                            </w:pPr>
                            <w:r w:rsidRPr="005C2FCF">
                              <w:rPr>
                                <w:color w:val="000000"/>
                              </w:rPr>
                              <w:t>Level 11, 3</w:t>
                            </w:r>
                            <w:r>
                              <w:rPr>
                                <w:color w:val="000000"/>
                              </w:rPr>
                              <w:t xml:space="preserve">3 King William Street, Adelaide </w:t>
                            </w:r>
                            <w:r w:rsidRPr="005C2FCF">
                              <w:rPr>
                                <w:color w:val="000000"/>
                              </w:rPr>
                              <w:t>SA 5000</w:t>
                            </w:r>
                            <w:r w:rsidRPr="005C2FCF">
                              <w:rPr>
                                <w:color w:val="000000"/>
                              </w:rPr>
                              <w:br/>
                              <w:t>PO Box 8288 Station Arcade, Adelaide SA 5000, Australia</w:t>
                            </w:r>
                          </w:p>
                          <w:p w:rsidR="00574756" w:rsidRDefault="00574756" w:rsidP="000672C6">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574756" w:rsidRPr="002C3573" w:rsidRDefault="00574756" w:rsidP="000672C6">
                            <w:pPr>
                              <w:pStyle w:val="Imprint"/>
                              <w:tabs>
                                <w:tab w:val="left" w:pos="2127"/>
                              </w:tabs>
                              <w:spacing w:before="0"/>
                            </w:pPr>
                            <w:r w:rsidRPr="002C3573">
                              <w:rPr>
                                <w:b/>
                              </w:rPr>
                              <w:t>Email</w:t>
                            </w:r>
                            <w:r w:rsidRPr="002C3573">
                              <w:t xml:space="preserve"> </w:t>
                            </w:r>
                            <w:hyperlink r:id="rId24" w:history="1">
                              <w:r w:rsidRPr="00241375">
                                <w:t>ncver@ncver.edu.au</w:t>
                              </w:r>
                            </w:hyperlink>
                            <w:r w:rsidRPr="00241375">
                              <w:t xml:space="preserve"> </w:t>
                            </w:r>
                            <w:r w:rsidRPr="002C3573">
                              <w:t xml:space="preserve">   </w:t>
                            </w:r>
                            <w:r w:rsidRPr="002C3573">
                              <w:rPr>
                                <w:b/>
                              </w:rPr>
                              <w:t>Web</w:t>
                            </w:r>
                            <w:r w:rsidRPr="002C3573">
                              <w:t xml:space="preserve"> &lt;http://www.ncver.edu</w:t>
                            </w:r>
                            <w:r w:rsidRPr="00241375">
                              <w:t>.au</w:t>
                            </w:r>
                            <w:proofErr w:type="gramStart"/>
                            <w:r w:rsidRPr="00241375">
                              <w:t>&gt;  &lt;</w:t>
                            </w:r>
                            <w:proofErr w:type="gramEnd"/>
                            <w:hyperlink r:id="rId25" w:history="1">
                              <w:r w:rsidRPr="00241375">
                                <w:t>http://www.lsay.edu.au</w:t>
                              </w:r>
                            </w:hyperlink>
                            <w:r w:rsidRPr="00241375">
                              <w:t>&gt;</w:t>
                            </w:r>
                          </w:p>
                          <w:p w:rsidR="00574756" w:rsidRPr="00D212FA" w:rsidRDefault="00574756" w:rsidP="000672C6">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15pt;margin-top:188.6pt;width:440.7pt;height:396.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8MtgIAALo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" filled="f" stroked="f">
                <v:textbox inset="0,,0">
                  <w:txbxContent>
                    <w:p w:rsidR="00574756" w:rsidRPr="00A021FC" w:rsidRDefault="00574756" w:rsidP="000672C6">
                      <w:pPr>
                        <w:pStyle w:val="Imprint"/>
                        <w:rPr>
                          <w:b/>
                        </w:rPr>
                      </w:pPr>
                      <w:r w:rsidRPr="004F6E13">
                        <w:rPr>
                          <w:b/>
                        </w:rPr>
                        <w:t>© National Centre for Vocational Education Research, 2016</w:t>
                      </w:r>
                    </w:p>
                    <w:p w:rsidR="00574756" w:rsidRDefault="00574756" w:rsidP="000672C6">
                      <w:pPr>
                        <w:pStyle w:val="Imprint"/>
                        <w:rPr>
                          <w:sz w:val="20"/>
                        </w:rPr>
                      </w:pPr>
                      <w:r w:rsidRPr="00E80270">
                        <w:rPr>
                          <w:noProof/>
                          <w:sz w:val="20"/>
                          <w:lang w:eastAsia="en-AU"/>
                        </w:rPr>
                        <w:drawing>
                          <wp:inline distT="0" distB="0" distL="0" distR="0" wp14:anchorId="026159CC" wp14:editId="6BBE99C2">
                            <wp:extent cx="850265" cy="302895"/>
                            <wp:effectExtent l="19050" t="0" r="6985" b="0"/>
                            <wp:docPr id="1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574756" w:rsidRDefault="00574756" w:rsidP="00241375">
                      <w:pPr>
                        <w:pStyle w:val="Imprint"/>
                        <w:rPr>
                          <w:b/>
                          <w:bCs/>
                          <w:lang w:val="en-US"/>
                        </w:rPr>
                      </w:pPr>
                      <w:r>
                        <w:rPr>
                          <w:lang w:val="en-US"/>
                        </w:rPr>
                        <w:t xml:space="preserve">With the exception of cover design, artwork, photographs, all logos, and any other material where copyright is owned by a third party, all material presented in this document </w:t>
                      </w:r>
                      <w:proofErr w:type="gramStart"/>
                      <w:r>
                        <w:rPr>
                          <w:lang w:val="en-US"/>
                        </w:rPr>
                        <w:t>is</w:t>
                      </w:r>
                      <w:proofErr w:type="gramEnd"/>
                      <w:r>
                        <w:rPr>
                          <w:lang w:val="en-US"/>
                        </w:rPr>
                        <w:t xml:space="preserve"> provided under a Creative Commons Attribution 3.0 Australia </w:t>
                      </w:r>
                      <w:r w:rsidRPr="003637AD">
                        <w:t>&lt;</w:t>
                      </w:r>
                      <w:hyperlink r:id="rId26" w:history="1">
                        <w:r w:rsidRPr="003637AD">
                          <w:t>http://creativecommons.org/licenses/by/3.0/au</w:t>
                        </w:r>
                      </w:hyperlink>
                      <w:r w:rsidRPr="003637AD">
                        <w:t>&gt;.</w:t>
                      </w:r>
                      <w:r>
                        <w:rPr>
                          <w:lang w:val="en-US"/>
                        </w:rPr>
                        <w:t xml:space="preserve"> </w:t>
                      </w:r>
                    </w:p>
                    <w:p w:rsidR="00574756" w:rsidRDefault="00574756" w:rsidP="00241375">
                      <w:pPr>
                        <w:pStyle w:val="Imprint"/>
                      </w:pPr>
                      <w:r w:rsidRPr="00A021FC">
                        <w:t xml:space="preserve">This document should be attributed as </w:t>
                      </w:r>
                      <w:r>
                        <w:t>NCVER 2016</w:t>
                      </w:r>
                      <w:r w:rsidRPr="00E36563">
                        <w:t xml:space="preserve">, </w:t>
                      </w:r>
                      <w:r w:rsidRPr="00241375">
                        <w:rPr>
                          <w:i/>
                        </w:rPr>
                        <w:t xml:space="preserve">VET </w:t>
                      </w:r>
                      <w:r w:rsidR="001C3002">
                        <w:rPr>
                          <w:i/>
                        </w:rPr>
                        <w:t>program</w:t>
                      </w:r>
                      <w:r w:rsidRPr="00241375">
                        <w:rPr>
                          <w:i/>
                        </w:rPr>
                        <w:t xml:space="preserve"> completion rates: an evaluation of the current method</w:t>
                      </w:r>
                      <w:r w:rsidRPr="00A021FC">
                        <w:rPr>
                          <w:i/>
                        </w:rPr>
                        <w:t>,</w:t>
                      </w:r>
                      <w:r w:rsidRPr="00A021FC">
                        <w:t xml:space="preserve"> NCVER, Adelaide.</w:t>
                      </w:r>
                    </w:p>
                    <w:p w:rsidR="00574756" w:rsidRDefault="00574756" w:rsidP="00241375">
                      <w:pPr>
                        <w:pStyle w:val="Imprint"/>
                        <w:rPr>
                          <w:b/>
                          <w:bCs/>
                          <w:lang w:val="en-US"/>
                        </w:rPr>
                      </w:pPr>
                      <w:r>
                        <w:rPr>
                          <w:lang w:val="en-US"/>
                        </w:rPr>
                        <w:t xml:space="preserve">NCVER is an independent body responsible for collecting, managing and </w:t>
                      </w:r>
                      <w:proofErr w:type="spellStart"/>
                      <w:r>
                        <w:rPr>
                          <w:lang w:val="en-US"/>
                        </w:rPr>
                        <w:t>analysing</w:t>
                      </w:r>
                      <w:proofErr w:type="spellEnd"/>
                      <w:r>
                        <w:rPr>
                          <w:lang w:val="en-US"/>
                        </w:rPr>
                        <w:t>, evaluating and communicating research and statistics about vocational education and training (VET).</w:t>
                      </w:r>
                    </w:p>
                    <w:p w:rsidR="00574756" w:rsidRDefault="00574756" w:rsidP="00241375">
                      <w:pPr>
                        <w:pStyle w:val="Imprint"/>
                        <w:rPr>
                          <w:lang w:val="en-US"/>
                        </w:rPr>
                      </w:pPr>
                      <w:r>
                        <w:rPr>
                          <w:lang w:val="en-US"/>
                        </w:rPr>
                        <w:t>NCVER’s in-house research and evaluation program undertakes projects which are strategic to the VET sector. These projects are developed and conducted by NCVER’s research staff and are funded by NCVER. This research aims to improve policy and practice in the VET sector.</w:t>
                      </w:r>
                    </w:p>
                    <w:p w:rsidR="00574756" w:rsidRPr="00C9777B" w:rsidRDefault="00574756" w:rsidP="00241375">
                      <w:pPr>
                        <w:pStyle w:val="Imprint"/>
                        <w:ind w:right="1700"/>
                        <w:rPr>
                          <w:color w:val="000000"/>
                        </w:rPr>
                      </w:pPr>
                      <w:r>
                        <w:rPr>
                          <w:smallCaps/>
                          <w:color w:val="000000"/>
                        </w:rPr>
                        <w:t>COVER IMAGE: GETTY IMAGES/</w:t>
                      </w:r>
                      <w:proofErr w:type="spellStart"/>
                      <w:r>
                        <w:rPr>
                          <w:color w:val="000000"/>
                        </w:rPr>
                        <w:t>iStock</w:t>
                      </w:r>
                      <w:proofErr w:type="spellEnd"/>
                    </w:p>
                    <w:p w:rsidR="00574756" w:rsidRDefault="00574756" w:rsidP="000672C6">
                      <w:pPr>
                        <w:pStyle w:val="Imprint"/>
                        <w:rPr>
                          <w:color w:val="000000"/>
                        </w:rPr>
                      </w:pPr>
                      <w:r w:rsidRPr="005C2FCF">
                        <w:rPr>
                          <w:color w:val="000000"/>
                        </w:rPr>
                        <w:t>ISBN</w:t>
                      </w:r>
                      <w:r>
                        <w:rPr>
                          <w:color w:val="000000"/>
                        </w:rPr>
                        <w:t xml:space="preserve"> </w:t>
                      </w:r>
                      <w:r w:rsidRPr="005C2FCF">
                        <w:rPr>
                          <w:color w:val="000000"/>
                        </w:rPr>
                        <w:tab/>
                      </w:r>
                      <w:r>
                        <w:rPr>
                          <w:color w:val="000000"/>
                        </w:rPr>
                        <w:t xml:space="preserve">978 1 925173 71 </w:t>
                      </w:r>
                      <w:r w:rsidRPr="00CB409E">
                        <w:rPr>
                          <w:color w:val="000000"/>
                        </w:rPr>
                        <w:t>0</w:t>
                      </w:r>
                    </w:p>
                    <w:p w:rsidR="00574756" w:rsidRPr="005C2FCF" w:rsidRDefault="00574756" w:rsidP="000672C6">
                      <w:pPr>
                        <w:pStyle w:val="Imprint"/>
                        <w:spacing w:before="0"/>
                        <w:rPr>
                          <w:color w:val="000000"/>
                        </w:rPr>
                      </w:pPr>
                      <w:r w:rsidRPr="005C2FCF">
                        <w:rPr>
                          <w:color w:val="000000"/>
                        </w:rPr>
                        <w:t>TD/TNC</w:t>
                      </w:r>
                      <w:r w:rsidRPr="005C2FCF">
                        <w:rPr>
                          <w:color w:val="000000"/>
                        </w:rPr>
                        <w:tab/>
                      </w:r>
                      <w:r>
                        <w:rPr>
                          <w:color w:val="000000"/>
                        </w:rPr>
                        <w:t>126.07</w:t>
                      </w:r>
                    </w:p>
                    <w:p w:rsidR="00574756" w:rsidRPr="005C2FCF" w:rsidRDefault="00574756" w:rsidP="000672C6">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574756" w:rsidRPr="005C2FCF" w:rsidRDefault="00574756" w:rsidP="000672C6">
                      <w:pPr>
                        <w:pStyle w:val="Imprint"/>
                        <w:spacing w:before="80"/>
                        <w:rPr>
                          <w:color w:val="000000"/>
                        </w:rPr>
                      </w:pPr>
                      <w:r w:rsidRPr="005C2FCF">
                        <w:rPr>
                          <w:color w:val="000000"/>
                        </w:rPr>
                        <w:t>Level 11, 3</w:t>
                      </w:r>
                      <w:r>
                        <w:rPr>
                          <w:color w:val="000000"/>
                        </w:rPr>
                        <w:t xml:space="preserve">3 King William Street, Adelaide </w:t>
                      </w:r>
                      <w:r w:rsidRPr="005C2FCF">
                        <w:rPr>
                          <w:color w:val="000000"/>
                        </w:rPr>
                        <w:t>SA 5000</w:t>
                      </w:r>
                      <w:r w:rsidRPr="005C2FCF">
                        <w:rPr>
                          <w:color w:val="000000"/>
                        </w:rPr>
                        <w:br/>
                        <w:t>PO Box 8288 Station Arcade, Adelaide SA 5000, Australia</w:t>
                      </w:r>
                    </w:p>
                    <w:p w:rsidR="00574756" w:rsidRDefault="00574756" w:rsidP="000672C6">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574756" w:rsidRPr="002C3573" w:rsidRDefault="00574756" w:rsidP="000672C6">
                      <w:pPr>
                        <w:pStyle w:val="Imprint"/>
                        <w:tabs>
                          <w:tab w:val="left" w:pos="2127"/>
                        </w:tabs>
                        <w:spacing w:before="0"/>
                      </w:pPr>
                      <w:r w:rsidRPr="002C3573">
                        <w:rPr>
                          <w:b/>
                        </w:rPr>
                        <w:t>Email</w:t>
                      </w:r>
                      <w:r w:rsidRPr="002C3573">
                        <w:t xml:space="preserve"> </w:t>
                      </w:r>
                      <w:hyperlink r:id="rId27" w:history="1">
                        <w:r w:rsidRPr="00241375">
                          <w:t>ncver@ncver.edu.au</w:t>
                        </w:r>
                      </w:hyperlink>
                      <w:r w:rsidRPr="00241375">
                        <w:t xml:space="preserve"> </w:t>
                      </w:r>
                      <w:r w:rsidRPr="002C3573">
                        <w:t xml:space="preserve">   </w:t>
                      </w:r>
                      <w:r w:rsidRPr="002C3573">
                        <w:rPr>
                          <w:b/>
                        </w:rPr>
                        <w:t>Web</w:t>
                      </w:r>
                      <w:r w:rsidRPr="002C3573">
                        <w:t xml:space="preserve"> &lt;http://www.ncver.edu</w:t>
                      </w:r>
                      <w:r w:rsidRPr="00241375">
                        <w:t>.au</w:t>
                      </w:r>
                      <w:proofErr w:type="gramStart"/>
                      <w:r w:rsidRPr="00241375">
                        <w:t>&gt;  &lt;</w:t>
                      </w:r>
                      <w:proofErr w:type="gramEnd"/>
                      <w:hyperlink r:id="rId28" w:history="1">
                        <w:r w:rsidRPr="00241375">
                          <w:t>http://www.lsay.edu.au</w:t>
                        </w:r>
                      </w:hyperlink>
                      <w:r w:rsidRPr="00241375">
                        <w:t>&gt;</w:t>
                      </w:r>
                    </w:p>
                    <w:p w:rsidR="00574756" w:rsidRPr="00D212FA" w:rsidRDefault="00574756" w:rsidP="000672C6">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v:textbox>
              </v:shape>
            </w:pict>
          </mc:Fallback>
        </mc:AlternateContent>
      </w:r>
      <w:r w:rsidR="000672C6" w:rsidRPr="005C2FCF">
        <w:br w:type="page"/>
      </w:r>
    </w:p>
    <w:p w:rsidR="00106F03" w:rsidRPr="0004066C" w:rsidRDefault="00106F03" w:rsidP="00106F03">
      <w:pPr>
        <w:pStyle w:val="Heading1"/>
        <w:rPr>
          <w:color w:val="auto"/>
        </w:rPr>
      </w:pPr>
      <w:bookmarkStart w:id="1" w:name="_Toc416260892"/>
      <w:bookmarkStart w:id="2" w:name="_Toc416421648"/>
      <w:bookmarkStart w:id="3" w:name="_Toc421789465"/>
      <w:bookmarkStart w:id="4" w:name="_Toc453316173"/>
      <w:bookmarkStart w:id="5" w:name="_Toc454877178"/>
      <w:bookmarkStart w:id="6" w:name="_Toc454889600"/>
      <w:bookmarkStart w:id="7" w:name="_Toc464806088"/>
      <w:r w:rsidRPr="0004066C">
        <w:rPr>
          <w:color w:val="auto"/>
        </w:rPr>
        <w:lastRenderedPageBreak/>
        <w:t>About the research</w:t>
      </w:r>
      <w:bookmarkEnd w:id="1"/>
      <w:bookmarkEnd w:id="2"/>
      <w:bookmarkEnd w:id="3"/>
      <w:bookmarkEnd w:id="4"/>
      <w:bookmarkEnd w:id="5"/>
      <w:bookmarkEnd w:id="6"/>
      <w:bookmarkEnd w:id="7"/>
      <w:r w:rsidRPr="0004066C">
        <w:rPr>
          <w:color w:val="auto"/>
        </w:rPr>
        <w:t xml:space="preserve"> </w:t>
      </w:r>
    </w:p>
    <w:p w:rsidR="0004066C" w:rsidRPr="00BB543D" w:rsidRDefault="0004066C" w:rsidP="0004066C">
      <w:pPr>
        <w:pStyle w:val="Abouttheresearchpubtitle"/>
      </w:pPr>
      <w:bookmarkStart w:id="8" w:name="_Toc296423680"/>
      <w:bookmarkStart w:id="9" w:name="_Toc296497511"/>
      <w:bookmarkStart w:id="10" w:name="_Toc98394877"/>
      <w:bookmarkStart w:id="11" w:name="_Toc98394878"/>
      <w:bookmarkStart w:id="12" w:name="_Toc296423682"/>
      <w:bookmarkStart w:id="13" w:name="_Toc296497513"/>
      <w:r w:rsidRPr="00BB543D">
        <w:rPr>
          <w:noProof/>
          <w:lang w:eastAsia="en-AU"/>
        </w:rPr>
        <w:t xml:space="preserve">VET </w:t>
      </w:r>
      <w:r w:rsidR="00A13D12">
        <w:rPr>
          <w:noProof/>
          <w:lang w:eastAsia="en-AU"/>
        </w:rPr>
        <w:t>program</w:t>
      </w:r>
      <w:r w:rsidRPr="00BB543D">
        <w:rPr>
          <w:noProof/>
          <w:lang w:eastAsia="en-AU"/>
        </w:rPr>
        <w:t xml:space="preserve"> completion rates: an evaluation of the current method</w:t>
      </w:r>
      <w:r w:rsidRPr="00BB543D">
        <w:t xml:space="preserve"> </w:t>
      </w:r>
      <w:bookmarkEnd w:id="8"/>
      <w:bookmarkEnd w:id="9"/>
    </w:p>
    <w:bookmarkEnd w:id="10"/>
    <w:p w:rsidR="0004066C" w:rsidRPr="00BB543D" w:rsidRDefault="0004066C" w:rsidP="0004066C">
      <w:pPr>
        <w:pStyle w:val="Heading3"/>
      </w:pPr>
      <w:r w:rsidRPr="00BB543D">
        <w:t xml:space="preserve">National Centre for Vocational Education Research </w:t>
      </w:r>
    </w:p>
    <w:p w:rsidR="00915132" w:rsidRDefault="00915132" w:rsidP="0004066C">
      <w:pPr>
        <w:pStyle w:val="Text"/>
      </w:pPr>
      <w:r>
        <w:t xml:space="preserve">The premise to this work is a simple question: ‘how reliable is the method used by NCVER to estimate projected rates of </w:t>
      </w:r>
      <w:r w:rsidR="00574756">
        <w:t xml:space="preserve">VET </w:t>
      </w:r>
      <w:r>
        <w:t>program completion?’ In other words, how well do early projections align with actual completion rates some years later?</w:t>
      </w:r>
    </w:p>
    <w:p w:rsidR="00915132" w:rsidRDefault="00915132" w:rsidP="00915132">
      <w:pPr>
        <w:pStyle w:val="Text"/>
      </w:pPr>
      <w:r>
        <w:t>Completion rates are simple to calculate with a cohort of students who start together in a very short program with a defined end date. The context in vocational education and training (VET) is, however, far more complex.</w:t>
      </w:r>
      <w:r w:rsidR="00574756">
        <w:t xml:space="preserve"> </w:t>
      </w:r>
      <w:r>
        <w:t>Program lengths vary and may span several years, students commence at diff</w:t>
      </w:r>
      <w:r w:rsidR="00574756">
        <w:t>erent times and many study part-</w:t>
      </w:r>
      <w:r>
        <w:t>time.</w:t>
      </w:r>
      <w:r w:rsidR="00574756">
        <w:t xml:space="preserve"> </w:t>
      </w:r>
      <w:r>
        <w:t xml:space="preserve">Waiting for all students to complete or </w:t>
      </w:r>
      <w:r w:rsidR="00574756">
        <w:t>‘</w:t>
      </w:r>
      <w:r>
        <w:t>drop out</w:t>
      </w:r>
      <w:r w:rsidR="00574756">
        <w:t>’</w:t>
      </w:r>
      <w:r>
        <w:t xml:space="preserve"> of their training before calculating an actual completion rate gives a reliable answer, but is somewhat impractical.</w:t>
      </w:r>
    </w:p>
    <w:p w:rsidR="00915132" w:rsidRDefault="00915132" w:rsidP="00915132">
      <w:pPr>
        <w:pStyle w:val="Text"/>
      </w:pPr>
      <w:r>
        <w:t>This paper summarises the</w:t>
      </w:r>
      <w:r w:rsidR="00574756">
        <w:t xml:space="preserve"> key findings </w:t>
      </w:r>
      <w:r>
        <w:t>f</w:t>
      </w:r>
      <w:r w:rsidR="00574756">
        <w:t>rom</w:t>
      </w:r>
      <w:r>
        <w:t xml:space="preserve"> a technical review of the validity of the method long used by NCVER in estimating projected completion rates for government-funded VET programs.</w:t>
      </w:r>
      <w:r w:rsidR="00574756">
        <w:t xml:space="preserve"> </w:t>
      </w:r>
      <w:r>
        <w:t>This analysis required</w:t>
      </w:r>
      <w:r w:rsidR="00574756">
        <w:t xml:space="preserve"> the</w:t>
      </w:r>
      <w:r>
        <w:t xml:space="preserve"> interrogation of large longitudinal data sets with tens of millions of enrolments over multiple years. Whilst the work beneath it is complex, the outcomes are revealing because of ever-high interest in completion rates as measures of the efficiency and effectiveness of the VET sector.</w:t>
      </w:r>
    </w:p>
    <w:p w:rsidR="0004066C" w:rsidRPr="004F4AF3" w:rsidRDefault="0004066C" w:rsidP="0004066C">
      <w:pPr>
        <w:pStyle w:val="Keymessages"/>
      </w:pPr>
      <w:bookmarkStart w:id="14" w:name="_Toc454877179"/>
      <w:bookmarkStart w:id="15" w:name="_Toc454889601"/>
      <w:r w:rsidRPr="004F4AF3">
        <w:t xml:space="preserve">Key </w:t>
      </w:r>
      <w:r w:rsidR="007203D3">
        <w:t>findings</w:t>
      </w:r>
      <w:bookmarkEnd w:id="14"/>
      <w:bookmarkEnd w:id="15"/>
    </w:p>
    <w:p w:rsidR="00D6700B" w:rsidRPr="007203D3" w:rsidRDefault="00D6700B" w:rsidP="00CB409E">
      <w:pPr>
        <w:pStyle w:val="Dotpoint1"/>
        <w:ind w:left="284" w:hanging="284"/>
      </w:pPr>
      <w:r>
        <w:t>The</w:t>
      </w:r>
      <w:r w:rsidRPr="00CB409E">
        <w:t xml:space="preserve"> method long used by NCVER for estimating VET program completion rates using data </w:t>
      </w:r>
      <w:r w:rsidRPr="005A59D5">
        <w:rPr>
          <w:color w:val="auto"/>
        </w:rPr>
        <w:t>from the National VET Provider Collection is shown to be reliable and aligns well with actual rates of completion for historical estimates.</w:t>
      </w:r>
      <w:r w:rsidR="00AF245C">
        <w:rPr>
          <w:color w:val="auto"/>
        </w:rPr>
        <w:t xml:space="preserve"> </w:t>
      </w:r>
      <w:r w:rsidRPr="005A59D5">
        <w:rPr>
          <w:color w:val="auto"/>
        </w:rPr>
        <w:t xml:space="preserve">One of the advantages of the methodology is that it can be </w:t>
      </w:r>
      <w:r>
        <w:rPr>
          <w:color w:val="auto"/>
        </w:rPr>
        <w:t>readily</w:t>
      </w:r>
      <w:r w:rsidRPr="005A59D5">
        <w:rPr>
          <w:color w:val="auto"/>
        </w:rPr>
        <w:t xml:space="preserve"> applied to subsets of the data based</w:t>
      </w:r>
      <w:r>
        <w:rPr>
          <w:color w:val="auto"/>
        </w:rPr>
        <w:t xml:space="preserve"> on student demographics or attributes</w:t>
      </w:r>
      <w:r w:rsidRPr="005A59D5">
        <w:rPr>
          <w:color w:val="auto"/>
        </w:rPr>
        <w:t xml:space="preserve"> of </w:t>
      </w:r>
      <w:r>
        <w:rPr>
          <w:color w:val="auto"/>
        </w:rPr>
        <w:t xml:space="preserve">the </w:t>
      </w:r>
      <w:r w:rsidRPr="005A59D5">
        <w:rPr>
          <w:color w:val="auto"/>
        </w:rPr>
        <w:t>training</w:t>
      </w:r>
      <w:r>
        <w:rPr>
          <w:color w:val="auto"/>
        </w:rPr>
        <w:t>.</w:t>
      </w:r>
    </w:p>
    <w:p w:rsidR="00D6700B" w:rsidRDefault="00D6700B" w:rsidP="00D6700B">
      <w:pPr>
        <w:pStyle w:val="Dotpoint1"/>
        <w:ind w:left="284" w:hanging="284"/>
      </w:pPr>
      <w:r w:rsidRPr="005A59D5">
        <w:rPr>
          <w:color w:val="auto"/>
        </w:rPr>
        <w:t xml:space="preserve">Given that it takes a number of years for actual rates of completion to stabilise, the method is well suited </w:t>
      </w:r>
      <w:r>
        <w:t xml:space="preserve">for inclusion as part of any method of assessing completion rates, where the projected completion rate method is used to estimate rates </w:t>
      </w:r>
      <w:r w:rsidRPr="00CB409E">
        <w:t xml:space="preserve">for the most recent </w:t>
      </w:r>
      <w:r>
        <w:t>y</w:t>
      </w:r>
      <w:r w:rsidRPr="00CB409E">
        <w:t xml:space="preserve">ears and actual rates </w:t>
      </w:r>
      <w:r>
        <w:t xml:space="preserve">used </w:t>
      </w:r>
      <w:r w:rsidRPr="00CB409E">
        <w:t xml:space="preserve">for </w:t>
      </w:r>
      <w:r>
        <w:t xml:space="preserve">prior </w:t>
      </w:r>
      <w:r w:rsidRPr="00CB409E">
        <w:t>years</w:t>
      </w:r>
      <w:r>
        <w:t>.</w:t>
      </w:r>
    </w:p>
    <w:p w:rsidR="00D6700B" w:rsidRDefault="00D6700B" w:rsidP="00D6700B">
      <w:pPr>
        <w:pStyle w:val="Dotpoint1"/>
        <w:ind w:left="284" w:hanging="284"/>
      </w:pPr>
      <w:r>
        <w:t>The technical review has also shown</w:t>
      </w:r>
      <w:r w:rsidR="00AF245C">
        <w:t xml:space="preserve"> that</w:t>
      </w:r>
      <w:r>
        <w:t xml:space="preserve"> the </w:t>
      </w:r>
      <w:r w:rsidR="00AF245C">
        <w:t>current</w:t>
      </w:r>
      <w:r>
        <w:t xml:space="preserve"> predictive method can be improved </w:t>
      </w:r>
      <w:r w:rsidRPr="00CB409E">
        <w:t xml:space="preserve">by defining a program’s commencing year as the year it first appears in the National VET Provider Collection </w:t>
      </w:r>
      <w:r w:rsidR="00AF245C">
        <w:t xml:space="preserve">rather than </w:t>
      </w:r>
      <w:r w:rsidRPr="00CB409E">
        <w:t>using the commencing flag variable</w:t>
      </w:r>
      <w:r>
        <w:t>.</w:t>
      </w:r>
    </w:p>
    <w:p w:rsidR="00D6700B" w:rsidRDefault="00D6700B" w:rsidP="00D6700B">
      <w:pPr>
        <w:pStyle w:val="Dotpoint1"/>
        <w:ind w:left="284" w:hanging="284"/>
      </w:pPr>
      <w:r w:rsidRPr="00CB409E">
        <w:t xml:space="preserve">It is anticipated that </w:t>
      </w:r>
      <w:r>
        <w:t xml:space="preserve">the incorporation </w:t>
      </w:r>
      <w:r w:rsidRPr="00CB409E">
        <w:t xml:space="preserve">of </w:t>
      </w:r>
      <w:r>
        <w:t>unique student identifiers in</w:t>
      </w:r>
      <w:r w:rsidRPr="00CB409E">
        <w:t xml:space="preserve">to </w:t>
      </w:r>
      <w:r>
        <w:t>any preferred</w:t>
      </w:r>
      <w:r w:rsidRPr="00CB409E">
        <w:t xml:space="preserve"> methodology</w:t>
      </w:r>
      <w:r w:rsidR="00AF245C">
        <w:t>,</w:t>
      </w:r>
      <w:r w:rsidRPr="00CB409E">
        <w:t xml:space="preserve"> </w:t>
      </w:r>
      <w:r>
        <w:t>and its extension to total VET a</w:t>
      </w:r>
      <w:r w:rsidRPr="00CB409E">
        <w:t>ctivity</w:t>
      </w:r>
      <w:r w:rsidR="00AF245C">
        <w:t xml:space="preserve">, </w:t>
      </w:r>
      <w:r>
        <w:t>can</w:t>
      </w:r>
      <w:r w:rsidRPr="00CB409E">
        <w:t xml:space="preserve"> be pha</w:t>
      </w:r>
      <w:r>
        <w:t>sed in from the collection of 2017 training activity.</w:t>
      </w:r>
    </w:p>
    <w:p w:rsidR="0004066C" w:rsidRPr="00CB409E" w:rsidRDefault="0004066C" w:rsidP="00574756">
      <w:pPr>
        <w:pStyle w:val="Dotpoint1"/>
        <w:numPr>
          <w:ilvl w:val="0"/>
          <w:numId w:val="0"/>
        </w:numPr>
        <w:ind w:left="284"/>
      </w:pPr>
    </w:p>
    <w:p w:rsidR="004F4AF3" w:rsidRDefault="00F86AE4" w:rsidP="00106F03">
      <w:pPr>
        <w:pStyle w:val="Text"/>
        <w:sectPr w:rsidR="004F4AF3" w:rsidSect="004F4AF3">
          <w:headerReference w:type="even" r:id="rId29"/>
          <w:headerReference w:type="default" r:id="rId30"/>
          <w:footerReference w:type="even" r:id="rId31"/>
          <w:footerReference w:type="default" r:id="rId32"/>
          <w:headerReference w:type="first" r:id="rId33"/>
          <w:pgSz w:w="11906" w:h="16838"/>
          <w:pgMar w:top="1440" w:right="1274" w:bottom="1440" w:left="1418" w:header="708" w:footer="446" w:gutter="0"/>
          <w:cols w:space="708"/>
          <w:docGrid w:linePitch="360"/>
        </w:sectPr>
      </w:pPr>
      <w:r>
        <w:t xml:space="preserve">Dr </w:t>
      </w:r>
      <w:r w:rsidR="00106F03">
        <w:t>Craig Fowler</w:t>
      </w:r>
      <w:r w:rsidR="00106F03">
        <w:br/>
      </w:r>
      <w:r w:rsidR="00106F03" w:rsidRPr="005C2FCF">
        <w:t>Managing Director, NCVER</w:t>
      </w:r>
    </w:p>
    <w:bookmarkEnd w:id="11"/>
    <w:bookmarkEnd w:id="12"/>
    <w:bookmarkEnd w:id="13"/>
    <w:p w:rsidR="006C11B9" w:rsidRPr="003813E4" w:rsidRDefault="00252944" w:rsidP="006C11B9">
      <w:pPr>
        <w:pStyle w:val="Contents"/>
      </w:pPr>
      <w:r w:rsidRPr="00752528">
        <w:rPr>
          <w:noProof/>
          <w:lang w:eastAsia="en-AU"/>
        </w:rPr>
        <w:lastRenderedPageBreak/>
        <w:drawing>
          <wp:anchor distT="0" distB="0" distL="114300" distR="114300" simplePos="0" relativeHeight="251719680" behindDoc="0" locked="0" layoutInCell="1" allowOverlap="1" wp14:anchorId="45DED429" wp14:editId="107E1385">
            <wp:simplePos x="0" y="0"/>
            <wp:positionH relativeFrom="column">
              <wp:posOffset>3427095</wp:posOffset>
            </wp:positionH>
            <wp:positionV relativeFrom="paragraph">
              <wp:posOffset>438785</wp:posOffset>
            </wp:positionV>
            <wp:extent cx="419100" cy="41910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Pr="00752528">
        <w:rPr>
          <w:noProof/>
          <w:lang w:eastAsia="en-AU"/>
        </w:rPr>
        <w:drawing>
          <wp:anchor distT="0" distB="0" distL="114300" distR="114300" simplePos="0" relativeHeight="251718656" behindDoc="0" locked="0" layoutInCell="1" allowOverlap="1" wp14:anchorId="4FBF9B00" wp14:editId="04AA25FF">
            <wp:simplePos x="0" y="0"/>
            <wp:positionH relativeFrom="column">
              <wp:posOffset>2925445</wp:posOffset>
            </wp:positionH>
            <wp:positionV relativeFrom="paragraph">
              <wp:posOffset>438785</wp:posOffset>
            </wp:positionV>
            <wp:extent cx="419100" cy="419100"/>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Pr>
          <w:noProof/>
          <w:lang w:eastAsia="en-AU"/>
        </w:rPr>
        <w:drawing>
          <wp:anchor distT="0" distB="0" distL="114300" distR="114300" simplePos="0" relativeHeight="251710464" behindDoc="0" locked="0" layoutInCell="1" allowOverlap="1" wp14:anchorId="0E8056B2" wp14:editId="6C8AA0D6">
            <wp:simplePos x="0" y="0"/>
            <wp:positionH relativeFrom="column">
              <wp:posOffset>2446655</wp:posOffset>
            </wp:positionH>
            <wp:positionV relativeFrom="paragraph">
              <wp:posOffset>438785</wp:posOffset>
            </wp:positionV>
            <wp:extent cx="422275" cy="42227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Conclusion.emf"/>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22275" cy="422275"/>
                    </a:xfrm>
                    <a:prstGeom prst="rect">
                      <a:avLst/>
                    </a:prstGeom>
                    <a:noFill/>
                    <a:ln>
                      <a:noFill/>
                    </a:ln>
                  </pic:spPr>
                </pic:pic>
              </a:graphicData>
            </a:graphic>
          </wp:anchor>
        </w:drawing>
      </w:r>
      <w:r>
        <w:rPr>
          <w:noProof/>
          <w:lang w:eastAsia="en-AU"/>
        </w:rPr>
        <w:drawing>
          <wp:anchor distT="0" distB="0" distL="114300" distR="114300" simplePos="0" relativeHeight="251746304" behindDoc="0" locked="0" layoutInCell="1" allowOverlap="1" wp14:anchorId="1D491819" wp14:editId="182E2F35">
            <wp:simplePos x="0" y="0"/>
            <wp:positionH relativeFrom="column">
              <wp:posOffset>1956765</wp:posOffset>
            </wp:positionH>
            <wp:positionV relativeFrom="paragraph">
              <wp:posOffset>438912</wp:posOffset>
            </wp:positionV>
            <wp:extent cx="422275" cy="4222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Conclusion.emf"/>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22275" cy="422275"/>
                    </a:xfrm>
                    <a:prstGeom prst="rect">
                      <a:avLst/>
                    </a:prstGeom>
                    <a:noFill/>
                    <a:ln>
                      <a:noFill/>
                    </a:ln>
                  </pic:spPr>
                </pic:pic>
              </a:graphicData>
            </a:graphic>
          </wp:anchor>
        </w:drawing>
      </w:r>
      <w:r w:rsidR="00820578" w:rsidRPr="00BE5DCB">
        <w:rPr>
          <w:noProof/>
          <w:lang w:eastAsia="en-AU"/>
        </w:rPr>
        <w:drawing>
          <wp:anchor distT="0" distB="0" distL="114300" distR="114300" simplePos="0" relativeHeight="251678720" behindDoc="0" locked="0" layoutInCell="1" allowOverlap="1" wp14:anchorId="3ED5B99A" wp14:editId="283E2F60">
            <wp:simplePos x="0" y="0"/>
            <wp:positionH relativeFrom="column">
              <wp:posOffset>0</wp:posOffset>
            </wp:positionH>
            <wp:positionV relativeFrom="paragraph">
              <wp:posOffset>451485</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820578" w:rsidRPr="004F4AF3">
        <w:rPr>
          <w:noProof/>
          <w:lang w:eastAsia="en-AU"/>
        </w:rPr>
        <w:drawing>
          <wp:anchor distT="0" distB="0" distL="114300" distR="114300" simplePos="0" relativeHeight="251694080" behindDoc="0" locked="0" layoutInCell="1" allowOverlap="1" wp14:anchorId="74AC34F6" wp14:editId="0D78BF53">
            <wp:simplePos x="0" y="0"/>
            <wp:positionH relativeFrom="column">
              <wp:posOffset>474345</wp:posOffset>
            </wp:positionH>
            <wp:positionV relativeFrom="paragraph">
              <wp:posOffset>442595</wp:posOffset>
            </wp:positionV>
            <wp:extent cx="419100" cy="447040"/>
            <wp:effectExtent l="0" t="0" r="0" b="0"/>
            <wp:wrapNone/>
            <wp:docPr id="16" name="Picture 16" descr="P:\PublicationComponents\Icons\Intro_Green.emf"/>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 cy="447040"/>
                    </a:xfrm>
                    <a:prstGeom prst="rect">
                      <a:avLst/>
                    </a:prstGeom>
                    <a:noFill/>
                    <a:ln>
                      <a:noFill/>
                    </a:ln>
                  </pic:spPr>
                </pic:pic>
              </a:graphicData>
            </a:graphic>
          </wp:anchor>
        </w:drawing>
      </w:r>
      <w:r w:rsidR="00820578" w:rsidRPr="004F4AF3">
        <w:rPr>
          <w:noProof/>
          <w:lang w:eastAsia="en-AU"/>
        </w:rPr>
        <w:drawing>
          <wp:anchor distT="0" distB="0" distL="114300" distR="114300" simplePos="0" relativeHeight="251698176" behindDoc="0" locked="0" layoutInCell="1" allowOverlap="1" wp14:anchorId="6C5093AA" wp14:editId="6A3DC9A8">
            <wp:simplePos x="0" y="0"/>
            <wp:positionH relativeFrom="column">
              <wp:posOffset>974725</wp:posOffset>
            </wp:positionH>
            <wp:positionV relativeFrom="paragraph">
              <wp:posOffset>442595</wp:posOffset>
            </wp:positionV>
            <wp:extent cx="424815" cy="424180"/>
            <wp:effectExtent l="0" t="0" r="0" b="0"/>
            <wp:wrapNone/>
            <wp:docPr id="23" name="Picture 23"/>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24815" cy="424180"/>
                    </a:xfrm>
                    <a:prstGeom prst="rect">
                      <a:avLst/>
                    </a:prstGeom>
                    <a:noFill/>
                    <a:ln>
                      <a:noFill/>
                    </a:ln>
                  </pic:spPr>
                </pic:pic>
              </a:graphicData>
            </a:graphic>
          </wp:anchor>
        </w:drawing>
      </w:r>
      <w:r w:rsidR="00820578">
        <w:rPr>
          <w:noProof/>
          <w:lang w:eastAsia="en-AU"/>
        </w:rPr>
        <w:drawing>
          <wp:anchor distT="0" distB="0" distL="114300" distR="114300" simplePos="0" relativeHeight="251709440" behindDoc="0" locked="0" layoutInCell="1" allowOverlap="1" wp14:anchorId="5F6E1742" wp14:editId="1D7F2807">
            <wp:simplePos x="0" y="0"/>
            <wp:positionH relativeFrom="column">
              <wp:posOffset>1475105</wp:posOffset>
            </wp:positionH>
            <wp:positionV relativeFrom="paragraph">
              <wp:posOffset>442595</wp:posOffset>
            </wp:positionV>
            <wp:extent cx="413385" cy="430530"/>
            <wp:effectExtent l="0" t="0" r="5715" b="7620"/>
            <wp:wrapNone/>
            <wp:docPr id="28" name="Picture 28" descr="P:\PublicationComponents\Icons\Dataanalysi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Dataanalysis_lightblue.e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3385" cy="430530"/>
                    </a:xfrm>
                    <a:prstGeom prst="rect">
                      <a:avLst/>
                    </a:prstGeom>
                    <a:noFill/>
                    <a:ln>
                      <a:noFill/>
                    </a:ln>
                  </pic:spPr>
                </pic:pic>
              </a:graphicData>
            </a:graphic>
          </wp:anchor>
        </w:drawing>
      </w:r>
      <w:r w:rsidR="006C11B9" w:rsidRPr="00BE5DCB">
        <w:t>Contents</w:t>
      </w:r>
    </w:p>
    <w:p w:rsidR="00CB409E" w:rsidRDefault="00B90ECD" w:rsidP="00CB409E">
      <w:pPr>
        <w:pStyle w:val="TOC1"/>
        <w:tabs>
          <w:tab w:val="clear" w:pos="6804"/>
          <w:tab w:val="right" w:pos="6946"/>
        </w:tabs>
        <w:rPr>
          <w:rFonts w:asciiTheme="minorHAnsi" w:eastAsiaTheme="minorEastAsia" w:hAnsiTheme="minorHAnsi" w:cstheme="minorBidi"/>
          <w:color w:val="auto"/>
          <w:sz w:val="22"/>
          <w:szCs w:val="22"/>
          <w:lang w:eastAsia="en-AU"/>
        </w:rPr>
      </w:pPr>
      <w:r>
        <w:rPr>
          <w:rFonts w:ascii="Avant Garde" w:hAnsi="Avant Garde"/>
        </w:rPr>
        <w:fldChar w:fldCharType="begin"/>
      </w:r>
      <w:r w:rsidR="006C11B9">
        <w:rPr>
          <w:rFonts w:ascii="Avant Garde" w:hAnsi="Avant Garde"/>
        </w:rPr>
        <w:instrText xml:space="preserve"> TOC \t "Heading 1,1,Heading 2,2" </w:instrText>
      </w:r>
      <w:r>
        <w:rPr>
          <w:rFonts w:ascii="Avant Garde" w:hAnsi="Avant Garde"/>
        </w:rPr>
        <w:fldChar w:fldCharType="separate"/>
      </w:r>
      <w:r w:rsidR="00CB409E" w:rsidRPr="00E5323D">
        <w:rPr>
          <w:color w:val="auto"/>
        </w:rPr>
        <w:t>About the research</w:t>
      </w:r>
      <w:r w:rsidR="00CB409E">
        <w:tab/>
      </w:r>
      <w:r>
        <w:fldChar w:fldCharType="begin"/>
      </w:r>
      <w:r w:rsidR="00CB409E">
        <w:instrText xml:space="preserve"> PAGEREF _Toc464806088 \h </w:instrText>
      </w:r>
      <w:r>
        <w:fldChar w:fldCharType="separate"/>
      </w:r>
      <w:r w:rsidR="001C3002">
        <w:t>3</w:t>
      </w:r>
      <w:r>
        <w:fldChar w:fldCharType="end"/>
      </w:r>
    </w:p>
    <w:p w:rsidR="00CB409E" w:rsidRDefault="00CB409E" w:rsidP="00CB409E">
      <w:pPr>
        <w:pStyle w:val="TOC1"/>
        <w:tabs>
          <w:tab w:val="clear" w:pos="6804"/>
          <w:tab w:val="right" w:pos="6946"/>
        </w:tabs>
        <w:rPr>
          <w:rFonts w:asciiTheme="minorHAnsi" w:eastAsiaTheme="minorEastAsia" w:hAnsiTheme="minorHAnsi" w:cstheme="minorBidi"/>
          <w:color w:val="auto"/>
          <w:sz w:val="22"/>
          <w:szCs w:val="22"/>
          <w:lang w:eastAsia="en-AU"/>
        </w:rPr>
      </w:pPr>
      <w:r>
        <w:t>Tables and figures</w:t>
      </w:r>
      <w:r>
        <w:tab/>
      </w:r>
      <w:r w:rsidR="00B90ECD">
        <w:fldChar w:fldCharType="begin"/>
      </w:r>
      <w:r>
        <w:instrText xml:space="preserve"> PAGEREF _Toc464806089 \h </w:instrText>
      </w:r>
      <w:r w:rsidR="00B90ECD">
        <w:fldChar w:fldCharType="separate"/>
      </w:r>
      <w:r w:rsidR="001C3002">
        <w:t>5</w:t>
      </w:r>
      <w:r w:rsidR="00B90ECD">
        <w:fldChar w:fldCharType="end"/>
      </w:r>
    </w:p>
    <w:p w:rsidR="00CB409E" w:rsidRDefault="00CB409E" w:rsidP="00CB409E">
      <w:pPr>
        <w:pStyle w:val="TOC1"/>
        <w:tabs>
          <w:tab w:val="clear" w:pos="6804"/>
          <w:tab w:val="right" w:pos="6946"/>
        </w:tabs>
        <w:rPr>
          <w:rFonts w:asciiTheme="minorHAnsi" w:eastAsiaTheme="minorEastAsia" w:hAnsiTheme="minorHAnsi" w:cstheme="minorBidi"/>
          <w:color w:val="auto"/>
          <w:sz w:val="22"/>
          <w:szCs w:val="22"/>
          <w:lang w:eastAsia="en-AU"/>
        </w:rPr>
      </w:pPr>
      <w:r>
        <w:t>Introduction</w:t>
      </w:r>
      <w:r>
        <w:tab/>
      </w:r>
      <w:r w:rsidR="00B90ECD">
        <w:fldChar w:fldCharType="begin"/>
      </w:r>
      <w:r>
        <w:instrText xml:space="preserve"> PAGEREF _Toc464806092 \h </w:instrText>
      </w:r>
      <w:r w:rsidR="00B90ECD">
        <w:fldChar w:fldCharType="separate"/>
      </w:r>
      <w:r w:rsidR="001C3002">
        <w:t>6</w:t>
      </w:r>
      <w:r w:rsidR="00B90ECD">
        <w:fldChar w:fldCharType="end"/>
      </w:r>
    </w:p>
    <w:p w:rsidR="00CB409E" w:rsidRDefault="00CB409E" w:rsidP="00CB409E">
      <w:pPr>
        <w:pStyle w:val="TOC1"/>
        <w:tabs>
          <w:tab w:val="clear" w:pos="6804"/>
          <w:tab w:val="right" w:pos="6946"/>
        </w:tabs>
        <w:rPr>
          <w:rFonts w:asciiTheme="minorHAnsi" w:eastAsiaTheme="minorEastAsia" w:hAnsiTheme="minorHAnsi" w:cstheme="minorBidi"/>
          <w:color w:val="auto"/>
          <w:sz w:val="22"/>
          <w:szCs w:val="22"/>
          <w:lang w:eastAsia="en-AU"/>
        </w:rPr>
      </w:pPr>
      <w:r>
        <w:t>How does NCVER currently derive VET completion rates?</w:t>
      </w:r>
      <w:r>
        <w:tab/>
      </w:r>
      <w:r w:rsidR="00B90ECD">
        <w:fldChar w:fldCharType="begin"/>
      </w:r>
      <w:r>
        <w:instrText xml:space="preserve"> PAGEREF _Toc464806093 \h </w:instrText>
      </w:r>
      <w:r w:rsidR="00B90ECD">
        <w:fldChar w:fldCharType="separate"/>
      </w:r>
      <w:r w:rsidR="001C3002">
        <w:t>8</w:t>
      </w:r>
      <w:r w:rsidR="00B90ECD">
        <w:fldChar w:fldCharType="end"/>
      </w:r>
    </w:p>
    <w:p w:rsidR="00CB409E" w:rsidRDefault="00CB409E" w:rsidP="00CB409E">
      <w:pPr>
        <w:pStyle w:val="TOC2"/>
        <w:tabs>
          <w:tab w:val="clear" w:pos="6804"/>
          <w:tab w:val="right" w:pos="6946"/>
        </w:tabs>
        <w:rPr>
          <w:rFonts w:asciiTheme="minorHAnsi" w:eastAsiaTheme="minorEastAsia" w:hAnsiTheme="minorHAnsi" w:cstheme="minorBidi"/>
          <w:color w:val="auto"/>
          <w:sz w:val="22"/>
          <w:szCs w:val="22"/>
          <w:lang w:eastAsia="en-AU"/>
        </w:rPr>
      </w:pPr>
      <w:r>
        <w:t>How the projected rates are currently calculated</w:t>
      </w:r>
      <w:r>
        <w:tab/>
      </w:r>
      <w:r w:rsidR="00B90ECD">
        <w:fldChar w:fldCharType="begin"/>
      </w:r>
      <w:r>
        <w:instrText xml:space="preserve"> PAGEREF _Toc464806094 \h </w:instrText>
      </w:r>
      <w:r w:rsidR="00B90ECD">
        <w:fldChar w:fldCharType="separate"/>
      </w:r>
      <w:r w:rsidR="001C3002">
        <w:t>8</w:t>
      </w:r>
      <w:r w:rsidR="00B90ECD">
        <w:fldChar w:fldCharType="end"/>
      </w:r>
    </w:p>
    <w:p w:rsidR="00CB409E" w:rsidRDefault="00CB409E" w:rsidP="00CB409E">
      <w:pPr>
        <w:pStyle w:val="TOC1"/>
        <w:tabs>
          <w:tab w:val="clear" w:pos="6804"/>
          <w:tab w:val="right" w:pos="6946"/>
        </w:tabs>
        <w:rPr>
          <w:rFonts w:asciiTheme="minorHAnsi" w:eastAsiaTheme="minorEastAsia" w:hAnsiTheme="minorHAnsi" w:cstheme="minorBidi"/>
          <w:color w:val="auto"/>
          <w:sz w:val="22"/>
          <w:szCs w:val="22"/>
          <w:lang w:eastAsia="en-AU"/>
        </w:rPr>
      </w:pPr>
      <w:r>
        <w:t>How accurate are the current estimates of completion rates?</w:t>
      </w:r>
      <w:r>
        <w:tab/>
      </w:r>
      <w:r w:rsidR="00B90ECD">
        <w:fldChar w:fldCharType="begin"/>
      </w:r>
      <w:r>
        <w:instrText xml:space="preserve"> PAGEREF _Toc464806095 \h </w:instrText>
      </w:r>
      <w:r w:rsidR="00B90ECD">
        <w:fldChar w:fldCharType="separate"/>
      </w:r>
      <w:r w:rsidR="001C3002">
        <w:t>10</w:t>
      </w:r>
      <w:r w:rsidR="00B90ECD">
        <w:fldChar w:fldCharType="end"/>
      </w:r>
    </w:p>
    <w:p w:rsidR="00CB409E" w:rsidRDefault="00CB409E" w:rsidP="00CB409E">
      <w:pPr>
        <w:pStyle w:val="TOC1"/>
        <w:tabs>
          <w:tab w:val="clear" w:pos="6804"/>
          <w:tab w:val="right" w:pos="6946"/>
        </w:tabs>
        <w:rPr>
          <w:rFonts w:asciiTheme="minorHAnsi" w:eastAsiaTheme="minorEastAsia" w:hAnsiTheme="minorHAnsi" w:cstheme="minorBidi"/>
          <w:color w:val="auto"/>
          <w:sz w:val="22"/>
          <w:szCs w:val="22"/>
          <w:lang w:eastAsia="en-AU"/>
        </w:rPr>
      </w:pPr>
      <w:r>
        <w:t>Reviewing the methodology</w:t>
      </w:r>
      <w:r>
        <w:tab/>
      </w:r>
      <w:r w:rsidR="00B90ECD">
        <w:fldChar w:fldCharType="begin"/>
      </w:r>
      <w:r>
        <w:instrText xml:space="preserve"> PAGEREF _Toc464806096 \h </w:instrText>
      </w:r>
      <w:r w:rsidR="00B90ECD">
        <w:fldChar w:fldCharType="separate"/>
      </w:r>
      <w:r w:rsidR="001C3002">
        <w:t>12</w:t>
      </w:r>
      <w:r w:rsidR="00B90ECD">
        <w:fldChar w:fldCharType="end"/>
      </w:r>
    </w:p>
    <w:p w:rsidR="00CB409E" w:rsidRDefault="00CB409E" w:rsidP="00CB409E">
      <w:pPr>
        <w:pStyle w:val="TOC1"/>
        <w:tabs>
          <w:tab w:val="clear" w:pos="6804"/>
          <w:tab w:val="right" w:pos="6946"/>
        </w:tabs>
        <w:rPr>
          <w:rFonts w:asciiTheme="minorHAnsi" w:eastAsiaTheme="minorEastAsia" w:hAnsiTheme="minorHAnsi" w:cstheme="minorBidi"/>
          <w:color w:val="auto"/>
          <w:sz w:val="22"/>
          <w:szCs w:val="22"/>
          <w:lang w:eastAsia="en-AU"/>
        </w:rPr>
      </w:pPr>
      <w:r>
        <w:t>Conclusion</w:t>
      </w:r>
      <w:r>
        <w:tab/>
      </w:r>
      <w:r w:rsidR="00B90ECD">
        <w:fldChar w:fldCharType="begin"/>
      </w:r>
      <w:r>
        <w:instrText xml:space="preserve"> PAGEREF _Toc464806097 \h </w:instrText>
      </w:r>
      <w:r w:rsidR="00B90ECD">
        <w:fldChar w:fldCharType="separate"/>
      </w:r>
      <w:r w:rsidR="001C3002">
        <w:t>16</w:t>
      </w:r>
      <w:r w:rsidR="00B90ECD">
        <w:fldChar w:fldCharType="end"/>
      </w:r>
    </w:p>
    <w:p w:rsidR="00CB409E" w:rsidRDefault="00CB409E" w:rsidP="00CB409E">
      <w:pPr>
        <w:pStyle w:val="TOC1"/>
        <w:tabs>
          <w:tab w:val="clear" w:pos="6804"/>
          <w:tab w:val="right" w:pos="6946"/>
        </w:tabs>
        <w:rPr>
          <w:rFonts w:asciiTheme="minorHAnsi" w:eastAsiaTheme="minorEastAsia" w:hAnsiTheme="minorHAnsi" w:cstheme="minorBidi"/>
          <w:color w:val="auto"/>
          <w:sz w:val="22"/>
          <w:szCs w:val="22"/>
          <w:lang w:eastAsia="en-AU"/>
        </w:rPr>
      </w:pPr>
      <w:r>
        <w:t>References</w:t>
      </w:r>
      <w:r>
        <w:tab/>
      </w:r>
      <w:r w:rsidR="00B90ECD">
        <w:fldChar w:fldCharType="begin"/>
      </w:r>
      <w:r>
        <w:instrText xml:space="preserve"> PAGEREF _Toc464806098 \h </w:instrText>
      </w:r>
      <w:r w:rsidR="00B90ECD">
        <w:fldChar w:fldCharType="separate"/>
      </w:r>
      <w:r w:rsidR="001C3002">
        <w:t>17</w:t>
      </w:r>
      <w:r w:rsidR="00B90ECD">
        <w:fldChar w:fldCharType="end"/>
      </w:r>
    </w:p>
    <w:p w:rsidR="00CB409E" w:rsidRDefault="00CB409E" w:rsidP="00CB409E">
      <w:pPr>
        <w:pStyle w:val="TOC1"/>
        <w:tabs>
          <w:tab w:val="clear" w:pos="6804"/>
          <w:tab w:val="right" w:pos="6946"/>
        </w:tabs>
        <w:rPr>
          <w:rFonts w:asciiTheme="minorHAnsi" w:eastAsiaTheme="minorEastAsia" w:hAnsiTheme="minorHAnsi" w:cstheme="minorBidi"/>
          <w:color w:val="auto"/>
          <w:sz w:val="22"/>
          <w:szCs w:val="22"/>
          <w:lang w:eastAsia="en-AU"/>
        </w:rPr>
      </w:pPr>
      <w:r>
        <w:t>Appendix</w:t>
      </w:r>
      <w:r>
        <w:tab/>
      </w:r>
      <w:r w:rsidR="00B90ECD">
        <w:fldChar w:fldCharType="begin"/>
      </w:r>
      <w:r>
        <w:instrText xml:space="preserve"> PAGEREF _Toc464806099 \h </w:instrText>
      </w:r>
      <w:r w:rsidR="00B90ECD">
        <w:fldChar w:fldCharType="separate"/>
      </w:r>
      <w:r w:rsidR="001C3002">
        <w:t>18</w:t>
      </w:r>
      <w:r w:rsidR="00B90ECD">
        <w:fldChar w:fldCharType="end"/>
      </w:r>
    </w:p>
    <w:p w:rsidR="00CB409E" w:rsidRDefault="00CB409E" w:rsidP="00CB409E">
      <w:pPr>
        <w:pStyle w:val="TOC2"/>
        <w:tabs>
          <w:tab w:val="clear" w:pos="6804"/>
          <w:tab w:val="right" w:pos="6946"/>
        </w:tabs>
        <w:rPr>
          <w:rFonts w:asciiTheme="minorHAnsi" w:eastAsiaTheme="minorEastAsia" w:hAnsiTheme="minorHAnsi" w:cstheme="minorBidi"/>
          <w:color w:val="auto"/>
          <w:sz w:val="22"/>
          <w:szCs w:val="22"/>
          <w:lang w:eastAsia="en-AU"/>
        </w:rPr>
      </w:pPr>
      <w:r>
        <w:t>The current method for p</w:t>
      </w:r>
      <w:r w:rsidR="00365D04">
        <w:t>rojecting rates of completion: a</w:t>
      </w:r>
      <w:r>
        <w:t xml:space="preserve"> working example</w:t>
      </w:r>
      <w:r>
        <w:tab/>
      </w:r>
      <w:r w:rsidR="00B90ECD">
        <w:fldChar w:fldCharType="begin"/>
      </w:r>
      <w:r>
        <w:instrText xml:space="preserve"> PAGEREF _Toc464806100 \h </w:instrText>
      </w:r>
      <w:r w:rsidR="00B90ECD">
        <w:fldChar w:fldCharType="separate"/>
      </w:r>
      <w:r w:rsidR="001C3002">
        <w:t>18</w:t>
      </w:r>
      <w:r w:rsidR="00B90ECD">
        <w:fldChar w:fldCharType="end"/>
      </w:r>
    </w:p>
    <w:p w:rsidR="006C11B9" w:rsidRDefault="00B90ECD" w:rsidP="006C11B9">
      <w:pPr>
        <w:pStyle w:val="Text"/>
        <w:rPr>
          <w:b/>
        </w:rPr>
      </w:pPr>
      <w:r>
        <w:rPr>
          <w:rFonts w:ascii="Avant Garde" w:hAnsi="Avant Garde"/>
          <w:noProof/>
          <w:color w:val="000000"/>
          <w:szCs w:val="19"/>
        </w:rPr>
        <w:fldChar w:fldCharType="end"/>
      </w:r>
    </w:p>
    <w:p w:rsidR="006C11B9" w:rsidRPr="0004066C" w:rsidRDefault="006C11B9" w:rsidP="006C11B9">
      <w:pPr>
        <w:pStyle w:val="Text"/>
        <w:rPr>
          <w:b/>
        </w:rPr>
      </w:pPr>
    </w:p>
    <w:p w:rsidR="006C11B9" w:rsidRDefault="006C11B9">
      <w:pPr>
        <w:spacing w:before="0" w:after="200" w:line="276" w:lineRule="auto"/>
        <w:rPr>
          <w:rFonts w:ascii="Arial" w:hAnsi="Arial" w:cs="Tahoma"/>
          <w:color w:val="000000"/>
          <w:kern w:val="28"/>
          <w:sz w:val="48"/>
          <w:szCs w:val="56"/>
        </w:rPr>
      </w:pPr>
      <w:r>
        <w:br w:type="page"/>
      </w:r>
    </w:p>
    <w:p w:rsidR="006C11B9" w:rsidRDefault="006C11B9" w:rsidP="006C11B9">
      <w:pPr>
        <w:pStyle w:val="Heading1"/>
      </w:pPr>
      <w:bookmarkStart w:id="16" w:name="_Toc316371579"/>
      <w:bookmarkStart w:id="17" w:name="_Toc421789467"/>
      <w:bookmarkStart w:id="18" w:name="_Toc464806089"/>
      <w:r>
        <w:lastRenderedPageBreak/>
        <w:t>Tables and figures</w:t>
      </w:r>
      <w:bookmarkEnd w:id="16"/>
      <w:bookmarkEnd w:id="17"/>
      <w:bookmarkEnd w:id="18"/>
    </w:p>
    <w:p w:rsidR="001B5DA2" w:rsidRDefault="001B5DA2" w:rsidP="001B5DA2">
      <w:pPr>
        <w:pStyle w:val="Heading2"/>
      </w:pPr>
      <w:bookmarkStart w:id="19" w:name="_Toc454889604"/>
      <w:bookmarkStart w:id="20" w:name="_Toc464806090"/>
      <w:r>
        <w:t>Tables</w:t>
      </w:r>
      <w:bookmarkEnd w:id="19"/>
      <w:bookmarkEnd w:id="20"/>
    </w:p>
    <w:p w:rsidR="00A93132" w:rsidRDefault="00B90ECD" w:rsidP="00A93132">
      <w:pPr>
        <w:pStyle w:val="TableofFigures"/>
        <w:tabs>
          <w:tab w:val="clear" w:pos="284"/>
          <w:tab w:val="left" w:pos="950"/>
        </w:tabs>
        <w:ind w:left="426" w:right="1395" w:hanging="426"/>
        <w:rPr>
          <w:rFonts w:asciiTheme="minorHAnsi" w:eastAsiaTheme="minorEastAsia" w:hAnsiTheme="minorHAnsi" w:cstheme="minorBidi"/>
          <w:color w:val="auto"/>
          <w:sz w:val="22"/>
          <w:szCs w:val="22"/>
          <w:lang w:eastAsia="en-AU"/>
        </w:rPr>
      </w:pPr>
      <w:r>
        <w:fldChar w:fldCharType="begin"/>
      </w:r>
      <w:r w:rsidR="001B5DA2">
        <w:instrText xml:space="preserve"> TOC \f F \t "tabletitle" \c </w:instrText>
      </w:r>
      <w:r>
        <w:fldChar w:fldCharType="separate"/>
      </w:r>
      <w:r w:rsidR="00A93132">
        <w:t>1</w:t>
      </w:r>
      <w:r w:rsidR="00A93132">
        <w:rPr>
          <w:rFonts w:asciiTheme="minorHAnsi" w:eastAsiaTheme="minorEastAsia" w:hAnsiTheme="minorHAnsi" w:cstheme="minorBidi"/>
          <w:color w:val="auto"/>
          <w:sz w:val="22"/>
          <w:szCs w:val="22"/>
          <w:lang w:eastAsia="en-AU"/>
        </w:rPr>
        <w:tab/>
      </w:r>
      <w:r w:rsidR="00A93132">
        <w:t>Breakdown of where commencing flag = ‘Y(es)’ within three-year matched datasets centred around years of interest (% of total)</w:t>
      </w:r>
      <w:r w:rsidR="00A93132">
        <w:tab/>
      </w:r>
      <w:r w:rsidR="00A93132">
        <w:fldChar w:fldCharType="begin"/>
      </w:r>
      <w:r w:rsidR="00A93132">
        <w:instrText xml:space="preserve"> PAGEREF _Toc465780147 \h </w:instrText>
      </w:r>
      <w:r w:rsidR="00A93132">
        <w:fldChar w:fldCharType="separate"/>
      </w:r>
      <w:r w:rsidR="001C3002">
        <w:t>12</w:t>
      </w:r>
      <w:r w:rsidR="00A93132">
        <w:fldChar w:fldCharType="end"/>
      </w:r>
    </w:p>
    <w:p w:rsidR="00A93132" w:rsidRDefault="00A93132" w:rsidP="00A93132">
      <w:pPr>
        <w:pStyle w:val="TableofFigures"/>
        <w:tabs>
          <w:tab w:val="clear" w:pos="284"/>
          <w:tab w:val="left" w:pos="950"/>
        </w:tabs>
        <w:ind w:left="426" w:right="1395" w:hanging="426"/>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Comparison of Mean Absolute and Mean Squared errors based on projected completion rates estimated using the current and revised approach, 2008</w:t>
      </w:r>
      <w:r w:rsidR="007C5360">
        <w:t>—</w:t>
      </w:r>
      <w:r>
        <w:t>13</w:t>
      </w:r>
      <w:r>
        <w:tab/>
      </w:r>
      <w:r>
        <w:fldChar w:fldCharType="begin"/>
      </w:r>
      <w:r>
        <w:instrText xml:space="preserve"> PAGEREF _Toc465780148 \h </w:instrText>
      </w:r>
      <w:r>
        <w:fldChar w:fldCharType="separate"/>
      </w:r>
      <w:r w:rsidR="001C3002">
        <w:t>14</w:t>
      </w:r>
      <w:r>
        <w:fldChar w:fldCharType="end"/>
      </w:r>
    </w:p>
    <w:p w:rsidR="00A93132" w:rsidRDefault="00A93132" w:rsidP="00A93132">
      <w:pPr>
        <w:pStyle w:val="TableofFigures"/>
        <w:tabs>
          <w:tab w:val="clear" w:pos="284"/>
          <w:tab w:val="left" w:pos="950"/>
        </w:tabs>
        <w:ind w:left="426" w:right="1395" w:hanging="426"/>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Actual rates of completion by collection year (%)</w:t>
      </w:r>
      <w:r>
        <w:tab/>
      </w:r>
      <w:r>
        <w:fldChar w:fldCharType="begin"/>
      </w:r>
      <w:r>
        <w:instrText xml:space="preserve"> PAGEREF _Toc465780149 \h </w:instrText>
      </w:r>
      <w:r>
        <w:fldChar w:fldCharType="separate"/>
      </w:r>
      <w:r w:rsidR="001C3002">
        <w:t>14</w:t>
      </w:r>
      <w:r>
        <w:fldChar w:fldCharType="end"/>
      </w:r>
    </w:p>
    <w:p w:rsidR="00A93132" w:rsidRDefault="00A93132" w:rsidP="00A93132">
      <w:pPr>
        <w:pStyle w:val="TableofFigures"/>
        <w:tabs>
          <w:tab w:val="clear" w:pos="284"/>
          <w:tab w:val="left" w:pos="1140"/>
        </w:tabs>
        <w:ind w:left="426" w:right="1395" w:hanging="426"/>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Breakdown of student program enrolments within the three-year matched dataset centred around 2014</w:t>
      </w:r>
      <w:r>
        <w:tab/>
      </w:r>
      <w:r>
        <w:fldChar w:fldCharType="begin"/>
      </w:r>
      <w:r>
        <w:instrText xml:space="preserve"> PAGEREF _Toc465780150 \h </w:instrText>
      </w:r>
      <w:r>
        <w:fldChar w:fldCharType="separate"/>
      </w:r>
      <w:r w:rsidR="001C3002">
        <w:t>18</w:t>
      </w:r>
      <w:r>
        <w:fldChar w:fldCharType="end"/>
      </w:r>
    </w:p>
    <w:p w:rsidR="00A93132" w:rsidRDefault="00A93132" w:rsidP="00A93132">
      <w:pPr>
        <w:pStyle w:val="TableofFigures"/>
        <w:tabs>
          <w:tab w:val="clear" w:pos="284"/>
          <w:tab w:val="left" w:pos="1140"/>
        </w:tabs>
        <w:ind w:left="426" w:right="1395" w:hanging="426"/>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2014 program enrolment status and their transitioning 2015 equivalents (number)</w:t>
      </w:r>
      <w:r>
        <w:tab/>
      </w:r>
      <w:r>
        <w:fldChar w:fldCharType="begin"/>
      </w:r>
      <w:r>
        <w:instrText xml:space="preserve"> PAGEREF _Toc465780151 \h </w:instrText>
      </w:r>
      <w:r>
        <w:fldChar w:fldCharType="separate"/>
      </w:r>
      <w:r w:rsidR="001C3002">
        <w:t>19</w:t>
      </w:r>
      <w:r>
        <w:fldChar w:fldCharType="end"/>
      </w:r>
    </w:p>
    <w:p w:rsidR="00A93132" w:rsidRDefault="00A93132" w:rsidP="00A93132">
      <w:pPr>
        <w:pStyle w:val="TableofFigures"/>
        <w:tabs>
          <w:tab w:val="clear" w:pos="284"/>
          <w:tab w:val="left" w:pos="1140"/>
        </w:tabs>
        <w:ind w:left="426" w:right="1395" w:hanging="426"/>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Proportion of 2014 program enrolments transitioning to 2015 statuses</w:t>
      </w:r>
      <w:r w:rsidR="00722BCC">
        <w:tab/>
      </w:r>
      <w:r>
        <w:tab/>
      </w:r>
      <w:r>
        <w:fldChar w:fldCharType="begin"/>
      </w:r>
      <w:r>
        <w:instrText xml:space="preserve"> PAGEREF _Toc465780152 \h </w:instrText>
      </w:r>
      <w:r>
        <w:fldChar w:fldCharType="separate"/>
      </w:r>
      <w:r w:rsidR="001C3002">
        <w:t>20</w:t>
      </w:r>
      <w:r>
        <w:fldChar w:fldCharType="end"/>
      </w:r>
    </w:p>
    <w:p w:rsidR="00A93132" w:rsidRDefault="00B90ECD" w:rsidP="00A93132">
      <w:pPr>
        <w:pStyle w:val="Heading2"/>
        <w:tabs>
          <w:tab w:val="left" w:pos="426"/>
        </w:tabs>
        <w:ind w:right="1395"/>
        <w:rPr>
          <w:noProof/>
        </w:rPr>
      </w:pPr>
      <w:r>
        <w:fldChar w:fldCharType="end"/>
      </w:r>
      <w:bookmarkStart w:id="21" w:name="_Toc296497517"/>
      <w:bookmarkStart w:id="22" w:name="_Toc298162802"/>
      <w:bookmarkStart w:id="23" w:name="_Toc316371581"/>
      <w:bookmarkStart w:id="24" w:name="_Toc421789469"/>
      <w:bookmarkStart w:id="25" w:name="_Toc453316176"/>
      <w:bookmarkStart w:id="26" w:name="_Toc454877183"/>
      <w:bookmarkStart w:id="27" w:name="_Toc454889605"/>
      <w:bookmarkStart w:id="28" w:name="_Toc464806091"/>
      <w:r w:rsidR="006C11B9">
        <w:t>Figures</w:t>
      </w:r>
      <w:bookmarkEnd w:id="21"/>
      <w:bookmarkEnd w:id="22"/>
      <w:bookmarkEnd w:id="23"/>
      <w:bookmarkEnd w:id="24"/>
      <w:bookmarkEnd w:id="25"/>
      <w:bookmarkEnd w:id="26"/>
      <w:bookmarkEnd w:id="27"/>
      <w:bookmarkEnd w:id="28"/>
      <w:r>
        <w:rPr>
          <w:rFonts w:ascii="Garamond" w:hAnsi="Garamond"/>
          <w:sz w:val="22"/>
        </w:rPr>
        <w:fldChar w:fldCharType="begin"/>
      </w:r>
      <w:r w:rsidR="006C11B9">
        <w:instrText xml:space="preserve"> TOC \t "Figuretitle" \c </w:instrText>
      </w:r>
      <w:r>
        <w:rPr>
          <w:rFonts w:ascii="Garamond" w:hAnsi="Garamond"/>
          <w:sz w:val="22"/>
        </w:rPr>
        <w:fldChar w:fldCharType="separate"/>
      </w:r>
    </w:p>
    <w:p w:rsidR="00A93132" w:rsidRDefault="00A93132" w:rsidP="00776292">
      <w:pPr>
        <w:pStyle w:val="TableofFigures"/>
        <w:tabs>
          <w:tab w:val="clear" w:pos="284"/>
          <w:tab w:val="left" w:pos="1140"/>
        </w:tabs>
        <w:ind w:left="426" w:right="1395" w:hanging="426"/>
        <w:rPr>
          <w:rFonts w:asciiTheme="minorHAnsi" w:eastAsiaTheme="minorEastAsia" w:hAnsiTheme="minorHAnsi" w:cstheme="minorBidi"/>
          <w:color w:val="auto"/>
          <w:sz w:val="22"/>
          <w:szCs w:val="22"/>
          <w:lang w:eastAsia="en-AU"/>
        </w:rPr>
      </w:pPr>
      <w:r>
        <w:rPr>
          <w:lang w:eastAsia="en-AU"/>
        </w:rPr>
        <w:t xml:space="preserve">1 </w:t>
      </w:r>
      <w:r>
        <w:rPr>
          <w:rFonts w:asciiTheme="minorHAnsi" w:eastAsiaTheme="minorEastAsia" w:hAnsiTheme="minorHAnsi" w:cstheme="minorBidi"/>
          <w:color w:val="auto"/>
          <w:sz w:val="22"/>
          <w:szCs w:val="22"/>
          <w:lang w:eastAsia="en-AU"/>
        </w:rPr>
        <w:tab/>
      </w:r>
      <w:r>
        <w:rPr>
          <w:lang w:eastAsia="en-AU"/>
        </w:rPr>
        <w:t>Comparison of current projected and actual program completion rates, 2008</w:t>
      </w:r>
      <w:r w:rsidR="001C49D4">
        <w:rPr>
          <w:lang w:eastAsia="en-AU"/>
        </w:rPr>
        <w:t>—</w:t>
      </w:r>
      <w:r>
        <w:rPr>
          <w:lang w:eastAsia="en-AU"/>
        </w:rPr>
        <w:t>15 (%)</w:t>
      </w:r>
      <w:r>
        <w:tab/>
      </w:r>
      <w:r>
        <w:fldChar w:fldCharType="begin"/>
      </w:r>
      <w:r>
        <w:instrText xml:space="preserve"> PAGEREF _Toc465780267 \h </w:instrText>
      </w:r>
      <w:r>
        <w:fldChar w:fldCharType="separate"/>
      </w:r>
      <w:r w:rsidR="001C3002">
        <w:t>10</w:t>
      </w:r>
      <w:r>
        <w:fldChar w:fldCharType="end"/>
      </w:r>
    </w:p>
    <w:p w:rsidR="00A93132" w:rsidRDefault="00A93132" w:rsidP="00776292">
      <w:pPr>
        <w:pStyle w:val="TableofFigures"/>
        <w:tabs>
          <w:tab w:val="clear" w:pos="284"/>
          <w:tab w:val="left" w:pos="1140"/>
        </w:tabs>
        <w:ind w:left="426" w:right="1395" w:hanging="426"/>
        <w:rPr>
          <w:rFonts w:asciiTheme="minorHAnsi" w:eastAsiaTheme="minorEastAsia" w:hAnsiTheme="minorHAnsi" w:cstheme="minorBidi"/>
          <w:color w:val="auto"/>
          <w:sz w:val="22"/>
          <w:szCs w:val="22"/>
          <w:lang w:eastAsia="en-AU"/>
        </w:rPr>
      </w:pPr>
      <w:r>
        <w:rPr>
          <w:lang w:eastAsia="en-AU"/>
        </w:rPr>
        <w:t xml:space="preserve">2 </w:t>
      </w:r>
      <w:r>
        <w:rPr>
          <w:rFonts w:asciiTheme="minorHAnsi" w:eastAsiaTheme="minorEastAsia" w:hAnsiTheme="minorHAnsi" w:cstheme="minorBidi"/>
          <w:color w:val="auto"/>
          <w:sz w:val="22"/>
          <w:szCs w:val="22"/>
          <w:lang w:eastAsia="en-AU"/>
        </w:rPr>
        <w:tab/>
      </w:r>
      <w:r>
        <w:rPr>
          <w:lang w:eastAsia="en-AU"/>
        </w:rPr>
        <w:t>Comparison of projected program completion rates (current and revised) against actual rates of completions, 2008</w:t>
      </w:r>
      <w:r w:rsidR="001C49D4">
        <w:rPr>
          <w:lang w:eastAsia="en-AU"/>
        </w:rPr>
        <w:t>—</w:t>
      </w:r>
      <w:r>
        <w:rPr>
          <w:lang w:eastAsia="en-AU"/>
        </w:rPr>
        <w:t>15 (%)</w:t>
      </w:r>
      <w:r>
        <w:tab/>
      </w:r>
      <w:r>
        <w:fldChar w:fldCharType="begin"/>
      </w:r>
      <w:r>
        <w:instrText xml:space="preserve"> PAGEREF _Toc465780268 \h </w:instrText>
      </w:r>
      <w:r>
        <w:fldChar w:fldCharType="separate"/>
      </w:r>
      <w:r w:rsidR="001C3002">
        <w:t>13</w:t>
      </w:r>
      <w:r>
        <w:fldChar w:fldCharType="end"/>
      </w:r>
    </w:p>
    <w:p w:rsidR="006C11B9" w:rsidRDefault="00B90ECD" w:rsidP="00A93132">
      <w:pPr>
        <w:pStyle w:val="TableofFigures"/>
        <w:tabs>
          <w:tab w:val="clear" w:pos="284"/>
          <w:tab w:val="left" w:pos="426"/>
          <w:tab w:val="right" w:pos="6237"/>
        </w:tabs>
        <w:ind w:right="1395"/>
      </w:pPr>
      <w:r>
        <w:fldChar w:fldCharType="end"/>
      </w:r>
    </w:p>
    <w:p w:rsidR="0004066C" w:rsidRDefault="0004066C" w:rsidP="0004066C">
      <w:pPr>
        <w:spacing w:before="0" w:after="200" w:line="276" w:lineRule="auto"/>
      </w:pPr>
    </w:p>
    <w:p w:rsidR="0004066C" w:rsidRPr="0004066C" w:rsidRDefault="0004066C" w:rsidP="0004066C">
      <w:pPr>
        <w:pStyle w:val="text0"/>
        <w:rPr>
          <w:rFonts w:ascii="Trebuchet MS" w:hAnsi="Trebuchet MS" w:cs="Tahoma"/>
          <w:color w:val="000000"/>
          <w:kern w:val="28"/>
          <w:sz w:val="19"/>
          <w:szCs w:val="19"/>
        </w:rPr>
      </w:pPr>
      <w:r w:rsidRPr="0004066C">
        <w:rPr>
          <w:rFonts w:ascii="Trebuchet MS" w:hAnsi="Trebuchet MS"/>
          <w:sz w:val="19"/>
          <w:szCs w:val="19"/>
        </w:rPr>
        <w:br w:type="page"/>
      </w:r>
    </w:p>
    <w:p w:rsidR="0066668D" w:rsidRPr="009842DB" w:rsidRDefault="004F4AF3" w:rsidP="00DD7DD3">
      <w:pPr>
        <w:pStyle w:val="Heading1"/>
      </w:pPr>
      <w:bookmarkStart w:id="29" w:name="_Toc464806092"/>
      <w:r w:rsidRPr="004F4AF3">
        <w:rPr>
          <w:noProof/>
          <w:lang w:eastAsia="en-AU"/>
        </w:rPr>
        <w:lastRenderedPageBreak/>
        <w:drawing>
          <wp:anchor distT="0" distB="0" distL="114300" distR="114300" simplePos="0" relativeHeight="251692032" behindDoc="1" locked="0" layoutInCell="1" allowOverlap="1" wp14:anchorId="5F79B9A1" wp14:editId="5BD34D99">
            <wp:simplePos x="0" y="0"/>
            <wp:positionH relativeFrom="column">
              <wp:posOffset>-19050</wp:posOffset>
            </wp:positionH>
            <wp:positionV relativeFrom="paragraph">
              <wp:posOffset>-38100</wp:posOffset>
            </wp:positionV>
            <wp:extent cx="419100" cy="447675"/>
            <wp:effectExtent l="0" t="0" r="0" b="9525"/>
            <wp:wrapTight wrapText="bothSides">
              <wp:wrapPolygon edited="0">
                <wp:start x="4909" y="0"/>
                <wp:lineTo x="0" y="5515"/>
                <wp:lineTo x="0" y="11949"/>
                <wp:lineTo x="982" y="15626"/>
                <wp:lineTo x="5891" y="19302"/>
                <wp:lineTo x="6873" y="21140"/>
                <wp:lineTo x="13745" y="21140"/>
                <wp:lineTo x="14727" y="19302"/>
                <wp:lineTo x="20618" y="15626"/>
                <wp:lineTo x="20618" y="5515"/>
                <wp:lineTo x="15709" y="0"/>
                <wp:lineTo x="4909" y="0"/>
              </wp:wrapPolygon>
            </wp:wrapTight>
            <wp:docPr id="14" name="Picture 14" descr="P:\PublicationComponents\Icons\Intro_Green.emf"/>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anchor>
        </w:drawing>
      </w:r>
      <w:r w:rsidR="0066668D" w:rsidRPr="009842DB">
        <w:t>Introduction</w:t>
      </w:r>
      <w:bookmarkEnd w:id="29"/>
    </w:p>
    <w:p w:rsidR="0004066C" w:rsidRDefault="0004066C" w:rsidP="0004066C">
      <w:pPr>
        <w:pStyle w:val="Text"/>
      </w:pPr>
      <w:r w:rsidRPr="00655DEA">
        <w:t xml:space="preserve">The Australian vocational education and training (VET) system provides training across a wide range of subject areas </w:t>
      </w:r>
      <w:r w:rsidR="007C70CA" w:rsidRPr="00655DEA">
        <w:t>for students of all ages and backgrounds</w:t>
      </w:r>
      <w:r w:rsidR="007C70CA">
        <w:t>.</w:t>
      </w:r>
      <w:r w:rsidR="007C70CA" w:rsidRPr="00655DEA">
        <w:t xml:space="preserve"> The training</w:t>
      </w:r>
      <w:r w:rsidRPr="00655DEA">
        <w:t xml:space="preserve"> is delivered through a variety of training institutions and enterprises (includi</w:t>
      </w:r>
      <w:r w:rsidR="007C70CA">
        <w:t>ng to apprentices and trainees), and</w:t>
      </w:r>
      <w:r w:rsidRPr="00655DEA">
        <w:t xml:space="preserve"> </w:t>
      </w:r>
      <w:r w:rsidR="007C70CA">
        <w:t>s</w:t>
      </w:r>
      <w:r w:rsidRPr="00655DEA">
        <w:t xml:space="preserve">tudents may study individual subjects or full </w:t>
      </w:r>
      <w:r>
        <w:t>program</w:t>
      </w:r>
      <w:r w:rsidRPr="00655DEA">
        <w:t xml:space="preserve">s that lead to formal </w:t>
      </w:r>
      <w:r>
        <w:t>program completion</w:t>
      </w:r>
      <w:r w:rsidRPr="00655DEA">
        <w:t>s</w:t>
      </w:r>
      <w:r w:rsidRPr="00761E50">
        <w:t xml:space="preserve">. </w:t>
      </w:r>
    </w:p>
    <w:p w:rsidR="0004066C" w:rsidRDefault="0004066C" w:rsidP="0004066C">
      <w:pPr>
        <w:pStyle w:val="Text"/>
      </w:pPr>
      <w:r>
        <w:t>This diversity presents a</w:t>
      </w:r>
      <w:r w:rsidRPr="00BB704E">
        <w:t xml:space="preserve"> challenge for </w:t>
      </w:r>
      <w:r>
        <w:t xml:space="preserve">the </w:t>
      </w:r>
      <w:r w:rsidRPr="00BB704E">
        <w:t>VET</w:t>
      </w:r>
      <w:r>
        <w:t xml:space="preserve"> sector</w:t>
      </w:r>
      <w:r w:rsidRPr="00BB704E">
        <w:t xml:space="preserve"> </w:t>
      </w:r>
      <w:r w:rsidR="007C70CA">
        <w:t xml:space="preserve">in devising </w:t>
      </w:r>
      <w:r w:rsidRPr="00BB704E">
        <w:t>indicators of efficiency and effectiveness</w:t>
      </w:r>
      <w:r w:rsidR="003A2271">
        <w:t xml:space="preserve">, such as VET completion rates — </w:t>
      </w:r>
      <w:r>
        <w:t>the focus of this paper</w:t>
      </w:r>
      <w:r w:rsidRPr="00BB704E">
        <w:t>.</w:t>
      </w:r>
    </w:p>
    <w:p w:rsidR="0004066C" w:rsidRDefault="0004066C" w:rsidP="0004066C">
      <w:pPr>
        <w:pStyle w:val="Text"/>
      </w:pPr>
      <w:r w:rsidRPr="00BB704E">
        <w:t xml:space="preserve">There are two fundamental concepts </w:t>
      </w:r>
      <w:r>
        <w:t>associated with</w:t>
      </w:r>
      <w:r w:rsidRPr="00BB704E">
        <w:t xml:space="preserve"> </w:t>
      </w:r>
      <w:r>
        <w:t xml:space="preserve">deriving </w:t>
      </w:r>
      <w:r w:rsidRPr="00BB704E">
        <w:t>completion rates. The first</w:t>
      </w:r>
      <w:r>
        <w:t xml:space="preserve"> concerns</w:t>
      </w:r>
      <w:r w:rsidRPr="00BB704E">
        <w:t xml:space="preserve"> </w:t>
      </w:r>
      <w:r>
        <w:t>subject-</w:t>
      </w:r>
      <w:r w:rsidRPr="00BB704E">
        <w:t>completion</w:t>
      </w:r>
      <w:r w:rsidRPr="00BB704E">
        <w:rPr>
          <w:vertAlign w:val="superscript"/>
        </w:rPr>
        <w:footnoteReference w:id="1"/>
      </w:r>
      <w:r w:rsidRPr="00BB704E">
        <w:t xml:space="preserve"> rates</w:t>
      </w:r>
      <w:r>
        <w:t>, which are</w:t>
      </w:r>
      <w:r w:rsidRPr="00BB704E">
        <w:t xml:space="preserve"> straightforward and </w:t>
      </w:r>
      <w:r>
        <w:t>are</w:t>
      </w:r>
      <w:r w:rsidRPr="00BB704E">
        <w:t xml:space="preserve"> routinely published</w:t>
      </w:r>
      <w:r>
        <w:t xml:space="preserve"> in the Productivity Commission’s </w:t>
      </w:r>
      <w:r w:rsidRPr="003A2271">
        <w:rPr>
          <w:i/>
        </w:rPr>
        <w:t xml:space="preserve">Report on </w:t>
      </w:r>
      <w:r w:rsidR="003A2271" w:rsidRPr="003A2271">
        <w:rPr>
          <w:i/>
        </w:rPr>
        <w:t>government services</w:t>
      </w:r>
      <w:r w:rsidR="003A2271">
        <w:t xml:space="preserve"> </w:t>
      </w:r>
      <w:r w:rsidR="00C06F78">
        <w:t>(</w:t>
      </w:r>
      <w:r w:rsidR="00C64449">
        <w:t>2016)</w:t>
      </w:r>
      <w:r>
        <w:t xml:space="preserve">. </w:t>
      </w:r>
      <w:r w:rsidRPr="00BB704E">
        <w:t xml:space="preserve">It is simply the proportion of </w:t>
      </w:r>
      <w:r>
        <w:t>subject</w:t>
      </w:r>
      <w:r w:rsidRPr="00BB704E">
        <w:t>s undertaken that are successfully completed</w:t>
      </w:r>
      <w:r>
        <w:t>, based on hours of training.</w:t>
      </w:r>
    </w:p>
    <w:p w:rsidR="0004066C" w:rsidRDefault="0004066C" w:rsidP="0004066C">
      <w:pPr>
        <w:pStyle w:val="Text"/>
      </w:pPr>
      <w:r w:rsidRPr="00BB704E">
        <w:t xml:space="preserve">The second, the rate at which </w:t>
      </w:r>
      <w:r>
        <w:t xml:space="preserve">programs or </w:t>
      </w:r>
      <w:r w:rsidRPr="00BB704E">
        <w:t xml:space="preserve">qualifications are completed, is more problematic. The difficulties arise in two </w:t>
      </w:r>
      <w:r w:rsidR="003A2271">
        <w:t>areas</w:t>
      </w:r>
      <w:r w:rsidRPr="00BB704E">
        <w:t>. First, technically</w:t>
      </w:r>
      <w:r>
        <w:t>,</w:t>
      </w:r>
      <w:r w:rsidRPr="00BB704E">
        <w:t xml:space="preserve"> it is far from straightforward because the VET system </w:t>
      </w:r>
      <w:r>
        <w:t xml:space="preserve">has only recently introduced a </w:t>
      </w:r>
      <w:r w:rsidRPr="00BB704E">
        <w:t xml:space="preserve">unique student identifier </w:t>
      </w:r>
      <w:r>
        <w:t>(USI)</w:t>
      </w:r>
      <w:r w:rsidR="003A2271">
        <w:t>, which</w:t>
      </w:r>
      <w:r>
        <w:t xml:space="preserve"> can be used to track a student’s training activity from commencement through to completion</w:t>
      </w:r>
      <w:r w:rsidR="003A2271">
        <w:t>,</w:t>
      </w:r>
      <w:r>
        <w:t xml:space="preserve"> </w:t>
      </w:r>
      <w:r w:rsidRPr="00BB704E">
        <w:t>and</w:t>
      </w:r>
      <w:r>
        <w:t xml:space="preserve"> identifying the date at which a student commenced a qualification </w:t>
      </w:r>
      <w:r w:rsidRPr="00BB704E">
        <w:t>is not well defined</w:t>
      </w:r>
      <w:r>
        <w:t>.</w:t>
      </w:r>
    </w:p>
    <w:p w:rsidR="0004066C" w:rsidRDefault="0004066C" w:rsidP="0004066C">
      <w:pPr>
        <w:pStyle w:val="Text"/>
      </w:pPr>
      <w:r>
        <w:t xml:space="preserve">The second issue concerns </w:t>
      </w:r>
      <w:r w:rsidRPr="00BB704E">
        <w:t xml:space="preserve">the interpretation of </w:t>
      </w:r>
      <w:r>
        <w:t>a</w:t>
      </w:r>
      <w:r w:rsidRPr="00BB704E">
        <w:t xml:space="preserve"> </w:t>
      </w:r>
      <w:r>
        <w:t>program-completion</w:t>
      </w:r>
      <w:r w:rsidRPr="00BB704E">
        <w:t xml:space="preserve"> rat</w:t>
      </w:r>
      <w:r>
        <w:t>e, as</w:t>
      </w:r>
      <w:r w:rsidRPr="00BB704E">
        <w:t xml:space="preserve"> many individuals undertake particular VET </w:t>
      </w:r>
      <w:r>
        <w:t>subjects</w:t>
      </w:r>
      <w:r w:rsidRPr="00BB704E">
        <w:t xml:space="preserve"> with a view to obtaining particular skills rather than obtaining a complete qualification</w:t>
      </w:r>
      <w:r>
        <w:t xml:space="preserve">. Because some of these students are reported </w:t>
      </w:r>
      <w:r w:rsidR="00DB738C">
        <w:t xml:space="preserve">to the National VET Provider Collection </w:t>
      </w:r>
      <w:r>
        <w:t xml:space="preserve">as enrolled in qualifications, </w:t>
      </w:r>
      <w:r w:rsidR="003A2271">
        <w:t xml:space="preserve">the </w:t>
      </w:r>
      <w:r>
        <w:t xml:space="preserve">enrolment data overestimate the actual number of </w:t>
      </w:r>
      <w:r w:rsidR="003A2271">
        <w:t xml:space="preserve">qualifications being undertaken, while </w:t>
      </w:r>
      <w:r>
        <w:t xml:space="preserve">completion rates underestimate the number of qualifications being completed. Notwithstanding, it is readily agreed the sector needs information pertaining to the rate of program completion and a methodology with which to derive it. </w:t>
      </w:r>
    </w:p>
    <w:p w:rsidR="00672560" w:rsidRPr="00672560" w:rsidRDefault="00F553EA" w:rsidP="0004066C">
      <w:pPr>
        <w:pStyle w:val="Text"/>
      </w:pPr>
      <w:r w:rsidRPr="00672560">
        <w:t>In an occasional paper published by the National Centre for Vocational Education Research (NCVER) i</w:t>
      </w:r>
      <w:r w:rsidR="00DB738C" w:rsidRPr="00672560">
        <w:t xml:space="preserve">n 2012, </w:t>
      </w:r>
      <w:proofErr w:type="spellStart"/>
      <w:r w:rsidR="00DB738C" w:rsidRPr="00672560">
        <w:t>Bednarz</w:t>
      </w:r>
      <w:proofErr w:type="spellEnd"/>
      <w:r w:rsidRPr="00672560">
        <w:t xml:space="preserve"> examined completion rates, </w:t>
      </w:r>
      <w:r w:rsidR="005565D2">
        <w:t>which included</w:t>
      </w:r>
      <w:r w:rsidRPr="00672560">
        <w:t xml:space="preserve"> an explanation of how they are defined and calculated.</w:t>
      </w:r>
      <w:r w:rsidR="00DB738C" w:rsidRPr="00672560">
        <w:t xml:space="preserve"> </w:t>
      </w:r>
      <w:r w:rsidR="00672560" w:rsidRPr="00672560">
        <w:t xml:space="preserve">In terms of </w:t>
      </w:r>
      <w:r w:rsidR="003A2271">
        <w:t>a</w:t>
      </w:r>
      <w:r w:rsidR="00672560" w:rsidRPr="00672560">
        <w:t xml:space="preserve"> definition</w:t>
      </w:r>
      <w:r w:rsidR="003A2271">
        <w:t xml:space="preserve"> for completion rates</w:t>
      </w:r>
      <w:r w:rsidR="00672560" w:rsidRPr="00672560">
        <w:t xml:space="preserve">, </w:t>
      </w:r>
      <w:proofErr w:type="spellStart"/>
      <w:r w:rsidR="00672560" w:rsidRPr="00672560">
        <w:t>Bednarz</w:t>
      </w:r>
      <w:proofErr w:type="spellEnd"/>
      <w:r w:rsidR="00672560" w:rsidRPr="00672560">
        <w:t xml:space="preserve"> (2012</w:t>
      </w:r>
      <w:r w:rsidR="00672560">
        <w:t>, p.7</w:t>
      </w:r>
      <w:r w:rsidR="00672560" w:rsidRPr="00672560">
        <w:t>) notes that:</w:t>
      </w:r>
    </w:p>
    <w:p w:rsidR="00672560" w:rsidRDefault="00672560" w:rsidP="00672560">
      <w:pPr>
        <w:pStyle w:val="Text"/>
        <w:ind w:left="709"/>
        <w:rPr>
          <w:szCs w:val="19"/>
        </w:rPr>
      </w:pPr>
      <w:r>
        <w:rPr>
          <w:szCs w:val="19"/>
        </w:rPr>
        <w:t>The most intuitive definition of a completion rate is that it is simply the proportion of students who finish the course they started. For example, if 100 students started a course in 2005, and 27 of those students went on to complete their course, we’d say that the completion rate for 2005 is 27%.</w:t>
      </w:r>
    </w:p>
    <w:p w:rsidR="0004066C" w:rsidRDefault="00672560" w:rsidP="0004066C">
      <w:pPr>
        <w:pStyle w:val="Text"/>
      </w:pPr>
      <w:r>
        <w:t xml:space="preserve">As </w:t>
      </w:r>
      <w:proofErr w:type="spellStart"/>
      <w:r>
        <w:t>Bednarz</w:t>
      </w:r>
      <w:proofErr w:type="spellEnd"/>
      <w:r>
        <w:t xml:space="preserve"> (2012) </w:t>
      </w:r>
      <w:r w:rsidR="00CC44D1">
        <w:t>explains</w:t>
      </w:r>
      <w:r>
        <w:t>, in an ideal world we would wait</w:t>
      </w:r>
      <w:r w:rsidR="0004066C" w:rsidRPr="00672560">
        <w:t xml:space="preserve"> for all courses to finish before calculating</w:t>
      </w:r>
      <w:r w:rsidR="00CC44D1">
        <w:t xml:space="preserve"> the actual rate of completion, noting that</w:t>
      </w:r>
      <w:r>
        <w:t xml:space="preserve"> </w:t>
      </w:r>
      <w:r w:rsidR="0004066C" w:rsidRPr="00604F87">
        <w:t>some courses can take several years to complete</w:t>
      </w:r>
      <w:r w:rsidR="00CC44D1">
        <w:t xml:space="preserve"> and</w:t>
      </w:r>
      <w:r w:rsidR="0004066C" w:rsidRPr="00604F87">
        <w:t xml:space="preserve"> many students undertak</w:t>
      </w:r>
      <w:r w:rsidR="00CC44D1">
        <w:t>e</w:t>
      </w:r>
      <w:r w:rsidR="0004066C" w:rsidRPr="00604F87">
        <w:t xml:space="preserve"> part-time </w:t>
      </w:r>
      <w:r w:rsidR="00CC44D1" w:rsidRPr="00604F87">
        <w:t>study</w:t>
      </w:r>
      <w:r w:rsidR="00CC44D1">
        <w:t>, both of which extend completion dates.</w:t>
      </w:r>
      <w:r w:rsidR="00CC44D1" w:rsidRPr="00604F87">
        <w:t xml:space="preserve"> </w:t>
      </w:r>
      <w:r w:rsidR="00CC44D1">
        <w:t xml:space="preserve">Thus, as </w:t>
      </w:r>
      <w:proofErr w:type="spellStart"/>
      <w:r w:rsidR="00CC44D1">
        <w:t>Bednarz</w:t>
      </w:r>
      <w:proofErr w:type="spellEnd"/>
      <w:r w:rsidR="00CC44D1">
        <w:t xml:space="preserve"> (2012) explains, because</w:t>
      </w:r>
      <w:r w:rsidR="0004066C" w:rsidRPr="00604F87">
        <w:t xml:space="preserve"> </w:t>
      </w:r>
      <w:r w:rsidR="00CC44D1">
        <w:t>‘</w:t>
      </w:r>
      <w:r w:rsidR="0004066C" w:rsidRPr="00604F87">
        <w:t xml:space="preserve">we </w:t>
      </w:r>
      <w:r w:rsidR="0004066C" w:rsidRPr="00CC44D1">
        <w:t xml:space="preserve">potentially </w:t>
      </w:r>
      <w:r w:rsidR="0004066C" w:rsidRPr="00CC44D1">
        <w:lastRenderedPageBreak/>
        <w:t>have to wait many years to ensure all students have had the opportunity to complete</w:t>
      </w:r>
      <w:r w:rsidR="00CC44D1">
        <w:t>’</w:t>
      </w:r>
      <w:r w:rsidR="0004066C" w:rsidRPr="00604F87">
        <w:t xml:space="preserve">, </w:t>
      </w:r>
      <w:r w:rsidR="00CC44D1">
        <w:t>determination</w:t>
      </w:r>
      <w:r w:rsidR="0004066C" w:rsidRPr="00604F87">
        <w:t xml:space="preserve"> of actual completion rates can be delayed significantly, </w:t>
      </w:r>
      <w:r w:rsidR="00AF430D">
        <w:t>reducing</w:t>
      </w:r>
      <w:r w:rsidR="0004066C" w:rsidRPr="00604F87">
        <w:t xml:space="preserve"> the usefulness of the data</w:t>
      </w:r>
      <w:r w:rsidR="00CC44D1">
        <w:t xml:space="preserve"> (p.7)</w:t>
      </w:r>
      <w:r w:rsidR="0004066C" w:rsidRPr="00604F87">
        <w:t>.</w:t>
      </w:r>
      <w:r w:rsidR="0004066C">
        <w:t xml:space="preserve"> </w:t>
      </w:r>
    </w:p>
    <w:p w:rsidR="0004066C" w:rsidRDefault="0004066C" w:rsidP="0004066C">
      <w:pPr>
        <w:pStyle w:val="Text"/>
      </w:pPr>
      <w:r>
        <w:t>To overcome this</w:t>
      </w:r>
      <w:r w:rsidR="00CC44D1">
        <w:t xml:space="preserve"> issue</w:t>
      </w:r>
      <w:r>
        <w:t xml:space="preserve">, </w:t>
      </w:r>
      <w:r w:rsidRPr="0006707E">
        <w:t>NCVER</w:t>
      </w:r>
      <w:r>
        <w:t xml:space="preserve"> has derived a methodology for estimating projected program completion rates</w:t>
      </w:r>
      <w:r w:rsidR="00AF430D">
        <w:t xml:space="preserve">. </w:t>
      </w:r>
      <w:r w:rsidR="00187BAC">
        <w:t xml:space="preserve">The methodology used </w:t>
      </w:r>
      <w:r w:rsidR="00187BAC" w:rsidRPr="0006707E">
        <w:t xml:space="preserve">is </w:t>
      </w:r>
      <w:r w:rsidR="00187BAC">
        <w:t>presented</w:t>
      </w:r>
      <w:r w:rsidR="00187BAC" w:rsidRPr="0006707E">
        <w:t xml:space="preserve"> in Mark and </w:t>
      </w:r>
      <w:proofErr w:type="spellStart"/>
      <w:r w:rsidR="00187BAC" w:rsidRPr="0006707E">
        <w:t>Karmel</w:t>
      </w:r>
      <w:proofErr w:type="spellEnd"/>
      <w:r w:rsidR="00187BAC" w:rsidRPr="0006707E">
        <w:t xml:space="preserve"> (2010</w:t>
      </w:r>
      <w:r w:rsidR="00187BAC">
        <w:t xml:space="preserve">), and </w:t>
      </w:r>
      <w:r w:rsidR="00AF430D">
        <w:t xml:space="preserve">applies probability theory to </w:t>
      </w:r>
      <w:r w:rsidR="003A2271">
        <w:t xml:space="preserve">the </w:t>
      </w:r>
      <w:r>
        <w:t>National VET Provider Collection</w:t>
      </w:r>
      <w:r w:rsidR="00AF245C">
        <w:t xml:space="preserve"> data</w:t>
      </w:r>
      <w:r w:rsidR="006412E8">
        <w:t>,</w:t>
      </w:r>
      <w:r>
        <w:t xml:space="preserve"> </w:t>
      </w:r>
      <w:r w:rsidR="004F6E13">
        <w:t xml:space="preserve">specifically to </w:t>
      </w:r>
      <w:r>
        <w:t>the status of program enrolments a</w:t>
      </w:r>
      <w:r w:rsidR="00AF430D">
        <w:t>cross successive years</w:t>
      </w:r>
      <w:r w:rsidR="00187BAC">
        <w:t xml:space="preserve">, </w:t>
      </w:r>
      <w:r w:rsidR="00187BAC" w:rsidRPr="00C204ED">
        <w:rPr>
          <w:spacing w:val="-2"/>
        </w:rPr>
        <w:t>to derive the probability that a commencing VET program enrolment will eventually be completed</w:t>
      </w:r>
      <w:r w:rsidR="00AF430D">
        <w:t>.</w:t>
      </w:r>
      <w:r w:rsidR="00187BAC">
        <w:t xml:space="preserve"> </w:t>
      </w:r>
    </w:p>
    <w:p w:rsidR="004F6E13" w:rsidRDefault="0004066C" w:rsidP="0004066C">
      <w:pPr>
        <w:pStyle w:val="Text"/>
      </w:pPr>
      <w:r>
        <w:t>NCVER has long published</w:t>
      </w:r>
      <w:r w:rsidRPr="0006707E">
        <w:t xml:space="preserve"> completion rate</w:t>
      </w:r>
      <w:r>
        <w:t>s of</w:t>
      </w:r>
      <w:r w:rsidRPr="0006707E">
        <w:t xml:space="preserve"> government-funded</w:t>
      </w:r>
      <w:r>
        <w:rPr>
          <w:rStyle w:val="FootnoteReference"/>
        </w:rPr>
        <w:footnoteReference w:id="2"/>
      </w:r>
      <w:r w:rsidRPr="0006707E">
        <w:t xml:space="preserve"> VET programs in Australia </w:t>
      </w:r>
      <w:r>
        <w:t>for a number of VET sub-populations</w:t>
      </w:r>
      <w:r w:rsidR="003A2271" w:rsidRPr="003A2271">
        <w:t xml:space="preserve"> </w:t>
      </w:r>
      <w:r w:rsidR="003A2271">
        <w:t>using this technique,</w:t>
      </w:r>
      <w:r>
        <w:t xml:space="preserve"> including </w:t>
      </w:r>
      <w:r w:rsidR="000145AF">
        <w:t xml:space="preserve">those relating to </w:t>
      </w:r>
      <w:r>
        <w:t>states</w:t>
      </w:r>
      <w:r w:rsidR="000145AF">
        <w:t xml:space="preserve"> and territories, program level</w:t>
      </w:r>
      <w:r>
        <w:t xml:space="preserve"> and broad fields of education. These are further sub-populated for full-time students aged 25 years and under with no prior</w:t>
      </w:r>
      <w:r w:rsidR="004F6E13">
        <w:t xml:space="preserve"> post-school program completion.</w:t>
      </w:r>
    </w:p>
    <w:p w:rsidR="0004066C" w:rsidRDefault="00496934" w:rsidP="0004066C">
      <w:pPr>
        <w:pStyle w:val="Text"/>
      </w:pPr>
      <w:r>
        <w:t xml:space="preserve">Ongoing </w:t>
      </w:r>
      <w:r w:rsidR="0004066C">
        <w:t>interest in</w:t>
      </w:r>
      <w:r w:rsidR="0004066C" w:rsidRPr="0006707E">
        <w:t xml:space="preserve"> </w:t>
      </w:r>
      <w:r w:rsidR="0004066C">
        <w:t>completion</w:t>
      </w:r>
      <w:r w:rsidR="0004066C" w:rsidRPr="0006707E">
        <w:t xml:space="preserve"> rates</w:t>
      </w:r>
      <w:r w:rsidR="0004066C">
        <w:t xml:space="preserve"> as measures of </w:t>
      </w:r>
      <w:r w:rsidR="003A2271">
        <w:t xml:space="preserve">the </w:t>
      </w:r>
      <w:r w:rsidR="0004066C">
        <w:t xml:space="preserve">efficiency and effectiveness </w:t>
      </w:r>
      <w:r w:rsidR="003A2271">
        <w:t>of</w:t>
      </w:r>
      <w:r w:rsidR="0004066C">
        <w:t xml:space="preserve"> the VET sector</w:t>
      </w:r>
      <w:r w:rsidR="000145AF">
        <w:t xml:space="preserve"> has prompted</w:t>
      </w:r>
      <w:r w:rsidR="0004066C" w:rsidRPr="0006707E">
        <w:t xml:space="preserve"> NCVER </w:t>
      </w:r>
      <w:r w:rsidR="000145AF">
        <w:t>to undertake</w:t>
      </w:r>
      <w:r w:rsidR="0004066C">
        <w:t xml:space="preserve"> </w:t>
      </w:r>
      <w:r w:rsidR="0004066C" w:rsidRPr="0006707E">
        <w:t>a</w:t>
      </w:r>
      <w:r w:rsidR="0004066C">
        <w:t xml:space="preserve"> review</w:t>
      </w:r>
      <w:r w:rsidR="0004066C" w:rsidRPr="0006707E">
        <w:t xml:space="preserve"> </w:t>
      </w:r>
      <w:r w:rsidR="0004066C">
        <w:t xml:space="preserve">of </w:t>
      </w:r>
      <w:r w:rsidR="0004066C" w:rsidRPr="0006707E">
        <w:t>th</w:t>
      </w:r>
      <w:r w:rsidR="0004066C">
        <w:t>e</w:t>
      </w:r>
      <w:r w:rsidR="0004066C" w:rsidRPr="0006707E">
        <w:t xml:space="preserve"> </w:t>
      </w:r>
      <w:r w:rsidR="000145AF">
        <w:t>long-</w:t>
      </w:r>
      <w:r w:rsidR="0004066C">
        <w:t xml:space="preserve">used </w:t>
      </w:r>
      <w:r w:rsidR="0004066C" w:rsidRPr="0006707E">
        <w:t>methodology</w:t>
      </w:r>
      <w:r w:rsidR="0004066C">
        <w:t xml:space="preserve"> to examine its validity. This paper summari</w:t>
      </w:r>
      <w:r w:rsidR="000145AF">
        <w:t xml:space="preserve">ses the findings of this </w:t>
      </w:r>
      <w:r>
        <w:t xml:space="preserve">technical </w:t>
      </w:r>
      <w:r w:rsidR="000145AF">
        <w:t>review</w:t>
      </w:r>
      <w:r w:rsidR="0004066C">
        <w:t xml:space="preserve"> and makes some recommendations for </w:t>
      </w:r>
      <w:r w:rsidR="003A2271">
        <w:t>its improvement</w:t>
      </w:r>
      <w:r w:rsidR="0004066C">
        <w:t xml:space="preserve"> and </w:t>
      </w:r>
      <w:r w:rsidR="003A2271">
        <w:t xml:space="preserve">the </w:t>
      </w:r>
      <w:r w:rsidR="0004066C">
        <w:t>future publication</w:t>
      </w:r>
      <w:r w:rsidR="003A2271">
        <w:t xml:space="preserve"> of completion rates</w:t>
      </w:r>
      <w:r w:rsidR="0004066C" w:rsidRPr="0006707E">
        <w:t xml:space="preserve">. </w:t>
      </w:r>
    </w:p>
    <w:p w:rsidR="00DD7DD3" w:rsidRDefault="00DD7DD3">
      <w:pPr>
        <w:spacing w:before="0" w:after="200" w:line="276" w:lineRule="auto"/>
        <w:rPr>
          <w:b/>
        </w:rPr>
      </w:pPr>
      <w:r>
        <w:rPr>
          <w:b/>
        </w:rPr>
        <w:br w:type="page"/>
      </w:r>
    </w:p>
    <w:p w:rsidR="00546A34" w:rsidRPr="009842DB" w:rsidRDefault="000672C6" w:rsidP="00A23954">
      <w:pPr>
        <w:pStyle w:val="Heading1"/>
        <w:tabs>
          <w:tab w:val="left" w:pos="851"/>
        </w:tabs>
        <w:ind w:left="851"/>
      </w:pPr>
      <w:bookmarkStart w:id="30" w:name="_Toc464219985"/>
      <w:bookmarkStart w:id="31" w:name="_Toc464806093"/>
      <w:r>
        <w:lastRenderedPageBreak/>
        <w:t xml:space="preserve">How does NCVER </w:t>
      </w:r>
      <w:r w:rsidR="00D431E5">
        <w:t xml:space="preserve">currently </w:t>
      </w:r>
      <w:r>
        <w:t>derive VET completion rates?</w:t>
      </w:r>
      <w:bookmarkEnd w:id="30"/>
      <w:r w:rsidR="00A23954" w:rsidRPr="004F4AF3">
        <w:rPr>
          <w:noProof/>
          <w:lang w:eastAsia="en-AU"/>
        </w:rPr>
        <w:drawing>
          <wp:anchor distT="0" distB="0" distL="114300" distR="114300" simplePos="0" relativeHeight="251700224" behindDoc="1" locked="0" layoutInCell="1" allowOverlap="1" wp14:anchorId="5454C6F0" wp14:editId="5360D5A7">
            <wp:simplePos x="0" y="0"/>
            <wp:positionH relativeFrom="column">
              <wp:posOffset>-10795</wp:posOffset>
            </wp:positionH>
            <wp:positionV relativeFrom="paragraph">
              <wp:posOffset>-17780</wp:posOffset>
            </wp:positionV>
            <wp:extent cx="424815" cy="424815"/>
            <wp:effectExtent l="0" t="0" r="0" b="0"/>
            <wp:wrapTight wrapText="bothSides">
              <wp:wrapPolygon edited="0">
                <wp:start x="4843" y="0"/>
                <wp:lineTo x="0" y="4843"/>
                <wp:lineTo x="0" y="16466"/>
                <wp:lineTo x="4843" y="20341"/>
                <wp:lineTo x="5812" y="20341"/>
                <wp:lineTo x="14529" y="20341"/>
                <wp:lineTo x="15498" y="20341"/>
                <wp:lineTo x="20341" y="16466"/>
                <wp:lineTo x="20341" y="4843"/>
                <wp:lineTo x="15498" y="0"/>
                <wp:lineTo x="4843"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53" name="Picture 53" descr="P:\PublicationComponents\Icons\Intro_Green.emf"/>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24815" cy="424815"/>
                    </a:xfrm>
                    <a:prstGeom prst="rect">
                      <a:avLst/>
                    </a:prstGeom>
                    <a:noFill/>
                    <a:ln>
                      <a:noFill/>
                    </a:ln>
                  </pic:spPr>
                </pic:pic>
              </a:graphicData>
            </a:graphic>
          </wp:anchor>
        </w:drawing>
      </w:r>
      <w:bookmarkEnd w:id="31"/>
    </w:p>
    <w:p w:rsidR="0004066C" w:rsidRPr="00AE7A2B" w:rsidRDefault="000145AF" w:rsidP="0004066C">
      <w:pPr>
        <w:pStyle w:val="Text"/>
      </w:pPr>
      <w:bookmarkStart w:id="32" w:name="_Toc464219986"/>
      <w:r w:rsidRPr="00AE7A2B">
        <w:t xml:space="preserve">To explain NCVER’s current approach to deriving completion rates, we again borrow from </w:t>
      </w:r>
      <w:proofErr w:type="spellStart"/>
      <w:r w:rsidRPr="00AE7A2B">
        <w:t>Bednarz</w:t>
      </w:r>
      <w:proofErr w:type="spellEnd"/>
      <w:r w:rsidRPr="00AE7A2B">
        <w:t xml:space="preserve"> (2012). </w:t>
      </w:r>
      <w:r w:rsidR="0004066C" w:rsidRPr="00AE7A2B">
        <w:t>NCVER reports completion ra</w:t>
      </w:r>
      <w:r w:rsidR="00AE7A2B" w:rsidRPr="00AE7A2B">
        <w:t>tes at several different levels; that is,</w:t>
      </w:r>
      <w:r w:rsidR="0004066C" w:rsidRPr="00AE7A2B">
        <w:t xml:space="preserve"> for courses, subjects, apprentices and trainees, and specific sub-groups of students</w:t>
      </w:r>
      <w:r w:rsidR="00AE7A2B" w:rsidRPr="00AE7A2B">
        <w:t xml:space="preserve">. </w:t>
      </w:r>
      <w:r w:rsidR="00AE7A2B">
        <w:t>To estimate completion rates</w:t>
      </w:r>
      <w:r w:rsidR="00AE7A2B" w:rsidRPr="00AE7A2B">
        <w:t xml:space="preserve">, we need to track particular </w:t>
      </w:r>
      <w:r w:rsidR="00AE7A2B">
        <w:t>components, or entities,</w:t>
      </w:r>
      <w:r w:rsidR="00AE7A2B" w:rsidRPr="00AE7A2B">
        <w:t xml:space="preserve"> of these, for example, </w:t>
      </w:r>
      <w:r w:rsidR="0004066C" w:rsidRPr="00AE7A2B">
        <w:t>courses, subjects, contracts of training, or individual s</w:t>
      </w:r>
      <w:r w:rsidR="00AE7A2B">
        <w:t xml:space="preserve">tudents from their commencement. </w:t>
      </w:r>
      <w:r w:rsidR="0004066C" w:rsidRPr="00AE7A2B">
        <w:t xml:space="preserve">A group of </w:t>
      </w:r>
      <w:r w:rsidR="00AE7A2B">
        <w:t>entities</w:t>
      </w:r>
      <w:r w:rsidR="0004066C" w:rsidRPr="00AE7A2B">
        <w:t xml:space="preserve"> that started at the same time is referred to as a ‘commencing cohort’. </w:t>
      </w:r>
    </w:p>
    <w:p w:rsidR="0004066C" w:rsidRPr="00AE7A2B" w:rsidRDefault="003A2271" w:rsidP="0004066C">
      <w:pPr>
        <w:pStyle w:val="Text"/>
      </w:pPr>
      <w:r>
        <w:t>T</w:t>
      </w:r>
      <w:r w:rsidR="0004066C" w:rsidRPr="00AE7A2B">
        <w:t>his paper</w:t>
      </w:r>
      <w:r w:rsidR="008960A2">
        <w:t xml:space="preserve"> is</w:t>
      </w:r>
      <w:r w:rsidR="0004066C" w:rsidRPr="00AE7A2B">
        <w:t xml:space="preserve"> concerned with completion rates for VET qualifications and the m</w:t>
      </w:r>
      <w:r>
        <w:t>ethodology used to derive them.</w:t>
      </w:r>
      <w:r w:rsidR="008960A2">
        <w:t xml:space="preserve"> </w:t>
      </w:r>
      <w:r w:rsidR="0004066C" w:rsidRPr="00AE7A2B">
        <w:t>NCVER currently publish</w:t>
      </w:r>
      <w:r w:rsidR="008960A2">
        <w:t>es two sets of completion rates:</w:t>
      </w:r>
      <w:r w:rsidR="0004066C" w:rsidRPr="00AE7A2B">
        <w:t xml:space="preserve"> </w:t>
      </w:r>
      <w:r w:rsidR="00C64449" w:rsidRPr="00AE7A2B">
        <w:t>program</w:t>
      </w:r>
      <w:r w:rsidR="0004066C" w:rsidRPr="00AE7A2B">
        <w:t xml:space="preserve"> completion rates and subject completion rates.</w:t>
      </w:r>
    </w:p>
    <w:p w:rsidR="0004066C" w:rsidRPr="00AE7A2B" w:rsidRDefault="008960A2" w:rsidP="0004066C">
      <w:pPr>
        <w:pStyle w:val="Text"/>
      </w:pPr>
      <w:proofErr w:type="spellStart"/>
      <w:r>
        <w:t>Bednarz</w:t>
      </w:r>
      <w:proofErr w:type="spellEnd"/>
      <w:r>
        <w:t xml:space="preserve"> (2012, p.7) offers a useful starting point for our definition</w:t>
      </w:r>
      <w:r w:rsidR="001C7FBB">
        <w:t>s</w:t>
      </w:r>
      <w:r>
        <w:t xml:space="preserve"> of </w:t>
      </w:r>
      <w:r w:rsidRPr="00F54488">
        <w:rPr>
          <w:i/>
        </w:rPr>
        <w:t xml:space="preserve">program </w:t>
      </w:r>
      <w:r w:rsidR="0004066C" w:rsidRPr="00F54488">
        <w:rPr>
          <w:i/>
        </w:rPr>
        <w:t>completion rate</w:t>
      </w:r>
      <w:r w:rsidR="001C7FBB">
        <w:t xml:space="preserve"> and </w:t>
      </w:r>
      <w:r w:rsidR="001C7FBB" w:rsidRPr="00F54488">
        <w:rPr>
          <w:i/>
        </w:rPr>
        <w:t>subject completion rate</w:t>
      </w:r>
      <w:r>
        <w:t xml:space="preserve">, noting </w:t>
      </w:r>
      <w:r w:rsidRPr="008960A2">
        <w:t>that</w:t>
      </w:r>
      <w:r w:rsidR="004719A6">
        <w:t xml:space="preserve"> </w:t>
      </w:r>
      <w:r w:rsidRPr="008960A2">
        <w:t>the terms ‘program’ ‘qualification’ and ‘course’ are used interchangeably throughout this paper</w:t>
      </w:r>
      <w:r>
        <w:t>.</w:t>
      </w:r>
    </w:p>
    <w:p w:rsidR="0004066C" w:rsidRPr="00604F87" w:rsidRDefault="0004066C" w:rsidP="0004066C">
      <w:pPr>
        <w:pStyle w:val="Textbeforebox"/>
        <w:rPr>
          <w:highlight w:val="yellow"/>
        </w:rPr>
      </w:pPr>
    </w:p>
    <w:tbl>
      <w:tblPr>
        <w:tblStyle w:val="TableGrid"/>
        <w:tblW w:w="7797" w:type="dxa"/>
        <w:tblInd w:w="142" w:type="dxa"/>
        <w:tblLayout w:type="fixed"/>
        <w:tblCellMar>
          <w:top w:w="198" w:type="dxa"/>
          <w:left w:w="142" w:type="dxa"/>
          <w:bottom w:w="198" w:type="dxa"/>
          <w:right w:w="142" w:type="dxa"/>
        </w:tblCellMar>
        <w:tblLook w:val="04A0" w:firstRow="1" w:lastRow="0" w:firstColumn="1" w:lastColumn="0" w:noHBand="0" w:noVBand="1"/>
      </w:tblPr>
      <w:tblGrid>
        <w:gridCol w:w="7797"/>
      </w:tblGrid>
      <w:tr w:rsidR="0004066C" w:rsidRPr="00604F87" w:rsidTr="00C06F78">
        <w:tc>
          <w:tcPr>
            <w:tcW w:w="7797" w:type="dxa"/>
          </w:tcPr>
          <w:p w:rsidR="0004066C" w:rsidRPr="00604F87" w:rsidRDefault="0004066C" w:rsidP="00C64449">
            <w:pPr>
              <w:pStyle w:val="Text"/>
              <w:spacing w:before="0"/>
              <w:rPr>
                <w:highlight w:val="yellow"/>
              </w:rPr>
            </w:pPr>
            <w:r w:rsidRPr="001C7FBB">
              <w:t xml:space="preserve">A </w:t>
            </w:r>
            <w:r w:rsidR="00C64449" w:rsidRPr="001C7FBB">
              <w:rPr>
                <w:b/>
              </w:rPr>
              <w:t xml:space="preserve">program </w:t>
            </w:r>
            <w:r w:rsidRPr="001C7FBB">
              <w:rPr>
                <w:b/>
              </w:rPr>
              <w:t>completion rate</w:t>
            </w:r>
            <w:r w:rsidRPr="001C7FBB">
              <w:t xml:space="preserve"> is the proportion of VET </w:t>
            </w:r>
            <w:r w:rsidR="00C64449" w:rsidRPr="001C7FBB">
              <w:t>programs</w:t>
            </w:r>
            <w:r w:rsidRPr="001C7FBB">
              <w:rPr>
                <w:i/>
              </w:rPr>
              <w:t xml:space="preserve"> </w:t>
            </w:r>
            <w:r w:rsidRPr="001C7FBB">
              <w:t xml:space="preserve">started in a given year that will eventually be completed. It is also referred to as a </w:t>
            </w:r>
            <w:r w:rsidR="00C64449" w:rsidRPr="001C7FBB">
              <w:t>qualification or course</w:t>
            </w:r>
            <w:r w:rsidRPr="001C7FBB">
              <w:t xml:space="preserve"> completion rate.</w:t>
            </w:r>
          </w:p>
        </w:tc>
      </w:tr>
    </w:tbl>
    <w:p w:rsidR="0004066C" w:rsidRPr="001C7FBB" w:rsidRDefault="0004066C" w:rsidP="0004066C">
      <w:pPr>
        <w:pStyle w:val="Heading3"/>
      </w:pPr>
      <w:r w:rsidRPr="001C7FBB">
        <w:t>Subject completion rates</w:t>
      </w:r>
    </w:p>
    <w:p w:rsidR="0004066C" w:rsidRPr="001C7FBB" w:rsidRDefault="001C7FBB" w:rsidP="0004066C">
      <w:pPr>
        <w:pStyle w:val="Textlessbefore"/>
      </w:pPr>
      <w:r w:rsidRPr="001C7FBB">
        <w:t xml:space="preserve">A VET program is </w:t>
      </w:r>
      <w:r>
        <w:t>comprised</w:t>
      </w:r>
      <w:r w:rsidRPr="001C7FBB">
        <w:t xml:space="preserve"> of a number of subjects, also referred to as ‘mo</w:t>
      </w:r>
      <w:r>
        <w:t>dules’ or ‘units of competency’</w:t>
      </w:r>
      <w:r w:rsidRPr="001C7FBB">
        <w:t xml:space="preserve">. NCVER </w:t>
      </w:r>
      <w:r>
        <w:t xml:space="preserve">also </w:t>
      </w:r>
      <w:r w:rsidRPr="001C7FBB">
        <w:t>reports subject completion rates</w:t>
      </w:r>
      <w:r>
        <w:t>, termed ‘load pass rates’.</w:t>
      </w:r>
      <w:r w:rsidRPr="001C7FBB">
        <w:t xml:space="preserve"> </w:t>
      </w:r>
      <w:r w:rsidR="0004066C" w:rsidRPr="001C7FBB">
        <w:t xml:space="preserve">Unlike the </w:t>
      </w:r>
      <w:r w:rsidR="00C64449" w:rsidRPr="001C7FBB">
        <w:t>program</w:t>
      </w:r>
      <w:r w:rsidR="0004066C" w:rsidRPr="001C7FBB">
        <w:t xml:space="preserve"> completion rate, the subject load pass rate needs to be weighted </w:t>
      </w:r>
      <w:r w:rsidR="00F54488">
        <w:t>because</w:t>
      </w:r>
      <w:r w:rsidR="0004066C" w:rsidRPr="001C7FBB">
        <w:t xml:space="preserve"> subjects are of different lengths</w:t>
      </w:r>
      <w:r w:rsidR="00F54488">
        <w:t>, and this need</w:t>
      </w:r>
      <w:r w:rsidR="000473FE">
        <w:t>s</w:t>
      </w:r>
      <w:r w:rsidR="00F54488">
        <w:t xml:space="preserve"> to be accommodated</w:t>
      </w:r>
      <w:r w:rsidR="0004066C" w:rsidRPr="001C7FBB">
        <w:t xml:space="preserve">. </w:t>
      </w:r>
      <w:r w:rsidR="00F54488">
        <w:t>Determination of the subject completion rate</w:t>
      </w:r>
      <w:r w:rsidR="0004066C" w:rsidRPr="001C7FBB">
        <w:t xml:space="preserve"> is based on the annual hours (or full year training equivalent — FYTE) for each assessable module or unit of competency. A subject load pass rate is defined </w:t>
      </w:r>
      <w:r w:rsidR="00F54488">
        <w:t xml:space="preserve">by </w:t>
      </w:r>
      <w:proofErr w:type="spellStart"/>
      <w:r w:rsidR="00F54488">
        <w:t>Bednarz</w:t>
      </w:r>
      <w:proofErr w:type="spellEnd"/>
      <w:r w:rsidR="00F54488">
        <w:t xml:space="preserve"> (2012, p.8) </w:t>
      </w:r>
      <w:r w:rsidR="0004066C" w:rsidRPr="001C7FBB">
        <w:t>as follows:</w:t>
      </w:r>
    </w:p>
    <w:p w:rsidR="0004066C" w:rsidRPr="001C7FBB" w:rsidRDefault="0004066C" w:rsidP="0004066C">
      <w:pPr>
        <w:pStyle w:val="Textbeforebox"/>
      </w:pPr>
    </w:p>
    <w:tbl>
      <w:tblPr>
        <w:tblStyle w:val="TableGrid"/>
        <w:tblW w:w="7797" w:type="dxa"/>
        <w:tblInd w:w="142" w:type="dxa"/>
        <w:tblLayout w:type="fixed"/>
        <w:tblCellMar>
          <w:top w:w="198" w:type="dxa"/>
          <w:left w:w="142" w:type="dxa"/>
          <w:bottom w:w="198" w:type="dxa"/>
          <w:right w:w="142" w:type="dxa"/>
        </w:tblCellMar>
        <w:tblLook w:val="04A0" w:firstRow="1" w:lastRow="0" w:firstColumn="1" w:lastColumn="0" w:noHBand="0" w:noVBand="1"/>
      </w:tblPr>
      <w:tblGrid>
        <w:gridCol w:w="7797"/>
      </w:tblGrid>
      <w:tr w:rsidR="0004066C" w:rsidTr="00C06F78">
        <w:tc>
          <w:tcPr>
            <w:tcW w:w="7797" w:type="dxa"/>
          </w:tcPr>
          <w:p w:rsidR="0004066C" w:rsidRDefault="0004066C" w:rsidP="0004066C">
            <w:pPr>
              <w:pStyle w:val="Text"/>
              <w:spacing w:before="0"/>
            </w:pPr>
            <w:r w:rsidRPr="001C7FBB">
              <w:t xml:space="preserve">A </w:t>
            </w:r>
            <w:r w:rsidRPr="001C7FBB">
              <w:rPr>
                <w:b/>
              </w:rPr>
              <w:t>subject load pass rate</w:t>
            </w:r>
            <w:r w:rsidRPr="001C7FBB">
              <w:t xml:space="preserve"> is the ratio of hours studied by students who passed their subject(s) to the total hours committed to by all students who passed, failed or withdrew from the corresponding subject(s).</w:t>
            </w:r>
          </w:p>
        </w:tc>
      </w:tr>
    </w:tbl>
    <w:p w:rsidR="00C2530B" w:rsidRDefault="00C2530B" w:rsidP="00C06F78">
      <w:pPr>
        <w:pStyle w:val="Heading2"/>
        <w:spacing w:before="0"/>
      </w:pPr>
      <w:bookmarkStart w:id="33" w:name="_Toc464806094"/>
    </w:p>
    <w:p w:rsidR="000672C6" w:rsidRPr="00F03140" w:rsidRDefault="000672C6" w:rsidP="00C06F78">
      <w:pPr>
        <w:pStyle w:val="Heading2"/>
        <w:spacing w:before="0"/>
      </w:pPr>
      <w:r w:rsidRPr="00F03140">
        <w:t xml:space="preserve">How the </w:t>
      </w:r>
      <w:r>
        <w:t xml:space="preserve">projected </w:t>
      </w:r>
      <w:r w:rsidRPr="00F03140">
        <w:t>rate</w:t>
      </w:r>
      <w:r>
        <w:t>s</w:t>
      </w:r>
      <w:r w:rsidRPr="00F03140">
        <w:t xml:space="preserve"> </w:t>
      </w:r>
      <w:r>
        <w:t xml:space="preserve">are currently </w:t>
      </w:r>
      <w:r w:rsidRPr="00F03140">
        <w:t>calculated</w:t>
      </w:r>
      <w:bookmarkEnd w:id="32"/>
      <w:bookmarkEnd w:id="33"/>
    </w:p>
    <w:p w:rsidR="0004066C" w:rsidRPr="00C2530B" w:rsidRDefault="00D05CCA" w:rsidP="0004066C">
      <w:pPr>
        <w:pStyle w:val="Text"/>
        <w:rPr>
          <w:spacing w:val="-2"/>
        </w:rPr>
      </w:pPr>
      <w:r w:rsidRPr="00C2530B">
        <w:rPr>
          <w:spacing w:val="-2"/>
        </w:rPr>
        <w:t>As highlighted in this paper’s introduction</w:t>
      </w:r>
      <w:r w:rsidR="0004066C" w:rsidRPr="00C2530B">
        <w:rPr>
          <w:spacing w:val="-2"/>
        </w:rPr>
        <w:t>, to calculate the true program completion rate, we need to wait for all students who started a program in a given period to either comple</w:t>
      </w:r>
      <w:r w:rsidRPr="00C2530B">
        <w:rPr>
          <w:spacing w:val="-2"/>
        </w:rPr>
        <w:t>te or drop out of the program; t</w:t>
      </w:r>
      <w:r w:rsidR="0004066C" w:rsidRPr="00C2530B">
        <w:rPr>
          <w:spacing w:val="-2"/>
        </w:rPr>
        <w:t>hat is, we need to track each program from start to finish. Only when all programs are accounted for will we know the final program completion rate. Unfortunately, this can take years as some programs are scheduled for two or three years, which can take even longer if undertaken on a part-time basi</w:t>
      </w:r>
      <w:r w:rsidRPr="00C2530B">
        <w:rPr>
          <w:spacing w:val="-2"/>
        </w:rPr>
        <w:t xml:space="preserve">s. </w:t>
      </w:r>
      <w:r w:rsidR="0042438B">
        <w:rPr>
          <w:spacing w:val="-2"/>
        </w:rPr>
        <w:br/>
      </w:r>
      <w:r w:rsidRPr="00C2530B">
        <w:rPr>
          <w:spacing w:val="-2"/>
        </w:rPr>
        <w:lastRenderedPageBreak/>
        <w:t>There is a further problem: e</w:t>
      </w:r>
      <w:r w:rsidR="0004066C" w:rsidRPr="00C2530B">
        <w:rPr>
          <w:spacing w:val="-2"/>
        </w:rPr>
        <w:t>ven if we wait for the programs to finish (either completed or withdrawn), completions are not alwa</w:t>
      </w:r>
      <w:r w:rsidR="00C64449" w:rsidRPr="00C2530B">
        <w:rPr>
          <w:spacing w:val="-2"/>
        </w:rPr>
        <w:t>ys reported immediately to the N</w:t>
      </w:r>
      <w:r w:rsidR="0004066C" w:rsidRPr="00C2530B">
        <w:rPr>
          <w:spacing w:val="-2"/>
        </w:rPr>
        <w:t xml:space="preserve">ational VET </w:t>
      </w:r>
      <w:r w:rsidR="00C64449" w:rsidRPr="00C2530B">
        <w:rPr>
          <w:spacing w:val="-2"/>
        </w:rPr>
        <w:t>Provider C</w:t>
      </w:r>
      <w:r w:rsidRPr="00C2530B">
        <w:rPr>
          <w:spacing w:val="-2"/>
        </w:rPr>
        <w:t>ollection</w:t>
      </w:r>
      <w:r w:rsidR="0004066C" w:rsidRPr="00C2530B">
        <w:rPr>
          <w:spacing w:val="-2"/>
        </w:rPr>
        <w:t>. This delay in reporting means that completions occurring in a given year or quarter might take another year or longer to be reported.</w:t>
      </w:r>
    </w:p>
    <w:p w:rsidR="0004066C" w:rsidRPr="00C2530B" w:rsidRDefault="0004066C" w:rsidP="0004066C">
      <w:pPr>
        <w:pStyle w:val="Text"/>
        <w:rPr>
          <w:spacing w:val="-2"/>
        </w:rPr>
      </w:pPr>
      <w:r w:rsidRPr="00C2530B">
        <w:rPr>
          <w:spacing w:val="-2"/>
        </w:rPr>
        <w:t>Not surprisingly, the longer we wait, the more accur</w:t>
      </w:r>
      <w:r w:rsidR="00D05CCA" w:rsidRPr="00C2530B">
        <w:rPr>
          <w:spacing w:val="-2"/>
        </w:rPr>
        <w:t>ate the completion rate be</w:t>
      </w:r>
      <w:r w:rsidR="003A2271" w:rsidRPr="00C2530B">
        <w:rPr>
          <w:spacing w:val="-2"/>
        </w:rPr>
        <w:t>comes</w:t>
      </w:r>
      <w:r w:rsidR="00D05CCA" w:rsidRPr="00C2530B">
        <w:rPr>
          <w:spacing w:val="-2"/>
        </w:rPr>
        <w:t>, although</w:t>
      </w:r>
      <w:r w:rsidRPr="00C2530B">
        <w:rPr>
          <w:spacing w:val="-2"/>
        </w:rPr>
        <w:t>, as time goes by, the data become less relevant</w:t>
      </w:r>
      <w:r w:rsidR="00D05CCA" w:rsidRPr="00C2530B">
        <w:rPr>
          <w:spacing w:val="-2"/>
        </w:rPr>
        <w:t>,</w:t>
      </w:r>
      <w:r w:rsidRPr="00C2530B">
        <w:rPr>
          <w:spacing w:val="-2"/>
        </w:rPr>
        <w:t xml:space="preserve"> making the information less useful for performance evaluation. While the direct approach of tracking programs from start to finish </w:t>
      </w:r>
      <w:r w:rsidR="00D05CCA" w:rsidRPr="00C2530B">
        <w:rPr>
          <w:spacing w:val="-2"/>
        </w:rPr>
        <w:t xml:space="preserve">is adequate </w:t>
      </w:r>
      <w:r w:rsidRPr="00C2530B">
        <w:rPr>
          <w:spacing w:val="-2"/>
        </w:rPr>
        <w:t xml:space="preserve">for </w:t>
      </w:r>
      <w:r w:rsidR="00D05CCA" w:rsidRPr="00C2530B">
        <w:rPr>
          <w:spacing w:val="-2"/>
        </w:rPr>
        <w:t xml:space="preserve">tracking </w:t>
      </w:r>
      <w:r w:rsidRPr="00C2530B">
        <w:rPr>
          <w:spacing w:val="-2"/>
        </w:rPr>
        <w:t xml:space="preserve">historic rates of completion, the need remains to derive projected completion rates for the most recent years. </w:t>
      </w:r>
    </w:p>
    <w:p w:rsidR="0004066C" w:rsidRPr="00C2530B" w:rsidRDefault="0004066C" w:rsidP="0004066C">
      <w:pPr>
        <w:pStyle w:val="Text"/>
        <w:rPr>
          <w:spacing w:val="-2"/>
          <w:szCs w:val="19"/>
        </w:rPr>
      </w:pPr>
      <w:r w:rsidRPr="00C2530B">
        <w:rPr>
          <w:spacing w:val="-2"/>
        </w:rPr>
        <w:t xml:space="preserve">As a result, NCVER </w:t>
      </w:r>
      <w:r w:rsidR="00D05CCA" w:rsidRPr="00C2530B">
        <w:rPr>
          <w:spacing w:val="-2"/>
        </w:rPr>
        <w:t xml:space="preserve">has </w:t>
      </w:r>
      <w:r w:rsidRPr="00C2530B">
        <w:rPr>
          <w:spacing w:val="-2"/>
        </w:rPr>
        <w:t>developed a methodology for estimating projected program completion rates using data from the National VET Provider Collection</w:t>
      </w:r>
      <w:r w:rsidR="00D05CCA" w:rsidRPr="00C2530B">
        <w:rPr>
          <w:spacing w:val="-2"/>
        </w:rPr>
        <w:t>. The data used provide information on</w:t>
      </w:r>
      <w:r w:rsidRPr="00C2530B">
        <w:rPr>
          <w:spacing w:val="-2"/>
        </w:rPr>
        <w:t xml:space="preserve"> the status of program enrolments across successive years. </w:t>
      </w:r>
      <w:r w:rsidRPr="00C2530B">
        <w:rPr>
          <w:spacing w:val="-2"/>
          <w:szCs w:val="19"/>
        </w:rPr>
        <w:t xml:space="preserve">While the </w:t>
      </w:r>
      <w:r w:rsidRPr="00C2530B">
        <w:rPr>
          <w:color w:val="000000"/>
          <w:spacing w:val="-2"/>
          <w:szCs w:val="19"/>
          <w:shd w:val="clear" w:color="auto" w:fill="FFFFFF"/>
        </w:rPr>
        <w:t xml:space="preserve">National VET Provider Collection </w:t>
      </w:r>
      <w:r w:rsidRPr="00C2530B">
        <w:rPr>
          <w:spacing w:val="-2"/>
          <w:szCs w:val="19"/>
        </w:rPr>
        <w:t xml:space="preserve">is essentially a cross-sectional database by year, </w:t>
      </w:r>
      <w:r w:rsidR="00D05CCA" w:rsidRPr="00C2530B">
        <w:rPr>
          <w:spacing w:val="-2"/>
          <w:szCs w:val="19"/>
        </w:rPr>
        <w:t>it contains</w:t>
      </w:r>
      <w:r w:rsidRPr="00C2530B">
        <w:rPr>
          <w:spacing w:val="-2"/>
          <w:szCs w:val="19"/>
        </w:rPr>
        <w:t xml:space="preserve"> enough inherent information to match data across years for individual VET students and the programs they undertake. </w:t>
      </w:r>
      <w:r w:rsidR="00D05CCA" w:rsidRPr="00C2530B">
        <w:rPr>
          <w:spacing w:val="-2"/>
          <w:szCs w:val="19"/>
        </w:rPr>
        <w:t>The</w:t>
      </w:r>
      <w:r w:rsidRPr="00C2530B">
        <w:rPr>
          <w:spacing w:val="-2"/>
          <w:szCs w:val="19"/>
        </w:rPr>
        <w:t xml:space="preserve"> matched longitudinal dataset </w:t>
      </w:r>
      <w:r w:rsidR="00D05CCA" w:rsidRPr="00C2530B">
        <w:rPr>
          <w:spacing w:val="-2"/>
          <w:szCs w:val="19"/>
        </w:rPr>
        <w:t xml:space="preserve">obtained </w:t>
      </w:r>
      <w:r w:rsidRPr="00C2530B">
        <w:rPr>
          <w:spacing w:val="-2"/>
          <w:szCs w:val="19"/>
        </w:rPr>
        <w:t xml:space="preserve">then allows the use of mathematical techniques that rely on conditional probabilities to calculate </w:t>
      </w:r>
      <w:r w:rsidR="003A2271" w:rsidRPr="00C2530B">
        <w:rPr>
          <w:spacing w:val="-2"/>
          <w:szCs w:val="19"/>
        </w:rPr>
        <w:t xml:space="preserve">the </w:t>
      </w:r>
      <w:r w:rsidRPr="00C2530B">
        <w:rPr>
          <w:spacing w:val="-2"/>
          <w:szCs w:val="19"/>
        </w:rPr>
        <w:t xml:space="preserve">anticipated rates of completion. </w:t>
      </w:r>
    </w:p>
    <w:p w:rsidR="0004066C" w:rsidRPr="00C2530B" w:rsidRDefault="0004066C" w:rsidP="0004066C">
      <w:pPr>
        <w:pStyle w:val="Text"/>
        <w:rPr>
          <w:spacing w:val="-2"/>
        </w:rPr>
      </w:pPr>
      <w:r w:rsidRPr="00C2530B">
        <w:rPr>
          <w:spacing w:val="-2"/>
          <w:sz w:val="20"/>
        </w:rPr>
        <w:t>T</w:t>
      </w:r>
      <w:r w:rsidRPr="00C2530B">
        <w:rPr>
          <w:spacing w:val="-2"/>
        </w:rPr>
        <w:t>he current methodology</w:t>
      </w:r>
      <w:r w:rsidR="00D05CCA" w:rsidRPr="00C2530B">
        <w:rPr>
          <w:spacing w:val="-2"/>
        </w:rPr>
        <w:t>, which has been used</w:t>
      </w:r>
      <w:r w:rsidRPr="00C2530B">
        <w:rPr>
          <w:spacing w:val="-2"/>
        </w:rPr>
        <w:t xml:space="preserve"> by NCVER</w:t>
      </w:r>
      <w:r w:rsidR="00D05CCA" w:rsidRPr="00C2530B">
        <w:rPr>
          <w:spacing w:val="-2"/>
        </w:rPr>
        <w:t xml:space="preserve"> for some time,</w:t>
      </w:r>
      <w:r w:rsidRPr="00C2530B">
        <w:rPr>
          <w:spacing w:val="-2"/>
        </w:rPr>
        <w:t xml:space="preserve"> is presented in Mark and </w:t>
      </w:r>
      <w:proofErr w:type="spellStart"/>
      <w:r w:rsidRPr="00C2530B">
        <w:rPr>
          <w:spacing w:val="-2"/>
        </w:rPr>
        <w:t>Karmel</w:t>
      </w:r>
      <w:proofErr w:type="spellEnd"/>
      <w:r w:rsidRPr="00C2530B">
        <w:rPr>
          <w:spacing w:val="-2"/>
        </w:rPr>
        <w:t xml:space="preserve"> (2010)</w:t>
      </w:r>
      <w:r w:rsidR="00D05CCA" w:rsidRPr="00C2530B">
        <w:rPr>
          <w:spacing w:val="-2"/>
        </w:rPr>
        <w:t>. This approach</w:t>
      </w:r>
      <w:r w:rsidRPr="00C2530B">
        <w:rPr>
          <w:spacing w:val="-2"/>
        </w:rPr>
        <w:t xml:space="preserve"> uses information about program enrolments over a three-year window (centred on the year of interest)</w:t>
      </w:r>
      <w:proofErr w:type="gramStart"/>
      <w:r w:rsidR="00D05CCA" w:rsidRPr="00C2530B">
        <w:rPr>
          <w:spacing w:val="-2"/>
        </w:rPr>
        <w:t>,</w:t>
      </w:r>
      <w:proofErr w:type="gramEnd"/>
      <w:r w:rsidRPr="00C2530B">
        <w:rPr>
          <w:spacing w:val="-2"/>
        </w:rPr>
        <w:t xml:space="preserve"> together with the theory of absorbing Markov chains to derive the probability that a commencing VET program enrolment will eventually be completed. The advantage of Markov chain theory is </w:t>
      </w:r>
      <w:r w:rsidR="00D05CCA" w:rsidRPr="00C2530B">
        <w:rPr>
          <w:spacing w:val="-2"/>
        </w:rPr>
        <w:t xml:space="preserve">that </w:t>
      </w:r>
      <w:r w:rsidRPr="00C2530B">
        <w:rPr>
          <w:spacing w:val="-2"/>
        </w:rPr>
        <w:t xml:space="preserve">it has the property that the probability of an entity ‘transitioning’ from one status to another in successive time periods is not dependent on past transitions. This means we can use knowledge of the ‘status’ of program enrolments across successive years to predict the long-term program completion rate without </w:t>
      </w:r>
      <w:r w:rsidR="003A2271" w:rsidRPr="00C2530B">
        <w:rPr>
          <w:spacing w:val="-2"/>
        </w:rPr>
        <w:t>having</w:t>
      </w:r>
      <w:r w:rsidRPr="00C2530B">
        <w:rPr>
          <w:spacing w:val="-2"/>
        </w:rPr>
        <w:t xml:space="preserve"> the full history of all program enrolments. </w:t>
      </w:r>
      <w:r w:rsidR="008B25B4" w:rsidRPr="00C2530B">
        <w:rPr>
          <w:spacing w:val="-2"/>
        </w:rPr>
        <w:t>Another advantage of the methodology is that it can be readily applied to subsets of the data based on student demographics or attributes of the training.</w:t>
      </w:r>
    </w:p>
    <w:p w:rsidR="003A7CB5" w:rsidRDefault="0004066C" w:rsidP="0004066C">
      <w:pPr>
        <w:pStyle w:val="Text"/>
      </w:pPr>
      <w:r w:rsidRPr="00C2530B">
        <w:rPr>
          <w:spacing w:val="-2"/>
        </w:rPr>
        <w:t xml:space="preserve">To obtain these statuses, student and program information are matched across a three-year window, centred on the year of interest. Here, the </w:t>
      </w:r>
      <w:r w:rsidRPr="00C2530B">
        <w:rPr>
          <w:spacing w:val="-2"/>
          <w:szCs w:val="19"/>
        </w:rPr>
        <w:t xml:space="preserve">year of interest is </w:t>
      </w:r>
      <w:r w:rsidRPr="00C2530B">
        <w:rPr>
          <w:i/>
          <w:spacing w:val="-2"/>
          <w:szCs w:val="19"/>
        </w:rPr>
        <w:t>year n,</w:t>
      </w:r>
      <w:r w:rsidRPr="00C2530B">
        <w:rPr>
          <w:spacing w:val="-2"/>
          <w:szCs w:val="19"/>
        </w:rPr>
        <w:t xml:space="preserve"> the year prior </w:t>
      </w:r>
      <w:r w:rsidRPr="00C2530B">
        <w:rPr>
          <w:i/>
          <w:spacing w:val="-2"/>
          <w:szCs w:val="19"/>
        </w:rPr>
        <w:t>year</w:t>
      </w:r>
      <w:r w:rsidRPr="00C2530B">
        <w:rPr>
          <w:spacing w:val="-2"/>
          <w:szCs w:val="19"/>
        </w:rPr>
        <w:t xml:space="preserve"> </w:t>
      </w:r>
      <w:r w:rsidRPr="00C2530B">
        <w:rPr>
          <w:i/>
          <w:spacing w:val="-2"/>
          <w:szCs w:val="19"/>
        </w:rPr>
        <w:t>n</w:t>
      </w:r>
      <w:r w:rsidR="00B87C8D" w:rsidRPr="00C2530B">
        <w:rPr>
          <w:spacing w:val="-2"/>
          <w:szCs w:val="19"/>
        </w:rPr>
        <w:t>–</w:t>
      </w:r>
      <w:r w:rsidRPr="00C2530B">
        <w:rPr>
          <w:i/>
          <w:spacing w:val="-2"/>
          <w:szCs w:val="19"/>
        </w:rPr>
        <w:t>1</w:t>
      </w:r>
      <w:r w:rsidRPr="00C2530B">
        <w:rPr>
          <w:spacing w:val="-2"/>
          <w:szCs w:val="19"/>
        </w:rPr>
        <w:t xml:space="preserve"> and the following year </w:t>
      </w:r>
      <w:proofErr w:type="spellStart"/>
      <w:r w:rsidRPr="00C2530B">
        <w:rPr>
          <w:i/>
          <w:spacing w:val="-2"/>
          <w:szCs w:val="19"/>
        </w:rPr>
        <w:t>year</w:t>
      </w:r>
      <w:proofErr w:type="spellEnd"/>
      <w:r w:rsidRPr="00C2530B">
        <w:rPr>
          <w:i/>
          <w:spacing w:val="-2"/>
          <w:szCs w:val="19"/>
        </w:rPr>
        <w:t xml:space="preserve"> n+1</w:t>
      </w:r>
      <w:r w:rsidRPr="00C2530B">
        <w:rPr>
          <w:spacing w:val="-2"/>
          <w:szCs w:val="19"/>
        </w:rPr>
        <w:t xml:space="preserve">. </w:t>
      </w:r>
      <w:r w:rsidRPr="00C2530B">
        <w:rPr>
          <w:spacing w:val="-2"/>
        </w:rPr>
        <w:t>The first two years of data (</w:t>
      </w:r>
      <w:proofErr w:type="gramStart"/>
      <w:r w:rsidRPr="00C2530B">
        <w:rPr>
          <w:i/>
          <w:spacing w:val="-2"/>
        </w:rPr>
        <w:t>years</w:t>
      </w:r>
      <w:proofErr w:type="gramEnd"/>
      <w:r w:rsidR="00B87C8D" w:rsidRPr="00C2530B">
        <w:rPr>
          <w:i/>
          <w:spacing w:val="-2"/>
        </w:rPr>
        <w:t xml:space="preserve"> n-</w:t>
      </w:r>
      <w:r w:rsidRPr="00C2530B">
        <w:rPr>
          <w:i/>
          <w:spacing w:val="-2"/>
        </w:rPr>
        <w:t xml:space="preserve">1 </w:t>
      </w:r>
      <w:r w:rsidRPr="00C2530B">
        <w:rPr>
          <w:spacing w:val="-2"/>
        </w:rPr>
        <w:t>and</w:t>
      </w:r>
      <w:r w:rsidRPr="00C2530B">
        <w:rPr>
          <w:i/>
          <w:spacing w:val="-2"/>
        </w:rPr>
        <w:t xml:space="preserve"> n</w:t>
      </w:r>
      <w:r w:rsidRPr="00C2530B">
        <w:rPr>
          <w:spacing w:val="-2"/>
        </w:rPr>
        <w:t>) are used to determine the status of program enrolments for the year of interest.</w:t>
      </w:r>
      <w:r w:rsidR="009670B6" w:rsidRPr="00C2530B">
        <w:rPr>
          <w:spacing w:val="-2"/>
        </w:rPr>
        <w:t xml:space="preserve"> </w:t>
      </w:r>
      <w:r w:rsidRPr="00C2530B">
        <w:rPr>
          <w:spacing w:val="-2"/>
        </w:rPr>
        <w:t>The last two years (</w:t>
      </w:r>
      <w:proofErr w:type="gramStart"/>
      <w:r w:rsidRPr="00C2530B">
        <w:rPr>
          <w:i/>
          <w:spacing w:val="-2"/>
        </w:rPr>
        <w:t>years</w:t>
      </w:r>
      <w:proofErr w:type="gramEnd"/>
      <w:r w:rsidRPr="00C2530B">
        <w:rPr>
          <w:i/>
          <w:spacing w:val="-2"/>
        </w:rPr>
        <w:t xml:space="preserve"> n</w:t>
      </w:r>
      <w:r w:rsidRPr="00C2530B">
        <w:rPr>
          <w:spacing w:val="-2"/>
        </w:rPr>
        <w:t xml:space="preserve"> and</w:t>
      </w:r>
      <w:r w:rsidRPr="00C2530B">
        <w:rPr>
          <w:i/>
          <w:spacing w:val="-2"/>
        </w:rPr>
        <w:t xml:space="preserve"> n+1</w:t>
      </w:r>
      <w:r w:rsidRPr="00C2530B">
        <w:rPr>
          <w:spacing w:val="-2"/>
        </w:rPr>
        <w:t xml:space="preserve">) are used to determine the status of program enrolments for </w:t>
      </w:r>
      <w:r w:rsidR="003A2271" w:rsidRPr="00C2530B">
        <w:rPr>
          <w:spacing w:val="-2"/>
        </w:rPr>
        <w:t xml:space="preserve">the </w:t>
      </w:r>
      <w:r w:rsidRPr="00C2530B">
        <w:rPr>
          <w:spacing w:val="-2"/>
        </w:rPr>
        <w:t xml:space="preserve">following year. </w:t>
      </w:r>
      <w:r w:rsidR="00B87C8D" w:rsidRPr="00C2530B">
        <w:rPr>
          <w:spacing w:val="-2"/>
        </w:rPr>
        <w:t>Once this is done, we can cross-</w:t>
      </w:r>
      <w:r w:rsidRPr="00C2530B">
        <w:rPr>
          <w:spacing w:val="-2"/>
        </w:rPr>
        <w:t>tabulate the status of program enrolments for the year of interest with those of the following year to calculate the proportions transitioning from one status to another and use these to determine the likelihood that any program enrolment commencing in the year of interest will eventually be completed.</w:t>
      </w:r>
      <w:r w:rsidR="00C06F78" w:rsidRPr="00C2530B">
        <w:rPr>
          <w:spacing w:val="-2"/>
        </w:rPr>
        <w:t xml:space="preserve"> </w:t>
      </w:r>
      <w:r w:rsidRPr="00C2530B">
        <w:rPr>
          <w:spacing w:val="-2"/>
        </w:rPr>
        <w:t xml:space="preserve">To illustrate this process in more detail, a working example is presented </w:t>
      </w:r>
      <w:r w:rsidR="00D05CCA" w:rsidRPr="00C2530B">
        <w:rPr>
          <w:spacing w:val="-2"/>
        </w:rPr>
        <w:t>in the appendix</w:t>
      </w:r>
      <w:r w:rsidRPr="00C2530B">
        <w:rPr>
          <w:spacing w:val="-2"/>
        </w:rPr>
        <w:t>.</w:t>
      </w:r>
      <w:r w:rsidR="004719A6" w:rsidRPr="00C2530B">
        <w:rPr>
          <w:spacing w:val="-2"/>
        </w:rPr>
        <w:t xml:space="preserve"> </w:t>
      </w:r>
      <w:r w:rsidR="000672C6" w:rsidRPr="00C2530B">
        <w:rPr>
          <w:spacing w:val="-2"/>
        </w:rPr>
        <w:t xml:space="preserve"> </w:t>
      </w:r>
      <w:r w:rsidR="003A7CB5">
        <w:br w:type="page"/>
      </w:r>
    </w:p>
    <w:p w:rsidR="00E75792" w:rsidRPr="009842DB" w:rsidRDefault="00820578" w:rsidP="00C06F78">
      <w:pPr>
        <w:pStyle w:val="Heading1"/>
        <w:ind w:left="709"/>
      </w:pPr>
      <w:bookmarkStart w:id="34" w:name="_Toc464806095"/>
      <w:r>
        <w:rPr>
          <w:noProof/>
          <w:lang w:eastAsia="en-AU"/>
        </w:rPr>
        <w:lastRenderedPageBreak/>
        <w:drawing>
          <wp:anchor distT="0" distB="0" distL="114300" distR="114300" simplePos="0" relativeHeight="251707392" behindDoc="1" locked="0" layoutInCell="1" allowOverlap="1" wp14:anchorId="1FD94247" wp14:editId="6CD05DEE">
            <wp:simplePos x="0" y="0"/>
            <wp:positionH relativeFrom="column">
              <wp:posOffset>5715</wp:posOffset>
            </wp:positionH>
            <wp:positionV relativeFrom="paragraph">
              <wp:posOffset>29210</wp:posOffset>
            </wp:positionV>
            <wp:extent cx="414020" cy="431165"/>
            <wp:effectExtent l="0" t="0" r="5080" b="6985"/>
            <wp:wrapTight wrapText="bothSides">
              <wp:wrapPolygon edited="0">
                <wp:start x="4969" y="0"/>
                <wp:lineTo x="0" y="4772"/>
                <wp:lineTo x="0" y="15270"/>
                <wp:lineTo x="3975" y="20996"/>
                <wp:lineTo x="15902" y="20996"/>
                <wp:lineTo x="16896" y="20041"/>
                <wp:lineTo x="20871" y="15270"/>
                <wp:lineTo x="20871" y="6680"/>
                <wp:lineTo x="19877" y="3817"/>
                <wp:lineTo x="14908" y="0"/>
                <wp:lineTo x="4969" y="0"/>
              </wp:wrapPolygon>
            </wp:wrapTight>
            <wp:docPr id="27" name="Picture 27" descr="P:\PublicationComponents\Icons\Dataanalysi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Dataanalysis_lightblue.e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4020" cy="431165"/>
                    </a:xfrm>
                    <a:prstGeom prst="rect">
                      <a:avLst/>
                    </a:prstGeom>
                    <a:noFill/>
                    <a:ln>
                      <a:noFill/>
                    </a:ln>
                  </pic:spPr>
                </pic:pic>
              </a:graphicData>
            </a:graphic>
          </wp:anchor>
        </w:drawing>
      </w:r>
      <w:bookmarkStart w:id="35" w:name="_Toc464219988"/>
      <w:r w:rsidR="0004066C">
        <w:t>How accurate are the current estimates of completion rates?</w:t>
      </w:r>
      <w:bookmarkEnd w:id="34"/>
      <w:bookmarkEnd w:id="35"/>
    </w:p>
    <w:p w:rsidR="0004066C" w:rsidRPr="00994F3B" w:rsidRDefault="0004066C" w:rsidP="0004066C">
      <w:pPr>
        <w:spacing w:line="300" w:lineRule="exact"/>
      </w:pPr>
      <w:r w:rsidRPr="00994F3B">
        <w:t>Th</w:t>
      </w:r>
      <w:r w:rsidR="00B87C8D">
        <w:t>e title of this chapter asks</w:t>
      </w:r>
      <w:r w:rsidRPr="00994F3B">
        <w:t xml:space="preserve"> a very important question but </w:t>
      </w:r>
      <w:r w:rsidR="00B87C8D">
        <w:t xml:space="preserve">it is </w:t>
      </w:r>
      <w:r w:rsidRPr="00994F3B">
        <w:t xml:space="preserve">by no means an easy one to answer, as it requires tracking every student enrolment from start to finish. While there is enough information to match data across years, a number of inherent data issues limit the accuracy of the tracking process. </w:t>
      </w:r>
      <w:r w:rsidR="00B87C8D">
        <w:t>Foremost amongst these is</w:t>
      </w:r>
      <w:r w:rsidRPr="00994F3B">
        <w:t xml:space="preserve"> the fact </w:t>
      </w:r>
      <w:r w:rsidR="00B87C8D">
        <w:t xml:space="preserve">that </w:t>
      </w:r>
      <w:r w:rsidRPr="00994F3B">
        <w:t xml:space="preserve">NCVER does not have </w:t>
      </w:r>
      <w:r w:rsidR="00B87C8D">
        <w:t xml:space="preserve">the </w:t>
      </w:r>
      <w:r w:rsidRPr="00994F3B">
        <w:t xml:space="preserve">actual names and addresses of students </w:t>
      </w:r>
      <w:r w:rsidR="00B87C8D">
        <w:t>but an encrypted identifier. This</w:t>
      </w:r>
      <w:r w:rsidRPr="00994F3B">
        <w:t xml:space="preserve"> means we cannot be 100% certain we are following the same student over time</w:t>
      </w:r>
      <w:r>
        <w:t>.</w:t>
      </w:r>
      <w:r w:rsidR="009670B6">
        <w:t xml:space="preserve"> </w:t>
      </w:r>
      <w:r>
        <w:t>F</w:t>
      </w:r>
      <w:r w:rsidRPr="00994F3B">
        <w:t>or example, if a student gets married and changes their name, they will get a</w:t>
      </w:r>
      <w:r>
        <w:t xml:space="preserve"> different</w:t>
      </w:r>
      <w:r w:rsidRPr="00994F3B">
        <w:t xml:space="preserve"> encrypted </w:t>
      </w:r>
      <w:r w:rsidR="00B87C8D">
        <w:t>ID</w:t>
      </w:r>
      <w:r>
        <w:t xml:space="preserve"> based on their new name</w:t>
      </w:r>
      <w:r w:rsidRPr="00994F3B">
        <w:t>. Also,</w:t>
      </w:r>
      <w:r>
        <w:t xml:space="preserve"> if</w:t>
      </w:r>
      <w:r w:rsidRPr="00994F3B">
        <w:t xml:space="preserve"> a student start</w:t>
      </w:r>
      <w:r>
        <w:t>s</w:t>
      </w:r>
      <w:r w:rsidRPr="00994F3B">
        <w:t xml:space="preserve"> a course </w:t>
      </w:r>
      <w:r>
        <w:t>with</w:t>
      </w:r>
      <w:r w:rsidRPr="00994F3B">
        <w:t xml:space="preserve"> one training </w:t>
      </w:r>
      <w:r>
        <w:t>provider</w:t>
      </w:r>
      <w:r w:rsidRPr="00994F3B">
        <w:t xml:space="preserve"> and complete</w:t>
      </w:r>
      <w:r>
        <w:t>s</w:t>
      </w:r>
      <w:r w:rsidRPr="00994F3B">
        <w:t xml:space="preserve"> it </w:t>
      </w:r>
      <w:r>
        <w:t xml:space="preserve">with </w:t>
      </w:r>
      <w:r w:rsidRPr="00994F3B">
        <w:t>another</w:t>
      </w:r>
      <w:r>
        <w:t xml:space="preserve">, </w:t>
      </w:r>
      <w:r w:rsidR="00B87C8D">
        <w:t>relating</w:t>
      </w:r>
      <w:r>
        <w:t xml:space="preserve"> this activity to the same individual</w:t>
      </w:r>
      <w:r w:rsidR="00B87C8D">
        <w:t xml:space="preserve"> may not be possible</w:t>
      </w:r>
      <w:r w:rsidRPr="00994F3B">
        <w:t xml:space="preserve">. </w:t>
      </w:r>
      <w:r>
        <w:t xml:space="preserve">It is anticipated that the recent introduction of the </w:t>
      </w:r>
      <w:r w:rsidRPr="00294DCB">
        <w:t xml:space="preserve">unique student identifier (USI) </w:t>
      </w:r>
      <w:r w:rsidR="00B87C8D">
        <w:t>will overcome this issue, although</w:t>
      </w:r>
      <w:r>
        <w:t xml:space="preserve"> it will take some years before all program </w:t>
      </w:r>
      <w:r w:rsidRPr="00D11ADC">
        <w:t xml:space="preserve">enrolments in the system will have an associated USI. </w:t>
      </w:r>
      <w:r w:rsidR="00B87C8D">
        <w:t>Additional</w:t>
      </w:r>
      <w:r w:rsidRPr="00D11ADC">
        <w:t xml:space="preserve"> complications arise due to</w:t>
      </w:r>
      <w:r w:rsidRPr="00994F3B">
        <w:t xml:space="preserve"> the lack of reliable information </w:t>
      </w:r>
      <w:r w:rsidR="00B87C8D">
        <w:t>on</w:t>
      </w:r>
      <w:r w:rsidRPr="00994F3B">
        <w:t xml:space="preserve"> the actual start date of the program enrolment, </w:t>
      </w:r>
      <w:r w:rsidR="00B87C8D">
        <w:t>an issue</w:t>
      </w:r>
      <w:r w:rsidRPr="00994F3B">
        <w:t xml:space="preserve"> discussed further in the next </w:t>
      </w:r>
      <w:r w:rsidR="00FD7FAC">
        <w:t>chapter</w:t>
      </w:r>
      <w:r w:rsidRPr="00994F3B">
        <w:t>.</w:t>
      </w:r>
    </w:p>
    <w:p w:rsidR="0004066C" w:rsidRPr="007C409D" w:rsidRDefault="0004066C" w:rsidP="0004066C">
      <w:pPr>
        <w:spacing w:line="300" w:lineRule="exact"/>
        <w:rPr>
          <w:spacing w:val="-2"/>
        </w:rPr>
      </w:pPr>
      <w:r w:rsidRPr="007C409D">
        <w:rPr>
          <w:spacing w:val="-2"/>
        </w:rPr>
        <w:t xml:space="preserve">Notwithstanding these inherent data issues, </w:t>
      </w:r>
      <w:r w:rsidR="004F6E13" w:rsidRPr="004F6E13">
        <w:rPr>
          <w:spacing w:val="-2"/>
        </w:rPr>
        <w:t xml:space="preserve">it is possible to assess the accuracy of the completion rates derived using the Mark and </w:t>
      </w:r>
      <w:proofErr w:type="spellStart"/>
      <w:r w:rsidR="004F6E13" w:rsidRPr="004F6E13">
        <w:rPr>
          <w:spacing w:val="-2"/>
        </w:rPr>
        <w:t>Karmel</w:t>
      </w:r>
      <w:proofErr w:type="spellEnd"/>
      <w:r w:rsidR="004F6E13" w:rsidRPr="004F6E13">
        <w:rPr>
          <w:spacing w:val="-2"/>
        </w:rPr>
        <w:t xml:space="preserve"> (2010) method, by matching, as best we can, student program enrolment information across the collection years from commencement to completion.</w:t>
      </w:r>
      <w:r w:rsidRPr="007C409D">
        <w:rPr>
          <w:spacing w:val="-2"/>
        </w:rPr>
        <w:t xml:space="preserve"> </w:t>
      </w:r>
    </w:p>
    <w:p w:rsidR="0004066C" w:rsidRDefault="0004066C" w:rsidP="0004066C">
      <w:pPr>
        <w:spacing w:line="300" w:lineRule="exact"/>
      </w:pPr>
      <w:r>
        <w:t xml:space="preserve">By taking the year in which a program enrolment first appears as a pseudo starting year and matching records across collection years by unique encrypted </w:t>
      </w:r>
      <w:r w:rsidR="003A2271">
        <w:t>ID</w:t>
      </w:r>
      <w:r>
        <w:t>, sex, date of birth and c</w:t>
      </w:r>
      <w:r w:rsidR="004F6E13">
        <w:t xml:space="preserve">ourse </w:t>
      </w:r>
      <w:r>
        <w:t>id</w:t>
      </w:r>
      <w:r w:rsidR="004F6E13">
        <w:t>entifier</w:t>
      </w:r>
      <w:r>
        <w:t>, we can derive estimates of actual qualification completion rates for enrolments flagged as commencing in a particular year.</w:t>
      </w:r>
      <w:r>
        <w:rPr>
          <w:rStyle w:val="FootnoteReference"/>
        </w:rPr>
        <w:footnoteReference w:id="3"/>
      </w:r>
    </w:p>
    <w:p w:rsidR="0004066C" w:rsidRDefault="0004066C" w:rsidP="0004066C">
      <w:pPr>
        <w:spacing w:line="300" w:lineRule="exact"/>
      </w:pPr>
      <w:r>
        <w:t xml:space="preserve">The derived ‘actual’ rates of completion are shown in figure 1, together with the latest projected rates based on the Mark and </w:t>
      </w:r>
      <w:proofErr w:type="spellStart"/>
      <w:r>
        <w:t>Karmel</w:t>
      </w:r>
      <w:proofErr w:type="spellEnd"/>
      <w:r>
        <w:t xml:space="preserve"> </w:t>
      </w:r>
      <w:r w:rsidR="003A2271">
        <w:t xml:space="preserve">(2010) </w:t>
      </w:r>
      <w:r>
        <w:t>method.</w:t>
      </w:r>
    </w:p>
    <w:p w:rsidR="0004066C" w:rsidRDefault="0004066C" w:rsidP="0004066C">
      <w:pPr>
        <w:pStyle w:val="Figuretitle"/>
        <w:spacing w:before="160" w:after="0" w:line="300" w:lineRule="exact"/>
        <w:rPr>
          <w:noProof/>
          <w:lang w:eastAsia="en-AU"/>
        </w:rPr>
      </w:pPr>
      <w:bookmarkStart w:id="36" w:name="_Toc464219998"/>
      <w:bookmarkStart w:id="37" w:name="_Toc465780267"/>
      <w:r w:rsidRPr="004C6E1C">
        <w:rPr>
          <w:noProof/>
          <w:lang w:eastAsia="en-AU"/>
        </w:rPr>
        <w:t xml:space="preserve">Figure </w:t>
      </w:r>
      <w:r>
        <w:rPr>
          <w:noProof/>
          <w:lang w:eastAsia="en-AU"/>
        </w:rPr>
        <w:t>1</w:t>
      </w:r>
      <w:r w:rsidRPr="004C6E1C">
        <w:rPr>
          <w:noProof/>
          <w:lang w:eastAsia="en-AU"/>
        </w:rPr>
        <w:t xml:space="preserve"> </w:t>
      </w:r>
      <w:r w:rsidRPr="004C6E1C">
        <w:rPr>
          <w:noProof/>
          <w:lang w:eastAsia="en-AU"/>
        </w:rPr>
        <w:tab/>
        <w:t xml:space="preserve">Comparison of </w:t>
      </w:r>
      <w:r>
        <w:rPr>
          <w:noProof/>
          <w:lang w:eastAsia="en-AU"/>
        </w:rPr>
        <w:t xml:space="preserve">current </w:t>
      </w:r>
      <w:r w:rsidRPr="004C6E1C">
        <w:rPr>
          <w:noProof/>
          <w:lang w:eastAsia="en-AU"/>
        </w:rPr>
        <w:t>project</w:t>
      </w:r>
      <w:r>
        <w:rPr>
          <w:noProof/>
          <w:lang w:eastAsia="en-AU"/>
        </w:rPr>
        <w:t>ed</w:t>
      </w:r>
      <w:r w:rsidRPr="004C6E1C">
        <w:rPr>
          <w:noProof/>
          <w:lang w:eastAsia="en-AU"/>
        </w:rPr>
        <w:t xml:space="preserve"> and actual program completion rates</w:t>
      </w:r>
      <w:r w:rsidR="009F6610">
        <w:rPr>
          <w:noProof/>
          <w:lang w:eastAsia="en-AU"/>
        </w:rPr>
        <w:t>,</w:t>
      </w:r>
      <w:r w:rsidR="00B87C8D">
        <w:rPr>
          <w:noProof/>
          <w:lang w:eastAsia="en-AU"/>
        </w:rPr>
        <w:t xml:space="preserve"> 2008–</w:t>
      </w:r>
      <w:r>
        <w:rPr>
          <w:noProof/>
          <w:lang w:eastAsia="en-AU"/>
        </w:rPr>
        <w:t>15</w:t>
      </w:r>
      <w:bookmarkEnd w:id="36"/>
      <w:r w:rsidR="009F6610">
        <w:rPr>
          <w:noProof/>
          <w:lang w:eastAsia="en-AU"/>
        </w:rPr>
        <w:t xml:space="preserve"> (%)</w:t>
      </w:r>
      <w:bookmarkEnd w:id="37"/>
    </w:p>
    <w:p w:rsidR="0004066C" w:rsidRPr="004C6E1C" w:rsidRDefault="009F6610" w:rsidP="00841F64">
      <w:pPr>
        <w:pStyle w:val="Source"/>
        <w:spacing w:before="120"/>
        <w:ind w:left="0" w:firstLine="0"/>
      </w:pPr>
      <w:r>
        <w:rPr>
          <w:noProof/>
          <w:lang w:eastAsia="en-AU"/>
        </w:rPr>
        <w:drawing>
          <wp:anchor distT="0" distB="0" distL="114300" distR="114300" simplePos="0" relativeHeight="251743232" behindDoc="0" locked="0" layoutInCell="1" allowOverlap="1" wp14:anchorId="371A0BF9" wp14:editId="7D4A25D9">
            <wp:simplePos x="0" y="0"/>
            <wp:positionH relativeFrom="column">
              <wp:posOffset>-147320</wp:posOffset>
            </wp:positionH>
            <wp:positionV relativeFrom="paragraph">
              <wp:posOffset>144780</wp:posOffset>
            </wp:positionV>
            <wp:extent cx="4994275" cy="1863090"/>
            <wp:effectExtent l="0" t="0" r="0" b="381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04066C" w:rsidRPr="004C6E1C">
        <w:t>Source:</w:t>
      </w:r>
      <w:r w:rsidR="004719A6">
        <w:t xml:space="preserve"> </w:t>
      </w:r>
      <w:r w:rsidR="0004066C">
        <w:t xml:space="preserve">National </w:t>
      </w:r>
      <w:r w:rsidR="0004066C" w:rsidRPr="004C6E1C">
        <w:t>VET</w:t>
      </w:r>
      <w:r w:rsidR="0004066C">
        <w:t xml:space="preserve"> P</w:t>
      </w:r>
      <w:r w:rsidR="00FD7FAC">
        <w:t>rovider C</w:t>
      </w:r>
      <w:r w:rsidR="0004066C" w:rsidRPr="004C6E1C">
        <w:t>ollection, 2015</w:t>
      </w:r>
      <w:r w:rsidR="007C409D">
        <w:t>.</w:t>
      </w:r>
    </w:p>
    <w:p w:rsidR="0004066C" w:rsidRDefault="0004066C" w:rsidP="0004066C">
      <w:pPr>
        <w:spacing w:line="300" w:lineRule="exact"/>
      </w:pPr>
      <w:r>
        <w:lastRenderedPageBreak/>
        <w:t xml:space="preserve">Two things stand out immediately </w:t>
      </w:r>
      <w:r w:rsidR="00B87C8D">
        <w:t>in</w:t>
      </w:r>
      <w:r>
        <w:t xml:space="preserve"> the graph above. First, the actuals ‘fall away’ from the projected estimates in the most recent years. This reflects the upwards revision in the rates that occurs once additional award records become available in subsequent collections. The second </w:t>
      </w:r>
      <w:r w:rsidR="00E52F4A">
        <w:t xml:space="preserve">observation </w:t>
      </w:r>
      <w:r>
        <w:t xml:space="preserve">is that the projected rates of completion produced by the Mark and </w:t>
      </w:r>
      <w:proofErr w:type="spellStart"/>
      <w:r>
        <w:t>Karmel</w:t>
      </w:r>
      <w:proofErr w:type="spellEnd"/>
      <w:r>
        <w:t xml:space="preserve"> </w:t>
      </w:r>
      <w:r w:rsidR="00FD7FAC">
        <w:t xml:space="preserve">(2010) </w:t>
      </w:r>
      <w:r>
        <w:t xml:space="preserve">method are remarkably similar to those of the actual rates. Notwithstanding, there is some evidence </w:t>
      </w:r>
      <w:r w:rsidR="00FD7FAC">
        <w:t xml:space="preserve">that </w:t>
      </w:r>
      <w:r>
        <w:t xml:space="preserve">the Mark and </w:t>
      </w:r>
      <w:proofErr w:type="spellStart"/>
      <w:r>
        <w:t>Karmel</w:t>
      </w:r>
      <w:proofErr w:type="spellEnd"/>
      <w:r>
        <w:t xml:space="preserve"> method has historically understated historical rates. While the discrepancy is not large, it suggests some refinements to the existing methodology may be warranted.</w:t>
      </w:r>
    </w:p>
    <w:p w:rsidR="0075228C" w:rsidRDefault="0075228C">
      <w:pPr>
        <w:spacing w:before="0" w:after="200" w:line="276" w:lineRule="auto"/>
        <w:rPr>
          <w:rFonts w:ascii="Arial" w:hAnsi="Arial"/>
          <w:b/>
          <w:sz w:val="17"/>
        </w:rPr>
      </w:pPr>
      <w:r>
        <w:br w:type="page"/>
      </w:r>
    </w:p>
    <w:p w:rsidR="0066668D" w:rsidRPr="008116C6" w:rsidRDefault="00CB37B8" w:rsidP="00BB5BA9">
      <w:pPr>
        <w:pStyle w:val="Heading1"/>
      </w:pPr>
      <w:bookmarkStart w:id="38" w:name="_Toc464806096"/>
      <w:r w:rsidRPr="00CB37B8">
        <w:rPr>
          <w:noProof/>
          <w:lang w:eastAsia="en-AU"/>
        </w:rPr>
        <w:lastRenderedPageBreak/>
        <w:drawing>
          <wp:anchor distT="0" distB="0" distL="114300" distR="114300" simplePos="0" relativeHeight="251751424" behindDoc="1" locked="0" layoutInCell="1" allowOverlap="1" wp14:anchorId="209AE03C" wp14:editId="70990E93">
            <wp:simplePos x="0" y="0"/>
            <wp:positionH relativeFrom="column">
              <wp:posOffset>-5715</wp:posOffset>
            </wp:positionH>
            <wp:positionV relativeFrom="paragraph">
              <wp:posOffset>-41910</wp:posOffset>
            </wp:positionV>
            <wp:extent cx="422275" cy="422275"/>
            <wp:effectExtent l="0" t="0" r="0" b="0"/>
            <wp:wrapTight wrapText="bothSides">
              <wp:wrapPolygon edited="0">
                <wp:start x="4872" y="0"/>
                <wp:lineTo x="0" y="4872"/>
                <wp:lineTo x="0" y="16565"/>
                <wp:lineTo x="4872" y="20463"/>
                <wp:lineTo x="5847" y="20463"/>
                <wp:lineTo x="14617" y="20463"/>
                <wp:lineTo x="15591" y="20463"/>
                <wp:lineTo x="20463" y="16565"/>
                <wp:lineTo x="20463" y="4872"/>
                <wp:lineTo x="15591" y="0"/>
                <wp:lineTo x="4872"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Conclusion.emf"/>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22275" cy="422275"/>
                    </a:xfrm>
                    <a:prstGeom prst="rect">
                      <a:avLst/>
                    </a:prstGeom>
                    <a:noFill/>
                    <a:ln>
                      <a:noFill/>
                    </a:ln>
                  </pic:spPr>
                </pic:pic>
              </a:graphicData>
            </a:graphic>
          </wp:anchor>
        </w:drawing>
      </w:r>
      <w:bookmarkStart w:id="39" w:name="_Toc464219989"/>
      <w:r w:rsidR="00FB152B" w:rsidRPr="00FB152B">
        <w:t xml:space="preserve"> </w:t>
      </w:r>
      <w:r w:rsidR="00FB152B">
        <w:t>Reviewing the methodology</w:t>
      </w:r>
      <w:bookmarkEnd w:id="38"/>
      <w:bookmarkEnd w:id="39"/>
    </w:p>
    <w:p w:rsidR="0004066C" w:rsidRDefault="0004066C" w:rsidP="0004066C">
      <w:pPr>
        <w:pStyle w:val="Text"/>
      </w:pPr>
      <w:r>
        <w:t>As with any projection methodology, ongoing evaluation is crucial to understand</w:t>
      </w:r>
      <w:r w:rsidR="00E52F4A">
        <w:t>ing and taking</w:t>
      </w:r>
      <w:r>
        <w:t xml:space="preserve"> account of c</w:t>
      </w:r>
      <w:r w:rsidR="00E52F4A">
        <w:t xml:space="preserve">hanges in the underlying data. The previous chapter highlighted that </w:t>
      </w:r>
      <w:r>
        <w:t xml:space="preserve">the Mark and </w:t>
      </w:r>
      <w:proofErr w:type="spellStart"/>
      <w:r>
        <w:t>Karmel</w:t>
      </w:r>
      <w:proofErr w:type="spellEnd"/>
      <w:r>
        <w:t xml:space="preserve"> methodology appears to reasonably project the rates of completion, </w:t>
      </w:r>
      <w:r w:rsidR="00E52F4A">
        <w:t xml:space="preserve">although </w:t>
      </w:r>
      <w:r>
        <w:t xml:space="preserve">there is some evidence it may be </w:t>
      </w:r>
      <w:r w:rsidR="00E52F4A">
        <w:t xml:space="preserve">regularly </w:t>
      </w:r>
      <w:r>
        <w:t>understating t</w:t>
      </w:r>
      <w:r w:rsidR="00E52F4A">
        <w:t>he true rates</w:t>
      </w:r>
      <w:r>
        <w:t xml:space="preserve">. This </w:t>
      </w:r>
      <w:r w:rsidR="00E52F4A">
        <w:t>prompted</w:t>
      </w:r>
      <w:r>
        <w:t xml:space="preserve"> NCVER </w:t>
      </w:r>
      <w:r w:rsidR="00E52F4A">
        <w:t xml:space="preserve">to </w:t>
      </w:r>
      <w:r>
        <w:t>undert</w:t>
      </w:r>
      <w:r w:rsidR="00E52F4A">
        <w:t>ake</w:t>
      </w:r>
      <w:r>
        <w:t xml:space="preserve"> a review of the approach and its assumptions. </w:t>
      </w:r>
    </w:p>
    <w:p w:rsidR="0004066C" w:rsidRDefault="0004066C" w:rsidP="0004066C">
      <w:pPr>
        <w:pStyle w:val="Text"/>
      </w:pPr>
      <w:r>
        <w:t xml:space="preserve">Several areas were investigated, including alternative modelling techniques, the criteria developed by Mark and </w:t>
      </w:r>
      <w:proofErr w:type="spellStart"/>
      <w:r>
        <w:t>Karmel</w:t>
      </w:r>
      <w:proofErr w:type="spellEnd"/>
      <w:r>
        <w:t xml:space="preserve"> </w:t>
      </w:r>
      <w:r w:rsidR="007A3EE4">
        <w:t xml:space="preserve">(2010) </w:t>
      </w:r>
      <w:r>
        <w:t>for classifying a</w:t>
      </w:r>
      <w:r w:rsidR="00FD7FAC">
        <w:t>n enrolment’s Markov c</w:t>
      </w:r>
      <w:r>
        <w:t xml:space="preserve">hain state, and the quality of </w:t>
      </w:r>
      <w:r w:rsidR="00FD7FAC">
        <w:t xml:space="preserve">the </w:t>
      </w:r>
      <w:r>
        <w:t xml:space="preserve">data elements in the National VET Provider Collection. Rather than detail all these analyses, findings and </w:t>
      </w:r>
      <w:r w:rsidR="00FD7FAC">
        <w:t xml:space="preserve">the </w:t>
      </w:r>
      <w:r>
        <w:t xml:space="preserve">issues potentially requiring consideration in the future, we restrict our attention to </w:t>
      </w:r>
      <w:r w:rsidR="00E52F4A">
        <w:t xml:space="preserve">the </w:t>
      </w:r>
      <w:r>
        <w:t>issues requiring immediate attention.</w:t>
      </w:r>
    </w:p>
    <w:p w:rsidR="0004066C" w:rsidRDefault="0004066C" w:rsidP="0004066C">
      <w:pPr>
        <w:pStyle w:val="Text"/>
      </w:pPr>
      <w:r>
        <w:t xml:space="preserve">One of the key </w:t>
      </w:r>
      <w:r w:rsidR="00FD7FAC">
        <w:t>concerns</w:t>
      </w:r>
      <w:r>
        <w:t xml:space="preserve"> </w:t>
      </w:r>
      <w:r w:rsidR="00E52F4A">
        <w:t>uncovered</w:t>
      </w:r>
      <w:r>
        <w:t xml:space="preserve"> </w:t>
      </w:r>
      <w:r w:rsidR="00FD7FAC">
        <w:t>by the review relates to</w:t>
      </w:r>
      <w:r>
        <w:t xml:space="preserve"> the definition of a program commencement and its starting date. Under the Australian Vocational Education and Training Management Information Statistical Standard (AVETMISS), training providers are required to supply a Commencing program identifier. This field is meant to indicate whether a student enrolled in a qualification, course or skill set for the first time with the training organisation in the collection year. Unfortunately, this field is open to interpretation by training providers and is difficult to validate. </w:t>
      </w:r>
      <w:r w:rsidR="00E52F4A">
        <w:t>Table 1</w:t>
      </w:r>
      <w:r w:rsidRPr="00D431E5">
        <w:t xml:space="preserve"> </w:t>
      </w:r>
      <w:r>
        <w:t>highlights this issue</w:t>
      </w:r>
      <w:r w:rsidR="00E52F4A">
        <w:t xml:space="preserve">, </w:t>
      </w:r>
      <w:r w:rsidR="00FD7FAC">
        <w:t>showing</w:t>
      </w:r>
      <w:r w:rsidR="00E52F4A">
        <w:t xml:space="preserve"> that around</w:t>
      </w:r>
      <w:r>
        <w:t xml:space="preserve"> 10</w:t>
      </w:r>
      <w:r w:rsidR="00F91388">
        <w:t>—</w:t>
      </w:r>
      <w:r>
        <w:t>15% of program enrolm</w:t>
      </w:r>
      <w:r w:rsidR="00E52F4A">
        <w:t xml:space="preserve">ents with a commencing flag of </w:t>
      </w:r>
      <w:proofErr w:type="gramStart"/>
      <w:r w:rsidR="00E52F4A">
        <w:t>‘</w:t>
      </w:r>
      <w:r>
        <w:t>Y(</w:t>
      </w:r>
      <w:proofErr w:type="spellStart"/>
      <w:proofErr w:type="gramEnd"/>
      <w:r>
        <w:t>es</w:t>
      </w:r>
      <w:proofErr w:type="spellEnd"/>
      <w:r>
        <w:t xml:space="preserve">)’ in a given year </w:t>
      </w:r>
      <w:r w:rsidR="00E52F4A">
        <w:t>also have a commencing flag of ‘</w:t>
      </w:r>
      <w:r>
        <w:t>Y(</w:t>
      </w:r>
      <w:proofErr w:type="spellStart"/>
      <w:r>
        <w:t>es</w:t>
      </w:r>
      <w:proofErr w:type="spellEnd"/>
      <w:r>
        <w:t xml:space="preserve">)’ for the previous year, or the </w:t>
      </w:r>
      <w:r w:rsidR="00C64449">
        <w:t>following</w:t>
      </w:r>
      <w:r>
        <w:t xml:space="preserve"> year,</w:t>
      </w:r>
      <w:r w:rsidR="00E52F4A">
        <w:t xml:space="preserve"> or both</w:t>
      </w:r>
      <w:r>
        <w:t>.</w:t>
      </w:r>
    </w:p>
    <w:p w:rsidR="0004066C" w:rsidRPr="00C06F78" w:rsidRDefault="0004066C" w:rsidP="00C06F78">
      <w:pPr>
        <w:pStyle w:val="tabletitle0"/>
      </w:pPr>
      <w:bookmarkStart w:id="40" w:name="_Toc464219996"/>
      <w:bookmarkStart w:id="41" w:name="_Toc465780147"/>
      <w:r w:rsidRPr="00C06F78">
        <w:t>Table 1</w:t>
      </w:r>
      <w:r w:rsidRPr="00C06F78">
        <w:tab/>
        <w:t xml:space="preserve">Breakdown of where commencing flag = </w:t>
      </w:r>
      <w:proofErr w:type="gramStart"/>
      <w:r w:rsidRPr="00C06F78">
        <w:t>‘Y(</w:t>
      </w:r>
      <w:proofErr w:type="spellStart"/>
      <w:proofErr w:type="gramEnd"/>
      <w:r w:rsidRPr="00C06F78">
        <w:t>es</w:t>
      </w:r>
      <w:proofErr w:type="spellEnd"/>
      <w:r w:rsidRPr="00C06F78">
        <w:t>)’ within three-year matched datasets centred around years of interest (% of total)</w:t>
      </w:r>
      <w:bookmarkEnd w:id="40"/>
      <w:bookmarkEnd w:id="41"/>
    </w:p>
    <w:tbl>
      <w:tblPr>
        <w:tblStyle w:val="TableGrid"/>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134"/>
        <w:gridCol w:w="283"/>
        <w:gridCol w:w="2552"/>
        <w:gridCol w:w="1134"/>
      </w:tblGrid>
      <w:tr w:rsidR="0004066C" w:rsidRPr="002B5DDE" w:rsidTr="00C06F78">
        <w:tc>
          <w:tcPr>
            <w:tcW w:w="3794" w:type="dxa"/>
            <w:gridSpan w:val="2"/>
            <w:tcBorders>
              <w:top w:val="single" w:sz="4" w:space="0" w:color="auto"/>
              <w:bottom w:val="single" w:sz="4" w:space="0" w:color="auto"/>
            </w:tcBorders>
            <w:vAlign w:val="center"/>
          </w:tcPr>
          <w:p w:rsidR="0004066C" w:rsidRPr="002B5DDE" w:rsidRDefault="0004066C" w:rsidP="0004066C">
            <w:pPr>
              <w:pStyle w:val="Tablehead1"/>
            </w:pPr>
            <w:r w:rsidRPr="002B5DDE">
              <w:t>Year of interest: 2012</w:t>
            </w:r>
          </w:p>
        </w:tc>
        <w:tc>
          <w:tcPr>
            <w:tcW w:w="3969" w:type="dxa"/>
            <w:gridSpan w:val="3"/>
            <w:tcBorders>
              <w:top w:val="single" w:sz="4" w:space="0" w:color="auto"/>
              <w:bottom w:val="single" w:sz="4" w:space="0" w:color="auto"/>
            </w:tcBorders>
            <w:vAlign w:val="center"/>
          </w:tcPr>
          <w:p w:rsidR="0004066C" w:rsidRPr="002B5DDE" w:rsidRDefault="0004066C" w:rsidP="00CB37B8">
            <w:pPr>
              <w:pStyle w:val="Tablehead1"/>
              <w:ind w:left="176" w:firstLine="102"/>
            </w:pPr>
            <w:r w:rsidRPr="002B5DDE">
              <w:t>Year of interest: 2013</w:t>
            </w:r>
          </w:p>
        </w:tc>
      </w:tr>
      <w:tr w:rsidR="0004066C" w:rsidTr="00AF29E1">
        <w:tc>
          <w:tcPr>
            <w:tcW w:w="2660" w:type="dxa"/>
            <w:tcBorders>
              <w:top w:val="single" w:sz="4" w:space="0" w:color="auto"/>
            </w:tcBorders>
          </w:tcPr>
          <w:p w:rsidR="0004066C" w:rsidRPr="00C06F78" w:rsidRDefault="0004066C" w:rsidP="00C06F78">
            <w:pPr>
              <w:pStyle w:val="Tabletext"/>
            </w:pPr>
            <w:r w:rsidRPr="00C06F78">
              <w:t>‘Y’ in 2012 only</w:t>
            </w:r>
          </w:p>
        </w:tc>
        <w:tc>
          <w:tcPr>
            <w:tcW w:w="1417" w:type="dxa"/>
            <w:gridSpan w:val="2"/>
            <w:tcBorders>
              <w:top w:val="single" w:sz="4" w:space="0" w:color="auto"/>
            </w:tcBorders>
          </w:tcPr>
          <w:p w:rsidR="0004066C" w:rsidRPr="00C06F78" w:rsidRDefault="00AF29E1" w:rsidP="00AF29E1">
            <w:pPr>
              <w:pStyle w:val="Tabletext"/>
              <w:tabs>
                <w:tab w:val="right" w:pos="884"/>
              </w:tabs>
            </w:pPr>
            <w:r>
              <w:tab/>
            </w:r>
            <w:r w:rsidR="0004066C" w:rsidRPr="00C06F78">
              <w:t>85.3</w:t>
            </w:r>
          </w:p>
        </w:tc>
        <w:tc>
          <w:tcPr>
            <w:tcW w:w="2552" w:type="dxa"/>
            <w:tcBorders>
              <w:top w:val="single" w:sz="4" w:space="0" w:color="auto"/>
            </w:tcBorders>
          </w:tcPr>
          <w:p w:rsidR="0004066C" w:rsidRPr="00C06F78" w:rsidRDefault="0004066C" w:rsidP="00AF29E1">
            <w:pPr>
              <w:pStyle w:val="Tabletext"/>
              <w:ind w:left="175" w:hanging="175"/>
            </w:pPr>
            <w:r w:rsidRPr="00C06F78">
              <w:t>‘Y’ in 2013 only</w:t>
            </w:r>
          </w:p>
        </w:tc>
        <w:tc>
          <w:tcPr>
            <w:tcW w:w="1134" w:type="dxa"/>
            <w:tcBorders>
              <w:top w:val="single" w:sz="4" w:space="0" w:color="auto"/>
            </w:tcBorders>
          </w:tcPr>
          <w:p w:rsidR="0004066C" w:rsidRPr="00C06F78" w:rsidRDefault="00AF29E1" w:rsidP="00AF29E1">
            <w:pPr>
              <w:pStyle w:val="Tabletext"/>
              <w:tabs>
                <w:tab w:val="right" w:pos="742"/>
              </w:tabs>
            </w:pPr>
            <w:r>
              <w:tab/>
            </w:r>
            <w:r w:rsidR="0004066C" w:rsidRPr="00C06F78">
              <w:t>87.6</w:t>
            </w:r>
          </w:p>
        </w:tc>
      </w:tr>
      <w:tr w:rsidR="0004066C" w:rsidTr="00AF29E1">
        <w:tc>
          <w:tcPr>
            <w:tcW w:w="2660" w:type="dxa"/>
          </w:tcPr>
          <w:p w:rsidR="0004066C" w:rsidRPr="00C06F78" w:rsidRDefault="0004066C" w:rsidP="00C06F78">
            <w:pPr>
              <w:pStyle w:val="Tabletext"/>
            </w:pPr>
            <w:r w:rsidRPr="00C06F78">
              <w:t>‘Y’ in 2011 and 2012</w:t>
            </w:r>
          </w:p>
        </w:tc>
        <w:tc>
          <w:tcPr>
            <w:tcW w:w="1417" w:type="dxa"/>
            <w:gridSpan w:val="2"/>
          </w:tcPr>
          <w:p w:rsidR="0004066C" w:rsidRPr="00C06F78" w:rsidRDefault="00AF29E1" w:rsidP="00AF29E1">
            <w:pPr>
              <w:pStyle w:val="Tabletext"/>
              <w:tabs>
                <w:tab w:val="right" w:pos="884"/>
              </w:tabs>
            </w:pPr>
            <w:r>
              <w:tab/>
            </w:r>
            <w:r w:rsidR="0004066C" w:rsidRPr="00C06F78">
              <w:t>6.0</w:t>
            </w:r>
          </w:p>
        </w:tc>
        <w:tc>
          <w:tcPr>
            <w:tcW w:w="2552" w:type="dxa"/>
          </w:tcPr>
          <w:p w:rsidR="0004066C" w:rsidRPr="00C06F78" w:rsidRDefault="0004066C" w:rsidP="00AF29E1">
            <w:pPr>
              <w:pStyle w:val="Tabletext"/>
              <w:ind w:left="175" w:hanging="175"/>
            </w:pPr>
            <w:r w:rsidRPr="00C06F78">
              <w:t>‘Y’ in 2012 and 2013</w:t>
            </w:r>
          </w:p>
        </w:tc>
        <w:tc>
          <w:tcPr>
            <w:tcW w:w="1134" w:type="dxa"/>
          </w:tcPr>
          <w:p w:rsidR="0004066C" w:rsidRPr="00C06F78" w:rsidRDefault="00AF29E1" w:rsidP="00AF29E1">
            <w:pPr>
              <w:pStyle w:val="Tabletext"/>
              <w:tabs>
                <w:tab w:val="right" w:pos="742"/>
              </w:tabs>
            </w:pPr>
            <w:r>
              <w:tab/>
            </w:r>
            <w:r w:rsidR="0004066C" w:rsidRPr="00C06F78">
              <w:t>8.1</w:t>
            </w:r>
          </w:p>
        </w:tc>
      </w:tr>
      <w:tr w:rsidR="0004066C" w:rsidTr="00AF29E1">
        <w:tc>
          <w:tcPr>
            <w:tcW w:w="2660" w:type="dxa"/>
          </w:tcPr>
          <w:p w:rsidR="0004066C" w:rsidRPr="00C06F78" w:rsidRDefault="0004066C" w:rsidP="00C06F78">
            <w:pPr>
              <w:pStyle w:val="Tabletext"/>
            </w:pPr>
            <w:r w:rsidRPr="00C06F78">
              <w:t>‘Y’ in 2012 and 2013</w:t>
            </w:r>
          </w:p>
        </w:tc>
        <w:tc>
          <w:tcPr>
            <w:tcW w:w="1417" w:type="dxa"/>
            <w:gridSpan w:val="2"/>
          </w:tcPr>
          <w:p w:rsidR="0004066C" w:rsidRPr="00C06F78" w:rsidRDefault="00AF29E1" w:rsidP="00AF29E1">
            <w:pPr>
              <w:pStyle w:val="Tabletext"/>
              <w:tabs>
                <w:tab w:val="right" w:pos="884"/>
              </w:tabs>
            </w:pPr>
            <w:r>
              <w:tab/>
            </w:r>
            <w:r w:rsidR="0004066C" w:rsidRPr="00C06F78">
              <w:t>7.6</w:t>
            </w:r>
          </w:p>
        </w:tc>
        <w:tc>
          <w:tcPr>
            <w:tcW w:w="2552" w:type="dxa"/>
          </w:tcPr>
          <w:p w:rsidR="0004066C" w:rsidRPr="00C06F78" w:rsidRDefault="0004066C" w:rsidP="00AF29E1">
            <w:pPr>
              <w:pStyle w:val="Tabletext"/>
              <w:ind w:left="175" w:hanging="175"/>
            </w:pPr>
            <w:r w:rsidRPr="00C06F78">
              <w:t>‘Y’ in 2013 and 2014</w:t>
            </w:r>
          </w:p>
        </w:tc>
        <w:tc>
          <w:tcPr>
            <w:tcW w:w="1134" w:type="dxa"/>
          </w:tcPr>
          <w:p w:rsidR="0004066C" w:rsidRPr="00C06F78" w:rsidRDefault="00AF29E1" w:rsidP="00AF29E1">
            <w:pPr>
              <w:pStyle w:val="Tabletext"/>
              <w:tabs>
                <w:tab w:val="right" w:pos="742"/>
              </w:tabs>
            </w:pPr>
            <w:r>
              <w:tab/>
            </w:r>
            <w:r w:rsidR="0004066C" w:rsidRPr="00C06F78">
              <w:t>3.7</w:t>
            </w:r>
          </w:p>
        </w:tc>
      </w:tr>
      <w:tr w:rsidR="0004066C" w:rsidTr="00AF29E1">
        <w:tc>
          <w:tcPr>
            <w:tcW w:w="2660" w:type="dxa"/>
          </w:tcPr>
          <w:p w:rsidR="0004066C" w:rsidRPr="00C06F78" w:rsidRDefault="00E52F4A" w:rsidP="00C06F78">
            <w:pPr>
              <w:pStyle w:val="Tabletext"/>
            </w:pPr>
            <w:r>
              <w:t>‘Y’ in all 3 years: 2011–</w:t>
            </w:r>
            <w:r w:rsidR="0004066C" w:rsidRPr="00C06F78">
              <w:t>13</w:t>
            </w:r>
          </w:p>
        </w:tc>
        <w:tc>
          <w:tcPr>
            <w:tcW w:w="1417" w:type="dxa"/>
            <w:gridSpan w:val="2"/>
          </w:tcPr>
          <w:p w:rsidR="0004066C" w:rsidRPr="00C06F78" w:rsidRDefault="00AF29E1" w:rsidP="00AF29E1">
            <w:pPr>
              <w:pStyle w:val="Tabletext"/>
              <w:tabs>
                <w:tab w:val="right" w:pos="884"/>
              </w:tabs>
            </w:pPr>
            <w:r>
              <w:tab/>
            </w:r>
            <w:r w:rsidR="0004066C" w:rsidRPr="00C06F78">
              <w:t>1.1</w:t>
            </w:r>
          </w:p>
        </w:tc>
        <w:tc>
          <w:tcPr>
            <w:tcW w:w="2552" w:type="dxa"/>
          </w:tcPr>
          <w:p w:rsidR="0004066C" w:rsidRPr="00C06F78" w:rsidRDefault="00E52F4A" w:rsidP="00AF29E1">
            <w:pPr>
              <w:pStyle w:val="Tabletext"/>
              <w:ind w:left="175" w:hanging="175"/>
            </w:pPr>
            <w:r>
              <w:t>‘Y’ in all 3 years: 2012–</w:t>
            </w:r>
            <w:r w:rsidR="0004066C" w:rsidRPr="00C06F78">
              <w:t>14</w:t>
            </w:r>
          </w:p>
        </w:tc>
        <w:tc>
          <w:tcPr>
            <w:tcW w:w="1134" w:type="dxa"/>
          </w:tcPr>
          <w:p w:rsidR="0004066C" w:rsidRPr="00C06F78" w:rsidRDefault="00AF29E1" w:rsidP="00AF29E1">
            <w:pPr>
              <w:pStyle w:val="Tabletext"/>
              <w:tabs>
                <w:tab w:val="right" w:pos="742"/>
              </w:tabs>
            </w:pPr>
            <w:r>
              <w:tab/>
            </w:r>
            <w:r w:rsidR="0004066C" w:rsidRPr="00C06F78">
              <w:t>0.6</w:t>
            </w:r>
          </w:p>
        </w:tc>
      </w:tr>
      <w:tr w:rsidR="00C64449" w:rsidRPr="0019663C" w:rsidTr="00AF29E1">
        <w:tc>
          <w:tcPr>
            <w:tcW w:w="2660" w:type="dxa"/>
            <w:tcBorders>
              <w:bottom w:val="single" w:sz="4" w:space="0" w:color="auto"/>
            </w:tcBorders>
          </w:tcPr>
          <w:p w:rsidR="00C64449" w:rsidRPr="0019663C" w:rsidRDefault="00C64449" w:rsidP="00C64449">
            <w:pPr>
              <w:pStyle w:val="Tabletext"/>
              <w:rPr>
                <w:b/>
              </w:rPr>
            </w:pPr>
            <w:r>
              <w:rPr>
                <w:b/>
              </w:rPr>
              <w:t>Total</w:t>
            </w:r>
          </w:p>
        </w:tc>
        <w:tc>
          <w:tcPr>
            <w:tcW w:w="1417" w:type="dxa"/>
            <w:gridSpan w:val="2"/>
            <w:tcBorders>
              <w:bottom w:val="single" w:sz="4" w:space="0" w:color="auto"/>
            </w:tcBorders>
          </w:tcPr>
          <w:p w:rsidR="00C64449" w:rsidRPr="0019663C" w:rsidRDefault="00AF29E1" w:rsidP="00AF29E1">
            <w:pPr>
              <w:pStyle w:val="Tabletext"/>
              <w:tabs>
                <w:tab w:val="right" w:pos="884"/>
              </w:tabs>
              <w:rPr>
                <w:b/>
              </w:rPr>
            </w:pPr>
            <w:r>
              <w:rPr>
                <w:b/>
              </w:rPr>
              <w:tab/>
            </w:r>
            <w:r w:rsidR="00C64449">
              <w:rPr>
                <w:b/>
              </w:rPr>
              <w:t>100.0</w:t>
            </w:r>
          </w:p>
        </w:tc>
        <w:tc>
          <w:tcPr>
            <w:tcW w:w="2552" w:type="dxa"/>
            <w:tcBorders>
              <w:bottom w:val="single" w:sz="4" w:space="0" w:color="auto"/>
            </w:tcBorders>
          </w:tcPr>
          <w:p w:rsidR="00C64449" w:rsidRPr="0019663C" w:rsidRDefault="00C64449" w:rsidP="00AF29E1">
            <w:pPr>
              <w:pStyle w:val="Tabletext"/>
              <w:rPr>
                <w:b/>
              </w:rPr>
            </w:pPr>
            <w:r>
              <w:rPr>
                <w:b/>
              </w:rPr>
              <w:t>Total</w:t>
            </w:r>
          </w:p>
        </w:tc>
        <w:tc>
          <w:tcPr>
            <w:tcW w:w="1134" w:type="dxa"/>
            <w:tcBorders>
              <w:bottom w:val="single" w:sz="4" w:space="0" w:color="auto"/>
            </w:tcBorders>
          </w:tcPr>
          <w:p w:rsidR="00C64449" w:rsidRPr="0019663C" w:rsidRDefault="00AF29E1" w:rsidP="00AF29E1">
            <w:pPr>
              <w:pStyle w:val="Tabletext"/>
              <w:tabs>
                <w:tab w:val="right" w:pos="742"/>
              </w:tabs>
              <w:rPr>
                <w:b/>
              </w:rPr>
            </w:pPr>
            <w:r>
              <w:rPr>
                <w:b/>
              </w:rPr>
              <w:tab/>
            </w:r>
            <w:r w:rsidR="00C64449">
              <w:rPr>
                <w:b/>
              </w:rPr>
              <w:t>100.0</w:t>
            </w:r>
          </w:p>
        </w:tc>
      </w:tr>
      <w:tr w:rsidR="0004066C" w:rsidRPr="00E24F06" w:rsidTr="00AF29E1">
        <w:tc>
          <w:tcPr>
            <w:tcW w:w="2660" w:type="dxa"/>
            <w:tcBorders>
              <w:top w:val="single" w:sz="4" w:space="0" w:color="auto"/>
              <w:bottom w:val="single" w:sz="4" w:space="0" w:color="auto"/>
            </w:tcBorders>
          </w:tcPr>
          <w:p w:rsidR="0004066C" w:rsidRPr="00E24F06" w:rsidRDefault="00C64449" w:rsidP="00E24F06">
            <w:pPr>
              <w:pStyle w:val="Tabletext"/>
              <w:rPr>
                <w:i/>
              </w:rPr>
            </w:pPr>
            <w:r w:rsidRPr="00E24F06">
              <w:rPr>
                <w:i/>
              </w:rPr>
              <w:t>Number of enrolments with commencing flag of ‘Y(</w:t>
            </w:r>
            <w:proofErr w:type="spellStart"/>
            <w:r w:rsidRPr="00E24F06">
              <w:rPr>
                <w:i/>
              </w:rPr>
              <w:t>es</w:t>
            </w:r>
            <w:proofErr w:type="spellEnd"/>
            <w:r w:rsidRPr="00E24F06">
              <w:rPr>
                <w:i/>
              </w:rPr>
              <w:t>)’</w:t>
            </w:r>
            <w:r w:rsidR="00E24F06" w:rsidRPr="00E24F06">
              <w:rPr>
                <w:i/>
              </w:rPr>
              <w:t xml:space="preserve"> between 201</w:t>
            </w:r>
            <w:r w:rsidR="00E24F06">
              <w:rPr>
                <w:i/>
              </w:rPr>
              <w:t>1</w:t>
            </w:r>
            <w:r w:rsidR="00E24F06" w:rsidRPr="00E24F06">
              <w:rPr>
                <w:i/>
              </w:rPr>
              <w:t xml:space="preserve"> and 201</w:t>
            </w:r>
            <w:r w:rsidR="00E24F06">
              <w:rPr>
                <w:i/>
              </w:rPr>
              <w:t>3</w:t>
            </w:r>
          </w:p>
        </w:tc>
        <w:tc>
          <w:tcPr>
            <w:tcW w:w="1417" w:type="dxa"/>
            <w:gridSpan w:val="2"/>
            <w:tcBorders>
              <w:top w:val="single" w:sz="4" w:space="0" w:color="auto"/>
              <w:bottom w:val="single" w:sz="4" w:space="0" w:color="auto"/>
            </w:tcBorders>
          </w:tcPr>
          <w:p w:rsidR="0004066C" w:rsidRPr="00E24F06" w:rsidRDefault="00AF29E1" w:rsidP="00CB37B8">
            <w:pPr>
              <w:pStyle w:val="Tabletext"/>
              <w:tabs>
                <w:tab w:val="right" w:pos="884"/>
              </w:tabs>
              <w:rPr>
                <w:i/>
              </w:rPr>
            </w:pPr>
            <w:r>
              <w:rPr>
                <w:i/>
              </w:rPr>
              <w:tab/>
            </w:r>
            <w:r w:rsidR="00CB37B8">
              <w:rPr>
                <w:i/>
              </w:rPr>
              <w:t xml:space="preserve">1 </w:t>
            </w:r>
            <w:r w:rsidR="00C64449" w:rsidRPr="00E24F06">
              <w:rPr>
                <w:i/>
              </w:rPr>
              <w:t>522</w:t>
            </w:r>
            <w:r w:rsidR="00CB37B8">
              <w:rPr>
                <w:i/>
              </w:rPr>
              <w:t xml:space="preserve"> </w:t>
            </w:r>
            <w:r w:rsidR="00E24F06" w:rsidRPr="00E24F06">
              <w:rPr>
                <w:i/>
              </w:rPr>
              <w:t>871</w:t>
            </w:r>
          </w:p>
        </w:tc>
        <w:tc>
          <w:tcPr>
            <w:tcW w:w="2552" w:type="dxa"/>
            <w:tcBorders>
              <w:top w:val="single" w:sz="4" w:space="0" w:color="auto"/>
              <w:bottom w:val="single" w:sz="4" w:space="0" w:color="auto"/>
            </w:tcBorders>
          </w:tcPr>
          <w:p w:rsidR="0004066C" w:rsidRPr="00E24F06" w:rsidRDefault="00E24F06" w:rsidP="00AF29E1">
            <w:pPr>
              <w:pStyle w:val="Tabletext"/>
              <w:rPr>
                <w:i/>
              </w:rPr>
            </w:pPr>
            <w:r w:rsidRPr="00E24F06">
              <w:rPr>
                <w:i/>
              </w:rPr>
              <w:t>Number of enrolments with commencing flag of ‘Y(</w:t>
            </w:r>
            <w:proofErr w:type="spellStart"/>
            <w:r w:rsidRPr="00E24F06">
              <w:rPr>
                <w:i/>
              </w:rPr>
              <w:t>es</w:t>
            </w:r>
            <w:proofErr w:type="spellEnd"/>
            <w:r w:rsidRPr="00E24F06">
              <w:rPr>
                <w:i/>
              </w:rPr>
              <w:t>)’ between 2012 and 2014</w:t>
            </w:r>
          </w:p>
        </w:tc>
        <w:tc>
          <w:tcPr>
            <w:tcW w:w="1134" w:type="dxa"/>
            <w:tcBorders>
              <w:top w:val="single" w:sz="4" w:space="0" w:color="auto"/>
              <w:bottom w:val="single" w:sz="4" w:space="0" w:color="auto"/>
            </w:tcBorders>
          </w:tcPr>
          <w:p w:rsidR="0004066C" w:rsidRPr="00E24F06" w:rsidRDefault="00AF29E1" w:rsidP="00CB37B8">
            <w:pPr>
              <w:pStyle w:val="Tabletext"/>
              <w:tabs>
                <w:tab w:val="right" w:pos="601"/>
              </w:tabs>
              <w:rPr>
                <w:i/>
              </w:rPr>
            </w:pPr>
            <w:r>
              <w:rPr>
                <w:i/>
              </w:rPr>
              <w:tab/>
            </w:r>
            <w:r w:rsidR="00CB37B8">
              <w:rPr>
                <w:i/>
              </w:rPr>
              <w:t xml:space="preserve">1 </w:t>
            </w:r>
            <w:r w:rsidR="00E24F06" w:rsidRPr="00E24F06">
              <w:rPr>
                <w:i/>
              </w:rPr>
              <w:t>517</w:t>
            </w:r>
            <w:r w:rsidR="00CB37B8">
              <w:rPr>
                <w:i/>
              </w:rPr>
              <w:t xml:space="preserve"> </w:t>
            </w:r>
            <w:r w:rsidR="00E24F06" w:rsidRPr="00E24F06">
              <w:rPr>
                <w:i/>
              </w:rPr>
              <w:t>457</w:t>
            </w:r>
          </w:p>
        </w:tc>
      </w:tr>
    </w:tbl>
    <w:p w:rsidR="0004066C" w:rsidRPr="004C6E1C" w:rsidRDefault="0004066C" w:rsidP="00C06F78">
      <w:pPr>
        <w:pStyle w:val="Source"/>
      </w:pPr>
      <w:r w:rsidRPr="004C6E1C">
        <w:t>Source:</w:t>
      </w:r>
      <w:r w:rsidR="004719A6">
        <w:t xml:space="preserve"> </w:t>
      </w:r>
      <w:r>
        <w:t xml:space="preserve">National </w:t>
      </w:r>
      <w:r w:rsidRPr="004C6E1C">
        <w:t>VET</w:t>
      </w:r>
      <w:r>
        <w:t xml:space="preserve"> P</w:t>
      </w:r>
      <w:r w:rsidR="00FD7FAC">
        <w:t>rovider C</w:t>
      </w:r>
      <w:r w:rsidRPr="004C6E1C">
        <w:t>ollection, 2015</w:t>
      </w:r>
      <w:r w:rsidR="007A3EE4">
        <w:t>.</w:t>
      </w:r>
    </w:p>
    <w:p w:rsidR="00E44F84" w:rsidRDefault="0004066C" w:rsidP="0004066C">
      <w:pPr>
        <w:pStyle w:val="Text"/>
      </w:pPr>
      <w:r>
        <w:t xml:space="preserve">In their paper, Mark and </w:t>
      </w:r>
      <w:proofErr w:type="spellStart"/>
      <w:r>
        <w:t>Karmel</w:t>
      </w:r>
      <w:proofErr w:type="spellEnd"/>
      <w:r>
        <w:t xml:space="preserve"> </w:t>
      </w:r>
      <w:r w:rsidR="007A3EE4">
        <w:t xml:space="preserve">(2010) </w:t>
      </w:r>
      <w:r>
        <w:t>define a commencing</w:t>
      </w:r>
      <w:r w:rsidR="009670B6">
        <w:t xml:space="preserve"> </w:t>
      </w:r>
      <w:r w:rsidR="007A3EE4">
        <w:t>year according to two criteria:</w:t>
      </w:r>
      <w:r>
        <w:t xml:space="preserve"> if the VET program is enrolled in </w:t>
      </w:r>
      <w:r w:rsidRPr="0019663C">
        <w:rPr>
          <w:i/>
        </w:rPr>
        <w:t xml:space="preserve">year n </w:t>
      </w:r>
      <w:r>
        <w:t>and the commencing flag variable states it is a commencing year (</w:t>
      </w:r>
      <w:r w:rsidR="00FD7FAC">
        <w:t xml:space="preserve">that is, commencing flag is </w:t>
      </w:r>
      <w:proofErr w:type="gramStart"/>
      <w:r w:rsidR="00FD7FAC">
        <w:t>‘</w:t>
      </w:r>
      <w:r w:rsidR="007A3EE4">
        <w:t>Y’[</w:t>
      </w:r>
      <w:proofErr w:type="spellStart"/>
      <w:proofErr w:type="gramEnd"/>
      <w:r w:rsidR="007A3EE4">
        <w:t>es</w:t>
      </w:r>
      <w:proofErr w:type="spellEnd"/>
      <w:r w:rsidR="007A3EE4">
        <w:t>]</w:t>
      </w:r>
      <w:r>
        <w:t>).</w:t>
      </w:r>
      <w:r w:rsidR="009670B6">
        <w:t xml:space="preserve"> </w:t>
      </w:r>
      <w:r>
        <w:t xml:space="preserve">Based on the evidence above, it can be assumed that many programs are being incorrectly classified as a commencing course using the Mark and </w:t>
      </w:r>
      <w:proofErr w:type="spellStart"/>
      <w:r>
        <w:t>Karmel</w:t>
      </w:r>
      <w:proofErr w:type="spellEnd"/>
      <w:r>
        <w:t xml:space="preserve"> </w:t>
      </w:r>
      <w:r w:rsidR="00FD7FAC">
        <w:t xml:space="preserve">(2010) </w:t>
      </w:r>
      <w:r>
        <w:t xml:space="preserve">method when </w:t>
      </w:r>
      <w:r w:rsidR="00FD7FAC">
        <w:t xml:space="preserve">in fact </w:t>
      </w:r>
      <w:r>
        <w:t>they may be continuing, or possibly even completed.</w:t>
      </w:r>
      <w:r w:rsidR="009670B6">
        <w:t xml:space="preserve"> </w:t>
      </w:r>
      <w:r w:rsidR="007A3EE4">
        <w:t xml:space="preserve">For example, of the 1 517 </w:t>
      </w:r>
      <w:r>
        <w:t>457 program commencements between 2012 and 2014, 8.1% were flagged as commencing in both 2012 and 2013</w:t>
      </w:r>
      <w:r w:rsidR="00B70B98">
        <w:t xml:space="preserve"> (</w:t>
      </w:r>
      <w:r w:rsidR="00365D04">
        <w:t>t</w:t>
      </w:r>
      <w:r w:rsidR="00B70B98">
        <w:t>able 1)</w:t>
      </w:r>
      <w:r>
        <w:t>.</w:t>
      </w:r>
    </w:p>
    <w:p w:rsidR="00E44F84" w:rsidRDefault="00E44F84">
      <w:pPr>
        <w:spacing w:before="0" w:after="200" w:line="276" w:lineRule="auto"/>
      </w:pPr>
      <w:r>
        <w:br w:type="page"/>
      </w:r>
    </w:p>
    <w:p w:rsidR="0004066C" w:rsidRDefault="004F6E13" w:rsidP="0004066C">
      <w:pPr>
        <w:pStyle w:val="Text"/>
      </w:pPr>
      <w:r w:rsidRPr="004F6E13">
        <w:lastRenderedPageBreak/>
        <w:t>Rather than use the commencing flag variable, an obvious alternative is to define the year of commencement as the year a progra</w:t>
      </w:r>
      <w:r>
        <w:t>m f</w:t>
      </w:r>
      <w:r w:rsidR="0004066C">
        <w:t>irst appears in the National VET Provider Collection. An</w:t>
      </w:r>
      <w:r w:rsidR="007A3EE4">
        <w:t xml:space="preserve"> an</w:t>
      </w:r>
      <w:r w:rsidR="0004066C">
        <w:t>alysis was undertaken to compare the projected rates of completion against the derived actual values, with projections based on</w:t>
      </w:r>
      <w:r w:rsidR="007A3EE4">
        <w:t>:</w:t>
      </w:r>
      <w:r w:rsidR="0004066C">
        <w:t xml:space="preserve"> (a) the existing Mark and </w:t>
      </w:r>
      <w:proofErr w:type="spellStart"/>
      <w:r w:rsidR="0004066C">
        <w:t>Karmel</w:t>
      </w:r>
      <w:proofErr w:type="spellEnd"/>
      <w:r w:rsidR="0004066C">
        <w:t xml:space="preserve"> </w:t>
      </w:r>
      <w:r w:rsidR="007A3EE4">
        <w:t xml:space="preserve">(2010) </w:t>
      </w:r>
      <w:r w:rsidR="0004066C">
        <w:t>method utilising the collection’s inherent commencing flag</w:t>
      </w:r>
      <w:r w:rsidR="007A3EE4">
        <w:t>;</w:t>
      </w:r>
      <w:r w:rsidR="0004066C">
        <w:t xml:space="preserve"> and (b) the utilisation of the new commencing year derived from the earliest year </w:t>
      </w:r>
      <w:r w:rsidR="007A3EE4">
        <w:t>in which</w:t>
      </w:r>
      <w:r w:rsidR="0004066C">
        <w:t xml:space="preserve"> a program enrolment appears in the collection</w:t>
      </w:r>
      <w:r w:rsidR="007A3EE4">
        <w:t>. The results are presented in figure 2</w:t>
      </w:r>
      <w:r w:rsidR="0004066C">
        <w:t>.</w:t>
      </w:r>
    </w:p>
    <w:p w:rsidR="0004066C" w:rsidRPr="004C6E1C" w:rsidRDefault="0004066C" w:rsidP="0004066C">
      <w:pPr>
        <w:pStyle w:val="Figuretitle"/>
        <w:rPr>
          <w:noProof/>
          <w:lang w:eastAsia="en-AU"/>
        </w:rPr>
      </w:pPr>
      <w:bookmarkStart w:id="42" w:name="_Toc464219999"/>
      <w:bookmarkStart w:id="43" w:name="_Toc465780268"/>
      <w:r w:rsidRPr="004C6E1C">
        <w:rPr>
          <w:noProof/>
          <w:lang w:eastAsia="en-AU"/>
        </w:rPr>
        <w:t xml:space="preserve">Figure 2 </w:t>
      </w:r>
      <w:r w:rsidRPr="004C6E1C">
        <w:rPr>
          <w:noProof/>
          <w:lang w:eastAsia="en-AU"/>
        </w:rPr>
        <w:tab/>
        <w:t>Comparison of projected program completion rate</w:t>
      </w:r>
      <w:r>
        <w:rPr>
          <w:noProof/>
          <w:lang w:eastAsia="en-AU"/>
        </w:rPr>
        <w:t>s</w:t>
      </w:r>
      <w:r w:rsidRPr="004C6E1C">
        <w:rPr>
          <w:noProof/>
          <w:lang w:eastAsia="en-AU"/>
        </w:rPr>
        <w:t xml:space="preserve"> </w:t>
      </w:r>
      <w:r>
        <w:rPr>
          <w:noProof/>
          <w:lang w:eastAsia="en-AU"/>
        </w:rPr>
        <w:t xml:space="preserve">(current and revised) </w:t>
      </w:r>
      <w:r w:rsidRPr="004C6E1C">
        <w:rPr>
          <w:noProof/>
          <w:lang w:eastAsia="en-AU"/>
        </w:rPr>
        <w:t>against actual rates of completions</w:t>
      </w:r>
      <w:r w:rsidR="00171A2C">
        <w:rPr>
          <w:noProof/>
          <w:lang w:eastAsia="en-AU"/>
        </w:rPr>
        <w:t xml:space="preserve">, </w:t>
      </w:r>
      <w:r>
        <w:rPr>
          <w:noProof/>
          <w:lang w:eastAsia="en-AU"/>
        </w:rPr>
        <w:t>2008</w:t>
      </w:r>
      <w:r w:rsidR="007A3EE4">
        <w:rPr>
          <w:noProof/>
          <w:lang w:eastAsia="en-AU"/>
        </w:rPr>
        <w:t>–</w:t>
      </w:r>
      <w:r>
        <w:rPr>
          <w:noProof/>
          <w:lang w:eastAsia="en-AU"/>
        </w:rPr>
        <w:t>15</w:t>
      </w:r>
      <w:bookmarkEnd w:id="42"/>
      <w:r w:rsidR="00171A2C">
        <w:rPr>
          <w:noProof/>
          <w:lang w:eastAsia="en-AU"/>
        </w:rPr>
        <w:t xml:space="preserve"> (%)</w:t>
      </w:r>
      <w:bookmarkEnd w:id="43"/>
    </w:p>
    <w:p w:rsidR="0004066C" w:rsidRPr="004C6E1C" w:rsidRDefault="00BB1481" w:rsidP="00BB1481">
      <w:pPr>
        <w:pStyle w:val="Source"/>
        <w:ind w:left="0" w:firstLine="0"/>
      </w:pPr>
      <w:r>
        <w:rPr>
          <w:noProof/>
          <w:lang w:eastAsia="en-AU"/>
        </w:rPr>
        <w:drawing>
          <wp:inline distT="0" distB="0" distL="0" distR="0" wp14:anchorId="3AD100C2" wp14:editId="7F16E6C4">
            <wp:extent cx="4848225" cy="32956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04066C" w:rsidRPr="004C6E1C">
        <w:t>Source:</w:t>
      </w:r>
      <w:r w:rsidR="004719A6">
        <w:t xml:space="preserve"> </w:t>
      </w:r>
      <w:r w:rsidR="0004066C">
        <w:t xml:space="preserve">National </w:t>
      </w:r>
      <w:r w:rsidR="0004066C" w:rsidRPr="004C6E1C">
        <w:t>VET</w:t>
      </w:r>
      <w:r w:rsidR="0004066C">
        <w:t xml:space="preserve"> P</w:t>
      </w:r>
      <w:r w:rsidR="00FD7FAC">
        <w:t>rovider C</w:t>
      </w:r>
      <w:r w:rsidR="0004066C" w:rsidRPr="004C6E1C">
        <w:t>ollection, 2015</w:t>
      </w:r>
      <w:r w:rsidR="001930FA">
        <w:t>.</w:t>
      </w:r>
    </w:p>
    <w:p w:rsidR="00E44F84" w:rsidRDefault="0004066C" w:rsidP="001930FA">
      <w:pPr>
        <w:pStyle w:val="Text"/>
        <w:spacing w:before="240" w:line="360" w:lineRule="auto"/>
      </w:pPr>
      <w:r>
        <w:t>Again, the graph highlights the dramatic ‘falling away’ of the actual completion rates from the projected rates in the most recent couple of years, reflecting the upwards revision of the rates that occurs with subsequent collections. With respect to the projected rates, the graph highlights an apparent increase in accuracy of the rates via the revised methodology</w:t>
      </w:r>
      <w:r w:rsidR="007A3EE4">
        <w:t>, which</w:t>
      </w:r>
      <w:r>
        <w:t xml:space="preserve"> incorporates the new approach for defining the commencing year, as evidenced by this projected series more closely aligning with the </w:t>
      </w:r>
      <w:r w:rsidRPr="00B70B98">
        <w:t xml:space="preserve">actual series for 2013 and prior years. </w:t>
      </w:r>
    </w:p>
    <w:p w:rsidR="00E44F84" w:rsidRDefault="00E44F84">
      <w:pPr>
        <w:spacing w:before="0" w:after="200" w:line="276" w:lineRule="auto"/>
      </w:pPr>
      <w:r>
        <w:br w:type="page"/>
      </w:r>
    </w:p>
    <w:p w:rsidR="0004066C" w:rsidRPr="0045156A" w:rsidRDefault="0004066C" w:rsidP="001930FA">
      <w:pPr>
        <w:pStyle w:val="Text"/>
        <w:spacing w:before="240" w:line="360" w:lineRule="auto"/>
        <w:rPr>
          <w:spacing w:val="-2"/>
        </w:rPr>
      </w:pPr>
      <w:r w:rsidRPr="0045156A">
        <w:rPr>
          <w:spacing w:val="-2"/>
        </w:rPr>
        <w:lastRenderedPageBreak/>
        <w:t>We can test this hypothesis statistically through the Mean Squared error (MSE</w:t>
      </w:r>
      <w:r w:rsidR="007A3EE4" w:rsidRPr="0045156A">
        <w:rPr>
          <w:spacing w:val="-2"/>
        </w:rPr>
        <w:t>) and Mean Absolute error (MAE), both of which</w:t>
      </w:r>
      <w:r w:rsidRPr="0045156A">
        <w:rPr>
          <w:spacing w:val="-2"/>
        </w:rPr>
        <w:t xml:space="preserve"> are</w:t>
      </w:r>
      <w:r w:rsidRPr="0045156A">
        <w:rPr>
          <w:rFonts w:cs="Arial"/>
          <w:spacing w:val="-2"/>
          <w:szCs w:val="19"/>
          <w:shd w:val="clear" w:color="auto" w:fill="FFFFFF"/>
        </w:rPr>
        <w:t xml:space="preserve"> valid statistical measures for determining how close a set of projections or predictions </w:t>
      </w:r>
      <w:r w:rsidR="00FD7FAC" w:rsidRPr="0045156A">
        <w:rPr>
          <w:rFonts w:cs="Arial"/>
          <w:spacing w:val="-2"/>
          <w:szCs w:val="19"/>
          <w:shd w:val="clear" w:color="auto" w:fill="FFFFFF"/>
        </w:rPr>
        <w:t>is</w:t>
      </w:r>
      <w:r w:rsidRPr="0045156A">
        <w:rPr>
          <w:rFonts w:cs="Arial"/>
          <w:spacing w:val="-2"/>
          <w:szCs w:val="19"/>
          <w:shd w:val="clear" w:color="auto" w:fill="FFFFFF"/>
        </w:rPr>
        <w:t xml:space="preserve"> to the eventual outcomes. They are</w:t>
      </w:r>
      <w:r w:rsidR="00C06F78" w:rsidRPr="0045156A">
        <w:rPr>
          <w:rFonts w:cs="Arial"/>
          <w:spacing w:val="-2"/>
          <w:szCs w:val="19"/>
          <w:shd w:val="clear" w:color="auto" w:fill="FFFFFF"/>
        </w:rPr>
        <w:t xml:space="preserve"> </w:t>
      </w:r>
      <w:r w:rsidRPr="0045156A">
        <w:rPr>
          <w:spacing w:val="-2"/>
        </w:rPr>
        <w:t>defined as:</w:t>
      </w:r>
    </w:p>
    <w:p w:rsidR="0004066C" w:rsidRPr="00854127" w:rsidRDefault="0004066C" w:rsidP="00C06F78">
      <w:pPr>
        <w:pStyle w:val="Text"/>
        <w:tabs>
          <w:tab w:val="left" w:pos="1134"/>
        </w:tabs>
        <w:spacing w:before="0" w:line="360" w:lineRule="auto"/>
        <w:rPr>
          <w:noProof/>
          <w:sz w:val="28"/>
        </w:rPr>
      </w:pPr>
      <w:r w:rsidRPr="00854127">
        <w:rPr>
          <w:sz w:val="22"/>
        </w:rPr>
        <w:tab/>
        <w:t>MAE =</w:t>
      </w:r>
      <w:r w:rsidRPr="00854127">
        <w:rPr>
          <w:sz w:val="24"/>
        </w:rP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n</m:t>
            </m:r>
          </m:den>
        </m:f>
        <m:r>
          <w:rPr>
            <w:rFonts w:ascii="Cambria Math" w:hAnsi="Cambria Math"/>
            <w:sz w:val="28"/>
          </w:rPr>
          <m:t xml:space="preserve"> </m:t>
        </m:r>
        <m:nary>
          <m:naryPr>
            <m:chr m:val="∑"/>
            <m:limLoc m:val="undOvr"/>
            <m:ctrlPr>
              <w:rPr>
                <w:rFonts w:ascii="Cambria Math" w:hAnsi="Cambria Math"/>
                <w:i/>
                <w:sz w:val="28"/>
              </w:rPr>
            </m:ctrlPr>
          </m:naryPr>
          <m:sub>
            <m:r>
              <w:rPr>
                <w:rFonts w:ascii="Cambria Math" w:hAnsi="Cambria Math"/>
                <w:sz w:val="28"/>
              </w:rPr>
              <m:t>i=1</m:t>
            </m:r>
          </m:sub>
          <m:sup>
            <m:r>
              <w:rPr>
                <w:rFonts w:ascii="Cambria Math" w:hAnsi="Cambria Math"/>
                <w:sz w:val="28"/>
              </w:rPr>
              <m:t>n</m:t>
            </m:r>
          </m:sup>
          <m:e>
            <m:r>
              <w:rPr>
                <w:rFonts w:ascii="Cambria Math" w:hAnsi="Cambria Math"/>
                <w:sz w:val="28"/>
              </w:rPr>
              <m:t>|</m:t>
            </m:r>
            <m:sSub>
              <m:sSubPr>
                <m:ctrlPr>
                  <w:rPr>
                    <w:rFonts w:ascii="Cambria Math" w:eastAsia="Cambria Math" w:hAnsi="Cambria Math" w:cs="Cambria Math"/>
                    <w:i/>
                    <w:sz w:val="28"/>
                  </w:rPr>
                </m:ctrlPr>
              </m:sSubPr>
              <m:e>
                <m:r>
                  <w:rPr>
                    <w:rFonts w:ascii="Cambria Math" w:eastAsia="Cambria Math" w:hAnsi="Cambria Math" w:cs="Cambria Math"/>
                    <w:sz w:val="28"/>
                  </w:rPr>
                  <m:t>f</m:t>
                </m:r>
              </m:e>
              <m:sub>
                <m:r>
                  <w:rPr>
                    <w:rFonts w:ascii="Cambria Math" w:eastAsia="Cambria Math" w:hAnsi="Cambria Math" w:cs="Cambria Math"/>
                    <w:sz w:val="28"/>
                  </w:rPr>
                  <m:t xml:space="preserve">i </m:t>
                </m:r>
              </m:sub>
            </m:sSub>
            <m:r>
              <w:rPr>
                <w:rFonts w:ascii="Cambria Math" w:hAnsi="Cambria Math"/>
                <w:sz w:val="28"/>
              </w:rPr>
              <m:t>-</m:t>
            </m:r>
            <m:sSub>
              <m:sSubPr>
                <m:ctrlPr>
                  <w:rPr>
                    <w:rFonts w:ascii="Cambria Math" w:eastAsia="Cambria Math" w:hAnsi="Cambria Math" w:cs="Cambria Math"/>
                    <w:i/>
                    <w:sz w:val="28"/>
                  </w:rPr>
                </m:ctrlPr>
              </m:sSubPr>
              <m:e>
                <m:r>
                  <w:rPr>
                    <w:rFonts w:ascii="Cambria Math" w:eastAsia="Cambria Math" w:hAnsi="Cambria Math" w:cs="Cambria Math"/>
                    <w:sz w:val="28"/>
                  </w:rPr>
                  <m:t>y</m:t>
                </m:r>
              </m:e>
              <m:sub>
                <m:r>
                  <w:rPr>
                    <w:rFonts w:ascii="Cambria Math" w:eastAsia="Cambria Math" w:hAnsi="Cambria Math" w:cs="Cambria Math"/>
                    <w:sz w:val="28"/>
                  </w:rPr>
                  <m:t xml:space="preserve">i </m:t>
                </m:r>
              </m:sub>
            </m:sSub>
            <m:r>
              <w:rPr>
                <w:rFonts w:ascii="Cambria Math" w:eastAsia="Cambria Math" w:hAnsi="Cambria Math" w:cs="Cambria Math"/>
                <w:sz w:val="28"/>
              </w:rPr>
              <m:t>|</m:t>
            </m:r>
          </m:e>
        </m:nary>
      </m:oMath>
      <w:r w:rsidR="00AE523D">
        <w:rPr>
          <w:noProof/>
          <w:sz w:val="18"/>
          <w:lang w:eastAsia="en-AU"/>
        </w:rPr>
        <mc:AlternateContent>
          <mc:Choice Requires="wps">
            <w:drawing>
              <wp:inline distT="0" distB="0" distL="0" distR="0" wp14:anchorId="2C9FFAAB" wp14:editId="10604991">
                <wp:extent cx="304800" cy="304800"/>
                <wp:effectExtent l="3175" t="3810" r="0" b="0"/>
                <wp:docPr id="3" name="Rectangle 38" descr="\operatorname {MSE}={\frac  {1}{n}}\sum _{{i=1}}^{n}({\hat  {Y_{i}}}-Y_{i})^{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8" o:spid="_x0000_s1026" alt="\operatorname {MSE}={\frac  {1}{n}}\sum _{{i=1}}^{n}({\hat  {Y_{i}}}-Y_{i})^{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L21&#10;ogD8AgAAEA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04066C" w:rsidRPr="00854127" w:rsidRDefault="0004066C" w:rsidP="0004066C">
      <w:pPr>
        <w:pStyle w:val="Text"/>
        <w:tabs>
          <w:tab w:val="left" w:pos="1134"/>
        </w:tabs>
        <w:spacing w:before="0" w:line="360" w:lineRule="auto"/>
        <w:rPr>
          <w:noProof/>
          <w:sz w:val="28"/>
        </w:rPr>
      </w:pPr>
      <w:r w:rsidRPr="00854127">
        <w:rPr>
          <w:sz w:val="22"/>
        </w:rPr>
        <w:tab/>
        <w:t>MSE =</w:t>
      </w:r>
      <w:r w:rsidRPr="00854127">
        <w:rPr>
          <w:sz w:val="24"/>
        </w:rPr>
        <w:t xml:space="preserve"> </w:t>
      </w:r>
      <m:oMath>
        <m:f>
          <m:fPr>
            <m:ctrlPr>
              <w:rPr>
                <w:rFonts w:ascii="Cambria Math" w:hAnsi="Cambria Math" w:cs="Arial"/>
                <w:i/>
                <w:sz w:val="28"/>
              </w:rPr>
            </m:ctrlPr>
          </m:fPr>
          <m:num>
            <m:r>
              <w:rPr>
                <w:rFonts w:ascii="Cambria Math" w:hAnsi="Cambria Math" w:cs="Arial"/>
                <w:sz w:val="28"/>
              </w:rPr>
              <m:t>1</m:t>
            </m:r>
          </m:num>
          <m:den>
            <m:r>
              <w:rPr>
                <w:rFonts w:ascii="Cambria Math" w:hAnsi="Cambria Math" w:cs="Arial"/>
                <w:sz w:val="28"/>
              </w:rPr>
              <m:t>n</m:t>
            </m:r>
          </m:den>
        </m:f>
        <m:r>
          <w:rPr>
            <w:rFonts w:ascii="Cambria Math" w:hAnsi="Cambria Math" w:cs="Arial"/>
            <w:sz w:val="28"/>
          </w:rPr>
          <m:t xml:space="preserve"> </m:t>
        </m:r>
        <m:nary>
          <m:naryPr>
            <m:chr m:val="∑"/>
            <m:limLoc m:val="undOvr"/>
            <m:ctrlPr>
              <w:rPr>
                <w:rFonts w:ascii="Cambria Math" w:hAnsi="Cambria Math" w:cs="Arial"/>
                <w:i/>
                <w:sz w:val="28"/>
              </w:rPr>
            </m:ctrlPr>
          </m:naryPr>
          <m:sub>
            <m:r>
              <w:rPr>
                <w:rFonts w:ascii="Cambria Math" w:hAnsi="Cambria Math" w:cs="Arial"/>
                <w:sz w:val="28"/>
              </w:rPr>
              <m:t>i=1</m:t>
            </m:r>
          </m:sub>
          <m:sup>
            <m:r>
              <w:rPr>
                <w:rFonts w:ascii="Cambria Math" w:hAnsi="Cambria Math" w:cs="Arial"/>
                <w:sz w:val="28"/>
              </w:rPr>
              <m:t>n</m:t>
            </m:r>
          </m:sup>
          <m:e>
            <m:sSup>
              <m:sSupPr>
                <m:ctrlPr>
                  <w:rPr>
                    <w:rFonts w:ascii="Cambria Math" w:hAnsi="Cambria Math" w:cs="Arial"/>
                    <w:i/>
                    <w:sz w:val="28"/>
                  </w:rPr>
                </m:ctrlPr>
              </m:sSupPr>
              <m:e>
                <m:r>
                  <w:rPr>
                    <w:rFonts w:ascii="Cambria Math" w:hAnsi="Cambria Math" w:cs="Arial"/>
                    <w:sz w:val="28"/>
                  </w:rPr>
                  <m:t>(</m:t>
                </m:r>
                <m:sSub>
                  <m:sSubPr>
                    <m:ctrlPr>
                      <w:rPr>
                        <w:rFonts w:ascii="Cambria Math" w:eastAsia="Cambria Math" w:hAnsi="Cambria Math" w:cs="Arial"/>
                        <w:i/>
                        <w:sz w:val="28"/>
                      </w:rPr>
                    </m:ctrlPr>
                  </m:sSubPr>
                  <m:e>
                    <m:r>
                      <w:rPr>
                        <w:rFonts w:ascii="Cambria Math" w:eastAsia="Cambria Math" w:hAnsi="Cambria Math" w:cs="Arial"/>
                        <w:sz w:val="28"/>
                      </w:rPr>
                      <m:t>f</m:t>
                    </m:r>
                  </m:e>
                  <m:sub>
                    <m:r>
                      <w:rPr>
                        <w:rFonts w:ascii="Cambria Math" w:eastAsia="Cambria Math" w:hAnsi="Cambria Math" w:cs="Arial"/>
                        <w:sz w:val="28"/>
                      </w:rPr>
                      <m:t xml:space="preserve">i </m:t>
                    </m:r>
                  </m:sub>
                </m:sSub>
                <m:r>
                  <w:rPr>
                    <w:rFonts w:ascii="Cambria Math" w:hAnsi="Cambria Math" w:cs="Arial"/>
                    <w:sz w:val="28"/>
                  </w:rPr>
                  <m:t>-</m:t>
                </m:r>
                <m:sSub>
                  <m:sSubPr>
                    <m:ctrlPr>
                      <w:rPr>
                        <w:rFonts w:ascii="Cambria Math" w:eastAsia="Cambria Math" w:hAnsi="Cambria Math" w:cs="Arial"/>
                        <w:i/>
                        <w:sz w:val="28"/>
                      </w:rPr>
                    </m:ctrlPr>
                  </m:sSubPr>
                  <m:e>
                    <m:r>
                      <w:rPr>
                        <w:rFonts w:ascii="Cambria Math" w:eastAsia="Cambria Math" w:hAnsi="Cambria Math" w:cs="Arial"/>
                        <w:sz w:val="28"/>
                      </w:rPr>
                      <m:t>y</m:t>
                    </m:r>
                  </m:e>
                  <m:sub>
                    <m:r>
                      <w:rPr>
                        <w:rFonts w:ascii="Cambria Math" w:eastAsia="Cambria Math" w:hAnsi="Cambria Math" w:cs="Arial"/>
                        <w:sz w:val="28"/>
                      </w:rPr>
                      <m:t xml:space="preserve">i </m:t>
                    </m:r>
                  </m:sub>
                </m:sSub>
                <m:r>
                  <w:rPr>
                    <w:rFonts w:ascii="Cambria Math" w:eastAsia="Cambria Math" w:hAnsi="Cambria Math" w:cs="Arial"/>
                    <w:sz w:val="28"/>
                  </w:rPr>
                  <m:t>)</m:t>
                </m:r>
              </m:e>
              <m:sup>
                <m:r>
                  <w:rPr>
                    <w:rFonts w:ascii="Cambria Math" w:hAnsi="Cambria Math" w:cs="Arial"/>
                    <w:sz w:val="28"/>
                  </w:rPr>
                  <m:t>2</m:t>
                </m:r>
              </m:sup>
            </m:sSup>
          </m:e>
        </m:nary>
      </m:oMath>
      <w:r w:rsidR="00AE523D">
        <w:rPr>
          <w:noProof/>
          <w:sz w:val="18"/>
          <w:lang w:eastAsia="en-AU"/>
        </w:rPr>
        <mc:AlternateContent>
          <mc:Choice Requires="wps">
            <w:drawing>
              <wp:inline distT="0" distB="0" distL="0" distR="0" wp14:anchorId="58F2F22D" wp14:editId="7B419285">
                <wp:extent cx="304800" cy="304800"/>
                <wp:effectExtent l="0" t="0" r="1905" b="1905"/>
                <wp:docPr id="2" name="Rectangle 39" descr="\operatorname {MSE}={\frac  {1}{n}}\sum _{{i=1}}^{n}({\hat  {Y_{i}}}-Y_{i})^{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9" o:spid="_x0000_s1026" alt="\operatorname {MSE}={\frac  {1}{n}}\sum _{{i=1}}^{n}({\hat  {Y_{i}}}-Y_{i})^{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Jfd&#10;OB38AgAAEA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04066C" w:rsidRPr="00B70B98" w:rsidRDefault="0004066C" w:rsidP="0004066C">
      <w:pPr>
        <w:pStyle w:val="Text"/>
        <w:tabs>
          <w:tab w:val="left" w:pos="1134"/>
        </w:tabs>
        <w:spacing w:before="0" w:line="240" w:lineRule="auto"/>
        <w:rPr>
          <w:rFonts w:cs="Arial"/>
          <w:szCs w:val="19"/>
          <w:shd w:val="clear" w:color="auto" w:fill="FFFFFF"/>
        </w:rPr>
      </w:pPr>
      <w:proofErr w:type="gramStart"/>
      <w:r w:rsidRPr="00B70B98">
        <w:t>where</w:t>
      </w:r>
      <w:proofErr w:type="gramEnd"/>
      <w:r w:rsidR="00185BB3">
        <w:t xml:space="preserve"> </w:t>
      </w:r>
      <w:r w:rsidRPr="00185BB3">
        <w:rPr>
          <w:i/>
          <w:sz w:val="24"/>
        </w:rPr>
        <w:t>f</w:t>
      </w:r>
      <w:r w:rsidRPr="00185BB3">
        <w:rPr>
          <w:i/>
          <w:sz w:val="32"/>
          <w:vertAlign w:val="subscript"/>
        </w:rPr>
        <w:t>i</w:t>
      </w:r>
      <w:r w:rsidRPr="00185BB3">
        <w:t xml:space="preserve"> </w:t>
      </w:r>
      <w:r w:rsidRPr="00B70B98">
        <w:t xml:space="preserve">is the projected completion rate and </w:t>
      </w:r>
      <w:proofErr w:type="spellStart"/>
      <w:r w:rsidRPr="00B70B98">
        <w:rPr>
          <w:i/>
          <w:sz w:val="24"/>
        </w:rPr>
        <w:t>y</w:t>
      </w:r>
      <w:r w:rsidRPr="00B70B98">
        <w:rPr>
          <w:i/>
          <w:sz w:val="32"/>
          <w:vertAlign w:val="subscript"/>
        </w:rPr>
        <w:t>i</w:t>
      </w:r>
      <w:proofErr w:type="spellEnd"/>
      <w:r w:rsidRPr="00B70B98">
        <w:t xml:space="preserve"> the actual value for year </w:t>
      </w:r>
      <w:proofErr w:type="spellStart"/>
      <w:r w:rsidRPr="00B70B98">
        <w:rPr>
          <w:i/>
        </w:rPr>
        <w:t>i</w:t>
      </w:r>
      <w:proofErr w:type="spellEnd"/>
      <w:r w:rsidRPr="00B70B98">
        <w:rPr>
          <w:rFonts w:cs="Arial"/>
          <w:szCs w:val="19"/>
          <w:shd w:val="clear" w:color="auto" w:fill="FFFFFF"/>
        </w:rPr>
        <w:t>. The closer the values are to zero, the closer the projections are to the actual values overall.</w:t>
      </w:r>
    </w:p>
    <w:p w:rsidR="00252944" w:rsidRDefault="0004066C" w:rsidP="00252944">
      <w:pPr>
        <w:pStyle w:val="Text"/>
      </w:pPr>
      <w:r>
        <w:t>The resulting MSEs and MAEs</w:t>
      </w:r>
      <w:r w:rsidR="007A3EE4">
        <w:t>,</w:t>
      </w:r>
      <w:r>
        <w:t xml:space="preserve"> based on the projections for years 2008 through 2013</w:t>
      </w:r>
      <w:r w:rsidR="007A3EE4">
        <w:t>,</w:t>
      </w:r>
      <w:r>
        <w:t xml:space="preserve"> are shown in </w:t>
      </w:r>
      <w:r w:rsidR="00365D04">
        <w:t>t</w:t>
      </w:r>
      <w:r w:rsidR="00FD7FAC">
        <w:t>able 2</w:t>
      </w:r>
      <w:r>
        <w:t xml:space="preserve"> and support the hypothesis that the revised method performs better in projecting </w:t>
      </w:r>
      <w:r w:rsidR="00FD7FAC">
        <w:t xml:space="preserve">the </w:t>
      </w:r>
      <w:r>
        <w:t>actual rates of completion.</w:t>
      </w:r>
      <w:bookmarkStart w:id="44" w:name="_Toc464219997"/>
    </w:p>
    <w:p w:rsidR="0004066C" w:rsidRDefault="0004066C" w:rsidP="00252944">
      <w:pPr>
        <w:pStyle w:val="tabletitle0"/>
      </w:pPr>
      <w:bookmarkStart w:id="45" w:name="_Toc465780148"/>
      <w:r>
        <w:t>Table 2</w:t>
      </w:r>
      <w:r>
        <w:tab/>
        <w:t xml:space="preserve">Comparison of </w:t>
      </w:r>
      <w:r w:rsidR="007A3EE4">
        <w:t>Mean Absolute and Mean Squared e</w:t>
      </w:r>
      <w:r>
        <w:t>rrors based on projected completion rates estimated using the current an</w:t>
      </w:r>
      <w:r w:rsidR="00C06F78">
        <w:t>d revised approach</w:t>
      </w:r>
      <w:r w:rsidR="00171A2C">
        <w:t xml:space="preserve">, </w:t>
      </w:r>
      <w:r w:rsidR="007A3EE4">
        <w:t>2008–</w:t>
      </w:r>
      <w:r>
        <w:t>13</w:t>
      </w:r>
      <w:bookmarkEnd w:id="44"/>
      <w:bookmarkEnd w:id="45"/>
    </w:p>
    <w:tbl>
      <w:tblPr>
        <w:tblStyle w:val="TableGrid"/>
        <w:tblW w:w="76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417"/>
        <w:gridCol w:w="1276"/>
      </w:tblGrid>
      <w:tr w:rsidR="0004066C" w:rsidRPr="003916E5" w:rsidTr="00AA52E9">
        <w:tc>
          <w:tcPr>
            <w:tcW w:w="4962" w:type="dxa"/>
            <w:tcBorders>
              <w:top w:val="single" w:sz="4" w:space="0" w:color="auto"/>
              <w:bottom w:val="single" w:sz="4" w:space="0" w:color="auto"/>
            </w:tcBorders>
          </w:tcPr>
          <w:p w:rsidR="0004066C" w:rsidRPr="003916E5" w:rsidRDefault="0004066C" w:rsidP="00C06F78">
            <w:pPr>
              <w:pStyle w:val="Tablehead1"/>
              <w:jc w:val="both"/>
            </w:pPr>
            <w:r w:rsidRPr="003916E5">
              <w:t>Method</w:t>
            </w:r>
          </w:p>
        </w:tc>
        <w:tc>
          <w:tcPr>
            <w:tcW w:w="1417" w:type="dxa"/>
            <w:tcBorders>
              <w:top w:val="single" w:sz="4" w:space="0" w:color="auto"/>
              <w:bottom w:val="single" w:sz="4" w:space="0" w:color="auto"/>
            </w:tcBorders>
          </w:tcPr>
          <w:p w:rsidR="0004066C" w:rsidRPr="003916E5" w:rsidRDefault="0004066C" w:rsidP="00C06F78">
            <w:pPr>
              <w:pStyle w:val="Tablehead1"/>
              <w:jc w:val="center"/>
            </w:pPr>
            <w:r w:rsidRPr="003916E5">
              <w:t>MAE</w:t>
            </w:r>
          </w:p>
        </w:tc>
        <w:tc>
          <w:tcPr>
            <w:tcW w:w="1276" w:type="dxa"/>
            <w:tcBorders>
              <w:top w:val="single" w:sz="4" w:space="0" w:color="auto"/>
              <w:bottom w:val="single" w:sz="4" w:space="0" w:color="auto"/>
            </w:tcBorders>
          </w:tcPr>
          <w:p w:rsidR="0004066C" w:rsidRPr="003916E5" w:rsidRDefault="0004066C" w:rsidP="00C06F78">
            <w:pPr>
              <w:pStyle w:val="Tablehead1"/>
              <w:jc w:val="center"/>
            </w:pPr>
            <w:r>
              <w:t>MSE</w:t>
            </w:r>
          </w:p>
        </w:tc>
      </w:tr>
      <w:tr w:rsidR="0004066C" w:rsidTr="00AA52E9">
        <w:tc>
          <w:tcPr>
            <w:tcW w:w="4962" w:type="dxa"/>
            <w:tcBorders>
              <w:top w:val="single" w:sz="4" w:space="0" w:color="auto"/>
            </w:tcBorders>
          </w:tcPr>
          <w:p w:rsidR="0004066C" w:rsidRPr="00C06F78" w:rsidRDefault="0004066C" w:rsidP="00C06F78">
            <w:pPr>
              <w:pStyle w:val="Tabletext"/>
            </w:pPr>
            <w:r w:rsidRPr="00C06F78">
              <w:t>Revised method incorporating new approach for defining the commencement year</w:t>
            </w:r>
          </w:p>
        </w:tc>
        <w:tc>
          <w:tcPr>
            <w:tcW w:w="1417" w:type="dxa"/>
            <w:tcBorders>
              <w:top w:val="single" w:sz="4" w:space="0" w:color="auto"/>
            </w:tcBorders>
          </w:tcPr>
          <w:p w:rsidR="0004066C" w:rsidRPr="00C06F78" w:rsidRDefault="0004066C" w:rsidP="001930FA">
            <w:pPr>
              <w:pStyle w:val="Tabletext"/>
              <w:jc w:val="center"/>
            </w:pPr>
            <w:r w:rsidRPr="00C06F78">
              <w:t>0.66</w:t>
            </w:r>
          </w:p>
        </w:tc>
        <w:tc>
          <w:tcPr>
            <w:tcW w:w="1276" w:type="dxa"/>
            <w:tcBorders>
              <w:top w:val="single" w:sz="4" w:space="0" w:color="auto"/>
            </w:tcBorders>
          </w:tcPr>
          <w:p w:rsidR="0004066C" w:rsidRPr="00C06F78" w:rsidRDefault="0004066C" w:rsidP="001930FA">
            <w:pPr>
              <w:pStyle w:val="Tabletext"/>
              <w:jc w:val="center"/>
            </w:pPr>
            <w:r w:rsidRPr="00C06F78">
              <w:t>0.74</w:t>
            </w:r>
          </w:p>
        </w:tc>
      </w:tr>
      <w:tr w:rsidR="0004066C" w:rsidTr="00AA52E9">
        <w:tc>
          <w:tcPr>
            <w:tcW w:w="4962" w:type="dxa"/>
            <w:tcBorders>
              <w:bottom w:val="single" w:sz="4" w:space="0" w:color="auto"/>
            </w:tcBorders>
          </w:tcPr>
          <w:p w:rsidR="0004066C" w:rsidRPr="00C06F78" w:rsidRDefault="0004066C" w:rsidP="00C06F78">
            <w:pPr>
              <w:pStyle w:val="Tabletext"/>
            </w:pPr>
            <w:r w:rsidRPr="00C06F78">
              <w:t xml:space="preserve">Current Mark and </w:t>
            </w:r>
            <w:proofErr w:type="spellStart"/>
            <w:r w:rsidRPr="00C06F78">
              <w:t>Karmel</w:t>
            </w:r>
            <w:proofErr w:type="spellEnd"/>
            <w:r w:rsidRPr="00C06F78">
              <w:t xml:space="preserve"> </w:t>
            </w:r>
            <w:r w:rsidR="007A3EE4">
              <w:t xml:space="preserve">(2010) </w:t>
            </w:r>
            <w:r w:rsidRPr="00C06F78">
              <w:t>method</w:t>
            </w:r>
            <w:r w:rsidR="009670B6">
              <w:t xml:space="preserve"> </w:t>
            </w:r>
            <w:r w:rsidRPr="00C06F78">
              <w:t>using commencing flag</w:t>
            </w:r>
          </w:p>
        </w:tc>
        <w:tc>
          <w:tcPr>
            <w:tcW w:w="1417" w:type="dxa"/>
            <w:tcBorders>
              <w:bottom w:val="single" w:sz="4" w:space="0" w:color="auto"/>
            </w:tcBorders>
          </w:tcPr>
          <w:p w:rsidR="0004066C" w:rsidRPr="00C06F78" w:rsidRDefault="0004066C" w:rsidP="001930FA">
            <w:pPr>
              <w:pStyle w:val="Tabletext"/>
              <w:jc w:val="center"/>
            </w:pPr>
            <w:r w:rsidRPr="00C06F78">
              <w:t>1.12</w:t>
            </w:r>
          </w:p>
        </w:tc>
        <w:tc>
          <w:tcPr>
            <w:tcW w:w="1276" w:type="dxa"/>
            <w:tcBorders>
              <w:bottom w:val="single" w:sz="4" w:space="0" w:color="auto"/>
            </w:tcBorders>
          </w:tcPr>
          <w:p w:rsidR="0004066C" w:rsidRPr="00C06F78" w:rsidRDefault="0004066C" w:rsidP="001930FA">
            <w:pPr>
              <w:pStyle w:val="Tabletext"/>
              <w:jc w:val="center"/>
            </w:pPr>
            <w:r w:rsidRPr="00C06F78">
              <w:t>1.73</w:t>
            </w:r>
          </w:p>
        </w:tc>
      </w:tr>
    </w:tbl>
    <w:p w:rsidR="0004066C" w:rsidRPr="005904C2" w:rsidRDefault="0004066C" w:rsidP="0004066C">
      <w:pPr>
        <w:pStyle w:val="Text"/>
      </w:pPr>
      <w:r w:rsidRPr="006C3E57">
        <w:t xml:space="preserve">It is well recognised that the number of program completions, and therefore </w:t>
      </w:r>
      <w:r w:rsidR="007A3EE4">
        <w:t xml:space="preserve">the </w:t>
      </w:r>
      <w:r w:rsidRPr="006C3E57">
        <w:t xml:space="preserve">rates </w:t>
      </w:r>
      <w:r w:rsidR="00BE552F">
        <w:br/>
      </w:r>
      <w:r w:rsidRPr="006C3E57">
        <w:t xml:space="preserve">of </w:t>
      </w:r>
      <w:r w:rsidRPr="005904C2">
        <w:t xml:space="preserve">completion, take some time to </w:t>
      </w:r>
      <w:proofErr w:type="spellStart"/>
      <w:r w:rsidRPr="005904C2">
        <w:t>stab</w:t>
      </w:r>
      <w:r w:rsidR="00CB37B8">
        <w:t>lise</w:t>
      </w:r>
      <w:proofErr w:type="spellEnd"/>
      <w:r w:rsidRPr="005904C2">
        <w:t>. This is highlighted in table 3, which shows th</w:t>
      </w:r>
      <w:r w:rsidR="007A3EE4">
        <w:t>at</w:t>
      </w:r>
      <w:r w:rsidRPr="005904C2">
        <w:t xml:space="preserve"> it takes in the order of four years after commencement for completion rates to reach some sort of equilibrium (</w:t>
      </w:r>
      <w:r w:rsidR="007A3EE4">
        <w:t>that is,</w:t>
      </w:r>
      <w:r w:rsidRPr="005904C2">
        <w:t xml:space="preserve"> where the change in </w:t>
      </w:r>
      <w:r w:rsidR="00B70B98">
        <w:t xml:space="preserve">actual </w:t>
      </w:r>
      <w:r w:rsidRPr="005904C2">
        <w:t xml:space="preserve">completion rate becomes negligible </w:t>
      </w:r>
      <w:r w:rsidR="00FD7FAC">
        <w:t xml:space="preserve">by comparison </w:t>
      </w:r>
      <w:r w:rsidRPr="005904C2">
        <w:t xml:space="preserve">with subsequent data collections). It therefore seems logical to publish rates of completion for the most recent three years </w:t>
      </w:r>
      <w:r w:rsidR="007A3EE4">
        <w:t>according to</w:t>
      </w:r>
      <w:r w:rsidRPr="005904C2">
        <w:t xml:space="preserve"> the revised projected completion rate methodology outlined above and </w:t>
      </w:r>
      <w:r w:rsidR="00FD7FAC">
        <w:t xml:space="preserve">the </w:t>
      </w:r>
      <w:r w:rsidRPr="005904C2">
        <w:t>actual rates for prior years.</w:t>
      </w:r>
    </w:p>
    <w:p w:rsidR="0004066C" w:rsidRPr="005904C2" w:rsidRDefault="0004066C" w:rsidP="00C06F78">
      <w:pPr>
        <w:pStyle w:val="tabletitle0"/>
      </w:pPr>
      <w:bookmarkStart w:id="46" w:name="_Toc465780149"/>
      <w:r w:rsidRPr="005904C2">
        <w:t>Table 3</w:t>
      </w:r>
      <w:r w:rsidRPr="005904C2">
        <w:tab/>
        <w:t xml:space="preserve">Actual rates of completion by collection year </w:t>
      </w:r>
      <w:r w:rsidR="00171A2C">
        <w:t>(%)</w:t>
      </w:r>
      <w:bookmarkEnd w:id="46"/>
    </w:p>
    <w:tbl>
      <w:tblPr>
        <w:tblW w:w="7650" w:type="dxa"/>
        <w:tblInd w:w="113" w:type="dxa"/>
        <w:tblLayout w:type="fixed"/>
        <w:tblLook w:val="01E0" w:firstRow="1" w:lastRow="1" w:firstColumn="1" w:lastColumn="1" w:noHBand="0" w:noVBand="0"/>
      </w:tblPr>
      <w:tblGrid>
        <w:gridCol w:w="1696"/>
        <w:gridCol w:w="786"/>
        <w:gridCol w:w="646"/>
        <w:gridCol w:w="646"/>
        <w:gridCol w:w="646"/>
        <w:gridCol w:w="646"/>
        <w:gridCol w:w="646"/>
        <w:gridCol w:w="646"/>
        <w:gridCol w:w="646"/>
        <w:gridCol w:w="646"/>
      </w:tblGrid>
      <w:tr w:rsidR="0004066C" w:rsidRPr="00165636" w:rsidTr="009A3EE3">
        <w:trPr>
          <w:trHeight w:val="227"/>
        </w:trPr>
        <w:tc>
          <w:tcPr>
            <w:tcW w:w="1696" w:type="dxa"/>
            <w:vMerge w:val="restart"/>
            <w:tcBorders>
              <w:top w:val="single" w:sz="4" w:space="0" w:color="auto"/>
            </w:tcBorders>
            <w:vAlign w:val="bottom"/>
          </w:tcPr>
          <w:p w:rsidR="0004066C" w:rsidRPr="00165636" w:rsidRDefault="0004066C" w:rsidP="00C06F78">
            <w:pPr>
              <w:pStyle w:val="Tablehead1"/>
            </w:pPr>
            <w:r w:rsidRPr="00165636">
              <w:t>Collection year</w:t>
            </w:r>
          </w:p>
        </w:tc>
        <w:tc>
          <w:tcPr>
            <w:tcW w:w="5954" w:type="dxa"/>
            <w:gridSpan w:val="9"/>
            <w:tcBorders>
              <w:top w:val="single" w:sz="4" w:space="0" w:color="auto"/>
            </w:tcBorders>
            <w:vAlign w:val="center"/>
          </w:tcPr>
          <w:p w:rsidR="0004066C" w:rsidRPr="00165636" w:rsidRDefault="0004066C" w:rsidP="00C06F78">
            <w:pPr>
              <w:pStyle w:val="Tablehead1"/>
              <w:jc w:val="center"/>
            </w:pPr>
            <w:r w:rsidRPr="00165636">
              <w:t>Year of completion rate</w:t>
            </w:r>
          </w:p>
        </w:tc>
      </w:tr>
      <w:tr w:rsidR="0004066C" w:rsidRPr="00165636" w:rsidTr="009A3EE3">
        <w:trPr>
          <w:trHeight w:val="227"/>
        </w:trPr>
        <w:tc>
          <w:tcPr>
            <w:tcW w:w="1696" w:type="dxa"/>
            <w:vMerge/>
            <w:vAlign w:val="center"/>
          </w:tcPr>
          <w:p w:rsidR="0004066C" w:rsidRPr="00165636" w:rsidRDefault="0004066C" w:rsidP="0004066C">
            <w:pPr>
              <w:pStyle w:val="Tabletext"/>
            </w:pPr>
          </w:p>
        </w:tc>
        <w:tc>
          <w:tcPr>
            <w:tcW w:w="786" w:type="dxa"/>
            <w:vAlign w:val="center"/>
          </w:tcPr>
          <w:p w:rsidR="0004066C" w:rsidRPr="00C06F78" w:rsidRDefault="0004066C" w:rsidP="00C06F78">
            <w:pPr>
              <w:pStyle w:val="Tabletext"/>
              <w:jc w:val="center"/>
            </w:pPr>
            <w:r w:rsidRPr="00C06F78">
              <w:t>2007</w:t>
            </w:r>
          </w:p>
        </w:tc>
        <w:tc>
          <w:tcPr>
            <w:tcW w:w="646" w:type="dxa"/>
            <w:vAlign w:val="center"/>
          </w:tcPr>
          <w:p w:rsidR="0004066C" w:rsidRPr="00C06F78" w:rsidRDefault="0004066C" w:rsidP="00C06F78">
            <w:pPr>
              <w:pStyle w:val="Tabletext"/>
              <w:jc w:val="center"/>
            </w:pPr>
            <w:r w:rsidRPr="00C06F78">
              <w:t>2008</w:t>
            </w:r>
          </w:p>
        </w:tc>
        <w:tc>
          <w:tcPr>
            <w:tcW w:w="646" w:type="dxa"/>
            <w:vAlign w:val="center"/>
          </w:tcPr>
          <w:p w:rsidR="0004066C" w:rsidRPr="00C06F78" w:rsidRDefault="0004066C" w:rsidP="00C06F78">
            <w:pPr>
              <w:pStyle w:val="Tabletext"/>
              <w:jc w:val="center"/>
            </w:pPr>
            <w:r w:rsidRPr="00C06F78">
              <w:t>2009</w:t>
            </w:r>
          </w:p>
        </w:tc>
        <w:tc>
          <w:tcPr>
            <w:tcW w:w="646" w:type="dxa"/>
            <w:vAlign w:val="center"/>
          </w:tcPr>
          <w:p w:rsidR="0004066C" w:rsidRPr="00C06F78" w:rsidRDefault="0004066C" w:rsidP="00C06F78">
            <w:pPr>
              <w:pStyle w:val="Tabletext"/>
              <w:jc w:val="center"/>
            </w:pPr>
            <w:r w:rsidRPr="00C06F78">
              <w:t>2010</w:t>
            </w:r>
          </w:p>
        </w:tc>
        <w:tc>
          <w:tcPr>
            <w:tcW w:w="646" w:type="dxa"/>
            <w:vAlign w:val="center"/>
          </w:tcPr>
          <w:p w:rsidR="0004066C" w:rsidRPr="00C06F78" w:rsidRDefault="0004066C" w:rsidP="00C06F78">
            <w:pPr>
              <w:pStyle w:val="Tabletext"/>
              <w:jc w:val="center"/>
            </w:pPr>
            <w:r w:rsidRPr="00C06F78">
              <w:t>2011</w:t>
            </w:r>
          </w:p>
        </w:tc>
        <w:tc>
          <w:tcPr>
            <w:tcW w:w="646" w:type="dxa"/>
            <w:vAlign w:val="center"/>
          </w:tcPr>
          <w:p w:rsidR="0004066C" w:rsidRPr="00C06F78" w:rsidRDefault="0004066C" w:rsidP="00C06F78">
            <w:pPr>
              <w:pStyle w:val="Tabletext"/>
              <w:jc w:val="center"/>
            </w:pPr>
            <w:r w:rsidRPr="00C06F78">
              <w:t>2012</w:t>
            </w:r>
          </w:p>
        </w:tc>
        <w:tc>
          <w:tcPr>
            <w:tcW w:w="646" w:type="dxa"/>
            <w:vAlign w:val="center"/>
          </w:tcPr>
          <w:p w:rsidR="0004066C" w:rsidRPr="00C06F78" w:rsidRDefault="0004066C" w:rsidP="00C06F78">
            <w:pPr>
              <w:pStyle w:val="Tabletext"/>
              <w:jc w:val="center"/>
            </w:pPr>
            <w:r w:rsidRPr="00C06F78">
              <w:t>2013</w:t>
            </w:r>
          </w:p>
        </w:tc>
        <w:tc>
          <w:tcPr>
            <w:tcW w:w="646" w:type="dxa"/>
            <w:vAlign w:val="center"/>
          </w:tcPr>
          <w:p w:rsidR="0004066C" w:rsidRPr="00C06F78" w:rsidRDefault="0004066C" w:rsidP="00C06F78">
            <w:pPr>
              <w:pStyle w:val="Tabletext"/>
              <w:jc w:val="center"/>
            </w:pPr>
            <w:r w:rsidRPr="00C06F78">
              <w:t>2014</w:t>
            </w:r>
          </w:p>
        </w:tc>
        <w:tc>
          <w:tcPr>
            <w:tcW w:w="646" w:type="dxa"/>
            <w:vAlign w:val="center"/>
          </w:tcPr>
          <w:p w:rsidR="0004066C" w:rsidRPr="00C06F78" w:rsidRDefault="0004066C" w:rsidP="00C06F78">
            <w:pPr>
              <w:pStyle w:val="Tabletext"/>
              <w:jc w:val="center"/>
            </w:pPr>
            <w:r w:rsidRPr="00C06F78">
              <w:t>2015</w:t>
            </w:r>
          </w:p>
        </w:tc>
      </w:tr>
      <w:tr w:rsidR="0004066C" w:rsidRPr="00165636" w:rsidTr="009A3EE3">
        <w:trPr>
          <w:trHeight w:val="227"/>
        </w:trPr>
        <w:tc>
          <w:tcPr>
            <w:tcW w:w="1696" w:type="dxa"/>
            <w:tcBorders>
              <w:top w:val="single" w:sz="4" w:space="0" w:color="auto"/>
            </w:tcBorders>
          </w:tcPr>
          <w:p w:rsidR="0004066C" w:rsidRPr="00165636" w:rsidRDefault="0004066C" w:rsidP="00C06F78">
            <w:pPr>
              <w:pStyle w:val="Tabletext"/>
            </w:pPr>
            <w:r w:rsidRPr="00165636">
              <w:t>2007</w:t>
            </w:r>
          </w:p>
        </w:tc>
        <w:tc>
          <w:tcPr>
            <w:tcW w:w="786" w:type="dxa"/>
            <w:tcBorders>
              <w:top w:val="single" w:sz="4" w:space="0" w:color="auto"/>
            </w:tcBorders>
            <w:vAlign w:val="center"/>
          </w:tcPr>
          <w:p w:rsidR="0004066C" w:rsidRPr="00165636" w:rsidRDefault="0004066C" w:rsidP="00C06F78">
            <w:pPr>
              <w:pStyle w:val="Tabletext"/>
              <w:jc w:val="center"/>
            </w:pPr>
            <w:r w:rsidRPr="00165636">
              <w:t>14.6</w:t>
            </w:r>
          </w:p>
        </w:tc>
        <w:tc>
          <w:tcPr>
            <w:tcW w:w="646" w:type="dxa"/>
            <w:tcBorders>
              <w:top w:val="single" w:sz="4" w:space="0" w:color="auto"/>
            </w:tcBorders>
            <w:vAlign w:val="center"/>
          </w:tcPr>
          <w:p w:rsidR="0004066C" w:rsidRPr="00165636" w:rsidRDefault="0004066C" w:rsidP="00C06F78">
            <w:pPr>
              <w:pStyle w:val="Tabletext"/>
              <w:jc w:val="center"/>
            </w:pPr>
          </w:p>
        </w:tc>
        <w:tc>
          <w:tcPr>
            <w:tcW w:w="646" w:type="dxa"/>
            <w:tcBorders>
              <w:top w:val="single" w:sz="4" w:space="0" w:color="auto"/>
            </w:tcBorders>
            <w:vAlign w:val="center"/>
          </w:tcPr>
          <w:p w:rsidR="0004066C" w:rsidRPr="00165636" w:rsidRDefault="0004066C" w:rsidP="00C06F78">
            <w:pPr>
              <w:pStyle w:val="Tabletext"/>
              <w:jc w:val="center"/>
            </w:pPr>
          </w:p>
        </w:tc>
        <w:tc>
          <w:tcPr>
            <w:tcW w:w="646" w:type="dxa"/>
            <w:tcBorders>
              <w:top w:val="single" w:sz="4" w:space="0" w:color="auto"/>
            </w:tcBorders>
            <w:vAlign w:val="center"/>
          </w:tcPr>
          <w:p w:rsidR="0004066C" w:rsidRPr="00165636" w:rsidRDefault="0004066C" w:rsidP="00C06F78">
            <w:pPr>
              <w:pStyle w:val="Tabletext"/>
              <w:jc w:val="center"/>
            </w:pPr>
          </w:p>
        </w:tc>
        <w:tc>
          <w:tcPr>
            <w:tcW w:w="646" w:type="dxa"/>
            <w:tcBorders>
              <w:top w:val="single" w:sz="4" w:space="0" w:color="auto"/>
            </w:tcBorders>
            <w:vAlign w:val="center"/>
          </w:tcPr>
          <w:p w:rsidR="0004066C" w:rsidRPr="00165636" w:rsidRDefault="0004066C" w:rsidP="00C06F78">
            <w:pPr>
              <w:pStyle w:val="Tabletext"/>
              <w:jc w:val="center"/>
            </w:pPr>
          </w:p>
        </w:tc>
        <w:tc>
          <w:tcPr>
            <w:tcW w:w="646" w:type="dxa"/>
            <w:tcBorders>
              <w:top w:val="single" w:sz="4" w:space="0" w:color="auto"/>
            </w:tcBorders>
            <w:vAlign w:val="center"/>
          </w:tcPr>
          <w:p w:rsidR="0004066C" w:rsidRPr="00165636" w:rsidRDefault="0004066C" w:rsidP="00C06F78">
            <w:pPr>
              <w:pStyle w:val="Tabletext"/>
              <w:jc w:val="center"/>
            </w:pPr>
          </w:p>
        </w:tc>
        <w:tc>
          <w:tcPr>
            <w:tcW w:w="646" w:type="dxa"/>
            <w:tcBorders>
              <w:top w:val="single" w:sz="4" w:space="0" w:color="auto"/>
            </w:tcBorders>
            <w:vAlign w:val="center"/>
          </w:tcPr>
          <w:p w:rsidR="0004066C" w:rsidRPr="00165636" w:rsidRDefault="0004066C" w:rsidP="00C06F78">
            <w:pPr>
              <w:pStyle w:val="Tabletext"/>
              <w:jc w:val="center"/>
            </w:pPr>
          </w:p>
        </w:tc>
        <w:tc>
          <w:tcPr>
            <w:tcW w:w="646" w:type="dxa"/>
            <w:tcBorders>
              <w:top w:val="single" w:sz="4" w:space="0" w:color="auto"/>
            </w:tcBorders>
            <w:vAlign w:val="center"/>
          </w:tcPr>
          <w:p w:rsidR="0004066C" w:rsidRPr="00165636" w:rsidRDefault="0004066C" w:rsidP="00C06F78">
            <w:pPr>
              <w:pStyle w:val="Tabletext"/>
              <w:jc w:val="center"/>
            </w:pPr>
          </w:p>
        </w:tc>
        <w:tc>
          <w:tcPr>
            <w:tcW w:w="646" w:type="dxa"/>
            <w:tcBorders>
              <w:top w:val="single" w:sz="4" w:space="0" w:color="auto"/>
            </w:tcBorders>
            <w:vAlign w:val="center"/>
          </w:tcPr>
          <w:p w:rsidR="0004066C" w:rsidRPr="00165636" w:rsidRDefault="0004066C" w:rsidP="00C06F78">
            <w:pPr>
              <w:pStyle w:val="Tabletext"/>
              <w:jc w:val="center"/>
            </w:pPr>
          </w:p>
        </w:tc>
      </w:tr>
      <w:tr w:rsidR="0004066C" w:rsidRPr="00165636" w:rsidTr="009A3EE3">
        <w:trPr>
          <w:trHeight w:val="227"/>
        </w:trPr>
        <w:tc>
          <w:tcPr>
            <w:tcW w:w="1696" w:type="dxa"/>
          </w:tcPr>
          <w:p w:rsidR="0004066C" w:rsidRPr="00165636" w:rsidRDefault="0004066C" w:rsidP="00C06F78">
            <w:pPr>
              <w:pStyle w:val="Tabletext"/>
            </w:pPr>
            <w:r w:rsidRPr="00165636">
              <w:t>2008</w:t>
            </w:r>
          </w:p>
        </w:tc>
        <w:tc>
          <w:tcPr>
            <w:tcW w:w="786" w:type="dxa"/>
            <w:vAlign w:val="center"/>
          </w:tcPr>
          <w:p w:rsidR="0004066C" w:rsidRPr="00165636" w:rsidRDefault="0004066C" w:rsidP="00C06F78">
            <w:pPr>
              <w:pStyle w:val="Tabletext"/>
              <w:jc w:val="center"/>
            </w:pPr>
            <w:r w:rsidRPr="00165636">
              <w:t>23.8</w:t>
            </w:r>
          </w:p>
        </w:tc>
        <w:tc>
          <w:tcPr>
            <w:tcW w:w="646" w:type="dxa"/>
            <w:vAlign w:val="center"/>
          </w:tcPr>
          <w:p w:rsidR="0004066C" w:rsidRPr="00165636" w:rsidRDefault="0004066C" w:rsidP="00C06F78">
            <w:pPr>
              <w:pStyle w:val="Tabletext"/>
              <w:jc w:val="center"/>
            </w:pPr>
            <w:r w:rsidRPr="00165636">
              <w:t>14.9</w:t>
            </w: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r>
      <w:tr w:rsidR="0004066C" w:rsidRPr="00165636" w:rsidTr="009A3EE3">
        <w:trPr>
          <w:trHeight w:val="227"/>
        </w:trPr>
        <w:tc>
          <w:tcPr>
            <w:tcW w:w="1696" w:type="dxa"/>
          </w:tcPr>
          <w:p w:rsidR="0004066C" w:rsidRPr="00165636" w:rsidRDefault="0004066C" w:rsidP="00C06F78">
            <w:pPr>
              <w:pStyle w:val="Tabletext"/>
            </w:pPr>
            <w:r w:rsidRPr="00165636">
              <w:t>2009</w:t>
            </w:r>
          </w:p>
        </w:tc>
        <w:tc>
          <w:tcPr>
            <w:tcW w:w="786" w:type="dxa"/>
            <w:vAlign w:val="center"/>
          </w:tcPr>
          <w:p w:rsidR="0004066C" w:rsidRPr="00165636" w:rsidRDefault="0004066C" w:rsidP="00C06F78">
            <w:pPr>
              <w:pStyle w:val="Tabletext"/>
              <w:jc w:val="center"/>
            </w:pPr>
            <w:r w:rsidRPr="00165636">
              <w:t>27.7</w:t>
            </w:r>
          </w:p>
        </w:tc>
        <w:tc>
          <w:tcPr>
            <w:tcW w:w="646" w:type="dxa"/>
            <w:vAlign w:val="center"/>
          </w:tcPr>
          <w:p w:rsidR="0004066C" w:rsidRPr="00165636" w:rsidRDefault="0004066C" w:rsidP="00C06F78">
            <w:pPr>
              <w:pStyle w:val="Tabletext"/>
              <w:jc w:val="center"/>
            </w:pPr>
            <w:r w:rsidRPr="00165636">
              <w:t>25.5</w:t>
            </w:r>
          </w:p>
        </w:tc>
        <w:tc>
          <w:tcPr>
            <w:tcW w:w="646" w:type="dxa"/>
            <w:vAlign w:val="center"/>
          </w:tcPr>
          <w:p w:rsidR="0004066C" w:rsidRPr="00165636" w:rsidRDefault="0004066C" w:rsidP="00C06F78">
            <w:pPr>
              <w:pStyle w:val="Tabletext"/>
              <w:jc w:val="center"/>
            </w:pPr>
            <w:r w:rsidRPr="00165636">
              <w:t>17.5</w:t>
            </w: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r>
      <w:tr w:rsidR="0004066C" w:rsidRPr="00165636" w:rsidTr="009A3EE3">
        <w:trPr>
          <w:trHeight w:val="227"/>
        </w:trPr>
        <w:tc>
          <w:tcPr>
            <w:tcW w:w="1696" w:type="dxa"/>
          </w:tcPr>
          <w:p w:rsidR="0004066C" w:rsidRPr="00165636" w:rsidRDefault="0004066C" w:rsidP="00C06F78">
            <w:pPr>
              <w:pStyle w:val="Tabletext"/>
            </w:pPr>
            <w:r w:rsidRPr="00165636">
              <w:t>2010</w:t>
            </w:r>
          </w:p>
        </w:tc>
        <w:tc>
          <w:tcPr>
            <w:tcW w:w="786" w:type="dxa"/>
            <w:vAlign w:val="center"/>
          </w:tcPr>
          <w:p w:rsidR="0004066C" w:rsidRPr="00165636" w:rsidRDefault="0004066C" w:rsidP="00C06F78">
            <w:pPr>
              <w:pStyle w:val="Tabletext"/>
              <w:jc w:val="center"/>
            </w:pPr>
            <w:r w:rsidRPr="00165636">
              <w:t>29.5</w:t>
            </w:r>
          </w:p>
        </w:tc>
        <w:tc>
          <w:tcPr>
            <w:tcW w:w="646" w:type="dxa"/>
            <w:vAlign w:val="center"/>
          </w:tcPr>
          <w:p w:rsidR="0004066C" w:rsidRPr="00165636" w:rsidRDefault="0004066C" w:rsidP="00C06F78">
            <w:pPr>
              <w:pStyle w:val="Tabletext"/>
              <w:jc w:val="center"/>
            </w:pPr>
            <w:r w:rsidRPr="00165636">
              <w:t>28.8</w:t>
            </w:r>
          </w:p>
        </w:tc>
        <w:tc>
          <w:tcPr>
            <w:tcW w:w="646" w:type="dxa"/>
            <w:vAlign w:val="center"/>
          </w:tcPr>
          <w:p w:rsidR="0004066C" w:rsidRPr="00165636" w:rsidRDefault="0004066C" w:rsidP="00C06F78">
            <w:pPr>
              <w:pStyle w:val="Tabletext"/>
              <w:jc w:val="center"/>
            </w:pPr>
            <w:r w:rsidRPr="00165636">
              <w:t>28.3</w:t>
            </w:r>
          </w:p>
        </w:tc>
        <w:tc>
          <w:tcPr>
            <w:tcW w:w="646" w:type="dxa"/>
            <w:vAlign w:val="center"/>
          </w:tcPr>
          <w:p w:rsidR="0004066C" w:rsidRPr="00165636" w:rsidRDefault="0004066C" w:rsidP="00C06F78">
            <w:pPr>
              <w:pStyle w:val="Tabletext"/>
              <w:jc w:val="center"/>
            </w:pPr>
            <w:r w:rsidRPr="00165636">
              <w:t>18.2</w:t>
            </w: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r>
      <w:tr w:rsidR="0004066C" w:rsidRPr="00165636" w:rsidTr="009A3EE3">
        <w:trPr>
          <w:trHeight w:val="227"/>
        </w:trPr>
        <w:tc>
          <w:tcPr>
            <w:tcW w:w="1696" w:type="dxa"/>
          </w:tcPr>
          <w:p w:rsidR="0004066C" w:rsidRPr="00165636" w:rsidRDefault="0004066C" w:rsidP="00C06F78">
            <w:pPr>
              <w:pStyle w:val="Tabletext"/>
            </w:pPr>
            <w:r w:rsidRPr="00165636">
              <w:t>2011</w:t>
            </w:r>
          </w:p>
        </w:tc>
        <w:tc>
          <w:tcPr>
            <w:tcW w:w="786" w:type="dxa"/>
            <w:vAlign w:val="center"/>
          </w:tcPr>
          <w:p w:rsidR="0004066C" w:rsidRPr="00165636" w:rsidRDefault="0004066C" w:rsidP="00C06F78">
            <w:pPr>
              <w:pStyle w:val="Tabletext"/>
              <w:jc w:val="center"/>
            </w:pPr>
            <w:r w:rsidRPr="00165636">
              <w:t>30.2</w:t>
            </w:r>
          </w:p>
        </w:tc>
        <w:tc>
          <w:tcPr>
            <w:tcW w:w="646" w:type="dxa"/>
            <w:vAlign w:val="center"/>
          </w:tcPr>
          <w:p w:rsidR="0004066C" w:rsidRPr="00165636" w:rsidRDefault="0004066C" w:rsidP="00C06F78">
            <w:pPr>
              <w:pStyle w:val="Tabletext"/>
              <w:jc w:val="center"/>
            </w:pPr>
            <w:r w:rsidRPr="00165636">
              <w:t>30.5</w:t>
            </w:r>
          </w:p>
        </w:tc>
        <w:tc>
          <w:tcPr>
            <w:tcW w:w="646" w:type="dxa"/>
            <w:vAlign w:val="center"/>
          </w:tcPr>
          <w:p w:rsidR="0004066C" w:rsidRPr="00165636" w:rsidRDefault="0004066C" w:rsidP="00C06F78">
            <w:pPr>
              <w:pStyle w:val="Tabletext"/>
              <w:jc w:val="center"/>
            </w:pPr>
            <w:r w:rsidRPr="00165636">
              <w:t>31.7</w:t>
            </w:r>
          </w:p>
        </w:tc>
        <w:tc>
          <w:tcPr>
            <w:tcW w:w="646" w:type="dxa"/>
            <w:vAlign w:val="center"/>
          </w:tcPr>
          <w:p w:rsidR="0004066C" w:rsidRPr="00165636" w:rsidRDefault="0004066C" w:rsidP="00C06F78">
            <w:pPr>
              <w:pStyle w:val="Tabletext"/>
              <w:jc w:val="center"/>
            </w:pPr>
            <w:r w:rsidRPr="00165636">
              <w:t>29.4</w:t>
            </w:r>
          </w:p>
        </w:tc>
        <w:tc>
          <w:tcPr>
            <w:tcW w:w="646" w:type="dxa"/>
            <w:vAlign w:val="center"/>
          </w:tcPr>
          <w:p w:rsidR="0004066C" w:rsidRPr="00165636" w:rsidRDefault="0004066C" w:rsidP="00C06F78">
            <w:pPr>
              <w:pStyle w:val="Tabletext"/>
              <w:jc w:val="center"/>
            </w:pPr>
            <w:r w:rsidRPr="00165636">
              <w:t>19.3</w:t>
            </w: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r>
      <w:tr w:rsidR="0004066C" w:rsidRPr="00165636" w:rsidTr="009A3EE3">
        <w:trPr>
          <w:trHeight w:val="227"/>
        </w:trPr>
        <w:tc>
          <w:tcPr>
            <w:tcW w:w="1696" w:type="dxa"/>
          </w:tcPr>
          <w:p w:rsidR="0004066C" w:rsidRPr="00165636" w:rsidRDefault="0004066C" w:rsidP="00C06F78">
            <w:pPr>
              <w:pStyle w:val="Tabletext"/>
            </w:pPr>
            <w:r w:rsidRPr="00165636">
              <w:t>2012</w:t>
            </w:r>
          </w:p>
        </w:tc>
        <w:tc>
          <w:tcPr>
            <w:tcW w:w="786" w:type="dxa"/>
            <w:vAlign w:val="center"/>
          </w:tcPr>
          <w:p w:rsidR="0004066C" w:rsidRPr="00165636" w:rsidRDefault="0004066C" w:rsidP="00C06F78">
            <w:pPr>
              <w:pStyle w:val="Tabletext"/>
              <w:jc w:val="center"/>
            </w:pPr>
            <w:r w:rsidRPr="00165636">
              <w:t>30.3</w:t>
            </w:r>
          </w:p>
        </w:tc>
        <w:tc>
          <w:tcPr>
            <w:tcW w:w="646" w:type="dxa"/>
            <w:vAlign w:val="center"/>
          </w:tcPr>
          <w:p w:rsidR="0004066C" w:rsidRPr="00165636" w:rsidRDefault="0004066C" w:rsidP="00C06F78">
            <w:pPr>
              <w:pStyle w:val="Tabletext"/>
              <w:jc w:val="center"/>
            </w:pPr>
            <w:r w:rsidRPr="00165636">
              <w:t>31.1</w:t>
            </w:r>
          </w:p>
        </w:tc>
        <w:tc>
          <w:tcPr>
            <w:tcW w:w="646" w:type="dxa"/>
            <w:vAlign w:val="center"/>
          </w:tcPr>
          <w:p w:rsidR="0004066C" w:rsidRPr="00165636" w:rsidRDefault="0004066C" w:rsidP="00C06F78">
            <w:pPr>
              <w:pStyle w:val="Tabletext"/>
              <w:jc w:val="center"/>
            </w:pPr>
            <w:r w:rsidRPr="00165636">
              <w:t>33.3</w:t>
            </w:r>
          </w:p>
        </w:tc>
        <w:tc>
          <w:tcPr>
            <w:tcW w:w="646" w:type="dxa"/>
            <w:vAlign w:val="center"/>
          </w:tcPr>
          <w:p w:rsidR="0004066C" w:rsidRPr="00165636" w:rsidRDefault="0004066C" w:rsidP="00C06F78">
            <w:pPr>
              <w:pStyle w:val="Tabletext"/>
              <w:jc w:val="center"/>
            </w:pPr>
            <w:r w:rsidRPr="00165636">
              <w:t>33.5</w:t>
            </w:r>
          </w:p>
        </w:tc>
        <w:tc>
          <w:tcPr>
            <w:tcW w:w="646" w:type="dxa"/>
            <w:vAlign w:val="center"/>
          </w:tcPr>
          <w:p w:rsidR="0004066C" w:rsidRPr="00165636" w:rsidRDefault="0004066C" w:rsidP="00C06F78">
            <w:pPr>
              <w:pStyle w:val="Tabletext"/>
              <w:jc w:val="center"/>
            </w:pPr>
            <w:r w:rsidRPr="00165636">
              <w:t>32.5</w:t>
            </w:r>
          </w:p>
        </w:tc>
        <w:tc>
          <w:tcPr>
            <w:tcW w:w="646" w:type="dxa"/>
            <w:vAlign w:val="center"/>
          </w:tcPr>
          <w:p w:rsidR="0004066C" w:rsidRPr="00165636" w:rsidRDefault="0004066C" w:rsidP="00C06F78">
            <w:pPr>
              <w:pStyle w:val="Tabletext"/>
              <w:jc w:val="center"/>
            </w:pPr>
            <w:r w:rsidRPr="00165636">
              <w:t>22.1</w:t>
            </w: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r>
      <w:tr w:rsidR="0004066C" w:rsidRPr="00165636" w:rsidTr="009A3EE3">
        <w:trPr>
          <w:trHeight w:val="227"/>
        </w:trPr>
        <w:tc>
          <w:tcPr>
            <w:tcW w:w="1696" w:type="dxa"/>
          </w:tcPr>
          <w:p w:rsidR="0004066C" w:rsidRPr="00165636" w:rsidRDefault="0004066C" w:rsidP="00C06F78">
            <w:pPr>
              <w:pStyle w:val="Tabletext"/>
            </w:pPr>
            <w:r w:rsidRPr="00165636">
              <w:t>2013</w:t>
            </w:r>
          </w:p>
        </w:tc>
        <w:tc>
          <w:tcPr>
            <w:tcW w:w="786" w:type="dxa"/>
            <w:vAlign w:val="center"/>
          </w:tcPr>
          <w:p w:rsidR="0004066C" w:rsidRPr="00165636" w:rsidRDefault="0004066C" w:rsidP="00C06F78">
            <w:pPr>
              <w:pStyle w:val="Tabletext"/>
              <w:jc w:val="center"/>
            </w:pPr>
            <w:r w:rsidRPr="00165636">
              <w:t>30.4</w:t>
            </w:r>
          </w:p>
        </w:tc>
        <w:tc>
          <w:tcPr>
            <w:tcW w:w="646" w:type="dxa"/>
            <w:vAlign w:val="center"/>
          </w:tcPr>
          <w:p w:rsidR="0004066C" w:rsidRPr="00165636" w:rsidRDefault="0004066C" w:rsidP="00C06F78">
            <w:pPr>
              <w:pStyle w:val="Tabletext"/>
              <w:jc w:val="center"/>
            </w:pPr>
            <w:r w:rsidRPr="00165636">
              <w:t>31.2</w:t>
            </w:r>
          </w:p>
        </w:tc>
        <w:tc>
          <w:tcPr>
            <w:tcW w:w="646" w:type="dxa"/>
            <w:vAlign w:val="center"/>
          </w:tcPr>
          <w:p w:rsidR="0004066C" w:rsidRPr="00165636" w:rsidRDefault="0004066C" w:rsidP="00C06F78">
            <w:pPr>
              <w:pStyle w:val="Tabletext"/>
              <w:jc w:val="center"/>
            </w:pPr>
            <w:r w:rsidRPr="00165636">
              <w:t>33.6</w:t>
            </w:r>
          </w:p>
        </w:tc>
        <w:tc>
          <w:tcPr>
            <w:tcW w:w="646" w:type="dxa"/>
            <w:vAlign w:val="center"/>
          </w:tcPr>
          <w:p w:rsidR="0004066C" w:rsidRPr="00165636" w:rsidRDefault="0004066C" w:rsidP="00C06F78">
            <w:pPr>
              <w:pStyle w:val="Tabletext"/>
              <w:jc w:val="center"/>
            </w:pPr>
            <w:r w:rsidRPr="00165636">
              <w:t>34.7</w:t>
            </w:r>
          </w:p>
        </w:tc>
        <w:tc>
          <w:tcPr>
            <w:tcW w:w="646" w:type="dxa"/>
            <w:vAlign w:val="center"/>
          </w:tcPr>
          <w:p w:rsidR="0004066C" w:rsidRPr="00165636" w:rsidRDefault="0004066C" w:rsidP="00C06F78">
            <w:pPr>
              <w:pStyle w:val="Tabletext"/>
              <w:jc w:val="center"/>
            </w:pPr>
            <w:r w:rsidRPr="00165636">
              <w:t>35.2</w:t>
            </w:r>
          </w:p>
        </w:tc>
        <w:tc>
          <w:tcPr>
            <w:tcW w:w="646" w:type="dxa"/>
            <w:vAlign w:val="center"/>
          </w:tcPr>
          <w:p w:rsidR="0004066C" w:rsidRPr="00165636" w:rsidRDefault="0004066C" w:rsidP="00C06F78">
            <w:pPr>
              <w:pStyle w:val="Tabletext"/>
              <w:jc w:val="center"/>
            </w:pPr>
            <w:r w:rsidRPr="00165636">
              <w:t>33.0</w:t>
            </w:r>
          </w:p>
        </w:tc>
        <w:tc>
          <w:tcPr>
            <w:tcW w:w="646" w:type="dxa"/>
            <w:vAlign w:val="center"/>
          </w:tcPr>
          <w:p w:rsidR="0004066C" w:rsidRPr="00165636" w:rsidRDefault="0004066C" w:rsidP="00C06F78">
            <w:pPr>
              <w:pStyle w:val="Tabletext"/>
              <w:jc w:val="center"/>
            </w:pPr>
            <w:r w:rsidRPr="00165636">
              <w:t>20.7</w:t>
            </w:r>
          </w:p>
        </w:tc>
        <w:tc>
          <w:tcPr>
            <w:tcW w:w="646" w:type="dxa"/>
            <w:vAlign w:val="center"/>
          </w:tcPr>
          <w:p w:rsidR="0004066C" w:rsidRPr="00165636" w:rsidRDefault="0004066C" w:rsidP="00C06F78">
            <w:pPr>
              <w:pStyle w:val="Tabletext"/>
              <w:jc w:val="center"/>
            </w:pPr>
          </w:p>
        </w:tc>
        <w:tc>
          <w:tcPr>
            <w:tcW w:w="646" w:type="dxa"/>
            <w:vAlign w:val="center"/>
          </w:tcPr>
          <w:p w:rsidR="0004066C" w:rsidRPr="00165636" w:rsidRDefault="0004066C" w:rsidP="00C06F78">
            <w:pPr>
              <w:pStyle w:val="Tabletext"/>
              <w:jc w:val="center"/>
            </w:pPr>
          </w:p>
        </w:tc>
      </w:tr>
      <w:tr w:rsidR="0004066C" w:rsidRPr="00165636" w:rsidTr="009A3EE3">
        <w:trPr>
          <w:trHeight w:val="227"/>
        </w:trPr>
        <w:tc>
          <w:tcPr>
            <w:tcW w:w="1696" w:type="dxa"/>
          </w:tcPr>
          <w:p w:rsidR="0004066C" w:rsidRPr="00165636" w:rsidRDefault="0004066C" w:rsidP="00C06F78">
            <w:pPr>
              <w:pStyle w:val="Tabletext"/>
            </w:pPr>
            <w:r w:rsidRPr="00165636">
              <w:t>2014</w:t>
            </w:r>
          </w:p>
        </w:tc>
        <w:tc>
          <w:tcPr>
            <w:tcW w:w="786" w:type="dxa"/>
            <w:vAlign w:val="center"/>
          </w:tcPr>
          <w:p w:rsidR="0004066C" w:rsidRPr="00165636" w:rsidRDefault="0004066C" w:rsidP="00C06F78">
            <w:pPr>
              <w:pStyle w:val="Tabletext"/>
              <w:jc w:val="center"/>
            </w:pPr>
            <w:r w:rsidRPr="00165636">
              <w:t>30.4</w:t>
            </w:r>
          </w:p>
        </w:tc>
        <w:tc>
          <w:tcPr>
            <w:tcW w:w="646" w:type="dxa"/>
            <w:vAlign w:val="center"/>
          </w:tcPr>
          <w:p w:rsidR="0004066C" w:rsidRPr="00165636" w:rsidRDefault="0004066C" w:rsidP="00C06F78">
            <w:pPr>
              <w:pStyle w:val="Tabletext"/>
              <w:jc w:val="center"/>
            </w:pPr>
            <w:r w:rsidRPr="00165636">
              <w:t>31.3</w:t>
            </w:r>
          </w:p>
        </w:tc>
        <w:tc>
          <w:tcPr>
            <w:tcW w:w="646" w:type="dxa"/>
            <w:vAlign w:val="center"/>
          </w:tcPr>
          <w:p w:rsidR="0004066C" w:rsidRPr="00165636" w:rsidRDefault="0004066C" w:rsidP="00C06F78">
            <w:pPr>
              <w:pStyle w:val="Tabletext"/>
              <w:jc w:val="center"/>
            </w:pPr>
            <w:r w:rsidRPr="00165636">
              <w:t>33.7</w:t>
            </w:r>
          </w:p>
        </w:tc>
        <w:tc>
          <w:tcPr>
            <w:tcW w:w="646" w:type="dxa"/>
            <w:vAlign w:val="center"/>
          </w:tcPr>
          <w:p w:rsidR="0004066C" w:rsidRPr="00165636" w:rsidRDefault="0004066C" w:rsidP="00C06F78">
            <w:pPr>
              <w:pStyle w:val="Tabletext"/>
              <w:jc w:val="center"/>
            </w:pPr>
            <w:r w:rsidRPr="00165636">
              <w:t>35.0</w:t>
            </w:r>
          </w:p>
        </w:tc>
        <w:tc>
          <w:tcPr>
            <w:tcW w:w="646" w:type="dxa"/>
            <w:vAlign w:val="center"/>
          </w:tcPr>
          <w:p w:rsidR="0004066C" w:rsidRPr="00165636" w:rsidRDefault="0004066C" w:rsidP="00C06F78">
            <w:pPr>
              <w:pStyle w:val="Tabletext"/>
              <w:jc w:val="center"/>
            </w:pPr>
            <w:r w:rsidRPr="00165636">
              <w:t>36.2</w:t>
            </w:r>
          </w:p>
        </w:tc>
        <w:tc>
          <w:tcPr>
            <w:tcW w:w="646" w:type="dxa"/>
            <w:vAlign w:val="center"/>
          </w:tcPr>
          <w:p w:rsidR="0004066C" w:rsidRPr="00165636" w:rsidRDefault="0004066C" w:rsidP="00C06F78">
            <w:pPr>
              <w:pStyle w:val="Tabletext"/>
              <w:jc w:val="center"/>
            </w:pPr>
            <w:r w:rsidRPr="00165636">
              <w:t>35.3</w:t>
            </w:r>
          </w:p>
        </w:tc>
        <w:tc>
          <w:tcPr>
            <w:tcW w:w="646" w:type="dxa"/>
            <w:vAlign w:val="center"/>
          </w:tcPr>
          <w:p w:rsidR="0004066C" w:rsidRPr="00165636" w:rsidRDefault="0004066C" w:rsidP="00C06F78">
            <w:pPr>
              <w:pStyle w:val="Tabletext"/>
              <w:jc w:val="center"/>
            </w:pPr>
            <w:r w:rsidRPr="00165636">
              <w:t>32.3</w:t>
            </w:r>
          </w:p>
        </w:tc>
        <w:tc>
          <w:tcPr>
            <w:tcW w:w="646" w:type="dxa"/>
            <w:vAlign w:val="center"/>
          </w:tcPr>
          <w:p w:rsidR="0004066C" w:rsidRPr="00165636" w:rsidRDefault="0004066C" w:rsidP="00C06F78">
            <w:pPr>
              <w:pStyle w:val="Tabletext"/>
              <w:jc w:val="center"/>
            </w:pPr>
            <w:r w:rsidRPr="00165636">
              <w:t>23.4</w:t>
            </w:r>
          </w:p>
        </w:tc>
        <w:tc>
          <w:tcPr>
            <w:tcW w:w="646" w:type="dxa"/>
            <w:vAlign w:val="center"/>
          </w:tcPr>
          <w:p w:rsidR="0004066C" w:rsidRPr="00165636" w:rsidRDefault="0004066C" w:rsidP="00C06F78">
            <w:pPr>
              <w:pStyle w:val="Tabletext"/>
              <w:jc w:val="center"/>
            </w:pPr>
          </w:p>
        </w:tc>
      </w:tr>
      <w:tr w:rsidR="0004066C" w:rsidRPr="00D11ADC" w:rsidTr="009A3EE3">
        <w:trPr>
          <w:trHeight w:val="227"/>
        </w:trPr>
        <w:tc>
          <w:tcPr>
            <w:tcW w:w="1696" w:type="dxa"/>
            <w:tcBorders>
              <w:bottom w:val="single" w:sz="4" w:space="0" w:color="auto"/>
            </w:tcBorders>
          </w:tcPr>
          <w:p w:rsidR="0004066C" w:rsidRPr="00165636" w:rsidRDefault="0004066C" w:rsidP="00C06F78">
            <w:pPr>
              <w:pStyle w:val="Tabletext"/>
            </w:pPr>
            <w:r w:rsidRPr="00165636">
              <w:t>2015</w:t>
            </w:r>
          </w:p>
        </w:tc>
        <w:tc>
          <w:tcPr>
            <w:tcW w:w="786" w:type="dxa"/>
            <w:tcBorders>
              <w:bottom w:val="single" w:sz="4" w:space="0" w:color="auto"/>
            </w:tcBorders>
            <w:vAlign w:val="center"/>
          </w:tcPr>
          <w:p w:rsidR="0004066C" w:rsidRPr="00165636" w:rsidRDefault="0004066C" w:rsidP="00C06F78">
            <w:pPr>
              <w:pStyle w:val="Tabletext"/>
              <w:jc w:val="center"/>
            </w:pPr>
            <w:r w:rsidRPr="00165636">
              <w:t>30.4</w:t>
            </w:r>
          </w:p>
        </w:tc>
        <w:tc>
          <w:tcPr>
            <w:tcW w:w="646" w:type="dxa"/>
            <w:tcBorders>
              <w:bottom w:val="single" w:sz="4" w:space="0" w:color="auto"/>
            </w:tcBorders>
            <w:vAlign w:val="center"/>
          </w:tcPr>
          <w:p w:rsidR="0004066C" w:rsidRPr="00165636" w:rsidRDefault="0004066C" w:rsidP="00C06F78">
            <w:pPr>
              <w:pStyle w:val="Tabletext"/>
              <w:jc w:val="center"/>
            </w:pPr>
            <w:r w:rsidRPr="00165636">
              <w:t>31.3</w:t>
            </w:r>
          </w:p>
        </w:tc>
        <w:tc>
          <w:tcPr>
            <w:tcW w:w="646" w:type="dxa"/>
            <w:tcBorders>
              <w:bottom w:val="single" w:sz="4" w:space="0" w:color="auto"/>
            </w:tcBorders>
            <w:vAlign w:val="center"/>
          </w:tcPr>
          <w:p w:rsidR="0004066C" w:rsidRPr="00165636" w:rsidRDefault="0004066C" w:rsidP="00C06F78">
            <w:pPr>
              <w:pStyle w:val="Tabletext"/>
              <w:jc w:val="center"/>
            </w:pPr>
            <w:r w:rsidRPr="00165636">
              <w:t>33.8</w:t>
            </w:r>
          </w:p>
        </w:tc>
        <w:tc>
          <w:tcPr>
            <w:tcW w:w="646" w:type="dxa"/>
            <w:tcBorders>
              <w:bottom w:val="single" w:sz="4" w:space="0" w:color="auto"/>
            </w:tcBorders>
            <w:vAlign w:val="center"/>
          </w:tcPr>
          <w:p w:rsidR="0004066C" w:rsidRPr="00165636" w:rsidRDefault="0004066C" w:rsidP="00C06F78">
            <w:pPr>
              <w:pStyle w:val="Tabletext"/>
              <w:jc w:val="center"/>
            </w:pPr>
            <w:r w:rsidRPr="00165636">
              <w:t>35.1</w:t>
            </w:r>
          </w:p>
        </w:tc>
        <w:tc>
          <w:tcPr>
            <w:tcW w:w="646" w:type="dxa"/>
            <w:tcBorders>
              <w:bottom w:val="single" w:sz="4" w:space="0" w:color="auto"/>
            </w:tcBorders>
            <w:vAlign w:val="center"/>
          </w:tcPr>
          <w:p w:rsidR="0004066C" w:rsidRPr="00165636" w:rsidRDefault="0004066C" w:rsidP="00C06F78">
            <w:pPr>
              <w:pStyle w:val="Tabletext"/>
              <w:jc w:val="center"/>
            </w:pPr>
            <w:r w:rsidRPr="00165636">
              <w:t>36.5</w:t>
            </w:r>
          </w:p>
        </w:tc>
        <w:tc>
          <w:tcPr>
            <w:tcW w:w="646" w:type="dxa"/>
            <w:tcBorders>
              <w:bottom w:val="single" w:sz="4" w:space="0" w:color="auto"/>
            </w:tcBorders>
            <w:vAlign w:val="center"/>
          </w:tcPr>
          <w:p w:rsidR="0004066C" w:rsidRPr="00165636" w:rsidRDefault="0004066C" w:rsidP="00C06F78">
            <w:pPr>
              <w:pStyle w:val="Tabletext"/>
              <w:jc w:val="center"/>
            </w:pPr>
            <w:r w:rsidRPr="00165636">
              <w:t>36.1</w:t>
            </w:r>
          </w:p>
        </w:tc>
        <w:tc>
          <w:tcPr>
            <w:tcW w:w="646" w:type="dxa"/>
            <w:tcBorders>
              <w:bottom w:val="single" w:sz="4" w:space="0" w:color="auto"/>
            </w:tcBorders>
            <w:vAlign w:val="center"/>
          </w:tcPr>
          <w:p w:rsidR="0004066C" w:rsidRPr="00165636" w:rsidRDefault="0004066C" w:rsidP="00C06F78">
            <w:pPr>
              <w:pStyle w:val="Tabletext"/>
              <w:jc w:val="center"/>
            </w:pPr>
            <w:r w:rsidRPr="00165636">
              <w:t>35.2</w:t>
            </w:r>
          </w:p>
        </w:tc>
        <w:tc>
          <w:tcPr>
            <w:tcW w:w="646" w:type="dxa"/>
            <w:tcBorders>
              <w:bottom w:val="single" w:sz="4" w:space="0" w:color="auto"/>
            </w:tcBorders>
            <w:vAlign w:val="center"/>
          </w:tcPr>
          <w:p w:rsidR="0004066C" w:rsidRPr="00165636" w:rsidRDefault="0004066C" w:rsidP="00C06F78">
            <w:pPr>
              <w:pStyle w:val="Tabletext"/>
              <w:jc w:val="center"/>
            </w:pPr>
            <w:r w:rsidRPr="00165636">
              <w:t>36.1</w:t>
            </w:r>
          </w:p>
        </w:tc>
        <w:tc>
          <w:tcPr>
            <w:tcW w:w="646" w:type="dxa"/>
            <w:tcBorders>
              <w:bottom w:val="single" w:sz="4" w:space="0" w:color="auto"/>
            </w:tcBorders>
            <w:vAlign w:val="center"/>
          </w:tcPr>
          <w:p w:rsidR="0004066C" w:rsidRPr="00D11ADC" w:rsidRDefault="0004066C" w:rsidP="00C06F78">
            <w:pPr>
              <w:pStyle w:val="Tabletext"/>
              <w:jc w:val="center"/>
            </w:pPr>
            <w:r w:rsidRPr="00165636">
              <w:t>24.9</w:t>
            </w:r>
          </w:p>
        </w:tc>
      </w:tr>
    </w:tbl>
    <w:p w:rsidR="00B70B98" w:rsidRDefault="007A3EE4" w:rsidP="0004066C">
      <w:pPr>
        <w:pStyle w:val="Text"/>
      </w:pPr>
      <w:r>
        <w:t>The</w:t>
      </w:r>
      <w:r w:rsidR="0004066C">
        <w:t xml:space="preserve"> potential </w:t>
      </w:r>
      <w:r>
        <w:t xml:space="preserve">also exists </w:t>
      </w:r>
      <w:r w:rsidR="0004066C">
        <w:t xml:space="preserve">for improvement in the accuracy of the projections through submission of updated and/or missing information to subsequent collections of the National VET Provider Collection. Some completion records miss the cut-off date for reporting in a collection and may not </w:t>
      </w:r>
      <w:r w:rsidR="005016D9">
        <w:t>be</w:t>
      </w:r>
      <w:r w:rsidR="0004066C">
        <w:t xml:space="preserve"> reported in subsequent collections.</w:t>
      </w:r>
      <w:r w:rsidR="009670B6">
        <w:t xml:space="preserve"> </w:t>
      </w:r>
      <w:r w:rsidR="0004066C">
        <w:t xml:space="preserve">Unfortunately, it is not possible for NCVER to quantify the impact of this issue at this </w:t>
      </w:r>
      <w:r w:rsidR="005016D9">
        <w:lastRenderedPageBreak/>
        <w:t xml:space="preserve">time. </w:t>
      </w:r>
      <w:r w:rsidR="004F6E13">
        <w:t>A</w:t>
      </w:r>
      <w:r w:rsidR="0004066C" w:rsidRPr="004C658A">
        <w:t>ctual and projected program completion rates may be</w:t>
      </w:r>
      <w:r w:rsidR="0004066C">
        <w:t xml:space="preserve"> </w:t>
      </w:r>
      <w:r w:rsidR="005016D9">
        <w:t xml:space="preserve">being </w:t>
      </w:r>
      <w:r w:rsidR="0004066C">
        <w:t>underestimated across all levels, an</w:t>
      </w:r>
      <w:r w:rsidR="005016D9">
        <w:t xml:space="preserve"> issue that</w:t>
      </w:r>
      <w:r w:rsidR="0004066C">
        <w:t xml:space="preserve"> requires further investigation. </w:t>
      </w:r>
    </w:p>
    <w:p w:rsidR="0004066C" w:rsidRDefault="005016D9" w:rsidP="0004066C">
      <w:pPr>
        <w:pStyle w:val="Text"/>
      </w:pPr>
      <w:r>
        <w:t>Although</w:t>
      </w:r>
      <w:r w:rsidR="0004066C" w:rsidRPr="00294DCB">
        <w:t xml:space="preserve"> the </w:t>
      </w:r>
      <w:r>
        <w:t>unique student identifier</w:t>
      </w:r>
      <w:r w:rsidR="0004066C" w:rsidRPr="00294DCB">
        <w:t xml:space="preserve"> </w:t>
      </w:r>
      <w:r>
        <w:t>has only recently been introduced</w:t>
      </w:r>
      <w:r w:rsidR="0004066C" w:rsidRPr="00294DCB">
        <w:t xml:space="preserve">, it is expected to make the process of observing </w:t>
      </w:r>
      <w:r w:rsidR="00FD7FAC">
        <w:t xml:space="preserve">and tracking </w:t>
      </w:r>
      <w:r w:rsidR="0004066C" w:rsidRPr="00294DCB">
        <w:t xml:space="preserve">program enrolments from commencement to completion easier and more reliable. As the Markov chain approach requires a minimum of three years data </w:t>
      </w:r>
      <w:r w:rsidR="0004066C">
        <w:t>to estimate</w:t>
      </w:r>
      <w:r w:rsidR="0004066C" w:rsidRPr="00294DCB">
        <w:t xml:space="preserve"> project</w:t>
      </w:r>
      <w:r w:rsidR="0004066C">
        <w:t>ed completion rates</w:t>
      </w:r>
      <w:r w:rsidR="0004066C" w:rsidRPr="00294DCB">
        <w:t>, the application of USIs into the methodology will be phased in f</w:t>
      </w:r>
      <w:r>
        <w:t>rom the 2017 collection</w:t>
      </w:r>
      <w:r w:rsidR="0004066C" w:rsidRPr="00294DCB">
        <w:t>.</w:t>
      </w:r>
      <w:r w:rsidR="0004066C">
        <w:t xml:space="preserve"> </w:t>
      </w:r>
      <w:r>
        <w:t>The incorporation of</w:t>
      </w:r>
      <w:r w:rsidR="0004066C">
        <w:t xml:space="preserve"> USIs into the methodology used to estimate program completion rates will require due investigation to understand </w:t>
      </w:r>
      <w:r w:rsidR="00E44F84" w:rsidRPr="00E44F84">
        <w:t xml:space="preserve">its </w:t>
      </w:r>
      <w:r w:rsidR="002A0E39">
        <w:t>impact</w:t>
      </w:r>
      <w:r w:rsidR="00E44F84" w:rsidRPr="00E44F84">
        <w:t xml:space="preserve"> before implementation</w:t>
      </w:r>
      <w:r w:rsidR="00E44F84">
        <w:rPr>
          <w:rStyle w:val="CommentReference"/>
          <w:rFonts w:ascii="Times New Roman" w:hAnsi="Times New Roman"/>
          <w:lang w:eastAsia="en-AU"/>
        </w:rPr>
        <w:t>.</w:t>
      </w:r>
    </w:p>
    <w:p w:rsidR="00E31E09" w:rsidRPr="00294DCB" w:rsidRDefault="00E31E09" w:rsidP="0004066C">
      <w:pPr>
        <w:pStyle w:val="Text"/>
      </w:pPr>
      <w:r>
        <w:t>Further investigation is also required to c</w:t>
      </w:r>
      <w:r w:rsidR="00FD7FAC">
        <w:t>onfirm</w:t>
      </w:r>
      <w:r>
        <w:t xml:space="preserve"> the </w:t>
      </w:r>
      <w:r w:rsidR="00B13548">
        <w:t>adequacy</w:t>
      </w:r>
      <w:r>
        <w:t xml:space="preserve"> of the </w:t>
      </w:r>
      <w:r w:rsidR="00B13548">
        <w:t xml:space="preserve">Markov chain </w:t>
      </w:r>
      <w:r>
        <w:t xml:space="preserve">methodology to </w:t>
      </w:r>
      <w:r w:rsidR="00400911">
        <w:t xml:space="preserve">project rates of completion for </w:t>
      </w:r>
      <w:r w:rsidR="00FC56C7">
        <w:t>t</w:t>
      </w:r>
      <w:r>
        <w:t xml:space="preserve">otal VET </w:t>
      </w:r>
      <w:r w:rsidR="00FC56C7">
        <w:t>a</w:t>
      </w:r>
      <w:r w:rsidR="005016D9">
        <w:t>ctivity,</w:t>
      </w:r>
      <w:r w:rsidR="00400911">
        <w:t xml:space="preserve"> first collected with a number of exemptions in 2014 and more fully for 2015. </w:t>
      </w:r>
      <w:r w:rsidR="005016D9">
        <w:t>It</w:t>
      </w:r>
      <w:r w:rsidR="00B13548">
        <w:t xml:space="preserve"> is </w:t>
      </w:r>
      <w:r w:rsidR="005016D9">
        <w:t>anticipated that</w:t>
      </w:r>
      <w:r w:rsidR="00B13548">
        <w:t xml:space="preserve"> the methodolog</w:t>
      </w:r>
      <w:r w:rsidR="005016D9">
        <w:t>y can be readily applied to TVA; however, similar to the incorporation of the USI</w:t>
      </w:r>
      <w:r w:rsidR="00B13548">
        <w:t xml:space="preserve"> </w:t>
      </w:r>
      <w:r w:rsidR="005016D9">
        <w:t xml:space="preserve">noted above, </w:t>
      </w:r>
      <w:r w:rsidR="00400911">
        <w:t xml:space="preserve">a minimum of three years </w:t>
      </w:r>
      <w:r w:rsidR="005078B4">
        <w:t xml:space="preserve">of </w:t>
      </w:r>
      <w:r w:rsidR="00400911">
        <w:t>comparable data</w:t>
      </w:r>
      <w:r w:rsidR="00B13548">
        <w:t xml:space="preserve"> </w:t>
      </w:r>
      <w:r w:rsidR="005016D9">
        <w:t xml:space="preserve">is required, </w:t>
      </w:r>
      <w:r w:rsidR="00B13548">
        <w:t>meaning</w:t>
      </w:r>
      <w:r w:rsidR="00400911">
        <w:t xml:space="preserve"> </w:t>
      </w:r>
      <w:r w:rsidR="00FD7FAC">
        <w:t xml:space="preserve">that </w:t>
      </w:r>
      <w:r w:rsidR="00400911">
        <w:t xml:space="preserve">any </w:t>
      </w:r>
      <w:r w:rsidR="00B13548">
        <w:t xml:space="preserve">TVA </w:t>
      </w:r>
      <w:r w:rsidR="00400911">
        <w:t xml:space="preserve">projections based on this methodology would not become </w:t>
      </w:r>
      <w:r w:rsidR="00D6700B">
        <w:t xml:space="preserve">fully </w:t>
      </w:r>
      <w:r w:rsidR="00400911">
        <w:t xml:space="preserve">available until after the </w:t>
      </w:r>
      <w:r w:rsidR="00D6700B">
        <w:t xml:space="preserve">collection of </w:t>
      </w:r>
      <w:r w:rsidR="00400911">
        <w:t>2017</w:t>
      </w:r>
      <w:r w:rsidR="00AE2F8E">
        <w:t xml:space="preserve"> </w:t>
      </w:r>
      <w:r w:rsidR="00D6700B">
        <w:t>training activity</w:t>
      </w:r>
      <w:r w:rsidR="00400911">
        <w:t>.</w:t>
      </w:r>
    </w:p>
    <w:p w:rsidR="0004066C" w:rsidRPr="00294DCB" w:rsidRDefault="0004066C" w:rsidP="0004066C">
      <w:pPr>
        <w:pStyle w:val="Text"/>
      </w:pPr>
      <w:r>
        <w:t xml:space="preserve">Another area warranting </w:t>
      </w:r>
      <w:r w:rsidR="00E62EB2">
        <w:t>investigation</w:t>
      </w:r>
      <w:r>
        <w:t xml:space="preserve"> </w:t>
      </w:r>
      <w:r w:rsidR="005078B4">
        <w:t>concerns</w:t>
      </w:r>
      <w:r>
        <w:t xml:space="preserve"> </w:t>
      </w:r>
      <w:r w:rsidRPr="00294DCB">
        <w:t>superseded qualifications (</w:t>
      </w:r>
      <w:r w:rsidR="005078B4">
        <w:t>that is,</w:t>
      </w:r>
      <w:r w:rsidRPr="00294DCB">
        <w:t xml:space="preserve"> when a program is replaced or </w:t>
      </w:r>
      <w:r w:rsidR="005078B4">
        <w:t>incorporated</w:t>
      </w:r>
      <w:r w:rsidRPr="00294DCB">
        <w:t xml:space="preserve"> into a new one) and </w:t>
      </w:r>
      <w:r>
        <w:t>their</w:t>
      </w:r>
      <w:r w:rsidRPr="00294DCB">
        <w:t xml:space="preserve"> potential impact on completion rates</w:t>
      </w:r>
      <w:r>
        <w:t>. A very initial analysis at the national level</w:t>
      </w:r>
      <w:r w:rsidRPr="00294DCB">
        <w:t xml:space="preserve"> indicated rates of completion </w:t>
      </w:r>
      <w:r>
        <w:t>may increase</w:t>
      </w:r>
      <w:r w:rsidRPr="00294DCB">
        <w:t xml:space="preserve"> by as much as two percentage points </w:t>
      </w:r>
      <w:r>
        <w:t xml:space="preserve">once superseded qualifications are </w:t>
      </w:r>
      <w:r w:rsidR="005078B4">
        <w:t>taken into account</w:t>
      </w:r>
      <w:r>
        <w:t xml:space="preserve"> in a longitudinal analysis of program enrolments</w:t>
      </w:r>
      <w:r w:rsidRPr="00294DCB">
        <w:t xml:space="preserve">. </w:t>
      </w:r>
    </w:p>
    <w:p w:rsidR="0004066C" w:rsidRDefault="0004066C" w:rsidP="0004066C">
      <w:pPr>
        <w:pStyle w:val="Text"/>
      </w:pPr>
      <w:r w:rsidRPr="00294DCB">
        <w:t xml:space="preserve">In general, the criteria developed by Mark and </w:t>
      </w:r>
      <w:proofErr w:type="spellStart"/>
      <w:r w:rsidRPr="00294DCB">
        <w:t>Karmel</w:t>
      </w:r>
      <w:proofErr w:type="spellEnd"/>
      <w:r w:rsidRPr="00294DCB">
        <w:t xml:space="preserve"> </w:t>
      </w:r>
      <w:r w:rsidR="005078B4">
        <w:t xml:space="preserve">(2010) </w:t>
      </w:r>
      <w:r w:rsidRPr="00294DCB">
        <w:t xml:space="preserve">for classifying an enrolment’s Markov </w:t>
      </w:r>
      <w:r w:rsidR="00FD7FAC">
        <w:t>chain</w:t>
      </w:r>
      <w:r w:rsidRPr="00294DCB">
        <w:t xml:space="preserve"> </w:t>
      </w:r>
      <w:r>
        <w:t xml:space="preserve">state was found to be adequate for the purposes of projecting actual rates of completion. While a number of alternative ways to classify program enrolments into initial Markov chain states were considered, none appears to work </w:t>
      </w:r>
      <w:r w:rsidR="005078B4">
        <w:t>more effectively</w:t>
      </w:r>
      <w:r w:rsidR="00FC56C7">
        <w:t xml:space="preserve"> in terms of </w:t>
      </w:r>
      <w:r w:rsidR="005078B4">
        <w:t>more closely approaching</w:t>
      </w:r>
      <w:r>
        <w:t xml:space="preserve"> the actual rates.</w:t>
      </w:r>
    </w:p>
    <w:p w:rsidR="0004066C" w:rsidRDefault="0004066C" w:rsidP="0004066C">
      <w:pPr>
        <w:pStyle w:val="Text"/>
      </w:pPr>
      <w:r>
        <w:t>The possib</w:t>
      </w:r>
      <w:r w:rsidR="005078B4">
        <w:t xml:space="preserve">ility of using </w:t>
      </w:r>
      <w:r>
        <w:t>other statistical techniques was also considered. Methods such as non-linear regression and mixed modelling are valid alternati</w:t>
      </w:r>
      <w:r w:rsidR="005078B4">
        <w:t>ves to the Markov chain approach;</w:t>
      </w:r>
      <w:r>
        <w:t xml:space="preserve"> however</w:t>
      </w:r>
      <w:r w:rsidR="005078B4">
        <w:t>,</w:t>
      </w:r>
      <w:r>
        <w:t xml:space="preserve"> there are some significant downfalls in their application. In particular, these methods assume </w:t>
      </w:r>
      <w:r w:rsidR="005078B4">
        <w:t xml:space="preserve">that </w:t>
      </w:r>
      <w:r>
        <w:t>the historic nature of the data continues into the future</w:t>
      </w:r>
      <w:r w:rsidR="004B5F84">
        <w:t>,</w:t>
      </w:r>
      <w:r>
        <w:t xml:space="preserve"> and </w:t>
      </w:r>
      <w:r w:rsidR="00E44F84">
        <w:t xml:space="preserve">that </w:t>
      </w:r>
      <w:r w:rsidR="005078B4">
        <w:t xml:space="preserve">they </w:t>
      </w:r>
      <w:r>
        <w:t xml:space="preserve">are not intrinsically adaptive in their approach to projecting the future. This is where the conditional probability Markov chain method </w:t>
      </w:r>
      <w:r w:rsidR="005078B4">
        <w:t>offers the advantage:</w:t>
      </w:r>
      <w:r>
        <w:t xml:space="preserve"> being a random sequential and adaptive process, any change in the underlying trend will quickly be reflected in the transitional probabilities the Markov chain approach uses.</w:t>
      </w:r>
    </w:p>
    <w:p w:rsidR="0004066C" w:rsidRDefault="0004066C" w:rsidP="0004066C">
      <w:pPr>
        <w:pStyle w:val="Text"/>
      </w:pPr>
    </w:p>
    <w:p w:rsidR="00FB152B" w:rsidRDefault="00FB152B">
      <w:pPr>
        <w:spacing w:before="0" w:after="200" w:line="276" w:lineRule="auto"/>
      </w:pPr>
      <w:r>
        <w:br w:type="page"/>
      </w:r>
    </w:p>
    <w:p w:rsidR="00FB152B" w:rsidRPr="008116C6" w:rsidRDefault="008B6117" w:rsidP="00FB152B">
      <w:pPr>
        <w:pStyle w:val="Heading1"/>
      </w:pPr>
      <w:bookmarkStart w:id="47" w:name="_Toc464806097"/>
      <w:r w:rsidRPr="008B6117">
        <w:rPr>
          <w:noProof/>
          <w:lang w:eastAsia="en-AU"/>
        </w:rPr>
        <w:lastRenderedPageBreak/>
        <w:drawing>
          <wp:anchor distT="0" distB="0" distL="114300" distR="114300" simplePos="0" relativeHeight="251753472" behindDoc="1" locked="0" layoutInCell="1" allowOverlap="1" wp14:anchorId="1D9EE0EB" wp14:editId="732760B9">
            <wp:simplePos x="0" y="0"/>
            <wp:positionH relativeFrom="column">
              <wp:posOffset>-25400</wp:posOffset>
            </wp:positionH>
            <wp:positionV relativeFrom="paragraph">
              <wp:posOffset>-41275</wp:posOffset>
            </wp:positionV>
            <wp:extent cx="422275" cy="422275"/>
            <wp:effectExtent l="0" t="0" r="0" b="0"/>
            <wp:wrapTight wrapText="bothSides">
              <wp:wrapPolygon edited="0">
                <wp:start x="4872" y="0"/>
                <wp:lineTo x="0" y="4872"/>
                <wp:lineTo x="0" y="16565"/>
                <wp:lineTo x="4872" y="20463"/>
                <wp:lineTo x="5847" y="20463"/>
                <wp:lineTo x="14617" y="20463"/>
                <wp:lineTo x="15591" y="20463"/>
                <wp:lineTo x="20463" y="16565"/>
                <wp:lineTo x="20463" y="4872"/>
                <wp:lineTo x="15591" y="0"/>
                <wp:lineTo x="4872"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Conclusion.emf"/>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22275" cy="422275"/>
                    </a:xfrm>
                    <a:prstGeom prst="rect">
                      <a:avLst/>
                    </a:prstGeom>
                    <a:noFill/>
                    <a:ln>
                      <a:noFill/>
                    </a:ln>
                  </pic:spPr>
                </pic:pic>
              </a:graphicData>
            </a:graphic>
          </wp:anchor>
        </w:drawing>
      </w:r>
      <w:r w:rsidR="0004066C">
        <w:t>Conclusion</w:t>
      </w:r>
      <w:bookmarkEnd w:id="47"/>
    </w:p>
    <w:p w:rsidR="0004066C" w:rsidRDefault="0004066C" w:rsidP="0004066C">
      <w:pPr>
        <w:pStyle w:val="Text"/>
        <w:rPr>
          <w:rFonts w:eastAsiaTheme="minorHAnsi"/>
          <w:szCs w:val="19"/>
        </w:rPr>
      </w:pPr>
      <w:r>
        <w:t xml:space="preserve">In this paper, we reviewed the validity of the method </w:t>
      </w:r>
      <w:r w:rsidR="00FD7FAC">
        <w:t xml:space="preserve">used </w:t>
      </w:r>
      <w:r>
        <w:t xml:space="preserve">by NCVER </w:t>
      </w:r>
      <w:r w:rsidR="005078B4">
        <w:t xml:space="preserve">for some time </w:t>
      </w:r>
      <w:r w:rsidR="00FD7FAC">
        <w:t>to estimate</w:t>
      </w:r>
      <w:r>
        <w:t xml:space="preserve"> completion rates for government-funded vocational education and training programs.</w:t>
      </w:r>
    </w:p>
    <w:p w:rsidR="0004066C" w:rsidRDefault="0004066C" w:rsidP="0004066C">
      <w:pPr>
        <w:pStyle w:val="Text"/>
        <w:rPr>
          <w:sz w:val="20"/>
        </w:rPr>
      </w:pPr>
      <w:r>
        <w:t xml:space="preserve">Our findings show that </w:t>
      </w:r>
      <w:r w:rsidR="009472CB">
        <w:t>this</w:t>
      </w:r>
      <w:r>
        <w:t xml:space="preserve"> </w:t>
      </w:r>
      <w:r w:rsidR="005078B4">
        <w:t>approach</w:t>
      </w:r>
      <w:r w:rsidR="00FD7FAC">
        <w:t>, whereby data</w:t>
      </w:r>
      <w:r>
        <w:t xml:space="preserve"> from the National VET Provider Collection</w:t>
      </w:r>
      <w:r w:rsidR="00FD7FAC">
        <w:t xml:space="preserve"> are utilised,</w:t>
      </w:r>
      <w:r>
        <w:t xml:space="preserve"> is reliable and aligns well with </w:t>
      </w:r>
      <w:r w:rsidR="00FD7FAC">
        <w:t xml:space="preserve">the </w:t>
      </w:r>
      <w:r>
        <w:t>actual rates of completion.</w:t>
      </w:r>
      <w:r w:rsidR="009670B6">
        <w:t xml:space="preserve"> </w:t>
      </w:r>
      <w:r w:rsidR="005078B4">
        <w:t>The d</w:t>
      </w:r>
      <w:r>
        <w:t>ivergence of data for the most recent years reflects the upwards revision in the rates that occurs once additional award records become available</w:t>
      </w:r>
      <w:r w:rsidR="005078B4">
        <w:t>,</w:t>
      </w:r>
      <w:r>
        <w:t xml:space="preserve"> in subsequent collection</w:t>
      </w:r>
      <w:r w:rsidR="009472CB">
        <w:t>s</w:t>
      </w:r>
      <w:r>
        <w:t>.</w:t>
      </w:r>
      <w:r w:rsidR="00187BAC">
        <w:t xml:space="preserve"> The</w:t>
      </w:r>
      <w:r w:rsidR="00187BAC" w:rsidRPr="005A59D5">
        <w:t xml:space="preserve"> </w:t>
      </w:r>
      <w:r w:rsidR="00187BAC">
        <w:t xml:space="preserve">current </w:t>
      </w:r>
      <w:r w:rsidR="00187BAC" w:rsidRPr="005A59D5">
        <w:t xml:space="preserve">methodology </w:t>
      </w:r>
      <w:r w:rsidR="00187BAC">
        <w:t xml:space="preserve">has the advantage </w:t>
      </w:r>
      <w:r w:rsidR="00187BAC" w:rsidRPr="005A59D5">
        <w:t xml:space="preserve">that it can be </w:t>
      </w:r>
      <w:r w:rsidR="00187BAC">
        <w:t>readily</w:t>
      </w:r>
      <w:r w:rsidR="00187BAC" w:rsidRPr="005A59D5">
        <w:t xml:space="preserve"> applied to subsets of the data based</w:t>
      </w:r>
      <w:r w:rsidR="00187BAC">
        <w:t xml:space="preserve"> on student demographics or attributes</w:t>
      </w:r>
      <w:r w:rsidR="00187BAC" w:rsidRPr="005A59D5">
        <w:t xml:space="preserve"> of </w:t>
      </w:r>
      <w:r w:rsidR="00187BAC">
        <w:t xml:space="preserve">the </w:t>
      </w:r>
      <w:r w:rsidR="00187BAC" w:rsidRPr="005A59D5">
        <w:t>training</w:t>
      </w:r>
      <w:r w:rsidR="00AE2F8E">
        <w:t>.</w:t>
      </w:r>
    </w:p>
    <w:p w:rsidR="0004066C" w:rsidRDefault="0004066C" w:rsidP="0004066C">
      <w:pPr>
        <w:pStyle w:val="Text"/>
      </w:pPr>
      <w:r>
        <w:t>One of the key issues identified during the review concerns the definition of a program commencement and its starting date.</w:t>
      </w:r>
      <w:r w:rsidR="009670B6">
        <w:t xml:space="preserve"> </w:t>
      </w:r>
      <w:r>
        <w:t>The current methodology uses the commencing flag variable, which this an</w:t>
      </w:r>
      <w:r w:rsidR="005078B4">
        <w:t xml:space="preserve">alysis has shown is problematic, in that it </w:t>
      </w:r>
      <w:r>
        <w:t xml:space="preserve">understates projected completion rates. Defining a program’s commencing year as the year it first appears in the National VET Provider Collection increases the accuracy of the projected rates, with </w:t>
      </w:r>
      <w:r w:rsidR="004719A6">
        <w:t>these</w:t>
      </w:r>
      <w:r>
        <w:t xml:space="preserve"> rates aligning more closely with actuals for all but the most recent years</w:t>
      </w:r>
      <w:r w:rsidR="005078B4">
        <w:t>,</w:t>
      </w:r>
      <w:r>
        <w:t xml:space="preserve"> for the reasons described above.</w:t>
      </w:r>
      <w:r w:rsidR="008B6117" w:rsidRPr="008B6117">
        <w:t xml:space="preserve"> </w:t>
      </w:r>
    </w:p>
    <w:p w:rsidR="008B25B4" w:rsidRDefault="008B25B4" w:rsidP="0004066C">
      <w:pPr>
        <w:pStyle w:val="Text"/>
      </w:pPr>
      <w:r w:rsidRPr="005A59D5">
        <w:t>Given that it takes a number of years for actual rates of completion to stabilise,</w:t>
      </w:r>
      <w:r w:rsidR="00AE2F8E">
        <w:t xml:space="preserve"> </w:t>
      </w:r>
      <w:r w:rsidRPr="005A59D5">
        <w:t xml:space="preserve">the method is well suited </w:t>
      </w:r>
      <w:r>
        <w:t xml:space="preserve">for inclusion as part of any method of assessing completion rates, where the projected completion rate method is used to estimate rates </w:t>
      </w:r>
      <w:r w:rsidRPr="00CB409E">
        <w:t xml:space="preserve">for the most recent </w:t>
      </w:r>
      <w:r>
        <w:t>y</w:t>
      </w:r>
      <w:r w:rsidRPr="00CB409E">
        <w:t xml:space="preserve">ears and actual rates </w:t>
      </w:r>
      <w:r>
        <w:t xml:space="preserve">used </w:t>
      </w:r>
      <w:r w:rsidRPr="00CB409E">
        <w:t xml:space="preserve">for </w:t>
      </w:r>
      <w:r w:rsidR="00AE2F8E">
        <w:t>previous</w:t>
      </w:r>
      <w:r>
        <w:t xml:space="preserve"> </w:t>
      </w:r>
      <w:r w:rsidRPr="00CB409E">
        <w:t>years</w:t>
      </w:r>
      <w:r w:rsidR="00AE2F8E">
        <w:t>.</w:t>
      </w:r>
    </w:p>
    <w:p w:rsidR="0004066C" w:rsidRDefault="0004066C" w:rsidP="0004066C">
      <w:pPr>
        <w:pStyle w:val="Text"/>
      </w:pPr>
      <w:r>
        <w:t>Further improvements to the rates may also be possible, for example</w:t>
      </w:r>
      <w:r w:rsidR="002047E9">
        <w:t>,</w:t>
      </w:r>
      <w:r>
        <w:t xml:space="preserve"> by </w:t>
      </w:r>
      <w:r w:rsidR="002047E9">
        <w:t>investigating</w:t>
      </w:r>
      <w:r>
        <w:t xml:space="preserve"> the effect of superseded qualifications to determine what other refinements could be made to improve accuracy.</w:t>
      </w:r>
      <w:r w:rsidR="009670B6">
        <w:t xml:space="preserve"> </w:t>
      </w:r>
      <w:r>
        <w:t>Due investigation will also be required to fully understand the impact of incorporating USIs into the methodology.</w:t>
      </w:r>
      <w:r w:rsidR="009670B6">
        <w:t xml:space="preserve"> </w:t>
      </w:r>
      <w:r>
        <w:t xml:space="preserve">As the method requires a minimum of three years data, the </w:t>
      </w:r>
      <w:r w:rsidR="002047E9">
        <w:t>addition</w:t>
      </w:r>
      <w:r>
        <w:t xml:space="preserve"> of USIs into the methodology cannot be phased in until dat</w:t>
      </w:r>
      <w:r w:rsidR="002047E9">
        <w:t>a for 201</w:t>
      </w:r>
      <w:r w:rsidR="0044429B">
        <w:t>7</w:t>
      </w:r>
      <w:r w:rsidR="002047E9">
        <w:t xml:space="preserve"> training activity have</w:t>
      </w:r>
      <w:r>
        <w:t xml:space="preserve"> been collected.</w:t>
      </w:r>
    </w:p>
    <w:p w:rsidR="00FB152B" w:rsidRDefault="00B13548" w:rsidP="00FB152B">
      <w:pPr>
        <w:pStyle w:val="Text"/>
      </w:pPr>
      <w:r>
        <w:t xml:space="preserve">Investigation is also required to check the adequacy of applying the methodology to </w:t>
      </w:r>
      <w:r w:rsidR="009670B6">
        <w:t>t</w:t>
      </w:r>
      <w:r>
        <w:t>otal VET</w:t>
      </w:r>
      <w:r w:rsidR="009670B6">
        <w:t xml:space="preserve"> a</w:t>
      </w:r>
      <w:r>
        <w:t xml:space="preserve">ctivity. With 2015 being the first year </w:t>
      </w:r>
      <w:r w:rsidR="002047E9">
        <w:t>of</w:t>
      </w:r>
      <w:r>
        <w:t xml:space="preserve"> TVA </w:t>
      </w:r>
      <w:r w:rsidR="002047E9">
        <w:t>collection</w:t>
      </w:r>
      <w:r>
        <w:t xml:space="preserve"> without exemptions</w:t>
      </w:r>
      <w:r w:rsidR="002047E9">
        <w:t>, along with</w:t>
      </w:r>
      <w:r>
        <w:t xml:space="preserve"> the methodology requiring three years of comparable data, projections for TVA rates of completions would not become </w:t>
      </w:r>
      <w:r w:rsidR="00496934">
        <w:t xml:space="preserve">fully </w:t>
      </w:r>
      <w:r>
        <w:t>available until after the collection</w:t>
      </w:r>
      <w:r w:rsidR="00D6700B">
        <w:t xml:space="preserve"> of 2017 training activity</w:t>
      </w:r>
      <w:r>
        <w:t>.</w:t>
      </w:r>
    </w:p>
    <w:p w:rsidR="00B13548" w:rsidRDefault="00B13548" w:rsidP="00FB152B">
      <w:pPr>
        <w:pStyle w:val="Text"/>
      </w:pPr>
    </w:p>
    <w:p w:rsidR="00CE22FF" w:rsidRPr="00704890" w:rsidRDefault="00CE22FF">
      <w:pPr>
        <w:rPr>
          <w:szCs w:val="19"/>
        </w:rPr>
      </w:pPr>
      <w:r w:rsidRPr="00704890">
        <w:rPr>
          <w:szCs w:val="19"/>
        </w:rPr>
        <w:br w:type="page"/>
      </w:r>
    </w:p>
    <w:p w:rsidR="00C54E4D" w:rsidRPr="00704890" w:rsidRDefault="008B6117" w:rsidP="00BB5BA9">
      <w:pPr>
        <w:pStyle w:val="Heading1"/>
      </w:pPr>
      <w:bookmarkStart w:id="48" w:name="_Toc464806098"/>
      <w:r w:rsidRPr="008B6117">
        <w:rPr>
          <w:i/>
          <w:noProof/>
          <w:lang w:eastAsia="en-AU"/>
        </w:rPr>
        <w:lastRenderedPageBreak/>
        <w:drawing>
          <wp:anchor distT="0" distB="0" distL="114300" distR="114300" simplePos="0" relativeHeight="251755520" behindDoc="1" locked="0" layoutInCell="1" allowOverlap="1" wp14:anchorId="48B692BE" wp14:editId="1F284E54">
            <wp:simplePos x="0" y="0"/>
            <wp:positionH relativeFrom="column">
              <wp:posOffset>-34925</wp:posOffset>
            </wp:positionH>
            <wp:positionV relativeFrom="paragraph">
              <wp:posOffset>-34925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21" name="Picture 21"/>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4515A2">
        <w:t>References</w:t>
      </w:r>
      <w:bookmarkEnd w:id="48"/>
    </w:p>
    <w:p w:rsidR="0004066C" w:rsidRDefault="0004066C" w:rsidP="0004066C">
      <w:pPr>
        <w:pStyle w:val="References"/>
      </w:pPr>
      <w:proofErr w:type="spellStart"/>
      <w:r>
        <w:t>Bednarz</w:t>
      </w:r>
      <w:proofErr w:type="spellEnd"/>
      <w:r>
        <w:t xml:space="preserve">, A 2012, </w:t>
      </w:r>
      <w:r w:rsidRPr="009A3EE3">
        <w:rPr>
          <w:i/>
        </w:rPr>
        <w:t>Lifting the lid on completion rates in the VET sector: how they are defin</w:t>
      </w:r>
      <w:r w:rsidR="009A3EE3" w:rsidRPr="009A3EE3">
        <w:rPr>
          <w:i/>
        </w:rPr>
        <w:t>ed and derived</w:t>
      </w:r>
      <w:r w:rsidR="009A3EE3">
        <w:t xml:space="preserve">, </w:t>
      </w:r>
      <w:r>
        <w:t xml:space="preserve">viewed June 2016, </w:t>
      </w:r>
      <w:r w:rsidRPr="009A3EE3">
        <w:rPr>
          <w:rStyle w:val="Hyperlink"/>
          <w:sz w:val="18"/>
        </w:rPr>
        <w:t>&lt;</w:t>
      </w:r>
      <w:hyperlink r:id="rId44" w:history="1">
        <w:r w:rsidR="009A3EE3" w:rsidRPr="009A3EE3">
          <w:rPr>
            <w:rStyle w:val="Hyperlink"/>
            <w:sz w:val="18"/>
            <w:szCs w:val="18"/>
          </w:rPr>
          <w:t>http://www.ncver.edu.au/publications/2467.html</w:t>
        </w:r>
      </w:hyperlink>
      <w:r w:rsidRPr="009A3EE3">
        <w:rPr>
          <w:szCs w:val="18"/>
        </w:rPr>
        <w:t>&gt;</w:t>
      </w:r>
      <w:r w:rsidR="00C204ED">
        <w:t>, NCVER, Adelaide.</w:t>
      </w:r>
    </w:p>
    <w:p w:rsidR="0004066C" w:rsidRPr="00066B49" w:rsidRDefault="0004066C" w:rsidP="0004066C">
      <w:pPr>
        <w:pStyle w:val="References"/>
      </w:pPr>
      <w:r w:rsidRPr="00066B49">
        <w:t xml:space="preserve">Mark, K &amp; </w:t>
      </w:r>
      <w:proofErr w:type="spellStart"/>
      <w:r w:rsidRPr="00066B49">
        <w:t>Karmel</w:t>
      </w:r>
      <w:proofErr w:type="spellEnd"/>
      <w:r w:rsidRPr="00066B49">
        <w:t xml:space="preserve">, T 2010, </w:t>
      </w:r>
      <w:r w:rsidRPr="00066B49">
        <w:rPr>
          <w:i/>
        </w:rPr>
        <w:t>The likelihood of completing a VET qualification: a model-based approach</w:t>
      </w:r>
      <w:r w:rsidRPr="00066B49">
        <w:t xml:space="preserve">, viewed </w:t>
      </w:r>
      <w:r>
        <w:t>June</w:t>
      </w:r>
      <w:r w:rsidR="009A3EE3">
        <w:t xml:space="preserve"> </w:t>
      </w:r>
      <w:r w:rsidRPr="00066B49">
        <w:t>20</w:t>
      </w:r>
      <w:r>
        <w:t>16</w:t>
      </w:r>
      <w:r w:rsidRPr="00066B49">
        <w:t xml:space="preserve">, </w:t>
      </w:r>
      <w:r w:rsidR="009A3EE3" w:rsidRPr="009A3EE3">
        <w:t>&lt;</w:t>
      </w:r>
      <w:hyperlink r:id="rId45" w:history="1">
        <w:r w:rsidR="009A3EE3" w:rsidRPr="009A3EE3">
          <w:rPr>
            <w:rStyle w:val="Hyperlink"/>
            <w:sz w:val="18"/>
          </w:rPr>
          <w:t>http://www.ncver.edu.au/publications/2272.html</w:t>
        </w:r>
      </w:hyperlink>
      <w:r w:rsidR="00DB738C">
        <w:t>&gt;</w:t>
      </w:r>
      <w:r w:rsidR="00C204ED">
        <w:t>, NCVER, Adelaide.</w:t>
      </w:r>
    </w:p>
    <w:p w:rsidR="0004066C" w:rsidRDefault="0004066C" w:rsidP="0004066C">
      <w:pPr>
        <w:pStyle w:val="References"/>
        <w:rPr>
          <w:szCs w:val="18"/>
        </w:rPr>
      </w:pPr>
      <w:r>
        <w:t>NCVER (National Centre for Vocational Education Research)</w:t>
      </w:r>
      <w:r w:rsidRPr="00704890">
        <w:t xml:space="preserve"> 201</w:t>
      </w:r>
      <w:r>
        <w:t>6</w:t>
      </w:r>
      <w:r w:rsidRPr="00704890">
        <w:t xml:space="preserve">, </w:t>
      </w:r>
      <w:r w:rsidRPr="00066B49">
        <w:rPr>
          <w:i/>
        </w:rPr>
        <w:t>Australian vocational education and training statistics: the likelihood of completing a VET qualification 2010—14</w:t>
      </w:r>
      <w:r w:rsidR="009A3EE3">
        <w:t xml:space="preserve">, </w:t>
      </w:r>
      <w:r w:rsidR="00C204ED">
        <w:t>v</w:t>
      </w:r>
      <w:r w:rsidRPr="00066B49">
        <w:t>iewed Ju</w:t>
      </w:r>
      <w:r>
        <w:t>ne</w:t>
      </w:r>
      <w:r w:rsidRPr="00066B49">
        <w:t xml:space="preserve"> 2016, </w:t>
      </w:r>
      <w:r w:rsidRPr="009A3EE3">
        <w:rPr>
          <w:rStyle w:val="Hyperlink"/>
          <w:sz w:val="18"/>
        </w:rPr>
        <w:t>&lt;</w:t>
      </w:r>
      <w:hyperlink r:id="rId46" w:history="1">
        <w:r w:rsidR="009A3EE3" w:rsidRPr="009A3EE3">
          <w:rPr>
            <w:rStyle w:val="Hyperlink"/>
            <w:sz w:val="18"/>
            <w:szCs w:val="18"/>
          </w:rPr>
          <w:t>http://www.ncver.edu.au/publications/2272.html</w:t>
        </w:r>
      </w:hyperlink>
      <w:r w:rsidRPr="009A3EE3">
        <w:rPr>
          <w:szCs w:val="18"/>
        </w:rPr>
        <w:t>&gt;</w:t>
      </w:r>
      <w:r w:rsidR="00C204ED">
        <w:t>, NCVER, Adelaide.</w:t>
      </w:r>
    </w:p>
    <w:p w:rsidR="0004066C" w:rsidRPr="009A3EE3" w:rsidRDefault="009A3EE3" w:rsidP="009A3EE3">
      <w:pPr>
        <w:pStyle w:val="References"/>
      </w:pPr>
      <w:r>
        <w:rPr>
          <w:szCs w:val="18"/>
        </w:rPr>
        <w:t>Productivity Commission</w:t>
      </w:r>
      <w:r w:rsidR="0004066C">
        <w:rPr>
          <w:szCs w:val="18"/>
        </w:rPr>
        <w:t xml:space="preserve"> 2016, </w:t>
      </w:r>
      <w:r w:rsidR="0004066C">
        <w:rPr>
          <w:i/>
        </w:rPr>
        <w:t xml:space="preserve">Report on </w:t>
      </w:r>
      <w:r w:rsidR="00DB738C">
        <w:rPr>
          <w:i/>
        </w:rPr>
        <w:t xml:space="preserve">government services </w:t>
      </w:r>
      <w:r w:rsidR="0004066C">
        <w:rPr>
          <w:i/>
        </w:rPr>
        <w:t>2016,</w:t>
      </w:r>
      <w:r w:rsidR="0004066C" w:rsidRPr="00066B49">
        <w:t xml:space="preserve"> viewed </w:t>
      </w:r>
      <w:r w:rsidR="0004066C">
        <w:t xml:space="preserve">July </w:t>
      </w:r>
      <w:r w:rsidR="0004066C" w:rsidRPr="00066B49">
        <w:t xml:space="preserve">2016, </w:t>
      </w:r>
      <w:r w:rsidRPr="009A3EE3">
        <w:t>&lt;</w:t>
      </w:r>
      <w:hyperlink r:id="rId47" w:history="1">
        <w:r w:rsidR="0004066C" w:rsidRPr="009A3EE3">
          <w:t>http://www.pc.gov.au/research/ongoing/report-on-government-services/2016</w:t>
        </w:r>
      </w:hyperlink>
      <w:r w:rsidR="00DB738C">
        <w:t>&gt;</w:t>
      </w:r>
      <w:r w:rsidR="00C204ED">
        <w:t>, Productivity Commissio</w:t>
      </w:r>
      <w:r w:rsidR="00C204ED" w:rsidRPr="009A3EE3">
        <w:t>n, Canberra</w:t>
      </w:r>
      <w:r w:rsidR="00C204ED">
        <w:t>.</w:t>
      </w:r>
    </w:p>
    <w:p w:rsidR="00727297" w:rsidRPr="00704890" w:rsidRDefault="00727297" w:rsidP="0004066C">
      <w:pPr>
        <w:rPr>
          <w:iCs/>
        </w:rPr>
      </w:pPr>
      <w:r w:rsidRPr="00704890">
        <w:rPr>
          <w:iCs/>
        </w:rPr>
        <w:br w:type="page"/>
      </w:r>
    </w:p>
    <w:p w:rsidR="00FB30F8" w:rsidRPr="00704890" w:rsidRDefault="008B6117" w:rsidP="00FB30F8">
      <w:pPr>
        <w:pStyle w:val="Heading1"/>
      </w:pPr>
      <w:bookmarkStart w:id="49" w:name="_Toc464806099"/>
      <w:r w:rsidRPr="008B6117">
        <w:rPr>
          <w:i/>
          <w:noProof/>
          <w:lang w:eastAsia="en-AU"/>
        </w:rPr>
        <w:lastRenderedPageBreak/>
        <w:drawing>
          <wp:anchor distT="0" distB="0" distL="114300" distR="114300" simplePos="0" relativeHeight="251757568" behindDoc="1" locked="0" layoutInCell="1" allowOverlap="1" wp14:anchorId="6851B50B" wp14:editId="219B609B">
            <wp:simplePos x="0" y="0"/>
            <wp:positionH relativeFrom="column">
              <wp:posOffset>-6350</wp:posOffset>
            </wp:positionH>
            <wp:positionV relativeFrom="paragraph">
              <wp:posOffset>-14605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24" name="Picture 24"/>
            <wp:cNvGraphicFramePr/>
            <a:graphic xmlns:a="http://schemas.openxmlformats.org/drawingml/2006/main">
              <a:graphicData uri="http://schemas.openxmlformats.org/drawingml/2006/picture">
                <pic:pic xmlns:pic="http://schemas.openxmlformats.org/drawingml/2006/picture">
                  <pic:nvPicPr>
                    <pic:cNvPr id="62" name="Picture 62" descr="P:\PublicationComponents\Icons\References_Green.emf"/>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FB30F8" w:rsidRPr="00704890">
        <w:t>Appendix</w:t>
      </w:r>
      <w:bookmarkEnd w:id="49"/>
    </w:p>
    <w:p w:rsidR="0004066C" w:rsidRPr="00704890" w:rsidRDefault="0004066C" w:rsidP="0004066C">
      <w:pPr>
        <w:pStyle w:val="Heading2"/>
      </w:pPr>
      <w:bookmarkStart w:id="50" w:name="_Toc464806100"/>
      <w:r>
        <w:t>The current method for projecting rates of completion</w:t>
      </w:r>
      <w:proofErr w:type="gramStart"/>
      <w:r>
        <w:t>:</w:t>
      </w:r>
      <w:proofErr w:type="gramEnd"/>
      <w:r>
        <w:br/>
      </w:r>
      <w:r w:rsidR="009A3EE3">
        <w:t>a</w:t>
      </w:r>
      <w:r>
        <w:t xml:space="preserve"> working example</w:t>
      </w:r>
      <w:bookmarkEnd w:id="50"/>
    </w:p>
    <w:p w:rsidR="0004066C" w:rsidRDefault="0004066C" w:rsidP="0004066C">
      <w:pPr>
        <w:pStyle w:val="Text"/>
      </w:pPr>
      <w:r>
        <w:t xml:space="preserve">At the time of writing this paper, the latest </w:t>
      </w:r>
      <w:r w:rsidR="003925D7">
        <w:t xml:space="preserve">National </w:t>
      </w:r>
      <w:r>
        <w:t xml:space="preserve">VET </w:t>
      </w:r>
      <w:r w:rsidR="002047E9">
        <w:t xml:space="preserve">Provider Collection </w:t>
      </w:r>
      <w:r>
        <w:t>was 2015. As we</w:t>
      </w:r>
      <w:r w:rsidR="002047E9">
        <w:t xml:space="preserve"> require</w:t>
      </w:r>
      <w:r>
        <w:t xml:space="preserve"> information for </w:t>
      </w:r>
      <w:r w:rsidRPr="00C87E80">
        <w:rPr>
          <w:i/>
        </w:rPr>
        <w:t>both</w:t>
      </w:r>
      <w:r>
        <w:t xml:space="preserve"> the year of interest and the year following the year of interest, the latest year for which we can predict program completion rates is 2014.</w:t>
      </w:r>
    </w:p>
    <w:p w:rsidR="0004066C" w:rsidRDefault="0004066C" w:rsidP="0004066C">
      <w:pPr>
        <w:pStyle w:val="Text"/>
      </w:pPr>
      <w:r>
        <w:t>The first step in the process is to create a matched dataset of program enrolments</w:t>
      </w:r>
      <w:r w:rsidR="002047E9">
        <w:t>; this is</w:t>
      </w:r>
      <w:r>
        <w:t xml:space="preserve"> undertaken by matching students and the programs they enrolled in across the three years</w:t>
      </w:r>
      <w:r w:rsidR="002047E9">
        <w:t>,</w:t>
      </w:r>
      <w:r>
        <w:t xml:space="preserve"> 2013 to 2015. This process is well explained in Mark and </w:t>
      </w:r>
      <w:proofErr w:type="spellStart"/>
      <w:r>
        <w:t>Karmel</w:t>
      </w:r>
      <w:proofErr w:type="spellEnd"/>
      <w:r>
        <w:t xml:space="preserve"> (2010), and essentially entails using information in the National VET Provider Collection pertaining to the student and the unique programs </w:t>
      </w:r>
      <w:r w:rsidR="002047E9">
        <w:t xml:space="preserve">in which </w:t>
      </w:r>
      <w:r>
        <w:t>they enrol to match unique program enrolments and completions (awards) across the three years</w:t>
      </w:r>
      <w:r w:rsidR="002047E9">
        <w:t>,</w:t>
      </w:r>
      <w:r>
        <w:t xml:space="preserve"> 2013 to 2015.</w:t>
      </w:r>
    </w:p>
    <w:p w:rsidR="0004066C" w:rsidRPr="005904C2" w:rsidRDefault="002047E9" w:rsidP="0004066C">
      <w:pPr>
        <w:pStyle w:val="Text"/>
      </w:pPr>
      <w:r>
        <w:t>Table A1</w:t>
      </w:r>
      <w:r w:rsidR="0004066C" w:rsidRPr="005904C2">
        <w:t xml:space="preserve"> details the break</w:t>
      </w:r>
      <w:r>
        <w:t xml:space="preserve">down of the 4 555 </w:t>
      </w:r>
      <w:r w:rsidR="0004066C" w:rsidRPr="005904C2">
        <w:t>365 unique student program enrolments in the 2013 to 2015 matched dataset.</w:t>
      </w:r>
      <w:r w:rsidR="009A3EE3" w:rsidRPr="005904C2">
        <w:rPr>
          <w:rStyle w:val="FootnoteReference"/>
        </w:rPr>
        <w:footnoteReference w:id="4"/>
      </w:r>
    </w:p>
    <w:p w:rsidR="0004066C" w:rsidRDefault="0004066C" w:rsidP="009A3EE3">
      <w:pPr>
        <w:pStyle w:val="tabletitle0"/>
      </w:pPr>
      <w:bookmarkStart w:id="51" w:name="_Toc459892649"/>
      <w:bookmarkStart w:id="52" w:name="_Toc464219993"/>
      <w:bookmarkStart w:id="53" w:name="_Toc465780150"/>
      <w:r w:rsidRPr="005904C2">
        <w:t xml:space="preserve">Table </w:t>
      </w:r>
      <w:bookmarkEnd w:id="51"/>
      <w:r w:rsidRPr="005904C2">
        <w:t>A1</w:t>
      </w:r>
      <w:r w:rsidRPr="005904C2">
        <w:tab/>
        <w:t>Breakdown of student program enrolments within the three-year matched</w:t>
      </w:r>
      <w:r>
        <w:t xml:space="preserve"> dataset centred around 2014</w:t>
      </w:r>
      <w:bookmarkEnd w:id="52"/>
      <w:bookmarkEnd w:id="5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41"/>
        <w:gridCol w:w="851"/>
        <w:gridCol w:w="1559"/>
        <w:gridCol w:w="142"/>
        <w:gridCol w:w="865"/>
        <w:gridCol w:w="1545"/>
        <w:gridCol w:w="141"/>
        <w:gridCol w:w="936"/>
      </w:tblGrid>
      <w:tr w:rsidR="0004066C" w:rsidRPr="00AF69F4" w:rsidTr="009A3EE3">
        <w:trPr>
          <w:trHeight w:val="340"/>
        </w:trPr>
        <w:tc>
          <w:tcPr>
            <w:tcW w:w="2552" w:type="dxa"/>
            <w:gridSpan w:val="3"/>
            <w:tcBorders>
              <w:top w:val="single" w:sz="4" w:space="0" w:color="auto"/>
              <w:bottom w:val="single" w:sz="4" w:space="0" w:color="auto"/>
              <w:right w:val="single" w:sz="4" w:space="0" w:color="auto"/>
            </w:tcBorders>
            <w:vAlign w:val="center"/>
          </w:tcPr>
          <w:p w:rsidR="0004066C" w:rsidRPr="009A3EE3" w:rsidRDefault="0004066C" w:rsidP="009A3EE3">
            <w:pPr>
              <w:pStyle w:val="Tablehead1"/>
              <w:rPr>
                <w:sz w:val="16"/>
                <w:szCs w:val="16"/>
              </w:rPr>
            </w:pPr>
            <w:r w:rsidRPr="009A3EE3">
              <w:rPr>
                <w:sz w:val="16"/>
                <w:szCs w:val="16"/>
              </w:rPr>
              <w:t>Program enrolments in 2013</w:t>
            </w:r>
          </w:p>
        </w:tc>
        <w:tc>
          <w:tcPr>
            <w:tcW w:w="2566" w:type="dxa"/>
            <w:gridSpan w:val="3"/>
            <w:tcBorders>
              <w:top w:val="single" w:sz="4" w:space="0" w:color="auto"/>
              <w:left w:val="single" w:sz="4" w:space="0" w:color="auto"/>
              <w:bottom w:val="single" w:sz="4" w:space="0" w:color="auto"/>
              <w:right w:val="single" w:sz="4" w:space="0" w:color="auto"/>
            </w:tcBorders>
            <w:vAlign w:val="center"/>
          </w:tcPr>
          <w:p w:rsidR="0004066C" w:rsidRPr="009A3EE3" w:rsidRDefault="0004066C" w:rsidP="009A3EE3">
            <w:pPr>
              <w:pStyle w:val="Tablehead1"/>
              <w:rPr>
                <w:sz w:val="16"/>
                <w:szCs w:val="16"/>
              </w:rPr>
            </w:pPr>
            <w:r w:rsidRPr="009A3EE3">
              <w:rPr>
                <w:sz w:val="16"/>
                <w:szCs w:val="16"/>
              </w:rPr>
              <w:t>Program enrolments in 2014</w:t>
            </w:r>
          </w:p>
        </w:tc>
        <w:tc>
          <w:tcPr>
            <w:tcW w:w="2622" w:type="dxa"/>
            <w:gridSpan w:val="3"/>
            <w:tcBorders>
              <w:top w:val="single" w:sz="4" w:space="0" w:color="auto"/>
              <w:left w:val="single" w:sz="4" w:space="0" w:color="auto"/>
              <w:bottom w:val="single" w:sz="4" w:space="0" w:color="auto"/>
            </w:tcBorders>
            <w:vAlign w:val="center"/>
          </w:tcPr>
          <w:p w:rsidR="0004066C" w:rsidRPr="009A3EE3" w:rsidRDefault="0004066C" w:rsidP="009A3EE3">
            <w:pPr>
              <w:pStyle w:val="Tablehead1"/>
              <w:rPr>
                <w:sz w:val="16"/>
                <w:szCs w:val="16"/>
              </w:rPr>
            </w:pPr>
            <w:r w:rsidRPr="009A3EE3">
              <w:rPr>
                <w:sz w:val="16"/>
                <w:szCs w:val="16"/>
              </w:rPr>
              <w:t>Program enrolments in 2015</w:t>
            </w:r>
          </w:p>
        </w:tc>
      </w:tr>
      <w:tr w:rsidR="0004066C" w:rsidTr="00DC725A">
        <w:tc>
          <w:tcPr>
            <w:tcW w:w="1701" w:type="dxa"/>
            <w:gridSpan w:val="2"/>
            <w:tcBorders>
              <w:top w:val="single" w:sz="4" w:space="0" w:color="auto"/>
            </w:tcBorders>
          </w:tcPr>
          <w:p w:rsidR="0004066C" w:rsidRPr="009A3EE3" w:rsidRDefault="0004066C" w:rsidP="00287AFF">
            <w:pPr>
              <w:pStyle w:val="Tabletext"/>
              <w:ind w:right="33"/>
              <w:rPr>
                <w:sz w:val="15"/>
                <w:szCs w:val="15"/>
              </w:rPr>
            </w:pPr>
            <w:r w:rsidRPr="009A3EE3">
              <w:rPr>
                <w:sz w:val="15"/>
                <w:szCs w:val="15"/>
              </w:rPr>
              <w:t>In 2013 only</w:t>
            </w:r>
          </w:p>
        </w:tc>
        <w:tc>
          <w:tcPr>
            <w:tcW w:w="851" w:type="dxa"/>
            <w:tcBorders>
              <w:top w:val="single" w:sz="4" w:space="0" w:color="auto"/>
              <w:right w:val="single" w:sz="4" w:space="0" w:color="auto"/>
            </w:tcBorders>
            <w:tcMar>
              <w:left w:w="57" w:type="dxa"/>
              <w:right w:w="113" w:type="dxa"/>
            </w:tcMar>
          </w:tcPr>
          <w:p w:rsidR="0004066C" w:rsidRPr="009A3EE3" w:rsidRDefault="009A3EE3" w:rsidP="0048007B">
            <w:pPr>
              <w:pStyle w:val="Tabletext"/>
              <w:jc w:val="right"/>
              <w:rPr>
                <w:sz w:val="15"/>
                <w:szCs w:val="15"/>
              </w:rPr>
            </w:pPr>
            <w:r w:rsidRPr="009A3EE3">
              <w:rPr>
                <w:sz w:val="15"/>
                <w:szCs w:val="15"/>
              </w:rPr>
              <w:t xml:space="preserve">1 </w:t>
            </w:r>
            <w:r w:rsidR="0004066C" w:rsidRPr="009A3EE3">
              <w:rPr>
                <w:sz w:val="15"/>
                <w:szCs w:val="15"/>
              </w:rPr>
              <w:t>470</w:t>
            </w:r>
            <w:r w:rsidRPr="009A3EE3">
              <w:rPr>
                <w:sz w:val="15"/>
                <w:szCs w:val="15"/>
              </w:rPr>
              <w:t xml:space="preserve"> </w:t>
            </w:r>
            <w:r w:rsidR="0004066C" w:rsidRPr="009A3EE3">
              <w:rPr>
                <w:sz w:val="15"/>
                <w:szCs w:val="15"/>
              </w:rPr>
              <w:t>338</w:t>
            </w:r>
            <w:r w:rsidR="0048007B">
              <w:rPr>
                <w:sz w:val="15"/>
                <w:szCs w:val="15"/>
              </w:rPr>
              <w:t xml:space="preserve">  </w:t>
            </w:r>
          </w:p>
        </w:tc>
        <w:tc>
          <w:tcPr>
            <w:tcW w:w="1701" w:type="dxa"/>
            <w:gridSpan w:val="2"/>
            <w:tcBorders>
              <w:top w:val="single" w:sz="4" w:space="0" w:color="auto"/>
              <w:left w:val="single" w:sz="4" w:space="0" w:color="auto"/>
            </w:tcBorders>
          </w:tcPr>
          <w:p w:rsidR="0004066C" w:rsidRPr="009A3EE3" w:rsidRDefault="0004066C" w:rsidP="009A3EE3">
            <w:pPr>
              <w:pStyle w:val="Tabletext"/>
              <w:rPr>
                <w:sz w:val="15"/>
                <w:szCs w:val="15"/>
              </w:rPr>
            </w:pPr>
            <w:r w:rsidRPr="009A3EE3">
              <w:rPr>
                <w:sz w:val="15"/>
                <w:szCs w:val="15"/>
              </w:rPr>
              <w:t>In 2013 but not 2015</w:t>
            </w:r>
          </w:p>
        </w:tc>
        <w:tc>
          <w:tcPr>
            <w:tcW w:w="865" w:type="dxa"/>
            <w:tcBorders>
              <w:top w:val="single" w:sz="4" w:space="0" w:color="auto"/>
              <w:right w:val="single" w:sz="4" w:space="0" w:color="auto"/>
            </w:tcBorders>
          </w:tcPr>
          <w:p w:rsidR="0004066C" w:rsidRPr="009A3EE3" w:rsidRDefault="009A3EE3" w:rsidP="009A3EE3">
            <w:pPr>
              <w:pStyle w:val="Tabletext"/>
              <w:jc w:val="right"/>
              <w:rPr>
                <w:sz w:val="15"/>
                <w:szCs w:val="15"/>
              </w:rPr>
            </w:pPr>
            <w:r w:rsidRPr="009A3EE3">
              <w:rPr>
                <w:sz w:val="15"/>
                <w:szCs w:val="15"/>
              </w:rPr>
              <w:t xml:space="preserve">390 </w:t>
            </w:r>
            <w:r w:rsidR="0004066C" w:rsidRPr="009A3EE3">
              <w:rPr>
                <w:sz w:val="15"/>
                <w:szCs w:val="15"/>
              </w:rPr>
              <w:t>467</w:t>
            </w:r>
          </w:p>
        </w:tc>
        <w:tc>
          <w:tcPr>
            <w:tcW w:w="1686" w:type="dxa"/>
            <w:gridSpan w:val="2"/>
            <w:tcBorders>
              <w:top w:val="single" w:sz="4" w:space="0" w:color="auto"/>
              <w:left w:val="single" w:sz="4" w:space="0" w:color="auto"/>
            </w:tcBorders>
          </w:tcPr>
          <w:p w:rsidR="0004066C" w:rsidRPr="009A3EE3" w:rsidRDefault="0004066C" w:rsidP="009A3EE3">
            <w:pPr>
              <w:pStyle w:val="Tabletext"/>
              <w:rPr>
                <w:sz w:val="15"/>
                <w:szCs w:val="15"/>
              </w:rPr>
            </w:pPr>
            <w:r w:rsidRPr="009A3EE3">
              <w:rPr>
                <w:sz w:val="15"/>
                <w:szCs w:val="15"/>
              </w:rPr>
              <w:t>In 2013 but not 2014</w:t>
            </w:r>
          </w:p>
        </w:tc>
        <w:tc>
          <w:tcPr>
            <w:tcW w:w="936" w:type="dxa"/>
            <w:tcBorders>
              <w:top w:val="single" w:sz="4" w:space="0" w:color="auto"/>
            </w:tcBorders>
          </w:tcPr>
          <w:p w:rsidR="0004066C" w:rsidRPr="009A3EE3" w:rsidRDefault="0004066C" w:rsidP="009A3EE3">
            <w:pPr>
              <w:pStyle w:val="Tabletext"/>
              <w:jc w:val="right"/>
              <w:rPr>
                <w:sz w:val="15"/>
                <w:szCs w:val="15"/>
              </w:rPr>
            </w:pPr>
            <w:r w:rsidRPr="009A3EE3">
              <w:rPr>
                <w:sz w:val="15"/>
                <w:szCs w:val="15"/>
              </w:rPr>
              <w:t>9</w:t>
            </w:r>
            <w:r w:rsidR="009A3EE3" w:rsidRPr="009A3EE3">
              <w:rPr>
                <w:sz w:val="15"/>
                <w:szCs w:val="15"/>
              </w:rPr>
              <w:t xml:space="preserve"> </w:t>
            </w:r>
            <w:r w:rsidRPr="009A3EE3">
              <w:rPr>
                <w:sz w:val="15"/>
                <w:szCs w:val="15"/>
              </w:rPr>
              <w:t>133</w:t>
            </w:r>
          </w:p>
        </w:tc>
      </w:tr>
      <w:tr w:rsidR="0004066C" w:rsidTr="00DC725A">
        <w:tc>
          <w:tcPr>
            <w:tcW w:w="1701" w:type="dxa"/>
            <w:gridSpan w:val="2"/>
          </w:tcPr>
          <w:p w:rsidR="0004066C" w:rsidRPr="009A3EE3" w:rsidRDefault="0004066C" w:rsidP="009A3EE3">
            <w:pPr>
              <w:pStyle w:val="Tabletext"/>
              <w:rPr>
                <w:sz w:val="15"/>
                <w:szCs w:val="15"/>
              </w:rPr>
            </w:pPr>
            <w:r w:rsidRPr="009A3EE3">
              <w:rPr>
                <w:sz w:val="15"/>
                <w:szCs w:val="15"/>
              </w:rPr>
              <w:t>In 2014 but not 2015</w:t>
            </w:r>
          </w:p>
        </w:tc>
        <w:tc>
          <w:tcPr>
            <w:tcW w:w="851" w:type="dxa"/>
            <w:tcBorders>
              <w:right w:val="single" w:sz="4" w:space="0" w:color="auto"/>
            </w:tcBorders>
            <w:tcMar>
              <w:left w:w="57" w:type="dxa"/>
              <w:right w:w="113" w:type="dxa"/>
            </w:tcMar>
          </w:tcPr>
          <w:p w:rsidR="0004066C" w:rsidRPr="009A3EE3" w:rsidRDefault="009A3EE3" w:rsidP="0048007B">
            <w:pPr>
              <w:pStyle w:val="Tabletext"/>
              <w:jc w:val="right"/>
              <w:rPr>
                <w:sz w:val="15"/>
                <w:szCs w:val="15"/>
              </w:rPr>
            </w:pPr>
            <w:r w:rsidRPr="009A3EE3">
              <w:rPr>
                <w:sz w:val="15"/>
                <w:szCs w:val="15"/>
              </w:rPr>
              <w:t xml:space="preserve">390 </w:t>
            </w:r>
            <w:r w:rsidR="0004066C" w:rsidRPr="009A3EE3">
              <w:rPr>
                <w:sz w:val="15"/>
                <w:szCs w:val="15"/>
              </w:rPr>
              <w:t>467</w:t>
            </w:r>
          </w:p>
        </w:tc>
        <w:tc>
          <w:tcPr>
            <w:tcW w:w="1701" w:type="dxa"/>
            <w:gridSpan w:val="2"/>
            <w:tcBorders>
              <w:left w:val="single" w:sz="4" w:space="0" w:color="auto"/>
            </w:tcBorders>
          </w:tcPr>
          <w:p w:rsidR="0004066C" w:rsidRPr="009A3EE3" w:rsidRDefault="0004066C" w:rsidP="009A3EE3">
            <w:pPr>
              <w:pStyle w:val="Tabletext"/>
              <w:rPr>
                <w:sz w:val="15"/>
                <w:szCs w:val="15"/>
              </w:rPr>
            </w:pPr>
            <w:r w:rsidRPr="009A3EE3">
              <w:rPr>
                <w:sz w:val="15"/>
                <w:szCs w:val="15"/>
              </w:rPr>
              <w:t>In 2014 only</w:t>
            </w:r>
          </w:p>
        </w:tc>
        <w:tc>
          <w:tcPr>
            <w:tcW w:w="865" w:type="dxa"/>
            <w:tcBorders>
              <w:right w:val="single" w:sz="4" w:space="0" w:color="auto"/>
            </w:tcBorders>
          </w:tcPr>
          <w:p w:rsidR="0004066C" w:rsidRPr="009A3EE3" w:rsidRDefault="009A3EE3" w:rsidP="009A3EE3">
            <w:pPr>
              <w:pStyle w:val="Tabletext"/>
              <w:jc w:val="right"/>
              <w:rPr>
                <w:sz w:val="15"/>
                <w:szCs w:val="15"/>
              </w:rPr>
            </w:pPr>
            <w:r w:rsidRPr="009A3EE3">
              <w:rPr>
                <w:sz w:val="15"/>
                <w:szCs w:val="15"/>
              </w:rPr>
              <w:t xml:space="preserve">983 </w:t>
            </w:r>
            <w:r w:rsidR="0004066C" w:rsidRPr="009A3EE3">
              <w:rPr>
                <w:sz w:val="15"/>
                <w:szCs w:val="15"/>
              </w:rPr>
              <w:t>608</w:t>
            </w:r>
          </w:p>
        </w:tc>
        <w:tc>
          <w:tcPr>
            <w:tcW w:w="1686" w:type="dxa"/>
            <w:gridSpan w:val="2"/>
            <w:tcBorders>
              <w:left w:val="single" w:sz="4" w:space="0" w:color="auto"/>
            </w:tcBorders>
          </w:tcPr>
          <w:p w:rsidR="0004066C" w:rsidRPr="009A3EE3" w:rsidRDefault="0004066C" w:rsidP="009A3EE3">
            <w:pPr>
              <w:pStyle w:val="Tabletext"/>
              <w:rPr>
                <w:sz w:val="15"/>
                <w:szCs w:val="15"/>
              </w:rPr>
            </w:pPr>
            <w:r w:rsidRPr="009A3EE3">
              <w:rPr>
                <w:sz w:val="15"/>
                <w:szCs w:val="15"/>
              </w:rPr>
              <w:t>In 2014 but not 2013</w:t>
            </w:r>
          </w:p>
        </w:tc>
        <w:tc>
          <w:tcPr>
            <w:tcW w:w="936" w:type="dxa"/>
          </w:tcPr>
          <w:p w:rsidR="0004066C" w:rsidRPr="009A3EE3" w:rsidRDefault="009A3EE3" w:rsidP="009A3EE3">
            <w:pPr>
              <w:pStyle w:val="Tabletext"/>
              <w:jc w:val="right"/>
              <w:rPr>
                <w:sz w:val="15"/>
                <w:szCs w:val="15"/>
              </w:rPr>
            </w:pPr>
            <w:r w:rsidRPr="009A3EE3">
              <w:rPr>
                <w:sz w:val="15"/>
                <w:szCs w:val="15"/>
              </w:rPr>
              <w:t xml:space="preserve">354 </w:t>
            </w:r>
            <w:r w:rsidR="0004066C" w:rsidRPr="009A3EE3">
              <w:rPr>
                <w:sz w:val="15"/>
                <w:szCs w:val="15"/>
              </w:rPr>
              <w:t>890</w:t>
            </w:r>
          </w:p>
        </w:tc>
      </w:tr>
      <w:tr w:rsidR="0004066C" w:rsidTr="00DC725A">
        <w:tc>
          <w:tcPr>
            <w:tcW w:w="1701" w:type="dxa"/>
            <w:gridSpan w:val="2"/>
          </w:tcPr>
          <w:p w:rsidR="0004066C" w:rsidRPr="009A3EE3" w:rsidRDefault="0004066C" w:rsidP="009A3EE3">
            <w:pPr>
              <w:pStyle w:val="Tabletext"/>
              <w:rPr>
                <w:sz w:val="15"/>
                <w:szCs w:val="15"/>
              </w:rPr>
            </w:pPr>
            <w:r w:rsidRPr="009A3EE3">
              <w:rPr>
                <w:sz w:val="15"/>
                <w:szCs w:val="15"/>
              </w:rPr>
              <w:t>In 2015 but not 2014</w:t>
            </w:r>
          </w:p>
        </w:tc>
        <w:tc>
          <w:tcPr>
            <w:tcW w:w="851" w:type="dxa"/>
            <w:tcBorders>
              <w:right w:val="single" w:sz="4" w:space="0" w:color="auto"/>
            </w:tcBorders>
            <w:tcMar>
              <w:left w:w="57" w:type="dxa"/>
              <w:right w:w="113" w:type="dxa"/>
            </w:tcMar>
          </w:tcPr>
          <w:p w:rsidR="0004066C" w:rsidRPr="009A3EE3" w:rsidRDefault="009A3EE3" w:rsidP="0048007B">
            <w:pPr>
              <w:pStyle w:val="Tabletext"/>
              <w:jc w:val="right"/>
              <w:rPr>
                <w:sz w:val="15"/>
                <w:szCs w:val="15"/>
              </w:rPr>
            </w:pPr>
            <w:r w:rsidRPr="009A3EE3">
              <w:rPr>
                <w:sz w:val="15"/>
                <w:szCs w:val="15"/>
              </w:rPr>
              <w:t xml:space="preserve">9 </w:t>
            </w:r>
            <w:r w:rsidR="0004066C" w:rsidRPr="009A3EE3">
              <w:rPr>
                <w:sz w:val="15"/>
                <w:szCs w:val="15"/>
              </w:rPr>
              <w:t>133</w:t>
            </w:r>
            <w:r w:rsidR="0048007B">
              <w:rPr>
                <w:sz w:val="15"/>
                <w:szCs w:val="15"/>
              </w:rPr>
              <w:t xml:space="preserve">  </w:t>
            </w:r>
          </w:p>
        </w:tc>
        <w:tc>
          <w:tcPr>
            <w:tcW w:w="1701" w:type="dxa"/>
            <w:gridSpan w:val="2"/>
            <w:tcBorders>
              <w:left w:val="single" w:sz="4" w:space="0" w:color="auto"/>
            </w:tcBorders>
          </w:tcPr>
          <w:p w:rsidR="0004066C" w:rsidRPr="009A3EE3" w:rsidRDefault="0004066C" w:rsidP="009A3EE3">
            <w:pPr>
              <w:pStyle w:val="Tabletext"/>
              <w:rPr>
                <w:sz w:val="15"/>
                <w:szCs w:val="15"/>
              </w:rPr>
            </w:pPr>
            <w:r w:rsidRPr="009A3EE3">
              <w:rPr>
                <w:sz w:val="15"/>
                <w:szCs w:val="15"/>
              </w:rPr>
              <w:t>In 2015 but not 2013</w:t>
            </w:r>
          </w:p>
        </w:tc>
        <w:tc>
          <w:tcPr>
            <w:tcW w:w="865" w:type="dxa"/>
            <w:tcBorders>
              <w:right w:val="single" w:sz="4" w:space="0" w:color="auto"/>
            </w:tcBorders>
          </w:tcPr>
          <w:p w:rsidR="0004066C" w:rsidRPr="009A3EE3" w:rsidRDefault="009A3EE3" w:rsidP="009A3EE3">
            <w:pPr>
              <w:pStyle w:val="Tabletext"/>
              <w:jc w:val="right"/>
              <w:rPr>
                <w:sz w:val="15"/>
                <w:szCs w:val="15"/>
              </w:rPr>
            </w:pPr>
            <w:r w:rsidRPr="009A3EE3">
              <w:rPr>
                <w:sz w:val="15"/>
                <w:szCs w:val="15"/>
              </w:rPr>
              <w:t xml:space="preserve">354 </w:t>
            </w:r>
            <w:r w:rsidR="0004066C" w:rsidRPr="009A3EE3">
              <w:rPr>
                <w:sz w:val="15"/>
                <w:szCs w:val="15"/>
              </w:rPr>
              <w:t>890</w:t>
            </w:r>
          </w:p>
        </w:tc>
        <w:tc>
          <w:tcPr>
            <w:tcW w:w="1686" w:type="dxa"/>
            <w:gridSpan w:val="2"/>
            <w:tcBorders>
              <w:left w:val="single" w:sz="4" w:space="0" w:color="auto"/>
            </w:tcBorders>
          </w:tcPr>
          <w:p w:rsidR="0004066C" w:rsidRPr="009A3EE3" w:rsidRDefault="0004066C" w:rsidP="009A3EE3">
            <w:pPr>
              <w:pStyle w:val="Tabletext"/>
              <w:rPr>
                <w:sz w:val="15"/>
                <w:szCs w:val="15"/>
              </w:rPr>
            </w:pPr>
            <w:r w:rsidRPr="009A3EE3">
              <w:rPr>
                <w:sz w:val="15"/>
                <w:szCs w:val="15"/>
              </w:rPr>
              <w:t>In 2015 only</w:t>
            </w:r>
          </w:p>
        </w:tc>
        <w:tc>
          <w:tcPr>
            <w:tcW w:w="936" w:type="dxa"/>
          </w:tcPr>
          <w:p w:rsidR="0004066C" w:rsidRPr="009A3EE3" w:rsidRDefault="009A3EE3" w:rsidP="009A3EE3">
            <w:pPr>
              <w:pStyle w:val="Tabletext"/>
              <w:jc w:val="right"/>
              <w:rPr>
                <w:sz w:val="15"/>
                <w:szCs w:val="15"/>
              </w:rPr>
            </w:pPr>
            <w:r w:rsidRPr="009A3EE3">
              <w:rPr>
                <w:sz w:val="15"/>
                <w:szCs w:val="15"/>
              </w:rPr>
              <w:t xml:space="preserve">1 098 </w:t>
            </w:r>
            <w:r w:rsidR="0004066C" w:rsidRPr="009A3EE3">
              <w:rPr>
                <w:sz w:val="15"/>
                <w:szCs w:val="15"/>
              </w:rPr>
              <w:t>673</w:t>
            </w:r>
          </w:p>
        </w:tc>
      </w:tr>
      <w:tr w:rsidR="0004066C" w:rsidTr="00DC725A">
        <w:trPr>
          <w:trHeight w:val="397"/>
        </w:trPr>
        <w:tc>
          <w:tcPr>
            <w:tcW w:w="1701" w:type="dxa"/>
            <w:gridSpan w:val="2"/>
            <w:tcBorders>
              <w:bottom w:val="single" w:sz="4" w:space="0" w:color="auto"/>
            </w:tcBorders>
            <w:vAlign w:val="center"/>
          </w:tcPr>
          <w:p w:rsidR="0004066C" w:rsidRPr="009A3EE3" w:rsidRDefault="0004066C" w:rsidP="009A3EE3">
            <w:pPr>
              <w:pStyle w:val="Tabletext"/>
              <w:rPr>
                <w:sz w:val="15"/>
                <w:szCs w:val="15"/>
              </w:rPr>
            </w:pPr>
            <w:r w:rsidRPr="009A3EE3">
              <w:rPr>
                <w:sz w:val="15"/>
                <w:szCs w:val="15"/>
              </w:rPr>
              <w:t>In all 3 years</w:t>
            </w:r>
          </w:p>
        </w:tc>
        <w:tc>
          <w:tcPr>
            <w:tcW w:w="851" w:type="dxa"/>
            <w:tcBorders>
              <w:bottom w:val="single" w:sz="4" w:space="0" w:color="auto"/>
              <w:right w:val="single" w:sz="4" w:space="0" w:color="auto"/>
            </w:tcBorders>
            <w:tcMar>
              <w:left w:w="57" w:type="dxa"/>
              <w:right w:w="113" w:type="dxa"/>
            </w:tcMar>
            <w:vAlign w:val="center"/>
          </w:tcPr>
          <w:p w:rsidR="0004066C" w:rsidRPr="009A3EE3" w:rsidRDefault="009A3EE3" w:rsidP="0048007B">
            <w:pPr>
              <w:pStyle w:val="Tabletext"/>
              <w:jc w:val="right"/>
              <w:rPr>
                <w:sz w:val="15"/>
                <w:szCs w:val="15"/>
              </w:rPr>
            </w:pPr>
            <w:r w:rsidRPr="009A3EE3">
              <w:rPr>
                <w:sz w:val="15"/>
                <w:szCs w:val="15"/>
              </w:rPr>
              <w:t xml:space="preserve">96 </w:t>
            </w:r>
            <w:r w:rsidR="0004066C" w:rsidRPr="009A3EE3">
              <w:rPr>
                <w:sz w:val="15"/>
                <w:szCs w:val="15"/>
              </w:rPr>
              <w:t>578</w:t>
            </w:r>
          </w:p>
        </w:tc>
        <w:tc>
          <w:tcPr>
            <w:tcW w:w="1701" w:type="dxa"/>
            <w:gridSpan w:val="2"/>
            <w:tcBorders>
              <w:left w:val="single" w:sz="4" w:space="0" w:color="auto"/>
              <w:bottom w:val="single" w:sz="4" w:space="0" w:color="auto"/>
            </w:tcBorders>
            <w:vAlign w:val="center"/>
          </w:tcPr>
          <w:p w:rsidR="0004066C" w:rsidRPr="009A3EE3" w:rsidRDefault="0004066C" w:rsidP="009A3EE3">
            <w:pPr>
              <w:pStyle w:val="Tabletext"/>
              <w:rPr>
                <w:sz w:val="15"/>
                <w:szCs w:val="15"/>
              </w:rPr>
            </w:pPr>
            <w:r w:rsidRPr="009A3EE3">
              <w:rPr>
                <w:sz w:val="15"/>
                <w:szCs w:val="15"/>
              </w:rPr>
              <w:t>In all 3 years</w:t>
            </w:r>
          </w:p>
        </w:tc>
        <w:tc>
          <w:tcPr>
            <w:tcW w:w="865" w:type="dxa"/>
            <w:tcBorders>
              <w:bottom w:val="single" w:sz="4" w:space="0" w:color="auto"/>
              <w:right w:val="single" w:sz="4" w:space="0" w:color="auto"/>
            </w:tcBorders>
            <w:vAlign w:val="center"/>
          </w:tcPr>
          <w:p w:rsidR="0004066C" w:rsidRPr="009A3EE3" w:rsidRDefault="009A3EE3" w:rsidP="009A3EE3">
            <w:pPr>
              <w:pStyle w:val="Tabletext"/>
              <w:jc w:val="right"/>
              <w:rPr>
                <w:sz w:val="15"/>
                <w:szCs w:val="15"/>
              </w:rPr>
            </w:pPr>
            <w:r w:rsidRPr="009A3EE3">
              <w:rPr>
                <w:sz w:val="15"/>
                <w:szCs w:val="15"/>
              </w:rPr>
              <w:t xml:space="preserve">96 </w:t>
            </w:r>
            <w:r w:rsidR="0004066C" w:rsidRPr="009A3EE3">
              <w:rPr>
                <w:sz w:val="15"/>
                <w:szCs w:val="15"/>
              </w:rPr>
              <w:t>578</w:t>
            </w:r>
          </w:p>
        </w:tc>
        <w:tc>
          <w:tcPr>
            <w:tcW w:w="1686" w:type="dxa"/>
            <w:gridSpan w:val="2"/>
            <w:tcBorders>
              <w:left w:val="single" w:sz="4" w:space="0" w:color="auto"/>
              <w:bottom w:val="single" w:sz="4" w:space="0" w:color="auto"/>
            </w:tcBorders>
            <w:vAlign w:val="center"/>
          </w:tcPr>
          <w:p w:rsidR="0004066C" w:rsidRPr="009A3EE3" w:rsidRDefault="0004066C" w:rsidP="009A3EE3">
            <w:pPr>
              <w:pStyle w:val="Tabletext"/>
              <w:rPr>
                <w:sz w:val="15"/>
                <w:szCs w:val="15"/>
              </w:rPr>
            </w:pPr>
            <w:r w:rsidRPr="009A3EE3">
              <w:rPr>
                <w:sz w:val="15"/>
                <w:szCs w:val="15"/>
              </w:rPr>
              <w:t>In all 3 years</w:t>
            </w:r>
          </w:p>
        </w:tc>
        <w:tc>
          <w:tcPr>
            <w:tcW w:w="936" w:type="dxa"/>
            <w:tcBorders>
              <w:bottom w:val="single" w:sz="4" w:space="0" w:color="auto"/>
            </w:tcBorders>
            <w:vAlign w:val="center"/>
          </w:tcPr>
          <w:p w:rsidR="0004066C" w:rsidRPr="009A3EE3" w:rsidRDefault="0004066C" w:rsidP="009A3EE3">
            <w:pPr>
              <w:pStyle w:val="Tabletext"/>
              <w:jc w:val="right"/>
              <w:rPr>
                <w:sz w:val="15"/>
                <w:szCs w:val="15"/>
              </w:rPr>
            </w:pPr>
            <w:r w:rsidRPr="009A3EE3">
              <w:rPr>
                <w:sz w:val="15"/>
                <w:szCs w:val="15"/>
              </w:rPr>
              <w:t>96</w:t>
            </w:r>
            <w:r w:rsidR="009A3EE3" w:rsidRPr="009A3EE3">
              <w:rPr>
                <w:sz w:val="15"/>
                <w:szCs w:val="15"/>
              </w:rPr>
              <w:t xml:space="preserve"> </w:t>
            </w:r>
            <w:r w:rsidRPr="009A3EE3">
              <w:rPr>
                <w:sz w:val="15"/>
                <w:szCs w:val="15"/>
              </w:rPr>
              <w:t>578</w:t>
            </w:r>
          </w:p>
        </w:tc>
      </w:tr>
      <w:tr w:rsidR="0004066C" w:rsidRPr="00AF69F4" w:rsidTr="009A3EE3">
        <w:trPr>
          <w:trHeight w:val="397"/>
        </w:trPr>
        <w:tc>
          <w:tcPr>
            <w:tcW w:w="1560" w:type="dxa"/>
            <w:tcBorders>
              <w:top w:val="single" w:sz="4" w:space="0" w:color="auto"/>
              <w:bottom w:val="single" w:sz="4" w:space="0" w:color="auto"/>
            </w:tcBorders>
            <w:vAlign w:val="center"/>
          </w:tcPr>
          <w:p w:rsidR="0004066C" w:rsidRPr="009A3EE3" w:rsidRDefault="0004066C" w:rsidP="009A3EE3">
            <w:pPr>
              <w:pStyle w:val="Tabletext"/>
              <w:rPr>
                <w:b/>
                <w:sz w:val="15"/>
                <w:szCs w:val="15"/>
              </w:rPr>
            </w:pPr>
            <w:r w:rsidRPr="009A3EE3">
              <w:rPr>
                <w:b/>
                <w:sz w:val="15"/>
                <w:szCs w:val="15"/>
              </w:rPr>
              <w:t>Total</w:t>
            </w:r>
          </w:p>
        </w:tc>
        <w:tc>
          <w:tcPr>
            <w:tcW w:w="992" w:type="dxa"/>
            <w:gridSpan w:val="2"/>
            <w:tcBorders>
              <w:top w:val="single" w:sz="4" w:space="0" w:color="auto"/>
              <w:bottom w:val="single" w:sz="4" w:space="0" w:color="auto"/>
              <w:right w:val="single" w:sz="4" w:space="0" w:color="auto"/>
            </w:tcBorders>
            <w:vAlign w:val="center"/>
          </w:tcPr>
          <w:p w:rsidR="0004066C" w:rsidRPr="009A3EE3" w:rsidRDefault="009A3EE3" w:rsidP="009A3EE3">
            <w:pPr>
              <w:pStyle w:val="Tabletext"/>
              <w:jc w:val="right"/>
              <w:rPr>
                <w:b/>
                <w:sz w:val="15"/>
                <w:szCs w:val="15"/>
              </w:rPr>
            </w:pPr>
            <w:r w:rsidRPr="009A3EE3">
              <w:rPr>
                <w:b/>
                <w:sz w:val="15"/>
                <w:szCs w:val="15"/>
              </w:rPr>
              <w:t xml:space="preserve">1 966 </w:t>
            </w:r>
            <w:r w:rsidR="0004066C" w:rsidRPr="009A3EE3">
              <w:rPr>
                <w:b/>
                <w:sz w:val="15"/>
                <w:szCs w:val="15"/>
              </w:rPr>
              <w:t>516</w:t>
            </w:r>
          </w:p>
        </w:tc>
        <w:tc>
          <w:tcPr>
            <w:tcW w:w="1559" w:type="dxa"/>
            <w:tcBorders>
              <w:top w:val="single" w:sz="4" w:space="0" w:color="auto"/>
              <w:left w:val="single" w:sz="4" w:space="0" w:color="auto"/>
              <w:bottom w:val="single" w:sz="4" w:space="0" w:color="auto"/>
            </w:tcBorders>
            <w:vAlign w:val="center"/>
          </w:tcPr>
          <w:p w:rsidR="0004066C" w:rsidRPr="009A3EE3" w:rsidRDefault="0004066C" w:rsidP="009A3EE3">
            <w:pPr>
              <w:pStyle w:val="Tabletext"/>
              <w:rPr>
                <w:b/>
                <w:sz w:val="15"/>
                <w:szCs w:val="15"/>
              </w:rPr>
            </w:pPr>
            <w:r w:rsidRPr="009A3EE3">
              <w:rPr>
                <w:b/>
                <w:sz w:val="15"/>
                <w:szCs w:val="15"/>
              </w:rPr>
              <w:t>Total</w:t>
            </w:r>
          </w:p>
        </w:tc>
        <w:tc>
          <w:tcPr>
            <w:tcW w:w="1007" w:type="dxa"/>
            <w:gridSpan w:val="2"/>
            <w:tcBorders>
              <w:top w:val="single" w:sz="4" w:space="0" w:color="auto"/>
              <w:bottom w:val="single" w:sz="4" w:space="0" w:color="auto"/>
              <w:right w:val="single" w:sz="4" w:space="0" w:color="auto"/>
            </w:tcBorders>
            <w:vAlign w:val="center"/>
          </w:tcPr>
          <w:p w:rsidR="0004066C" w:rsidRPr="009A3EE3" w:rsidRDefault="009A3EE3" w:rsidP="009A3EE3">
            <w:pPr>
              <w:pStyle w:val="Tabletext"/>
              <w:jc w:val="right"/>
              <w:rPr>
                <w:b/>
                <w:sz w:val="15"/>
                <w:szCs w:val="15"/>
              </w:rPr>
            </w:pPr>
            <w:r w:rsidRPr="009A3EE3">
              <w:rPr>
                <w:b/>
                <w:sz w:val="15"/>
                <w:szCs w:val="15"/>
              </w:rPr>
              <w:t xml:space="preserve">1 825 </w:t>
            </w:r>
            <w:r w:rsidR="0004066C" w:rsidRPr="009A3EE3">
              <w:rPr>
                <w:b/>
                <w:sz w:val="15"/>
                <w:szCs w:val="15"/>
              </w:rPr>
              <w:t>543</w:t>
            </w:r>
          </w:p>
        </w:tc>
        <w:tc>
          <w:tcPr>
            <w:tcW w:w="1545" w:type="dxa"/>
            <w:tcBorders>
              <w:top w:val="single" w:sz="4" w:space="0" w:color="auto"/>
              <w:left w:val="single" w:sz="4" w:space="0" w:color="auto"/>
              <w:bottom w:val="single" w:sz="4" w:space="0" w:color="auto"/>
            </w:tcBorders>
            <w:vAlign w:val="center"/>
          </w:tcPr>
          <w:p w:rsidR="0004066C" w:rsidRPr="009A3EE3" w:rsidRDefault="0004066C" w:rsidP="009A3EE3">
            <w:pPr>
              <w:pStyle w:val="Tabletext"/>
              <w:rPr>
                <w:b/>
                <w:sz w:val="15"/>
                <w:szCs w:val="15"/>
              </w:rPr>
            </w:pPr>
            <w:r w:rsidRPr="009A3EE3">
              <w:rPr>
                <w:b/>
                <w:sz w:val="15"/>
                <w:szCs w:val="15"/>
              </w:rPr>
              <w:t>Total</w:t>
            </w:r>
          </w:p>
        </w:tc>
        <w:tc>
          <w:tcPr>
            <w:tcW w:w="1077" w:type="dxa"/>
            <w:gridSpan w:val="2"/>
            <w:tcBorders>
              <w:top w:val="single" w:sz="4" w:space="0" w:color="auto"/>
              <w:bottom w:val="single" w:sz="4" w:space="0" w:color="auto"/>
            </w:tcBorders>
            <w:vAlign w:val="center"/>
          </w:tcPr>
          <w:p w:rsidR="0004066C" w:rsidRPr="009A3EE3" w:rsidRDefault="009A3EE3" w:rsidP="009A3EE3">
            <w:pPr>
              <w:pStyle w:val="Tabletext"/>
              <w:jc w:val="right"/>
              <w:rPr>
                <w:b/>
                <w:sz w:val="15"/>
                <w:szCs w:val="15"/>
              </w:rPr>
            </w:pPr>
            <w:r w:rsidRPr="009A3EE3">
              <w:rPr>
                <w:b/>
                <w:sz w:val="15"/>
                <w:szCs w:val="15"/>
              </w:rPr>
              <w:t xml:space="preserve">1 559 </w:t>
            </w:r>
            <w:r w:rsidR="0004066C" w:rsidRPr="009A3EE3">
              <w:rPr>
                <w:b/>
                <w:sz w:val="15"/>
                <w:szCs w:val="15"/>
              </w:rPr>
              <w:t>274</w:t>
            </w:r>
          </w:p>
        </w:tc>
      </w:tr>
      <w:tr w:rsidR="0004066C" w:rsidRPr="00EC5716" w:rsidTr="009A3EE3">
        <w:trPr>
          <w:trHeight w:val="383"/>
        </w:trPr>
        <w:tc>
          <w:tcPr>
            <w:tcW w:w="1560" w:type="dxa"/>
            <w:tcBorders>
              <w:bottom w:val="single" w:sz="4" w:space="0" w:color="auto"/>
            </w:tcBorders>
          </w:tcPr>
          <w:p w:rsidR="0004066C" w:rsidRPr="009A3EE3" w:rsidRDefault="0004066C" w:rsidP="009A3EE3">
            <w:pPr>
              <w:pStyle w:val="Tabletext"/>
              <w:rPr>
                <w:b/>
                <w:sz w:val="15"/>
                <w:szCs w:val="15"/>
              </w:rPr>
            </w:pPr>
            <w:r w:rsidRPr="009A3EE3">
              <w:rPr>
                <w:b/>
                <w:sz w:val="15"/>
                <w:szCs w:val="15"/>
              </w:rPr>
              <w:t>Total records in matched dataset</w:t>
            </w:r>
          </w:p>
        </w:tc>
        <w:tc>
          <w:tcPr>
            <w:tcW w:w="992" w:type="dxa"/>
            <w:gridSpan w:val="2"/>
            <w:tcBorders>
              <w:bottom w:val="single" w:sz="4" w:space="0" w:color="auto"/>
              <w:right w:val="single" w:sz="4" w:space="0" w:color="auto"/>
            </w:tcBorders>
          </w:tcPr>
          <w:p w:rsidR="0004066C" w:rsidRPr="009A3EE3" w:rsidRDefault="0004066C" w:rsidP="009A3EE3">
            <w:pPr>
              <w:pStyle w:val="Tabletext"/>
              <w:jc w:val="right"/>
              <w:rPr>
                <w:b/>
                <w:sz w:val="15"/>
                <w:szCs w:val="15"/>
              </w:rPr>
            </w:pPr>
            <w:r w:rsidRPr="009A3EE3">
              <w:rPr>
                <w:b/>
                <w:sz w:val="15"/>
                <w:szCs w:val="15"/>
              </w:rPr>
              <w:t>4</w:t>
            </w:r>
            <w:r w:rsidR="009A3EE3" w:rsidRPr="009A3EE3">
              <w:rPr>
                <w:b/>
                <w:sz w:val="15"/>
                <w:szCs w:val="15"/>
              </w:rPr>
              <w:t xml:space="preserve"> </w:t>
            </w:r>
            <w:r w:rsidRPr="009A3EE3">
              <w:rPr>
                <w:b/>
                <w:sz w:val="15"/>
                <w:szCs w:val="15"/>
              </w:rPr>
              <w:t>555</w:t>
            </w:r>
            <w:r w:rsidR="009A3EE3" w:rsidRPr="009A3EE3">
              <w:rPr>
                <w:b/>
                <w:sz w:val="15"/>
                <w:szCs w:val="15"/>
              </w:rPr>
              <w:t xml:space="preserve"> </w:t>
            </w:r>
            <w:r w:rsidRPr="009A3EE3">
              <w:rPr>
                <w:b/>
                <w:sz w:val="15"/>
                <w:szCs w:val="15"/>
              </w:rPr>
              <w:t>365</w:t>
            </w:r>
          </w:p>
        </w:tc>
        <w:tc>
          <w:tcPr>
            <w:tcW w:w="1559" w:type="dxa"/>
            <w:tcBorders>
              <w:left w:val="single" w:sz="4" w:space="0" w:color="auto"/>
              <w:bottom w:val="single" w:sz="4" w:space="0" w:color="auto"/>
            </w:tcBorders>
          </w:tcPr>
          <w:p w:rsidR="0004066C" w:rsidRPr="009A3EE3" w:rsidRDefault="0004066C" w:rsidP="009A3EE3">
            <w:pPr>
              <w:pStyle w:val="Tabletext"/>
              <w:rPr>
                <w:b/>
                <w:sz w:val="15"/>
                <w:szCs w:val="15"/>
              </w:rPr>
            </w:pPr>
            <w:r w:rsidRPr="009A3EE3">
              <w:rPr>
                <w:b/>
                <w:sz w:val="15"/>
                <w:szCs w:val="15"/>
              </w:rPr>
              <w:t>Total records in matched dataset</w:t>
            </w:r>
          </w:p>
        </w:tc>
        <w:tc>
          <w:tcPr>
            <w:tcW w:w="1007" w:type="dxa"/>
            <w:gridSpan w:val="2"/>
            <w:tcBorders>
              <w:bottom w:val="single" w:sz="4" w:space="0" w:color="auto"/>
              <w:right w:val="single" w:sz="4" w:space="0" w:color="auto"/>
            </w:tcBorders>
          </w:tcPr>
          <w:p w:rsidR="0004066C" w:rsidRPr="009A3EE3" w:rsidRDefault="009A3EE3" w:rsidP="009A3EE3">
            <w:pPr>
              <w:pStyle w:val="Tabletext"/>
              <w:jc w:val="right"/>
              <w:rPr>
                <w:b/>
                <w:sz w:val="15"/>
                <w:szCs w:val="15"/>
              </w:rPr>
            </w:pPr>
            <w:r w:rsidRPr="009A3EE3">
              <w:rPr>
                <w:b/>
                <w:sz w:val="15"/>
                <w:szCs w:val="15"/>
              </w:rPr>
              <w:t xml:space="preserve">4 </w:t>
            </w:r>
            <w:r w:rsidR="0004066C" w:rsidRPr="009A3EE3">
              <w:rPr>
                <w:b/>
                <w:sz w:val="15"/>
                <w:szCs w:val="15"/>
              </w:rPr>
              <w:t>555</w:t>
            </w:r>
            <w:r w:rsidRPr="009A3EE3">
              <w:rPr>
                <w:b/>
                <w:sz w:val="15"/>
                <w:szCs w:val="15"/>
              </w:rPr>
              <w:t xml:space="preserve"> </w:t>
            </w:r>
            <w:r w:rsidR="0004066C" w:rsidRPr="009A3EE3">
              <w:rPr>
                <w:b/>
                <w:sz w:val="15"/>
                <w:szCs w:val="15"/>
              </w:rPr>
              <w:t>365</w:t>
            </w:r>
          </w:p>
        </w:tc>
        <w:tc>
          <w:tcPr>
            <w:tcW w:w="1545" w:type="dxa"/>
            <w:tcBorders>
              <w:left w:val="single" w:sz="4" w:space="0" w:color="auto"/>
              <w:bottom w:val="single" w:sz="4" w:space="0" w:color="auto"/>
            </w:tcBorders>
          </w:tcPr>
          <w:p w:rsidR="0004066C" w:rsidRPr="009A3EE3" w:rsidRDefault="0004066C" w:rsidP="009A3EE3">
            <w:pPr>
              <w:pStyle w:val="Tabletext"/>
              <w:rPr>
                <w:b/>
                <w:sz w:val="15"/>
                <w:szCs w:val="15"/>
              </w:rPr>
            </w:pPr>
            <w:r w:rsidRPr="009A3EE3">
              <w:rPr>
                <w:b/>
                <w:sz w:val="15"/>
                <w:szCs w:val="15"/>
              </w:rPr>
              <w:t>Total records in matched dataset</w:t>
            </w:r>
          </w:p>
        </w:tc>
        <w:tc>
          <w:tcPr>
            <w:tcW w:w="1077" w:type="dxa"/>
            <w:gridSpan w:val="2"/>
            <w:tcBorders>
              <w:bottom w:val="single" w:sz="4" w:space="0" w:color="auto"/>
            </w:tcBorders>
          </w:tcPr>
          <w:p w:rsidR="0004066C" w:rsidRPr="009A3EE3" w:rsidRDefault="009A3EE3" w:rsidP="009A3EE3">
            <w:pPr>
              <w:pStyle w:val="Tabletext"/>
              <w:jc w:val="right"/>
              <w:rPr>
                <w:b/>
                <w:sz w:val="15"/>
                <w:szCs w:val="15"/>
              </w:rPr>
            </w:pPr>
            <w:r w:rsidRPr="009A3EE3">
              <w:rPr>
                <w:b/>
                <w:sz w:val="15"/>
                <w:szCs w:val="15"/>
              </w:rPr>
              <w:t xml:space="preserve">4 </w:t>
            </w:r>
            <w:r w:rsidR="0004066C" w:rsidRPr="009A3EE3">
              <w:rPr>
                <w:b/>
                <w:sz w:val="15"/>
                <w:szCs w:val="15"/>
              </w:rPr>
              <w:t>555</w:t>
            </w:r>
            <w:r w:rsidRPr="009A3EE3">
              <w:rPr>
                <w:b/>
                <w:sz w:val="15"/>
                <w:szCs w:val="15"/>
              </w:rPr>
              <w:t xml:space="preserve"> </w:t>
            </w:r>
            <w:r w:rsidR="0004066C" w:rsidRPr="009A3EE3">
              <w:rPr>
                <w:b/>
                <w:sz w:val="15"/>
                <w:szCs w:val="15"/>
              </w:rPr>
              <w:t>365</w:t>
            </w:r>
          </w:p>
        </w:tc>
      </w:tr>
    </w:tbl>
    <w:p w:rsidR="0004066C" w:rsidRPr="004C6E1C" w:rsidRDefault="0004066C" w:rsidP="009A3EE3">
      <w:pPr>
        <w:pStyle w:val="Source"/>
      </w:pPr>
      <w:r w:rsidRPr="004C6E1C">
        <w:t>Source:</w:t>
      </w:r>
      <w:r w:rsidR="004719A6">
        <w:t xml:space="preserve"> </w:t>
      </w:r>
      <w:r>
        <w:t xml:space="preserve">National </w:t>
      </w:r>
      <w:r w:rsidRPr="004C6E1C">
        <w:t>VET</w:t>
      </w:r>
      <w:r>
        <w:t xml:space="preserve"> P</w:t>
      </w:r>
      <w:r w:rsidR="004719A6">
        <w:t>rovider C</w:t>
      </w:r>
      <w:r w:rsidRPr="004C6E1C">
        <w:t>ollection, 2015</w:t>
      </w:r>
      <w:r w:rsidR="00D82EB6">
        <w:t>.</w:t>
      </w:r>
    </w:p>
    <w:p w:rsidR="0004066C" w:rsidRDefault="0004066C" w:rsidP="0004066C">
      <w:pPr>
        <w:pStyle w:val="Text"/>
      </w:pPr>
      <w:r>
        <w:t xml:space="preserve">The next step of the process is to determine the status of these program enrolments in the year of interest (2014) and the following year (2015). Based on the approach outlined by Mark and </w:t>
      </w:r>
      <w:proofErr w:type="spellStart"/>
      <w:r>
        <w:t>Karmel</w:t>
      </w:r>
      <w:proofErr w:type="spellEnd"/>
      <w:r>
        <w:t xml:space="preserve"> (2010), this involves classifying each VET program enrolment in any one-year period as being in one of four states:</w:t>
      </w:r>
    </w:p>
    <w:p w:rsidR="0004066C" w:rsidRDefault="002047E9" w:rsidP="005328E4">
      <w:pPr>
        <w:pStyle w:val="Dotpoint1"/>
      </w:pPr>
      <w:r>
        <w:t>c</w:t>
      </w:r>
      <w:r w:rsidR="0004066C">
        <w:t>ommencing program year</w:t>
      </w:r>
    </w:p>
    <w:p w:rsidR="0004066C" w:rsidRDefault="002047E9" w:rsidP="005328E4">
      <w:pPr>
        <w:pStyle w:val="Dotpoint1"/>
      </w:pPr>
      <w:r>
        <w:t>c</w:t>
      </w:r>
      <w:r w:rsidR="0004066C">
        <w:t>ontinuing program year</w:t>
      </w:r>
    </w:p>
    <w:p w:rsidR="0004066C" w:rsidRDefault="002047E9" w:rsidP="005328E4">
      <w:pPr>
        <w:pStyle w:val="Dotpoint1"/>
      </w:pPr>
      <w:r>
        <w:t>d</w:t>
      </w:r>
      <w:r w:rsidR="0004066C">
        <w:t>ropped out of the program (discontinued)</w:t>
      </w:r>
    </w:p>
    <w:p w:rsidR="0004066C" w:rsidRDefault="002047E9" w:rsidP="005328E4">
      <w:pPr>
        <w:pStyle w:val="Dotpoint1"/>
      </w:pPr>
      <w:proofErr w:type="gramStart"/>
      <w:r>
        <w:t>c</w:t>
      </w:r>
      <w:r w:rsidR="0004066C">
        <w:t>ompleted</w:t>
      </w:r>
      <w:proofErr w:type="gramEnd"/>
      <w:r w:rsidR="0004066C">
        <w:t xml:space="preserve"> the program</w:t>
      </w:r>
      <w:r>
        <w:t>.</w:t>
      </w:r>
    </w:p>
    <w:p w:rsidR="0004066C" w:rsidRDefault="0004066C" w:rsidP="0004066C">
      <w:pPr>
        <w:pStyle w:val="Text"/>
      </w:pPr>
      <w:r>
        <w:t xml:space="preserve">Here, a VET program enrolment can only be classified to one state in each year. Thus a program commenced in 2014, say, is counted as a commencing program in 2014 even if the program is also completed in that same year. Such a program will be classified as completed in the following year, in 2015. Further, the VET program enrolment’s course </w:t>
      </w:r>
      <w:r>
        <w:lastRenderedPageBreak/>
        <w:t>is assumed to be a discrete-time random (stochastic) process</w:t>
      </w:r>
      <w:r w:rsidR="002047E9">
        <w:t>,</w:t>
      </w:r>
      <w:r>
        <w:t xml:space="preserve"> meaning </w:t>
      </w:r>
      <w:r w:rsidR="002047E9">
        <w:t>that the year-to-</w:t>
      </w:r>
      <w:r>
        <w:t xml:space="preserve">year transition in an enrolment’s status only depends on the last status the enrolment </w:t>
      </w:r>
      <w:r w:rsidR="002047E9">
        <w:t>occupied</w:t>
      </w:r>
      <w:r>
        <w:t>, and is independent of its past. Furthermore, the last two states (</w:t>
      </w:r>
      <w:r w:rsidR="00294545">
        <w:t>‘</w:t>
      </w:r>
      <w:r>
        <w:t>dropped out</w:t>
      </w:r>
      <w:r w:rsidR="00294545">
        <w:t>’</w:t>
      </w:r>
      <w:r>
        <w:t xml:space="preserve"> and </w:t>
      </w:r>
      <w:r w:rsidR="00294545">
        <w:t>‘</w:t>
      </w:r>
      <w:r>
        <w:t>completed</w:t>
      </w:r>
      <w:r w:rsidR="00294545">
        <w:t>’</w:t>
      </w:r>
      <w:r>
        <w:t xml:space="preserve">) are assumed to be absorbing states, since, in theory, a program that has been completed or been dropped out of will always remain that way. </w:t>
      </w:r>
    </w:p>
    <w:p w:rsidR="0004066C" w:rsidRDefault="0004066C" w:rsidP="0004066C">
      <w:pPr>
        <w:pStyle w:val="Text"/>
      </w:pPr>
      <w:r>
        <w:t>Finally, some of the program enrolments in our matched dataset will not fall into any of the four states listed above for a particular year of interest, either because they have not yet commenced, have already been completed, or already dropped out of. To account for these, a dummy status of ‘Not in the system’ is assigned.</w:t>
      </w:r>
    </w:p>
    <w:p w:rsidR="0004066C" w:rsidRDefault="0004066C" w:rsidP="0004066C">
      <w:pPr>
        <w:pStyle w:val="Text"/>
      </w:pPr>
      <w:r>
        <w:t xml:space="preserve">The method for classifying the status of a program enrolment is presented in </w:t>
      </w:r>
      <w:r w:rsidRPr="00AC25DE">
        <w:t xml:space="preserve">Mark and </w:t>
      </w:r>
      <w:proofErr w:type="spellStart"/>
      <w:r w:rsidRPr="00AC25DE">
        <w:t>Karmel’s</w:t>
      </w:r>
      <w:proofErr w:type="spellEnd"/>
      <w:r w:rsidRPr="00AC25DE">
        <w:t xml:space="preserve"> </w:t>
      </w:r>
      <w:r w:rsidR="002047E9">
        <w:t xml:space="preserve">(2010) </w:t>
      </w:r>
      <w:r w:rsidRPr="00AC25DE">
        <w:t>paper.</w:t>
      </w:r>
      <w:r w:rsidR="002047E9">
        <w:t xml:space="preserve"> </w:t>
      </w:r>
      <w:r w:rsidRPr="00AF76A5">
        <w:t xml:space="preserve">Based on </w:t>
      </w:r>
      <w:r>
        <w:t xml:space="preserve">this approach, and applying it to the </w:t>
      </w:r>
      <w:r w:rsidRPr="00AF76A5">
        <w:t xml:space="preserve">data </w:t>
      </w:r>
      <w:r>
        <w:t>in our</w:t>
      </w:r>
      <w:r w:rsidRPr="00AF76A5">
        <w:t xml:space="preserve"> </w:t>
      </w:r>
      <w:r>
        <w:t xml:space="preserve">2014 </w:t>
      </w:r>
      <w:r w:rsidRPr="00AF76A5">
        <w:t xml:space="preserve">matched </w:t>
      </w:r>
      <w:r>
        <w:t xml:space="preserve">longitudinal </w:t>
      </w:r>
      <w:r w:rsidRPr="00AF76A5">
        <w:t xml:space="preserve">dataset </w:t>
      </w:r>
      <w:r>
        <w:t>(</w:t>
      </w:r>
      <w:r w:rsidRPr="00AF76A5">
        <w:t xml:space="preserve">centred around </w:t>
      </w:r>
      <w:r>
        <w:t>2014 as our year of interest)</w:t>
      </w:r>
      <w:r w:rsidRPr="00AF76A5">
        <w:t xml:space="preserve">, we </w:t>
      </w:r>
      <w:r>
        <w:t>derive</w:t>
      </w:r>
      <w:r w:rsidRPr="00AF76A5">
        <w:t xml:space="preserve"> the program enrolment statuses </w:t>
      </w:r>
      <w:r>
        <w:t>for</w:t>
      </w:r>
      <w:r w:rsidRPr="00AF76A5">
        <w:t xml:space="preserve"> 2014 and</w:t>
      </w:r>
      <w:r>
        <w:t xml:space="preserve"> also their transitioning statuses</w:t>
      </w:r>
      <w:r w:rsidRPr="00AF76A5">
        <w:t xml:space="preserve"> </w:t>
      </w:r>
      <w:r>
        <w:t xml:space="preserve">for </w:t>
      </w:r>
      <w:r w:rsidRPr="00AF76A5">
        <w:t>2015</w:t>
      </w:r>
      <w:r w:rsidR="002047E9">
        <w:t>,</w:t>
      </w:r>
      <w:r w:rsidRPr="00AF76A5">
        <w:t xml:space="preserve"> </w:t>
      </w:r>
      <w:r>
        <w:t xml:space="preserve">as </w:t>
      </w:r>
      <w:r w:rsidRPr="00AF76A5">
        <w:t xml:space="preserve">shown in table </w:t>
      </w:r>
      <w:r>
        <w:t>A2</w:t>
      </w:r>
      <w:r w:rsidRPr="00AF76A5">
        <w:t>.</w:t>
      </w:r>
    </w:p>
    <w:p w:rsidR="0004066C" w:rsidRDefault="0004066C" w:rsidP="00C06F78">
      <w:pPr>
        <w:pStyle w:val="tabletitle0"/>
      </w:pPr>
      <w:bookmarkStart w:id="54" w:name="_Toc464219994"/>
      <w:bookmarkStart w:id="55" w:name="_Toc465780151"/>
      <w:r>
        <w:t>Table A2</w:t>
      </w:r>
      <w:r>
        <w:tab/>
        <w:t>2014 program enrolment status and their transitioning 2015 equivalents (number)</w:t>
      </w:r>
      <w:bookmarkEnd w:id="54"/>
      <w:bookmarkEnd w:id="55"/>
    </w:p>
    <w:tbl>
      <w:tblPr>
        <w:tblStyle w:val="TableGrid"/>
        <w:tblW w:w="75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1"/>
        <w:gridCol w:w="176"/>
        <w:gridCol w:w="993"/>
        <w:gridCol w:w="850"/>
        <w:gridCol w:w="142"/>
        <w:gridCol w:w="851"/>
        <w:gridCol w:w="141"/>
        <w:gridCol w:w="993"/>
        <w:gridCol w:w="249"/>
        <w:gridCol w:w="885"/>
        <w:gridCol w:w="249"/>
        <w:gridCol w:w="744"/>
      </w:tblGrid>
      <w:tr w:rsidR="0004066C" w:rsidTr="00294545">
        <w:tc>
          <w:tcPr>
            <w:tcW w:w="1241" w:type="dxa"/>
            <w:tcBorders>
              <w:top w:val="single" w:sz="4" w:space="0" w:color="auto"/>
            </w:tcBorders>
          </w:tcPr>
          <w:p w:rsidR="0004066C" w:rsidRDefault="0004066C" w:rsidP="0004066C">
            <w:pPr>
              <w:pStyle w:val="Tablehead1"/>
            </w:pPr>
          </w:p>
        </w:tc>
        <w:tc>
          <w:tcPr>
            <w:tcW w:w="6272" w:type="dxa"/>
            <w:gridSpan w:val="11"/>
            <w:tcBorders>
              <w:top w:val="single" w:sz="4" w:space="0" w:color="auto"/>
            </w:tcBorders>
            <w:vAlign w:val="center"/>
          </w:tcPr>
          <w:p w:rsidR="0004066C" w:rsidRPr="00274543" w:rsidRDefault="0004066C" w:rsidP="0004066C">
            <w:pPr>
              <w:pStyle w:val="Tablehead1"/>
              <w:jc w:val="center"/>
            </w:pPr>
            <w:r w:rsidRPr="00274543">
              <w:t>2015 Status</w:t>
            </w:r>
          </w:p>
        </w:tc>
      </w:tr>
      <w:tr w:rsidR="0004066C" w:rsidTr="00294545">
        <w:tc>
          <w:tcPr>
            <w:tcW w:w="1417" w:type="dxa"/>
            <w:gridSpan w:val="2"/>
            <w:tcBorders>
              <w:bottom w:val="single" w:sz="4" w:space="0" w:color="auto"/>
            </w:tcBorders>
            <w:vAlign w:val="bottom"/>
          </w:tcPr>
          <w:p w:rsidR="0004066C" w:rsidRPr="00274543" w:rsidRDefault="0004066C" w:rsidP="00E0527D">
            <w:pPr>
              <w:pStyle w:val="Tablehead1"/>
            </w:pPr>
            <w:r w:rsidRPr="00274543">
              <w:t>2014 Status</w:t>
            </w:r>
          </w:p>
        </w:tc>
        <w:tc>
          <w:tcPr>
            <w:tcW w:w="993" w:type="dxa"/>
            <w:tcBorders>
              <w:bottom w:val="single" w:sz="4" w:space="0" w:color="auto"/>
            </w:tcBorders>
            <w:tcMar>
              <w:left w:w="57" w:type="dxa"/>
              <w:right w:w="57" w:type="dxa"/>
            </w:tcMar>
          </w:tcPr>
          <w:p w:rsidR="0004066C" w:rsidRDefault="0004066C" w:rsidP="00E0527D">
            <w:pPr>
              <w:pStyle w:val="Tablehead2"/>
              <w:tabs>
                <w:tab w:val="clear" w:pos="992"/>
              </w:tabs>
              <w:jc w:val="center"/>
            </w:pPr>
            <w:r>
              <w:t>Completed (1)</w:t>
            </w:r>
          </w:p>
        </w:tc>
        <w:tc>
          <w:tcPr>
            <w:tcW w:w="992" w:type="dxa"/>
            <w:gridSpan w:val="2"/>
            <w:tcBorders>
              <w:bottom w:val="single" w:sz="4" w:space="0" w:color="auto"/>
            </w:tcBorders>
            <w:tcMar>
              <w:left w:w="57" w:type="dxa"/>
              <w:right w:w="57" w:type="dxa"/>
            </w:tcMar>
          </w:tcPr>
          <w:p w:rsidR="0004066C" w:rsidRDefault="0004066C" w:rsidP="00E0527D">
            <w:pPr>
              <w:pStyle w:val="Tablehead2"/>
              <w:tabs>
                <w:tab w:val="clear" w:pos="992"/>
              </w:tabs>
              <w:jc w:val="center"/>
            </w:pPr>
            <w:r>
              <w:t xml:space="preserve">Dropped </w:t>
            </w:r>
            <w:r w:rsidR="00E0527D">
              <w:br/>
            </w:r>
            <w:r>
              <w:t>out (2)</w:t>
            </w:r>
            <w:r w:rsidR="00294545">
              <w:t xml:space="preserve"> </w:t>
            </w:r>
          </w:p>
        </w:tc>
        <w:tc>
          <w:tcPr>
            <w:tcW w:w="992" w:type="dxa"/>
            <w:gridSpan w:val="2"/>
            <w:tcBorders>
              <w:bottom w:val="single" w:sz="4" w:space="0" w:color="auto"/>
            </w:tcBorders>
            <w:tcMar>
              <w:left w:w="45" w:type="dxa"/>
              <w:right w:w="45" w:type="dxa"/>
            </w:tcMar>
          </w:tcPr>
          <w:p w:rsidR="0004066C" w:rsidRDefault="0004066C" w:rsidP="00294545">
            <w:pPr>
              <w:pStyle w:val="Tablehead2"/>
              <w:tabs>
                <w:tab w:val="clear" w:pos="992"/>
              </w:tabs>
              <w:ind w:right="34"/>
              <w:jc w:val="center"/>
            </w:pPr>
            <w:r>
              <w:t>Continuing (3)</w:t>
            </w:r>
          </w:p>
        </w:tc>
        <w:tc>
          <w:tcPr>
            <w:tcW w:w="1242" w:type="dxa"/>
            <w:gridSpan w:val="2"/>
            <w:tcBorders>
              <w:bottom w:val="single" w:sz="4" w:space="0" w:color="auto"/>
            </w:tcBorders>
          </w:tcPr>
          <w:p w:rsidR="0004066C" w:rsidRDefault="0004066C" w:rsidP="00E0527D">
            <w:pPr>
              <w:pStyle w:val="Tablehead2"/>
              <w:jc w:val="center"/>
            </w:pPr>
            <w:r>
              <w:t>Commencing (4)</w:t>
            </w:r>
          </w:p>
        </w:tc>
        <w:tc>
          <w:tcPr>
            <w:tcW w:w="1134" w:type="dxa"/>
            <w:gridSpan w:val="2"/>
            <w:tcBorders>
              <w:bottom w:val="single" w:sz="4" w:space="0" w:color="auto"/>
            </w:tcBorders>
          </w:tcPr>
          <w:p w:rsidR="0004066C" w:rsidRDefault="0004066C" w:rsidP="00E0527D">
            <w:pPr>
              <w:pStyle w:val="Tablehead2"/>
              <w:tabs>
                <w:tab w:val="clear" w:pos="992"/>
              </w:tabs>
              <w:jc w:val="center"/>
            </w:pPr>
            <w:r>
              <w:t xml:space="preserve">Not in the </w:t>
            </w:r>
            <w:r w:rsidR="00E0527D">
              <w:br/>
            </w:r>
            <w:r>
              <w:t>VET system</w:t>
            </w:r>
          </w:p>
        </w:tc>
        <w:tc>
          <w:tcPr>
            <w:tcW w:w="744" w:type="dxa"/>
            <w:tcBorders>
              <w:bottom w:val="single" w:sz="4" w:space="0" w:color="auto"/>
            </w:tcBorders>
          </w:tcPr>
          <w:p w:rsidR="0004066C" w:rsidRDefault="0004066C" w:rsidP="00E0527D">
            <w:pPr>
              <w:pStyle w:val="Tablehead2"/>
              <w:jc w:val="center"/>
            </w:pPr>
            <w:r>
              <w:t>Total</w:t>
            </w:r>
          </w:p>
        </w:tc>
      </w:tr>
      <w:tr w:rsidR="0004066C" w:rsidTr="00294545">
        <w:tc>
          <w:tcPr>
            <w:tcW w:w="1417" w:type="dxa"/>
            <w:gridSpan w:val="2"/>
            <w:tcBorders>
              <w:top w:val="single" w:sz="4" w:space="0" w:color="auto"/>
            </w:tcBorders>
            <w:vAlign w:val="center"/>
          </w:tcPr>
          <w:p w:rsidR="0004066C" w:rsidRPr="00E0527D" w:rsidRDefault="0004066C" w:rsidP="00E0527D">
            <w:pPr>
              <w:pStyle w:val="Tabletext"/>
            </w:pPr>
            <w:r w:rsidRPr="00E0527D">
              <w:t>Completed (1)</w:t>
            </w:r>
          </w:p>
        </w:tc>
        <w:tc>
          <w:tcPr>
            <w:tcW w:w="993" w:type="dxa"/>
            <w:tcBorders>
              <w:top w:val="single" w:sz="4" w:space="0" w:color="auto"/>
            </w:tcBorders>
            <w:tcMar>
              <w:left w:w="57" w:type="dxa"/>
              <w:right w:w="57" w:type="dxa"/>
            </w:tcMar>
            <w:vAlign w:val="center"/>
          </w:tcPr>
          <w:p w:rsidR="0004066C" w:rsidRPr="00E0527D" w:rsidRDefault="0004066C" w:rsidP="00E0527D">
            <w:pPr>
              <w:pStyle w:val="Tabletext"/>
              <w:ind w:right="176"/>
              <w:jc w:val="right"/>
            </w:pPr>
            <w:r w:rsidRPr="00E0527D">
              <w:t>45</w:t>
            </w:r>
            <w:r w:rsidR="00E0527D" w:rsidRPr="00E0527D">
              <w:t xml:space="preserve"> </w:t>
            </w:r>
            <w:r w:rsidRPr="00E0527D">
              <w:t>163</w:t>
            </w:r>
          </w:p>
        </w:tc>
        <w:tc>
          <w:tcPr>
            <w:tcW w:w="850" w:type="dxa"/>
            <w:tcBorders>
              <w:top w:val="single" w:sz="4" w:space="0" w:color="auto"/>
            </w:tcBorders>
            <w:tcMar>
              <w:left w:w="57" w:type="dxa"/>
              <w:right w:w="57" w:type="dxa"/>
            </w:tcMar>
            <w:vAlign w:val="center"/>
          </w:tcPr>
          <w:p w:rsidR="0004066C" w:rsidRPr="00E0527D" w:rsidRDefault="0004066C" w:rsidP="00294545">
            <w:pPr>
              <w:pStyle w:val="Tabletext"/>
              <w:ind w:right="-58"/>
              <w:jc w:val="right"/>
            </w:pPr>
            <w:r w:rsidRPr="00E0527D">
              <w:t>5</w:t>
            </w:r>
            <w:r w:rsidR="00E0527D" w:rsidRPr="00E0527D">
              <w:t xml:space="preserve"> </w:t>
            </w:r>
            <w:r w:rsidRPr="00E0527D">
              <w:t>721</w:t>
            </w:r>
          </w:p>
        </w:tc>
        <w:tc>
          <w:tcPr>
            <w:tcW w:w="993" w:type="dxa"/>
            <w:gridSpan w:val="2"/>
            <w:tcBorders>
              <w:top w:val="single" w:sz="4" w:space="0" w:color="auto"/>
            </w:tcBorders>
            <w:vAlign w:val="center"/>
          </w:tcPr>
          <w:p w:rsidR="0004066C" w:rsidRPr="00E0527D" w:rsidRDefault="0004066C" w:rsidP="00294545">
            <w:pPr>
              <w:pStyle w:val="Tabletext"/>
              <w:ind w:right="-108"/>
              <w:jc w:val="right"/>
            </w:pPr>
            <w:r w:rsidRPr="00E0527D">
              <w:t>764</w:t>
            </w:r>
          </w:p>
        </w:tc>
        <w:tc>
          <w:tcPr>
            <w:tcW w:w="1134" w:type="dxa"/>
            <w:gridSpan w:val="2"/>
            <w:tcBorders>
              <w:top w:val="single" w:sz="4" w:space="0" w:color="auto"/>
            </w:tcBorders>
            <w:vAlign w:val="center"/>
          </w:tcPr>
          <w:p w:rsidR="0004066C" w:rsidRPr="00E0527D" w:rsidRDefault="0004066C" w:rsidP="00294545">
            <w:pPr>
              <w:pStyle w:val="Tabletext"/>
              <w:ind w:right="-108"/>
              <w:jc w:val="right"/>
            </w:pPr>
            <w:r w:rsidRPr="00E0527D">
              <w:t>510</w:t>
            </w:r>
          </w:p>
        </w:tc>
        <w:tc>
          <w:tcPr>
            <w:tcW w:w="1134" w:type="dxa"/>
            <w:gridSpan w:val="2"/>
            <w:tcBorders>
              <w:top w:val="single" w:sz="4" w:space="0" w:color="auto"/>
            </w:tcBorders>
            <w:vAlign w:val="center"/>
          </w:tcPr>
          <w:p w:rsidR="0004066C" w:rsidRPr="00E0527D" w:rsidRDefault="0004066C" w:rsidP="00294545">
            <w:pPr>
              <w:pStyle w:val="Tabletext"/>
              <w:ind w:right="-108"/>
              <w:jc w:val="right"/>
            </w:pPr>
            <w:r w:rsidRPr="00E0527D">
              <w:t>557</w:t>
            </w:r>
            <w:r w:rsidR="00E0527D" w:rsidRPr="00E0527D">
              <w:t xml:space="preserve"> </w:t>
            </w:r>
            <w:r w:rsidRPr="00E0527D">
              <w:t>915</w:t>
            </w:r>
          </w:p>
        </w:tc>
        <w:tc>
          <w:tcPr>
            <w:tcW w:w="993" w:type="dxa"/>
            <w:gridSpan w:val="2"/>
            <w:tcBorders>
              <w:top w:val="single" w:sz="4" w:space="0" w:color="auto"/>
            </w:tcBorders>
            <w:vAlign w:val="center"/>
          </w:tcPr>
          <w:p w:rsidR="0004066C" w:rsidRPr="00E0527D" w:rsidRDefault="0004066C" w:rsidP="00294545">
            <w:pPr>
              <w:pStyle w:val="Tabletext"/>
              <w:ind w:right="-107"/>
              <w:jc w:val="right"/>
            </w:pPr>
            <w:r w:rsidRPr="00E0527D">
              <w:t>610</w:t>
            </w:r>
            <w:r w:rsidR="00E0527D" w:rsidRPr="00E0527D">
              <w:t xml:space="preserve"> </w:t>
            </w:r>
            <w:r w:rsidRPr="00E0527D">
              <w:t>073</w:t>
            </w:r>
          </w:p>
        </w:tc>
      </w:tr>
      <w:tr w:rsidR="0004066C" w:rsidTr="00294545">
        <w:tc>
          <w:tcPr>
            <w:tcW w:w="1417" w:type="dxa"/>
            <w:gridSpan w:val="2"/>
            <w:vAlign w:val="center"/>
          </w:tcPr>
          <w:p w:rsidR="0004066C" w:rsidRPr="00E0527D" w:rsidRDefault="0004066C" w:rsidP="00E0527D">
            <w:pPr>
              <w:pStyle w:val="Tabletext"/>
            </w:pPr>
            <w:r w:rsidRPr="00E0527D">
              <w:t>Dropped out (2)</w:t>
            </w:r>
          </w:p>
        </w:tc>
        <w:tc>
          <w:tcPr>
            <w:tcW w:w="993" w:type="dxa"/>
            <w:tcMar>
              <w:left w:w="57" w:type="dxa"/>
              <w:right w:w="57" w:type="dxa"/>
            </w:tcMar>
            <w:vAlign w:val="center"/>
          </w:tcPr>
          <w:p w:rsidR="0004066C" w:rsidRPr="00E0527D" w:rsidRDefault="0004066C" w:rsidP="00E0527D">
            <w:pPr>
              <w:pStyle w:val="Tabletext"/>
              <w:ind w:right="176"/>
              <w:jc w:val="right"/>
            </w:pPr>
            <w:r w:rsidRPr="00E0527D">
              <w:t>378</w:t>
            </w:r>
          </w:p>
        </w:tc>
        <w:tc>
          <w:tcPr>
            <w:tcW w:w="850" w:type="dxa"/>
            <w:tcMar>
              <w:left w:w="57" w:type="dxa"/>
              <w:right w:w="57" w:type="dxa"/>
            </w:tcMar>
            <w:vAlign w:val="center"/>
          </w:tcPr>
          <w:p w:rsidR="0004066C" w:rsidRPr="00E0527D" w:rsidRDefault="0004066C" w:rsidP="00294545">
            <w:pPr>
              <w:pStyle w:val="Tabletext"/>
              <w:ind w:right="-58"/>
              <w:jc w:val="right"/>
            </w:pPr>
            <w:r w:rsidRPr="00E0527D">
              <w:t>0</w:t>
            </w:r>
          </w:p>
        </w:tc>
        <w:tc>
          <w:tcPr>
            <w:tcW w:w="993" w:type="dxa"/>
            <w:gridSpan w:val="2"/>
            <w:vAlign w:val="center"/>
          </w:tcPr>
          <w:p w:rsidR="0004066C" w:rsidRPr="00E0527D" w:rsidRDefault="00D82EB6" w:rsidP="00294545">
            <w:pPr>
              <w:pStyle w:val="Tabletext"/>
              <w:ind w:right="-108"/>
              <w:jc w:val="right"/>
            </w:pPr>
            <w:r>
              <w:t xml:space="preserve">3 </w:t>
            </w:r>
            <w:r w:rsidR="0004066C" w:rsidRPr="00E0527D">
              <w:t>929</w:t>
            </w:r>
          </w:p>
        </w:tc>
        <w:tc>
          <w:tcPr>
            <w:tcW w:w="1134" w:type="dxa"/>
            <w:gridSpan w:val="2"/>
            <w:vAlign w:val="center"/>
          </w:tcPr>
          <w:p w:rsidR="0004066C" w:rsidRPr="00E0527D" w:rsidRDefault="0004066C" w:rsidP="00294545">
            <w:pPr>
              <w:pStyle w:val="Tabletext"/>
              <w:ind w:right="-108"/>
              <w:jc w:val="right"/>
            </w:pPr>
            <w:r w:rsidRPr="00E0527D">
              <w:t>4</w:t>
            </w:r>
            <w:r w:rsidR="00D82EB6">
              <w:t xml:space="preserve"> </w:t>
            </w:r>
            <w:r w:rsidRPr="00E0527D">
              <w:t>320</w:t>
            </w:r>
          </w:p>
        </w:tc>
        <w:tc>
          <w:tcPr>
            <w:tcW w:w="1134" w:type="dxa"/>
            <w:gridSpan w:val="2"/>
            <w:vAlign w:val="center"/>
          </w:tcPr>
          <w:p w:rsidR="0004066C" w:rsidRPr="00E0527D" w:rsidRDefault="0004066C" w:rsidP="00294545">
            <w:pPr>
              <w:pStyle w:val="Tabletext"/>
              <w:ind w:right="-108"/>
              <w:jc w:val="right"/>
            </w:pPr>
            <w:r w:rsidRPr="00E0527D">
              <w:t>958</w:t>
            </w:r>
            <w:r w:rsidR="00E0527D" w:rsidRPr="00E0527D">
              <w:t xml:space="preserve"> </w:t>
            </w:r>
            <w:r w:rsidRPr="00E0527D">
              <w:t>652</w:t>
            </w:r>
          </w:p>
        </w:tc>
        <w:tc>
          <w:tcPr>
            <w:tcW w:w="993" w:type="dxa"/>
            <w:gridSpan w:val="2"/>
            <w:vAlign w:val="center"/>
          </w:tcPr>
          <w:p w:rsidR="0004066C" w:rsidRPr="00E0527D" w:rsidRDefault="0004066C" w:rsidP="00294545">
            <w:pPr>
              <w:pStyle w:val="Tabletext"/>
              <w:ind w:right="-107"/>
              <w:jc w:val="right"/>
            </w:pPr>
            <w:r w:rsidRPr="00E0527D">
              <w:t>967</w:t>
            </w:r>
            <w:r w:rsidR="00E0527D" w:rsidRPr="00E0527D">
              <w:t xml:space="preserve"> </w:t>
            </w:r>
            <w:r w:rsidRPr="00E0527D">
              <w:t>279</w:t>
            </w:r>
          </w:p>
        </w:tc>
      </w:tr>
      <w:tr w:rsidR="0004066C" w:rsidTr="00294545">
        <w:tc>
          <w:tcPr>
            <w:tcW w:w="1417" w:type="dxa"/>
            <w:gridSpan w:val="2"/>
            <w:vAlign w:val="center"/>
          </w:tcPr>
          <w:p w:rsidR="0004066C" w:rsidRPr="00E0527D" w:rsidRDefault="0004066C" w:rsidP="00E0527D">
            <w:pPr>
              <w:pStyle w:val="Tabletext"/>
            </w:pPr>
            <w:r w:rsidRPr="00E0527D">
              <w:t>Continuing (3)</w:t>
            </w:r>
          </w:p>
        </w:tc>
        <w:tc>
          <w:tcPr>
            <w:tcW w:w="993" w:type="dxa"/>
            <w:tcMar>
              <w:left w:w="57" w:type="dxa"/>
              <w:right w:w="57" w:type="dxa"/>
            </w:tcMar>
            <w:vAlign w:val="center"/>
          </w:tcPr>
          <w:p w:rsidR="0004066C" w:rsidRPr="00E0527D" w:rsidRDefault="0004066C" w:rsidP="00E0527D">
            <w:pPr>
              <w:pStyle w:val="Tabletext"/>
              <w:ind w:right="176"/>
              <w:jc w:val="right"/>
            </w:pPr>
            <w:r w:rsidRPr="00E0527D">
              <w:t>202</w:t>
            </w:r>
            <w:r w:rsidR="00E0527D" w:rsidRPr="00E0527D">
              <w:t xml:space="preserve"> </w:t>
            </w:r>
            <w:r w:rsidRPr="00E0527D">
              <w:t>604</w:t>
            </w:r>
          </w:p>
        </w:tc>
        <w:tc>
          <w:tcPr>
            <w:tcW w:w="850" w:type="dxa"/>
            <w:tcMar>
              <w:left w:w="57" w:type="dxa"/>
              <w:right w:w="57" w:type="dxa"/>
            </w:tcMar>
            <w:vAlign w:val="center"/>
          </w:tcPr>
          <w:p w:rsidR="0004066C" w:rsidRPr="00E0527D" w:rsidRDefault="0004066C" w:rsidP="00294545">
            <w:pPr>
              <w:pStyle w:val="Tabletext"/>
              <w:ind w:right="-58"/>
              <w:jc w:val="right"/>
            </w:pPr>
            <w:r w:rsidRPr="00E0527D">
              <w:t>242</w:t>
            </w:r>
            <w:r w:rsidR="00E0527D" w:rsidRPr="00E0527D">
              <w:t xml:space="preserve"> </w:t>
            </w:r>
            <w:r w:rsidRPr="00E0527D">
              <w:t>108</w:t>
            </w:r>
          </w:p>
        </w:tc>
        <w:tc>
          <w:tcPr>
            <w:tcW w:w="993" w:type="dxa"/>
            <w:gridSpan w:val="2"/>
            <w:vAlign w:val="center"/>
          </w:tcPr>
          <w:p w:rsidR="0004066C" w:rsidRPr="00E0527D" w:rsidRDefault="0004066C" w:rsidP="00294545">
            <w:pPr>
              <w:pStyle w:val="Tabletext"/>
              <w:ind w:right="-108"/>
              <w:jc w:val="right"/>
            </w:pPr>
            <w:r w:rsidRPr="00E0527D">
              <w:t>127</w:t>
            </w:r>
            <w:r w:rsidR="00E0527D" w:rsidRPr="00E0527D">
              <w:t xml:space="preserve"> </w:t>
            </w:r>
            <w:r w:rsidRPr="00E0527D">
              <w:t>155</w:t>
            </w:r>
          </w:p>
        </w:tc>
        <w:tc>
          <w:tcPr>
            <w:tcW w:w="1134" w:type="dxa"/>
            <w:gridSpan w:val="2"/>
            <w:vAlign w:val="center"/>
          </w:tcPr>
          <w:p w:rsidR="0004066C" w:rsidRPr="00E0527D" w:rsidRDefault="0004066C" w:rsidP="00294545">
            <w:pPr>
              <w:pStyle w:val="Tabletext"/>
              <w:ind w:right="-108"/>
              <w:jc w:val="right"/>
            </w:pPr>
            <w:r w:rsidRPr="00E0527D">
              <w:t>0</w:t>
            </w:r>
          </w:p>
        </w:tc>
        <w:tc>
          <w:tcPr>
            <w:tcW w:w="1134" w:type="dxa"/>
            <w:gridSpan w:val="2"/>
            <w:vAlign w:val="center"/>
          </w:tcPr>
          <w:p w:rsidR="0004066C" w:rsidRPr="00E0527D" w:rsidRDefault="0004066C" w:rsidP="00294545">
            <w:pPr>
              <w:pStyle w:val="Tabletext"/>
              <w:ind w:right="-108"/>
              <w:jc w:val="right"/>
            </w:pPr>
            <w:r w:rsidRPr="00E0527D">
              <w:t>0</w:t>
            </w:r>
          </w:p>
        </w:tc>
        <w:tc>
          <w:tcPr>
            <w:tcW w:w="993" w:type="dxa"/>
            <w:gridSpan w:val="2"/>
            <w:vAlign w:val="center"/>
          </w:tcPr>
          <w:p w:rsidR="0004066C" w:rsidRPr="00E0527D" w:rsidRDefault="0004066C" w:rsidP="00294545">
            <w:pPr>
              <w:pStyle w:val="Tabletext"/>
              <w:ind w:right="-107"/>
              <w:jc w:val="right"/>
            </w:pPr>
            <w:r w:rsidRPr="00E0527D">
              <w:t>571</w:t>
            </w:r>
            <w:r w:rsidR="00E0527D" w:rsidRPr="00E0527D">
              <w:t xml:space="preserve"> </w:t>
            </w:r>
            <w:r w:rsidRPr="00E0527D">
              <w:t>867</w:t>
            </w:r>
          </w:p>
        </w:tc>
      </w:tr>
      <w:tr w:rsidR="0004066C" w:rsidTr="00294545">
        <w:tc>
          <w:tcPr>
            <w:tcW w:w="1417" w:type="dxa"/>
            <w:gridSpan w:val="2"/>
            <w:vAlign w:val="center"/>
          </w:tcPr>
          <w:p w:rsidR="0004066C" w:rsidRPr="00E0527D" w:rsidRDefault="0004066C" w:rsidP="00E0527D">
            <w:pPr>
              <w:pStyle w:val="Tabletext"/>
            </w:pPr>
            <w:r w:rsidRPr="00E0527D">
              <w:t>Commencing (4)</w:t>
            </w:r>
          </w:p>
        </w:tc>
        <w:tc>
          <w:tcPr>
            <w:tcW w:w="993" w:type="dxa"/>
            <w:tcMar>
              <w:left w:w="57" w:type="dxa"/>
              <w:right w:w="57" w:type="dxa"/>
            </w:tcMar>
            <w:vAlign w:val="center"/>
          </w:tcPr>
          <w:p w:rsidR="0004066C" w:rsidRPr="00E0527D" w:rsidRDefault="0004066C" w:rsidP="00E0527D">
            <w:pPr>
              <w:pStyle w:val="Tabletext"/>
              <w:ind w:right="176"/>
              <w:jc w:val="right"/>
            </w:pPr>
            <w:r w:rsidRPr="00E0527D">
              <w:t>328</w:t>
            </w:r>
            <w:r w:rsidR="00E0527D" w:rsidRPr="00E0527D">
              <w:t xml:space="preserve"> </w:t>
            </w:r>
            <w:r w:rsidRPr="00E0527D">
              <w:t>315</w:t>
            </w:r>
          </w:p>
        </w:tc>
        <w:tc>
          <w:tcPr>
            <w:tcW w:w="850" w:type="dxa"/>
            <w:tcMar>
              <w:left w:w="57" w:type="dxa"/>
              <w:right w:w="57" w:type="dxa"/>
            </w:tcMar>
            <w:vAlign w:val="center"/>
          </w:tcPr>
          <w:p w:rsidR="0004066C" w:rsidRPr="00E0527D" w:rsidRDefault="0004066C" w:rsidP="00294545">
            <w:pPr>
              <w:pStyle w:val="Tabletext"/>
              <w:ind w:right="-58"/>
              <w:jc w:val="right"/>
            </w:pPr>
            <w:r w:rsidRPr="00E0527D">
              <w:t>599</w:t>
            </w:r>
            <w:r w:rsidR="00E0527D" w:rsidRPr="00E0527D">
              <w:t xml:space="preserve"> </w:t>
            </w:r>
            <w:r w:rsidRPr="00E0527D">
              <w:t>986</w:t>
            </w:r>
          </w:p>
        </w:tc>
        <w:tc>
          <w:tcPr>
            <w:tcW w:w="993" w:type="dxa"/>
            <w:gridSpan w:val="2"/>
            <w:vAlign w:val="center"/>
          </w:tcPr>
          <w:p w:rsidR="0004066C" w:rsidRPr="00E0527D" w:rsidRDefault="0004066C" w:rsidP="00294545">
            <w:pPr>
              <w:pStyle w:val="Tabletext"/>
              <w:ind w:right="-108"/>
              <w:jc w:val="right"/>
            </w:pPr>
            <w:r w:rsidRPr="00E0527D">
              <w:t>319</w:t>
            </w:r>
            <w:r w:rsidR="00E0527D" w:rsidRPr="00E0527D">
              <w:t xml:space="preserve"> </w:t>
            </w:r>
            <w:r w:rsidRPr="00E0527D">
              <w:t>278</w:t>
            </w:r>
          </w:p>
        </w:tc>
        <w:tc>
          <w:tcPr>
            <w:tcW w:w="1134" w:type="dxa"/>
            <w:gridSpan w:val="2"/>
            <w:vAlign w:val="center"/>
          </w:tcPr>
          <w:p w:rsidR="0004066C" w:rsidRPr="00E0527D" w:rsidRDefault="0004066C" w:rsidP="00294545">
            <w:pPr>
              <w:pStyle w:val="Tabletext"/>
              <w:ind w:right="-108"/>
              <w:jc w:val="right"/>
            </w:pPr>
            <w:r w:rsidRPr="00E0527D">
              <w:t>0</w:t>
            </w:r>
          </w:p>
        </w:tc>
        <w:tc>
          <w:tcPr>
            <w:tcW w:w="1134" w:type="dxa"/>
            <w:gridSpan w:val="2"/>
            <w:vAlign w:val="center"/>
          </w:tcPr>
          <w:p w:rsidR="0004066C" w:rsidRPr="00E0527D" w:rsidRDefault="0004066C" w:rsidP="00294545">
            <w:pPr>
              <w:pStyle w:val="Tabletext"/>
              <w:ind w:right="-108"/>
              <w:jc w:val="right"/>
            </w:pPr>
            <w:r w:rsidRPr="00E0527D">
              <w:t>0</w:t>
            </w:r>
          </w:p>
        </w:tc>
        <w:tc>
          <w:tcPr>
            <w:tcW w:w="993" w:type="dxa"/>
            <w:gridSpan w:val="2"/>
            <w:vAlign w:val="center"/>
          </w:tcPr>
          <w:p w:rsidR="0004066C" w:rsidRPr="00E0527D" w:rsidRDefault="0004066C" w:rsidP="00294545">
            <w:pPr>
              <w:pStyle w:val="Tabletext"/>
              <w:ind w:right="-107"/>
              <w:jc w:val="right"/>
            </w:pPr>
            <w:r w:rsidRPr="00E0527D">
              <w:t>1</w:t>
            </w:r>
            <w:r w:rsidR="00E0527D" w:rsidRPr="00E0527D">
              <w:t xml:space="preserve"> </w:t>
            </w:r>
            <w:r w:rsidRPr="00E0527D">
              <w:t>247</w:t>
            </w:r>
            <w:r w:rsidR="00E0527D" w:rsidRPr="00E0527D">
              <w:t xml:space="preserve"> </w:t>
            </w:r>
            <w:r w:rsidRPr="00E0527D">
              <w:t>579</w:t>
            </w:r>
          </w:p>
        </w:tc>
      </w:tr>
      <w:tr w:rsidR="0004066C" w:rsidTr="00294545">
        <w:tc>
          <w:tcPr>
            <w:tcW w:w="1417" w:type="dxa"/>
            <w:gridSpan w:val="2"/>
            <w:vAlign w:val="center"/>
          </w:tcPr>
          <w:p w:rsidR="0004066C" w:rsidRPr="00E0527D" w:rsidRDefault="0004066C" w:rsidP="00E0527D">
            <w:pPr>
              <w:pStyle w:val="Tabletext"/>
            </w:pPr>
            <w:r w:rsidRPr="00E0527D">
              <w:t>Not in the system</w:t>
            </w:r>
          </w:p>
        </w:tc>
        <w:tc>
          <w:tcPr>
            <w:tcW w:w="993" w:type="dxa"/>
            <w:tcMar>
              <w:left w:w="57" w:type="dxa"/>
              <w:right w:w="57" w:type="dxa"/>
            </w:tcMar>
            <w:vAlign w:val="center"/>
          </w:tcPr>
          <w:p w:rsidR="0004066C" w:rsidRPr="00E0527D" w:rsidRDefault="00B50DBF" w:rsidP="00E0527D">
            <w:pPr>
              <w:pStyle w:val="Tabletext"/>
              <w:ind w:right="176"/>
              <w:jc w:val="right"/>
            </w:pPr>
            <w:r>
              <w:t xml:space="preserve">13 </w:t>
            </w:r>
            <w:r w:rsidR="0004066C" w:rsidRPr="00E0527D">
              <w:t>045</w:t>
            </w:r>
          </w:p>
        </w:tc>
        <w:tc>
          <w:tcPr>
            <w:tcW w:w="850" w:type="dxa"/>
            <w:tcMar>
              <w:left w:w="57" w:type="dxa"/>
              <w:right w:w="57" w:type="dxa"/>
            </w:tcMar>
            <w:vAlign w:val="center"/>
          </w:tcPr>
          <w:p w:rsidR="0004066C" w:rsidRPr="00E0527D" w:rsidRDefault="0004066C" w:rsidP="00294545">
            <w:pPr>
              <w:pStyle w:val="Tabletext"/>
              <w:ind w:right="-58"/>
              <w:jc w:val="right"/>
            </w:pPr>
            <w:r w:rsidRPr="00E0527D">
              <w:t>0</w:t>
            </w:r>
          </w:p>
        </w:tc>
        <w:tc>
          <w:tcPr>
            <w:tcW w:w="993" w:type="dxa"/>
            <w:gridSpan w:val="2"/>
            <w:vAlign w:val="center"/>
          </w:tcPr>
          <w:p w:rsidR="0004066C" w:rsidRPr="00E0527D" w:rsidRDefault="0004066C" w:rsidP="00294545">
            <w:pPr>
              <w:pStyle w:val="Tabletext"/>
              <w:ind w:right="-108"/>
              <w:jc w:val="right"/>
            </w:pPr>
            <w:r w:rsidRPr="00E0527D">
              <w:t>87</w:t>
            </w:r>
            <w:r w:rsidR="00E0527D" w:rsidRPr="00E0527D">
              <w:t xml:space="preserve"> </w:t>
            </w:r>
            <w:r w:rsidRPr="00E0527D">
              <w:t>184</w:t>
            </w:r>
          </w:p>
        </w:tc>
        <w:tc>
          <w:tcPr>
            <w:tcW w:w="1134" w:type="dxa"/>
            <w:gridSpan w:val="2"/>
            <w:vAlign w:val="center"/>
          </w:tcPr>
          <w:p w:rsidR="0004066C" w:rsidRPr="00E0527D" w:rsidRDefault="00E0527D" w:rsidP="00294545">
            <w:pPr>
              <w:pStyle w:val="Tabletext"/>
              <w:ind w:right="-108"/>
              <w:jc w:val="right"/>
            </w:pPr>
            <w:r w:rsidRPr="00E0527D">
              <w:t xml:space="preserve">1 </w:t>
            </w:r>
            <w:r w:rsidR="0004066C" w:rsidRPr="00E0527D">
              <w:t>011</w:t>
            </w:r>
            <w:r w:rsidRPr="00E0527D">
              <w:t xml:space="preserve"> </w:t>
            </w:r>
            <w:r w:rsidR="0004066C" w:rsidRPr="00E0527D">
              <w:t>026</w:t>
            </w:r>
          </w:p>
        </w:tc>
        <w:tc>
          <w:tcPr>
            <w:tcW w:w="1134" w:type="dxa"/>
            <w:gridSpan w:val="2"/>
            <w:vAlign w:val="center"/>
          </w:tcPr>
          <w:p w:rsidR="0004066C" w:rsidRPr="00E0527D" w:rsidRDefault="0004066C" w:rsidP="00294545">
            <w:pPr>
              <w:pStyle w:val="Tabletext"/>
              <w:ind w:right="-108"/>
              <w:jc w:val="right"/>
            </w:pPr>
            <w:r w:rsidRPr="00E0527D">
              <w:t>47</w:t>
            </w:r>
            <w:r w:rsidR="00E0527D" w:rsidRPr="00E0527D">
              <w:t xml:space="preserve"> </w:t>
            </w:r>
            <w:r w:rsidRPr="00E0527D">
              <w:t>312</w:t>
            </w:r>
          </w:p>
        </w:tc>
        <w:tc>
          <w:tcPr>
            <w:tcW w:w="993" w:type="dxa"/>
            <w:gridSpan w:val="2"/>
            <w:vAlign w:val="center"/>
          </w:tcPr>
          <w:p w:rsidR="0004066C" w:rsidRPr="00E0527D" w:rsidRDefault="0004066C" w:rsidP="00294545">
            <w:pPr>
              <w:pStyle w:val="Tabletext"/>
              <w:ind w:right="-107"/>
              <w:jc w:val="right"/>
            </w:pPr>
            <w:r w:rsidRPr="00E0527D">
              <w:t>1</w:t>
            </w:r>
            <w:r w:rsidR="00E0527D" w:rsidRPr="00E0527D">
              <w:t xml:space="preserve"> </w:t>
            </w:r>
            <w:r w:rsidRPr="00E0527D">
              <w:t>158</w:t>
            </w:r>
            <w:r w:rsidR="00E0527D" w:rsidRPr="00E0527D">
              <w:t xml:space="preserve"> </w:t>
            </w:r>
            <w:r w:rsidRPr="00E0527D">
              <w:t>567</w:t>
            </w:r>
          </w:p>
        </w:tc>
      </w:tr>
      <w:tr w:rsidR="0004066C" w:rsidRPr="000A0148" w:rsidTr="00294545">
        <w:tc>
          <w:tcPr>
            <w:tcW w:w="1417" w:type="dxa"/>
            <w:gridSpan w:val="2"/>
            <w:tcBorders>
              <w:bottom w:val="single" w:sz="4" w:space="0" w:color="auto"/>
            </w:tcBorders>
            <w:vAlign w:val="center"/>
          </w:tcPr>
          <w:p w:rsidR="0004066C" w:rsidRPr="00D91A60" w:rsidRDefault="0004066C" w:rsidP="0004066C">
            <w:pPr>
              <w:pStyle w:val="Tabletext"/>
              <w:rPr>
                <w:b/>
              </w:rPr>
            </w:pPr>
            <w:r w:rsidRPr="00D91A60">
              <w:rPr>
                <w:b/>
              </w:rPr>
              <w:t>Total</w:t>
            </w:r>
          </w:p>
        </w:tc>
        <w:tc>
          <w:tcPr>
            <w:tcW w:w="993" w:type="dxa"/>
            <w:tcBorders>
              <w:bottom w:val="single" w:sz="4" w:space="0" w:color="auto"/>
            </w:tcBorders>
            <w:tcMar>
              <w:left w:w="57" w:type="dxa"/>
              <w:right w:w="57" w:type="dxa"/>
            </w:tcMar>
            <w:vAlign w:val="center"/>
          </w:tcPr>
          <w:p w:rsidR="0004066C" w:rsidRPr="00D91A60" w:rsidRDefault="00E0527D" w:rsidP="00E0527D">
            <w:pPr>
              <w:pStyle w:val="Tabletext"/>
              <w:ind w:right="176"/>
              <w:jc w:val="right"/>
              <w:rPr>
                <w:b/>
              </w:rPr>
            </w:pPr>
            <w:r>
              <w:rPr>
                <w:b/>
              </w:rPr>
              <w:t xml:space="preserve">589 </w:t>
            </w:r>
            <w:r w:rsidR="0004066C" w:rsidRPr="00D91A60">
              <w:rPr>
                <w:b/>
              </w:rPr>
              <w:t>505</w:t>
            </w:r>
          </w:p>
        </w:tc>
        <w:tc>
          <w:tcPr>
            <w:tcW w:w="850" w:type="dxa"/>
            <w:tcBorders>
              <w:bottom w:val="single" w:sz="4" w:space="0" w:color="auto"/>
            </w:tcBorders>
            <w:tcMar>
              <w:left w:w="57" w:type="dxa"/>
              <w:right w:w="57" w:type="dxa"/>
            </w:tcMar>
            <w:vAlign w:val="center"/>
          </w:tcPr>
          <w:p w:rsidR="0004066C" w:rsidRPr="00D91A60" w:rsidRDefault="00E0527D" w:rsidP="00294545">
            <w:pPr>
              <w:pStyle w:val="Tabletext"/>
              <w:ind w:right="-58"/>
              <w:jc w:val="right"/>
              <w:rPr>
                <w:b/>
              </w:rPr>
            </w:pPr>
            <w:r>
              <w:rPr>
                <w:b/>
              </w:rPr>
              <w:t xml:space="preserve">847 </w:t>
            </w:r>
            <w:r w:rsidR="0004066C" w:rsidRPr="00D91A60">
              <w:rPr>
                <w:b/>
              </w:rPr>
              <w:t>815</w:t>
            </w:r>
          </w:p>
        </w:tc>
        <w:tc>
          <w:tcPr>
            <w:tcW w:w="993" w:type="dxa"/>
            <w:gridSpan w:val="2"/>
            <w:tcBorders>
              <w:bottom w:val="single" w:sz="4" w:space="0" w:color="auto"/>
            </w:tcBorders>
            <w:vAlign w:val="center"/>
          </w:tcPr>
          <w:p w:rsidR="0004066C" w:rsidRPr="00D91A60" w:rsidRDefault="00E0527D" w:rsidP="00294545">
            <w:pPr>
              <w:pStyle w:val="Tabletext"/>
              <w:ind w:right="-108"/>
              <w:jc w:val="right"/>
              <w:rPr>
                <w:b/>
              </w:rPr>
            </w:pPr>
            <w:r>
              <w:rPr>
                <w:b/>
              </w:rPr>
              <w:t xml:space="preserve">538 </w:t>
            </w:r>
            <w:r w:rsidR="0004066C" w:rsidRPr="00D91A60">
              <w:rPr>
                <w:b/>
              </w:rPr>
              <w:t>310</w:t>
            </w:r>
          </w:p>
        </w:tc>
        <w:tc>
          <w:tcPr>
            <w:tcW w:w="1134" w:type="dxa"/>
            <w:gridSpan w:val="2"/>
            <w:tcBorders>
              <w:bottom w:val="single" w:sz="4" w:space="0" w:color="auto"/>
            </w:tcBorders>
            <w:vAlign w:val="center"/>
          </w:tcPr>
          <w:p w:rsidR="0004066C" w:rsidRPr="00D91A60" w:rsidRDefault="00E0527D" w:rsidP="00294545">
            <w:pPr>
              <w:pStyle w:val="Tabletext"/>
              <w:ind w:right="-108"/>
              <w:jc w:val="right"/>
              <w:rPr>
                <w:b/>
              </w:rPr>
            </w:pPr>
            <w:r>
              <w:rPr>
                <w:b/>
              </w:rPr>
              <w:t xml:space="preserve">1 015 </w:t>
            </w:r>
            <w:r w:rsidR="0004066C" w:rsidRPr="00D91A60">
              <w:rPr>
                <w:b/>
              </w:rPr>
              <w:t>856</w:t>
            </w:r>
          </w:p>
        </w:tc>
        <w:tc>
          <w:tcPr>
            <w:tcW w:w="1134" w:type="dxa"/>
            <w:gridSpan w:val="2"/>
            <w:tcBorders>
              <w:bottom w:val="single" w:sz="4" w:space="0" w:color="auto"/>
            </w:tcBorders>
            <w:vAlign w:val="center"/>
          </w:tcPr>
          <w:p w:rsidR="0004066C" w:rsidRPr="00D91A60" w:rsidRDefault="00E0527D" w:rsidP="00294545">
            <w:pPr>
              <w:pStyle w:val="Tabletext"/>
              <w:ind w:right="-108"/>
              <w:jc w:val="right"/>
              <w:rPr>
                <w:b/>
              </w:rPr>
            </w:pPr>
            <w:r>
              <w:rPr>
                <w:b/>
              </w:rPr>
              <w:t xml:space="preserve">1 563 </w:t>
            </w:r>
            <w:r w:rsidR="0004066C" w:rsidRPr="00D91A60">
              <w:rPr>
                <w:b/>
              </w:rPr>
              <w:t>879</w:t>
            </w:r>
          </w:p>
        </w:tc>
        <w:tc>
          <w:tcPr>
            <w:tcW w:w="993" w:type="dxa"/>
            <w:gridSpan w:val="2"/>
            <w:tcBorders>
              <w:bottom w:val="single" w:sz="4" w:space="0" w:color="auto"/>
            </w:tcBorders>
            <w:vAlign w:val="center"/>
          </w:tcPr>
          <w:p w:rsidR="0004066C" w:rsidRPr="00D91A60" w:rsidRDefault="00E0527D" w:rsidP="00294545">
            <w:pPr>
              <w:pStyle w:val="Tabletext"/>
              <w:ind w:right="-107"/>
              <w:jc w:val="right"/>
              <w:rPr>
                <w:b/>
              </w:rPr>
            </w:pPr>
            <w:r>
              <w:rPr>
                <w:b/>
              </w:rPr>
              <w:t xml:space="preserve">4 555 </w:t>
            </w:r>
            <w:r w:rsidR="0004066C" w:rsidRPr="00D91A60">
              <w:rPr>
                <w:b/>
              </w:rPr>
              <w:t>365</w:t>
            </w:r>
          </w:p>
        </w:tc>
      </w:tr>
    </w:tbl>
    <w:p w:rsidR="0004066C" w:rsidRPr="004C6E1C" w:rsidRDefault="0004066C" w:rsidP="00E0527D">
      <w:pPr>
        <w:pStyle w:val="Source"/>
      </w:pPr>
      <w:r w:rsidRPr="004C6E1C">
        <w:t>Source:</w:t>
      </w:r>
      <w:r w:rsidR="004719A6">
        <w:t xml:space="preserve"> </w:t>
      </w:r>
      <w:r>
        <w:t xml:space="preserve">National </w:t>
      </w:r>
      <w:r w:rsidRPr="004C6E1C">
        <w:t>VET</w:t>
      </w:r>
      <w:r>
        <w:t xml:space="preserve"> P</w:t>
      </w:r>
      <w:r w:rsidR="004719A6">
        <w:t>rovider C</w:t>
      </w:r>
      <w:r w:rsidR="000145AF">
        <w:t xml:space="preserve">ollection, </w:t>
      </w:r>
      <w:r w:rsidRPr="004C6E1C">
        <w:t>2015</w:t>
      </w:r>
      <w:r w:rsidR="008D5FCC">
        <w:t>.</w:t>
      </w:r>
    </w:p>
    <w:p w:rsidR="0004066C" w:rsidRPr="005904C2" w:rsidRDefault="0004066C" w:rsidP="0004066C">
      <w:pPr>
        <w:pStyle w:val="Text"/>
      </w:pPr>
      <w:r>
        <w:t xml:space="preserve">A couple things </w:t>
      </w:r>
      <w:r w:rsidR="002047E9">
        <w:t xml:space="preserve">become </w:t>
      </w:r>
      <w:r>
        <w:t>immediately</w:t>
      </w:r>
      <w:r w:rsidR="002047E9">
        <w:t xml:space="preserve"> obvious: f</w:t>
      </w:r>
      <w:r>
        <w:t>irst, the states ‘</w:t>
      </w:r>
      <w:r w:rsidR="00294545">
        <w:t>c</w:t>
      </w:r>
      <w:r>
        <w:t>ompleted’ and ‘</w:t>
      </w:r>
      <w:r w:rsidR="00294545">
        <w:t>d</w:t>
      </w:r>
      <w:r>
        <w:t>ropped out’ are not completely ‘absorbing’, with several program enrolments moving from a completed state in 2014 to either a continuing (76</w:t>
      </w:r>
      <w:r w:rsidR="00046E24">
        <w:t>4</w:t>
      </w:r>
      <w:r>
        <w:t xml:space="preserve">) or commencing (510) state in 2015. </w:t>
      </w:r>
      <w:r w:rsidRPr="005904C2">
        <w:t>The numbers are small however and can be ignored. Second, there are a number of enrolments deemed not in the system in 2014 transitio</w:t>
      </w:r>
      <w:r w:rsidR="002047E9">
        <w:t xml:space="preserve">ning to either a continuing (87 184) or completing (13 </w:t>
      </w:r>
      <w:r w:rsidRPr="005904C2">
        <w:t>045) state in 2015.</w:t>
      </w:r>
      <w:r w:rsidR="009670B6">
        <w:t xml:space="preserve"> </w:t>
      </w:r>
      <w:r w:rsidRPr="005904C2">
        <w:t>This reflects the flexibility in the sector</w:t>
      </w:r>
      <w:r w:rsidR="00CC284B">
        <w:t>,</w:t>
      </w:r>
      <w:r w:rsidRPr="005904C2">
        <w:t xml:space="preserve"> whereby students can undertake their program part-time and not enrol in successive years.</w:t>
      </w:r>
    </w:p>
    <w:p w:rsidR="00E0527D" w:rsidRDefault="0004066C" w:rsidP="0004066C">
      <w:pPr>
        <w:pStyle w:val="Text"/>
      </w:pPr>
      <w:r w:rsidRPr="005904C2">
        <w:t>As our interest is in the proportion of program enrolments within a defined state in 2014</w:t>
      </w:r>
      <w:r>
        <w:t xml:space="preserve"> ‘transitioning’ to another state in 2015, we need to consider the corresponding row percentages, as provided in ta</w:t>
      </w:r>
      <w:r w:rsidR="00CC284B">
        <w:t>ble A3</w:t>
      </w:r>
      <w:r>
        <w:t xml:space="preserve">. </w:t>
      </w:r>
    </w:p>
    <w:p w:rsidR="00E0527D" w:rsidRDefault="00E0527D">
      <w:pPr>
        <w:spacing w:before="0" w:after="200" w:line="276" w:lineRule="auto"/>
      </w:pPr>
      <w:r>
        <w:br w:type="page"/>
      </w:r>
    </w:p>
    <w:p w:rsidR="0004066C" w:rsidRDefault="0004066C" w:rsidP="00C06F78">
      <w:pPr>
        <w:pStyle w:val="tabletitle0"/>
      </w:pPr>
      <w:bookmarkStart w:id="56" w:name="_Toc464219995"/>
      <w:bookmarkStart w:id="57" w:name="_Toc465780152"/>
      <w:r>
        <w:lastRenderedPageBreak/>
        <w:t>Table A3</w:t>
      </w:r>
      <w:r>
        <w:tab/>
        <w:t xml:space="preserve">Proportion of 2014 program enrolments transitioning to 2015 </w:t>
      </w:r>
      <w:bookmarkEnd w:id="56"/>
      <w:r>
        <w:t>statuses</w:t>
      </w:r>
      <w:bookmarkEnd w:id="57"/>
    </w:p>
    <w:tbl>
      <w:tblPr>
        <w:tblStyle w:val="TableGrid"/>
        <w:tblW w:w="7938"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42"/>
        <w:gridCol w:w="1134"/>
        <w:gridCol w:w="992"/>
        <w:gridCol w:w="1134"/>
        <w:gridCol w:w="1275"/>
        <w:gridCol w:w="1134"/>
        <w:gridCol w:w="709"/>
      </w:tblGrid>
      <w:tr w:rsidR="0004066C" w:rsidTr="006F7EDC">
        <w:tc>
          <w:tcPr>
            <w:tcW w:w="1418" w:type="dxa"/>
          </w:tcPr>
          <w:p w:rsidR="0004066C" w:rsidRDefault="0004066C" w:rsidP="0004066C">
            <w:pPr>
              <w:pStyle w:val="Tablehead1"/>
            </w:pPr>
          </w:p>
        </w:tc>
        <w:tc>
          <w:tcPr>
            <w:tcW w:w="6520" w:type="dxa"/>
            <w:gridSpan w:val="7"/>
            <w:vAlign w:val="center"/>
          </w:tcPr>
          <w:p w:rsidR="0004066C" w:rsidRDefault="0004066C" w:rsidP="00033CCB">
            <w:pPr>
              <w:pStyle w:val="Tablehead1"/>
              <w:jc w:val="center"/>
            </w:pPr>
            <w:r>
              <w:t>2015 Status</w:t>
            </w:r>
          </w:p>
        </w:tc>
      </w:tr>
      <w:tr w:rsidR="00033CCB" w:rsidTr="006F7EDC">
        <w:tc>
          <w:tcPr>
            <w:tcW w:w="1560" w:type="dxa"/>
            <w:gridSpan w:val="2"/>
            <w:tcBorders>
              <w:bottom w:val="single" w:sz="4" w:space="0" w:color="auto"/>
            </w:tcBorders>
          </w:tcPr>
          <w:p w:rsidR="0004066C" w:rsidRDefault="0004066C" w:rsidP="0004066C">
            <w:pPr>
              <w:pStyle w:val="Tablehead1"/>
            </w:pPr>
            <w:r>
              <w:t>2014 Status</w:t>
            </w:r>
          </w:p>
        </w:tc>
        <w:tc>
          <w:tcPr>
            <w:tcW w:w="1134" w:type="dxa"/>
            <w:tcBorders>
              <w:bottom w:val="single" w:sz="4" w:space="0" w:color="auto"/>
            </w:tcBorders>
          </w:tcPr>
          <w:p w:rsidR="0004066C" w:rsidRDefault="0004066C" w:rsidP="00033CCB">
            <w:pPr>
              <w:pStyle w:val="Tablehead2"/>
              <w:jc w:val="center"/>
            </w:pPr>
            <w:r>
              <w:t>Completed (1)</w:t>
            </w:r>
          </w:p>
        </w:tc>
        <w:tc>
          <w:tcPr>
            <w:tcW w:w="992" w:type="dxa"/>
            <w:tcBorders>
              <w:bottom w:val="single" w:sz="4" w:space="0" w:color="auto"/>
            </w:tcBorders>
          </w:tcPr>
          <w:p w:rsidR="0004066C" w:rsidRDefault="0004066C" w:rsidP="00033CCB">
            <w:pPr>
              <w:pStyle w:val="Tablehead2"/>
              <w:jc w:val="center"/>
            </w:pPr>
            <w:r>
              <w:t xml:space="preserve">Dropped </w:t>
            </w:r>
            <w:r w:rsidR="00033CCB">
              <w:br/>
            </w:r>
            <w:r>
              <w:t>out (2)</w:t>
            </w:r>
          </w:p>
        </w:tc>
        <w:tc>
          <w:tcPr>
            <w:tcW w:w="1134" w:type="dxa"/>
            <w:tcBorders>
              <w:bottom w:val="single" w:sz="4" w:space="0" w:color="auto"/>
            </w:tcBorders>
          </w:tcPr>
          <w:p w:rsidR="0004066C" w:rsidRDefault="0004066C" w:rsidP="00033CCB">
            <w:pPr>
              <w:pStyle w:val="Tablehead2"/>
              <w:jc w:val="center"/>
            </w:pPr>
            <w:r>
              <w:t>Continuing</w:t>
            </w:r>
            <w:r w:rsidR="00033CCB">
              <w:br/>
            </w:r>
            <w:r>
              <w:t>(3)</w:t>
            </w:r>
          </w:p>
        </w:tc>
        <w:tc>
          <w:tcPr>
            <w:tcW w:w="1275" w:type="dxa"/>
            <w:tcBorders>
              <w:bottom w:val="single" w:sz="4" w:space="0" w:color="auto"/>
            </w:tcBorders>
          </w:tcPr>
          <w:p w:rsidR="0004066C" w:rsidRDefault="0004066C" w:rsidP="00033CCB">
            <w:pPr>
              <w:pStyle w:val="Tablehead2"/>
              <w:jc w:val="center"/>
            </w:pPr>
            <w:r>
              <w:t xml:space="preserve">Commencing </w:t>
            </w:r>
            <w:r w:rsidR="00033CCB">
              <w:br/>
            </w:r>
            <w:r>
              <w:t>(4)</w:t>
            </w:r>
          </w:p>
        </w:tc>
        <w:tc>
          <w:tcPr>
            <w:tcW w:w="1134" w:type="dxa"/>
            <w:tcBorders>
              <w:bottom w:val="single" w:sz="4" w:space="0" w:color="auto"/>
            </w:tcBorders>
          </w:tcPr>
          <w:p w:rsidR="0004066C" w:rsidRDefault="0004066C" w:rsidP="00033CCB">
            <w:pPr>
              <w:pStyle w:val="Tablehead2"/>
              <w:jc w:val="center"/>
            </w:pPr>
            <w:r>
              <w:t xml:space="preserve">Not in the </w:t>
            </w:r>
            <w:r w:rsidR="00033CCB">
              <w:br/>
            </w:r>
            <w:r>
              <w:t>VET system</w:t>
            </w:r>
          </w:p>
        </w:tc>
        <w:tc>
          <w:tcPr>
            <w:tcW w:w="709" w:type="dxa"/>
            <w:tcBorders>
              <w:bottom w:val="single" w:sz="4" w:space="0" w:color="auto"/>
            </w:tcBorders>
          </w:tcPr>
          <w:p w:rsidR="0004066C" w:rsidRDefault="0004066C" w:rsidP="00033CCB">
            <w:pPr>
              <w:pStyle w:val="Tablehead2"/>
              <w:jc w:val="center"/>
            </w:pPr>
            <w:r>
              <w:t>Total</w:t>
            </w:r>
          </w:p>
        </w:tc>
      </w:tr>
      <w:tr w:rsidR="00AE523D" w:rsidTr="006F7EDC">
        <w:tc>
          <w:tcPr>
            <w:tcW w:w="1560" w:type="dxa"/>
            <w:gridSpan w:val="2"/>
            <w:tcBorders>
              <w:top w:val="single" w:sz="4" w:space="0" w:color="auto"/>
            </w:tcBorders>
            <w:vAlign w:val="center"/>
          </w:tcPr>
          <w:p w:rsidR="00AE523D" w:rsidRDefault="00AE523D" w:rsidP="0004066C">
            <w:pPr>
              <w:pStyle w:val="Tabletext"/>
            </w:pPr>
            <w:r>
              <w:t>Completed (1)</w:t>
            </w:r>
          </w:p>
        </w:tc>
        <w:tc>
          <w:tcPr>
            <w:tcW w:w="1134" w:type="dxa"/>
            <w:tcBorders>
              <w:top w:val="single" w:sz="4" w:space="0" w:color="auto"/>
            </w:tcBorders>
            <w:vAlign w:val="center"/>
          </w:tcPr>
          <w:p w:rsidR="00AE523D" w:rsidRPr="0033101B" w:rsidRDefault="00AE523D" w:rsidP="00982613">
            <w:pPr>
              <w:pStyle w:val="Tabletext"/>
              <w:tabs>
                <w:tab w:val="decimal" w:pos="459"/>
              </w:tabs>
            </w:pPr>
            <w:r w:rsidRPr="0033101B">
              <w:t>7.4</w:t>
            </w:r>
            <w:r>
              <w:t>0</w:t>
            </w:r>
          </w:p>
        </w:tc>
        <w:tc>
          <w:tcPr>
            <w:tcW w:w="992" w:type="dxa"/>
            <w:tcBorders>
              <w:top w:val="single" w:sz="4" w:space="0" w:color="auto"/>
            </w:tcBorders>
            <w:vAlign w:val="center"/>
          </w:tcPr>
          <w:p w:rsidR="00AE523D" w:rsidRPr="0033101B" w:rsidRDefault="00AE523D" w:rsidP="006F7EDC">
            <w:pPr>
              <w:pStyle w:val="Tabletext"/>
              <w:tabs>
                <w:tab w:val="decimal" w:pos="175"/>
              </w:tabs>
              <w:jc w:val="center"/>
            </w:pPr>
            <w:r w:rsidRPr="0033101B">
              <w:t>0.9</w:t>
            </w:r>
            <w:r>
              <w:t>4</w:t>
            </w:r>
          </w:p>
        </w:tc>
        <w:tc>
          <w:tcPr>
            <w:tcW w:w="1134" w:type="dxa"/>
            <w:tcBorders>
              <w:top w:val="single" w:sz="4" w:space="0" w:color="auto"/>
            </w:tcBorders>
            <w:vAlign w:val="center"/>
          </w:tcPr>
          <w:p w:rsidR="00AE523D" w:rsidRPr="0033101B" w:rsidRDefault="00AE523D" w:rsidP="00033CCB">
            <w:pPr>
              <w:pStyle w:val="Tabletext"/>
              <w:tabs>
                <w:tab w:val="decimal" w:pos="175"/>
              </w:tabs>
              <w:jc w:val="center"/>
            </w:pPr>
            <w:r w:rsidRPr="0033101B">
              <w:t>0.</w:t>
            </w:r>
            <w:r>
              <w:t>3</w:t>
            </w:r>
            <w:r w:rsidRPr="0033101B">
              <w:t>1</w:t>
            </w:r>
          </w:p>
        </w:tc>
        <w:tc>
          <w:tcPr>
            <w:tcW w:w="1275" w:type="dxa"/>
            <w:tcBorders>
              <w:top w:val="single" w:sz="4" w:space="0" w:color="auto"/>
            </w:tcBorders>
            <w:vAlign w:val="center"/>
          </w:tcPr>
          <w:p w:rsidR="00AE523D" w:rsidRDefault="00AE523D" w:rsidP="00AE523D">
            <w:pPr>
              <w:pStyle w:val="Tabletext"/>
              <w:tabs>
                <w:tab w:val="decimal" w:pos="459"/>
              </w:tabs>
              <w:rPr>
                <w:rFonts w:eastAsiaTheme="minorHAnsi"/>
                <w:lang w:eastAsia="en-AU"/>
              </w:rPr>
            </w:pPr>
            <w:r>
              <w:rPr>
                <w:lang w:val="en-US" w:eastAsia="en-AU"/>
              </w:rPr>
              <w:t>0.08</w:t>
            </w:r>
          </w:p>
        </w:tc>
        <w:tc>
          <w:tcPr>
            <w:tcW w:w="1134" w:type="dxa"/>
            <w:tcBorders>
              <w:top w:val="single" w:sz="4" w:space="0" w:color="auto"/>
            </w:tcBorders>
          </w:tcPr>
          <w:p w:rsidR="00AE523D" w:rsidRPr="00BC0B05" w:rsidRDefault="00AE523D" w:rsidP="00AE523D">
            <w:pPr>
              <w:pStyle w:val="Tabletext"/>
              <w:tabs>
                <w:tab w:val="decimal" w:pos="488"/>
              </w:tabs>
            </w:pPr>
            <w:r w:rsidRPr="00BC0B05">
              <w:t>91.45</w:t>
            </w:r>
          </w:p>
        </w:tc>
        <w:tc>
          <w:tcPr>
            <w:tcW w:w="709" w:type="dxa"/>
            <w:tcBorders>
              <w:top w:val="single" w:sz="4" w:space="0" w:color="auto"/>
            </w:tcBorders>
            <w:vAlign w:val="center"/>
          </w:tcPr>
          <w:p w:rsidR="00AE523D" w:rsidRDefault="00AE523D" w:rsidP="00033CCB">
            <w:pPr>
              <w:pStyle w:val="Tabletext"/>
              <w:jc w:val="center"/>
            </w:pPr>
            <w:r>
              <w:t>100%</w:t>
            </w:r>
          </w:p>
        </w:tc>
      </w:tr>
      <w:tr w:rsidR="00AE523D" w:rsidTr="006F7EDC">
        <w:tc>
          <w:tcPr>
            <w:tcW w:w="1560" w:type="dxa"/>
            <w:gridSpan w:val="2"/>
            <w:vAlign w:val="center"/>
          </w:tcPr>
          <w:p w:rsidR="00AE523D" w:rsidRDefault="00AE523D" w:rsidP="0004066C">
            <w:pPr>
              <w:pStyle w:val="Tabletext"/>
            </w:pPr>
            <w:r>
              <w:t>Dropped out (2)</w:t>
            </w:r>
          </w:p>
        </w:tc>
        <w:tc>
          <w:tcPr>
            <w:tcW w:w="1134" w:type="dxa"/>
            <w:vAlign w:val="center"/>
          </w:tcPr>
          <w:p w:rsidR="00AE523D" w:rsidRPr="0033101B" w:rsidRDefault="00AE523D" w:rsidP="00982613">
            <w:pPr>
              <w:pStyle w:val="Tabletext"/>
              <w:tabs>
                <w:tab w:val="decimal" w:pos="459"/>
              </w:tabs>
            </w:pPr>
            <w:r w:rsidRPr="0033101B">
              <w:t>0.0</w:t>
            </w:r>
            <w:r>
              <w:t>4</w:t>
            </w:r>
          </w:p>
        </w:tc>
        <w:tc>
          <w:tcPr>
            <w:tcW w:w="992" w:type="dxa"/>
            <w:vAlign w:val="center"/>
          </w:tcPr>
          <w:p w:rsidR="00AE523D" w:rsidRPr="0033101B" w:rsidRDefault="00AE523D" w:rsidP="006F7EDC">
            <w:pPr>
              <w:pStyle w:val="Tabletext"/>
              <w:tabs>
                <w:tab w:val="decimal" w:pos="175"/>
              </w:tabs>
              <w:jc w:val="center"/>
            </w:pPr>
            <w:r w:rsidRPr="0033101B">
              <w:t>0.0</w:t>
            </w:r>
            <w:r>
              <w:t>0</w:t>
            </w:r>
          </w:p>
        </w:tc>
        <w:tc>
          <w:tcPr>
            <w:tcW w:w="1134" w:type="dxa"/>
            <w:vAlign w:val="center"/>
          </w:tcPr>
          <w:p w:rsidR="00AE523D" w:rsidRPr="0033101B" w:rsidRDefault="00AE523D" w:rsidP="00033CCB">
            <w:pPr>
              <w:pStyle w:val="Tabletext"/>
              <w:tabs>
                <w:tab w:val="decimal" w:pos="175"/>
              </w:tabs>
              <w:jc w:val="center"/>
            </w:pPr>
            <w:r w:rsidRPr="0033101B">
              <w:t>0.</w:t>
            </w:r>
            <w:r>
              <w:t>1</w:t>
            </w:r>
            <w:r w:rsidRPr="0033101B">
              <w:t>4</w:t>
            </w:r>
          </w:p>
        </w:tc>
        <w:tc>
          <w:tcPr>
            <w:tcW w:w="1275" w:type="dxa"/>
            <w:vAlign w:val="center"/>
          </w:tcPr>
          <w:p w:rsidR="00AE523D" w:rsidRDefault="00AE523D" w:rsidP="00AE523D">
            <w:pPr>
              <w:pStyle w:val="Tabletext"/>
              <w:tabs>
                <w:tab w:val="decimal" w:pos="459"/>
              </w:tabs>
              <w:rPr>
                <w:rFonts w:eastAsiaTheme="minorHAnsi"/>
                <w:lang w:eastAsia="en-AU"/>
              </w:rPr>
            </w:pPr>
            <w:r>
              <w:rPr>
                <w:lang w:val="en-US" w:eastAsia="en-AU"/>
              </w:rPr>
              <w:t>0.45</w:t>
            </w:r>
          </w:p>
        </w:tc>
        <w:tc>
          <w:tcPr>
            <w:tcW w:w="1134" w:type="dxa"/>
          </w:tcPr>
          <w:p w:rsidR="00AE523D" w:rsidRPr="00BC0B05" w:rsidRDefault="00AE523D" w:rsidP="00AE523D">
            <w:pPr>
              <w:pStyle w:val="Tabletext"/>
              <w:tabs>
                <w:tab w:val="decimal" w:pos="488"/>
              </w:tabs>
            </w:pPr>
            <w:r w:rsidRPr="00BC0B05">
              <w:t>99.11</w:t>
            </w:r>
          </w:p>
        </w:tc>
        <w:tc>
          <w:tcPr>
            <w:tcW w:w="709" w:type="dxa"/>
            <w:vAlign w:val="center"/>
          </w:tcPr>
          <w:p w:rsidR="00AE523D" w:rsidRDefault="00AE523D" w:rsidP="00033CCB">
            <w:pPr>
              <w:pStyle w:val="Tabletext"/>
              <w:jc w:val="center"/>
            </w:pPr>
            <w:r>
              <w:t>100%</w:t>
            </w:r>
          </w:p>
        </w:tc>
      </w:tr>
      <w:tr w:rsidR="00AE523D" w:rsidRPr="006B0DC0" w:rsidTr="006F7EDC">
        <w:tc>
          <w:tcPr>
            <w:tcW w:w="1560" w:type="dxa"/>
            <w:gridSpan w:val="2"/>
            <w:vAlign w:val="center"/>
          </w:tcPr>
          <w:p w:rsidR="00AE523D" w:rsidRPr="006B0DC0" w:rsidRDefault="00AE523D" w:rsidP="0004066C">
            <w:pPr>
              <w:pStyle w:val="Tabletext"/>
            </w:pPr>
            <w:r w:rsidRPr="006B0DC0">
              <w:t>Continuing (3)</w:t>
            </w:r>
          </w:p>
        </w:tc>
        <w:tc>
          <w:tcPr>
            <w:tcW w:w="1134" w:type="dxa"/>
            <w:vAlign w:val="center"/>
          </w:tcPr>
          <w:p w:rsidR="00AE523D" w:rsidRPr="006B0DC0" w:rsidRDefault="00AE523D" w:rsidP="00982613">
            <w:pPr>
              <w:pStyle w:val="Tabletext"/>
              <w:tabs>
                <w:tab w:val="decimal" w:pos="459"/>
              </w:tabs>
            </w:pPr>
            <w:r w:rsidRPr="006B0DC0">
              <w:t>35.4</w:t>
            </w:r>
            <w:r w:rsidR="00982613">
              <w:t>3</w:t>
            </w:r>
          </w:p>
        </w:tc>
        <w:tc>
          <w:tcPr>
            <w:tcW w:w="992" w:type="dxa"/>
            <w:vAlign w:val="center"/>
          </w:tcPr>
          <w:p w:rsidR="00AE523D" w:rsidRPr="006B0DC0" w:rsidRDefault="00AE523D" w:rsidP="006F7EDC">
            <w:pPr>
              <w:pStyle w:val="Tabletext"/>
              <w:tabs>
                <w:tab w:val="decimal" w:pos="175"/>
              </w:tabs>
              <w:jc w:val="center"/>
            </w:pPr>
            <w:r w:rsidRPr="006B0DC0">
              <w:t>42.34</w:t>
            </w:r>
          </w:p>
        </w:tc>
        <w:tc>
          <w:tcPr>
            <w:tcW w:w="1134" w:type="dxa"/>
            <w:vAlign w:val="center"/>
          </w:tcPr>
          <w:p w:rsidR="00AE523D" w:rsidRPr="006B0DC0" w:rsidRDefault="00AE523D" w:rsidP="00033CCB">
            <w:pPr>
              <w:pStyle w:val="Tabletext"/>
              <w:tabs>
                <w:tab w:val="decimal" w:pos="175"/>
              </w:tabs>
              <w:jc w:val="center"/>
            </w:pPr>
            <w:r w:rsidRPr="006B0DC0">
              <w:t>22.24</w:t>
            </w:r>
          </w:p>
        </w:tc>
        <w:tc>
          <w:tcPr>
            <w:tcW w:w="1275" w:type="dxa"/>
            <w:vAlign w:val="center"/>
          </w:tcPr>
          <w:p w:rsidR="00AE523D" w:rsidRDefault="00AE523D" w:rsidP="00AE523D">
            <w:pPr>
              <w:pStyle w:val="Tabletext"/>
              <w:tabs>
                <w:tab w:val="decimal" w:pos="459"/>
              </w:tabs>
              <w:rPr>
                <w:rFonts w:eastAsiaTheme="minorHAnsi"/>
                <w:lang w:eastAsia="en-AU"/>
              </w:rPr>
            </w:pPr>
            <w:r>
              <w:rPr>
                <w:lang w:val="en-US" w:eastAsia="en-AU"/>
              </w:rPr>
              <w:t>0.00</w:t>
            </w:r>
          </w:p>
        </w:tc>
        <w:tc>
          <w:tcPr>
            <w:tcW w:w="1134" w:type="dxa"/>
          </w:tcPr>
          <w:p w:rsidR="00AE523D" w:rsidRPr="00BC0B05" w:rsidRDefault="00AE523D" w:rsidP="00AE523D">
            <w:pPr>
              <w:pStyle w:val="Tabletext"/>
              <w:tabs>
                <w:tab w:val="decimal" w:pos="488"/>
              </w:tabs>
            </w:pPr>
            <w:r w:rsidRPr="00BC0B05">
              <w:t>0.00</w:t>
            </w:r>
          </w:p>
        </w:tc>
        <w:tc>
          <w:tcPr>
            <w:tcW w:w="709" w:type="dxa"/>
            <w:vAlign w:val="center"/>
          </w:tcPr>
          <w:p w:rsidR="00AE523D" w:rsidRPr="006B0DC0" w:rsidRDefault="00AE523D" w:rsidP="00033CCB">
            <w:pPr>
              <w:pStyle w:val="Tabletext"/>
              <w:jc w:val="center"/>
            </w:pPr>
            <w:r w:rsidRPr="006B0DC0">
              <w:t>100%</w:t>
            </w:r>
          </w:p>
        </w:tc>
      </w:tr>
      <w:tr w:rsidR="00AE523D" w:rsidTr="006F7EDC">
        <w:tc>
          <w:tcPr>
            <w:tcW w:w="1560" w:type="dxa"/>
            <w:gridSpan w:val="2"/>
            <w:tcBorders>
              <w:bottom w:val="nil"/>
            </w:tcBorders>
            <w:vAlign w:val="center"/>
          </w:tcPr>
          <w:p w:rsidR="00AE523D" w:rsidRPr="006B0DC0" w:rsidRDefault="00AE523D" w:rsidP="0004066C">
            <w:pPr>
              <w:pStyle w:val="Tabletext"/>
            </w:pPr>
            <w:r w:rsidRPr="006B0DC0">
              <w:t>Commencing (4)</w:t>
            </w:r>
          </w:p>
        </w:tc>
        <w:tc>
          <w:tcPr>
            <w:tcW w:w="1134" w:type="dxa"/>
            <w:tcBorders>
              <w:bottom w:val="nil"/>
            </w:tcBorders>
            <w:vAlign w:val="center"/>
          </w:tcPr>
          <w:p w:rsidR="00AE523D" w:rsidRPr="006B0DC0" w:rsidRDefault="00AE523D" w:rsidP="00982613">
            <w:pPr>
              <w:pStyle w:val="Tabletext"/>
              <w:tabs>
                <w:tab w:val="decimal" w:pos="459"/>
              </w:tabs>
            </w:pPr>
            <w:r w:rsidRPr="006B0DC0">
              <w:t>26.32</w:t>
            </w:r>
          </w:p>
        </w:tc>
        <w:tc>
          <w:tcPr>
            <w:tcW w:w="992" w:type="dxa"/>
            <w:tcBorders>
              <w:bottom w:val="nil"/>
            </w:tcBorders>
            <w:vAlign w:val="center"/>
          </w:tcPr>
          <w:p w:rsidR="00AE523D" w:rsidRPr="006B0DC0" w:rsidRDefault="00AE523D" w:rsidP="006F7EDC">
            <w:pPr>
              <w:pStyle w:val="Tabletext"/>
              <w:tabs>
                <w:tab w:val="decimal" w:pos="175"/>
              </w:tabs>
              <w:jc w:val="center"/>
            </w:pPr>
            <w:r w:rsidRPr="006B0DC0">
              <w:t>48.09</w:t>
            </w:r>
          </w:p>
        </w:tc>
        <w:tc>
          <w:tcPr>
            <w:tcW w:w="1134" w:type="dxa"/>
            <w:tcBorders>
              <w:bottom w:val="nil"/>
            </w:tcBorders>
            <w:vAlign w:val="center"/>
          </w:tcPr>
          <w:p w:rsidR="00AE523D" w:rsidRPr="006B0DC0" w:rsidRDefault="00AE523D" w:rsidP="00033CCB">
            <w:pPr>
              <w:pStyle w:val="Tabletext"/>
              <w:tabs>
                <w:tab w:val="decimal" w:pos="175"/>
              </w:tabs>
              <w:jc w:val="center"/>
            </w:pPr>
            <w:r w:rsidRPr="006B0DC0">
              <w:t>25.59</w:t>
            </w:r>
          </w:p>
        </w:tc>
        <w:tc>
          <w:tcPr>
            <w:tcW w:w="1275" w:type="dxa"/>
            <w:tcBorders>
              <w:bottom w:val="nil"/>
            </w:tcBorders>
            <w:vAlign w:val="center"/>
          </w:tcPr>
          <w:p w:rsidR="00AE523D" w:rsidRDefault="00AE523D" w:rsidP="00AE523D">
            <w:pPr>
              <w:pStyle w:val="Tabletext"/>
              <w:tabs>
                <w:tab w:val="decimal" w:pos="459"/>
              </w:tabs>
              <w:rPr>
                <w:rFonts w:eastAsiaTheme="minorHAnsi"/>
                <w:lang w:eastAsia="en-AU"/>
              </w:rPr>
            </w:pPr>
            <w:r>
              <w:rPr>
                <w:lang w:val="en-US" w:eastAsia="en-AU"/>
              </w:rPr>
              <w:t>0.00</w:t>
            </w:r>
          </w:p>
        </w:tc>
        <w:tc>
          <w:tcPr>
            <w:tcW w:w="1134" w:type="dxa"/>
            <w:tcBorders>
              <w:bottom w:val="nil"/>
            </w:tcBorders>
          </w:tcPr>
          <w:p w:rsidR="00AE523D" w:rsidRPr="00BC0B05" w:rsidRDefault="00AE523D" w:rsidP="00AE523D">
            <w:pPr>
              <w:pStyle w:val="Tabletext"/>
              <w:tabs>
                <w:tab w:val="decimal" w:pos="488"/>
              </w:tabs>
            </w:pPr>
            <w:r w:rsidRPr="00BC0B05">
              <w:t>0.00</w:t>
            </w:r>
          </w:p>
        </w:tc>
        <w:tc>
          <w:tcPr>
            <w:tcW w:w="709" w:type="dxa"/>
            <w:tcBorders>
              <w:bottom w:val="nil"/>
            </w:tcBorders>
            <w:vAlign w:val="center"/>
          </w:tcPr>
          <w:p w:rsidR="00AE523D" w:rsidRDefault="00AE523D" w:rsidP="00033CCB">
            <w:pPr>
              <w:pStyle w:val="Tabletext"/>
              <w:jc w:val="center"/>
            </w:pPr>
            <w:r w:rsidRPr="006B0DC0">
              <w:t>100%</w:t>
            </w:r>
          </w:p>
        </w:tc>
      </w:tr>
      <w:tr w:rsidR="00AE523D" w:rsidTr="006F7EDC">
        <w:tc>
          <w:tcPr>
            <w:tcW w:w="1560" w:type="dxa"/>
            <w:gridSpan w:val="2"/>
            <w:tcBorders>
              <w:top w:val="nil"/>
              <w:bottom w:val="single" w:sz="4" w:space="0" w:color="auto"/>
            </w:tcBorders>
            <w:vAlign w:val="center"/>
          </w:tcPr>
          <w:p w:rsidR="00AE523D" w:rsidRDefault="00AE523D" w:rsidP="0004066C">
            <w:pPr>
              <w:pStyle w:val="Tabletext"/>
            </w:pPr>
            <w:r>
              <w:t>Not in the system</w:t>
            </w:r>
          </w:p>
        </w:tc>
        <w:tc>
          <w:tcPr>
            <w:tcW w:w="1134" w:type="dxa"/>
            <w:tcBorders>
              <w:top w:val="nil"/>
              <w:bottom w:val="single" w:sz="4" w:space="0" w:color="auto"/>
            </w:tcBorders>
          </w:tcPr>
          <w:p w:rsidR="00AE523D" w:rsidRPr="0033101B" w:rsidRDefault="00AE523D" w:rsidP="00982613">
            <w:pPr>
              <w:pStyle w:val="Tabletext"/>
              <w:tabs>
                <w:tab w:val="decimal" w:pos="459"/>
              </w:tabs>
            </w:pPr>
            <w:r w:rsidRPr="0033101B">
              <w:t>1.1</w:t>
            </w:r>
            <w:r>
              <w:t>3</w:t>
            </w:r>
          </w:p>
        </w:tc>
        <w:tc>
          <w:tcPr>
            <w:tcW w:w="992" w:type="dxa"/>
            <w:tcBorders>
              <w:top w:val="nil"/>
              <w:bottom w:val="single" w:sz="4" w:space="0" w:color="auto"/>
            </w:tcBorders>
          </w:tcPr>
          <w:p w:rsidR="00AE523D" w:rsidRPr="0033101B" w:rsidRDefault="00AE523D" w:rsidP="006F7EDC">
            <w:pPr>
              <w:pStyle w:val="Tabletext"/>
              <w:tabs>
                <w:tab w:val="decimal" w:pos="175"/>
              </w:tabs>
              <w:jc w:val="center"/>
            </w:pPr>
            <w:r w:rsidRPr="0033101B">
              <w:t>0.0</w:t>
            </w:r>
            <w:r>
              <w:t>0</w:t>
            </w:r>
          </w:p>
        </w:tc>
        <w:tc>
          <w:tcPr>
            <w:tcW w:w="1134" w:type="dxa"/>
            <w:tcBorders>
              <w:top w:val="nil"/>
              <w:bottom w:val="single" w:sz="4" w:space="0" w:color="auto"/>
            </w:tcBorders>
          </w:tcPr>
          <w:p w:rsidR="00AE523D" w:rsidRPr="0033101B" w:rsidRDefault="00AE523D" w:rsidP="00033CCB">
            <w:pPr>
              <w:pStyle w:val="Tabletext"/>
              <w:tabs>
                <w:tab w:val="decimal" w:pos="175"/>
              </w:tabs>
              <w:jc w:val="center"/>
            </w:pPr>
            <w:r w:rsidRPr="0033101B">
              <w:t>7.5</w:t>
            </w:r>
            <w:r>
              <w:t>3</w:t>
            </w:r>
          </w:p>
        </w:tc>
        <w:tc>
          <w:tcPr>
            <w:tcW w:w="1275" w:type="dxa"/>
            <w:tcBorders>
              <w:top w:val="nil"/>
              <w:bottom w:val="single" w:sz="4" w:space="0" w:color="auto"/>
            </w:tcBorders>
            <w:vAlign w:val="center"/>
          </w:tcPr>
          <w:p w:rsidR="00AE523D" w:rsidRDefault="00AE523D" w:rsidP="00AE523D">
            <w:pPr>
              <w:pStyle w:val="Tabletext"/>
              <w:tabs>
                <w:tab w:val="decimal" w:pos="459"/>
              </w:tabs>
              <w:rPr>
                <w:rFonts w:eastAsiaTheme="minorHAnsi"/>
                <w:lang w:eastAsia="en-AU"/>
              </w:rPr>
            </w:pPr>
            <w:r>
              <w:rPr>
                <w:lang w:val="en-US" w:eastAsia="en-AU"/>
              </w:rPr>
              <w:t>87.27</w:t>
            </w:r>
          </w:p>
        </w:tc>
        <w:tc>
          <w:tcPr>
            <w:tcW w:w="1134" w:type="dxa"/>
            <w:tcBorders>
              <w:top w:val="nil"/>
              <w:bottom w:val="single" w:sz="4" w:space="0" w:color="auto"/>
            </w:tcBorders>
          </w:tcPr>
          <w:p w:rsidR="00AE523D" w:rsidRDefault="00AE523D" w:rsidP="00AE523D">
            <w:pPr>
              <w:pStyle w:val="Tabletext"/>
              <w:tabs>
                <w:tab w:val="decimal" w:pos="488"/>
              </w:tabs>
            </w:pPr>
            <w:r w:rsidRPr="00BC0B05">
              <w:t>4.08</w:t>
            </w:r>
          </w:p>
        </w:tc>
        <w:tc>
          <w:tcPr>
            <w:tcW w:w="709" w:type="dxa"/>
            <w:tcBorders>
              <w:top w:val="nil"/>
              <w:bottom w:val="single" w:sz="4" w:space="0" w:color="auto"/>
            </w:tcBorders>
          </w:tcPr>
          <w:p w:rsidR="00AE523D" w:rsidRDefault="00AE523D" w:rsidP="00033CCB">
            <w:pPr>
              <w:pStyle w:val="Tabletext"/>
              <w:jc w:val="center"/>
            </w:pPr>
            <w:r>
              <w:t>100%</w:t>
            </w:r>
          </w:p>
        </w:tc>
      </w:tr>
    </w:tbl>
    <w:p w:rsidR="0004066C" w:rsidRDefault="0004066C" w:rsidP="0004066C">
      <w:pPr>
        <w:pStyle w:val="Text"/>
      </w:pPr>
      <w:r>
        <w:t>It is these ‘row’ proportions (</w:t>
      </w:r>
      <w:proofErr w:type="spellStart"/>
      <w:r w:rsidRPr="00AF69F4">
        <w:rPr>
          <w:rFonts w:asciiTheme="minorHAnsi" w:hAnsiTheme="minorHAnsi"/>
          <w:i/>
          <w:sz w:val="28"/>
        </w:rPr>
        <w:t>p</w:t>
      </w:r>
      <w:r w:rsidRPr="00AF69F4">
        <w:rPr>
          <w:sz w:val="24"/>
          <w:vertAlign w:val="subscript"/>
        </w:rPr>
        <w:t>row</w:t>
      </w:r>
      <w:proofErr w:type="gramStart"/>
      <w:r>
        <w:rPr>
          <w:sz w:val="24"/>
          <w:vertAlign w:val="subscript"/>
        </w:rPr>
        <w:t>,</w:t>
      </w:r>
      <w:r w:rsidRPr="00AF69F4">
        <w:rPr>
          <w:sz w:val="24"/>
          <w:vertAlign w:val="subscript"/>
        </w:rPr>
        <w:t>column</w:t>
      </w:r>
      <w:proofErr w:type="spellEnd"/>
      <w:proofErr w:type="gramEnd"/>
      <w:r>
        <w:t xml:space="preserve">) that are used to derive the conditional probability that any VET program enrolment commencing in 2014 will eventually be completed. </w:t>
      </w:r>
    </w:p>
    <w:p w:rsidR="0004066C" w:rsidRDefault="0004066C" w:rsidP="0004066C">
      <w:pPr>
        <w:pStyle w:val="Text"/>
      </w:pPr>
      <w:r>
        <w:t xml:space="preserve">This can be calculated by applying </w:t>
      </w:r>
      <w:proofErr w:type="spellStart"/>
      <w:r>
        <w:t>absorb</w:t>
      </w:r>
      <w:r w:rsidR="00331567">
        <w:t>s</w:t>
      </w:r>
      <w:r>
        <w:t>ing</w:t>
      </w:r>
      <w:proofErr w:type="spellEnd"/>
      <w:r>
        <w:t xml:space="preserve"> Markov chain theory via the following formula:</w:t>
      </w:r>
    </w:p>
    <w:p w:rsidR="0004066C" w:rsidRPr="00A5321D" w:rsidRDefault="003F45DF" w:rsidP="0004066C">
      <w:pPr>
        <w:pStyle w:val="Text"/>
        <w:spacing w:line="360" w:lineRule="auto"/>
        <w:jc w:val="center"/>
      </w:pPr>
      <w:r w:rsidRPr="00DC7757">
        <w:rPr>
          <w:position w:val="-30"/>
        </w:rPr>
        <w:object w:dxaOrig="5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75pt;height:33pt" o:ole="">
            <v:imagedata r:id="rId48" o:title=""/>
          </v:shape>
          <o:OLEObject Type="Embed" ProgID="Equation.3" ShapeID="_x0000_i1025" DrawAspect="Content" ObjectID="_1539595622" r:id="rId49"/>
        </w:object>
      </w:r>
      <w:r w:rsidR="0004066C">
        <w:t>.</w:t>
      </w:r>
    </w:p>
    <w:p w:rsidR="0004066C" w:rsidRDefault="0004066C" w:rsidP="0004066C">
      <w:pPr>
        <w:pStyle w:val="Text"/>
        <w:spacing w:before="0"/>
      </w:pPr>
      <w:r>
        <w:t>Where</w:t>
      </w:r>
    </w:p>
    <w:p w:rsidR="0004066C" w:rsidRDefault="0004066C" w:rsidP="0004066C">
      <w:pPr>
        <w:pStyle w:val="Text"/>
        <w:spacing w:before="0"/>
        <w:ind w:left="851" w:right="-426" w:hanging="567"/>
      </w:pPr>
      <w:r w:rsidRPr="003D73FE">
        <w:rPr>
          <w:position w:val="-10"/>
        </w:rPr>
        <w:object w:dxaOrig="360" w:dyaOrig="340">
          <v:shape id="_x0000_i1026" type="#_x0000_t75" style="width:18pt;height:18pt" o:ole="">
            <v:imagedata r:id="rId50" o:title=""/>
          </v:shape>
          <o:OLEObject Type="Embed" ProgID="Equation.3" ShapeID="_x0000_i1026" DrawAspect="Content" ObjectID="_1539595623" r:id="rId51"/>
        </w:object>
      </w:r>
      <w:r>
        <w:t xml:space="preserve"> = the proportion of program enrolments deemed to commenc</w:t>
      </w:r>
      <w:r w:rsidR="00CC284B">
        <w:t>e in 2014 and completed in 2015</w:t>
      </w:r>
      <w:r w:rsidR="003F45DF">
        <w:t xml:space="preserve"> </w:t>
      </w:r>
      <w:r>
        <w:t>(i.e. row 4, column 1)</w:t>
      </w:r>
    </w:p>
    <w:p w:rsidR="0004066C" w:rsidRDefault="0004066C" w:rsidP="0004066C">
      <w:pPr>
        <w:pStyle w:val="Text"/>
        <w:spacing w:before="0"/>
        <w:ind w:left="851" w:right="-426" w:hanging="567"/>
      </w:pPr>
      <w:r w:rsidRPr="003D73FE">
        <w:rPr>
          <w:position w:val="-12"/>
        </w:rPr>
        <w:object w:dxaOrig="360" w:dyaOrig="360">
          <v:shape id="_x0000_i1027" type="#_x0000_t75" style="width:18pt;height:18pt" o:ole="">
            <v:imagedata r:id="rId52" o:title=""/>
          </v:shape>
          <o:OLEObject Type="Embed" ProgID="Equation.3" ShapeID="_x0000_i1027" DrawAspect="Content" ObjectID="_1539595624" r:id="rId53"/>
        </w:object>
      </w:r>
      <w:r>
        <w:t xml:space="preserve"> = the proportion of program enrolments deemed to commence in 2014 and continuing in 2015</w:t>
      </w:r>
      <w:r w:rsidR="003F45DF">
        <w:t xml:space="preserve"> </w:t>
      </w:r>
      <w:r>
        <w:t>(i.e. row 4, column 3)</w:t>
      </w:r>
    </w:p>
    <w:p w:rsidR="0004066C" w:rsidRDefault="0004066C" w:rsidP="0004066C">
      <w:pPr>
        <w:pStyle w:val="Text"/>
        <w:spacing w:before="0"/>
        <w:ind w:left="851" w:right="-426" w:hanging="567"/>
      </w:pPr>
      <w:r w:rsidRPr="003D73FE">
        <w:rPr>
          <w:position w:val="-12"/>
        </w:rPr>
        <w:object w:dxaOrig="360" w:dyaOrig="360">
          <v:shape id="_x0000_i1028" type="#_x0000_t75" style="width:18pt;height:18pt" o:ole="">
            <v:imagedata r:id="rId54" o:title=""/>
          </v:shape>
          <o:OLEObject Type="Embed" ProgID="Equation.3" ShapeID="_x0000_i1028" DrawAspect="Content" ObjectID="_1539595625" r:id="rId55"/>
        </w:object>
      </w:r>
      <w:r>
        <w:t xml:space="preserve"> = the proportion of program enrolments deemed to be continuing in 2014 and completed in 2015</w:t>
      </w:r>
      <w:r w:rsidR="003F45DF">
        <w:t xml:space="preserve"> </w:t>
      </w:r>
      <w:r>
        <w:t>(i.e. row 3, column 1)</w:t>
      </w:r>
    </w:p>
    <w:p w:rsidR="0004066C" w:rsidRDefault="0004066C" w:rsidP="0004066C">
      <w:pPr>
        <w:pStyle w:val="Text"/>
        <w:spacing w:before="0"/>
        <w:ind w:left="851" w:right="-426" w:hanging="567"/>
      </w:pPr>
      <w:r w:rsidRPr="003D73FE">
        <w:rPr>
          <w:position w:val="-12"/>
        </w:rPr>
        <w:object w:dxaOrig="360" w:dyaOrig="360">
          <v:shape id="_x0000_i1029" type="#_x0000_t75" style="width:18pt;height:18pt" o:ole="">
            <v:imagedata r:id="rId56" o:title=""/>
          </v:shape>
          <o:OLEObject Type="Embed" ProgID="Equation.3" ShapeID="_x0000_i1029" DrawAspect="Content" ObjectID="_1539595626" r:id="rId57"/>
        </w:object>
      </w:r>
      <w:r>
        <w:t xml:space="preserve"> = the proportion of program enrolments deemed to be continuing in 2014 and dropped out in 2015</w:t>
      </w:r>
      <w:r w:rsidR="003F45DF">
        <w:t xml:space="preserve"> </w:t>
      </w:r>
      <w:r>
        <w:t>(i.e. row 3, column 2)</w:t>
      </w:r>
      <w:r w:rsidR="00CC284B">
        <w:t>.</w:t>
      </w:r>
    </w:p>
    <w:p w:rsidR="0004066C" w:rsidRDefault="0004066C" w:rsidP="0004066C">
      <w:pPr>
        <w:pStyle w:val="Text"/>
      </w:pPr>
      <w:r>
        <w:t xml:space="preserve">Thus, in terms of </w:t>
      </w:r>
      <w:r w:rsidR="00365D04">
        <w:t>t</w:t>
      </w:r>
      <w:r>
        <w:t xml:space="preserve">able </w:t>
      </w:r>
      <w:r w:rsidR="00CC284B">
        <w:t>A3</w:t>
      </w:r>
      <w:r>
        <w:t>, we have:</w:t>
      </w:r>
    </w:p>
    <w:p w:rsidR="0004066C" w:rsidRPr="00AA3981" w:rsidRDefault="0004066C" w:rsidP="0004066C">
      <w:pPr>
        <w:pStyle w:val="Text"/>
        <w:spacing w:before="0"/>
        <w:ind w:firstLine="284"/>
      </w:pPr>
      <w:r w:rsidRPr="00AA3981">
        <w:t>P41 = 26.3</w:t>
      </w:r>
      <w:r>
        <w:t>2</w:t>
      </w:r>
    </w:p>
    <w:p w:rsidR="0004066C" w:rsidRPr="00AA3981" w:rsidRDefault="0004066C" w:rsidP="0004066C">
      <w:pPr>
        <w:pStyle w:val="Text"/>
        <w:spacing w:before="0"/>
        <w:ind w:firstLine="284"/>
      </w:pPr>
      <w:r w:rsidRPr="00AA3981">
        <w:t>P43 = 2</w:t>
      </w:r>
      <w:r>
        <w:t>5.59</w:t>
      </w:r>
    </w:p>
    <w:p w:rsidR="0004066C" w:rsidRPr="00AA3981" w:rsidRDefault="0004066C" w:rsidP="0004066C">
      <w:pPr>
        <w:pStyle w:val="Text"/>
        <w:spacing w:before="0"/>
        <w:ind w:firstLine="284"/>
      </w:pPr>
      <w:r w:rsidRPr="00AA3981">
        <w:t>P31 = 35.4</w:t>
      </w:r>
      <w:r>
        <w:t>3</w:t>
      </w:r>
    </w:p>
    <w:p w:rsidR="0004066C" w:rsidRPr="00AA3981" w:rsidRDefault="0004066C" w:rsidP="0004066C">
      <w:pPr>
        <w:pStyle w:val="Text"/>
        <w:spacing w:before="0"/>
        <w:ind w:firstLine="284"/>
      </w:pPr>
      <w:r w:rsidRPr="00AA3981">
        <w:t>p32 = 42.3</w:t>
      </w:r>
      <w:r>
        <w:t>4</w:t>
      </w:r>
    </w:p>
    <w:p w:rsidR="0004066C" w:rsidRDefault="00CC284B" w:rsidP="0004066C">
      <w:pPr>
        <w:pStyle w:val="Text"/>
      </w:pPr>
      <w:r>
        <w:t xml:space="preserve">Applying these values </w:t>
      </w:r>
      <w:r w:rsidR="0004066C">
        <w:t>to the formula above</w:t>
      </w:r>
      <w:r w:rsidR="0004066C" w:rsidRPr="00AA3981">
        <w:t xml:space="preserve"> results in </w:t>
      </w:r>
      <w:r w:rsidR="0004066C">
        <w:t>the</w:t>
      </w:r>
      <w:r w:rsidR="0004066C" w:rsidRPr="00AA3981">
        <w:t xml:space="preserve"> overall probability </w:t>
      </w:r>
      <w:r>
        <w:t>of</w:t>
      </w:r>
      <w:r w:rsidR="0004066C" w:rsidRPr="00AA3981">
        <w:t xml:space="preserve"> a</w:t>
      </w:r>
      <w:r w:rsidR="0004066C">
        <w:t xml:space="preserve"> </w:t>
      </w:r>
      <w:r w:rsidR="0004066C" w:rsidRPr="00AA3981">
        <w:t>VET program enrolment commenc</w:t>
      </w:r>
      <w:r>
        <w:t>ed</w:t>
      </w:r>
      <w:r w:rsidR="0004066C" w:rsidRPr="00AA3981">
        <w:t xml:space="preserve"> in 2014 eventually be</w:t>
      </w:r>
      <w:r w:rsidR="0004066C">
        <w:t>ing</w:t>
      </w:r>
      <w:r w:rsidR="0004066C" w:rsidRPr="00AA3981">
        <w:t xml:space="preserve"> completed </w:t>
      </w:r>
      <w:r>
        <w:t>of</w:t>
      </w:r>
      <w:r w:rsidR="0004066C" w:rsidRPr="00AA3981">
        <w:t xml:space="preserve"> </w:t>
      </w:r>
      <w:r w:rsidR="0004066C" w:rsidRPr="00033CCB">
        <w:t>38%</w:t>
      </w:r>
      <w:r w:rsidR="0004066C" w:rsidRPr="00AA3981">
        <w:t>.</w:t>
      </w:r>
    </w:p>
    <w:p w:rsidR="0097030F" w:rsidRDefault="0004066C" w:rsidP="00033CCB">
      <w:pPr>
        <w:pStyle w:val="Text"/>
      </w:pPr>
      <w:r>
        <w:t>It is this probability that is taken as the projected completion rate for program enrolments commencing in 2014.</w:t>
      </w:r>
    </w:p>
    <w:p w:rsidR="0097030F" w:rsidRDefault="0097030F">
      <w:pPr>
        <w:spacing w:before="0" w:after="200" w:line="276" w:lineRule="auto"/>
      </w:pPr>
      <w:r>
        <w:br w:type="page"/>
      </w:r>
    </w:p>
    <w:p w:rsidR="00FB30F8" w:rsidRDefault="00FB30F8" w:rsidP="00033CCB">
      <w:pPr>
        <w:pStyle w:val="Text"/>
      </w:pPr>
    </w:p>
    <w:p w:rsidR="009C22D3" w:rsidRPr="00033CCB" w:rsidRDefault="009C22D3" w:rsidP="00033CCB">
      <w:pPr>
        <w:pStyle w:val="Text"/>
        <w:sectPr w:rsidR="009C22D3" w:rsidRPr="00033CCB" w:rsidSect="00C2530B">
          <w:headerReference w:type="even" r:id="rId58"/>
          <w:headerReference w:type="default" r:id="rId59"/>
          <w:footerReference w:type="default" r:id="rId60"/>
          <w:headerReference w:type="first" r:id="rId61"/>
          <w:pgSz w:w="11906" w:h="16838"/>
          <w:pgMar w:top="1440" w:right="2834" w:bottom="1276" w:left="1440" w:header="708" w:footer="446" w:gutter="0"/>
          <w:cols w:space="708"/>
          <w:docGrid w:linePitch="360"/>
        </w:sectPr>
      </w:pPr>
    </w:p>
    <w:p w:rsidR="00A533A3" w:rsidRPr="00704890" w:rsidRDefault="00C2530B" w:rsidP="00033CCB">
      <w:pPr>
        <w:pStyle w:val="Heading1"/>
        <w:rPr>
          <w:rFonts w:cstheme="minorHAnsi"/>
          <w:sz w:val="20"/>
        </w:rPr>
      </w:pPr>
      <w:r w:rsidRPr="00033CCB">
        <w:rPr>
          <w:rFonts w:cstheme="minorHAnsi"/>
          <w:noProof/>
          <w:sz w:val="20"/>
          <w:lang w:eastAsia="en-AU"/>
        </w:rPr>
        <w:lastRenderedPageBreak/>
        <w:drawing>
          <wp:anchor distT="0" distB="0" distL="114300" distR="114300" simplePos="0" relativeHeight="251738112" behindDoc="0" locked="0" layoutInCell="1" allowOverlap="1" wp14:anchorId="730B8C89" wp14:editId="1D1B6C11">
            <wp:simplePos x="0" y="0"/>
            <wp:positionH relativeFrom="column">
              <wp:posOffset>3082290</wp:posOffset>
            </wp:positionH>
            <wp:positionV relativeFrom="paragraph">
              <wp:posOffset>6899910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Pr="00033CCB">
        <w:rPr>
          <w:rFonts w:cstheme="minorHAnsi"/>
          <w:noProof/>
          <w:sz w:val="20"/>
          <w:lang w:eastAsia="en-AU"/>
        </w:rPr>
        <w:drawing>
          <wp:anchor distT="0" distB="0" distL="114300" distR="114300" simplePos="0" relativeHeight="251739136" behindDoc="0" locked="0" layoutInCell="1" allowOverlap="1" wp14:anchorId="421DE093" wp14:editId="0F3D431E">
            <wp:simplePos x="0" y="0"/>
            <wp:positionH relativeFrom="column">
              <wp:posOffset>-1797685</wp:posOffset>
            </wp:positionH>
            <wp:positionV relativeFrom="paragraph">
              <wp:posOffset>9097645</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Pr>
          <w:rFonts w:cstheme="minorHAnsi"/>
          <w:noProof/>
          <w:sz w:val="20"/>
          <w:lang w:eastAsia="en-AU"/>
        </w:rPr>
        <mc:AlternateContent>
          <mc:Choice Requires="wps">
            <w:drawing>
              <wp:anchor distT="0" distB="0" distL="114300" distR="114300" simplePos="0" relativeHeight="251740160" behindDoc="0" locked="0" layoutInCell="1" allowOverlap="1" wp14:anchorId="3733C353" wp14:editId="57D9074A">
                <wp:simplePos x="0" y="0"/>
                <wp:positionH relativeFrom="column">
                  <wp:posOffset>287655</wp:posOffset>
                </wp:positionH>
                <wp:positionV relativeFrom="paragraph">
                  <wp:posOffset>7600315</wp:posOffset>
                </wp:positionV>
                <wp:extent cx="5143500" cy="16383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4756" w:rsidRPr="006E0B9E" w:rsidRDefault="00574756" w:rsidP="00033CCB">
                            <w:pPr>
                              <w:jc w:val="right"/>
                              <w:rPr>
                                <w:rFonts w:ascii="Arial" w:hAnsi="Arial" w:cs="Arial"/>
                                <w:b/>
                              </w:rPr>
                            </w:pPr>
                            <w:r w:rsidRPr="006E0B9E">
                              <w:rPr>
                                <w:rFonts w:ascii="Arial" w:hAnsi="Arial" w:cs="Arial"/>
                                <w:b/>
                              </w:rPr>
                              <w:t>National Centre for Vocational Education Research</w:t>
                            </w:r>
                          </w:p>
                          <w:p w:rsidR="00574756" w:rsidRPr="00185BB3" w:rsidRDefault="00574756" w:rsidP="00033CCB">
                            <w:pPr>
                              <w:spacing w:before="80"/>
                              <w:jc w:val="right"/>
                              <w:rPr>
                                <w:rFonts w:ascii="Arial" w:hAnsi="Arial" w:cs="Arial"/>
                                <w:color w:val="000000"/>
                                <w:sz w:val="16"/>
                                <w:szCs w:val="16"/>
                              </w:rPr>
                            </w:pPr>
                            <w:r w:rsidRPr="00185BB3">
                              <w:rPr>
                                <w:rFonts w:ascii="Arial" w:hAnsi="Arial" w:cs="Arial"/>
                                <w:color w:val="000000"/>
                                <w:sz w:val="16"/>
                                <w:szCs w:val="16"/>
                              </w:rPr>
                              <w:t>Level 11, 33 King William Street, Adelaide, SA 5000</w:t>
                            </w:r>
                            <w:r w:rsidRPr="00185BB3">
                              <w:rPr>
                                <w:rFonts w:ascii="Arial" w:hAnsi="Arial" w:cs="Arial"/>
                                <w:color w:val="000000"/>
                                <w:sz w:val="16"/>
                                <w:szCs w:val="16"/>
                              </w:rPr>
                              <w:br/>
                              <w:t>PO Box 8288 Station Arcade, Adelaide SA 5000, Australia</w:t>
                            </w:r>
                          </w:p>
                          <w:p w:rsidR="00574756" w:rsidRPr="00185BB3" w:rsidRDefault="00574756" w:rsidP="00185BB3">
                            <w:pPr>
                              <w:tabs>
                                <w:tab w:val="left" w:pos="3402"/>
                              </w:tabs>
                              <w:jc w:val="right"/>
                              <w:rPr>
                                <w:rFonts w:ascii="Arial" w:hAnsi="Arial" w:cs="Arial"/>
                                <w:sz w:val="16"/>
                                <w:szCs w:val="16"/>
                              </w:rPr>
                            </w:pPr>
                            <w:r w:rsidRPr="00185BB3">
                              <w:rPr>
                                <w:rFonts w:ascii="Arial" w:hAnsi="Arial" w:cs="Arial"/>
                                <w:b/>
                                <w:sz w:val="16"/>
                                <w:szCs w:val="16"/>
                              </w:rPr>
                              <w:t>Phone</w:t>
                            </w:r>
                            <w:r w:rsidRPr="00185BB3">
                              <w:rPr>
                                <w:rFonts w:ascii="Arial" w:hAnsi="Arial" w:cs="Arial"/>
                                <w:sz w:val="16"/>
                                <w:szCs w:val="16"/>
                              </w:rPr>
                              <w:t xml:space="preserve"> +61 8 8230 8400  </w:t>
                            </w:r>
                            <w:r w:rsidRPr="00185BB3">
                              <w:rPr>
                                <w:rFonts w:ascii="Arial" w:hAnsi="Arial" w:cs="Arial"/>
                                <w:b/>
                                <w:sz w:val="16"/>
                                <w:szCs w:val="16"/>
                              </w:rPr>
                              <w:t>Fax</w:t>
                            </w:r>
                            <w:r w:rsidRPr="00185BB3">
                              <w:rPr>
                                <w:rFonts w:ascii="Arial" w:hAnsi="Arial" w:cs="Arial"/>
                                <w:sz w:val="16"/>
                                <w:szCs w:val="16"/>
                              </w:rPr>
                              <w:t xml:space="preserve"> +61 8 8212 3436</w:t>
                            </w:r>
                            <w:r>
                              <w:rPr>
                                <w:rFonts w:ascii="Arial" w:hAnsi="Arial" w:cs="Arial"/>
                                <w:sz w:val="16"/>
                                <w:szCs w:val="16"/>
                              </w:rPr>
                              <w:br/>
                            </w:r>
                            <w:r w:rsidRPr="00185BB3">
                              <w:rPr>
                                <w:rFonts w:ascii="Arial" w:hAnsi="Arial" w:cs="Arial"/>
                                <w:b/>
                                <w:sz w:val="16"/>
                                <w:szCs w:val="16"/>
                              </w:rPr>
                              <w:t>Email</w:t>
                            </w:r>
                            <w:r w:rsidRPr="00185BB3">
                              <w:rPr>
                                <w:rFonts w:ascii="Arial" w:hAnsi="Arial" w:cs="Arial"/>
                                <w:sz w:val="16"/>
                                <w:szCs w:val="16"/>
                              </w:rPr>
                              <w:t xml:space="preserve"> </w:t>
                            </w:r>
                            <w:hyperlink r:id="rId64" w:history="1">
                              <w:r w:rsidRPr="00185BB3">
                                <w:rPr>
                                  <w:rStyle w:val="BodyText3Char"/>
                                  <w:rFonts w:ascii="Arial" w:hAnsi="Arial" w:cs="Arial"/>
                                </w:rPr>
                                <w:t>ncver@ncver.edu.au</w:t>
                              </w:r>
                            </w:hyperlink>
                            <w:r w:rsidRPr="00185BB3">
                              <w:rPr>
                                <w:rFonts w:ascii="Arial" w:hAnsi="Arial" w:cs="Arial"/>
                                <w:sz w:val="16"/>
                                <w:szCs w:val="16"/>
                              </w:rPr>
                              <w:t xml:space="preserve">  </w:t>
                            </w:r>
                            <w:r w:rsidRPr="00185BB3">
                              <w:rPr>
                                <w:rFonts w:ascii="Arial" w:hAnsi="Arial" w:cs="Arial"/>
                                <w:b/>
                                <w:sz w:val="16"/>
                                <w:szCs w:val="16"/>
                              </w:rPr>
                              <w:t>Web</w:t>
                            </w:r>
                            <w:r w:rsidRPr="00185BB3">
                              <w:rPr>
                                <w:rFonts w:ascii="Arial" w:hAnsi="Arial" w:cs="Arial"/>
                                <w:sz w:val="16"/>
                                <w:szCs w:val="16"/>
                              </w:rPr>
                              <w:t xml:space="preserve"> &lt;http://www.ncver.edu.au&gt;  &lt;</w:t>
                            </w:r>
                            <w:hyperlink r:id="rId65" w:history="1">
                              <w:r w:rsidRPr="00185BB3">
                                <w:rPr>
                                  <w:rStyle w:val="BodyText3Char"/>
                                  <w:rFonts w:ascii="Arial" w:hAnsi="Arial" w:cs="Arial"/>
                                </w:rPr>
                                <w:t>http://www.lsay.edu.au</w:t>
                              </w:r>
                            </w:hyperlink>
                            <w:r w:rsidRPr="00185BB3">
                              <w:rPr>
                                <w:rFonts w:ascii="Arial" w:hAnsi="Arial" w:cs="Arial"/>
                                <w:sz w:val="16"/>
                                <w:szCs w:val="16"/>
                              </w:rPr>
                              <w:t>&gt;</w:t>
                            </w:r>
                            <w:r w:rsidRPr="00185BB3">
                              <w:rPr>
                                <w:rFonts w:ascii="Arial" w:hAnsi="Arial" w:cs="Arial"/>
                                <w:sz w:val="16"/>
                                <w:szCs w:val="16"/>
                              </w:rPr>
                              <w:br/>
                            </w:r>
                            <w:r w:rsidRPr="00185BB3">
                              <w:rPr>
                                <w:rFonts w:ascii="Arial" w:hAnsi="Arial" w:cs="Arial"/>
                                <w:b/>
                                <w:sz w:val="16"/>
                                <w:szCs w:val="16"/>
                              </w:rPr>
                              <w:t>Follow us:</w:t>
                            </w:r>
                            <w:r w:rsidRPr="00185BB3">
                              <w:rPr>
                                <w:rFonts w:ascii="Arial" w:hAnsi="Arial" w:cs="Arial"/>
                                <w:sz w:val="16"/>
                                <w:szCs w:val="16"/>
                              </w:rPr>
                              <w:t xml:space="preserve">        &lt;</w:t>
                            </w:r>
                            <w:hyperlink r:id="rId66" w:history="1">
                              <w:r w:rsidRPr="00185BB3">
                                <w:rPr>
                                  <w:rStyle w:val="BodyText3Char"/>
                                  <w:rFonts w:ascii="Arial" w:hAnsi="Arial" w:cs="Arial"/>
                                </w:rPr>
                                <w:t>http://twitter.com/ncver</w:t>
                              </w:r>
                            </w:hyperlink>
                            <w:r w:rsidRPr="00185BB3">
                              <w:rPr>
                                <w:rFonts w:ascii="Arial" w:hAnsi="Arial" w:cs="Arial"/>
                                <w:sz w:val="16"/>
                                <w:szCs w:val="16"/>
                              </w:rPr>
                              <w:t>&gt;         &lt;http://www.linkedin.com/company/ncver&gt;</w:t>
                            </w:r>
                          </w:p>
                          <w:p w:rsidR="00574756" w:rsidRPr="009F3844" w:rsidRDefault="00574756" w:rsidP="00033CCB">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2.65pt;margin-top:598.45pt;width:405pt;height:12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" filled="f" stroked="f" strokeweight=".5pt">
                <v:path arrowok="t"/>
                <v:textbox>
                  <w:txbxContent>
                    <w:p w:rsidR="00574756" w:rsidRPr="006E0B9E" w:rsidRDefault="00574756" w:rsidP="00033CCB">
                      <w:pPr>
                        <w:jc w:val="right"/>
                        <w:rPr>
                          <w:rFonts w:ascii="Arial" w:hAnsi="Arial" w:cs="Arial"/>
                          <w:b/>
                        </w:rPr>
                      </w:pPr>
                      <w:r w:rsidRPr="006E0B9E">
                        <w:rPr>
                          <w:rFonts w:ascii="Arial" w:hAnsi="Arial" w:cs="Arial"/>
                          <w:b/>
                        </w:rPr>
                        <w:t>National Centre for Vocational Education Research</w:t>
                      </w:r>
                    </w:p>
                    <w:p w:rsidR="00574756" w:rsidRPr="00185BB3" w:rsidRDefault="00574756" w:rsidP="00033CCB">
                      <w:pPr>
                        <w:spacing w:before="80"/>
                        <w:jc w:val="right"/>
                        <w:rPr>
                          <w:rFonts w:ascii="Arial" w:hAnsi="Arial" w:cs="Arial"/>
                          <w:color w:val="000000"/>
                          <w:sz w:val="16"/>
                          <w:szCs w:val="16"/>
                        </w:rPr>
                      </w:pPr>
                      <w:r w:rsidRPr="00185BB3">
                        <w:rPr>
                          <w:rFonts w:ascii="Arial" w:hAnsi="Arial" w:cs="Arial"/>
                          <w:color w:val="000000"/>
                          <w:sz w:val="16"/>
                          <w:szCs w:val="16"/>
                        </w:rPr>
                        <w:t>Level 11, 33 King William Street, Adelaide, SA 5000</w:t>
                      </w:r>
                      <w:r w:rsidRPr="00185BB3">
                        <w:rPr>
                          <w:rFonts w:ascii="Arial" w:hAnsi="Arial" w:cs="Arial"/>
                          <w:color w:val="000000"/>
                          <w:sz w:val="16"/>
                          <w:szCs w:val="16"/>
                        </w:rPr>
                        <w:br/>
                        <w:t>PO Box 8288 Station Arcade, Adelaide SA 5000, Australia</w:t>
                      </w:r>
                    </w:p>
                    <w:p w:rsidR="00574756" w:rsidRPr="00185BB3" w:rsidRDefault="00574756" w:rsidP="00185BB3">
                      <w:pPr>
                        <w:tabs>
                          <w:tab w:val="left" w:pos="3402"/>
                        </w:tabs>
                        <w:jc w:val="right"/>
                        <w:rPr>
                          <w:rFonts w:ascii="Arial" w:hAnsi="Arial" w:cs="Arial"/>
                          <w:sz w:val="16"/>
                          <w:szCs w:val="16"/>
                        </w:rPr>
                      </w:pPr>
                      <w:r w:rsidRPr="00185BB3">
                        <w:rPr>
                          <w:rFonts w:ascii="Arial" w:hAnsi="Arial" w:cs="Arial"/>
                          <w:b/>
                          <w:sz w:val="16"/>
                          <w:szCs w:val="16"/>
                        </w:rPr>
                        <w:t>Phone</w:t>
                      </w:r>
                      <w:r w:rsidRPr="00185BB3">
                        <w:rPr>
                          <w:rFonts w:ascii="Arial" w:hAnsi="Arial" w:cs="Arial"/>
                          <w:sz w:val="16"/>
                          <w:szCs w:val="16"/>
                        </w:rPr>
                        <w:t xml:space="preserve"> +61 8 8230 8400  </w:t>
                      </w:r>
                      <w:r w:rsidRPr="00185BB3">
                        <w:rPr>
                          <w:rFonts w:ascii="Arial" w:hAnsi="Arial" w:cs="Arial"/>
                          <w:b/>
                          <w:sz w:val="16"/>
                          <w:szCs w:val="16"/>
                        </w:rPr>
                        <w:t>Fax</w:t>
                      </w:r>
                      <w:r w:rsidRPr="00185BB3">
                        <w:rPr>
                          <w:rFonts w:ascii="Arial" w:hAnsi="Arial" w:cs="Arial"/>
                          <w:sz w:val="16"/>
                          <w:szCs w:val="16"/>
                        </w:rPr>
                        <w:t xml:space="preserve"> +61 8 8212 3436</w:t>
                      </w:r>
                      <w:r>
                        <w:rPr>
                          <w:rFonts w:ascii="Arial" w:hAnsi="Arial" w:cs="Arial"/>
                          <w:sz w:val="16"/>
                          <w:szCs w:val="16"/>
                        </w:rPr>
                        <w:br/>
                      </w:r>
                      <w:r w:rsidRPr="00185BB3">
                        <w:rPr>
                          <w:rFonts w:ascii="Arial" w:hAnsi="Arial" w:cs="Arial"/>
                          <w:b/>
                          <w:sz w:val="16"/>
                          <w:szCs w:val="16"/>
                        </w:rPr>
                        <w:t>Email</w:t>
                      </w:r>
                      <w:r w:rsidRPr="00185BB3">
                        <w:rPr>
                          <w:rFonts w:ascii="Arial" w:hAnsi="Arial" w:cs="Arial"/>
                          <w:sz w:val="16"/>
                          <w:szCs w:val="16"/>
                        </w:rPr>
                        <w:t xml:space="preserve"> </w:t>
                      </w:r>
                      <w:hyperlink r:id="rId68" w:history="1">
                        <w:r w:rsidRPr="00185BB3">
                          <w:rPr>
                            <w:rStyle w:val="BodyText3Char"/>
                            <w:rFonts w:ascii="Arial" w:hAnsi="Arial" w:cs="Arial"/>
                          </w:rPr>
                          <w:t>ncver@ncver.edu.au</w:t>
                        </w:r>
                      </w:hyperlink>
                      <w:r w:rsidRPr="00185BB3">
                        <w:rPr>
                          <w:rFonts w:ascii="Arial" w:hAnsi="Arial" w:cs="Arial"/>
                          <w:sz w:val="16"/>
                          <w:szCs w:val="16"/>
                        </w:rPr>
                        <w:t xml:space="preserve">  </w:t>
                      </w:r>
                      <w:r w:rsidRPr="00185BB3">
                        <w:rPr>
                          <w:rFonts w:ascii="Arial" w:hAnsi="Arial" w:cs="Arial"/>
                          <w:b/>
                          <w:sz w:val="16"/>
                          <w:szCs w:val="16"/>
                        </w:rPr>
                        <w:t>Web</w:t>
                      </w:r>
                      <w:r w:rsidRPr="00185BB3">
                        <w:rPr>
                          <w:rFonts w:ascii="Arial" w:hAnsi="Arial" w:cs="Arial"/>
                          <w:sz w:val="16"/>
                          <w:szCs w:val="16"/>
                        </w:rPr>
                        <w:t xml:space="preserve"> &lt;http://www.ncver.edu.au&gt;  &lt;</w:t>
                      </w:r>
                      <w:hyperlink r:id="rId69" w:history="1">
                        <w:r w:rsidRPr="00185BB3">
                          <w:rPr>
                            <w:rStyle w:val="BodyText3Char"/>
                            <w:rFonts w:ascii="Arial" w:hAnsi="Arial" w:cs="Arial"/>
                          </w:rPr>
                          <w:t>http://www.lsay.edu.au</w:t>
                        </w:r>
                      </w:hyperlink>
                      <w:r w:rsidRPr="00185BB3">
                        <w:rPr>
                          <w:rFonts w:ascii="Arial" w:hAnsi="Arial" w:cs="Arial"/>
                          <w:sz w:val="16"/>
                          <w:szCs w:val="16"/>
                        </w:rPr>
                        <w:t>&gt;</w:t>
                      </w:r>
                      <w:r w:rsidRPr="00185BB3">
                        <w:rPr>
                          <w:rFonts w:ascii="Arial" w:hAnsi="Arial" w:cs="Arial"/>
                          <w:sz w:val="16"/>
                          <w:szCs w:val="16"/>
                        </w:rPr>
                        <w:br/>
                      </w:r>
                      <w:r w:rsidRPr="00185BB3">
                        <w:rPr>
                          <w:rFonts w:ascii="Arial" w:hAnsi="Arial" w:cs="Arial"/>
                          <w:b/>
                          <w:sz w:val="16"/>
                          <w:szCs w:val="16"/>
                        </w:rPr>
                        <w:t>Follow us:</w:t>
                      </w:r>
                      <w:r w:rsidRPr="00185BB3">
                        <w:rPr>
                          <w:rFonts w:ascii="Arial" w:hAnsi="Arial" w:cs="Arial"/>
                          <w:sz w:val="16"/>
                          <w:szCs w:val="16"/>
                        </w:rPr>
                        <w:t xml:space="preserve">        &lt;</w:t>
                      </w:r>
                      <w:hyperlink r:id="rId70" w:history="1">
                        <w:r w:rsidRPr="00185BB3">
                          <w:rPr>
                            <w:rStyle w:val="BodyText3Char"/>
                            <w:rFonts w:ascii="Arial" w:hAnsi="Arial" w:cs="Arial"/>
                          </w:rPr>
                          <w:t>http://twitter.com/ncver</w:t>
                        </w:r>
                      </w:hyperlink>
                      <w:r w:rsidRPr="00185BB3">
                        <w:rPr>
                          <w:rFonts w:ascii="Arial" w:hAnsi="Arial" w:cs="Arial"/>
                          <w:sz w:val="16"/>
                          <w:szCs w:val="16"/>
                        </w:rPr>
                        <w:t>&gt;         &lt;http://www.linkedin.com/company/ncver&gt;</w:t>
                      </w:r>
                    </w:p>
                    <w:p w:rsidR="00574756" w:rsidRPr="009F3844" w:rsidRDefault="00574756" w:rsidP="00033CCB">
                      <w:pPr>
                        <w:rPr>
                          <w:rFonts w:ascii="Arial" w:hAnsi="Arial" w:cs="Arial"/>
                          <w:sz w:val="16"/>
                          <w:szCs w:val="16"/>
                        </w:rPr>
                      </w:pPr>
                    </w:p>
                  </w:txbxContent>
                </v:textbox>
              </v:shape>
            </w:pict>
          </mc:Fallback>
        </mc:AlternateContent>
      </w:r>
      <w:r w:rsidRPr="00033CCB">
        <w:rPr>
          <w:rFonts w:cstheme="minorHAnsi"/>
          <w:noProof/>
          <w:sz w:val="20"/>
          <w:lang w:eastAsia="en-AU"/>
        </w:rPr>
        <w:drawing>
          <wp:anchor distT="0" distB="0" distL="114300" distR="114300" simplePos="0" relativeHeight="251741184" behindDoc="0" locked="0" layoutInCell="1" allowOverlap="1" wp14:anchorId="3744DD49" wp14:editId="67E9F862">
            <wp:simplePos x="0" y="0"/>
            <wp:positionH relativeFrom="column">
              <wp:posOffset>1852295</wp:posOffset>
            </wp:positionH>
            <wp:positionV relativeFrom="paragraph">
              <wp:posOffset>8754110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3C5219" w:rsidRPr="00033CCB">
        <w:rPr>
          <w:rFonts w:cstheme="minorHAnsi"/>
          <w:noProof/>
          <w:sz w:val="20"/>
          <w:lang w:eastAsia="en-AU"/>
        </w:rPr>
        <w:drawing>
          <wp:anchor distT="0" distB="0" distL="114300" distR="114300" simplePos="0" relativeHeight="251742208" behindDoc="0" locked="0" layoutInCell="1" allowOverlap="1" wp14:anchorId="5A2885F2" wp14:editId="5FA77BCA">
            <wp:simplePos x="0" y="0"/>
            <wp:positionH relativeFrom="column">
              <wp:posOffset>3228340</wp:posOffset>
            </wp:positionH>
            <wp:positionV relativeFrom="paragraph">
              <wp:posOffset>8750935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0"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p>
    <w:sectPr w:rsidR="00A533A3" w:rsidRPr="00704890" w:rsidSect="00272356">
      <w:headerReference w:type="even" r:id="rId71"/>
      <w:headerReference w:type="default" r:id="rId72"/>
      <w:footerReference w:type="default" r:id="rId73"/>
      <w:headerReference w:type="first" r:id="rId74"/>
      <w:pgSz w:w="11906" w:h="16838"/>
      <w:pgMar w:top="1440" w:right="2834" w:bottom="1440" w:left="1440" w:header="708" w:footer="44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756" w:rsidRDefault="00574756" w:rsidP="0049089B">
      <w:pPr>
        <w:spacing w:line="240" w:lineRule="auto"/>
      </w:pPr>
      <w:r>
        <w:separator/>
      </w:r>
    </w:p>
  </w:endnote>
  <w:endnote w:type="continuationSeparator" w:id="0">
    <w:p w:rsidR="00574756" w:rsidRDefault="00574756" w:rsidP="004908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848" w:rsidRDefault="00AA38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848" w:rsidRDefault="00AA38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848" w:rsidRDefault="00AA384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756" w:rsidRPr="003E08B7" w:rsidRDefault="00574756" w:rsidP="00C06F78">
    <w:pPr>
      <w:pStyle w:val="Footer"/>
      <w:tabs>
        <w:tab w:val="clear" w:pos="7655"/>
        <w:tab w:val="right" w:pos="8364"/>
      </w:tabs>
      <w:ind w:hanging="1985"/>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1F3A0B">
      <w:rPr>
        <w:noProof/>
        <w:color w:val="000000" w:themeColor="text1"/>
      </w:rPr>
      <w:t>4</w:t>
    </w:r>
    <w:r w:rsidRPr="00606061">
      <w:rPr>
        <w:b w:val="0"/>
        <w:color w:val="000000" w:themeColor="text1"/>
      </w:rPr>
      <w:fldChar w:fldCharType="end"/>
    </w:r>
    <w:r w:rsidRPr="00606061">
      <w:rPr>
        <w:color w:val="000000" w:themeColor="text1"/>
      </w:rPr>
      <w:tab/>
    </w:r>
    <w:r>
      <w:rPr>
        <w:color w:val="000000" w:themeColor="text1"/>
      </w:rPr>
      <w:tab/>
    </w:r>
    <w:r w:rsidRPr="00C06F78">
      <w:rPr>
        <w:color w:val="000000" w:themeColor="text1"/>
      </w:rPr>
      <w:t>VET qualification completion rates: an evaluation of the current method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756" w:rsidRPr="00D62417" w:rsidRDefault="00574756" w:rsidP="00D6241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756" w:rsidRPr="00513938" w:rsidRDefault="00574756" w:rsidP="00C06F78">
    <w:pPr>
      <w:pStyle w:val="Footer"/>
      <w:tabs>
        <w:tab w:val="clear" w:pos="7655"/>
        <w:tab w:val="right" w:pos="9639"/>
      </w:tabs>
      <w:ind w:hanging="426"/>
      <w:rPr>
        <w:color w:val="000000" w:themeColor="text1"/>
      </w:rPr>
    </w:pPr>
    <w:r w:rsidRPr="00513938">
      <w:rPr>
        <w:color w:val="000000" w:themeColor="text1"/>
      </w:rPr>
      <w:t>NCVER</w:t>
    </w:r>
    <w:r w:rsidRPr="00513938">
      <w:rPr>
        <w:color w:val="000000" w:themeColor="text1"/>
      </w:rPr>
      <w:tab/>
    </w:r>
    <w:r w:rsidRPr="00513938">
      <w:rPr>
        <w:rStyle w:val="PageNumber"/>
        <w:b w:val="0"/>
        <w:color w:val="000000" w:themeColor="text1"/>
      </w:rPr>
      <w:fldChar w:fldCharType="begin"/>
    </w:r>
    <w:r w:rsidRPr="00513938">
      <w:rPr>
        <w:rStyle w:val="PageNumber"/>
        <w:color w:val="000000" w:themeColor="text1"/>
      </w:rPr>
      <w:instrText xml:space="preserve"> PAGE </w:instrText>
    </w:r>
    <w:r w:rsidRPr="00513938">
      <w:rPr>
        <w:rStyle w:val="PageNumber"/>
        <w:b w:val="0"/>
        <w:color w:val="000000" w:themeColor="text1"/>
      </w:rPr>
      <w:fldChar w:fldCharType="separate"/>
    </w:r>
    <w:r w:rsidR="001C3002">
      <w:rPr>
        <w:rStyle w:val="PageNumber"/>
        <w:noProof/>
        <w:color w:val="000000" w:themeColor="text1"/>
      </w:rPr>
      <w:t>5</w:t>
    </w:r>
    <w:r w:rsidRPr="00513938">
      <w:rPr>
        <w:rStyle w:val="PageNumber"/>
        <w:b w:val="0"/>
        <w:color w:val="000000" w:themeColor="text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756" w:rsidRPr="00FE4E9E" w:rsidRDefault="00574756" w:rsidP="00FE4E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756" w:rsidRDefault="00574756" w:rsidP="0049089B">
      <w:pPr>
        <w:spacing w:line="240" w:lineRule="auto"/>
      </w:pPr>
      <w:r>
        <w:separator/>
      </w:r>
    </w:p>
  </w:footnote>
  <w:footnote w:type="continuationSeparator" w:id="0">
    <w:p w:rsidR="00574756" w:rsidRDefault="00574756" w:rsidP="0049089B">
      <w:pPr>
        <w:spacing w:line="240" w:lineRule="auto"/>
      </w:pPr>
      <w:r>
        <w:continuationSeparator/>
      </w:r>
    </w:p>
  </w:footnote>
  <w:footnote w:id="1">
    <w:p w:rsidR="00574756" w:rsidRPr="00E54696" w:rsidRDefault="00574756" w:rsidP="00E54696">
      <w:pPr>
        <w:pStyle w:val="FootnoteText"/>
      </w:pPr>
      <w:r w:rsidRPr="00E54696">
        <w:rPr>
          <w:rStyle w:val="FootnoteReference"/>
          <w:vertAlign w:val="baseline"/>
        </w:rPr>
        <w:footnoteRef/>
      </w:r>
      <w:r w:rsidRPr="00E54696">
        <w:tab/>
        <w:t>Load pass rate in the terminology of the VET sector.</w:t>
      </w:r>
    </w:p>
  </w:footnote>
  <w:footnote w:id="2">
    <w:p w:rsidR="00574756" w:rsidRDefault="00574756" w:rsidP="0004066C">
      <w:pPr>
        <w:pStyle w:val="FootnoteText"/>
      </w:pPr>
      <w:r w:rsidRPr="00C06F78">
        <w:rPr>
          <w:rStyle w:val="FootnoteReference"/>
          <w:vertAlign w:val="baseline"/>
        </w:rPr>
        <w:footnoteRef/>
      </w:r>
      <w:r w:rsidRPr="00C06F78">
        <w:t xml:space="preserve"> </w:t>
      </w:r>
      <w:r>
        <w:tab/>
        <w:t xml:space="preserve">Government-funded VET is </w:t>
      </w:r>
      <w:r w:rsidRPr="007C6AA5">
        <w:t>broadly defined as all programs delivered by government providers and government-funded programs delivered by community and other registered providers</w:t>
      </w:r>
      <w:r>
        <w:t>.</w:t>
      </w:r>
    </w:p>
  </w:footnote>
  <w:footnote w:id="3">
    <w:p w:rsidR="00574756" w:rsidRDefault="00574756" w:rsidP="0004066C">
      <w:pPr>
        <w:pStyle w:val="FootnoteText"/>
        <w:tabs>
          <w:tab w:val="left" w:pos="142"/>
        </w:tabs>
        <w:ind w:left="142" w:hanging="142"/>
      </w:pPr>
      <w:r w:rsidRPr="00C06F78">
        <w:rPr>
          <w:rStyle w:val="FootnoteReference"/>
          <w:vertAlign w:val="baseline"/>
        </w:rPr>
        <w:footnoteRef/>
      </w:r>
      <w:r w:rsidRPr="00C06F78">
        <w:t xml:space="preserve"> </w:t>
      </w:r>
      <w:r>
        <w:tab/>
        <w:t>As some encrypted IDs have multiple client IDs connected to them, the ‘actual’ rates have been based on unique NCVER encrypted IDs comprising only a single client identifier.</w:t>
      </w:r>
    </w:p>
    <w:p w:rsidR="00574756" w:rsidRDefault="00574756" w:rsidP="0004066C">
      <w:pPr>
        <w:pStyle w:val="FootnoteText"/>
        <w:tabs>
          <w:tab w:val="left" w:pos="142"/>
        </w:tabs>
        <w:ind w:left="142" w:hanging="142"/>
      </w:pPr>
    </w:p>
  </w:footnote>
  <w:footnote w:id="4">
    <w:p w:rsidR="00574756" w:rsidRDefault="00574756" w:rsidP="009A3EE3">
      <w:pPr>
        <w:pStyle w:val="FootnoteText"/>
      </w:pPr>
      <w:r w:rsidRPr="009A3EE3">
        <w:rPr>
          <w:rStyle w:val="FootnoteReference"/>
          <w:vertAlign w:val="baseline"/>
        </w:rPr>
        <w:footnoteRef/>
      </w:r>
      <w:r w:rsidRPr="009A3EE3">
        <w:t xml:space="preserve"> </w:t>
      </w:r>
      <w:r>
        <w:tab/>
        <w:t>In terms of the matched datasets, a program enrolment associated with a given year means a program enrolment record exists within the VET Provider Collection for that year.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848" w:rsidRDefault="00AA384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756" w:rsidRDefault="0057475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756" w:rsidRDefault="0057475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756" w:rsidRDefault="005747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848" w:rsidRDefault="00AA38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848" w:rsidRDefault="00AA384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756" w:rsidRDefault="0057475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756" w:rsidRDefault="00574756" w:rsidP="00340DBC">
    <w:pPr>
      <w:tabs>
        <w:tab w:val="left" w:pos="5972"/>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756" w:rsidRDefault="0057475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756" w:rsidRDefault="0057475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756" w:rsidRDefault="0057475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756" w:rsidRDefault="005747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2AB17F3"/>
    <w:multiLevelType w:val="hybridMultilevel"/>
    <w:tmpl w:val="CFEAFB8E"/>
    <w:lvl w:ilvl="0" w:tplc="0407000F">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030D4AD5"/>
    <w:multiLevelType w:val="multilevel"/>
    <w:tmpl w:val="135C1FA4"/>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3906C52"/>
    <w:multiLevelType w:val="multilevel"/>
    <w:tmpl w:val="8EE8C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53C7A70"/>
    <w:multiLevelType w:val="multilevel"/>
    <w:tmpl w:val="DE50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956499"/>
    <w:multiLevelType w:val="multilevel"/>
    <w:tmpl w:val="133C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8F95F47"/>
    <w:multiLevelType w:val="multilevel"/>
    <w:tmpl w:val="65340546"/>
    <w:lvl w:ilvl="0">
      <w:start w:val="1"/>
      <w:numFmt w:val="decimal"/>
      <w:lvlText w:val="%1."/>
      <w:lvlJc w:val="left"/>
      <w:pPr>
        <w:ind w:left="720" w:hanging="360"/>
      </w:pPr>
      <w:rPr>
        <w:rFonts w:hint="default"/>
      </w:rPr>
    </w:lvl>
    <w:lvl w:ilvl="1">
      <w:start w:val="2"/>
      <w:numFmt w:val="decimal"/>
      <w:isLgl/>
      <w:lvlText w:val="%1.%2"/>
      <w:lvlJc w:val="left"/>
      <w:pPr>
        <w:ind w:left="795" w:hanging="43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098848ED"/>
    <w:multiLevelType w:val="multilevel"/>
    <w:tmpl w:val="CC788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0A54214"/>
    <w:multiLevelType w:val="multilevel"/>
    <w:tmpl w:val="0DDC1FE0"/>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16706E78"/>
    <w:multiLevelType w:val="hybridMultilevel"/>
    <w:tmpl w:val="D472B6B6"/>
    <w:lvl w:ilvl="0" w:tplc="FF6A3280">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E0F139F"/>
    <w:multiLevelType w:val="hybridMultilevel"/>
    <w:tmpl w:val="AE9C4384"/>
    <w:lvl w:ilvl="0" w:tplc="E04EAC3A">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93A7EB1"/>
    <w:multiLevelType w:val="multilevel"/>
    <w:tmpl w:val="1B528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5A4357"/>
    <w:multiLevelType w:val="hybridMultilevel"/>
    <w:tmpl w:val="3322057A"/>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5AED6FD3"/>
    <w:multiLevelType w:val="hybridMultilevel"/>
    <w:tmpl w:val="771E58D2"/>
    <w:lvl w:ilvl="0" w:tplc="578A9D92">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nsid w:val="60B412B1"/>
    <w:multiLevelType w:val="hybridMultilevel"/>
    <w:tmpl w:val="88222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nsid w:val="617B787F"/>
    <w:multiLevelType w:val="multilevel"/>
    <w:tmpl w:val="FE7EE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2B2E19"/>
    <w:multiLevelType w:val="hybridMultilevel"/>
    <w:tmpl w:val="D1346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B2919D4"/>
    <w:multiLevelType w:val="multilevel"/>
    <w:tmpl w:val="1156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A23EB0"/>
    <w:multiLevelType w:val="hybridMultilevel"/>
    <w:tmpl w:val="771E58D2"/>
    <w:lvl w:ilvl="0" w:tplc="578A9D92">
      <w:start w:val="1"/>
      <w:numFmt w:val="decimal"/>
      <w:lvlText w:val="%1."/>
      <w:lvlJc w:val="left"/>
      <w:pPr>
        <w:ind w:left="1080" w:hanging="360"/>
      </w:pPr>
      <w:rPr>
        <w:rFonts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9"/>
  </w:num>
  <w:num w:numId="2">
    <w:abstractNumId w:val="31"/>
  </w:num>
  <w:num w:numId="3">
    <w:abstractNumId w:val="12"/>
  </w:num>
  <w:num w:numId="4">
    <w:abstractNumId w:val="24"/>
  </w:num>
  <w:num w:numId="5">
    <w:abstractNumId w:val="20"/>
  </w:num>
  <w:num w:numId="6">
    <w:abstractNumId w:val="15"/>
  </w:num>
  <w:num w:numId="7">
    <w:abstractNumId w:val="13"/>
  </w:num>
  <w:num w:numId="8">
    <w:abstractNumId w:val="21"/>
  </w:num>
  <w:num w:numId="9">
    <w:abstractNumId w:val="16"/>
  </w:num>
  <w:num w:numId="10">
    <w:abstractNumId w:val="30"/>
  </w:num>
  <w:num w:numId="11">
    <w:abstractNumId w:val="27"/>
  </w:num>
  <w:num w:numId="12">
    <w:abstractNumId w:val="11"/>
  </w:num>
  <w:num w:numId="13">
    <w:abstractNumId w:val="10"/>
  </w:num>
  <w:num w:numId="14">
    <w:abstractNumId w:val="22"/>
  </w:num>
  <w:num w:numId="15">
    <w:abstractNumId w:val="14"/>
  </w:num>
  <w:num w:numId="16">
    <w:abstractNumId w:val="17"/>
  </w:num>
  <w:num w:numId="17">
    <w:abstractNumId w:val="19"/>
  </w:num>
  <w:num w:numId="18">
    <w:abstractNumId w:val="19"/>
  </w:num>
  <w:num w:numId="19">
    <w:abstractNumId w:val="29"/>
  </w:num>
  <w:num w:numId="20">
    <w:abstractNumId w:val="26"/>
  </w:num>
  <w:num w:numId="21">
    <w:abstractNumId w:val="7"/>
  </w:num>
  <w:num w:numId="22">
    <w:abstractNumId w:val="7"/>
  </w:num>
  <w:num w:numId="23">
    <w:abstractNumId w:val="6"/>
  </w:num>
  <w:num w:numId="24">
    <w:abstractNumId w:val="6"/>
  </w:num>
  <w:num w:numId="25">
    <w:abstractNumId w:val="5"/>
  </w:num>
  <w:num w:numId="26">
    <w:abstractNumId w:val="5"/>
  </w:num>
  <w:num w:numId="27">
    <w:abstractNumId w:val="4"/>
  </w:num>
  <w:num w:numId="28">
    <w:abstractNumId w:val="4"/>
  </w:num>
  <w:num w:numId="29">
    <w:abstractNumId w:val="8"/>
  </w:num>
  <w:num w:numId="30">
    <w:abstractNumId w:val="8"/>
  </w:num>
  <w:num w:numId="31">
    <w:abstractNumId w:val="3"/>
  </w:num>
  <w:num w:numId="32">
    <w:abstractNumId w:val="3"/>
  </w:num>
  <w:num w:numId="33">
    <w:abstractNumId w:val="2"/>
  </w:num>
  <w:num w:numId="34">
    <w:abstractNumId w:val="2"/>
  </w:num>
  <w:num w:numId="35">
    <w:abstractNumId w:val="1"/>
  </w:num>
  <w:num w:numId="36">
    <w:abstractNumId w:val="1"/>
  </w:num>
  <w:num w:numId="37">
    <w:abstractNumId w:val="0"/>
  </w:num>
  <w:num w:numId="38">
    <w:abstractNumId w:val="0"/>
  </w:num>
  <w:num w:numId="39">
    <w:abstractNumId w:val="23"/>
  </w:num>
  <w:num w:numId="40">
    <w:abstractNumId w:val="18"/>
  </w:num>
  <w:num w:numId="41">
    <w:abstractNumId w:val="25"/>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9"/>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Empty"/>
  </w:docVars>
  <w:rsids>
    <w:rsidRoot w:val="008C6DAB"/>
    <w:rsid w:val="00000119"/>
    <w:rsid w:val="00000D39"/>
    <w:rsid w:val="00001A14"/>
    <w:rsid w:val="000027D1"/>
    <w:rsid w:val="000103EE"/>
    <w:rsid w:val="000104F7"/>
    <w:rsid w:val="000145AF"/>
    <w:rsid w:val="00014F4F"/>
    <w:rsid w:val="0001651F"/>
    <w:rsid w:val="000233C6"/>
    <w:rsid w:val="0002642E"/>
    <w:rsid w:val="000266FB"/>
    <w:rsid w:val="00033A29"/>
    <w:rsid w:val="00033CCB"/>
    <w:rsid w:val="000349CB"/>
    <w:rsid w:val="000367C9"/>
    <w:rsid w:val="00036F06"/>
    <w:rsid w:val="0004066C"/>
    <w:rsid w:val="00043021"/>
    <w:rsid w:val="00044B3D"/>
    <w:rsid w:val="00046AD4"/>
    <w:rsid w:val="00046E24"/>
    <w:rsid w:val="000473FE"/>
    <w:rsid w:val="00047E75"/>
    <w:rsid w:val="000503FE"/>
    <w:rsid w:val="00051370"/>
    <w:rsid w:val="00051853"/>
    <w:rsid w:val="00051F94"/>
    <w:rsid w:val="000547EA"/>
    <w:rsid w:val="000566AD"/>
    <w:rsid w:val="000570D9"/>
    <w:rsid w:val="00057209"/>
    <w:rsid w:val="00061912"/>
    <w:rsid w:val="00062BAE"/>
    <w:rsid w:val="00065118"/>
    <w:rsid w:val="00065BCB"/>
    <w:rsid w:val="000672C6"/>
    <w:rsid w:val="0007283A"/>
    <w:rsid w:val="00073810"/>
    <w:rsid w:val="00083411"/>
    <w:rsid w:val="000862DB"/>
    <w:rsid w:val="000872A9"/>
    <w:rsid w:val="00087D57"/>
    <w:rsid w:val="00092005"/>
    <w:rsid w:val="00095995"/>
    <w:rsid w:val="00096BE1"/>
    <w:rsid w:val="00097D63"/>
    <w:rsid w:val="000A37B7"/>
    <w:rsid w:val="000A3A6E"/>
    <w:rsid w:val="000A49CD"/>
    <w:rsid w:val="000A56EB"/>
    <w:rsid w:val="000A6731"/>
    <w:rsid w:val="000A6A02"/>
    <w:rsid w:val="000B301B"/>
    <w:rsid w:val="000B64D5"/>
    <w:rsid w:val="000C3CE9"/>
    <w:rsid w:val="000D19D8"/>
    <w:rsid w:val="000D42AD"/>
    <w:rsid w:val="000E04DB"/>
    <w:rsid w:val="000E0AF5"/>
    <w:rsid w:val="000E46FC"/>
    <w:rsid w:val="000F0FFD"/>
    <w:rsid w:val="000F339F"/>
    <w:rsid w:val="000F405E"/>
    <w:rsid w:val="000F5208"/>
    <w:rsid w:val="000F7F41"/>
    <w:rsid w:val="00101CF5"/>
    <w:rsid w:val="00101ED8"/>
    <w:rsid w:val="001024A5"/>
    <w:rsid w:val="00103FD4"/>
    <w:rsid w:val="00106CE7"/>
    <w:rsid w:val="00106F03"/>
    <w:rsid w:val="00115744"/>
    <w:rsid w:val="001229B4"/>
    <w:rsid w:val="0012475A"/>
    <w:rsid w:val="00125983"/>
    <w:rsid w:val="001307AA"/>
    <w:rsid w:val="001309C1"/>
    <w:rsid w:val="00130C79"/>
    <w:rsid w:val="00132316"/>
    <w:rsid w:val="00132C98"/>
    <w:rsid w:val="001340E3"/>
    <w:rsid w:val="00135D18"/>
    <w:rsid w:val="00140F35"/>
    <w:rsid w:val="001420F9"/>
    <w:rsid w:val="001423D3"/>
    <w:rsid w:val="001432D9"/>
    <w:rsid w:val="00147D72"/>
    <w:rsid w:val="00151B20"/>
    <w:rsid w:val="00151E2B"/>
    <w:rsid w:val="00152187"/>
    <w:rsid w:val="0015769A"/>
    <w:rsid w:val="00160959"/>
    <w:rsid w:val="00160B60"/>
    <w:rsid w:val="001616D4"/>
    <w:rsid w:val="00161CE3"/>
    <w:rsid w:val="001624EC"/>
    <w:rsid w:val="00164080"/>
    <w:rsid w:val="00170C4F"/>
    <w:rsid w:val="00171A2C"/>
    <w:rsid w:val="00172EC0"/>
    <w:rsid w:val="00172F67"/>
    <w:rsid w:val="001734AC"/>
    <w:rsid w:val="00177331"/>
    <w:rsid w:val="00177DE6"/>
    <w:rsid w:val="0018486F"/>
    <w:rsid w:val="00185BB3"/>
    <w:rsid w:val="00187BAC"/>
    <w:rsid w:val="00190E81"/>
    <w:rsid w:val="001930FA"/>
    <w:rsid w:val="001964C4"/>
    <w:rsid w:val="001A03C8"/>
    <w:rsid w:val="001A06D0"/>
    <w:rsid w:val="001A1CAC"/>
    <w:rsid w:val="001A31F0"/>
    <w:rsid w:val="001A3C69"/>
    <w:rsid w:val="001B186A"/>
    <w:rsid w:val="001B3BC1"/>
    <w:rsid w:val="001B5DA2"/>
    <w:rsid w:val="001B7712"/>
    <w:rsid w:val="001C08BC"/>
    <w:rsid w:val="001C2409"/>
    <w:rsid w:val="001C3002"/>
    <w:rsid w:val="001C49D4"/>
    <w:rsid w:val="001C6057"/>
    <w:rsid w:val="001C7384"/>
    <w:rsid w:val="001C7FBB"/>
    <w:rsid w:val="001D2525"/>
    <w:rsid w:val="001D547F"/>
    <w:rsid w:val="001E3CAB"/>
    <w:rsid w:val="001E45D7"/>
    <w:rsid w:val="001E49D9"/>
    <w:rsid w:val="001E4EA5"/>
    <w:rsid w:val="001E5240"/>
    <w:rsid w:val="001E5373"/>
    <w:rsid w:val="001E5770"/>
    <w:rsid w:val="001F1E39"/>
    <w:rsid w:val="001F3A0B"/>
    <w:rsid w:val="0020313C"/>
    <w:rsid w:val="00203C87"/>
    <w:rsid w:val="002047E9"/>
    <w:rsid w:val="0021069F"/>
    <w:rsid w:val="002108CB"/>
    <w:rsid w:val="00210B4B"/>
    <w:rsid w:val="00210D9C"/>
    <w:rsid w:val="0021263C"/>
    <w:rsid w:val="00212701"/>
    <w:rsid w:val="002127BB"/>
    <w:rsid w:val="00216485"/>
    <w:rsid w:val="002166F6"/>
    <w:rsid w:val="00220448"/>
    <w:rsid w:val="00223E31"/>
    <w:rsid w:val="00226B73"/>
    <w:rsid w:val="00241375"/>
    <w:rsid w:val="00242741"/>
    <w:rsid w:val="0024356E"/>
    <w:rsid w:val="00243C4A"/>
    <w:rsid w:val="00244B9E"/>
    <w:rsid w:val="002510D9"/>
    <w:rsid w:val="0025280E"/>
    <w:rsid w:val="00252944"/>
    <w:rsid w:val="00263E32"/>
    <w:rsid w:val="00265059"/>
    <w:rsid w:val="0027173B"/>
    <w:rsid w:val="00272356"/>
    <w:rsid w:val="00276E18"/>
    <w:rsid w:val="00280826"/>
    <w:rsid w:val="0028085D"/>
    <w:rsid w:val="00283700"/>
    <w:rsid w:val="00287AFF"/>
    <w:rsid w:val="00294545"/>
    <w:rsid w:val="00295179"/>
    <w:rsid w:val="0029603F"/>
    <w:rsid w:val="002A0689"/>
    <w:rsid w:val="002A0E39"/>
    <w:rsid w:val="002A0FB9"/>
    <w:rsid w:val="002A1386"/>
    <w:rsid w:val="002A1A68"/>
    <w:rsid w:val="002A3E08"/>
    <w:rsid w:val="002B31CD"/>
    <w:rsid w:val="002B374E"/>
    <w:rsid w:val="002B6294"/>
    <w:rsid w:val="002B7078"/>
    <w:rsid w:val="002C0A32"/>
    <w:rsid w:val="002C2630"/>
    <w:rsid w:val="002C359C"/>
    <w:rsid w:val="002D08FB"/>
    <w:rsid w:val="002D4653"/>
    <w:rsid w:val="002D50CD"/>
    <w:rsid w:val="002D5803"/>
    <w:rsid w:val="002E0AD8"/>
    <w:rsid w:val="002E1158"/>
    <w:rsid w:val="002E1F7E"/>
    <w:rsid w:val="002E2AF7"/>
    <w:rsid w:val="002E52C4"/>
    <w:rsid w:val="002E7DD8"/>
    <w:rsid w:val="002F2F2D"/>
    <w:rsid w:val="002F30C8"/>
    <w:rsid w:val="002F4A4C"/>
    <w:rsid w:val="002F5F94"/>
    <w:rsid w:val="002F75C8"/>
    <w:rsid w:val="003060DB"/>
    <w:rsid w:val="003078B9"/>
    <w:rsid w:val="00307B44"/>
    <w:rsid w:val="00311681"/>
    <w:rsid w:val="00312108"/>
    <w:rsid w:val="00313319"/>
    <w:rsid w:val="00317D0A"/>
    <w:rsid w:val="00320002"/>
    <w:rsid w:val="003219CA"/>
    <w:rsid w:val="00321AC6"/>
    <w:rsid w:val="00326778"/>
    <w:rsid w:val="00330E89"/>
    <w:rsid w:val="003314B4"/>
    <w:rsid w:val="00331567"/>
    <w:rsid w:val="00331622"/>
    <w:rsid w:val="003379E1"/>
    <w:rsid w:val="00340DBC"/>
    <w:rsid w:val="00344FF8"/>
    <w:rsid w:val="003460F5"/>
    <w:rsid w:val="003462F4"/>
    <w:rsid w:val="003466A9"/>
    <w:rsid w:val="00346A5E"/>
    <w:rsid w:val="00347774"/>
    <w:rsid w:val="00351FF9"/>
    <w:rsid w:val="00354E47"/>
    <w:rsid w:val="003555CF"/>
    <w:rsid w:val="00362A77"/>
    <w:rsid w:val="00362B16"/>
    <w:rsid w:val="003652E2"/>
    <w:rsid w:val="00365D04"/>
    <w:rsid w:val="003663E5"/>
    <w:rsid w:val="00367CCC"/>
    <w:rsid w:val="00372810"/>
    <w:rsid w:val="00375517"/>
    <w:rsid w:val="0037647A"/>
    <w:rsid w:val="00376B21"/>
    <w:rsid w:val="00377BA9"/>
    <w:rsid w:val="003838CF"/>
    <w:rsid w:val="00386A10"/>
    <w:rsid w:val="00387279"/>
    <w:rsid w:val="00390100"/>
    <w:rsid w:val="00391D44"/>
    <w:rsid w:val="0039242A"/>
    <w:rsid w:val="003925D7"/>
    <w:rsid w:val="003941E5"/>
    <w:rsid w:val="00397F51"/>
    <w:rsid w:val="003A01BA"/>
    <w:rsid w:val="003A1C25"/>
    <w:rsid w:val="003A2271"/>
    <w:rsid w:val="003A2357"/>
    <w:rsid w:val="003A3790"/>
    <w:rsid w:val="003A38B3"/>
    <w:rsid w:val="003A4EB3"/>
    <w:rsid w:val="003A7CB5"/>
    <w:rsid w:val="003B0397"/>
    <w:rsid w:val="003B1C97"/>
    <w:rsid w:val="003B36E5"/>
    <w:rsid w:val="003C0D80"/>
    <w:rsid w:val="003C1D83"/>
    <w:rsid w:val="003C5219"/>
    <w:rsid w:val="003C5489"/>
    <w:rsid w:val="003C6A89"/>
    <w:rsid w:val="003D0340"/>
    <w:rsid w:val="003D07DE"/>
    <w:rsid w:val="003D1328"/>
    <w:rsid w:val="003D1E5C"/>
    <w:rsid w:val="003D44FD"/>
    <w:rsid w:val="003D6DC3"/>
    <w:rsid w:val="003D7994"/>
    <w:rsid w:val="003E08B7"/>
    <w:rsid w:val="003E09E8"/>
    <w:rsid w:val="003E248A"/>
    <w:rsid w:val="003E3E01"/>
    <w:rsid w:val="003E487C"/>
    <w:rsid w:val="003F2FC0"/>
    <w:rsid w:val="003F4222"/>
    <w:rsid w:val="003F45DF"/>
    <w:rsid w:val="00400911"/>
    <w:rsid w:val="00401FC3"/>
    <w:rsid w:val="00403CAC"/>
    <w:rsid w:val="004055E0"/>
    <w:rsid w:val="004126A2"/>
    <w:rsid w:val="00413EB2"/>
    <w:rsid w:val="0041470F"/>
    <w:rsid w:val="00414DC4"/>
    <w:rsid w:val="00415A4B"/>
    <w:rsid w:val="004218E1"/>
    <w:rsid w:val="004230AE"/>
    <w:rsid w:val="0042438B"/>
    <w:rsid w:val="00425D46"/>
    <w:rsid w:val="0043208F"/>
    <w:rsid w:val="00433F53"/>
    <w:rsid w:val="00436981"/>
    <w:rsid w:val="004409B4"/>
    <w:rsid w:val="0044215B"/>
    <w:rsid w:val="00442B6A"/>
    <w:rsid w:val="0044429B"/>
    <w:rsid w:val="00444C90"/>
    <w:rsid w:val="00445125"/>
    <w:rsid w:val="0045156A"/>
    <w:rsid w:val="004515A2"/>
    <w:rsid w:val="00452D68"/>
    <w:rsid w:val="00457878"/>
    <w:rsid w:val="00460F9C"/>
    <w:rsid w:val="00465453"/>
    <w:rsid w:val="004679E7"/>
    <w:rsid w:val="004719A6"/>
    <w:rsid w:val="0048007B"/>
    <w:rsid w:val="00482341"/>
    <w:rsid w:val="00482980"/>
    <w:rsid w:val="0048480E"/>
    <w:rsid w:val="00487953"/>
    <w:rsid w:val="0049089B"/>
    <w:rsid w:val="00490908"/>
    <w:rsid w:val="00492B13"/>
    <w:rsid w:val="00496934"/>
    <w:rsid w:val="004A05A6"/>
    <w:rsid w:val="004A171E"/>
    <w:rsid w:val="004A462E"/>
    <w:rsid w:val="004A6A33"/>
    <w:rsid w:val="004A7441"/>
    <w:rsid w:val="004B05D8"/>
    <w:rsid w:val="004B17B8"/>
    <w:rsid w:val="004B2385"/>
    <w:rsid w:val="004B2AE8"/>
    <w:rsid w:val="004B5F84"/>
    <w:rsid w:val="004B721C"/>
    <w:rsid w:val="004C050A"/>
    <w:rsid w:val="004C114F"/>
    <w:rsid w:val="004C5EAE"/>
    <w:rsid w:val="004C663F"/>
    <w:rsid w:val="004D0FE1"/>
    <w:rsid w:val="004D3FF3"/>
    <w:rsid w:val="004D5A86"/>
    <w:rsid w:val="004E090E"/>
    <w:rsid w:val="004E516E"/>
    <w:rsid w:val="004F4687"/>
    <w:rsid w:val="004F4708"/>
    <w:rsid w:val="004F4AF3"/>
    <w:rsid w:val="004F6E13"/>
    <w:rsid w:val="005016D9"/>
    <w:rsid w:val="005026D2"/>
    <w:rsid w:val="00502AC0"/>
    <w:rsid w:val="00503246"/>
    <w:rsid w:val="005046BF"/>
    <w:rsid w:val="00504DB4"/>
    <w:rsid w:val="0050579A"/>
    <w:rsid w:val="005078B4"/>
    <w:rsid w:val="0051047A"/>
    <w:rsid w:val="00512B29"/>
    <w:rsid w:val="00513BA3"/>
    <w:rsid w:val="0051625A"/>
    <w:rsid w:val="0052233D"/>
    <w:rsid w:val="00523ECE"/>
    <w:rsid w:val="0052728B"/>
    <w:rsid w:val="00530B8A"/>
    <w:rsid w:val="005313E6"/>
    <w:rsid w:val="00531543"/>
    <w:rsid w:val="005328E4"/>
    <w:rsid w:val="0053368F"/>
    <w:rsid w:val="00533942"/>
    <w:rsid w:val="00535AAD"/>
    <w:rsid w:val="005363B9"/>
    <w:rsid w:val="00541C77"/>
    <w:rsid w:val="005427E0"/>
    <w:rsid w:val="00542D42"/>
    <w:rsid w:val="00544C9F"/>
    <w:rsid w:val="00546697"/>
    <w:rsid w:val="00546A34"/>
    <w:rsid w:val="00546E7F"/>
    <w:rsid w:val="00547702"/>
    <w:rsid w:val="005535B3"/>
    <w:rsid w:val="005565D2"/>
    <w:rsid w:val="00557D0C"/>
    <w:rsid w:val="005605A7"/>
    <w:rsid w:val="00563461"/>
    <w:rsid w:val="0057374C"/>
    <w:rsid w:val="00573BC7"/>
    <w:rsid w:val="00574756"/>
    <w:rsid w:val="00581D3A"/>
    <w:rsid w:val="0058383D"/>
    <w:rsid w:val="00584ED8"/>
    <w:rsid w:val="005871AC"/>
    <w:rsid w:val="005900AC"/>
    <w:rsid w:val="0059020C"/>
    <w:rsid w:val="00592924"/>
    <w:rsid w:val="00594C7D"/>
    <w:rsid w:val="005958F2"/>
    <w:rsid w:val="0059670D"/>
    <w:rsid w:val="0059723B"/>
    <w:rsid w:val="00597D98"/>
    <w:rsid w:val="005A18E9"/>
    <w:rsid w:val="005A30B7"/>
    <w:rsid w:val="005A4AEA"/>
    <w:rsid w:val="005A6011"/>
    <w:rsid w:val="005A7712"/>
    <w:rsid w:val="005A7F7B"/>
    <w:rsid w:val="005B01F0"/>
    <w:rsid w:val="005B0274"/>
    <w:rsid w:val="005B0822"/>
    <w:rsid w:val="005B2D03"/>
    <w:rsid w:val="005B7A1C"/>
    <w:rsid w:val="005B7CEE"/>
    <w:rsid w:val="005C2DF5"/>
    <w:rsid w:val="005C2FEF"/>
    <w:rsid w:val="005C6C70"/>
    <w:rsid w:val="005D436C"/>
    <w:rsid w:val="005D52D0"/>
    <w:rsid w:val="005D618A"/>
    <w:rsid w:val="005E1D08"/>
    <w:rsid w:val="005E3961"/>
    <w:rsid w:val="005E45EB"/>
    <w:rsid w:val="005E7173"/>
    <w:rsid w:val="005E7658"/>
    <w:rsid w:val="005F07DA"/>
    <w:rsid w:val="005F2D32"/>
    <w:rsid w:val="005F5549"/>
    <w:rsid w:val="006017E9"/>
    <w:rsid w:val="00604F87"/>
    <w:rsid w:val="00605286"/>
    <w:rsid w:val="0060634C"/>
    <w:rsid w:val="006066CD"/>
    <w:rsid w:val="00606B42"/>
    <w:rsid w:val="006074AE"/>
    <w:rsid w:val="00610650"/>
    <w:rsid w:val="0062392A"/>
    <w:rsid w:val="006254FE"/>
    <w:rsid w:val="006317C6"/>
    <w:rsid w:val="006327C0"/>
    <w:rsid w:val="00633A36"/>
    <w:rsid w:val="00635942"/>
    <w:rsid w:val="00636341"/>
    <w:rsid w:val="00640832"/>
    <w:rsid w:val="006412E8"/>
    <w:rsid w:val="00641C49"/>
    <w:rsid w:val="00645590"/>
    <w:rsid w:val="006500A7"/>
    <w:rsid w:val="006574E7"/>
    <w:rsid w:val="006576A8"/>
    <w:rsid w:val="00662887"/>
    <w:rsid w:val="0066539D"/>
    <w:rsid w:val="0066668D"/>
    <w:rsid w:val="00666A75"/>
    <w:rsid w:val="00671CBC"/>
    <w:rsid w:val="0067234E"/>
    <w:rsid w:val="00672560"/>
    <w:rsid w:val="00674BAA"/>
    <w:rsid w:val="006763ED"/>
    <w:rsid w:val="00690DFD"/>
    <w:rsid w:val="006933CF"/>
    <w:rsid w:val="00695018"/>
    <w:rsid w:val="006A1FA2"/>
    <w:rsid w:val="006A480F"/>
    <w:rsid w:val="006A5B67"/>
    <w:rsid w:val="006A6B7A"/>
    <w:rsid w:val="006B24CE"/>
    <w:rsid w:val="006B3E98"/>
    <w:rsid w:val="006B4379"/>
    <w:rsid w:val="006B517C"/>
    <w:rsid w:val="006C11B9"/>
    <w:rsid w:val="006C3181"/>
    <w:rsid w:val="006C347A"/>
    <w:rsid w:val="006C3E57"/>
    <w:rsid w:val="006C5554"/>
    <w:rsid w:val="006C7B0A"/>
    <w:rsid w:val="006D3A20"/>
    <w:rsid w:val="006D3EFE"/>
    <w:rsid w:val="006D404D"/>
    <w:rsid w:val="006D408C"/>
    <w:rsid w:val="006D6EFE"/>
    <w:rsid w:val="006D7322"/>
    <w:rsid w:val="006E1F01"/>
    <w:rsid w:val="006E2AC9"/>
    <w:rsid w:val="006E3D94"/>
    <w:rsid w:val="006E6480"/>
    <w:rsid w:val="006F0240"/>
    <w:rsid w:val="006F0A63"/>
    <w:rsid w:val="006F1696"/>
    <w:rsid w:val="006F1C93"/>
    <w:rsid w:val="006F35AE"/>
    <w:rsid w:val="006F7EDC"/>
    <w:rsid w:val="0070347A"/>
    <w:rsid w:val="0070450A"/>
    <w:rsid w:val="00704890"/>
    <w:rsid w:val="007063F2"/>
    <w:rsid w:val="007078B3"/>
    <w:rsid w:val="0071016C"/>
    <w:rsid w:val="007118D7"/>
    <w:rsid w:val="007135CE"/>
    <w:rsid w:val="00713A1B"/>
    <w:rsid w:val="007203D3"/>
    <w:rsid w:val="00722BCC"/>
    <w:rsid w:val="00723EF5"/>
    <w:rsid w:val="00724B0E"/>
    <w:rsid w:val="00725884"/>
    <w:rsid w:val="00726E10"/>
    <w:rsid w:val="0072706E"/>
    <w:rsid w:val="00727297"/>
    <w:rsid w:val="00730EA2"/>
    <w:rsid w:val="0073164E"/>
    <w:rsid w:val="00732777"/>
    <w:rsid w:val="007342C4"/>
    <w:rsid w:val="007351CA"/>
    <w:rsid w:val="0073704B"/>
    <w:rsid w:val="00740880"/>
    <w:rsid w:val="00741897"/>
    <w:rsid w:val="007427E1"/>
    <w:rsid w:val="00742F04"/>
    <w:rsid w:val="007459F0"/>
    <w:rsid w:val="0075156E"/>
    <w:rsid w:val="0075228C"/>
    <w:rsid w:val="00752528"/>
    <w:rsid w:val="0075716E"/>
    <w:rsid w:val="00757175"/>
    <w:rsid w:val="0076019A"/>
    <w:rsid w:val="00765212"/>
    <w:rsid w:val="0076678A"/>
    <w:rsid w:val="007670DF"/>
    <w:rsid w:val="00767FA6"/>
    <w:rsid w:val="00773245"/>
    <w:rsid w:val="00775025"/>
    <w:rsid w:val="00775DC7"/>
    <w:rsid w:val="00776292"/>
    <w:rsid w:val="00776EC6"/>
    <w:rsid w:val="00781D18"/>
    <w:rsid w:val="00791530"/>
    <w:rsid w:val="0079494F"/>
    <w:rsid w:val="00795412"/>
    <w:rsid w:val="00795723"/>
    <w:rsid w:val="0079725E"/>
    <w:rsid w:val="007A031F"/>
    <w:rsid w:val="007A1662"/>
    <w:rsid w:val="007A3EE4"/>
    <w:rsid w:val="007A5BED"/>
    <w:rsid w:val="007A6655"/>
    <w:rsid w:val="007A7643"/>
    <w:rsid w:val="007B00A1"/>
    <w:rsid w:val="007B1B21"/>
    <w:rsid w:val="007B3247"/>
    <w:rsid w:val="007B33BD"/>
    <w:rsid w:val="007B34BB"/>
    <w:rsid w:val="007B422B"/>
    <w:rsid w:val="007B50B2"/>
    <w:rsid w:val="007B6F2A"/>
    <w:rsid w:val="007B75AD"/>
    <w:rsid w:val="007C278F"/>
    <w:rsid w:val="007C302F"/>
    <w:rsid w:val="007C3090"/>
    <w:rsid w:val="007C409D"/>
    <w:rsid w:val="007C4DAA"/>
    <w:rsid w:val="007C5360"/>
    <w:rsid w:val="007C6270"/>
    <w:rsid w:val="007C70CA"/>
    <w:rsid w:val="007D388C"/>
    <w:rsid w:val="007D7C3A"/>
    <w:rsid w:val="007E324C"/>
    <w:rsid w:val="007E5EAC"/>
    <w:rsid w:val="007E6917"/>
    <w:rsid w:val="007F1085"/>
    <w:rsid w:val="007F5176"/>
    <w:rsid w:val="0080241F"/>
    <w:rsid w:val="00804BD9"/>
    <w:rsid w:val="00805CD9"/>
    <w:rsid w:val="0080761E"/>
    <w:rsid w:val="0081017E"/>
    <w:rsid w:val="008116C6"/>
    <w:rsid w:val="00814CED"/>
    <w:rsid w:val="00815327"/>
    <w:rsid w:val="00815913"/>
    <w:rsid w:val="00815A54"/>
    <w:rsid w:val="00815DD9"/>
    <w:rsid w:val="0081759D"/>
    <w:rsid w:val="00820578"/>
    <w:rsid w:val="008235DA"/>
    <w:rsid w:val="00824DDD"/>
    <w:rsid w:val="0082536B"/>
    <w:rsid w:val="00826409"/>
    <w:rsid w:val="00827F4C"/>
    <w:rsid w:val="00831299"/>
    <w:rsid w:val="00832850"/>
    <w:rsid w:val="00836108"/>
    <w:rsid w:val="00836260"/>
    <w:rsid w:val="00841F64"/>
    <w:rsid w:val="008435E3"/>
    <w:rsid w:val="00843C0F"/>
    <w:rsid w:val="008469A5"/>
    <w:rsid w:val="00846A01"/>
    <w:rsid w:val="00847A96"/>
    <w:rsid w:val="008529C2"/>
    <w:rsid w:val="008540CD"/>
    <w:rsid w:val="00854127"/>
    <w:rsid w:val="00854A72"/>
    <w:rsid w:val="008578DA"/>
    <w:rsid w:val="00860DF3"/>
    <w:rsid w:val="00866193"/>
    <w:rsid w:val="00870542"/>
    <w:rsid w:val="008725B6"/>
    <w:rsid w:val="008743A3"/>
    <w:rsid w:val="008768F2"/>
    <w:rsid w:val="008841F2"/>
    <w:rsid w:val="00885E2F"/>
    <w:rsid w:val="0089019A"/>
    <w:rsid w:val="00891061"/>
    <w:rsid w:val="00895F31"/>
    <w:rsid w:val="008960A2"/>
    <w:rsid w:val="008969EC"/>
    <w:rsid w:val="008A37E2"/>
    <w:rsid w:val="008A44A4"/>
    <w:rsid w:val="008A69C3"/>
    <w:rsid w:val="008B0DCB"/>
    <w:rsid w:val="008B25B4"/>
    <w:rsid w:val="008B54B4"/>
    <w:rsid w:val="008B6117"/>
    <w:rsid w:val="008B669B"/>
    <w:rsid w:val="008C2011"/>
    <w:rsid w:val="008C2DE7"/>
    <w:rsid w:val="008C32FA"/>
    <w:rsid w:val="008C3D64"/>
    <w:rsid w:val="008C50AA"/>
    <w:rsid w:val="008C5495"/>
    <w:rsid w:val="008C6DAB"/>
    <w:rsid w:val="008C6E64"/>
    <w:rsid w:val="008D1ED5"/>
    <w:rsid w:val="008D4CFC"/>
    <w:rsid w:val="008D5FCC"/>
    <w:rsid w:val="008D761B"/>
    <w:rsid w:val="008E47D4"/>
    <w:rsid w:val="008E50A1"/>
    <w:rsid w:val="008E58A2"/>
    <w:rsid w:val="008E5EB8"/>
    <w:rsid w:val="008E6DA4"/>
    <w:rsid w:val="008F08E2"/>
    <w:rsid w:val="008F3A78"/>
    <w:rsid w:val="008F4F54"/>
    <w:rsid w:val="009036CE"/>
    <w:rsid w:val="00904AAC"/>
    <w:rsid w:val="009054ED"/>
    <w:rsid w:val="00911E40"/>
    <w:rsid w:val="009122B7"/>
    <w:rsid w:val="00912FA6"/>
    <w:rsid w:val="00915132"/>
    <w:rsid w:val="00920876"/>
    <w:rsid w:val="00920E6E"/>
    <w:rsid w:val="009232F0"/>
    <w:rsid w:val="00924C6D"/>
    <w:rsid w:val="00925F1C"/>
    <w:rsid w:val="009275FC"/>
    <w:rsid w:val="00927972"/>
    <w:rsid w:val="00927D4F"/>
    <w:rsid w:val="00932599"/>
    <w:rsid w:val="00933FFA"/>
    <w:rsid w:val="009345BE"/>
    <w:rsid w:val="00937B11"/>
    <w:rsid w:val="00943682"/>
    <w:rsid w:val="009472CB"/>
    <w:rsid w:val="0095468A"/>
    <w:rsid w:val="00960B9B"/>
    <w:rsid w:val="00962A1D"/>
    <w:rsid w:val="00963580"/>
    <w:rsid w:val="009670B6"/>
    <w:rsid w:val="0097030F"/>
    <w:rsid w:val="009722A1"/>
    <w:rsid w:val="009731F4"/>
    <w:rsid w:val="00974CD7"/>
    <w:rsid w:val="00975EB0"/>
    <w:rsid w:val="009767FB"/>
    <w:rsid w:val="00982613"/>
    <w:rsid w:val="0098291D"/>
    <w:rsid w:val="00983582"/>
    <w:rsid w:val="009842DB"/>
    <w:rsid w:val="00984B50"/>
    <w:rsid w:val="00985DC1"/>
    <w:rsid w:val="00991772"/>
    <w:rsid w:val="00991CC4"/>
    <w:rsid w:val="0099347C"/>
    <w:rsid w:val="00993978"/>
    <w:rsid w:val="00997AE3"/>
    <w:rsid w:val="009A35AE"/>
    <w:rsid w:val="009A3EE3"/>
    <w:rsid w:val="009A4162"/>
    <w:rsid w:val="009B10DA"/>
    <w:rsid w:val="009B127B"/>
    <w:rsid w:val="009B2BC0"/>
    <w:rsid w:val="009B3BE9"/>
    <w:rsid w:val="009B4647"/>
    <w:rsid w:val="009B480A"/>
    <w:rsid w:val="009C22D3"/>
    <w:rsid w:val="009C4149"/>
    <w:rsid w:val="009C424C"/>
    <w:rsid w:val="009C434E"/>
    <w:rsid w:val="009D1997"/>
    <w:rsid w:val="009D5767"/>
    <w:rsid w:val="009D6F23"/>
    <w:rsid w:val="009E28B8"/>
    <w:rsid w:val="009E2DEF"/>
    <w:rsid w:val="009E7659"/>
    <w:rsid w:val="009F4612"/>
    <w:rsid w:val="009F4EB2"/>
    <w:rsid w:val="009F6610"/>
    <w:rsid w:val="009F691D"/>
    <w:rsid w:val="00A007F3"/>
    <w:rsid w:val="00A0102A"/>
    <w:rsid w:val="00A01535"/>
    <w:rsid w:val="00A02249"/>
    <w:rsid w:val="00A03B25"/>
    <w:rsid w:val="00A04BD4"/>
    <w:rsid w:val="00A04D6D"/>
    <w:rsid w:val="00A05358"/>
    <w:rsid w:val="00A057BE"/>
    <w:rsid w:val="00A05A7B"/>
    <w:rsid w:val="00A06453"/>
    <w:rsid w:val="00A13D12"/>
    <w:rsid w:val="00A17CD9"/>
    <w:rsid w:val="00A20C9D"/>
    <w:rsid w:val="00A23954"/>
    <w:rsid w:val="00A255A7"/>
    <w:rsid w:val="00A2699F"/>
    <w:rsid w:val="00A30408"/>
    <w:rsid w:val="00A30F26"/>
    <w:rsid w:val="00A3553A"/>
    <w:rsid w:val="00A37D3E"/>
    <w:rsid w:val="00A4000D"/>
    <w:rsid w:val="00A44381"/>
    <w:rsid w:val="00A456F9"/>
    <w:rsid w:val="00A4757F"/>
    <w:rsid w:val="00A533A3"/>
    <w:rsid w:val="00A54AED"/>
    <w:rsid w:val="00A56007"/>
    <w:rsid w:val="00A602E3"/>
    <w:rsid w:val="00A60A7F"/>
    <w:rsid w:val="00A6194A"/>
    <w:rsid w:val="00A65C06"/>
    <w:rsid w:val="00A67AA1"/>
    <w:rsid w:val="00A70E65"/>
    <w:rsid w:val="00A756C8"/>
    <w:rsid w:val="00A77839"/>
    <w:rsid w:val="00A81C78"/>
    <w:rsid w:val="00A831A1"/>
    <w:rsid w:val="00A83A8D"/>
    <w:rsid w:val="00A83C93"/>
    <w:rsid w:val="00A83C9F"/>
    <w:rsid w:val="00A8555F"/>
    <w:rsid w:val="00A85951"/>
    <w:rsid w:val="00A86510"/>
    <w:rsid w:val="00A92B42"/>
    <w:rsid w:val="00A92ED5"/>
    <w:rsid w:val="00A93132"/>
    <w:rsid w:val="00A937D8"/>
    <w:rsid w:val="00A95F1F"/>
    <w:rsid w:val="00AA3848"/>
    <w:rsid w:val="00AA45DC"/>
    <w:rsid w:val="00AA52E9"/>
    <w:rsid w:val="00AA6455"/>
    <w:rsid w:val="00AA73CF"/>
    <w:rsid w:val="00AA7AC2"/>
    <w:rsid w:val="00AB0783"/>
    <w:rsid w:val="00AB18C9"/>
    <w:rsid w:val="00AB2B69"/>
    <w:rsid w:val="00AB4990"/>
    <w:rsid w:val="00AB5580"/>
    <w:rsid w:val="00AB657C"/>
    <w:rsid w:val="00AC09C8"/>
    <w:rsid w:val="00AC25DE"/>
    <w:rsid w:val="00AC45CA"/>
    <w:rsid w:val="00AC5DDF"/>
    <w:rsid w:val="00AD2DBC"/>
    <w:rsid w:val="00AD5307"/>
    <w:rsid w:val="00AD69A0"/>
    <w:rsid w:val="00AD780C"/>
    <w:rsid w:val="00AE01A3"/>
    <w:rsid w:val="00AE10D7"/>
    <w:rsid w:val="00AE2622"/>
    <w:rsid w:val="00AE26AC"/>
    <w:rsid w:val="00AE2F8E"/>
    <w:rsid w:val="00AE40EF"/>
    <w:rsid w:val="00AE523D"/>
    <w:rsid w:val="00AE645A"/>
    <w:rsid w:val="00AE7A2B"/>
    <w:rsid w:val="00AF0797"/>
    <w:rsid w:val="00AF245C"/>
    <w:rsid w:val="00AF29E1"/>
    <w:rsid w:val="00AF430D"/>
    <w:rsid w:val="00B02D8A"/>
    <w:rsid w:val="00B03E47"/>
    <w:rsid w:val="00B047A2"/>
    <w:rsid w:val="00B048B0"/>
    <w:rsid w:val="00B04A8F"/>
    <w:rsid w:val="00B05A74"/>
    <w:rsid w:val="00B07533"/>
    <w:rsid w:val="00B1238D"/>
    <w:rsid w:val="00B127D9"/>
    <w:rsid w:val="00B13548"/>
    <w:rsid w:val="00B13E2B"/>
    <w:rsid w:val="00B15888"/>
    <w:rsid w:val="00B15A15"/>
    <w:rsid w:val="00B161A3"/>
    <w:rsid w:val="00B17827"/>
    <w:rsid w:val="00B252A4"/>
    <w:rsid w:val="00B25663"/>
    <w:rsid w:val="00B26285"/>
    <w:rsid w:val="00B275EB"/>
    <w:rsid w:val="00B279A4"/>
    <w:rsid w:val="00B27B9F"/>
    <w:rsid w:val="00B30B34"/>
    <w:rsid w:val="00B31884"/>
    <w:rsid w:val="00B34778"/>
    <w:rsid w:val="00B3497E"/>
    <w:rsid w:val="00B36812"/>
    <w:rsid w:val="00B37176"/>
    <w:rsid w:val="00B409D6"/>
    <w:rsid w:val="00B44C06"/>
    <w:rsid w:val="00B44F75"/>
    <w:rsid w:val="00B4614F"/>
    <w:rsid w:val="00B472AD"/>
    <w:rsid w:val="00B475D8"/>
    <w:rsid w:val="00B50DBF"/>
    <w:rsid w:val="00B50E97"/>
    <w:rsid w:val="00B529B1"/>
    <w:rsid w:val="00B54CBE"/>
    <w:rsid w:val="00B67915"/>
    <w:rsid w:val="00B70B98"/>
    <w:rsid w:val="00B70CB3"/>
    <w:rsid w:val="00B720AB"/>
    <w:rsid w:val="00B73BF3"/>
    <w:rsid w:val="00B73E13"/>
    <w:rsid w:val="00B7796E"/>
    <w:rsid w:val="00B837C0"/>
    <w:rsid w:val="00B86B15"/>
    <w:rsid w:val="00B87C8D"/>
    <w:rsid w:val="00B9094C"/>
    <w:rsid w:val="00B90ECD"/>
    <w:rsid w:val="00B915D1"/>
    <w:rsid w:val="00B97934"/>
    <w:rsid w:val="00BA5771"/>
    <w:rsid w:val="00BA72A2"/>
    <w:rsid w:val="00BA7DBD"/>
    <w:rsid w:val="00BB1481"/>
    <w:rsid w:val="00BB4F33"/>
    <w:rsid w:val="00BB5BA9"/>
    <w:rsid w:val="00BC0DFF"/>
    <w:rsid w:val="00BD0B24"/>
    <w:rsid w:val="00BD0B8C"/>
    <w:rsid w:val="00BD0FF0"/>
    <w:rsid w:val="00BD1A26"/>
    <w:rsid w:val="00BD2738"/>
    <w:rsid w:val="00BD4C9D"/>
    <w:rsid w:val="00BE00F6"/>
    <w:rsid w:val="00BE25D8"/>
    <w:rsid w:val="00BE552F"/>
    <w:rsid w:val="00BE570C"/>
    <w:rsid w:val="00BE6A39"/>
    <w:rsid w:val="00BF095F"/>
    <w:rsid w:val="00BF356C"/>
    <w:rsid w:val="00BF4793"/>
    <w:rsid w:val="00BF70F5"/>
    <w:rsid w:val="00C014CA"/>
    <w:rsid w:val="00C01665"/>
    <w:rsid w:val="00C0242A"/>
    <w:rsid w:val="00C031A4"/>
    <w:rsid w:val="00C055C0"/>
    <w:rsid w:val="00C06BE0"/>
    <w:rsid w:val="00C06F47"/>
    <w:rsid w:val="00C06F78"/>
    <w:rsid w:val="00C11770"/>
    <w:rsid w:val="00C16546"/>
    <w:rsid w:val="00C204ED"/>
    <w:rsid w:val="00C20E52"/>
    <w:rsid w:val="00C2426B"/>
    <w:rsid w:val="00C2530B"/>
    <w:rsid w:val="00C26F95"/>
    <w:rsid w:val="00C307BD"/>
    <w:rsid w:val="00C34885"/>
    <w:rsid w:val="00C35069"/>
    <w:rsid w:val="00C40772"/>
    <w:rsid w:val="00C433C9"/>
    <w:rsid w:val="00C43DEF"/>
    <w:rsid w:val="00C4594F"/>
    <w:rsid w:val="00C45C7C"/>
    <w:rsid w:val="00C54E4D"/>
    <w:rsid w:val="00C555F3"/>
    <w:rsid w:val="00C55668"/>
    <w:rsid w:val="00C56458"/>
    <w:rsid w:val="00C60519"/>
    <w:rsid w:val="00C60A0A"/>
    <w:rsid w:val="00C62539"/>
    <w:rsid w:val="00C64449"/>
    <w:rsid w:val="00C648ED"/>
    <w:rsid w:val="00C6510B"/>
    <w:rsid w:val="00C67E37"/>
    <w:rsid w:val="00C70F0E"/>
    <w:rsid w:val="00C71ECE"/>
    <w:rsid w:val="00C7290E"/>
    <w:rsid w:val="00C764C6"/>
    <w:rsid w:val="00C76BE0"/>
    <w:rsid w:val="00C774BF"/>
    <w:rsid w:val="00C82409"/>
    <w:rsid w:val="00C82A25"/>
    <w:rsid w:val="00C8627B"/>
    <w:rsid w:val="00C868D8"/>
    <w:rsid w:val="00C91F69"/>
    <w:rsid w:val="00C924B9"/>
    <w:rsid w:val="00C950CF"/>
    <w:rsid w:val="00CA2B95"/>
    <w:rsid w:val="00CA2D2A"/>
    <w:rsid w:val="00CA3FA6"/>
    <w:rsid w:val="00CA4CC5"/>
    <w:rsid w:val="00CB1762"/>
    <w:rsid w:val="00CB2564"/>
    <w:rsid w:val="00CB3424"/>
    <w:rsid w:val="00CB37B8"/>
    <w:rsid w:val="00CB409E"/>
    <w:rsid w:val="00CB48C3"/>
    <w:rsid w:val="00CB74B5"/>
    <w:rsid w:val="00CC0BB9"/>
    <w:rsid w:val="00CC284B"/>
    <w:rsid w:val="00CC44D1"/>
    <w:rsid w:val="00CC60D8"/>
    <w:rsid w:val="00CD03DF"/>
    <w:rsid w:val="00CD06C2"/>
    <w:rsid w:val="00CD4738"/>
    <w:rsid w:val="00CD6D44"/>
    <w:rsid w:val="00CE1330"/>
    <w:rsid w:val="00CE191D"/>
    <w:rsid w:val="00CE22FF"/>
    <w:rsid w:val="00CE2EFA"/>
    <w:rsid w:val="00CE69A2"/>
    <w:rsid w:val="00CE6BC7"/>
    <w:rsid w:val="00CE7D3A"/>
    <w:rsid w:val="00CF0A0E"/>
    <w:rsid w:val="00D0011E"/>
    <w:rsid w:val="00D01C4F"/>
    <w:rsid w:val="00D05CCA"/>
    <w:rsid w:val="00D05F57"/>
    <w:rsid w:val="00D10AD5"/>
    <w:rsid w:val="00D1431F"/>
    <w:rsid w:val="00D14F94"/>
    <w:rsid w:val="00D16927"/>
    <w:rsid w:val="00D212C0"/>
    <w:rsid w:val="00D22382"/>
    <w:rsid w:val="00D26F0A"/>
    <w:rsid w:val="00D27947"/>
    <w:rsid w:val="00D30F8F"/>
    <w:rsid w:val="00D333B5"/>
    <w:rsid w:val="00D3493D"/>
    <w:rsid w:val="00D377BA"/>
    <w:rsid w:val="00D37D48"/>
    <w:rsid w:val="00D424F1"/>
    <w:rsid w:val="00D4287E"/>
    <w:rsid w:val="00D431E5"/>
    <w:rsid w:val="00D4727A"/>
    <w:rsid w:val="00D52FDB"/>
    <w:rsid w:val="00D53326"/>
    <w:rsid w:val="00D56820"/>
    <w:rsid w:val="00D6062D"/>
    <w:rsid w:val="00D62417"/>
    <w:rsid w:val="00D6700B"/>
    <w:rsid w:val="00D7014A"/>
    <w:rsid w:val="00D7119C"/>
    <w:rsid w:val="00D82EB6"/>
    <w:rsid w:val="00D84240"/>
    <w:rsid w:val="00D8572C"/>
    <w:rsid w:val="00D9088A"/>
    <w:rsid w:val="00D90E9D"/>
    <w:rsid w:val="00DA2356"/>
    <w:rsid w:val="00DA30C5"/>
    <w:rsid w:val="00DA39C2"/>
    <w:rsid w:val="00DA6C7E"/>
    <w:rsid w:val="00DA7E28"/>
    <w:rsid w:val="00DB17E7"/>
    <w:rsid w:val="00DB183F"/>
    <w:rsid w:val="00DB738C"/>
    <w:rsid w:val="00DC1C9A"/>
    <w:rsid w:val="00DC1D6A"/>
    <w:rsid w:val="00DC725A"/>
    <w:rsid w:val="00DD0055"/>
    <w:rsid w:val="00DD2EEA"/>
    <w:rsid w:val="00DD3031"/>
    <w:rsid w:val="00DD68EA"/>
    <w:rsid w:val="00DD7DD3"/>
    <w:rsid w:val="00DE1A8A"/>
    <w:rsid w:val="00DE1FC0"/>
    <w:rsid w:val="00DE3DAF"/>
    <w:rsid w:val="00DE4E39"/>
    <w:rsid w:val="00DE5A41"/>
    <w:rsid w:val="00DE5FA7"/>
    <w:rsid w:val="00DE6779"/>
    <w:rsid w:val="00DF2EDD"/>
    <w:rsid w:val="00E0527D"/>
    <w:rsid w:val="00E14848"/>
    <w:rsid w:val="00E16A2F"/>
    <w:rsid w:val="00E1708D"/>
    <w:rsid w:val="00E17BEB"/>
    <w:rsid w:val="00E24F06"/>
    <w:rsid w:val="00E2534C"/>
    <w:rsid w:val="00E27F06"/>
    <w:rsid w:val="00E30D8F"/>
    <w:rsid w:val="00E313E2"/>
    <w:rsid w:val="00E31E09"/>
    <w:rsid w:val="00E3223A"/>
    <w:rsid w:val="00E32D60"/>
    <w:rsid w:val="00E32E8A"/>
    <w:rsid w:val="00E337A7"/>
    <w:rsid w:val="00E340C9"/>
    <w:rsid w:val="00E35143"/>
    <w:rsid w:val="00E3545D"/>
    <w:rsid w:val="00E40AC1"/>
    <w:rsid w:val="00E42015"/>
    <w:rsid w:val="00E44F84"/>
    <w:rsid w:val="00E454E9"/>
    <w:rsid w:val="00E45891"/>
    <w:rsid w:val="00E46322"/>
    <w:rsid w:val="00E50EAB"/>
    <w:rsid w:val="00E525CA"/>
    <w:rsid w:val="00E52F4A"/>
    <w:rsid w:val="00E53DA3"/>
    <w:rsid w:val="00E54373"/>
    <w:rsid w:val="00E54696"/>
    <w:rsid w:val="00E56545"/>
    <w:rsid w:val="00E57681"/>
    <w:rsid w:val="00E578DB"/>
    <w:rsid w:val="00E62EB2"/>
    <w:rsid w:val="00E63FF3"/>
    <w:rsid w:val="00E64434"/>
    <w:rsid w:val="00E645C8"/>
    <w:rsid w:val="00E70F57"/>
    <w:rsid w:val="00E73278"/>
    <w:rsid w:val="00E75792"/>
    <w:rsid w:val="00E832FC"/>
    <w:rsid w:val="00E92809"/>
    <w:rsid w:val="00E95A87"/>
    <w:rsid w:val="00E95C14"/>
    <w:rsid w:val="00EA034C"/>
    <w:rsid w:val="00EA3455"/>
    <w:rsid w:val="00EA5171"/>
    <w:rsid w:val="00EA524B"/>
    <w:rsid w:val="00EA589B"/>
    <w:rsid w:val="00EA6312"/>
    <w:rsid w:val="00EA6959"/>
    <w:rsid w:val="00EA6B95"/>
    <w:rsid w:val="00EB1A2E"/>
    <w:rsid w:val="00EB403B"/>
    <w:rsid w:val="00EB4C28"/>
    <w:rsid w:val="00EC2EB3"/>
    <w:rsid w:val="00EC5B12"/>
    <w:rsid w:val="00EC70EB"/>
    <w:rsid w:val="00ED0549"/>
    <w:rsid w:val="00ED3214"/>
    <w:rsid w:val="00ED5F1B"/>
    <w:rsid w:val="00ED609C"/>
    <w:rsid w:val="00EE0B99"/>
    <w:rsid w:val="00EE0D2F"/>
    <w:rsid w:val="00EE52A8"/>
    <w:rsid w:val="00EE6396"/>
    <w:rsid w:val="00F017EC"/>
    <w:rsid w:val="00F04C72"/>
    <w:rsid w:val="00F061B2"/>
    <w:rsid w:val="00F0638B"/>
    <w:rsid w:val="00F06817"/>
    <w:rsid w:val="00F1112B"/>
    <w:rsid w:val="00F153C9"/>
    <w:rsid w:val="00F21D12"/>
    <w:rsid w:val="00F21EBF"/>
    <w:rsid w:val="00F25747"/>
    <w:rsid w:val="00F25B81"/>
    <w:rsid w:val="00F30532"/>
    <w:rsid w:val="00F31A94"/>
    <w:rsid w:val="00F32376"/>
    <w:rsid w:val="00F32907"/>
    <w:rsid w:val="00F34AE0"/>
    <w:rsid w:val="00F357BC"/>
    <w:rsid w:val="00F36205"/>
    <w:rsid w:val="00F4753D"/>
    <w:rsid w:val="00F521AD"/>
    <w:rsid w:val="00F54488"/>
    <w:rsid w:val="00F553EA"/>
    <w:rsid w:val="00F6012B"/>
    <w:rsid w:val="00F67293"/>
    <w:rsid w:val="00F73128"/>
    <w:rsid w:val="00F736B8"/>
    <w:rsid w:val="00F77F26"/>
    <w:rsid w:val="00F80951"/>
    <w:rsid w:val="00F8579F"/>
    <w:rsid w:val="00F86AE4"/>
    <w:rsid w:val="00F878AC"/>
    <w:rsid w:val="00F91388"/>
    <w:rsid w:val="00F930CE"/>
    <w:rsid w:val="00F93D89"/>
    <w:rsid w:val="00F94C5C"/>
    <w:rsid w:val="00FA038F"/>
    <w:rsid w:val="00FA2847"/>
    <w:rsid w:val="00FA29E1"/>
    <w:rsid w:val="00FA4618"/>
    <w:rsid w:val="00FA5822"/>
    <w:rsid w:val="00FA5F45"/>
    <w:rsid w:val="00FA76B1"/>
    <w:rsid w:val="00FB0381"/>
    <w:rsid w:val="00FB152B"/>
    <w:rsid w:val="00FB30F8"/>
    <w:rsid w:val="00FB3A82"/>
    <w:rsid w:val="00FB6F86"/>
    <w:rsid w:val="00FB7E96"/>
    <w:rsid w:val="00FC0C88"/>
    <w:rsid w:val="00FC1C3E"/>
    <w:rsid w:val="00FC34F6"/>
    <w:rsid w:val="00FC56C7"/>
    <w:rsid w:val="00FC6D29"/>
    <w:rsid w:val="00FC7DA5"/>
    <w:rsid w:val="00FD0A39"/>
    <w:rsid w:val="00FD0B4A"/>
    <w:rsid w:val="00FD3BFF"/>
    <w:rsid w:val="00FD49AA"/>
    <w:rsid w:val="00FD7FAC"/>
    <w:rsid w:val="00FE4E9E"/>
    <w:rsid w:val="00FE54A7"/>
    <w:rsid w:val="00FE6913"/>
    <w:rsid w:val="00FF45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D7DD3"/>
    <w:pPr>
      <w:spacing w:before="160" w:after="0" w:line="260" w:lineRule="exact"/>
    </w:pPr>
    <w:rPr>
      <w:rFonts w:ascii="Trebuchet MS" w:eastAsia="Times New Roman" w:hAnsi="Trebuchet MS" w:cs="Times New Roman"/>
      <w:sz w:val="19"/>
      <w:szCs w:val="20"/>
      <w:lang w:val="en-AU"/>
    </w:rPr>
  </w:style>
  <w:style w:type="paragraph" w:styleId="Heading1">
    <w:name w:val="heading 1"/>
    <w:next w:val="Text"/>
    <w:link w:val="Heading1Char"/>
    <w:qFormat/>
    <w:rsid w:val="00DD7DD3"/>
    <w:pPr>
      <w:keepNext/>
      <w:spacing w:after="360" w:line="240" w:lineRule="auto"/>
      <w:outlineLvl w:val="0"/>
    </w:pPr>
    <w:rPr>
      <w:rFonts w:ascii="Arial" w:eastAsia="Times New Roman" w:hAnsi="Arial" w:cs="Tahoma"/>
      <w:color w:val="000000"/>
      <w:kern w:val="28"/>
      <w:sz w:val="48"/>
      <w:szCs w:val="56"/>
      <w:lang w:val="en-AU"/>
    </w:rPr>
  </w:style>
  <w:style w:type="paragraph" w:styleId="Heading2">
    <w:name w:val="heading 2"/>
    <w:next w:val="Text"/>
    <w:link w:val="Heading2Char"/>
    <w:qFormat/>
    <w:rsid w:val="00DD7DD3"/>
    <w:pPr>
      <w:keepNext/>
      <w:spacing w:before="360" w:after="0" w:line="240" w:lineRule="auto"/>
      <w:ind w:right="-1"/>
      <w:outlineLvl w:val="1"/>
    </w:pPr>
    <w:rPr>
      <w:rFonts w:ascii="Arial" w:eastAsia="Times New Roman" w:hAnsi="Arial" w:cs="Tahoma"/>
      <w:sz w:val="28"/>
      <w:szCs w:val="20"/>
      <w:lang w:val="en-AU"/>
    </w:rPr>
  </w:style>
  <w:style w:type="paragraph" w:styleId="Heading3">
    <w:name w:val="heading 3"/>
    <w:next w:val="Text"/>
    <w:link w:val="Heading3Char"/>
    <w:qFormat/>
    <w:rsid w:val="00DD7DD3"/>
    <w:pPr>
      <w:spacing w:before="280" w:after="0" w:line="240" w:lineRule="auto"/>
      <w:outlineLvl w:val="2"/>
    </w:pPr>
    <w:rPr>
      <w:rFonts w:ascii="Arial" w:eastAsia="Times New Roman" w:hAnsi="Arial" w:cs="Tahoma"/>
      <w:color w:val="000000"/>
      <w:sz w:val="24"/>
      <w:szCs w:val="20"/>
      <w:lang w:val="en-AU"/>
    </w:rPr>
  </w:style>
  <w:style w:type="paragraph" w:styleId="Heading4">
    <w:name w:val="heading 4"/>
    <w:next w:val="Text"/>
    <w:link w:val="Heading4Char"/>
    <w:qFormat/>
    <w:rsid w:val="00DD7DD3"/>
    <w:pPr>
      <w:spacing w:before="280" w:after="0" w:line="240" w:lineRule="auto"/>
      <w:outlineLvl w:val="3"/>
    </w:pPr>
    <w:rPr>
      <w:rFonts w:ascii="Tahoma" w:eastAsia="Times New Roman" w:hAnsi="Tahoma" w:cs="Times New Roman"/>
      <w:i/>
      <w:szCs w:val="20"/>
      <w:lang w:val="en-AU"/>
    </w:rPr>
  </w:style>
  <w:style w:type="paragraph" w:styleId="Heading5">
    <w:name w:val="heading 5"/>
    <w:basedOn w:val="Normal"/>
    <w:next w:val="Normal"/>
    <w:link w:val="Heading5Char"/>
    <w:qFormat/>
    <w:rsid w:val="00DD7DD3"/>
    <w:pPr>
      <w:keepNext/>
      <w:outlineLvl w:val="4"/>
    </w:pPr>
    <w:rPr>
      <w:rFonts w:ascii="Tahoma" w:hAnsi="Tahoma"/>
      <w:b/>
    </w:rPr>
  </w:style>
  <w:style w:type="paragraph" w:styleId="Heading6">
    <w:name w:val="heading 6"/>
    <w:basedOn w:val="Normal"/>
    <w:next w:val="Normal"/>
    <w:link w:val="Heading6Char"/>
    <w:qFormat/>
    <w:rsid w:val="00DD7DD3"/>
    <w:pPr>
      <w:keepNext/>
      <w:ind w:left="2977"/>
      <w:outlineLvl w:val="5"/>
    </w:pPr>
    <w:rPr>
      <w:rFonts w:ascii="Tahoma" w:hAnsi="Tahoma"/>
      <w:sz w:val="20"/>
    </w:rPr>
  </w:style>
  <w:style w:type="paragraph" w:styleId="Heading7">
    <w:name w:val="heading 7"/>
    <w:basedOn w:val="Normal"/>
    <w:next w:val="Normal"/>
    <w:link w:val="Heading7Char"/>
    <w:qFormat/>
    <w:rsid w:val="00DD7DD3"/>
    <w:pPr>
      <w:keepNext/>
      <w:jc w:val="center"/>
      <w:outlineLvl w:val="6"/>
    </w:pPr>
    <w:rPr>
      <w:rFonts w:ascii="Tahoma" w:hAnsi="Tahoma"/>
      <w:spacing w:val="20"/>
      <w:sz w:val="20"/>
    </w:rPr>
  </w:style>
  <w:style w:type="paragraph" w:styleId="Heading8">
    <w:name w:val="heading 8"/>
    <w:basedOn w:val="Normal"/>
    <w:next w:val="Normal"/>
    <w:link w:val="Heading8Char"/>
    <w:qFormat/>
    <w:rsid w:val="00DD7DD3"/>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DD7DD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AB"/>
    <w:pPr>
      <w:ind w:left="720"/>
      <w:contextualSpacing/>
    </w:pPr>
  </w:style>
  <w:style w:type="paragraph" w:styleId="FootnoteText">
    <w:name w:val="footnote text"/>
    <w:basedOn w:val="Text"/>
    <w:link w:val="FootnoteTextChar"/>
    <w:rsid w:val="00DD7DD3"/>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DD7DD3"/>
    <w:rPr>
      <w:rFonts w:ascii="Trebuchet MS" w:eastAsia="Times New Roman" w:hAnsi="Trebuchet MS" w:cs="Times New Roman"/>
      <w:sz w:val="16"/>
      <w:szCs w:val="20"/>
      <w:lang w:val="en-AU"/>
    </w:rPr>
  </w:style>
  <w:style w:type="character" w:styleId="FootnoteReference">
    <w:name w:val="footnote reference"/>
    <w:basedOn w:val="DefaultParagraphFont"/>
    <w:unhideWhenUsed/>
    <w:rsid w:val="0049089B"/>
    <w:rPr>
      <w:vertAlign w:val="superscript"/>
    </w:rPr>
  </w:style>
  <w:style w:type="paragraph" w:styleId="BalloonText">
    <w:name w:val="Balloon Text"/>
    <w:basedOn w:val="Normal"/>
    <w:link w:val="BalloonTextChar"/>
    <w:uiPriority w:val="99"/>
    <w:semiHidden/>
    <w:rsid w:val="00DD7D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DD3"/>
    <w:rPr>
      <w:rFonts w:ascii="Tahoma" w:eastAsia="Times New Roman" w:hAnsi="Tahoma" w:cs="Tahoma"/>
      <w:sz w:val="16"/>
      <w:szCs w:val="16"/>
      <w:lang w:val="en-AU"/>
    </w:rPr>
  </w:style>
  <w:style w:type="paragraph" w:styleId="NormalWeb">
    <w:name w:val="Normal (Web)"/>
    <w:basedOn w:val="Normal"/>
    <w:uiPriority w:val="99"/>
    <w:rsid w:val="00DD7DD3"/>
    <w:pPr>
      <w:spacing w:before="100" w:beforeAutospacing="1" w:after="240"/>
    </w:pPr>
    <w:rPr>
      <w:sz w:val="18"/>
      <w:szCs w:val="18"/>
    </w:rPr>
  </w:style>
  <w:style w:type="paragraph" w:styleId="Quote">
    <w:name w:val="Quote"/>
    <w:basedOn w:val="Text"/>
    <w:link w:val="QuoteChar"/>
    <w:qFormat/>
    <w:rsid w:val="00DD7DD3"/>
    <w:pPr>
      <w:tabs>
        <w:tab w:val="right" w:pos="7853"/>
      </w:tabs>
      <w:spacing w:before="80"/>
      <w:ind w:left="567" w:right="652"/>
    </w:pPr>
    <w:rPr>
      <w:sz w:val="17"/>
    </w:rPr>
  </w:style>
  <w:style w:type="character" w:customStyle="1" w:styleId="QuoteChar">
    <w:name w:val="Quote Char"/>
    <w:basedOn w:val="DefaultParagraphFont"/>
    <w:link w:val="Quote"/>
    <w:rsid w:val="0075156E"/>
    <w:rPr>
      <w:rFonts w:ascii="Trebuchet MS" w:eastAsia="Times New Roman" w:hAnsi="Trebuchet MS" w:cs="Times New Roman"/>
      <w:sz w:val="17"/>
      <w:szCs w:val="20"/>
      <w:lang w:val="en-AU"/>
    </w:rPr>
  </w:style>
  <w:style w:type="paragraph" w:styleId="Caption">
    <w:name w:val="caption"/>
    <w:basedOn w:val="Normal"/>
    <w:next w:val="Normal"/>
    <w:uiPriority w:val="35"/>
    <w:unhideWhenUsed/>
    <w:qFormat/>
    <w:rsid w:val="0075156E"/>
    <w:pPr>
      <w:spacing w:line="240" w:lineRule="auto"/>
    </w:pPr>
    <w:rPr>
      <w:b/>
      <w:bCs/>
      <w:color w:val="4F81BD" w:themeColor="accent1"/>
      <w:sz w:val="18"/>
      <w:szCs w:val="18"/>
    </w:rPr>
  </w:style>
  <w:style w:type="paragraph" w:customStyle="1" w:styleId="Text">
    <w:name w:val="Text"/>
    <w:link w:val="TextChar"/>
    <w:rsid w:val="00DD7DD3"/>
    <w:pPr>
      <w:spacing w:before="160" w:after="0" w:line="300" w:lineRule="exact"/>
    </w:pPr>
    <w:rPr>
      <w:rFonts w:ascii="Trebuchet MS" w:eastAsia="Times New Roman" w:hAnsi="Trebuchet MS" w:cs="Times New Roman"/>
      <w:sz w:val="19"/>
      <w:szCs w:val="20"/>
      <w:lang w:val="en-AU"/>
    </w:rPr>
  </w:style>
  <w:style w:type="character" w:customStyle="1" w:styleId="TextChar">
    <w:name w:val="Text Char"/>
    <w:basedOn w:val="DefaultParagraphFont"/>
    <w:link w:val="Text"/>
    <w:rsid w:val="00DD7DD3"/>
    <w:rPr>
      <w:rFonts w:ascii="Trebuchet MS" w:eastAsia="Times New Roman" w:hAnsi="Trebuchet MS" w:cs="Times New Roman"/>
      <w:sz w:val="19"/>
      <w:szCs w:val="20"/>
      <w:lang w:val="en-AU"/>
    </w:rPr>
  </w:style>
  <w:style w:type="character" w:customStyle="1" w:styleId="Heading3Char">
    <w:name w:val="Heading 3 Char"/>
    <w:basedOn w:val="DefaultParagraphFont"/>
    <w:link w:val="Heading3"/>
    <w:rsid w:val="00DD7DD3"/>
    <w:rPr>
      <w:rFonts w:ascii="Arial" w:eastAsia="Times New Roman" w:hAnsi="Arial" w:cs="Tahoma"/>
      <w:color w:val="000000"/>
      <w:sz w:val="24"/>
      <w:szCs w:val="20"/>
      <w:lang w:val="en-AU"/>
    </w:rPr>
  </w:style>
  <w:style w:type="character" w:styleId="Hyperlink">
    <w:name w:val="Hyperlink"/>
    <w:basedOn w:val="DefaultParagraphFont"/>
    <w:unhideWhenUsed/>
    <w:rsid w:val="00DD7DD3"/>
    <w:rPr>
      <w:rFonts w:ascii="Trebuchet MS" w:hAnsi="Trebuchet MS"/>
      <w:color w:val="auto"/>
      <w:sz w:val="19"/>
      <w:u w:val="none"/>
    </w:rPr>
  </w:style>
  <w:style w:type="paragraph" w:customStyle="1" w:styleId="Default">
    <w:name w:val="Default"/>
    <w:rsid w:val="00DD7DD3"/>
    <w:pPr>
      <w:autoSpaceDE w:val="0"/>
      <w:autoSpaceDN w:val="0"/>
      <w:adjustRightInd w:val="0"/>
      <w:spacing w:after="0" w:line="240" w:lineRule="auto"/>
    </w:pPr>
    <w:rPr>
      <w:rFonts w:ascii="Garamond" w:eastAsia="Calibri" w:hAnsi="Garamond" w:cs="Garamond"/>
      <w:color w:val="000000"/>
      <w:sz w:val="24"/>
      <w:szCs w:val="24"/>
      <w:lang w:val="en-AU"/>
    </w:rPr>
  </w:style>
  <w:style w:type="character" w:customStyle="1" w:styleId="Heading1Char">
    <w:name w:val="Heading 1 Char"/>
    <w:basedOn w:val="DefaultParagraphFont"/>
    <w:link w:val="Heading1"/>
    <w:rsid w:val="001616D4"/>
    <w:rPr>
      <w:rFonts w:ascii="Arial" w:eastAsia="Times New Roman" w:hAnsi="Arial" w:cs="Tahoma"/>
      <w:color w:val="000000"/>
      <w:kern w:val="28"/>
      <w:sz w:val="48"/>
      <w:szCs w:val="56"/>
      <w:lang w:val="en-AU"/>
    </w:rPr>
  </w:style>
  <w:style w:type="character" w:customStyle="1" w:styleId="jnenbez">
    <w:name w:val="jnenbez"/>
    <w:basedOn w:val="DefaultParagraphFont"/>
    <w:rsid w:val="001616D4"/>
  </w:style>
  <w:style w:type="paragraph" w:styleId="Header">
    <w:name w:val="header"/>
    <w:basedOn w:val="Normal"/>
    <w:link w:val="HeaderChar"/>
    <w:uiPriority w:val="99"/>
    <w:unhideWhenUsed/>
    <w:rsid w:val="00DD7DD3"/>
    <w:pPr>
      <w:tabs>
        <w:tab w:val="center" w:pos="4513"/>
        <w:tab w:val="right" w:pos="9026"/>
      </w:tabs>
      <w:spacing w:before="0" w:line="240" w:lineRule="auto"/>
    </w:pPr>
  </w:style>
  <w:style w:type="character" w:customStyle="1" w:styleId="HeaderChar">
    <w:name w:val="Header Char"/>
    <w:basedOn w:val="DefaultParagraphFont"/>
    <w:link w:val="Header"/>
    <w:uiPriority w:val="99"/>
    <w:rsid w:val="00DD7DD3"/>
    <w:rPr>
      <w:rFonts w:ascii="Trebuchet MS" w:eastAsia="Times New Roman" w:hAnsi="Trebuchet MS" w:cs="Times New Roman"/>
      <w:sz w:val="19"/>
      <w:szCs w:val="20"/>
      <w:lang w:val="en-AU"/>
    </w:rPr>
  </w:style>
  <w:style w:type="paragraph" w:styleId="Footer">
    <w:name w:val="footer"/>
    <w:basedOn w:val="Normal"/>
    <w:link w:val="FooterChar"/>
    <w:rsid w:val="00DD7DD3"/>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DD7DD3"/>
    <w:rPr>
      <w:rFonts w:ascii="Arial" w:eastAsia="Times New Roman" w:hAnsi="Arial" w:cs="Arial"/>
      <w:b/>
      <w:sz w:val="17"/>
      <w:szCs w:val="17"/>
      <w:lang w:val="en-AU"/>
    </w:rPr>
  </w:style>
  <w:style w:type="character" w:customStyle="1" w:styleId="Heading2Char">
    <w:name w:val="Heading 2 Char"/>
    <w:basedOn w:val="DefaultParagraphFont"/>
    <w:link w:val="Heading2"/>
    <w:rsid w:val="00690DFD"/>
    <w:rPr>
      <w:rFonts w:ascii="Arial" w:eastAsia="Times New Roman" w:hAnsi="Arial" w:cs="Tahoma"/>
      <w:sz w:val="28"/>
      <w:szCs w:val="20"/>
      <w:lang w:val="en-AU"/>
    </w:rPr>
  </w:style>
  <w:style w:type="character" w:styleId="Strong">
    <w:name w:val="Strong"/>
    <w:uiPriority w:val="22"/>
    <w:qFormat/>
    <w:rsid w:val="00DD7DD3"/>
    <w:rPr>
      <w:b/>
      <w:bCs/>
    </w:rPr>
  </w:style>
  <w:style w:type="character" w:customStyle="1" w:styleId="Heading4Char">
    <w:name w:val="Heading 4 Char"/>
    <w:basedOn w:val="DefaultParagraphFont"/>
    <w:link w:val="Heading4"/>
    <w:rsid w:val="00DD7DD3"/>
    <w:rPr>
      <w:rFonts w:ascii="Tahoma" w:eastAsia="Times New Roman" w:hAnsi="Tahoma" w:cs="Times New Roman"/>
      <w:i/>
      <w:szCs w:val="20"/>
      <w:lang w:val="en-AU"/>
    </w:rPr>
  </w:style>
  <w:style w:type="character" w:customStyle="1" w:styleId="printhtml">
    <w:name w:val="print_html"/>
    <w:basedOn w:val="DefaultParagraphFont"/>
    <w:rsid w:val="00B37176"/>
  </w:style>
  <w:style w:type="paragraph" w:customStyle="1" w:styleId="solr-snippet-label">
    <w:name w:val="solr-snippet-label"/>
    <w:basedOn w:val="Normal"/>
    <w:rsid w:val="00B37176"/>
    <w:pPr>
      <w:spacing w:before="100" w:beforeAutospacing="1" w:after="100" w:afterAutospacing="1" w:line="240" w:lineRule="auto"/>
    </w:pPr>
    <w:rPr>
      <w:rFonts w:ascii="Times New Roman" w:hAnsi="Times New Roman"/>
      <w:sz w:val="24"/>
      <w:szCs w:val="24"/>
      <w:lang w:eastAsia="de-DE"/>
    </w:rPr>
  </w:style>
  <w:style w:type="character" w:customStyle="1" w:styleId="online-date">
    <w:name w:val="online-date"/>
    <w:basedOn w:val="DefaultParagraphFont"/>
    <w:rsid w:val="00391D44"/>
  </w:style>
  <w:style w:type="character" w:customStyle="1" w:styleId="status">
    <w:name w:val="status"/>
    <w:basedOn w:val="DefaultParagraphFont"/>
    <w:rsid w:val="006A5B67"/>
  </w:style>
  <w:style w:type="character" w:customStyle="1" w:styleId="red">
    <w:name w:val="red"/>
    <w:basedOn w:val="DefaultParagraphFont"/>
    <w:rsid w:val="006A5B67"/>
  </w:style>
  <w:style w:type="paragraph" w:customStyle="1" w:styleId="Formatvorlageberschrift1TextkrperCalibri">
    <w:name w:val="Formatvorlage Überschrift 1 + +Textkörper (Calibri)"/>
    <w:basedOn w:val="Heading1"/>
    <w:rsid w:val="00212701"/>
    <w:pPr>
      <w:spacing w:before="360" w:after="120" w:line="260" w:lineRule="atLeast"/>
    </w:pPr>
    <w:rPr>
      <w:rFonts w:asciiTheme="minorHAnsi" w:hAnsiTheme="minorHAnsi" w:cs="Times New Roman"/>
      <w:color w:val="auto"/>
      <w:szCs w:val="20"/>
      <w:lang w:eastAsia="de-DE"/>
    </w:rPr>
  </w:style>
  <w:style w:type="character" w:styleId="CommentReference">
    <w:name w:val="annotation reference"/>
    <w:basedOn w:val="DefaultParagraphFont"/>
    <w:uiPriority w:val="99"/>
    <w:semiHidden/>
    <w:rsid w:val="00DD7DD3"/>
    <w:rPr>
      <w:sz w:val="18"/>
      <w:szCs w:val="18"/>
    </w:rPr>
  </w:style>
  <w:style w:type="paragraph" w:styleId="CommentText">
    <w:name w:val="annotation text"/>
    <w:basedOn w:val="Normal"/>
    <w:link w:val="CommentTextChar"/>
    <w:uiPriority w:val="99"/>
    <w:semiHidden/>
    <w:rsid w:val="00DD7DD3"/>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DD7DD3"/>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iPriority w:val="99"/>
    <w:semiHidden/>
    <w:rsid w:val="00DD7DD3"/>
    <w:rPr>
      <w:b/>
      <w:bCs/>
    </w:rPr>
  </w:style>
  <w:style w:type="character" w:customStyle="1" w:styleId="CommentSubjectChar">
    <w:name w:val="Comment Subject Char"/>
    <w:basedOn w:val="CommentTextChar"/>
    <w:link w:val="CommentSubject"/>
    <w:uiPriority w:val="99"/>
    <w:semiHidden/>
    <w:rsid w:val="00DD7DD3"/>
    <w:rPr>
      <w:rFonts w:ascii="Times New Roman" w:eastAsia="Times New Roman" w:hAnsi="Times New Roman" w:cs="Times New Roman"/>
      <w:b/>
      <w:bCs/>
      <w:sz w:val="20"/>
      <w:szCs w:val="20"/>
      <w:lang w:val="en-AU" w:eastAsia="en-AU"/>
    </w:rPr>
  </w:style>
  <w:style w:type="paragraph" w:customStyle="1" w:styleId="Abouttheresearch">
    <w:name w:val="About the research"/>
    <w:uiPriority w:val="1"/>
    <w:qFormat/>
    <w:rsid w:val="00DD7DD3"/>
    <w:pPr>
      <w:spacing w:after="0" w:line="240" w:lineRule="auto"/>
    </w:pPr>
    <w:rPr>
      <w:rFonts w:ascii="Tahoma" w:eastAsia="Times New Roman" w:hAnsi="Tahoma" w:cs="Tahoma"/>
      <w:color w:val="000000"/>
      <w:kern w:val="28"/>
      <w:sz w:val="56"/>
      <w:szCs w:val="56"/>
      <w:lang w:val="en-AU"/>
    </w:rPr>
  </w:style>
  <w:style w:type="paragraph" w:customStyle="1" w:styleId="Abouttheresearchpubtitle">
    <w:name w:val="About the research pub title"/>
    <w:qFormat/>
    <w:rsid w:val="00DD7DD3"/>
    <w:pPr>
      <w:spacing w:before="360" w:after="0" w:line="240" w:lineRule="auto"/>
    </w:pPr>
    <w:rPr>
      <w:rFonts w:ascii="Tahoma" w:eastAsia="Times New Roman" w:hAnsi="Tahoma" w:cs="Tahoma"/>
      <w:i/>
      <w:sz w:val="28"/>
      <w:szCs w:val="20"/>
      <w:lang w:val="en-AU"/>
    </w:rPr>
  </w:style>
  <w:style w:type="paragraph" w:customStyle="1" w:styleId="Authors">
    <w:name w:val="Authors"/>
    <w:qFormat/>
    <w:rsid w:val="00DD7DD3"/>
    <w:pPr>
      <w:spacing w:after="0" w:line="240" w:lineRule="auto"/>
      <w:ind w:left="1701" w:right="-1"/>
    </w:pPr>
    <w:rPr>
      <w:rFonts w:ascii="Tahoma" w:eastAsia="Times New Roman" w:hAnsi="Tahoma" w:cs="Tahoma"/>
      <w:sz w:val="28"/>
      <w:szCs w:val="20"/>
      <w:lang w:val="en-AU"/>
    </w:rPr>
  </w:style>
  <w:style w:type="paragraph" w:styleId="Bibliography">
    <w:name w:val="Bibliography"/>
    <w:basedOn w:val="Normal"/>
    <w:next w:val="Normal"/>
    <w:uiPriority w:val="37"/>
    <w:semiHidden/>
    <w:rsid w:val="00DD7DD3"/>
  </w:style>
  <w:style w:type="paragraph" w:styleId="BlockText">
    <w:name w:val="Block Text"/>
    <w:basedOn w:val="Normal"/>
    <w:uiPriority w:val="99"/>
    <w:semiHidden/>
    <w:rsid w:val="00DD7DD3"/>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DD7DD3"/>
    <w:pPr>
      <w:spacing w:after="120"/>
    </w:pPr>
    <w:rPr>
      <w:sz w:val="16"/>
      <w:szCs w:val="16"/>
    </w:rPr>
  </w:style>
  <w:style w:type="character" w:customStyle="1" w:styleId="BodyText3Char">
    <w:name w:val="Body Text 3 Char"/>
    <w:basedOn w:val="DefaultParagraphFont"/>
    <w:link w:val="BodyText3"/>
    <w:uiPriority w:val="99"/>
    <w:semiHidden/>
    <w:rsid w:val="00DD7DD3"/>
    <w:rPr>
      <w:rFonts w:ascii="Trebuchet MS" w:eastAsia="Times New Roman" w:hAnsi="Trebuchet MS" w:cs="Times New Roman"/>
      <w:sz w:val="16"/>
      <w:szCs w:val="16"/>
      <w:lang w:val="en-AU"/>
    </w:rPr>
  </w:style>
  <w:style w:type="paragraph" w:styleId="BodyText">
    <w:name w:val="Body Text"/>
    <w:basedOn w:val="Normal"/>
    <w:link w:val="BodyTextChar"/>
    <w:uiPriority w:val="99"/>
    <w:semiHidden/>
    <w:unhideWhenUsed/>
    <w:rsid w:val="00DD7DD3"/>
    <w:pPr>
      <w:spacing w:after="120"/>
    </w:pPr>
  </w:style>
  <w:style w:type="character" w:customStyle="1" w:styleId="BodyTextChar">
    <w:name w:val="Body Text Char"/>
    <w:basedOn w:val="DefaultParagraphFont"/>
    <w:link w:val="BodyText"/>
    <w:uiPriority w:val="99"/>
    <w:semiHidden/>
    <w:rsid w:val="00DD7DD3"/>
    <w:rPr>
      <w:rFonts w:ascii="Trebuchet MS" w:eastAsia="Times New Roman" w:hAnsi="Trebuchet MS" w:cs="Times New Roman"/>
      <w:sz w:val="19"/>
      <w:szCs w:val="20"/>
      <w:lang w:val="en-AU"/>
    </w:rPr>
  </w:style>
  <w:style w:type="paragraph" w:styleId="BodyTextFirstIndent">
    <w:name w:val="Body Text First Indent"/>
    <w:basedOn w:val="Normal"/>
    <w:link w:val="BodyTextFirstIndentChar"/>
    <w:uiPriority w:val="99"/>
    <w:semiHidden/>
    <w:rsid w:val="00DD7DD3"/>
    <w:pPr>
      <w:ind w:firstLine="360"/>
    </w:pPr>
    <w:rPr>
      <w:b/>
    </w:rPr>
  </w:style>
  <w:style w:type="character" w:customStyle="1" w:styleId="BodyTextFirstIndentChar">
    <w:name w:val="Body Text First Indent Char"/>
    <w:basedOn w:val="DefaultParagraphFont"/>
    <w:link w:val="BodyTextFirstIndent"/>
    <w:uiPriority w:val="99"/>
    <w:semiHidden/>
    <w:rsid w:val="00DD7DD3"/>
    <w:rPr>
      <w:rFonts w:ascii="Trebuchet MS" w:eastAsia="Times New Roman" w:hAnsi="Trebuchet MS" w:cs="Times New Roman"/>
      <w:b/>
      <w:sz w:val="19"/>
      <w:szCs w:val="20"/>
      <w:lang w:val="en-AU"/>
    </w:rPr>
  </w:style>
  <w:style w:type="paragraph" w:styleId="BodyTextIndent">
    <w:name w:val="Body Text Indent"/>
    <w:basedOn w:val="Normal"/>
    <w:link w:val="BodyTextIndentChar"/>
    <w:uiPriority w:val="99"/>
    <w:semiHidden/>
    <w:unhideWhenUsed/>
    <w:rsid w:val="00DD7DD3"/>
    <w:pPr>
      <w:spacing w:after="120"/>
      <w:ind w:left="283"/>
    </w:pPr>
  </w:style>
  <w:style w:type="character" w:customStyle="1" w:styleId="BodyTextIndentChar">
    <w:name w:val="Body Text Indent Char"/>
    <w:basedOn w:val="DefaultParagraphFont"/>
    <w:link w:val="BodyTextIndent"/>
    <w:uiPriority w:val="99"/>
    <w:semiHidden/>
    <w:rsid w:val="00DD7DD3"/>
    <w:rPr>
      <w:rFonts w:ascii="Trebuchet MS" w:eastAsia="Times New Roman" w:hAnsi="Trebuchet MS" w:cs="Times New Roman"/>
      <w:sz w:val="19"/>
      <w:szCs w:val="20"/>
      <w:lang w:val="en-AU"/>
    </w:rPr>
  </w:style>
  <w:style w:type="paragraph" w:styleId="BodyTextFirstIndent2">
    <w:name w:val="Body Text First Indent 2"/>
    <w:basedOn w:val="Normal"/>
    <w:link w:val="BodyTextFirstIndent2Char"/>
    <w:uiPriority w:val="99"/>
    <w:semiHidden/>
    <w:rsid w:val="00DD7DD3"/>
    <w:pPr>
      <w:ind w:left="360" w:firstLine="360"/>
    </w:pPr>
  </w:style>
  <w:style w:type="character" w:customStyle="1" w:styleId="BodyTextFirstIndent2Char">
    <w:name w:val="Body Text First Indent 2 Char"/>
    <w:basedOn w:val="DefaultParagraphFont"/>
    <w:link w:val="BodyTextFirstIndent2"/>
    <w:uiPriority w:val="99"/>
    <w:semiHidden/>
    <w:rsid w:val="00DD7DD3"/>
    <w:rPr>
      <w:rFonts w:ascii="Trebuchet MS" w:eastAsia="Times New Roman" w:hAnsi="Trebuchet MS" w:cs="Times New Roman"/>
      <w:sz w:val="19"/>
      <w:szCs w:val="20"/>
      <w:lang w:val="en-AU"/>
    </w:rPr>
  </w:style>
  <w:style w:type="paragraph" w:styleId="BodyTextIndent2">
    <w:name w:val="Body Text Indent 2"/>
    <w:basedOn w:val="Normal"/>
    <w:link w:val="BodyTextIndent2Char"/>
    <w:uiPriority w:val="99"/>
    <w:semiHidden/>
    <w:rsid w:val="00DD7DD3"/>
    <w:pPr>
      <w:spacing w:after="120" w:line="480" w:lineRule="auto"/>
      <w:ind w:left="283"/>
    </w:pPr>
  </w:style>
  <w:style w:type="character" w:customStyle="1" w:styleId="BodyTextIndent2Char">
    <w:name w:val="Body Text Indent 2 Char"/>
    <w:basedOn w:val="DefaultParagraphFont"/>
    <w:link w:val="BodyTextIndent2"/>
    <w:uiPriority w:val="99"/>
    <w:semiHidden/>
    <w:rsid w:val="00DD7DD3"/>
    <w:rPr>
      <w:rFonts w:ascii="Trebuchet MS" w:eastAsia="Times New Roman" w:hAnsi="Trebuchet MS" w:cs="Times New Roman"/>
      <w:sz w:val="19"/>
      <w:szCs w:val="20"/>
      <w:lang w:val="en-AU"/>
    </w:rPr>
  </w:style>
  <w:style w:type="paragraph" w:styleId="BodyTextIndent3">
    <w:name w:val="Body Text Indent 3"/>
    <w:basedOn w:val="Normal"/>
    <w:link w:val="BodyTextIndent3Char"/>
    <w:uiPriority w:val="99"/>
    <w:semiHidden/>
    <w:rsid w:val="00DD7DD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D7DD3"/>
    <w:rPr>
      <w:rFonts w:ascii="Trebuchet MS" w:eastAsia="Times New Roman" w:hAnsi="Trebuchet MS" w:cs="Times New Roman"/>
      <w:sz w:val="16"/>
      <w:szCs w:val="16"/>
      <w:lang w:val="en-AU"/>
    </w:rPr>
  </w:style>
  <w:style w:type="paragraph" w:customStyle="1" w:styleId="BulletList">
    <w:name w:val="BulletList"/>
    <w:basedOn w:val="Normal"/>
    <w:rsid w:val="00DD7DD3"/>
    <w:pPr>
      <w:numPr>
        <w:numId w:val="18"/>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DD7DD3"/>
    <w:pPr>
      <w:numPr>
        <w:numId w:val="0"/>
      </w:numPr>
    </w:pPr>
    <w:rPr>
      <w:rFonts w:ascii="Verdana" w:hAnsi="Verdana"/>
      <w:sz w:val="19"/>
      <w:szCs w:val="19"/>
    </w:rPr>
  </w:style>
  <w:style w:type="paragraph" w:styleId="Closing">
    <w:name w:val="Closing"/>
    <w:basedOn w:val="Normal"/>
    <w:link w:val="ClosingChar"/>
    <w:uiPriority w:val="99"/>
    <w:semiHidden/>
    <w:rsid w:val="00DD7DD3"/>
    <w:pPr>
      <w:spacing w:before="0" w:line="240" w:lineRule="auto"/>
      <w:ind w:left="4252"/>
    </w:pPr>
  </w:style>
  <w:style w:type="character" w:customStyle="1" w:styleId="ClosingChar">
    <w:name w:val="Closing Char"/>
    <w:basedOn w:val="DefaultParagraphFont"/>
    <w:link w:val="Closing"/>
    <w:uiPriority w:val="99"/>
    <w:semiHidden/>
    <w:rsid w:val="00DD7DD3"/>
    <w:rPr>
      <w:rFonts w:ascii="Trebuchet MS" w:eastAsia="Times New Roman" w:hAnsi="Trebuchet MS" w:cs="Times New Roman"/>
      <w:sz w:val="19"/>
      <w:szCs w:val="20"/>
      <w:lang w:val="en-AU"/>
    </w:rPr>
  </w:style>
  <w:style w:type="paragraph" w:customStyle="1" w:styleId="Contents">
    <w:name w:val="Contents"/>
    <w:qFormat/>
    <w:rsid w:val="00DD7DD3"/>
    <w:pPr>
      <w:spacing w:after="1200" w:line="240" w:lineRule="auto"/>
    </w:pPr>
    <w:rPr>
      <w:rFonts w:ascii="Arial" w:eastAsia="Times New Roman" w:hAnsi="Arial" w:cs="Arial"/>
      <w:color w:val="000000"/>
      <w:kern w:val="28"/>
      <w:sz w:val="48"/>
      <w:szCs w:val="48"/>
      <w:lang w:val="en-AU"/>
    </w:rPr>
  </w:style>
  <w:style w:type="paragraph" w:styleId="Date">
    <w:name w:val="Date"/>
    <w:basedOn w:val="Normal"/>
    <w:next w:val="Normal"/>
    <w:link w:val="DateChar"/>
    <w:uiPriority w:val="99"/>
    <w:semiHidden/>
    <w:rsid w:val="00DD7DD3"/>
  </w:style>
  <w:style w:type="character" w:customStyle="1" w:styleId="DateChar">
    <w:name w:val="Date Char"/>
    <w:basedOn w:val="DefaultParagraphFont"/>
    <w:link w:val="Date"/>
    <w:uiPriority w:val="99"/>
    <w:semiHidden/>
    <w:rsid w:val="00DD7DD3"/>
    <w:rPr>
      <w:rFonts w:ascii="Trebuchet MS" w:eastAsia="Times New Roman" w:hAnsi="Trebuchet MS" w:cs="Times New Roman"/>
      <w:sz w:val="19"/>
      <w:szCs w:val="20"/>
      <w:lang w:val="en-AU"/>
    </w:rPr>
  </w:style>
  <w:style w:type="paragraph" w:styleId="DocumentMap">
    <w:name w:val="Document Map"/>
    <w:basedOn w:val="Normal"/>
    <w:link w:val="DocumentMapChar"/>
    <w:uiPriority w:val="99"/>
    <w:semiHidden/>
    <w:rsid w:val="00DD7DD3"/>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D7DD3"/>
    <w:rPr>
      <w:rFonts w:ascii="Tahoma" w:eastAsia="Times New Roman" w:hAnsi="Tahoma" w:cs="Tahoma"/>
      <w:sz w:val="16"/>
      <w:szCs w:val="16"/>
      <w:lang w:val="en-AU"/>
    </w:rPr>
  </w:style>
  <w:style w:type="paragraph" w:customStyle="1" w:styleId="Dotpoint1">
    <w:name w:val="Dotpoint1"/>
    <w:rsid w:val="00DD7DD3"/>
    <w:pPr>
      <w:numPr>
        <w:numId w:val="19"/>
      </w:numPr>
      <w:tabs>
        <w:tab w:val="left" w:pos="284"/>
      </w:tabs>
      <w:spacing w:before="120" w:after="0" w:line="300" w:lineRule="exact"/>
    </w:pPr>
    <w:rPr>
      <w:rFonts w:ascii="Trebuchet MS" w:eastAsia="Times New Roman" w:hAnsi="Trebuchet MS" w:cs="Times New Roman"/>
      <w:color w:val="000000"/>
      <w:sz w:val="19"/>
      <w:szCs w:val="20"/>
      <w:lang w:val="en-AU"/>
    </w:rPr>
  </w:style>
  <w:style w:type="paragraph" w:customStyle="1" w:styleId="Dotpoint2">
    <w:name w:val="Dotpoint2"/>
    <w:basedOn w:val="Dotpoint1"/>
    <w:rsid w:val="00DD7DD3"/>
    <w:pPr>
      <w:numPr>
        <w:numId w:val="20"/>
      </w:numPr>
      <w:tabs>
        <w:tab w:val="clear" w:pos="284"/>
        <w:tab w:val="left" w:pos="567"/>
      </w:tabs>
    </w:pPr>
  </w:style>
  <w:style w:type="paragraph" w:styleId="E-mailSignature">
    <w:name w:val="E-mail Signature"/>
    <w:basedOn w:val="Normal"/>
    <w:link w:val="E-mailSignatureChar"/>
    <w:uiPriority w:val="99"/>
    <w:semiHidden/>
    <w:rsid w:val="00DD7DD3"/>
    <w:pPr>
      <w:spacing w:before="0" w:line="240" w:lineRule="auto"/>
    </w:pPr>
  </w:style>
  <w:style w:type="character" w:customStyle="1" w:styleId="E-mailSignatureChar">
    <w:name w:val="E-mail Signature Char"/>
    <w:basedOn w:val="DefaultParagraphFont"/>
    <w:link w:val="E-mailSignature"/>
    <w:uiPriority w:val="99"/>
    <w:semiHidden/>
    <w:rsid w:val="00DD7DD3"/>
    <w:rPr>
      <w:rFonts w:ascii="Trebuchet MS" w:eastAsia="Times New Roman" w:hAnsi="Trebuchet MS" w:cs="Times New Roman"/>
      <w:sz w:val="19"/>
      <w:szCs w:val="20"/>
      <w:lang w:val="en-AU"/>
    </w:rPr>
  </w:style>
  <w:style w:type="character" w:styleId="Emphasis">
    <w:name w:val="Emphasis"/>
    <w:basedOn w:val="DefaultParagraphFont"/>
    <w:uiPriority w:val="20"/>
    <w:qFormat/>
    <w:rsid w:val="00DD7DD3"/>
    <w:rPr>
      <w:i/>
      <w:iCs/>
    </w:rPr>
  </w:style>
  <w:style w:type="paragraph" w:styleId="EndnoteText">
    <w:name w:val="endnote text"/>
    <w:basedOn w:val="Normal"/>
    <w:link w:val="EndnoteTextChar"/>
    <w:uiPriority w:val="99"/>
    <w:semiHidden/>
    <w:rsid w:val="00DD7DD3"/>
    <w:pPr>
      <w:spacing w:before="0" w:line="240" w:lineRule="auto"/>
    </w:pPr>
    <w:rPr>
      <w:sz w:val="20"/>
    </w:rPr>
  </w:style>
  <w:style w:type="character" w:customStyle="1" w:styleId="EndnoteTextChar">
    <w:name w:val="Endnote Text Char"/>
    <w:basedOn w:val="DefaultParagraphFont"/>
    <w:link w:val="EndnoteText"/>
    <w:uiPriority w:val="99"/>
    <w:semiHidden/>
    <w:rsid w:val="00DD7DD3"/>
    <w:rPr>
      <w:rFonts w:ascii="Trebuchet MS" w:eastAsia="Times New Roman" w:hAnsi="Trebuchet MS" w:cs="Times New Roman"/>
      <w:sz w:val="20"/>
      <w:szCs w:val="20"/>
      <w:lang w:val="en-AU"/>
    </w:rPr>
  </w:style>
  <w:style w:type="paragraph" w:styleId="EnvelopeAddress">
    <w:name w:val="envelope address"/>
    <w:basedOn w:val="Normal"/>
    <w:uiPriority w:val="99"/>
    <w:semiHidden/>
    <w:rsid w:val="00DD7DD3"/>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DD7DD3"/>
    <w:pPr>
      <w:spacing w:before="0" w:line="240" w:lineRule="auto"/>
    </w:pPr>
    <w:rPr>
      <w:rFonts w:asciiTheme="majorHAnsi" w:eastAsiaTheme="majorEastAsia" w:hAnsiTheme="majorHAnsi" w:cstheme="majorBidi"/>
      <w:sz w:val="20"/>
    </w:rPr>
  </w:style>
  <w:style w:type="paragraph" w:customStyle="1" w:styleId="Figuretitle">
    <w:name w:val="Figuretitle"/>
    <w:basedOn w:val="Normal"/>
    <w:rsid w:val="00742F04"/>
    <w:pPr>
      <w:spacing w:before="360" w:after="80" w:line="240" w:lineRule="auto"/>
      <w:ind w:left="851" w:hanging="851"/>
    </w:pPr>
    <w:rPr>
      <w:rFonts w:ascii="Arial" w:hAnsi="Arial"/>
      <w:b/>
      <w:sz w:val="17"/>
    </w:rPr>
  </w:style>
  <w:style w:type="character" w:styleId="FollowedHyperlink">
    <w:name w:val="FollowedHyperlink"/>
    <w:uiPriority w:val="99"/>
    <w:rsid w:val="00DD7DD3"/>
    <w:rPr>
      <w:color w:val="800080"/>
      <w:u w:val="single"/>
    </w:rPr>
  </w:style>
  <w:style w:type="character" w:customStyle="1" w:styleId="Heading5Char">
    <w:name w:val="Heading 5 Char"/>
    <w:basedOn w:val="DefaultParagraphFont"/>
    <w:link w:val="Heading5"/>
    <w:rsid w:val="00DD7DD3"/>
    <w:rPr>
      <w:rFonts w:ascii="Tahoma" w:eastAsia="Times New Roman" w:hAnsi="Tahoma" w:cs="Times New Roman"/>
      <w:b/>
      <w:sz w:val="19"/>
      <w:szCs w:val="20"/>
      <w:lang w:val="en-AU"/>
    </w:rPr>
  </w:style>
  <w:style w:type="character" w:customStyle="1" w:styleId="Heading6Char">
    <w:name w:val="Heading 6 Char"/>
    <w:basedOn w:val="DefaultParagraphFont"/>
    <w:link w:val="Heading6"/>
    <w:rsid w:val="00DD7DD3"/>
    <w:rPr>
      <w:rFonts w:ascii="Tahoma" w:eastAsia="Times New Roman" w:hAnsi="Tahoma" w:cs="Times New Roman"/>
      <w:sz w:val="20"/>
      <w:szCs w:val="20"/>
      <w:lang w:val="en-AU"/>
    </w:rPr>
  </w:style>
  <w:style w:type="character" w:customStyle="1" w:styleId="Heading7Char">
    <w:name w:val="Heading 7 Char"/>
    <w:basedOn w:val="DefaultParagraphFont"/>
    <w:link w:val="Heading7"/>
    <w:rsid w:val="00DD7DD3"/>
    <w:rPr>
      <w:rFonts w:ascii="Tahoma" w:eastAsia="Times New Roman" w:hAnsi="Tahoma" w:cs="Times New Roman"/>
      <w:spacing w:val="20"/>
      <w:sz w:val="20"/>
      <w:szCs w:val="20"/>
      <w:lang w:val="en-AU"/>
    </w:rPr>
  </w:style>
  <w:style w:type="character" w:customStyle="1" w:styleId="Heading8Char">
    <w:name w:val="Heading 8 Char"/>
    <w:basedOn w:val="DefaultParagraphFont"/>
    <w:link w:val="Heading8"/>
    <w:rsid w:val="00DD7DD3"/>
    <w:rPr>
      <w:rFonts w:ascii="Tahoma" w:eastAsia="Times New Roman" w:hAnsi="Tahoma" w:cs="Times New Roman"/>
      <w:color w:val="C0C0C0"/>
      <w:spacing w:val="60"/>
      <w:sz w:val="20"/>
      <w:szCs w:val="20"/>
      <w:lang w:val="en-AU"/>
    </w:rPr>
  </w:style>
  <w:style w:type="character" w:customStyle="1" w:styleId="Heading9Char">
    <w:name w:val="Heading 9 Char"/>
    <w:basedOn w:val="DefaultParagraphFont"/>
    <w:link w:val="Heading9"/>
    <w:uiPriority w:val="9"/>
    <w:semiHidden/>
    <w:rsid w:val="00DD7DD3"/>
    <w:rPr>
      <w:rFonts w:asciiTheme="majorHAnsi" w:eastAsiaTheme="majorEastAsia" w:hAnsiTheme="majorHAnsi" w:cstheme="majorBidi"/>
      <w:i/>
      <w:iCs/>
      <w:color w:val="404040" w:themeColor="text1" w:themeTint="BF"/>
      <w:sz w:val="20"/>
      <w:szCs w:val="20"/>
      <w:lang w:val="en-AU"/>
    </w:rPr>
  </w:style>
  <w:style w:type="paragraph" w:customStyle="1" w:styleId="Heading20">
    <w:name w:val="Heading2"/>
    <w:basedOn w:val="Heading3"/>
    <w:rsid w:val="00DD7DD3"/>
    <w:pPr>
      <w:keepNext/>
      <w:spacing w:before="120" w:after="240"/>
    </w:pPr>
    <w:rPr>
      <w:rFonts w:ascii="Garamond" w:hAnsi="Garamond" w:cs="Times New Roman"/>
      <w:color w:val="auto"/>
      <w:sz w:val="32"/>
      <w:szCs w:val="32"/>
      <w:lang w:eastAsia="en-AU"/>
    </w:rPr>
  </w:style>
  <w:style w:type="paragraph" w:styleId="HTMLAddress">
    <w:name w:val="HTML Address"/>
    <w:basedOn w:val="Normal"/>
    <w:link w:val="HTMLAddressChar"/>
    <w:uiPriority w:val="99"/>
    <w:semiHidden/>
    <w:rsid w:val="00DD7DD3"/>
    <w:pPr>
      <w:spacing w:before="0" w:line="240" w:lineRule="auto"/>
    </w:pPr>
    <w:rPr>
      <w:i/>
      <w:iCs/>
    </w:rPr>
  </w:style>
  <w:style w:type="character" w:customStyle="1" w:styleId="HTMLAddressChar">
    <w:name w:val="HTML Address Char"/>
    <w:basedOn w:val="DefaultParagraphFont"/>
    <w:link w:val="HTMLAddress"/>
    <w:uiPriority w:val="99"/>
    <w:semiHidden/>
    <w:rsid w:val="00DD7DD3"/>
    <w:rPr>
      <w:rFonts w:ascii="Trebuchet MS" w:eastAsia="Times New Roman" w:hAnsi="Trebuchet MS" w:cs="Times New Roman"/>
      <w:i/>
      <w:iCs/>
      <w:sz w:val="19"/>
      <w:szCs w:val="20"/>
      <w:lang w:val="en-AU"/>
    </w:rPr>
  </w:style>
  <w:style w:type="paragraph" w:styleId="HTMLPreformatted">
    <w:name w:val="HTML Preformatted"/>
    <w:basedOn w:val="Normal"/>
    <w:link w:val="HTMLPreformattedChar"/>
    <w:uiPriority w:val="99"/>
    <w:semiHidden/>
    <w:rsid w:val="00DD7DD3"/>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DD7DD3"/>
    <w:rPr>
      <w:rFonts w:ascii="Consolas" w:eastAsia="Times New Roman" w:hAnsi="Consolas" w:cs="Consolas"/>
      <w:sz w:val="20"/>
      <w:szCs w:val="20"/>
      <w:lang w:val="en-AU"/>
    </w:rPr>
  </w:style>
  <w:style w:type="paragraph" w:customStyle="1" w:styleId="Imprint">
    <w:name w:val="Imprint"/>
    <w:basedOn w:val="Normal"/>
    <w:rsid w:val="00DD7DD3"/>
    <w:pPr>
      <w:spacing w:line="260" w:lineRule="atLeast"/>
    </w:pPr>
    <w:rPr>
      <w:sz w:val="16"/>
    </w:rPr>
  </w:style>
  <w:style w:type="paragraph" w:styleId="Index1">
    <w:name w:val="index 1"/>
    <w:basedOn w:val="Normal"/>
    <w:next w:val="Normal"/>
    <w:autoRedefine/>
    <w:uiPriority w:val="99"/>
    <w:semiHidden/>
    <w:rsid w:val="00DD7DD3"/>
    <w:pPr>
      <w:spacing w:before="0" w:line="240" w:lineRule="auto"/>
      <w:ind w:left="190" w:hanging="190"/>
    </w:pPr>
  </w:style>
  <w:style w:type="paragraph" w:styleId="Index2">
    <w:name w:val="index 2"/>
    <w:basedOn w:val="Normal"/>
    <w:next w:val="Normal"/>
    <w:autoRedefine/>
    <w:uiPriority w:val="99"/>
    <w:semiHidden/>
    <w:rsid w:val="00DD7DD3"/>
    <w:pPr>
      <w:spacing w:before="0" w:line="240" w:lineRule="auto"/>
      <w:ind w:left="380" w:hanging="190"/>
    </w:pPr>
  </w:style>
  <w:style w:type="paragraph" w:styleId="Index3">
    <w:name w:val="index 3"/>
    <w:basedOn w:val="Normal"/>
    <w:next w:val="Normal"/>
    <w:autoRedefine/>
    <w:uiPriority w:val="99"/>
    <w:semiHidden/>
    <w:rsid w:val="00DD7DD3"/>
    <w:pPr>
      <w:spacing w:before="0" w:line="240" w:lineRule="auto"/>
      <w:ind w:left="570" w:hanging="190"/>
    </w:pPr>
  </w:style>
  <w:style w:type="paragraph" w:styleId="Index4">
    <w:name w:val="index 4"/>
    <w:basedOn w:val="Normal"/>
    <w:next w:val="Normal"/>
    <w:autoRedefine/>
    <w:uiPriority w:val="99"/>
    <w:semiHidden/>
    <w:rsid w:val="00DD7DD3"/>
    <w:pPr>
      <w:spacing w:before="0" w:line="240" w:lineRule="auto"/>
      <w:ind w:left="760" w:hanging="190"/>
    </w:pPr>
  </w:style>
  <w:style w:type="paragraph" w:styleId="Index5">
    <w:name w:val="index 5"/>
    <w:basedOn w:val="Normal"/>
    <w:next w:val="Normal"/>
    <w:autoRedefine/>
    <w:uiPriority w:val="99"/>
    <w:semiHidden/>
    <w:rsid w:val="00DD7DD3"/>
    <w:pPr>
      <w:spacing w:before="0" w:line="240" w:lineRule="auto"/>
      <w:ind w:left="950" w:hanging="190"/>
    </w:pPr>
  </w:style>
  <w:style w:type="paragraph" w:styleId="Index6">
    <w:name w:val="index 6"/>
    <w:basedOn w:val="Normal"/>
    <w:next w:val="Normal"/>
    <w:autoRedefine/>
    <w:uiPriority w:val="99"/>
    <w:semiHidden/>
    <w:rsid w:val="00DD7DD3"/>
    <w:pPr>
      <w:spacing w:before="0" w:line="240" w:lineRule="auto"/>
      <w:ind w:left="1140" w:hanging="190"/>
    </w:pPr>
  </w:style>
  <w:style w:type="paragraph" w:styleId="Index7">
    <w:name w:val="index 7"/>
    <w:basedOn w:val="Normal"/>
    <w:next w:val="Normal"/>
    <w:autoRedefine/>
    <w:uiPriority w:val="99"/>
    <w:semiHidden/>
    <w:rsid w:val="00DD7DD3"/>
    <w:pPr>
      <w:spacing w:before="0" w:line="240" w:lineRule="auto"/>
      <w:ind w:left="1330" w:hanging="190"/>
    </w:pPr>
  </w:style>
  <w:style w:type="paragraph" w:styleId="Index8">
    <w:name w:val="index 8"/>
    <w:basedOn w:val="Normal"/>
    <w:next w:val="Normal"/>
    <w:autoRedefine/>
    <w:uiPriority w:val="99"/>
    <w:semiHidden/>
    <w:rsid w:val="00DD7DD3"/>
    <w:pPr>
      <w:spacing w:before="0" w:line="240" w:lineRule="auto"/>
      <w:ind w:left="1520" w:hanging="190"/>
    </w:pPr>
  </w:style>
  <w:style w:type="paragraph" w:styleId="Index9">
    <w:name w:val="index 9"/>
    <w:basedOn w:val="Normal"/>
    <w:next w:val="Normal"/>
    <w:autoRedefine/>
    <w:uiPriority w:val="99"/>
    <w:semiHidden/>
    <w:rsid w:val="00DD7DD3"/>
    <w:pPr>
      <w:spacing w:before="0" w:line="240" w:lineRule="auto"/>
      <w:ind w:left="1710" w:hanging="190"/>
    </w:pPr>
  </w:style>
  <w:style w:type="paragraph" w:styleId="IndexHeading">
    <w:name w:val="index heading"/>
    <w:basedOn w:val="Normal"/>
    <w:next w:val="Index1"/>
    <w:uiPriority w:val="99"/>
    <w:semiHidden/>
    <w:rsid w:val="00DD7DD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D7DD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D7DD3"/>
    <w:rPr>
      <w:rFonts w:ascii="Trebuchet MS" w:eastAsia="Times New Roman" w:hAnsi="Trebuchet MS" w:cs="Times New Roman"/>
      <w:b/>
      <w:bCs/>
      <w:i/>
      <w:iCs/>
      <w:color w:val="4F81BD" w:themeColor="accent1"/>
      <w:sz w:val="19"/>
      <w:szCs w:val="20"/>
      <w:lang w:val="en-AU"/>
    </w:rPr>
  </w:style>
  <w:style w:type="paragraph" w:customStyle="1" w:styleId="Keymessages">
    <w:name w:val="Key messages"/>
    <w:uiPriority w:val="1"/>
    <w:qFormat/>
    <w:rsid w:val="00C56458"/>
    <w:pPr>
      <w:spacing w:before="360" w:after="0" w:line="240" w:lineRule="auto"/>
    </w:pPr>
    <w:rPr>
      <w:rFonts w:ascii="Arial" w:eastAsia="Times New Roman" w:hAnsi="Arial" w:cs="Tahoma"/>
      <w:sz w:val="28"/>
      <w:szCs w:val="20"/>
      <w:lang w:val="en-AU"/>
    </w:rPr>
  </w:style>
  <w:style w:type="paragraph" w:styleId="List">
    <w:name w:val="List"/>
    <w:basedOn w:val="Normal"/>
    <w:uiPriority w:val="99"/>
    <w:semiHidden/>
    <w:rsid w:val="00DD7DD3"/>
    <w:pPr>
      <w:ind w:left="283" w:hanging="283"/>
      <w:contextualSpacing/>
    </w:pPr>
  </w:style>
  <w:style w:type="paragraph" w:styleId="List2">
    <w:name w:val="List 2"/>
    <w:basedOn w:val="Normal"/>
    <w:uiPriority w:val="99"/>
    <w:semiHidden/>
    <w:rsid w:val="00DD7DD3"/>
    <w:pPr>
      <w:ind w:left="566" w:hanging="283"/>
      <w:contextualSpacing/>
    </w:pPr>
  </w:style>
  <w:style w:type="paragraph" w:styleId="List3">
    <w:name w:val="List 3"/>
    <w:basedOn w:val="Normal"/>
    <w:uiPriority w:val="99"/>
    <w:semiHidden/>
    <w:rsid w:val="00DD7DD3"/>
    <w:pPr>
      <w:ind w:left="849" w:hanging="283"/>
      <w:contextualSpacing/>
    </w:pPr>
  </w:style>
  <w:style w:type="paragraph" w:styleId="List4">
    <w:name w:val="List 4"/>
    <w:basedOn w:val="Normal"/>
    <w:uiPriority w:val="99"/>
    <w:semiHidden/>
    <w:rsid w:val="00DD7DD3"/>
    <w:pPr>
      <w:ind w:left="1132" w:hanging="283"/>
      <w:contextualSpacing/>
    </w:pPr>
  </w:style>
  <w:style w:type="paragraph" w:styleId="List5">
    <w:name w:val="List 5"/>
    <w:basedOn w:val="Normal"/>
    <w:uiPriority w:val="99"/>
    <w:semiHidden/>
    <w:rsid w:val="00DD7DD3"/>
    <w:pPr>
      <w:ind w:left="1415" w:hanging="283"/>
      <w:contextualSpacing/>
    </w:pPr>
  </w:style>
  <w:style w:type="paragraph" w:styleId="ListBullet2">
    <w:name w:val="List Bullet 2"/>
    <w:basedOn w:val="Normal"/>
    <w:uiPriority w:val="99"/>
    <w:semiHidden/>
    <w:rsid w:val="00DD7DD3"/>
    <w:pPr>
      <w:numPr>
        <w:numId w:val="22"/>
      </w:numPr>
      <w:contextualSpacing/>
    </w:pPr>
  </w:style>
  <w:style w:type="paragraph" w:styleId="ListBullet3">
    <w:name w:val="List Bullet 3"/>
    <w:basedOn w:val="Normal"/>
    <w:uiPriority w:val="99"/>
    <w:semiHidden/>
    <w:rsid w:val="00DD7DD3"/>
    <w:pPr>
      <w:numPr>
        <w:numId w:val="24"/>
      </w:numPr>
      <w:contextualSpacing/>
    </w:pPr>
  </w:style>
  <w:style w:type="paragraph" w:styleId="ListBullet4">
    <w:name w:val="List Bullet 4"/>
    <w:basedOn w:val="Normal"/>
    <w:uiPriority w:val="99"/>
    <w:semiHidden/>
    <w:rsid w:val="00DD7DD3"/>
    <w:pPr>
      <w:numPr>
        <w:numId w:val="26"/>
      </w:numPr>
      <w:contextualSpacing/>
    </w:pPr>
  </w:style>
  <w:style w:type="paragraph" w:styleId="ListBullet5">
    <w:name w:val="List Bullet 5"/>
    <w:basedOn w:val="Normal"/>
    <w:uiPriority w:val="99"/>
    <w:semiHidden/>
    <w:rsid w:val="00DD7DD3"/>
    <w:pPr>
      <w:numPr>
        <w:numId w:val="28"/>
      </w:numPr>
      <w:contextualSpacing/>
    </w:pPr>
  </w:style>
  <w:style w:type="paragraph" w:styleId="ListContinue">
    <w:name w:val="List Continue"/>
    <w:basedOn w:val="Normal"/>
    <w:uiPriority w:val="99"/>
    <w:semiHidden/>
    <w:rsid w:val="00DD7DD3"/>
    <w:pPr>
      <w:spacing w:after="120"/>
      <w:ind w:left="283"/>
      <w:contextualSpacing/>
    </w:pPr>
  </w:style>
  <w:style w:type="paragraph" w:styleId="ListContinue2">
    <w:name w:val="List Continue 2"/>
    <w:basedOn w:val="Normal"/>
    <w:uiPriority w:val="99"/>
    <w:semiHidden/>
    <w:rsid w:val="00DD7DD3"/>
    <w:pPr>
      <w:spacing w:after="120"/>
      <w:ind w:left="566"/>
      <w:contextualSpacing/>
    </w:pPr>
  </w:style>
  <w:style w:type="paragraph" w:styleId="ListContinue3">
    <w:name w:val="List Continue 3"/>
    <w:basedOn w:val="Normal"/>
    <w:uiPriority w:val="99"/>
    <w:semiHidden/>
    <w:rsid w:val="00DD7DD3"/>
    <w:pPr>
      <w:spacing w:after="120"/>
      <w:ind w:left="849"/>
      <w:contextualSpacing/>
    </w:pPr>
  </w:style>
  <w:style w:type="paragraph" w:styleId="ListContinue4">
    <w:name w:val="List Continue 4"/>
    <w:basedOn w:val="Normal"/>
    <w:uiPriority w:val="99"/>
    <w:semiHidden/>
    <w:rsid w:val="00DD7DD3"/>
    <w:pPr>
      <w:spacing w:after="120"/>
      <w:ind w:left="1132"/>
      <w:contextualSpacing/>
    </w:pPr>
  </w:style>
  <w:style w:type="paragraph" w:styleId="ListContinue5">
    <w:name w:val="List Continue 5"/>
    <w:basedOn w:val="Normal"/>
    <w:uiPriority w:val="99"/>
    <w:semiHidden/>
    <w:rsid w:val="00DD7DD3"/>
    <w:pPr>
      <w:spacing w:after="120"/>
      <w:ind w:left="1415"/>
      <w:contextualSpacing/>
    </w:pPr>
  </w:style>
  <w:style w:type="paragraph" w:styleId="ListNumber">
    <w:name w:val="List Number"/>
    <w:basedOn w:val="Normal"/>
    <w:uiPriority w:val="99"/>
    <w:semiHidden/>
    <w:rsid w:val="00DD7DD3"/>
    <w:pPr>
      <w:numPr>
        <w:numId w:val="30"/>
      </w:numPr>
      <w:contextualSpacing/>
    </w:pPr>
  </w:style>
  <w:style w:type="paragraph" w:styleId="ListNumber2">
    <w:name w:val="List Number 2"/>
    <w:basedOn w:val="Normal"/>
    <w:uiPriority w:val="99"/>
    <w:semiHidden/>
    <w:rsid w:val="00DD7DD3"/>
    <w:pPr>
      <w:numPr>
        <w:numId w:val="32"/>
      </w:numPr>
      <w:contextualSpacing/>
    </w:pPr>
  </w:style>
  <w:style w:type="paragraph" w:styleId="ListNumber3">
    <w:name w:val="List Number 3"/>
    <w:basedOn w:val="Normal"/>
    <w:uiPriority w:val="99"/>
    <w:semiHidden/>
    <w:rsid w:val="00DD7DD3"/>
    <w:pPr>
      <w:numPr>
        <w:numId w:val="34"/>
      </w:numPr>
      <w:contextualSpacing/>
    </w:pPr>
  </w:style>
  <w:style w:type="paragraph" w:styleId="ListNumber4">
    <w:name w:val="List Number 4"/>
    <w:basedOn w:val="Normal"/>
    <w:uiPriority w:val="99"/>
    <w:semiHidden/>
    <w:rsid w:val="00DD7DD3"/>
    <w:pPr>
      <w:numPr>
        <w:numId w:val="36"/>
      </w:numPr>
      <w:contextualSpacing/>
    </w:pPr>
  </w:style>
  <w:style w:type="paragraph" w:styleId="ListNumber5">
    <w:name w:val="List Number 5"/>
    <w:basedOn w:val="Normal"/>
    <w:uiPriority w:val="99"/>
    <w:semiHidden/>
    <w:rsid w:val="00DD7DD3"/>
    <w:pPr>
      <w:numPr>
        <w:numId w:val="38"/>
      </w:numPr>
      <w:contextualSpacing/>
    </w:pPr>
  </w:style>
  <w:style w:type="paragraph" w:styleId="MacroText">
    <w:name w:val="macro"/>
    <w:link w:val="MacroTextChar"/>
    <w:uiPriority w:val="99"/>
    <w:semiHidden/>
    <w:rsid w:val="00DD7DD3"/>
    <w:pPr>
      <w:tabs>
        <w:tab w:val="left" w:pos="480"/>
        <w:tab w:val="left" w:pos="960"/>
        <w:tab w:val="left" w:pos="1440"/>
        <w:tab w:val="left" w:pos="1920"/>
        <w:tab w:val="left" w:pos="2400"/>
        <w:tab w:val="left" w:pos="2880"/>
        <w:tab w:val="left" w:pos="3360"/>
        <w:tab w:val="left" w:pos="3840"/>
        <w:tab w:val="left" w:pos="4320"/>
      </w:tabs>
      <w:spacing w:before="160" w:after="0" w:line="260" w:lineRule="exact"/>
    </w:pPr>
    <w:rPr>
      <w:rFonts w:ascii="Consolas" w:eastAsia="Times New Roman" w:hAnsi="Consolas" w:cs="Consolas"/>
      <w:sz w:val="20"/>
      <w:szCs w:val="20"/>
      <w:lang w:val="en-AU"/>
    </w:rPr>
  </w:style>
  <w:style w:type="character" w:customStyle="1" w:styleId="MacroTextChar">
    <w:name w:val="Macro Text Char"/>
    <w:basedOn w:val="DefaultParagraphFont"/>
    <w:link w:val="MacroText"/>
    <w:uiPriority w:val="99"/>
    <w:semiHidden/>
    <w:rsid w:val="00DD7DD3"/>
    <w:rPr>
      <w:rFonts w:ascii="Consolas" w:eastAsia="Times New Roman" w:hAnsi="Consolas" w:cs="Consolas"/>
      <w:sz w:val="20"/>
      <w:szCs w:val="20"/>
      <w:lang w:val="en-AU"/>
    </w:rPr>
  </w:style>
  <w:style w:type="paragraph" w:styleId="MessageHeader">
    <w:name w:val="Message Header"/>
    <w:basedOn w:val="Normal"/>
    <w:link w:val="MessageHeaderChar"/>
    <w:uiPriority w:val="99"/>
    <w:semiHidden/>
    <w:rsid w:val="00DD7DD3"/>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D7DD3"/>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DD7DD3"/>
    <w:pPr>
      <w:spacing w:after="0" w:line="240" w:lineRule="auto"/>
    </w:pPr>
    <w:rPr>
      <w:rFonts w:ascii="Trebuchet MS" w:eastAsia="Times New Roman" w:hAnsi="Trebuchet MS" w:cs="Times New Roman"/>
      <w:sz w:val="19"/>
      <w:szCs w:val="20"/>
      <w:lang w:val="en-AU"/>
    </w:rPr>
  </w:style>
  <w:style w:type="paragraph" w:styleId="NormalIndent">
    <w:name w:val="Normal Indent"/>
    <w:basedOn w:val="Normal"/>
    <w:uiPriority w:val="99"/>
    <w:semiHidden/>
    <w:rsid w:val="00DD7DD3"/>
    <w:pPr>
      <w:ind w:left="720"/>
    </w:pPr>
  </w:style>
  <w:style w:type="paragraph" w:styleId="NoteHeading">
    <w:name w:val="Note Heading"/>
    <w:basedOn w:val="Normal"/>
    <w:next w:val="Normal"/>
    <w:link w:val="NoteHeadingChar"/>
    <w:uiPriority w:val="99"/>
    <w:semiHidden/>
    <w:rsid w:val="00DD7DD3"/>
    <w:pPr>
      <w:spacing w:before="0" w:line="240" w:lineRule="auto"/>
    </w:pPr>
  </w:style>
  <w:style w:type="character" w:customStyle="1" w:styleId="NoteHeadingChar">
    <w:name w:val="Note Heading Char"/>
    <w:basedOn w:val="DefaultParagraphFont"/>
    <w:link w:val="NoteHeading"/>
    <w:uiPriority w:val="99"/>
    <w:semiHidden/>
    <w:rsid w:val="00DD7DD3"/>
    <w:rPr>
      <w:rFonts w:ascii="Trebuchet MS" w:eastAsia="Times New Roman" w:hAnsi="Trebuchet MS" w:cs="Times New Roman"/>
      <w:sz w:val="19"/>
      <w:szCs w:val="20"/>
      <w:lang w:val="en-AU"/>
    </w:rPr>
  </w:style>
  <w:style w:type="paragraph" w:customStyle="1" w:styleId="NumberedListContinuing">
    <w:name w:val="NumberedListContinuing"/>
    <w:basedOn w:val="Dotpoint1"/>
    <w:rsid w:val="00DD7DD3"/>
    <w:pPr>
      <w:numPr>
        <w:numId w:val="39"/>
      </w:numPr>
      <w:tabs>
        <w:tab w:val="clear" w:pos="284"/>
      </w:tabs>
    </w:pPr>
    <w:rPr>
      <w:lang w:eastAsia="en-AU"/>
    </w:rPr>
  </w:style>
  <w:style w:type="paragraph" w:customStyle="1" w:styleId="NumberedAlphaLevel2">
    <w:name w:val="NumberedAlphaLevel2"/>
    <w:basedOn w:val="NumberedListContinuing"/>
    <w:uiPriority w:val="1"/>
    <w:qFormat/>
    <w:rsid w:val="00DD7DD3"/>
    <w:pPr>
      <w:numPr>
        <w:numId w:val="0"/>
      </w:numPr>
      <w:tabs>
        <w:tab w:val="num" w:pos="567"/>
      </w:tabs>
      <w:spacing w:before="80"/>
      <w:ind w:left="567" w:hanging="283"/>
    </w:pPr>
    <w:rPr>
      <w:color w:val="auto"/>
    </w:rPr>
  </w:style>
  <w:style w:type="paragraph" w:customStyle="1" w:styleId="NumberedList">
    <w:name w:val="NumberedList"/>
    <w:uiPriority w:val="1"/>
    <w:qFormat/>
    <w:rsid w:val="00DD7DD3"/>
    <w:pPr>
      <w:numPr>
        <w:numId w:val="40"/>
      </w:numPr>
      <w:spacing w:before="80" w:after="0" w:line="300" w:lineRule="exact"/>
    </w:pPr>
    <w:rPr>
      <w:rFonts w:ascii="Trebuchet MS" w:eastAsia="Times New Roman" w:hAnsi="Trebuchet MS" w:cs="Times New Roman"/>
      <w:sz w:val="19"/>
      <w:szCs w:val="20"/>
      <w:lang w:val="en-AU" w:eastAsia="en-AU"/>
    </w:rPr>
  </w:style>
  <w:style w:type="paragraph" w:customStyle="1" w:styleId="NumericalList">
    <w:name w:val="Numerical List"/>
    <w:basedOn w:val="Text"/>
    <w:rsid w:val="00DD7DD3"/>
    <w:pPr>
      <w:tabs>
        <w:tab w:val="left" w:pos="404"/>
      </w:tabs>
      <w:spacing w:before="0" w:line="240" w:lineRule="auto"/>
      <w:ind w:left="389" w:hanging="389"/>
    </w:pPr>
    <w:rPr>
      <w:rFonts w:ascii="Verdana" w:hAnsi="Verdana" w:cs="Arial"/>
      <w:lang w:eastAsia="en-AU"/>
    </w:rPr>
  </w:style>
  <w:style w:type="paragraph" w:customStyle="1" w:styleId="Organisation">
    <w:name w:val="Organisation"/>
    <w:basedOn w:val="Authors"/>
    <w:uiPriority w:val="1"/>
    <w:qFormat/>
    <w:rsid w:val="00DD7DD3"/>
    <w:pPr>
      <w:spacing w:before="120"/>
      <w:ind w:right="0"/>
    </w:pPr>
    <w:rPr>
      <w:sz w:val="24"/>
    </w:rPr>
  </w:style>
  <w:style w:type="character" w:styleId="PageNumber">
    <w:name w:val="page number"/>
    <w:basedOn w:val="DefaultParagraphFont"/>
    <w:rsid w:val="00185BB3"/>
    <w:rPr>
      <w:rFonts w:ascii="Arial" w:hAnsi="Arial"/>
      <w:sz w:val="18"/>
    </w:rPr>
  </w:style>
  <w:style w:type="character" w:styleId="PlaceholderText">
    <w:name w:val="Placeholder Text"/>
    <w:basedOn w:val="DefaultParagraphFont"/>
    <w:uiPriority w:val="99"/>
    <w:semiHidden/>
    <w:rsid w:val="00DD7DD3"/>
    <w:rPr>
      <w:color w:val="808080"/>
    </w:rPr>
  </w:style>
  <w:style w:type="paragraph" w:customStyle="1" w:styleId="PublicationTitle">
    <w:name w:val="Publication Title"/>
    <w:qFormat/>
    <w:rsid w:val="00DD7DD3"/>
    <w:pPr>
      <w:spacing w:before="3200" w:after="840" w:line="240" w:lineRule="auto"/>
      <w:ind w:left="1701"/>
    </w:pPr>
    <w:rPr>
      <w:rFonts w:ascii="Tahoma" w:eastAsia="Times New Roman" w:hAnsi="Tahoma" w:cs="Tahoma"/>
      <w:color w:val="000000"/>
      <w:kern w:val="28"/>
      <w:sz w:val="56"/>
      <w:szCs w:val="56"/>
      <w:lang w:val="en-AU"/>
    </w:rPr>
  </w:style>
  <w:style w:type="paragraph" w:customStyle="1" w:styleId="PullQuote">
    <w:name w:val="PullQuote"/>
    <w:basedOn w:val="Normal"/>
    <w:uiPriority w:val="1"/>
    <w:qFormat/>
    <w:rsid w:val="00DD7DD3"/>
    <w:pPr>
      <w:pBdr>
        <w:top w:val="single" w:sz="8" w:space="1" w:color="auto"/>
      </w:pBdr>
      <w:spacing w:before="0" w:line="280" w:lineRule="exact"/>
      <w:ind w:left="-425"/>
    </w:pPr>
    <w:rPr>
      <w:rFonts w:ascii="Arial" w:hAnsi="Arial" w:cs="Arial"/>
      <w:b/>
      <w:sz w:val="17"/>
      <w:szCs w:val="17"/>
    </w:rPr>
  </w:style>
  <w:style w:type="paragraph" w:customStyle="1" w:styleId="Reference">
    <w:name w:val="Reference"/>
    <w:basedOn w:val="Text"/>
    <w:rsid w:val="00DD7DD3"/>
    <w:pPr>
      <w:spacing w:before="0" w:after="120" w:line="240" w:lineRule="auto"/>
    </w:pPr>
    <w:rPr>
      <w:rFonts w:ascii="Verdana" w:hAnsi="Verdana"/>
      <w:spacing w:val="8"/>
      <w:sz w:val="18"/>
      <w:szCs w:val="18"/>
      <w:lang w:eastAsia="en-AU"/>
    </w:rPr>
  </w:style>
  <w:style w:type="paragraph" w:customStyle="1" w:styleId="References">
    <w:name w:val="References"/>
    <w:rsid w:val="00DD7DD3"/>
    <w:pPr>
      <w:spacing w:before="80" w:after="0" w:line="240" w:lineRule="auto"/>
      <w:ind w:left="284" w:right="-369" w:hanging="284"/>
    </w:pPr>
    <w:rPr>
      <w:rFonts w:ascii="Trebuchet MS" w:eastAsia="Times New Roman" w:hAnsi="Trebuchet MS" w:cs="Times New Roman"/>
      <w:sz w:val="18"/>
      <w:szCs w:val="20"/>
      <w:lang w:val="en-AU"/>
    </w:rPr>
  </w:style>
  <w:style w:type="paragraph" w:styleId="Salutation">
    <w:name w:val="Salutation"/>
    <w:basedOn w:val="Normal"/>
    <w:next w:val="Normal"/>
    <w:link w:val="SalutationChar"/>
    <w:uiPriority w:val="99"/>
    <w:semiHidden/>
    <w:rsid w:val="00DD7DD3"/>
  </w:style>
  <w:style w:type="character" w:customStyle="1" w:styleId="SalutationChar">
    <w:name w:val="Salutation Char"/>
    <w:basedOn w:val="DefaultParagraphFont"/>
    <w:link w:val="Salutation"/>
    <w:uiPriority w:val="99"/>
    <w:semiHidden/>
    <w:rsid w:val="00DD7DD3"/>
    <w:rPr>
      <w:rFonts w:ascii="Trebuchet MS" w:eastAsia="Times New Roman" w:hAnsi="Trebuchet MS" w:cs="Times New Roman"/>
      <w:sz w:val="19"/>
      <w:szCs w:val="20"/>
      <w:lang w:val="en-AU"/>
    </w:rPr>
  </w:style>
  <w:style w:type="paragraph" w:styleId="Signature">
    <w:name w:val="Signature"/>
    <w:basedOn w:val="Normal"/>
    <w:link w:val="SignatureChar"/>
    <w:uiPriority w:val="99"/>
    <w:semiHidden/>
    <w:rsid w:val="00DD7DD3"/>
    <w:pPr>
      <w:spacing w:before="0" w:line="240" w:lineRule="auto"/>
      <w:ind w:left="4252"/>
    </w:pPr>
  </w:style>
  <w:style w:type="character" w:customStyle="1" w:styleId="SignatureChar">
    <w:name w:val="Signature Char"/>
    <w:basedOn w:val="DefaultParagraphFont"/>
    <w:link w:val="Signature"/>
    <w:uiPriority w:val="99"/>
    <w:semiHidden/>
    <w:rsid w:val="00DD7DD3"/>
    <w:rPr>
      <w:rFonts w:ascii="Trebuchet MS" w:eastAsia="Times New Roman" w:hAnsi="Trebuchet MS" w:cs="Times New Roman"/>
      <w:sz w:val="19"/>
      <w:szCs w:val="20"/>
      <w:lang w:val="en-AU"/>
    </w:rPr>
  </w:style>
  <w:style w:type="paragraph" w:customStyle="1" w:styleId="Source">
    <w:name w:val="Source"/>
    <w:rsid w:val="00DD7DD3"/>
    <w:pPr>
      <w:spacing w:before="40" w:after="0" w:line="240" w:lineRule="auto"/>
      <w:ind w:left="567" w:hanging="567"/>
    </w:pPr>
    <w:rPr>
      <w:rFonts w:ascii="Arial" w:eastAsia="Times New Roman" w:hAnsi="Arial" w:cs="Times New Roman"/>
      <w:sz w:val="15"/>
      <w:szCs w:val="20"/>
      <w:lang w:val="en-AU"/>
    </w:rPr>
  </w:style>
  <w:style w:type="paragraph" w:styleId="Subtitle">
    <w:name w:val="Subtitle"/>
    <w:basedOn w:val="Normal"/>
    <w:next w:val="Normal"/>
    <w:link w:val="SubtitleChar"/>
    <w:uiPriority w:val="11"/>
    <w:qFormat/>
    <w:rsid w:val="00DD7D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D7DD3"/>
    <w:rPr>
      <w:rFonts w:asciiTheme="majorHAnsi" w:eastAsiaTheme="majorEastAsia" w:hAnsiTheme="majorHAnsi" w:cstheme="majorBidi"/>
      <w:i/>
      <w:iCs/>
      <w:color w:val="4F81BD" w:themeColor="accent1"/>
      <w:spacing w:val="15"/>
      <w:sz w:val="24"/>
      <w:szCs w:val="24"/>
      <w:lang w:val="en-AU"/>
    </w:rPr>
  </w:style>
  <w:style w:type="table" w:styleId="TableGrid">
    <w:name w:val="Table Grid"/>
    <w:basedOn w:val="TableNormal"/>
    <w:uiPriority w:val="59"/>
    <w:rsid w:val="00DD7DD3"/>
    <w:pPr>
      <w:spacing w:after="0" w:line="240" w:lineRule="auto"/>
    </w:pPr>
    <w:rPr>
      <w:rFonts w:ascii="Times New Roman" w:eastAsia="Times New Roma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ableofAuthorities">
    <w:name w:val="table of authorities"/>
    <w:basedOn w:val="Normal"/>
    <w:next w:val="Normal"/>
    <w:uiPriority w:val="99"/>
    <w:semiHidden/>
    <w:rsid w:val="00DD7DD3"/>
    <w:pPr>
      <w:ind w:left="190" w:hanging="190"/>
    </w:pPr>
  </w:style>
  <w:style w:type="paragraph" w:styleId="TOC1">
    <w:name w:val="toc 1"/>
    <w:uiPriority w:val="39"/>
    <w:rsid w:val="00DD7DD3"/>
    <w:pPr>
      <w:tabs>
        <w:tab w:val="right" w:pos="6804"/>
      </w:tabs>
      <w:spacing w:before="120" w:after="0" w:line="300" w:lineRule="exact"/>
      <w:ind w:right="1984"/>
    </w:pPr>
    <w:rPr>
      <w:rFonts w:ascii="Trebuchet MS" w:eastAsia="Times New Roman" w:hAnsi="Trebuchet MS" w:cs="Times New Roman"/>
      <w:noProof/>
      <w:color w:val="000000"/>
      <w:sz w:val="19"/>
      <w:szCs w:val="19"/>
      <w:lang w:val="en-AU"/>
    </w:rPr>
  </w:style>
  <w:style w:type="paragraph" w:styleId="TableofFigures">
    <w:name w:val="table of figures"/>
    <w:basedOn w:val="TOC1"/>
    <w:next w:val="Normal"/>
    <w:uiPriority w:val="99"/>
    <w:rsid w:val="00DD7DD3"/>
    <w:pPr>
      <w:tabs>
        <w:tab w:val="left" w:pos="284"/>
      </w:tabs>
      <w:spacing w:before="80"/>
    </w:pPr>
  </w:style>
  <w:style w:type="paragraph" w:customStyle="1" w:styleId="Tabletext">
    <w:name w:val="Table text"/>
    <w:next w:val="Text"/>
    <w:rsid w:val="00742F04"/>
    <w:pPr>
      <w:spacing w:before="40" w:after="40" w:line="240" w:lineRule="auto"/>
    </w:pPr>
    <w:rPr>
      <w:rFonts w:ascii="Arial" w:eastAsia="Times New Roman" w:hAnsi="Arial" w:cs="Times New Roman"/>
      <w:sz w:val="16"/>
      <w:szCs w:val="20"/>
      <w:lang w:val="en-AU"/>
    </w:rPr>
  </w:style>
  <w:style w:type="paragraph" w:customStyle="1" w:styleId="TableFont">
    <w:name w:val="TableFont"/>
    <w:basedOn w:val="Normal"/>
    <w:link w:val="TableFontChar"/>
    <w:uiPriority w:val="99"/>
    <w:rsid w:val="00DD7DD3"/>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DD7DD3"/>
    <w:rPr>
      <w:rFonts w:ascii="Arial" w:eastAsia="Times New Roman" w:hAnsi="Arial" w:cs="Arial"/>
      <w:color w:val="000000"/>
      <w:sz w:val="18"/>
      <w:szCs w:val="20"/>
      <w:lang w:val="en-GB"/>
    </w:rPr>
  </w:style>
  <w:style w:type="paragraph" w:customStyle="1" w:styleId="Tablehead1">
    <w:name w:val="Tablehead1"/>
    <w:rsid w:val="00DD7DD3"/>
    <w:pPr>
      <w:spacing w:before="80" w:after="80" w:line="240" w:lineRule="auto"/>
    </w:pPr>
    <w:rPr>
      <w:rFonts w:ascii="Arial" w:eastAsia="Times New Roman" w:hAnsi="Arial" w:cs="Times New Roman"/>
      <w:b/>
      <w:sz w:val="17"/>
      <w:szCs w:val="20"/>
      <w:lang w:val="en-AU"/>
    </w:rPr>
  </w:style>
  <w:style w:type="paragraph" w:customStyle="1" w:styleId="Tablehead2">
    <w:name w:val="Tablehead2"/>
    <w:basedOn w:val="Tablehead1"/>
    <w:rsid w:val="00742F04"/>
    <w:pPr>
      <w:tabs>
        <w:tab w:val="left" w:pos="992"/>
      </w:tabs>
      <w:spacing w:before="20" w:after="20"/>
    </w:pPr>
    <w:rPr>
      <w:b w:val="0"/>
    </w:rPr>
  </w:style>
  <w:style w:type="paragraph" w:customStyle="1" w:styleId="Tablehead3">
    <w:name w:val="Tablehead3"/>
    <w:basedOn w:val="Tablehead2"/>
    <w:rsid w:val="00DD7DD3"/>
    <w:rPr>
      <w:i/>
    </w:rPr>
  </w:style>
  <w:style w:type="paragraph" w:customStyle="1" w:styleId="Tabletitle">
    <w:name w:val="Tabletitle"/>
    <w:next w:val="Text"/>
    <w:rsid w:val="00742F04"/>
    <w:pPr>
      <w:spacing w:before="360" w:after="80" w:line="240" w:lineRule="auto"/>
      <w:ind w:left="851" w:hanging="851"/>
    </w:pPr>
    <w:rPr>
      <w:rFonts w:ascii="Arial" w:eastAsia="Times New Roman" w:hAnsi="Arial" w:cs="Times New Roman"/>
      <w:b/>
      <w:sz w:val="17"/>
      <w:szCs w:val="20"/>
      <w:lang w:val="en-AU"/>
    </w:rPr>
  </w:style>
  <w:style w:type="paragraph" w:styleId="Title">
    <w:name w:val="Title"/>
    <w:basedOn w:val="Normal"/>
    <w:link w:val="TitleChar"/>
    <w:uiPriority w:val="10"/>
    <w:qFormat/>
    <w:rsid w:val="00DD7DD3"/>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D7DD3"/>
    <w:rPr>
      <w:rFonts w:asciiTheme="majorHAnsi" w:eastAsiaTheme="majorEastAsia" w:hAnsiTheme="majorHAnsi" w:cstheme="majorBidi"/>
      <w:color w:val="17365D" w:themeColor="text2" w:themeShade="BF"/>
      <w:spacing w:val="5"/>
      <w:kern w:val="28"/>
      <w:sz w:val="52"/>
      <w:szCs w:val="52"/>
      <w:lang w:val="en-AU"/>
    </w:rPr>
  </w:style>
  <w:style w:type="paragraph" w:customStyle="1" w:styleId="Titlepage">
    <w:name w:val="Title page"/>
    <w:basedOn w:val="Heading1"/>
    <w:qFormat/>
    <w:rsid w:val="00241375"/>
    <w:rPr>
      <w:rFonts w:cs="Arial"/>
      <w:b/>
      <w:noProof/>
      <w:color w:val="0081C6"/>
      <w:sz w:val="55"/>
      <w:szCs w:val="55"/>
      <w:lang w:eastAsia="en-AU"/>
    </w:rPr>
  </w:style>
  <w:style w:type="paragraph" w:styleId="TOAHeading">
    <w:name w:val="toa heading"/>
    <w:basedOn w:val="Normal"/>
    <w:next w:val="Normal"/>
    <w:uiPriority w:val="99"/>
    <w:semiHidden/>
    <w:rsid w:val="00DD7DD3"/>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DD7DD3"/>
    <w:pPr>
      <w:tabs>
        <w:tab w:val="right" w:pos="6804"/>
      </w:tabs>
      <w:spacing w:before="20" w:after="20" w:line="300" w:lineRule="exact"/>
      <w:ind w:left="284"/>
    </w:pPr>
    <w:rPr>
      <w:noProof/>
      <w:color w:val="000000"/>
      <w:sz w:val="18"/>
      <w:szCs w:val="18"/>
    </w:rPr>
  </w:style>
  <w:style w:type="paragraph" w:styleId="TOC3">
    <w:name w:val="toc 3"/>
    <w:basedOn w:val="TOC2"/>
    <w:next w:val="Normal"/>
    <w:autoRedefine/>
    <w:semiHidden/>
    <w:unhideWhenUsed/>
    <w:rsid w:val="00DD7DD3"/>
    <w:pPr>
      <w:ind w:left="440"/>
    </w:pPr>
  </w:style>
  <w:style w:type="paragraph" w:styleId="TOC4">
    <w:name w:val="toc 4"/>
    <w:basedOn w:val="TOC3"/>
    <w:next w:val="Normal"/>
    <w:autoRedefine/>
    <w:semiHidden/>
    <w:unhideWhenUsed/>
    <w:rsid w:val="00DD7DD3"/>
    <w:pPr>
      <w:ind w:left="660"/>
    </w:pPr>
  </w:style>
  <w:style w:type="paragraph" w:styleId="TOC5">
    <w:name w:val="toc 5"/>
    <w:basedOn w:val="Normal"/>
    <w:next w:val="Normal"/>
    <w:autoRedefine/>
    <w:uiPriority w:val="39"/>
    <w:semiHidden/>
    <w:unhideWhenUsed/>
    <w:rsid w:val="00DD7DD3"/>
    <w:pPr>
      <w:spacing w:after="100"/>
      <w:ind w:left="760"/>
    </w:pPr>
  </w:style>
  <w:style w:type="paragraph" w:styleId="TOC6">
    <w:name w:val="toc 6"/>
    <w:basedOn w:val="Normal"/>
    <w:next w:val="Normal"/>
    <w:autoRedefine/>
    <w:uiPriority w:val="39"/>
    <w:semiHidden/>
    <w:unhideWhenUsed/>
    <w:rsid w:val="00DD7DD3"/>
    <w:pPr>
      <w:spacing w:after="100"/>
      <w:ind w:left="950"/>
    </w:pPr>
  </w:style>
  <w:style w:type="paragraph" w:styleId="TOC7">
    <w:name w:val="toc 7"/>
    <w:basedOn w:val="Normal"/>
    <w:next w:val="Normal"/>
    <w:autoRedefine/>
    <w:uiPriority w:val="39"/>
    <w:semiHidden/>
    <w:unhideWhenUsed/>
    <w:rsid w:val="00DD7DD3"/>
    <w:pPr>
      <w:spacing w:after="100"/>
      <w:ind w:left="1140"/>
    </w:pPr>
  </w:style>
  <w:style w:type="paragraph" w:styleId="TOC8">
    <w:name w:val="toc 8"/>
    <w:basedOn w:val="Normal"/>
    <w:next w:val="Normal"/>
    <w:autoRedefine/>
    <w:uiPriority w:val="39"/>
    <w:semiHidden/>
    <w:unhideWhenUsed/>
    <w:rsid w:val="00DD7DD3"/>
    <w:pPr>
      <w:spacing w:after="100"/>
      <w:ind w:left="1330"/>
    </w:pPr>
  </w:style>
  <w:style w:type="paragraph" w:styleId="TOC9">
    <w:name w:val="toc 9"/>
    <w:basedOn w:val="Normal"/>
    <w:next w:val="Normal"/>
    <w:autoRedefine/>
    <w:uiPriority w:val="39"/>
    <w:semiHidden/>
    <w:unhideWhenUsed/>
    <w:rsid w:val="00DD7DD3"/>
    <w:pPr>
      <w:spacing w:after="100"/>
      <w:ind w:left="1520"/>
    </w:pPr>
  </w:style>
  <w:style w:type="paragraph" w:styleId="TOCHeading">
    <w:name w:val="TOC Heading"/>
    <w:basedOn w:val="Heading1"/>
    <w:next w:val="Normal"/>
    <w:uiPriority w:val="39"/>
    <w:semiHidden/>
    <w:unhideWhenUsed/>
    <w:qFormat/>
    <w:rsid w:val="00DD7DD3"/>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styleId="Revision">
    <w:name w:val="Revision"/>
    <w:hidden/>
    <w:uiPriority w:val="99"/>
    <w:semiHidden/>
    <w:rsid w:val="005A7712"/>
    <w:pPr>
      <w:spacing w:after="0" w:line="240" w:lineRule="auto"/>
    </w:pPr>
    <w:rPr>
      <w:rFonts w:ascii="Trebuchet MS" w:eastAsia="Times New Roman" w:hAnsi="Trebuchet MS" w:cs="Times New Roman"/>
      <w:sz w:val="19"/>
      <w:szCs w:val="20"/>
      <w:lang w:val="en-AU"/>
    </w:rPr>
  </w:style>
  <w:style w:type="paragraph" w:customStyle="1" w:styleId="tabletitle0">
    <w:name w:val="tabletitle"/>
    <w:basedOn w:val="Tabletitle"/>
    <w:next w:val="Text"/>
    <w:rsid w:val="00C06F78"/>
  </w:style>
  <w:style w:type="paragraph" w:customStyle="1" w:styleId="Textlessbefore">
    <w:name w:val="Text less # before"/>
    <w:basedOn w:val="Text"/>
    <w:uiPriority w:val="1"/>
    <w:qFormat/>
    <w:rsid w:val="000672C6"/>
    <w:pPr>
      <w:spacing w:before="80"/>
    </w:pPr>
  </w:style>
  <w:style w:type="paragraph" w:customStyle="1" w:styleId="Textmorebefore">
    <w:name w:val="Text more # before"/>
    <w:basedOn w:val="Text"/>
    <w:uiPriority w:val="1"/>
    <w:qFormat/>
    <w:rsid w:val="000672C6"/>
    <w:pPr>
      <w:spacing w:before="360"/>
    </w:pPr>
  </w:style>
  <w:style w:type="paragraph" w:customStyle="1" w:styleId="Textbeforebox">
    <w:name w:val="Text before box"/>
    <w:basedOn w:val="Textlessbefore"/>
    <w:uiPriority w:val="1"/>
    <w:qFormat/>
    <w:rsid w:val="000672C6"/>
    <w:pPr>
      <w:spacing w:before="0" w:line="240" w:lineRule="auto"/>
    </w:pPr>
  </w:style>
  <w:style w:type="paragraph" w:customStyle="1" w:styleId="text0">
    <w:name w:val="text"/>
    <w:rsid w:val="00FB152B"/>
    <w:pPr>
      <w:spacing w:before="160" w:after="0" w:line="260" w:lineRule="exact"/>
    </w:pPr>
    <w:rPr>
      <w:rFonts w:ascii="Garamond" w:eastAsia="Times New Roman" w:hAnsi="Garamond" w:cs="Times New Roman"/>
      <w:szCs w:val="20"/>
      <w:lang w:val="en-AU"/>
    </w:rPr>
  </w:style>
  <w:style w:type="paragraph" w:customStyle="1" w:styleId="text-lessbefore">
    <w:name w:val="text-less#before"/>
    <w:basedOn w:val="text0"/>
    <w:rsid w:val="00FB152B"/>
    <w:pPr>
      <w:spacing w:before="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D7DD3"/>
    <w:pPr>
      <w:spacing w:before="160" w:after="0" w:line="260" w:lineRule="exact"/>
    </w:pPr>
    <w:rPr>
      <w:rFonts w:ascii="Trebuchet MS" w:eastAsia="Times New Roman" w:hAnsi="Trebuchet MS" w:cs="Times New Roman"/>
      <w:sz w:val="19"/>
      <w:szCs w:val="20"/>
      <w:lang w:val="en-AU"/>
    </w:rPr>
  </w:style>
  <w:style w:type="paragraph" w:styleId="Heading1">
    <w:name w:val="heading 1"/>
    <w:next w:val="Text"/>
    <w:link w:val="Heading1Char"/>
    <w:qFormat/>
    <w:rsid w:val="00DD7DD3"/>
    <w:pPr>
      <w:keepNext/>
      <w:spacing w:after="360" w:line="240" w:lineRule="auto"/>
      <w:outlineLvl w:val="0"/>
    </w:pPr>
    <w:rPr>
      <w:rFonts w:ascii="Arial" w:eastAsia="Times New Roman" w:hAnsi="Arial" w:cs="Tahoma"/>
      <w:color w:val="000000"/>
      <w:kern w:val="28"/>
      <w:sz w:val="48"/>
      <w:szCs w:val="56"/>
      <w:lang w:val="en-AU"/>
    </w:rPr>
  </w:style>
  <w:style w:type="paragraph" w:styleId="Heading2">
    <w:name w:val="heading 2"/>
    <w:next w:val="Text"/>
    <w:link w:val="Heading2Char"/>
    <w:qFormat/>
    <w:rsid w:val="00DD7DD3"/>
    <w:pPr>
      <w:keepNext/>
      <w:spacing w:before="360" w:after="0" w:line="240" w:lineRule="auto"/>
      <w:ind w:right="-1"/>
      <w:outlineLvl w:val="1"/>
    </w:pPr>
    <w:rPr>
      <w:rFonts w:ascii="Arial" w:eastAsia="Times New Roman" w:hAnsi="Arial" w:cs="Tahoma"/>
      <w:sz w:val="28"/>
      <w:szCs w:val="20"/>
      <w:lang w:val="en-AU"/>
    </w:rPr>
  </w:style>
  <w:style w:type="paragraph" w:styleId="Heading3">
    <w:name w:val="heading 3"/>
    <w:next w:val="Text"/>
    <w:link w:val="Heading3Char"/>
    <w:qFormat/>
    <w:rsid w:val="00DD7DD3"/>
    <w:pPr>
      <w:spacing w:before="280" w:after="0" w:line="240" w:lineRule="auto"/>
      <w:outlineLvl w:val="2"/>
    </w:pPr>
    <w:rPr>
      <w:rFonts w:ascii="Arial" w:eastAsia="Times New Roman" w:hAnsi="Arial" w:cs="Tahoma"/>
      <w:color w:val="000000"/>
      <w:sz w:val="24"/>
      <w:szCs w:val="20"/>
      <w:lang w:val="en-AU"/>
    </w:rPr>
  </w:style>
  <w:style w:type="paragraph" w:styleId="Heading4">
    <w:name w:val="heading 4"/>
    <w:next w:val="Text"/>
    <w:link w:val="Heading4Char"/>
    <w:qFormat/>
    <w:rsid w:val="00DD7DD3"/>
    <w:pPr>
      <w:spacing w:before="280" w:after="0" w:line="240" w:lineRule="auto"/>
      <w:outlineLvl w:val="3"/>
    </w:pPr>
    <w:rPr>
      <w:rFonts w:ascii="Tahoma" w:eastAsia="Times New Roman" w:hAnsi="Tahoma" w:cs="Times New Roman"/>
      <w:i/>
      <w:szCs w:val="20"/>
      <w:lang w:val="en-AU"/>
    </w:rPr>
  </w:style>
  <w:style w:type="paragraph" w:styleId="Heading5">
    <w:name w:val="heading 5"/>
    <w:basedOn w:val="Normal"/>
    <w:next w:val="Normal"/>
    <w:link w:val="Heading5Char"/>
    <w:qFormat/>
    <w:rsid w:val="00DD7DD3"/>
    <w:pPr>
      <w:keepNext/>
      <w:outlineLvl w:val="4"/>
    </w:pPr>
    <w:rPr>
      <w:rFonts w:ascii="Tahoma" w:hAnsi="Tahoma"/>
      <w:b/>
    </w:rPr>
  </w:style>
  <w:style w:type="paragraph" w:styleId="Heading6">
    <w:name w:val="heading 6"/>
    <w:basedOn w:val="Normal"/>
    <w:next w:val="Normal"/>
    <w:link w:val="Heading6Char"/>
    <w:qFormat/>
    <w:rsid w:val="00DD7DD3"/>
    <w:pPr>
      <w:keepNext/>
      <w:ind w:left="2977"/>
      <w:outlineLvl w:val="5"/>
    </w:pPr>
    <w:rPr>
      <w:rFonts w:ascii="Tahoma" w:hAnsi="Tahoma"/>
      <w:sz w:val="20"/>
    </w:rPr>
  </w:style>
  <w:style w:type="paragraph" w:styleId="Heading7">
    <w:name w:val="heading 7"/>
    <w:basedOn w:val="Normal"/>
    <w:next w:val="Normal"/>
    <w:link w:val="Heading7Char"/>
    <w:qFormat/>
    <w:rsid w:val="00DD7DD3"/>
    <w:pPr>
      <w:keepNext/>
      <w:jc w:val="center"/>
      <w:outlineLvl w:val="6"/>
    </w:pPr>
    <w:rPr>
      <w:rFonts w:ascii="Tahoma" w:hAnsi="Tahoma"/>
      <w:spacing w:val="20"/>
      <w:sz w:val="20"/>
    </w:rPr>
  </w:style>
  <w:style w:type="paragraph" w:styleId="Heading8">
    <w:name w:val="heading 8"/>
    <w:basedOn w:val="Normal"/>
    <w:next w:val="Normal"/>
    <w:link w:val="Heading8Char"/>
    <w:qFormat/>
    <w:rsid w:val="00DD7DD3"/>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DD7DD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AB"/>
    <w:pPr>
      <w:ind w:left="720"/>
      <w:contextualSpacing/>
    </w:pPr>
  </w:style>
  <w:style w:type="paragraph" w:styleId="FootnoteText">
    <w:name w:val="footnote text"/>
    <w:basedOn w:val="Text"/>
    <w:link w:val="FootnoteTextChar"/>
    <w:rsid w:val="00DD7DD3"/>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DD7DD3"/>
    <w:rPr>
      <w:rFonts w:ascii="Trebuchet MS" w:eastAsia="Times New Roman" w:hAnsi="Trebuchet MS" w:cs="Times New Roman"/>
      <w:sz w:val="16"/>
      <w:szCs w:val="20"/>
      <w:lang w:val="en-AU"/>
    </w:rPr>
  </w:style>
  <w:style w:type="character" w:styleId="FootnoteReference">
    <w:name w:val="footnote reference"/>
    <w:basedOn w:val="DefaultParagraphFont"/>
    <w:unhideWhenUsed/>
    <w:rsid w:val="0049089B"/>
    <w:rPr>
      <w:vertAlign w:val="superscript"/>
    </w:rPr>
  </w:style>
  <w:style w:type="paragraph" w:styleId="BalloonText">
    <w:name w:val="Balloon Text"/>
    <w:basedOn w:val="Normal"/>
    <w:link w:val="BalloonTextChar"/>
    <w:uiPriority w:val="99"/>
    <w:semiHidden/>
    <w:rsid w:val="00DD7D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DD3"/>
    <w:rPr>
      <w:rFonts w:ascii="Tahoma" w:eastAsia="Times New Roman" w:hAnsi="Tahoma" w:cs="Tahoma"/>
      <w:sz w:val="16"/>
      <w:szCs w:val="16"/>
      <w:lang w:val="en-AU"/>
    </w:rPr>
  </w:style>
  <w:style w:type="paragraph" w:styleId="NormalWeb">
    <w:name w:val="Normal (Web)"/>
    <w:basedOn w:val="Normal"/>
    <w:uiPriority w:val="99"/>
    <w:rsid w:val="00DD7DD3"/>
    <w:pPr>
      <w:spacing w:before="100" w:beforeAutospacing="1" w:after="240"/>
    </w:pPr>
    <w:rPr>
      <w:sz w:val="18"/>
      <w:szCs w:val="18"/>
    </w:rPr>
  </w:style>
  <w:style w:type="paragraph" w:styleId="Quote">
    <w:name w:val="Quote"/>
    <w:basedOn w:val="Text"/>
    <w:link w:val="QuoteChar"/>
    <w:qFormat/>
    <w:rsid w:val="00DD7DD3"/>
    <w:pPr>
      <w:tabs>
        <w:tab w:val="right" w:pos="7853"/>
      </w:tabs>
      <w:spacing w:before="80"/>
      <w:ind w:left="567" w:right="652"/>
    </w:pPr>
    <w:rPr>
      <w:sz w:val="17"/>
    </w:rPr>
  </w:style>
  <w:style w:type="character" w:customStyle="1" w:styleId="QuoteChar">
    <w:name w:val="Quote Char"/>
    <w:basedOn w:val="DefaultParagraphFont"/>
    <w:link w:val="Quote"/>
    <w:rsid w:val="0075156E"/>
    <w:rPr>
      <w:rFonts w:ascii="Trebuchet MS" w:eastAsia="Times New Roman" w:hAnsi="Trebuchet MS" w:cs="Times New Roman"/>
      <w:sz w:val="17"/>
      <w:szCs w:val="20"/>
      <w:lang w:val="en-AU"/>
    </w:rPr>
  </w:style>
  <w:style w:type="paragraph" w:styleId="Caption">
    <w:name w:val="caption"/>
    <w:basedOn w:val="Normal"/>
    <w:next w:val="Normal"/>
    <w:uiPriority w:val="35"/>
    <w:unhideWhenUsed/>
    <w:qFormat/>
    <w:rsid w:val="0075156E"/>
    <w:pPr>
      <w:spacing w:line="240" w:lineRule="auto"/>
    </w:pPr>
    <w:rPr>
      <w:b/>
      <w:bCs/>
      <w:color w:val="4F81BD" w:themeColor="accent1"/>
      <w:sz w:val="18"/>
      <w:szCs w:val="18"/>
    </w:rPr>
  </w:style>
  <w:style w:type="paragraph" w:customStyle="1" w:styleId="Text">
    <w:name w:val="Text"/>
    <w:link w:val="TextChar"/>
    <w:rsid w:val="00DD7DD3"/>
    <w:pPr>
      <w:spacing w:before="160" w:after="0" w:line="300" w:lineRule="exact"/>
    </w:pPr>
    <w:rPr>
      <w:rFonts w:ascii="Trebuchet MS" w:eastAsia="Times New Roman" w:hAnsi="Trebuchet MS" w:cs="Times New Roman"/>
      <w:sz w:val="19"/>
      <w:szCs w:val="20"/>
      <w:lang w:val="en-AU"/>
    </w:rPr>
  </w:style>
  <w:style w:type="character" w:customStyle="1" w:styleId="TextChar">
    <w:name w:val="Text Char"/>
    <w:basedOn w:val="DefaultParagraphFont"/>
    <w:link w:val="Text"/>
    <w:rsid w:val="00DD7DD3"/>
    <w:rPr>
      <w:rFonts w:ascii="Trebuchet MS" w:eastAsia="Times New Roman" w:hAnsi="Trebuchet MS" w:cs="Times New Roman"/>
      <w:sz w:val="19"/>
      <w:szCs w:val="20"/>
      <w:lang w:val="en-AU"/>
    </w:rPr>
  </w:style>
  <w:style w:type="character" w:customStyle="1" w:styleId="Heading3Char">
    <w:name w:val="Heading 3 Char"/>
    <w:basedOn w:val="DefaultParagraphFont"/>
    <w:link w:val="Heading3"/>
    <w:rsid w:val="00DD7DD3"/>
    <w:rPr>
      <w:rFonts w:ascii="Arial" w:eastAsia="Times New Roman" w:hAnsi="Arial" w:cs="Tahoma"/>
      <w:color w:val="000000"/>
      <w:sz w:val="24"/>
      <w:szCs w:val="20"/>
      <w:lang w:val="en-AU"/>
    </w:rPr>
  </w:style>
  <w:style w:type="character" w:styleId="Hyperlink">
    <w:name w:val="Hyperlink"/>
    <w:basedOn w:val="DefaultParagraphFont"/>
    <w:unhideWhenUsed/>
    <w:rsid w:val="00DD7DD3"/>
    <w:rPr>
      <w:rFonts w:ascii="Trebuchet MS" w:hAnsi="Trebuchet MS"/>
      <w:color w:val="auto"/>
      <w:sz w:val="19"/>
      <w:u w:val="none"/>
    </w:rPr>
  </w:style>
  <w:style w:type="paragraph" w:customStyle="1" w:styleId="Default">
    <w:name w:val="Default"/>
    <w:rsid w:val="00DD7DD3"/>
    <w:pPr>
      <w:autoSpaceDE w:val="0"/>
      <w:autoSpaceDN w:val="0"/>
      <w:adjustRightInd w:val="0"/>
      <w:spacing w:after="0" w:line="240" w:lineRule="auto"/>
    </w:pPr>
    <w:rPr>
      <w:rFonts w:ascii="Garamond" w:eastAsia="Calibri" w:hAnsi="Garamond" w:cs="Garamond"/>
      <w:color w:val="000000"/>
      <w:sz w:val="24"/>
      <w:szCs w:val="24"/>
      <w:lang w:val="en-AU"/>
    </w:rPr>
  </w:style>
  <w:style w:type="character" w:customStyle="1" w:styleId="Heading1Char">
    <w:name w:val="Heading 1 Char"/>
    <w:basedOn w:val="DefaultParagraphFont"/>
    <w:link w:val="Heading1"/>
    <w:rsid w:val="001616D4"/>
    <w:rPr>
      <w:rFonts w:ascii="Arial" w:eastAsia="Times New Roman" w:hAnsi="Arial" w:cs="Tahoma"/>
      <w:color w:val="000000"/>
      <w:kern w:val="28"/>
      <w:sz w:val="48"/>
      <w:szCs w:val="56"/>
      <w:lang w:val="en-AU"/>
    </w:rPr>
  </w:style>
  <w:style w:type="character" w:customStyle="1" w:styleId="jnenbez">
    <w:name w:val="jnenbez"/>
    <w:basedOn w:val="DefaultParagraphFont"/>
    <w:rsid w:val="001616D4"/>
  </w:style>
  <w:style w:type="paragraph" w:styleId="Header">
    <w:name w:val="header"/>
    <w:basedOn w:val="Normal"/>
    <w:link w:val="HeaderChar"/>
    <w:uiPriority w:val="99"/>
    <w:unhideWhenUsed/>
    <w:rsid w:val="00DD7DD3"/>
    <w:pPr>
      <w:tabs>
        <w:tab w:val="center" w:pos="4513"/>
        <w:tab w:val="right" w:pos="9026"/>
      </w:tabs>
      <w:spacing w:before="0" w:line="240" w:lineRule="auto"/>
    </w:pPr>
  </w:style>
  <w:style w:type="character" w:customStyle="1" w:styleId="HeaderChar">
    <w:name w:val="Header Char"/>
    <w:basedOn w:val="DefaultParagraphFont"/>
    <w:link w:val="Header"/>
    <w:uiPriority w:val="99"/>
    <w:rsid w:val="00DD7DD3"/>
    <w:rPr>
      <w:rFonts w:ascii="Trebuchet MS" w:eastAsia="Times New Roman" w:hAnsi="Trebuchet MS" w:cs="Times New Roman"/>
      <w:sz w:val="19"/>
      <w:szCs w:val="20"/>
      <w:lang w:val="en-AU"/>
    </w:rPr>
  </w:style>
  <w:style w:type="paragraph" w:styleId="Footer">
    <w:name w:val="footer"/>
    <w:basedOn w:val="Normal"/>
    <w:link w:val="FooterChar"/>
    <w:rsid w:val="00DD7DD3"/>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DD7DD3"/>
    <w:rPr>
      <w:rFonts w:ascii="Arial" w:eastAsia="Times New Roman" w:hAnsi="Arial" w:cs="Arial"/>
      <w:b/>
      <w:sz w:val="17"/>
      <w:szCs w:val="17"/>
      <w:lang w:val="en-AU"/>
    </w:rPr>
  </w:style>
  <w:style w:type="character" w:customStyle="1" w:styleId="Heading2Char">
    <w:name w:val="Heading 2 Char"/>
    <w:basedOn w:val="DefaultParagraphFont"/>
    <w:link w:val="Heading2"/>
    <w:rsid w:val="00690DFD"/>
    <w:rPr>
      <w:rFonts w:ascii="Arial" w:eastAsia="Times New Roman" w:hAnsi="Arial" w:cs="Tahoma"/>
      <w:sz w:val="28"/>
      <w:szCs w:val="20"/>
      <w:lang w:val="en-AU"/>
    </w:rPr>
  </w:style>
  <w:style w:type="character" w:styleId="Strong">
    <w:name w:val="Strong"/>
    <w:uiPriority w:val="22"/>
    <w:qFormat/>
    <w:rsid w:val="00DD7DD3"/>
    <w:rPr>
      <w:b/>
      <w:bCs/>
    </w:rPr>
  </w:style>
  <w:style w:type="character" w:customStyle="1" w:styleId="Heading4Char">
    <w:name w:val="Heading 4 Char"/>
    <w:basedOn w:val="DefaultParagraphFont"/>
    <w:link w:val="Heading4"/>
    <w:rsid w:val="00DD7DD3"/>
    <w:rPr>
      <w:rFonts w:ascii="Tahoma" w:eastAsia="Times New Roman" w:hAnsi="Tahoma" w:cs="Times New Roman"/>
      <w:i/>
      <w:szCs w:val="20"/>
      <w:lang w:val="en-AU"/>
    </w:rPr>
  </w:style>
  <w:style w:type="character" w:customStyle="1" w:styleId="printhtml">
    <w:name w:val="print_html"/>
    <w:basedOn w:val="DefaultParagraphFont"/>
    <w:rsid w:val="00B37176"/>
  </w:style>
  <w:style w:type="paragraph" w:customStyle="1" w:styleId="solr-snippet-label">
    <w:name w:val="solr-snippet-label"/>
    <w:basedOn w:val="Normal"/>
    <w:rsid w:val="00B37176"/>
    <w:pPr>
      <w:spacing w:before="100" w:beforeAutospacing="1" w:after="100" w:afterAutospacing="1" w:line="240" w:lineRule="auto"/>
    </w:pPr>
    <w:rPr>
      <w:rFonts w:ascii="Times New Roman" w:hAnsi="Times New Roman"/>
      <w:sz w:val="24"/>
      <w:szCs w:val="24"/>
      <w:lang w:eastAsia="de-DE"/>
    </w:rPr>
  </w:style>
  <w:style w:type="character" w:customStyle="1" w:styleId="online-date">
    <w:name w:val="online-date"/>
    <w:basedOn w:val="DefaultParagraphFont"/>
    <w:rsid w:val="00391D44"/>
  </w:style>
  <w:style w:type="character" w:customStyle="1" w:styleId="status">
    <w:name w:val="status"/>
    <w:basedOn w:val="DefaultParagraphFont"/>
    <w:rsid w:val="006A5B67"/>
  </w:style>
  <w:style w:type="character" w:customStyle="1" w:styleId="red">
    <w:name w:val="red"/>
    <w:basedOn w:val="DefaultParagraphFont"/>
    <w:rsid w:val="006A5B67"/>
  </w:style>
  <w:style w:type="paragraph" w:customStyle="1" w:styleId="Formatvorlageberschrift1TextkrperCalibri">
    <w:name w:val="Formatvorlage Überschrift 1 + +Textkörper (Calibri)"/>
    <w:basedOn w:val="Heading1"/>
    <w:rsid w:val="00212701"/>
    <w:pPr>
      <w:spacing w:before="360" w:after="120" w:line="260" w:lineRule="atLeast"/>
    </w:pPr>
    <w:rPr>
      <w:rFonts w:asciiTheme="minorHAnsi" w:hAnsiTheme="minorHAnsi" w:cs="Times New Roman"/>
      <w:color w:val="auto"/>
      <w:szCs w:val="20"/>
      <w:lang w:eastAsia="de-DE"/>
    </w:rPr>
  </w:style>
  <w:style w:type="character" w:styleId="CommentReference">
    <w:name w:val="annotation reference"/>
    <w:basedOn w:val="DefaultParagraphFont"/>
    <w:uiPriority w:val="99"/>
    <w:semiHidden/>
    <w:rsid w:val="00DD7DD3"/>
    <w:rPr>
      <w:sz w:val="18"/>
      <w:szCs w:val="18"/>
    </w:rPr>
  </w:style>
  <w:style w:type="paragraph" w:styleId="CommentText">
    <w:name w:val="annotation text"/>
    <w:basedOn w:val="Normal"/>
    <w:link w:val="CommentTextChar"/>
    <w:uiPriority w:val="99"/>
    <w:semiHidden/>
    <w:rsid w:val="00DD7DD3"/>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DD7DD3"/>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iPriority w:val="99"/>
    <w:semiHidden/>
    <w:rsid w:val="00DD7DD3"/>
    <w:rPr>
      <w:b/>
      <w:bCs/>
    </w:rPr>
  </w:style>
  <w:style w:type="character" w:customStyle="1" w:styleId="CommentSubjectChar">
    <w:name w:val="Comment Subject Char"/>
    <w:basedOn w:val="CommentTextChar"/>
    <w:link w:val="CommentSubject"/>
    <w:uiPriority w:val="99"/>
    <w:semiHidden/>
    <w:rsid w:val="00DD7DD3"/>
    <w:rPr>
      <w:rFonts w:ascii="Times New Roman" w:eastAsia="Times New Roman" w:hAnsi="Times New Roman" w:cs="Times New Roman"/>
      <w:b/>
      <w:bCs/>
      <w:sz w:val="20"/>
      <w:szCs w:val="20"/>
      <w:lang w:val="en-AU" w:eastAsia="en-AU"/>
    </w:rPr>
  </w:style>
  <w:style w:type="paragraph" w:customStyle="1" w:styleId="Abouttheresearch">
    <w:name w:val="About the research"/>
    <w:uiPriority w:val="1"/>
    <w:qFormat/>
    <w:rsid w:val="00DD7DD3"/>
    <w:pPr>
      <w:spacing w:after="0" w:line="240" w:lineRule="auto"/>
    </w:pPr>
    <w:rPr>
      <w:rFonts w:ascii="Tahoma" w:eastAsia="Times New Roman" w:hAnsi="Tahoma" w:cs="Tahoma"/>
      <w:color w:val="000000"/>
      <w:kern w:val="28"/>
      <w:sz w:val="56"/>
      <w:szCs w:val="56"/>
      <w:lang w:val="en-AU"/>
    </w:rPr>
  </w:style>
  <w:style w:type="paragraph" w:customStyle="1" w:styleId="Abouttheresearchpubtitle">
    <w:name w:val="About the research pub title"/>
    <w:qFormat/>
    <w:rsid w:val="00DD7DD3"/>
    <w:pPr>
      <w:spacing w:before="360" w:after="0" w:line="240" w:lineRule="auto"/>
    </w:pPr>
    <w:rPr>
      <w:rFonts w:ascii="Tahoma" w:eastAsia="Times New Roman" w:hAnsi="Tahoma" w:cs="Tahoma"/>
      <w:i/>
      <w:sz w:val="28"/>
      <w:szCs w:val="20"/>
      <w:lang w:val="en-AU"/>
    </w:rPr>
  </w:style>
  <w:style w:type="paragraph" w:customStyle="1" w:styleId="Authors">
    <w:name w:val="Authors"/>
    <w:qFormat/>
    <w:rsid w:val="00DD7DD3"/>
    <w:pPr>
      <w:spacing w:after="0" w:line="240" w:lineRule="auto"/>
      <w:ind w:left="1701" w:right="-1"/>
    </w:pPr>
    <w:rPr>
      <w:rFonts w:ascii="Tahoma" w:eastAsia="Times New Roman" w:hAnsi="Tahoma" w:cs="Tahoma"/>
      <w:sz w:val="28"/>
      <w:szCs w:val="20"/>
      <w:lang w:val="en-AU"/>
    </w:rPr>
  </w:style>
  <w:style w:type="paragraph" w:styleId="Bibliography">
    <w:name w:val="Bibliography"/>
    <w:basedOn w:val="Normal"/>
    <w:next w:val="Normal"/>
    <w:uiPriority w:val="37"/>
    <w:semiHidden/>
    <w:rsid w:val="00DD7DD3"/>
  </w:style>
  <w:style w:type="paragraph" w:styleId="BlockText">
    <w:name w:val="Block Text"/>
    <w:basedOn w:val="Normal"/>
    <w:uiPriority w:val="99"/>
    <w:semiHidden/>
    <w:rsid w:val="00DD7DD3"/>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DD7DD3"/>
    <w:pPr>
      <w:spacing w:after="120"/>
    </w:pPr>
    <w:rPr>
      <w:sz w:val="16"/>
      <w:szCs w:val="16"/>
    </w:rPr>
  </w:style>
  <w:style w:type="character" w:customStyle="1" w:styleId="BodyText3Char">
    <w:name w:val="Body Text 3 Char"/>
    <w:basedOn w:val="DefaultParagraphFont"/>
    <w:link w:val="BodyText3"/>
    <w:uiPriority w:val="99"/>
    <w:semiHidden/>
    <w:rsid w:val="00DD7DD3"/>
    <w:rPr>
      <w:rFonts w:ascii="Trebuchet MS" w:eastAsia="Times New Roman" w:hAnsi="Trebuchet MS" w:cs="Times New Roman"/>
      <w:sz w:val="16"/>
      <w:szCs w:val="16"/>
      <w:lang w:val="en-AU"/>
    </w:rPr>
  </w:style>
  <w:style w:type="paragraph" w:styleId="BodyText">
    <w:name w:val="Body Text"/>
    <w:basedOn w:val="Normal"/>
    <w:link w:val="BodyTextChar"/>
    <w:uiPriority w:val="99"/>
    <w:semiHidden/>
    <w:unhideWhenUsed/>
    <w:rsid w:val="00DD7DD3"/>
    <w:pPr>
      <w:spacing w:after="120"/>
    </w:pPr>
  </w:style>
  <w:style w:type="character" w:customStyle="1" w:styleId="BodyTextChar">
    <w:name w:val="Body Text Char"/>
    <w:basedOn w:val="DefaultParagraphFont"/>
    <w:link w:val="BodyText"/>
    <w:uiPriority w:val="99"/>
    <w:semiHidden/>
    <w:rsid w:val="00DD7DD3"/>
    <w:rPr>
      <w:rFonts w:ascii="Trebuchet MS" w:eastAsia="Times New Roman" w:hAnsi="Trebuchet MS" w:cs="Times New Roman"/>
      <w:sz w:val="19"/>
      <w:szCs w:val="20"/>
      <w:lang w:val="en-AU"/>
    </w:rPr>
  </w:style>
  <w:style w:type="paragraph" w:styleId="BodyTextFirstIndent">
    <w:name w:val="Body Text First Indent"/>
    <w:basedOn w:val="Normal"/>
    <w:link w:val="BodyTextFirstIndentChar"/>
    <w:uiPriority w:val="99"/>
    <w:semiHidden/>
    <w:rsid w:val="00DD7DD3"/>
    <w:pPr>
      <w:ind w:firstLine="360"/>
    </w:pPr>
    <w:rPr>
      <w:b/>
    </w:rPr>
  </w:style>
  <w:style w:type="character" w:customStyle="1" w:styleId="BodyTextFirstIndentChar">
    <w:name w:val="Body Text First Indent Char"/>
    <w:basedOn w:val="DefaultParagraphFont"/>
    <w:link w:val="BodyTextFirstIndent"/>
    <w:uiPriority w:val="99"/>
    <w:semiHidden/>
    <w:rsid w:val="00DD7DD3"/>
    <w:rPr>
      <w:rFonts w:ascii="Trebuchet MS" w:eastAsia="Times New Roman" w:hAnsi="Trebuchet MS" w:cs="Times New Roman"/>
      <w:b/>
      <w:sz w:val="19"/>
      <w:szCs w:val="20"/>
      <w:lang w:val="en-AU"/>
    </w:rPr>
  </w:style>
  <w:style w:type="paragraph" w:styleId="BodyTextIndent">
    <w:name w:val="Body Text Indent"/>
    <w:basedOn w:val="Normal"/>
    <w:link w:val="BodyTextIndentChar"/>
    <w:uiPriority w:val="99"/>
    <w:semiHidden/>
    <w:unhideWhenUsed/>
    <w:rsid w:val="00DD7DD3"/>
    <w:pPr>
      <w:spacing w:after="120"/>
      <w:ind w:left="283"/>
    </w:pPr>
  </w:style>
  <w:style w:type="character" w:customStyle="1" w:styleId="BodyTextIndentChar">
    <w:name w:val="Body Text Indent Char"/>
    <w:basedOn w:val="DefaultParagraphFont"/>
    <w:link w:val="BodyTextIndent"/>
    <w:uiPriority w:val="99"/>
    <w:semiHidden/>
    <w:rsid w:val="00DD7DD3"/>
    <w:rPr>
      <w:rFonts w:ascii="Trebuchet MS" w:eastAsia="Times New Roman" w:hAnsi="Trebuchet MS" w:cs="Times New Roman"/>
      <w:sz w:val="19"/>
      <w:szCs w:val="20"/>
      <w:lang w:val="en-AU"/>
    </w:rPr>
  </w:style>
  <w:style w:type="paragraph" w:styleId="BodyTextFirstIndent2">
    <w:name w:val="Body Text First Indent 2"/>
    <w:basedOn w:val="Normal"/>
    <w:link w:val="BodyTextFirstIndent2Char"/>
    <w:uiPriority w:val="99"/>
    <w:semiHidden/>
    <w:rsid w:val="00DD7DD3"/>
    <w:pPr>
      <w:ind w:left="360" w:firstLine="360"/>
    </w:pPr>
  </w:style>
  <w:style w:type="character" w:customStyle="1" w:styleId="BodyTextFirstIndent2Char">
    <w:name w:val="Body Text First Indent 2 Char"/>
    <w:basedOn w:val="DefaultParagraphFont"/>
    <w:link w:val="BodyTextFirstIndent2"/>
    <w:uiPriority w:val="99"/>
    <w:semiHidden/>
    <w:rsid w:val="00DD7DD3"/>
    <w:rPr>
      <w:rFonts w:ascii="Trebuchet MS" w:eastAsia="Times New Roman" w:hAnsi="Trebuchet MS" w:cs="Times New Roman"/>
      <w:sz w:val="19"/>
      <w:szCs w:val="20"/>
      <w:lang w:val="en-AU"/>
    </w:rPr>
  </w:style>
  <w:style w:type="paragraph" w:styleId="BodyTextIndent2">
    <w:name w:val="Body Text Indent 2"/>
    <w:basedOn w:val="Normal"/>
    <w:link w:val="BodyTextIndent2Char"/>
    <w:uiPriority w:val="99"/>
    <w:semiHidden/>
    <w:rsid w:val="00DD7DD3"/>
    <w:pPr>
      <w:spacing w:after="120" w:line="480" w:lineRule="auto"/>
      <w:ind w:left="283"/>
    </w:pPr>
  </w:style>
  <w:style w:type="character" w:customStyle="1" w:styleId="BodyTextIndent2Char">
    <w:name w:val="Body Text Indent 2 Char"/>
    <w:basedOn w:val="DefaultParagraphFont"/>
    <w:link w:val="BodyTextIndent2"/>
    <w:uiPriority w:val="99"/>
    <w:semiHidden/>
    <w:rsid w:val="00DD7DD3"/>
    <w:rPr>
      <w:rFonts w:ascii="Trebuchet MS" w:eastAsia="Times New Roman" w:hAnsi="Trebuchet MS" w:cs="Times New Roman"/>
      <w:sz w:val="19"/>
      <w:szCs w:val="20"/>
      <w:lang w:val="en-AU"/>
    </w:rPr>
  </w:style>
  <w:style w:type="paragraph" w:styleId="BodyTextIndent3">
    <w:name w:val="Body Text Indent 3"/>
    <w:basedOn w:val="Normal"/>
    <w:link w:val="BodyTextIndent3Char"/>
    <w:uiPriority w:val="99"/>
    <w:semiHidden/>
    <w:rsid w:val="00DD7DD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D7DD3"/>
    <w:rPr>
      <w:rFonts w:ascii="Trebuchet MS" w:eastAsia="Times New Roman" w:hAnsi="Trebuchet MS" w:cs="Times New Roman"/>
      <w:sz w:val="16"/>
      <w:szCs w:val="16"/>
      <w:lang w:val="en-AU"/>
    </w:rPr>
  </w:style>
  <w:style w:type="paragraph" w:customStyle="1" w:styleId="BulletList">
    <w:name w:val="BulletList"/>
    <w:basedOn w:val="Normal"/>
    <w:rsid w:val="00DD7DD3"/>
    <w:pPr>
      <w:numPr>
        <w:numId w:val="18"/>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DD7DD3"/>
    <w:pPr>
      <w:numPr>
        <w:numId w:val="0"/>
      </w:numPr>
    </w:pPr>
    <w:rPr>
      <w:rFonts w:ascii="Verdana" w:hAnsi="Verdana"/>
      <w:sz w:val="19"/>
      <w:szCs w:val="19"/>
    </w:rPr>
  </w:style>
  <w:style w:type="paragraph" w:styleId="Closing">
    <w:name w:val="Closing"/>
    <w:basedOn w:val="Normal"/>
    <w:link w:val="ClosingChar"/>
    <w:uiPriority w:val="99"/>
    <w:semiHidden/>
    <w:rsid w:val="00DD7DD3"/>
    <w:pPr>
      <w:spacing w:before="0" w:line="240" w:lineRule="auto"/>
      <w:ind w:left="4252"/>
    </w:pPr>
  </w:style>
  <w:style w:type="character" w:customStyle="1" w:styleId="ClosingChar">
    <w:name w:val="Closing Char"/>
    <w:basedOn w:val="DefaultParagraphFont"/>
    <w:link w:val="Closing"/>
    <w:uiPriority w:val="99"/>
    <w:semiHidden/>
    <w:rsid w:val="00DD7DD3"/>
    <w:rPr>
      <w:rFonts w:ascii="Trebuchet MS" w:eastAsia="Times New Roman" w:hAnsi="Trebuchet MS" w:cs="Times New Roman"/>
      <w:sz w:val="19"/>
      <w:szCs w:val="20"/>
      <w:lang w:val="en-AU"/>
    </w:rPr>
  </w:style>
  <w:style w:type="paragraph" w:customStyle="1" w:styleId="Contents">
    <w:name w:val="Contents"/>
    <w:qFormat/>
    <w:rsid w:val="00DD7DD3"/>
    <w:pPr>
      <w:spacing w:after="1200" w:line="240" w:lineRule="auto"/>
    </w:pPr>
    <w:rPr>
      <w:rFonts w:ascii="Arial" w:eastAsia="Times New Roman" w:hAnsi="Arial" w:cs="Arial"/>
      <w:color w:val="000000"/>
      <w:kern w:val="28"/>
      <w:sz w:val="48"/>
      <w:szCs w:val="48"/>
      <w:lang w:val="en-AU"/>
    </w:rPr>
  </w:style>
  <w:style w:type="paragraph" w:styleId="Date">
    <w:name w:val="Date"/>
    <w:basedOn w:val="Normal"/>
    <w:next w:val="Normal"/>
    <w:link w:val="DateChar"/>
    <w:uiPriority w:val="99"/>
    <w:semiHidden/>
    <w:rsid w:val="00DD7DD3"/>
  </w:style>
  <w:style w:type="character" w:customStyle="1" w:styleId="DateChar">
    <w:name w:val="Date Char"/>
    <w:basedOn w:val="DefaultParagraphFont"/>
    <w:link w:val="Date"/>
    <w:uiPriority w:val="99"/>
    <w:semiHidden/>
    <w:rsid w:val="00DD7DD3"/>
    <w:rPr>
      <w:rFonts w:ascii="Trebuchet MS" w:eastAsia="Times New Roman" w:hAnsi="Trebuchet MS" w:cs="Times New Roman"/>
      <w:sz w:val="19"/>
      <w:szCs w:val="20"/>
      <w:lang w:val="en-AU"/>
    </w:rPr>
  </w:style>
  <w:style w:type="paragraph" w:styleId="DocumentMap">
    <w:name w:val="Document Map"/>
    <w:basedOn w:val="Normal"/>
    <w:link w:val="DocumentMapChar"/>
    <w:uiPriority w:val="99"/>
    <w:semiHidden/>
    <w:rsid w:val="00DD7DD3"/>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D7DD3"/>
    <w:rPr>
      <w:rFonts w:ascii="Tahoma" w:eastAsia="Times New Roman" w:hAnsi="Tahoma" w:cs="Tahoma"/>
      <w:sz w:val="16"/>
      <w:szCs w:val="16"/>
      <w:lang w:val="en-AU"/>
    </w:rPr>
  </w:style>
  <w:style w:type="paragraph" w:customStyle="1" w:styleId="Dotpoint1">
    <w:name w:val="Dotpoint1"/>
    <w:rsid w:val="00DD7DD3"/>
    <w:pPr>
      <w:numPr>
        <w:numId w:val="19"/>
      </w:numPr>
      <w:tabs>
        <w:tab w:val="left" w:pos="284"/>
      </w:tabs>
      <w:spacing w:before="120" w:after="0" w:line="300" w:lineRule="exact"/>
    </w:pPr>
    <w:rPr>
      <w:rFonts w:ascii="Trebuchet MS" w:eastAsia="Times New Roman" w:hAnsi="Trebuchet MS" w:cs="Times New Roman"/>
      <w:color w:val="000000"/>
      <w:sz w:val="19"/>
      <w:szCs w:val="20"/>
      <w:lang w:val="en-AU"/>
    </w:rPr>
  </w:style>
  <w:style w:type="paragraph" w:customStyle="1" w:styleId="Dotpoint2">
    <w:name w:val="Dotpoint2"/>
    <w:basedOn w:val="Dotpoint1"/>
    <w:rsid w:val="00DD7DD3"/>
    <w:pPr>
      <w:numPr>
        <w:numId w:val="20"/>
      </w:numPr>
      <w:tabs>
        <w:tab w:val="clear" w:pos="284"/>
        <w:tab w:val="left" w:pos="567"/>
      </w:tabs>
    </w:pPr>
  </w:style>
  <w:style w:type="paragraph" w:styleId="E-mailSignature">
    <w:name w:val="E-mail Signature"/>
    <w:basedOn w:val="Normal"/>
    <w:link w:val="E-mailSignatureChar"/>
    <w:uiPriority w:val="99"/>
    <w:semiHidden/>
    <w:rsid w:val="00DD7DD3"/>
    <w:pPr>
      <w:spacing w:before="0" w:line="240" w:lineRule="auto"/>
    </w:pPr>
  </w:style>
  <w:style w:type="character" w:customStyle="1" w:styleId="E-mailSignatureChar">
    <w:name w:val="E-mail Signature Char"/>
    <w:basedOn w:val="DefaultParagraphFont"/>
    <w:link w:val="E-mailSignature"/>
    <w:uiPriority w:val="99"/>
    <w:semiHidden/>
    <w:rsid w:val="00DD7DD3"/>
    <w:rPr>
      <w:rFonts w:ascii="Trebuchet MS" w:eastAsia="Times New Roman" w:hAnsi="Trebuchet MS" w:cs="Times New Roman"/>
      <w:sz w:val="19"/>
      <w:szCs w:val="20"/>
      <w:lang w:val="en-AU"/>
    </w:rPr>
  </w:style>
  <w:style w:type="character" w:styleId="Emphasis">
    <w:name w:val="Emphasis"/>
    <w:basedOn w:val="DefaultParagraphFont"/>
    <w:uiPriority w:val="20"/>
    <w:qFormat/>
    <w:rsid w:val="00DD7DD3"/>
    <w:rPr>
      <w:i/>
      <w:iCs/>
    </w:rPr>
  </w:style>
  <w:style w:type="paragraph" w:styleId="EndnoteText">
    <w:name w:val="endnote text"/>
    <w:basedOn w:val="Normal"/>
    <w:link w:val="EndnoteTextChar"/>
    <w:uiPriority w:val="99"/>
    <w:semiHidden/>
    <w:rsid w:val="00DD7DD3"/>
    <w:pPr>
      <w:spacing w:before="0" w:line="240" w:lineRule="auto"/>
    </w:pPr>
    <w:rPr>
      <w:sz w:val="20"/>
    </w:rPr>
  </w:style>
  <w:style w:type="character" w:customStyle="1" w:styleId="EndnoteTextChar">
    <w:name w:val="Endnote Text Char"/>
    <w:basedOn w:val="DefaultParagraphFont"/>
    <w:link w:val="EndnoteText"/>
    <w:uiPriority w:val="99"/>
    <w:semiHidden/>
    <w:rsid w:val="00DD7DD3"/>
    <w:rPr>
      <w:rFonts w:ascii="Trebuchet MS" w:eastAsia="Times New Roman" w:hAnsi="Trebuchet MS" w:cs="Times New Roman"/>
      <w:sz w:val="20"/>
      <w:szCs w:val="20"/>
      <w:lang w:val="en-AU"/>
    </w:rPr>
  </w:style>
  <w:style w:type="paragraph" w:styleId="EnvelopeAddress">
    <w:name w:val="envelope address"/>
    <w:basedOn w:val="Normal"/>
    <w:uiPriority w:val="99"/>
    <w:semiHidden/>
    <w:rsid w:val="00DD7DD3"/>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DD7DD3"/>
    <w:pPr>
      <w:spacing w:before="0" w:line="240" w:lineRule="auto"/>
    </w:pPr>
    <w:rPr>
      <w:rFonts w:asciiTheme="majorHAnsi" w:eastAsiaTheme="majorEastAsia" w:hAnsiTheme="majorHAnsi" w:cstheme="majorBidi"/>
      <w:sz w:val="20"/>
    </w:rPr>
  </w:style>
  <w:style w:type="paragraph" w:customStyle="1" w:styleId="Figuretitle">
    <w:name w:val="Figuretitle"/>
    <w:basedOn w:val="Normal"/>
    <w:rsid w:val="00742F04"/>
    <w:pPr>
      <w:spacing w:before="360" w:after="80" w:line="240" w:lineRule="auto"/>
      <w:ind w:left="851" w:hanging="851"/>
    </w:pPr>
    <w:rPr>
      <w:rFonts w:ascii="Arial" w:hAnsi="Arial"/>
      <w:b/>
      <w:sz w:val="17"/>
    </w:rPr>
  </w:style>
  <w:style w:type="character" w:styleId="FollowedHyperlink">
    <w:name w:val="FollowedHyperlink"/>
    <w:uiPriority w:val="99"/>
    <w:rsid w:val="00DD7DD3"/>
    <w:rPr>
      <w:color w:val="800080"/>
      <w:u w:val="single"/>
    </w:rPr>
  </w:style>
  <w:style w:type="character" w:customStyle="1" w:styleId="Heading5Char">
    <w:name w:val="Heading 5 Char"/>
    <w:basedOn w:val="DefaultParagraphFont"/>
    <w:link w:val="Heading5"/>
    <w:rsid w:val="00DD7DD3"/>
    <w:rPr>
      <w:rFonts w:ascii="Tahoma" w:eastAsia="Times New Roman" w:hAnsi="Tahoma" w:cs="Times New Roman"/>
      <w:b/>
      <w:sz w:val="19"/>
      <w:szCs w:val="20"/>
      <w:lang w:val="en-AU"/>
    </w:rPr>
  </w:style>
  <w:style w:type="character" w:customStyle="1" w:styleId="Heading6Char">
    <w:name w:val="Heading 6 Char"/>
    <w:basedOn w:val="DefaultParagraphFont"/>
    <w:link w:val="Heading6"/>
    <w:rsid w:val="00DD7DD3"/>
    <w:rPr>
      <w:rFonts w:ascii="Tahoma" w:eastAsia="Times New Roman" w:hAnsi="Tahoma" w:cs="Times New Roman"/>
      <w:sz w:val="20"/>
      <w:szCs w:val="20"/>
      <w:lang w:val="en-AU"/>
    </w:rPr>
  </w:style>
  <w:style w:type="character" w:customStyle="1" w:styleId="Heading7Char">
    <w:name w:val="Heading 7 Char"/>
    <w:basedOn w:val="DefaultParagraphFont"/>
    <w:link w:val="Heading7"/>
    <w:rsid w:val="00DD7DD3"/>
    <w:rPr>
      <w:rFonts w:ascii="Tahoma" w:eastAsia="Times New Roman" w:hAnsi="Tahoma" w:cs="Times New Roman"/>
      <w:spacing w:val="20"/>
      <w:sz w:val="20"/>
      <w:szCs w:val="20"/>
      <w:lang w:val="en-AU"/>
    </w:rPr>
  </w:style>
  <w:style w:type="character" w:customStyle="1" w:styleId="Heading8Char">
    <w:name w:val="Heading 8 Char"/>
    <w:basedOn w:val="DefaultParagraphFont"/>
    <w:link w:val="Heading8"/>
    <w:rsid w:val="00DD7DD3"/>
    <w:rPr>
      <w:rFonts w:ascii="Tahoma" w:eastAsia="Times New Roman" w:hAnsi="Tahoma" w:cs="Times New Roman"/>
      <w:color w:val="C0C0C0"/>
      <w:spacing w:val="60"/>
      <w:sz w:val="20"/>
      <w:szCs w:val="20"/>
      <w:lang w:val="en-AU"/>
    </w:rPr>
  </w:style>
  <w:style w:type="character" w:customStyle="1" w:styleId="Heading9Char">
    <w:name w:val="Heading 9 Char"/>
    <w:basedOn w:val="DefaultParagraphFont"/>
    <w:link w:val="Heading9"/>
    <w:uiPriority w:val="9"/>
    <w:semiHidden/>
    <w:rsid w:val="00DD7DD3"/>
    <w:rPr>
      <w:rFonts w:asciiTheme="majorHAnsi" w:eastAsiaTheme="majorEastAsia" w:hAnsiTheme="majorHAnsi" w:cstheme="majorBidi"/>
      <w:i/>
      <w:iCs/>
      <w:color w:val="404040" w:themeColor="text1" w:themeTint="BF"/>
      <w:sz w:val="20"/>
      <w:szCs w:val="20"/>
      <w:lang w:val="en-AU"/>
    </w:rPr>
  </w:style>
  <w:style w:type="paragraph" w:customStyle="1" w:styleId="Heading20">
    <w:name w:val="Heading2"/>
    <w:basedOn w:val="Heading3"/>
    <w:rsid w:val="00DD7DD3"/>
    <w:pPr>
      <w:keepNext/>
      <w:spacing w:before="120" w:after="240"/>
    </w:pPr>
    <w:rPr>
      <w:rFonts w:ascii="Garamond" w:hAnsi="Garamond" w:cs="Times New Roman"/>
      <w:color w:val="auto"/>
      <w:sz w:val="32"/>
      <w:szCs w:val="32"/>
      <w:lang w:eastAsia="en-AU"/>
    </w:rPr>
  </w:style>
  <w:style w:type="paragraph" w:styleId="HTMLAddress">
    <w:name w:val="HTML Address"/>
    <w:basedOn w:val="Normal"/>
    <w:link w:val="HTMLAddressChar"/>
    <w:uiPriority w:val="99"/>
    <w:semiHidden/>
    <w:rsid w:val="00DD7DD3"/>
    <w:pPr>
      <w:spacing w:before="0" w:line="240" w:lineRule="auto"/>
    </w:pPr>
    <w:rPr>
      <w:i/>
      <w:iCs/>
    </w:rPr>
  </w:style>
  <w:style w:type="character" w:customStyle="1" w:styleId="HTMLAddressChar">
    <w:name w:val="HTML Address Char"/>
    <w:basedOn w:val="DefaultParagraphFont"/>
    <w:link w:val="HTMLAddress"/>
    <w:uiPriority w:val="99"/>
    <w:semiHidden/>
    <w:rsid w:val="00DD7DD3"/>
    <w:rPr>
      <w:rFonts w:ascii="Trebuchet MS" w:eastAsia="Times New Roman" w:hAnsi="Trebuchet MS" w:cs="Times New Roman"/>
      <w:i/>
      <w:iCs/>
      <w:sz w:val="19"/>
      <w:szCs w:val="20"/>
      <w:lang w:val="en-AU"/>
    </w:rPr>
  </w:style>
  <w:style w:type="paragraph" w:styleId="HTMLPreformatted">
    <w:name w:val="HTML Preformatted"/>
    <w:basedOn w:val="Normal"/>
    <w:link w:val="HTMLPreformattedChar"/>
    <w:uiPriority w:val="99"/>
    <w:semiHidden/>
    <w:rsid w:val="00DD7DD3"/>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DD7DD3"/>
    <w:rPr>
      <w:rFonts w:ascii="Consolas" w:eastAsia="Times New Roman" w:hAnsi="Consolas" w:cs="Consolas"/>
      <w:sz w:val="20"/>
      <w:szCs w:val="20"/>
      <w:lang w:val="en-AU"/>
    </w:rPr>
  </w:style>
  <w:style w:type="paragraph" w:customStyle="1" w:styleId="Imprint">
    <w:name w:val="Imprint"/>
    <w:basedOn w:val="Normal"/>
    <w:rsid w:val="00DD7DD3"/>
    <w:pPr>
      <w:spacing w:line="260" w:lineRule="atLeast"/>
    </w:pPr>
    <w:rPr>
      <w:sz w:val="16"/>
    </w:rPr>
  </w:style>
  <w:style w:type="paragraph" w:styleId="Index1">
    <w:name w:val="index 1"/>
    <w:basedOn w:val="Normal"/>
    <w:next w:val="Normal"/>
    <w:autoRedefine/>
    <w:uiPriority w:val="99"/>
    <w:semiHidden/>
    <w:rsid w:val="00DD7DD3"/>
    <w:pPr>
      <w:spacing w:before="0" w:line="240" w:lineRule="auto"/>
      <w:ind w:left="190" w:hanging="190"/>
    </w:pPr>
  </w:style>
  <w:style w:type="paragraph" w:styleId="Index2">
    <w:name w:val="index 2"/>
    <w:basedOn w:val="Normal"/>
    <w:next w:val="Normal"/>
    <w:autoRedefine/>
    <w:uiPriority w:val="99"/>
    <w:semiHidden/>
    <w:rsid w:val="00DD7DD3"/>
    <w:pPr>
      <w:spacing w:before="0" w:line="240" w:lineRule="auto"/>
      <w:ind w:left="380" w:hanging="190"/>
    </w:pPr>
  </w:style>
  <w:style w:type="paragraph" w:styleId="Index3">
    <w:name w:val="index 3"/>
    <w:basedOn w:val="Normal"/>
    <w:next w:val="Normal"/>
    <w:autoRedefine/>
    <w:uiPriority w:val="99"/>
    <w:semiHidden/>
    <w:rsid w:val="00DD7DD3"/>
    <w:pPr>
      <w:spacing w:before="0" w:line="240" w:lineRule="auto"/>
      <w:ind w:left="570" w:hanging="190"/>
    </w:pPr>
  </w:style>
  <w:style w:type="paragraph" w:styleId="Index4">
    <w:name w:val="index 4"/>
    <w:basedOn w:val="Normal"/>
    <w:next w:val="Normal"/>
    <w:autoRedefine/>
    <w:uiPriority w:val="99"/>
    <w:semiHidden/>
    <w:rsid w:val="00DD7DD3"/>
    <w:pPr>
      <w:spacing w:before="0" w:line="240" w:lineRule="auto"/>
      <w:ind w:left="760" w:hanging="190"/>
    </w:pPr>
  </w:style>
  <w:style w:type="paragraph" w:styleId="Index5">
    <w:name w:val="index 5"/>
    <w:basedOn w:val="Normal"/>
    <w:next w:val="Normal"/>
    <w:autoRedefine/>
    <w:uiPriority w:val="99"/>
    <w:semiHidden/>
    <w:rsid w:val="00DD7DD3"/>
    <w:pPr>
      <w:spacing w:before="0" w:line="240" w:lineRule="auto"/>
      <w:ind w:left="950" w:hanging="190"/>
    </w:pPr>
  </w:style>
  <w:style w:type="paragraph" w:styleId="Index6">
    <w:name w:val="index 6"/>
    <w:basedOn w:val="Normal"/>
    <w:next w:val="Normal"/>
    <w:autoRedefine/>
    <w:uiPriority w:val="99"/>
    <w:semiHidden/>
    <w:rsid w:val="00DD7DD3"/>
    <w:pPr>
      <w:spacing w:before="0" w:line="240" w:lineRule="auto"/>
      <w:ind w:left="1140" w:hanging="190"/>
    </w:pPr>
  </w:style>
  <w:style w:type="paragraph" w:styleId="Index7">
    <w:name w:val="index 7"/>
    <w:basedOn w:val="Normal"/>
    <w:next w:val="Normal"/>
    <w:autoRedefine/>
    <w:uiPriority w:val="99"/>
    <w:semiHidden/>
    <w:rsid w:val="00DD7DD3"/>
    <w:pPr>
      <w:spacing w:before="0" w:line="240" w:lineRule="auto"/>
      <w:ind w:left="1330" w:hanging="190"/>
    </w:pPr>
  </w:style>
  <w:style w:type="paragraph" w:styleId="Index8">
    <w:name w:val="index 8"/>
    <w:basedOn w:val="Normal"/>
    <w:next w:val="Normal"/>
    <w:autoRedefine/>
    <w:uiPriority w:val="99"/>
    <w:semiHidden/>
    <w:rsid w:val="00DD7DD3"/>
    <w:pPr>
      <w:spacing w:before="0" w:line="240" w:lineRule="auto"/>
      <w:ind w:left="1520" w:hanging="190"/>
    </w:pPr>
  </w:style>
  <w:style w:type="paragraph" w:styleId="Index9">
    <w:name w:val="index 9"/>
    <w:basedOn w:val="Normal"/>
    <w:next w:val="Normal"/>
    <w:autoRedefine/>
    <w:uiPriority w:val="99"/>
    <w:semiHidden/>
    <w:rsid w:val="00DD7DD3"/>
    <w:pPr>
      <w:spacing w:before="0" w:line="240" w:lineRule="auto"/>
      <w:ind w:left="1710" w:hanging="190"/>
    </w:pPr>
  </w:style>
  <w:style w:type="paragraph" w:styleId="IndexHeading">
    <w:name w:val="index heading"/>
    <w:basedOn w:val="Normal"/>
    <w:next w:val="Index1"/>
    <w:uiPriority w:val="99"/>
    <w:semiHidden/>
    <w:rsid w:val="00DD7DD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D7DD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D7DD3"/>
    <w:rPr>
      <w:rFonts w:ascii="Trebuchet MS" w:eastAsia="Times New Roman" w:hAnsi="Trebuchet MS" w:cs="Times New Roman"/>
      <w:b/>
      <w:bCs/>
      <w:i/>
      <w:iCs/>
      <w:color w:val="4F81BD" w:themeColor="accent1"/>
      <w:sz w:val="19"/>
      <w:szCs w:val="20"/>
      <w:lang w:val="en-AU"/>
    </w:rPr>
  </w:style>
  <w:style w:type="paragraph" w:customStyle="1" w:styleId="Keymessages">
    <w:name w:val="Key messages"/>
    <w:uiPriority w:val="1"/>
    <w:qFormat/>
    <w:rsid w:val="00C56458"/>
    <w:pPr>
      <w:spacing w:before="360" w:after="0" w:line="240" w:lineRule="auto"/>
    </w:pPr>
    <w:rPr>
      <w:rFonts w:ascii="Arial" w:eastAsia="Times New Roman" w:hAnsi="Arial" w:cs="Tahoma"/>
      <w:sz w:val="28"/>
      <w:szCs w:val="20"/>
      <w:lang w:val="en-AU"/>
    </w:rPr>
  </w:style>
  <w:style w:type="paragraph" w:styleId="List">
    <w:name w:val="List"/>
    <w:basedOn w:val="Normal"/>
    <w:uiPriority w:val="99"/>
    <w:semiHidden/>
    <w:rsid w:val="00DD7DD3"/>
    <w:pPr>
      <w:ind w:left="283" w:hanging="283"/>
      <w:contextualSpacing/>
    </w:pPr>
  </w:style>
  <w:style w:type="paragraph" w:styleId="List2">
    <w:name w:val="List 2"/>
    <w:basedOn w:val="Normal"/>
    <w:uiPriority w:val="99"/>
    <w:semiHidden/>
    <w:rsid w:val="00DD7DD3"/>
    <w:pPr>
      <w:ind w:left="566" w:hanging="283"/>
      <w:contextualSpacing/>
    </w:pPr>
  </w:style>
  <w:style w:type="paragraph" w:styleId="List3">
    <w:name w:val="List 3"/>
    <w:basedOn w:val="Normal"/>
    <w:uiPriority w:val="99"/>
    <w:semiHidden/>
    <w:rsid w:val="00DD7DD3"/>
    <w:pPr>
      <w:ind w:left="849" w:hanging="283"/>
      <w:contextualSpacing/>
    </w:pPr>
  </w:style>
  <w:style w:type="paragraph" w:styleId="List4">
    <w:name w:val="List 4"/>
    <w:basedOn w:val="Normal"/>
    <w:uiPriority w:val="99"/>
    <w:semiHidden/>
    <w:rsid w:val="00DD7DD3"/>
    <w:pPr>
      <w:ind w:left="1132" w:hanging="283"/>
      <w:contextualSpacing/>
    </w:pPr>
  </w:style>
  <w:style w:type="paragraph" w:styleId="List5">
    <w:name w:val="List 5"/>
    <w:basedOn w:val="Normal"/>
    <w:uiPriority w:val="99"/>
    <w:semiHidden/>
    <w:rsid w:val="00DD7DD3"/>
    <w:pPr>
      <w:ind w:left="1415" w:hanging="283"/>
      <w:contextualSpacing/>
    </w:pPr>
  </w:style>
  <w:style w:type="paragraph" w:styleId="ListBullet2">
    <w:name w:val="List Bullet 2"/>
    <w:basedOn w:val="Normal"/>
    <w:uiPriority w:val="99"/>
    <w:semiHidden/>
    <w:rsid w:val="00DD7DD3"/>
    <w:pPr>
      <w:numPr>
        <w:numId w:val="22"/>
      </w:numPr>
      <w:contextualSpacing/>
    </w:pPr>
  </w:style>
  <w:style w:type="paragraph" w:styleId="ListBullet3">
    <w:name w:val="List Bullet 3"/>
    <w:basedOn w:val="Normal"/>
    <w:uiPriority w:val="99"/>
    <w:semiHidden/>
    <w:rsid w:val="00DD7DD3"/>
    <w:pPr>
      <w:numPr>
        <w:numId w:val="24"/>
      </w:numPr>
      <w:contextualSpacing/>
    </w:pPr>
  </w:style>
  <w:style w:type="paragraph" w:styleId="ListBullet4">
    <w:name w:val="List Bullet 4"/>
    <w:basedOn w:val="Normal"/>
    <w:uiPriority w:val="99"/>
    <w:semiHidden/>
    <w:rsid w:val="00DD7DD3"/>
    <w:pPr>
      <w:numPr>
        <w:numId w:val="26"/>
      </w:numPr>
      <w:contextualSpacing/>
    </w:pPr>
  </w:style>
  <w:style w:type="paragraph" w:styleId="ListBullet5">
    <w:name w:val="List Bullet 5"/>
    <w:basedOn w:val="Normal"/>
    <w:uiPriority w:val="99"/>
    <w:semiHidden/>
    <w:rsid w:val="00DD7DD3"/>
    <w:pPr>
      <w:numPr>
        <w:numId w:val="28"/>
      </w:numPr>
      <w:contextualSpacing/>
    </w:pPr>
  </w:style>
  <w:style w:type="paragraph" w:styleId="ListContinue">
    <w:name w:val="List Continue"/>
    <w:basedOn w:val="Normal"/>
    <w:uiPriority w:val="99"/>
    <w:semiHidden/>
    <w:rsid w:val="00DD7DD3"/>
    <w:pPr>
      <w:spacing w:after="120"/>
      <w:ind w:left="283"/>
      <w:contextualSpacing/>
    </w:pPr>
  </w:style>
  <w:style w:type="paragraph" w:styleId="ListContinue2">
    <w:name w:val="List Continue 2"/>
    <w:basedOn w:val="Normal"/>
    <w:uiPriority w:val="99"/>
    <w:semiHidden/>
    <w:rsid w:val="00DD7DD3"/>
    <w:pPr>
      <w:spacing w:after="120"/>
      <w:ind w:left="566"/>
      <w:contextualSpacing/>
    </w:pPr>
  </w:style>
  <w:style w:type="paragraph" w:styleId="ListContinue3">
    <w:name w:val="List Continue 3"/>
    <w:basedOn w:val="Normal"/>
    <w:uiPriority w:val="99"/>
    <w:semiHidden/>
    <w:rsid w:val="00DD7DD3"/>
    <w:pPr>
      <w:spacing w:after="120"/>
      <w:ind w:left="849"/>
      <w:contextualSpacing/>
    </w:pPr>
  </w:style>
  <w:style w:type="paragraph" w:styleId="ListContinue4">
    <w:name w:val="List Continue 4"/>
    <w:basedOn w:val="Normal"/>
    <w:uiPriority w:val="99"/>
    <w:semiHidden/>
    <w:rsid w:val="00DD7DD3"/>
    <w:pPr>
      <w:spacing w:after="120"/>
      <w:ind w:left="1132"/>
      <w:contextualSpacing/>
    </w:pPr>
  </w:style>
  <w:style w:type="paragraph" w:styleId="ListContinue5">
    <w:name w:val="List Continue 5"/>
    <w:basedOn w:val="Normal"/>
    <w:uiPriority w:val="99"/>
    <w:semiHidden/>
    <w:rsid w:val="00DD7DD3"/>
    <w:pPr>
      <w:spacing w:after="120"/>
      <w:ind w:left="1415"/>
      <w:contextualSpacing/>
    </w:pPr>
  </w:style>
  <w:style w:type="paragraph" w:styleId="ListNumber">
    <w:name w:val="List Number"/>
    <w:basedOn w:val="Normal"/>
    <w:uiPriority w:val="99"/>
    <w:semiHidden/>
    <w:rsid w:val="00DD7DD3"/>
    <w:pPr>
      <w:numPr>
        <w:numId w:val="30"/>
      </w:numPr>
      <w:contextualSpacing/>
    </w:pPr>
  </w:style>
  <w:style w:type="paragraph" w:styleId="ListNumber2">
    <w:name w:val="List Number 2"/>
    <w:basedOn w:val="Normal"/>
    <w:uiPriority w:val="99"/>
    <w:semiHidden/>
    <w:rsid w:val="00DD7DD3"/>
    <w:pPr>
      <w:numPr>
        <w:numId w:val="32"/>
      </w:numPr>
      <w:contextualSpacing/>
    </w:pPr>
  </w:style>
  <w:style w:type="paragraph" w:styleId="ListNumber3">
    <w:name w:val="List Number 3"/>
    <w:basedOn w:val="Normal"/>
    <w:uiPriority w:val="99"/>
    <w:semiHidden/>
    <w:rsid w:val="00DD7DD3"/>
    <w:pPr>
      <w:numPr>
        <w:numId w:val="34"/>
      </w:numPr>
      <w:contextualSpacing/>
    </w:pPr>
  </w:style>
  <w:style w:type="paragraph" w:styleId="ListNumber4">
    <w:name w:val="List Number 4"/>
    <w:basedOn w:val="Normal"/>
    <w:uiPriority w:val="99"/>
    <w:semiHidden/>
    <w:rsid w:val="00DD7DD3"/>
    <w:pPr>
      <w:numPr>
        <w:numId w:val="36"/>
      </w:numPr>
      <w:contextualSpacing/>
    </w:pPr>
  </w:style>
  <w:style w:type="paragraph" w:styleId="ListNumber5">
    <w:name w:val="List Number 5"/>
    <w:basedOn w:val="Normal"/>
    <w:uiPriority w:val="99"/>
    <w:semiHidden/>
    <w:rsid w:val="00DD7DD3"/>
    <w:pPr>
      <w:numPr>
        <w:numId w:val="38"/>
      </w:numPr>
      <w:contextualSpacing/>
    </w:pPr>
  </w:style>
  <w:style w:type="paragraph" w:styleId="MacroText">
    <w:name w:val="macro"/>
    <w:link w:val="MacroTextChar"/>
    <w:uiPriority w:val="99"/>
    <w:semiHidden/>
    <w:rsid w:val="00DD7DD3"/>
    <w:pPr>
      <w:tabs>
        <w:tab w:val="left" w:pos="480"/>
        <w:tab w:val="left" w:pos="960"/>
        <w:tab w:val="left" w:pos="1440"/>
        <w:tab w:val="left" w:pos="1920"/>
        <w:tab w:val="left" w:pos="2400"/>
        <w:tab w:val="left" w:pos="2880"/>
        <w:tab w:val="left" w:pos="3360"/>
        <w:tab w:val="left" w:pos="3840"/>
        <w:tab w:val="left" w:pos="4320"/>
      </w:tabs>
      <w:spacing w:before="160" w:after="0" w:line="260" w:lineRule="exact"/>
    </w:pPr>
    <w:rPr>
      <w:rFonts w:ascii="Consolas" w:eastAsia="Times New Roman" w:hAnsi="Consolas" w:cs="Consolas"/>
      <w:sz w:val="20"/>
      <w:szCs w:val="20"/>
      <w:lang w:val="en-AU"/>
    </w:rPr>
  </w:style>
  <w:style w:type="character" w:customStyle="1" w:styleId="MacroTextChar">
    <w:name w:val="Macro Text Char"/>
    <w:basedOn w:val="DefaultParagraphFont"/>
    <w:link w:val="MacroText"/>
    <w:uiPriority w:val="99"/>
    <w:semiHidden/>
    <w:rsid w:val="00DD7DD3"/>
    <w:rPr>
      <w:rFonts w:ascii="Consolas" w:eastAsia="Times New Roman" w:hAnsi="Consolas" w:cs="Consolas"/>
      <w:sz w:val="20"/>
      <w:szCs w:val="20"/>
      <w:lang w:val="en-AU"/>
    </w:rPr>
  </w:style>
  <w:style w:type="paragraph" w:styleId="MessageHeader">
    <w:name w:val="Message Header"/>
    <w:basedOn w:val="Normal"/>
    <w:link w:val="MessageHeaderChar"/>
    <w:uiPriority w:val="99"/>
    <w:semiHidden/>
    <w:rsid w:val="00DD7DD3"/>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D7DD3"/>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DD7DD3"/>
    <w:pPr>
      <w:spacing w:after="0" w:line="240" w:lineRule="auto"/>
    </w:pPr>
    <w:rPr>
      <w:rFonts w:ascii="Trebuchet MS" w:eastAsia="Times New Roman" w:hAnsi="Trebuchet MS" w:cs="Times New Roman"/>
      <w:sz w:val="19"/>
      <w:szCs w:val="20"/>
      <w:lang w:val="en-AU"/>
    </w:rPr>
  </w:style>
  <w:style w:type="paragraph" w:styleId="NormalIndent">
    <w:name w:val="Normal Indent"/>
    <w:basedOn w:val="Normal"/>
    <w:uiPriority w:val="99"/>
    <w:semiHidden/>
    <w:rsid w:val="00DD7DD3"/>
    <w:pPr>
      <w:ind w:left="720"/>
    </w:pPr>
  </w:style>
  <w:style w:type="paragraph" w:styleId="NoteHeading">
    <w:name w:val="Note Heading"/>
    <w:basedOn w:val="Normal"/>
    <w:next w:val="Normal"/>
    <w:link w:val="NoteHeadingChar"/>
    <w:uiPriority w:val="99"/>
    <w:semiHidden/>
    <w:rsid w:val="00DD7DD3"/>
    <w:pPr>
      <w:spacing w:before="0" w:line="240" w:lineRule="auto"/>
    </w:pPr>
  </w:style>
  <w:style w:type="character" w:customStyle="1" w:styleId="NoteHeadingChar">
    <w:name w:val="Note Heading Char"/>
    <w:basedOn w:val="DefaultParagraphFont"/>
    <w:link w:val="NoteHeading"/>
    <w:uiPriority w:val="99"/>
    <w:semiHidden/>
    <w:rsid w:val="00DD7DD3"/>
    <w:rPr>
      <w:rFonts w:ascii="Trebuchet MS" w:eastAsia="Times New Roman" w:hAnsi="Trebuchet MS" w:cs="Times New Roman"/>
      <w:sz w:val="19"/>
      <w:szCs w:val="20"/>
      <w:lang w:val="en-AU"/>
    </w:rPr>
  </w:style>
  <w:style w:type="paragraph" w:customStyle="1" w:styleId="NumberedListContinuing">
    <w:name w:val="NumberedListContinuing"/>
    <w:basedOn w:val="Dotpoint1"/>
    <w:rsid w:val="00DD7DD3"/>
    <w:pPr>
      <w:numPr>
        <w:numId w:val="39"/>
      </w:numPr>
      <w:tabs>
        <w:tab w:val="clear" w:pos="284"/>
      </w:tabs>
    </w:pPr>
    <w:rPr>
      <w:lang w:eastAsia="en-AU"/>
    </w:rPr>
  </w:style>
  <w:style w:type="paragraph" w:customStyle="1" w:styleId="NumberedAlphaLevel2">
    <w:name w:val="NumberedAlphaLevel2"/>
    <w:basedOn w:val="NumberedListContinuing"/>
    <w:uiPriority w:val="1"/>
    <w:qFormat/>
    <w:rsid w:val="00DD7DD3"/>
    <w:pPr>
      <w:numPr>
        <w:numId w:val="0"/>
      </w:numPr>
      <w:tabs>
        <w:tab w:val="num" w:pos="567"/>
      </w:tabs>
      <w:spacing w:before="80"/>
      <w:ind w:left="567" w:hanging="283"/>
    </w:pPr>
    <w:rPr>
      <w:color w:val="auto"/>
    </w:rPr>
  </w:style>
  <w:style w:type="paragraph" w:customStyle="1" w:styleId="NumberedList">
    <w:name w:val="NumberedList"/>
    <w:uiPriority w:val="1"/>
    <w:qFormat/>
    <w:rsid w:val="00DD7DD3"/>
    <w:pPr>
      <w:numPr>
        <w:numId w:val="40"/>
      </w:numPr>
      <w:spacing w:before="80" w:after="0" w:line="300" w:lineRule="exact"/>
    </w:pPr>
    <w:rPr>
      <w:rFonts w:ascii="Trebuchet MS" w:eastAsia="Times New Roman" w:hAnsi="Trebuchet MS" w:cs="Times New Roman"/>
      <w:sz w:val="19"/>
      <w:szCs w:val="20"/>
      <w:lang w:val="en-AU" w:eastAsia="en-AU"/>
    </w:rPr>
  </w:style>
  <w:style w:type="paragraph" w:customStyle="1" w:styleId="NumericalList">
    <w:name w:val="Numerical List"/>
    <w:basedOn w:val="Text"/>
    <w:rsid w:val="00DD7DD3"/>
    <w:pPr>
      <w:tabs>
        <w:tab w:val="left" w:pos="404"/>
      </w:tabs>
      <w:spacing w:before="0" w:line="240" w:lineRule="auto"/>
      <w:ind w:left="389" w:hanging="389"/>
    </w:pPr>
    <w:rPr>
      <w:rFonts w:ascii="Verdana" w:hAnsi="Verdana" w:cs="Arial"/>
      <w:lang w:eastAsia="en-AU"/>
    </w:rPr>
  </w:style>
  <w:style w:type="paragraph" w:customStyle="1" w:styleId="Organisation">
    <w:name w:val="Organisation"/>
    <w:basedOn w:val="Authors"/>
    <w:uiPriority w:val="1"/>
    <w:qFormat/>
    <w:rsid w:val="00DD7DD3"/>
    <w:pPr>
      <w:spacing w:before="120"/>
      <w:ind w:right="0"/>
    </w:pPr>
    <w:rPr>
      <w:sz w:val="24"/>
    </w:rPr>
  </w:style>
  <w:style w:type="character" w:styleId="PageNumber">
    <w:name w:val="page number"/>
    <w:basedOn w:val="DefaultParagraphFont"/>
    <w:rsid w:val="00185BB3"/>
    <w:rPr>
      <w:rFonts w:ascii="Arial" w:hAnsi="Arial"/>
      <w:sz w:val="18"/>
    </w:rPr>
  </w:style>
  <w:style w:type="character" w:styleId="PlaceholderText">
    <w:name w:val="Placeholder Text"/>
    <w:basedOn w:val="DefaultParagraphFont"/>
    <w:uiPriority w:val="99"/>
    <w:semiHidden/>
    <w:rsid w:val="00DD7DD3"/>
    <w:rPr>
      <w:color w:val="808080"/>
    </w:rPr>
  </w:style>
  <w:style w:type="paragraph" w:customStyle="1" w:styleId="PublicationTitle">
    <w:name w:val="Publication Title"/>
    <w:qFormat/>
    <w:rsid w:val="00DD7DD3"/>
    <w:pPr>
      <w:spacing w:before="3200" w:after="840" w:line="240" w:lineRule="auto"/>
      <w:ind w:left="1701"/>
    </w:pPr>
    <w:rPr>
      <w:rFonts w:ascii="Tahoma" w:eastAsia="Times New Roman" w:hAnsi="Tahoma" w:cs="Tahoma"/>
      <w:color w:val="000000"/>
      <w:kern w:val="28"/>
      <w:sz w:val="56"/>
      <w:szCs w:val="56"/>
      <w:lang w:val="en-AU"/>
    </w:rPr>
  </w:style>
  <w:style w:type="paragraph" w:customStyle="1" w:styleId="PullQuote">
    <w:name w:val="PullQuote"/>
    <w:basedOn w:val="Normal"/>
    <w:uiPriority w:val="1"/>
    <w:qFormat/>
    <w:rsid w:val="00DD7DD3"/>
    <w:pPr>
      <w:pBdr>
        <w:top w:val="single" w:sz="8" w:space="1" w:color="auto"/>
      </w:pBdr>
      <w:spacing w:before="0" w:line="280" w:lineRule="exact"/>
      <w:ind w:left="-425"/>
    </w:pPr>
    <w:rPr>
      <w:rFonts w:ascii="Arial" w:hAnsi="Arial" w:cs="Arial"/>
      <w:b/>
      <w:sz w:val="17"/>
      <w:szCs w:val="17"/>
    </w:rPr>
  </w:style>
  <w:style w:type="paragraph" w:customStyle="1" w:styleId="Reference">
    <w:name w:val="Reference"/>
    <w:basedOn w:val="Text"/>
    <w:rsid w:val="00DD7DD3"/>
    <w:pPr>
      <w:spacing w:before="0" w:after="120" w:line="240" w:lineRule="auto"/>
    </w:pPr>
    <w:rPr>
      <w:rFonts w:ascii="Verdana" w:hAnsi="Verdana"/>
      <w:spacing w:val="8"/>
      <w:sz w:val="18"/>
      <w:szCs w:val="18"/>
      <w:lang w:eastAsia="en-AU"/>
    </w:rPr>
  </w:style>
  <w:style w:type="paragraph" w:customStyle="1" w:styleId="References">
    <w:name w:val="References"/>
    <w:rsid w:val="00DD7DD3"/>
    <w:pPr>
      <w:spacing w:before="80" w:after="0" w:line="240" w:lineRule="auto"/>
      <w:ind w:left="284" w:right="-369" w:hanging="284"/>
    </w:pPr>
    <w:rPr>
      <w:rFonts w:ascii="Trebuchet MS" w:eastAsia="Times New Roman" w:hAnsi="Trebuchet MS" w:cs="Times New Roman"/>
      <w:sz w:val="18"/>
      <w:szCs w:val="20"/>
      <w:lang w:val="en-AU"/>
    </w:rPr>
  </w:style>
  <w:style w:type="paragraph" w:styleId="Salutation">
    <w:name w:val="Salutation"/>
    <w:basedOn w:val="Normal"/>
    <w:next w:val="Normal"/>
    <w:link w:val="SalutationChar"/>
    <w:uiPriority w:val="99"/>
    <w:semiHidden/>
    <w:rsid w:val="00DD7DD3"/>
  </w:style>
  <w:style w:type="character" w:customStyle="1" w:styleId="SalutationChar">
    <w:name w:val="Salutation Char"/>
    <w:basedOn w:val="DefaultParagraphFont"/>
    <w:link w:val="Salutation"/>
    <w:uiPriority w:val="99"/>
    <w:semiHidden/>
    <w:rsid w:val="00DD7DD3"/>
    <w:rPr>
      <w:rFonts w:ascii="Trebuchet MS" w:eastAsia="Times New Roman" w:hAnsi="Trebuchet MS" w:cs="Times New Roman"/>
      <w:sz w:val="19"/>
      <w:szCs w:val="20"/>
      <w:lang w:val="en-AU"/>
    </w:rPr>
  </w:style>
  <w:style w:type="paragraph" w:styleId="Signature">
    <w:name w:val="Signature"/>
    <w:basedOn w:val="Normal"/>
    <w:link w:val="SignatureChar"/>
    <w:uiPriority w:val="99"/>
    <w:semiHidden/>
    <w:rsid w:val="00DD7DD3"/>
    <w:pPr>
      <w:spacing w:before="0" w:line="240" w:lineRule="auto"/>
      <w:ind w:left="4252"/>
    </w:pPr>
  </w:style>
  <w:style w:type="character" w:customStyle="1" w:styleId="SignatureChar">
    <w:name w:val="Signature Char"/>
    <w:basedOn w:val="DefaultParagraphFont"/>
    <w:link w:val="Signature"/>
    <w:uiPriority w:val="99"/>
    <w:semiHidden/>
    <w:rsid w:val="00DD7DD3"/>
    <w:rPr>
      <w:rFonts w:ascii="Trebuchet MS" w:eastAsia="Times New Roman" w:hAnsi="Trebuchet MS" w:cs="Times New Roman"/>
      <w:sz w:val="19"/>
      <w:szCs w:val="20"/>
      <w:lang w:val="en-AU"/>
    </w:rPr>
  </w:style>
  <w:style w:type="paragraph" w:customStyle="1" w:styleId="Source">
    <w:name w:val="Source"/>
    <w:rsid w:val="00DD7DD3"/>
    <w:pPr>
      <w:spacing w:before="40" w:after="0" w:line="240" w:lineRule="auto"/>
      <w:ind w:left="567" w:hanging="567"/>
    </w:pPr>
    <w:rPr>
      <w:rFonts w:ascii="Arial" w:eastAsia="Times New Roman" w:hAnsi="Arial" w:cs="Times New Roman"/>
      <w:sz w:val="15"/>
      <w:szCs w:val="20"/>
      <w:lang w:val="en-AU"/>
    </w:rPr>
  </w:style>
  <w:style w:type="paragraph" w:styleId="Subtitle">
    <w:name w:val="Subtitle"/>
    <w:basedOn w:val="Normal"/>
    <w:next w:val="Normal"/>
    <w:link w:val="SubtitleChar"/>
    <w:uiPriority w:val="11"/>
    <w:qFormat/>
    <w:rsid w:val="00DD7D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D7DD3"/>
    <w:rPr>
      <w:rFonts w:asciiTheme="majorHAnsi" w:eastAsiaTheme="majorEastAsia" w:hAnsiTheme="majorHAnsi" w:cstheme="majorBidi"/>
      <w:i/>
      <w:iCs/>
      <w:color w:val="4F81BD" w:themeColor="accent1"/>
      <w:spacing w:val="15"/>
      <w:sz w:val="24"/>
      <w:szCs w:val="24"/>
      <w:lang w:val="en-AU"/>
    </w:rPr>
  </w:style>
  <w:style w:type="table" w:styleId="TableGrid">
    <w:name w:val="Table Grid"/>
    <w:basedOn w:val="TableNormal"/>
    <w:uiPriority w:val="59"/>
    <w:rsid w:val="00DD7DD3"/>
    <w:pPr>
      <w:spacing w:after="0" w:line="240" w:lineRule="auto"/>
    </w:pPr>
    <w:rPr>
      <w:rFonts w:ascii="Times New Roman" w:eastAsia="Times New Roma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ableofAuthorities">
    <w:name w:val="table of authorities"/>
    <w:basedOn w:val="Normal"/>
    <w:next w:val="Normal"/>
    <w:uiPriority w:val="99"/>
    <w:semiHidden/>
    <w:rsid w:val="00DD7DD3"/>
    <w:pPr>
      <w:ind w:left="190" w:hanging="190"/>
    </w:pPr>
  </w:style>
  <w:style w:type="paragraph" w:styleId="TOC1">
    <w:name w:val="toc 1"/>
    <w:uiPriority w:val="39"/>
    <w:rsid w:val="00DD7DD3"/>
    <w:pPr>
      <w:tabs>
        <w:tab w:val="right" w:pos="6804"/>
      </w:tabs>
      <w:spacing w:before="120" w:after="0" w:line="300" w:lineRule="exact"/>
      <w:ind w:right="1984"/>
    </w:pPr>
    <w:rPr>
      <w:rFonts w:ascii="Trebuchet MS" w:eastAsia="Times New Roman" w:hAnsi="Trebuchet MS" w:cs="Times New Roman"/>
      <w:noProof/>
      <w:color w:val="000000"/>
      <w:sz w:val="19"/>
      <w:szCs w:val="19"/>
      <w:lang w:val="en-AU"/>
    </w:rPr>
  </w:style>
  <w:style w:type="paragraph" w:styleId="TableofFigures">
    <w:name w:val="table of figures"/>
    <w:basedOn w:val="TOC1"/>
    <w:next w:val="Normal"/>
    <w:uiPriority w:val="99"/>
    <w:rsid w:val="00DD7DD3"/>
    <w:pPr>
      <w:tabs>
        <w:tab w:val="left" w:pos="284"/>
      </w:tabs>
      <w:spacing w:before="80"/>
    </w:pPr>
  </w:style>
  <w:style w:type="paragraph" w:customStyle="1" w:styleId="Tabletext">
    <w:name w:val="Table text"/>
    <w:next w:val="Text"/>
    <w:rsid w:val="00742F04"/>
    <w:pPr>
      <w:spacing w:before="40" w:after="40" w:line="240" w:lineRule="auto"/>
    </w:pPr>
    <w:rPr>
      <w:rFonts w:ascii="Arial" w:eastAsia="Times New Roman" w:hAnsi="Arial" w:cs="Times New Roman"/>
      <w:sz w:val="16"/>
      <w:szCs w:val="20"/>
      <w:lang w:val="en-AU"/>
    </w:rPr>
  </w:style>
  <w:style w:type="paragraph" w:customStyle="1" w:styleId="TableFont">
    <w:name w:val="TableFont"/>
    <w:basedOn w:val="Normal"/>
    <w:link w:val="TableFontChar"/>
    <w:uiPriority w:val="99"/>
    <w:rsid w:val="00DD7DD3"/>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DD7DD3"/>
    <w:rPr>
      <w:rFonts w:ascii="Arial" w:eastAsia="Times New Roman" w:hAnsi="Arial" w:cs="Arial"/>
      <w:color w:val="000000"/>
      <w:sz w:val="18"/>
      <w:szCs w:val="20"/>
      <w:lang w:val="en-GB"/>
    </w:rPr>
  </w:style>
  <w:style w:type="paragraph" w:customStyle="1" w:styleId="Tablehead1">
    <w:name w:val="Tablehead1"/>
    <w:rsid w:val="00DD7DD3"/>
    <w:pPr>
      <w:spacing w:before="80" w:after="80" w:line="240" w:lineRule="auto"/>
    </w:pPr>
    <w:rPr>
      <w:rFonts w:ascii="Arial" w:eastAsia="Times New Roman" w:hAnsi="Arial" w:cs="Times New Roman"/>
      <w:b/>
      <w:sz w:val="17"/>
      <w:szCs w:val="20"/>
      <w:lang w:val="en-AU"/>
    </w:rPr>
  </w:style>
  <w:style w:type="paragraph" w:customStyle="1" w:styleId="Tablehead2">
    <w:name w:val="Tablehead2"/>
    <w:basedOn w:val="Tablehead1"/>
    <w:rsid w:val="00742F04"/>
    <w:pPr>
      <w:tabs>
        <w:tab w:val="left" w:pos="992"/>
      </w:tabs>
      <w:spacing w:before="20" w:after="20"/>
    </w:pPr>
    <w:rPr>
      <w:b w:val="0"/>
    </w:rPr>
  </w:style>
  <w:style w:type="paragraph" w:customStyle="1" w:styleId="Tablehead3">
    <w:name w:val="Tablehead3"/>
    <w:basedOn w:val="Tablehead2"/>
    <w:rsid w:val="00DD7DD3"/>
    <w:rPr>
      <w:i/>
    </w:rPr>
  </w:style>
  <w:style w:type="paragraph" w:customStyle="1" w:styleId="Tabletitle">
    <w:name w:val="Tabletitle"/>
    <w:next w:val="Text"/>
    <w:rsid w:val="00742F04"/>
    <w:pPr>
      <w:spacing w:before="360" w:after="80" w:line="240" w:lineRule="auto"/>
      <w:ind w:left="851" w:hanging="851"/>
    </w:pPr>
    <w:rPr>
      <w:rFonts w:ascii="Arial" w:eastAsia="Times New Roman" w:hAnsi="Arial" w:cs="Times New Roman"/>
      <w:b/>
      <w:sz w:val="17"/>
      <w:szCs w:val="20"/>
      <w:lang w:val="en-AU"/>
    </w:rPr>
  </w:style>
  <w:style w:type="paragraph" w:styleId="Title">
    <w:name w:val="Title"/>
    <w:basedOn w:val="Normal"/>
    <w:link w:val="TitleChar"/>
    <w:uiPriority w:val="10"/>
    <w:qFormat/>
    <w:rsid w:val="00DD7DD3"/>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D7DD3"/>
    <w:rPr>
      <w:rFonts w:asciiTheme="majorHAnsi" w:eastAsiaTheme="majorEastAsia" w:hAnsiTheme="majorHAnsi" w:cstheme="majorBidi"/>
      <w:color w:val="17365D" w:themeColor="text2" w:themeShade="BF"/>
      <w:spacing w:val="5"/>
      <w:kern w:val="28"/>
      <w:sz w:val="52"/>
      <w:szCs w:val="52"/>
      <w:lang w:val="en-AU"/>
    </w:rPr>
  </w:style>
  <w:style w:type="paragraph" w:customStyle="1" w:styleId="Titlepage">
    <w:name w:val="Title page"/>
    <w:basedOn w:val="Heading1"/>
    <w:qFormat/>
    <w:rsid w:val="00241375"/>
    <w:rPr>
      <w:rFonts w:cs="Arial"/>
      <w:b/>
      <w:noProof/>
      <w:color w:val="0081C6"/>
      <w:sz w:val="55"/>
      <w:szCs w:val="55"/>
      <w:lang w:eastAsia="en-AU"/>
    </w:rPr>
  </w:style>
  <w:style w:type="paragraph" w:styleId="TOAHeading">
    <w:name w:val="toa heading"/>
    <w:basedOn w:val="Normal"/>
    <w:next w:val="Normal"/>
    <w:uiPriority w:val="99"/>
    <w:semiHidden/>
    <w:rsid w:val="00DD7DD3"/>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DD7DD3"/>
    <w:pPr>
      <w:tabs>
        <w:tab w:val="right" w:pos="6804"/>
      </w:tabs>
      <w:spacing w:before="20" w:after="20" w:line="300" w:lineRule="exact"/>
      <w:ind w:left="284"/>
    </w:pPr>
    <w:rPr>
      <w:noProof/>
      <w:color w:val="000000"/>
      <w:sz w:val="18"/>
      <w:szCs w:val="18"/>
    </w:rPr>
  </w:style>
  <w:style w:type="paragraph" w:styleId="TOC3">
    <w:name w:val="toc 3"/>
    <w:basedOn w:val="TOC2"/>
    <w:next w:val="Normal"/>
    <w:autoRedefine/>
    <w:semiHidden/>
    <w:unhideWhenUsed/>
    <w:rsid w:val="00DD7DD3"/>
    <w:pPr>
      <w:ind w:left="440"/>
    </w:pPr>
  </w:style>
  <w:style w:type="paragraph" w:styleId="TOC4">
    <w:name w:val="toc 4"/>
    <w:basedOn w:val="TOC3"/>
    <w:next w:val="Normal"/>
    <w:autoRedefine/>
    <w:semiHidden/>
    <w:unhideWhenUsed/>
    <w:rsid w:val="00DD7DD3"/>
    <w:pPr>
      <w:ind w:left="660"/>
    </w:pPr>
  </w:style>
  <w:style w:type="paragraph" w:styleId="TOC5">
    <w:name w:val="toc 5"/>
    <w:basedOn w:val="Normal"/>
    <w:next w:val="Normal"/>
    <w:autoRedefine/>
    <w:uiPriority w:val="39"/>
    <w:semiHidden/>
    <w:unhideWhenUsed/>
    <w:rsid w:val="00DD7DD3"/>
    <w:pPr>
      <w:spacing w:after="100"/>
      <w:ind w:left="760"/>
    </w:pPr>
  </w:style>
  <w:style w:type="paragraph" w:styleId="TOC6">
    <w:name w:val="toc 6"/>
    <w:basedOn w:val="Normal"/>
    <w:next w:val="Normal"/>
    <w:autoRedefine/>
    <w:uiPriority w:val="39"/>
    <w:semiHidden/>
    <w:unhideWhenUsed/>
    <w:rsid w:val="00DD7DD3"/>
    <w:pPr>
      <w:spacing w:after="100"/>
      <w:ind w:left="950"/>
    </w:pPr>
  </w:style>
  <w:style w:type="paragraph" w:styleId="TOC7">
    <w:name w:val="toc 7"/>
    <w:basedOn w:val="Normal"/>
    <w:next w:val="Normal"/>
    <w:autoRedefine/>
    <w:uiPriority w:val="39"/>
    <w:semiHidden/>
    <w:unhideWhenUsed/>
    <w:rsid w:val="00DD7DD3"/>
    <w:pPr>
      <w:spacing w:after="100"/>
      <w:ind w:left="1140"/>
    </w:pPr>
  </w:style>
  <w:style w:type="paragraph" w:styleId="TOC8">
    <w:name w:val="toc 8"/>
    <w:basedOn w:val="Normal"/>
    <w:next w:val="Normal"/>
    <w:autoRedefine/>
    <w:uiPriority w:val="39"/>
    <w:semiHidden/>
    <w:unhideWhenUsed/>
    <w:rsid w:val="00DD7DD3"/>
    <w:pPr>
      <w:spacing w:after="100"/>
      <w:ind w:left="1330"/>
    </w:pPr>
  </w:style>
  <w:style w:type="paragraph" w:styleId="TOC9">
    <w:name w:val="toc 9"/>
    <w:basedOn w:val="Normal"/>
    <w:next w:val="Normal"/>
    <w:autoRedefine/>
    <w:uiPriority w:val="39"/>
    <w:semiHidden/>
    <w:unhideWhenUsed/>
    <w:rsid w:val="00DD7DD3"/>
    <w:pPr>
      <w:spacing w:after="100"/>
      <w:ind w:left="1520"/>
    </w:pPr>
  </w:style>
  <w:style w:type="paragraph" w:styleId="TOCHeading">
    <w:name w:val="TOC Heading"/>
    <w:basedOn w:val="Heading1"/>
    <w:next w:val="Normal"/>
    <w:uiPriority w:val="39"/>
    <w:semiHidden/>
    <w:unhideWhenUsed/>
    <w:qFormat/>
    <w:rsid w:val="00DD7DD3"/>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styleId="Revision">
    <w:name w:val="Revision"/>
    <w:hidden/>
    <w:uiPriority w:val="99"/>
    <w:semiHidden/>
    <w:rsid w:val="005A7712"/>
    <w:pPr>
      <w:spacing w:after="0" w:line="240" w:lineRule="auto"/>
    </w:pPr>
    <w:rPr>
      <w:rFonts w:ascii="Trebuchet MS" w:eastAsia="Times New Roman" w:hAnsi="Trebuchet MS" w:cs="Times New Roman"/>
      <w:sz w:val="19"/>
      <w:szCs w:val="20"/>
      <w:lang w:val="en-AU"/>
    </w:rPr>
  </w:style>
  <w:style w:type="paragraph" w:customStyle="1" w:styleId="tabletitle0">
    <w:name w:val="tabletitle"/>
    <w:basedOn w:val="Tabletitle"/>
    <w:next w:val="Text"/>
    <w:rsid w:val="00C06F78"/>
  </w:style>
  <w:style w:type="paragraph" w:customStyle="1" w:styleId="Textlessbefore">
    <w:name w:val="Text less # before"/>
    <w:basedOn w:val="Text"/>
    <w:uiPriority w:val="1"/>
    <w:qFormat/>
    <w:rsid w:val="000672C6"/>
    <w:pPr>
      <w:spacing w:before="80"/>
    </w:pPr>
  </w:style>
  <w:style w:type="paragraph" w:customStyle="1" w:styleId="Textmorebefore">
    <w:name w:val="Text more # before"/>
    <w:basedOn w:val="Text"/>
    <w:uiPriority w:val="1"/>
    <w:qFormat/>
    <w:rsid w:val="000672C6"/>
    <w:pPr>
      <w:spacing w:before="360"/>
    </w:pPr>
  </w:style>
  <w:style w:type="paragraph" w:customStyle="1" w:styleId="Textbeforebox">
    <w:name w:val="Text before box"/>
    <w:basedOn w:val="Textlessbefore"/>
    <w:uiPriority w:val="1"/>
    <w:qFormat/>
    <w:rsid w:val="000672C6"/>
    <w:pPr>
      <w:spacing w:before="0" w:line="240" w:lineRule="auto"/>
    </w:pPr>
  </w:style>
  <w:style w:type="paragraph" w:customStyle="1" w:styleId="text0">
    <w:name w:val="text"/>
    <w:rsid w:val="00FB152B"/>
    <w:pPr>
      <w:spacing w:before="160" w:after="0" w:line="260" w:lineRule="exact"/>
    </w:pPr>
    <w:rPr>
      <w:rFonts w:ascii="Garamond" w:eastAsia="Times New Roman" w:hAnsi="Garamond" w:cs="Times New Roman"/>
      <w:szCs w:val="20"/>
      <w:lang w:val="en-AU"/>
    </w:rPr>
  </w:style>
  <w:style w:type="paragraph" w:customStyle="1" w:styleId="text-lessbefore">
    <w:name w:val="text-less#before"/>
    <w:basedOn w:val="text0"/>
    <w:rsid w:val="00FB152B"/>
    <w:pPr>
      <w:spacing w:before="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95064">
      <w:bodyDiv w:val="1"/>
      <w:marLeft w:val="0"/>
      <w:marRight w:val="0"/>
      <w:marTop w:val="0"/>
      <w:marBottom w:val="0"/>
      <w:divBdr>
        <w:top w:val="none" w:sz="0" w:space="0" w:color="auto"/>
        <w:left w:val="none" w:sz="0" w:space="0" w:color="auto"/>
        <w:bottom w:val="none" w:sz="0" w:space="0" w:color="auto"/>
        <w:right w:val="none" w:sz="0" w:space="0" w:color="auto"/>
      </w:divBdr>
      <w:divsChild>
        <w:div w:id="1873496154">
          <w:marLeft w:val="0"/>
          <w:marRight w:val="0"/>
          <w:marTop w:val="0"/>
          <w:marBottom w:val="0"/>
          <w:divBdr>
            <w:top w:val="none" w:sz="0" w:space="0" w:color="auto"/>
            <w:left w:val="none" w:sz="0" w:space="0" w:color="auto"/>
            <w:bottom w:val="none" w:sz="0" w:space="0" w:color="auto"/>
            <w:right w:val="none" w:sz="0" w:space="0" w:color="auto"/>
          </w:divBdr>
        </w:div>
        <w:div w:id="1360281660">
          <w:marLeft w:val="0"/>
          <w:marRight w:val="0"/>
          <w:marTop w:val="0"/>
          <w:marBottom w:val="0"/>
          <w:divBdr>
            <w:top w:val="none" w:sz="0" w:space="0" w:color="auto"/>
            <w:left w:val="none" w:sz="0" w:space="0" w:color="auto"/>
            <w:bottom w:val="none" w:sz="0" w:space="0" w:color="auto"/>
            <w:right w:val="none" w:sz="0" w:space="0" w:color="auto"/>
          </w:divBdr>
        </w:div>
        <w:div w:id="1207989169">
          <w:marLeft w:val="0"/>
          <w:marRight w:val="0"/>
          <w:marTop w:val="0"/>
          <w:marBottom w:val="0"/>
          <w:divBdr>
            <w:top w:val="none" w:sz="0" w:space="0" w:color="auto"/>
            <w:left w:val="none" w:sz="0" w:space="0" w:color="auto"/>
            <w:bottom w:val="none" w:sz="0" w:space="0" w:color="auto"/>
            <w:right w:val="none" w:sz="0" w:space="0" w:color="auto"/>
          </w:divBdr>
        </w:div>
        <w:div w:id="1842235531">
          <w:marLeft w:val="0"/>
          <w:marRight w:val="0"/>
          <w:marTop w:val="0"/>
          <w:marBottom w:val="0"/>
          <w:divBdr>
            <w:top w:val="none" w:sz="0" w:space="0" w:color="auto"/>
            <w:left w:val="none" w:sz="0" w:space="0" w:color="auto"/>
            <w:bottom w:val="none" w:sz="0" w:space="0" w:color="auto"/>
            <w:right w:val="none" w:sz="0" w:space="0" w:color="auto"/>
          </w:divBdr>
        </w:div>
        <w:div w:id="369041211">
          <w:marLeft w:val="0"/>
          <w:marRight w:val="0"/>
          <w:marTop w:val="0"/>
          <w:marBottom w:val="0"/>
          <w:divBdr>
            <w:top w:val="none" w:sz="0" w:space="0" w:color="auto"/>
            <w:left w:val="none" w:sz="0" w:space="0" w:color="auto"/>
            <w:bottom w:val="none" w:sz="0" w:space="0" w:color="auto"/>
            <w:right w:val="none" w:sz="0" w:space="0" w:color="auto"/>
          </w:divBdr>
        </w:div>
        <w:div w:id="948122718">
          <w:marLeft w:val="0"/>
          <w:marRight w:val="0"/>
          <w:marTop w:val="0"/>
          <w:marBottom w:val="0"/>
          <w:divBdr>
            <w:top w:val="none" w:sz="0" w:space="0" w:color="auto"/>
            <w:left w:val="none" w:sz="0" w:space="0" w:color="auto"/>
            <w:bottom w:val="none" w:sz="0" w:space="0" w:color="auto"/>
            <w:right w:val="none" w:sz="0" w:space="0" w:color="auto"/>
          </w:divBdr>
        </w:div>
        <w:div w:id="59061125">
          <w:marLeft w:val="0"/>
          <w:marRight w:val="0"/>
          <w:marTop w:val="0"/>
          <w:marBottom w:val="0"/>
          <w:divBdr>
            <w:top w:val="none" w:sz="0" w:space="0" w:color="auto"/>
            <w:left w:val="none" w:sz="0" w:space="0" w:color="auto"/>
            <w:bottom w:val="none" w:sz="0" w:space="0" w:color="auto"/>
            <w:right w:val="none" w:sz="0" w:space="0" w:color="auto"/>
          </w:divBdr>
        </w:div>
        <w:div w:id="503668804">
          <w:marLeft w:val="0"/>
          <w:marRight w:val="0"/>
          <w:marTop w:val="0"/>
          <w:marBottom w:val="0"/>
          <w:divBdr>
            <w:top w:val="none" w:sz="0" w:space="0" w:color="auto"/>
            <w:left w:val="none" w:sz="0" w:space="0" w:color="auto"/>
            <w:bottom w:val="none" w:sz="0" w:space="0" w:color="auto"/>
            <w:right w:val="none" w:sz="0" w:space="0" w:color="auto"/>
          </w:divBdr>
        </w:div>
        <w:div w:id="957100805">
          <w:marLeft w:val="0"/>
          <w:marRight w:val="0"/>
          <w:marTop w:val="0"/>
          <w:marBottom w:val="0"/>
          <w:divBdr>
            <w:top w:val="none" w:sz="0" w:space="0" w:color="auto"/>
            <w:left w:val="none" w:sz="0" w:space="0" w:color="auto"/>
            <w:bottom w:val="none" w:sz="0" w:space="0" w:color="auto"/>
            <w:right w:val="none" w:sz="0" w:space="0" w:color="auto"/>
          </w:divBdr>
        </w:div>
        <w:div w:id="1824420874">
          <w:marLeft w:val="0"/>
          <w:marRight w:val="0"/>
          <w:marTop w:val="0"/>
          <w:marBottom w:val="0"/>
          <w:divBdr>
            <w:top w:val="none" w:sz="0" w:space="0" w:color="auto"/>
            <w:left w:val="none" w:sz="0" w:space="0" w:color="auto"/>
            <w:bottom w:val="none" w:sz="0" w:space="0" w:color="auto"/>
            <w:right w:val="none" w:sz="0" w:space="0" w:color="auto"/>
          </w:divBdr>
        </w:div>
        <w:div w:id="1581719899">
          <w:marLeft w:val="0"/>
          <w:marRight w:val="0"/>
          <w:marTop w:val="0"/>
          <w:marBottom w:val="0"/>
          <w:divBdr>
            <w:top w:val="none" w:sz="0" w:space="0" w:color="auto"/>
            <w:left w:val="none" w:sz="0" w:space="0" w:color="auto"/>
            <w:bottom w:val="none" w:sz="0" w:space="0" w:color="auto"/>
            <w:right w:val="none" w:sz="0" w:space="0" w:color="auto"/>
          </w:divBdr>
        </w:div>
        <w:div w:id="856890068">
          <w:marLeft w:val="0"/>
          <w:marRight w:val="0"/>
          <w:marTop w:val="0"/>
          <w:marBottom w:val="0"/>
          <w:divBdr>
            <w:top w:val="none" w:sz="0" w:space="0" w:color="auto"/>
            <w:left w:val="none" w:sz="0" w:space="0" w:color="auto"/>
            <w:bottom w:val="none" w:sz="0" w:space="0" w:color="auto"/>
            <w:right w:val="none" w:sz="0" w:space="0" w:color="auto"/>
          </w:divBdr>
        </w:div>
        <w:div w:id="1007555227">
          <w:marLeft w:val="0"/>
          <w:marRight w:val="0"/>
          <w:marTop w:val="0"/>
          <w:marBottom w:val="0"/>
          <w:divBdr>
            <w:top w:val="none" w:sz="0" w:space="0" w:color="auto"/>
            <w:left w:val="none" w:sz="0" w:space="0" w:color="auto"/>
            <w:bottom w:val="none" w:sz="0" w:space="0" w:color="auto"/>
            <w:right w:val="none" w:sz="0" w:space="0" w:color="auto"/>
          </w:divBdr>
        </w:div>
        <w:div w:id="1207641625">
          <w:marLeft w:val="0"/>
          <w:marRight w:val="0"/>
          <w:marTop w:val="0"/>
          <w:marBottom w:val="0"/>
          <w:divBdr>
            <w:top w:val="none" w:sz="0" w:space="0" w:color="auto"/>
            <w:left w:val="none" w:sz="0" w:space="0" w:color="auto"/>
            <w:bottom w:val="none" w:sz="0" w:space="0" w:color="auto"/>
            <w:right w:val="none" w:sz="0" w:space="0" w:color="auto"/>
          </w:divBdr>
        </w:div>
        <w:div w:id="352416835">
          <w:marLeft w:val="0"/>
          <w:marRight w:val="0"/>
          <w:marTop w:val="0"/>
          <w:marBottom w:val="0"/>
          <w:divBdr>
            <w:top w:val="none" w:sz="0" w:space="0" w:color="auto"/>
            <w:left w:val="none" w:sz="0" w:space="0" w:color="auto"/>
            <w:bottom w:val="none" w:sz="0" w:space="0" w:color="auto"/>
            <w:right w:val="none" w:sz="0" w:space="0" w:color="auto"/>
          </w:divBdr>
        </w:div>
        <w:div w:id="1317421451">
          <w:marLeft w:val="0"/>
          <w:marRight w:val="0"/>
          <w:marTop w:val="0"/>
          <w:marBottom w:val="0"/>
          <w:divBdr>
            <w:top w:val="none" w:sz="0" w:space="0" w:color="auto"/>
            <w:left w:val="none" w:sz="0" w:space="0" w:color="auto"/>
            <w:bottom w:val="none" w:sz="0" w:space="0" w:color="auto"/>
            <w:right w:val="none" w:sz="0" w:space="0" w:color="auto"/>
          </w:divBdr>
        </w:div>
      </w:divsChild>
    </w:div>
    <w:div w:id="133451973">
      <w:bodyDiv w:val="1"/>
      <w:marLeft w:val="0"/>
      <w:marRight w:val="0"/>
      <w:marTop w:val="0"/>
      <w:marBottom w:val="0"/>
      <w:divBdr>
        <w:top w:val="none" w:sz="0" w:space="0" w:color="auto"/>
        <w:left w:val="none" w:sz="0" w:space="0" w:color="auto"/>
        <w:bottom w:val="none" w:sz="0" w:space="0" w:color="auto"/>
        <w:right w:val="none" w:sz="0" w:space="0" w:color="auto"/>
      </w:divBdr>
      <w:divsChild>
        <w:div w:id="2111076245">
          <w:marLeft w:val="0"/>
          <w:marRight w:val="0"/>
          <w:marTop w:val="0"/>
          <w:marBottom w:val="0"/>
          <w:divBdr>
            <w:top w:val="none" w:sz="0" w:space="0" w:color="auto"/>
            <w:left w:val="none" w:sz="0" w:space="0" w:color="auto"/>
            <w:bottom w:val="none" w:sz="0" w:space="0" w:color="auto"/>
            <w:right w:val="none" w:sz="0" w:space="0" w:color="auto"/>
          </w:divBdr>
        </w:div>
        <w:div w:id="1258561028">
          <w:marLeft w:val="0"/>
          <w:marRight w:val="0"/>
          <w:marTop w:val="0"/>
          <w:marBottom w:val="0"/>
          <w:divBdr>
            <w:top w:val="none" w:sz="0" w:space="0" w:color="auto"/>
            <w:left w:val="none" w:sz="0" w:space="0" w:color="auto"/>
            <w:bottom w:val="none" w:sz="0" w:space="0" w:color="auto"/>
            <w:right w:val="none" w:sz="0" w:space="0" w:color="auto"/>
          </w:divBdr>
        </w:div>
        <w:div w:id="595138698">
          <w:marLeft w:val="0"/>
          <w:marRight w:val="0"/>
          <w:marTop w:val="0"/>
          <w:marBottom w:val="0"/>
          <w:divBdr>
            <w:top w:val="none" w:sz="0" w:space="0" w:color="auto"/>
            <w:left w:val="none" w:sz="0" w:space="0" w:color="auto"/>
            <w:bottom w:val="none" w:sz="0" w:space="0" w:color="auto"/>
            <w:right w:val="none" w:sz="0" w:space="0" w:color="auto"/>
          </w:divBdr>
        </w:div>
        <w:div w:id="1819151878">
          <w:marLeft w:val="0"/>
          <w:marRight w:val="0"/>
          <w:marTop w:val="0"/>
          <w:marBottom w:val="0"/>
          <w:divBdr>
            <w:top w:val="none" w:sz="0" w:space="0" w:color="auto"/>
            <w:left w:val="none" w:sz="0" w:space="0" w:color="auto"/>
            <w:bottom w:val="none" w:sz="0" w:space="0" w:color="auto"/>
            <w:right w:val="none" w:sz="0" w:space="0" w:color="auto"/>
          </w:divBdr>
        </w:div>
        <w:div w:id="2084137479">
          <w:marLeft w:val="0"/>
          <w:marRight w:val="0"/>
          <w:marTop w:val="0"/>
          <w:marBottom w:val="0"/>
          <w:divBdr>
            <w:top w:val="none" w:sz="0" w:space="0" w:color="auto"/>
            <w:left w:val="none" w:sz="0" w:space="0" w:color="auto"/>
            <w:bottom w:val="none" w:sz="0" w:space="0" w:color="auto"/>
            <w:right w:val="none" w:sz="0" w:space="0" w:color="auto"/>
          </w:divBdr>
        </w:div>
        <w:div w:id="931284724">
          <w:marLeft w:val="0"/>
          <w:marRight w:val="0"/>
          <w:marTop w:val="0"/>
          <w:marBottom w:val="0"/>
          <w:divBdr>
            <w:top w:val="none" w:sz="0" w:space="0" w:color="auto"/>
            <w:left w:val="none" w:sz="0" w:space="0" w:color="auto"/>
            <w:bottom w:val="none" w:sz="0" w:space="0" w:color="auto"/>
            <w:right w:val="none" w:sz="0" w:space="0" w:color="auto"/>
          </w:divBdr>
        </w:div>
        <w:div w:id="239677177">
          <w:marLeft w:val="0"/>
          <w:marRight w:val="0"/>
          <w:marTop w:val="0"/>
          <w:marBottom w:val="0"/>
          <w:divBdr>
            <w:top w:val="none" w:sz="0" w:space="0" w:color="auto"/>
            <w:left w:val="none" w:sz="0" w:space="0" w:color="auto"/>
            <w:bottom w:val="none" w:sz="0" w:space="0" w:color="auto"/>
            <w:right w:val="none" w:sz="0" w:space="0" w:color="auto"/>
          </w:divBdr>
        </w:div>
        <w:div w:id="669069334">
          <w:marLeft w:val="0"/>
          <w:marRight w:val="0"/>
          <w:marTop w:val="0"/>
          <w:marBottom w:val="0"/>
          <w:divBdr>
            <w:top w:val="none" w:sz="0" w:space="0" w:color="auto"/>
            <w:left w:val="none" w:sz="0" w:space="0" w:color="auto"/>
            <w:bottom w:val="none" w:sz="0" w:space="0" w:color="auto"/>
            <w:right w:val="none" w:sz="0" w:space="0" w:color="auto"/>
          </w:divBdr>
        </w:div>
        <w:div w:id="1622221675">
          <w:marLeft w:val="0"/>
          <w:marRight w:val="0"/>
          <w:marTop w:val="0"/>
          <w:marBottom w:val="0"/>
          <w:divBdr>
            <w:top w:val="none" w:sz="0" w:space="0" w:color="auto"/>
            <w:left w:val="none" w:sz="0" w:space="0" w:color="auto"/>
            <w:bottom w:val="none" w:sz="0" w:space="0" w:color="auto"/>
            <w:right w:val="none" w:sz="0" w:space="0" w:color="auto"/>
          </w:divBdr>
        </w:div>
        <w:div w:id="1281958551">
          <w:marLeft w:val="0"/>
          <w:marRight w:val="0"/>
          <w:marTop w:val="0"/>
          <w:marBottom w:val="0"/>
          <w:divBdr>
            <w:top w:val="none" w:sz="0" w:space="0" w:color="auto"/>
            <w:left w:val="none" w:sz="0" w:space="0" w:color="auto"/>
            <w:bottom w:val="none" w:sz="0" w:space="0" w:color="auto"/>
            <w:right w:val="none" w:sz="0" w:space="0" w:color="auto"/>
          </w:divBdr>
        </w:div>
        <w:div w:id="401686407">
          <w:marLeft w:val="0"/>
          <w:marRight w:val="0"/>
          <w:marTop w:val="0"/>
          <w:marBottom w:val="0"/>
          <w:divBdr>
            <w:top w:val="none" w:sz="0" w:space="0" w:color="auto"/>
            <w:left w:val="none" w:sz="0" w:space="0" w:color="auto"/>
            <w:bottom w:val="none" w:sz="0" w:space="0" w:color="auto"/>
            <w:right w:val="none" w:sz="0" w:space="0" w:color="auto"/>
          </w:divBdr>
        </w:div>
        <w:div w:id="728118390">
          <w:marLeft w:val="0"/>
          <w:marRight w:val="0"/>
          <w:marTop w:val="0"/>
          <w:marBottom w:val="0"/>
          <w:divBdr>
            <w:top w:val="none" w:sz="0" w:space="0" w:color="auto"/>
            <w:left w:val="none" w:sz="0" w:space="0" w:color="auto"/>
            <w:bottom w:val="none" w:sz="0" w:space="0" w:color="auto"/>
            <w:right w:val="none" w:sz="0" w:space="0" w:color="auto"/>
          </w:divBdr>
        </w:div>
        <w:div w:id="597833130">
          <w:marLeft w:val="0"/>
          <w:marRight w:val="0"/>
          <w:marTop w:val="0"/>
          <w:marBottom w:val="0"/>
          <w:divBdr>
            <w:top w:val="none" w:sz="0" w:space="0" w:color="auto"/>
            <w:left w:val="none" w:sz="0" w:space="0" w:color="auto"/>
            <w:bottom w:val="none" w:sz="0" w:space="0" w:color="auto"/>
            <w:right w:val="none" w:sz="0" w:space="0" w:color="auto"/>
          </w:divBdr>
        </w:div>
        <w:div w:id="1191531000">
          <w:marLeft w:val="0"/>
          <w:marRight w:val="0"/>
          <w:marTop w:val="0"/>
          <w:marBottom w:val="0"/>
          <w:divBdr>
            <w:top w:val="none" w:sz="0" w:space="0" w:color="auto"/>
            <w:left w:val="none" w:sz="0" w:space="0" w:color="auto"/>
            <w:bottom w:val="none" w:sz="0" w:space="0" w:color="auto"/>
            <w:right w:val="none" w:sz="0" w:space="0" w:color="auto"/>
          </w:divBdr>
        </w:div>
        <w:div w:id="678430236">
          <w:marLeft w:val="0"/>
          <w:marRight w:val="0"/>
          <w:marTop w:val="0"/>
          <w:marBottom w:val="0"/>
          <w:divBdr>
            <w:top w:val="none" w:sz="0" w:space="0" w:color="auto"/>
            <w:left w:val="none" w:sz="0" w:space="0" w:color="auto"/>
            <w:bottom w:val="none" w:sz="0" w:space="0" w:color="auto"/>
            <w:right w:val="none" w:sz="0" w:space="0" w:color="auto"/>
          </w:divBdr>
        </w:div>
        <w:div w:id="1922331481">
          <w:marLeft w:val="0"/>
          <w:marRight w:val="0"/>
          <w:marTop w:val="0"/>
          <w:marBottom w:val="0"/>
          <w:divBdr>
            <w:top w:val="none" w:sz="0" w:space="0" w:color="auto"/>
            <w:left w:val="none" w:sz="0" w:space="0" w:color="auto"/>
            <w:bottom w:val="none" w:sz="0" w:space="0" w:color="auto"/>
            <w:right w:val="none" w:sz="0" w:space="0" w:color="auto"/>
          </w:divBdr>
        </w:div>
        <w:div w:id="1162893225">
          <w:marLeft w:val="0"/>
          <w:marRight w:val="0"/>
          <w:marTop w:val="0"/>
          <w:marBottom w:val="0"/>
          <w:divBdr>
            <w:top w:val="none" w:sz="0" w:space="0" w:color="auto"/>
            <w:left w:val="none" w:sz="0" w:space="0" w:color="auto"/>
            <w:bottom w:val="none" w:sz="0" w:space="0" w:color="auto"/>
            <w:right w:val="none" w:sz="0" w:space="0" w:color="auto"/>
          </w:divBdr>
        </w:div>
        <w:div w:id="302928359">
          <w:marLeft w:val="0"/>
          <w:marRight w:val="0"/>
          <w:marTop w:val="0"/>
          <w:marBottom w:val="0"/>
          <w:divBdr>
            <w:top w:val="none" w:sz="0" w:space="0" w:color="auto"/>
            <w:left w:val="none" w:sz="0" w:space="0" w:color="auto"/>
            <w:bottom w:val="none" w:sz="0" w:space="0" w:color="auto"/>
            <w:right w:val="none" w:sz="0" w:space="0" w:color="auto"/>
          </w:divBdr>
        </w:div>
        <w:div w:id="961887018">
          <w:marLeft w:val="0"/>
          <w:marRight w:val="0"/>
          <w:marTop w:val="0"/>
          <w:marBottom w:val="0"/>
          <w:divBdr>
            <w:top w:val="none" w:sz="0" w:space="0" w:color="auto"/>
            <w:left w:val="none" w:sz="0" w:space="0" w:color="auto"/>
            <w:bottom w:val="none" w:sz="0" w:space="0" w:color="auto"/>
            <w:right w:val="none" w:sz="0" w:space="0" w:color="auto"/>
          </w:divBdr>
        </w:div>
        <w:div w:id="1687973421">
          <w:marLeft w:val="0"/>
          <w:marRight w:val="0"/>
          <w:marTop w:val="0"/>
          <w:marBottom w:val="0"/>
          <w:divBdr>
            <w:top w:val="none" w:sz="0" w:space="0" w:color="auto"/>
            <w:left w:val="none" w:sz="0" w:space="0" w:color="auto"/>
            <w:bottom w:val="none" w:sz="0" w:space="0" w:color="auto"/>
            <w:right w:val="none" w:sz="0" w:space="0" w:color="auto"/>
          </w:divBdr>
        </w:div>
        <w:div w:id="1263881734">
          <w:marLeft w:val="0"/>
          <w:marRight w:val="0"/>
          <w:marTop w:val="0"/>
          <w:marBottom w:val="0"/>
          <w:divBdr>
            <w:top w:val="none" w:sz="0" w:space="0" w:color="auto"/>
            <w:left w:val="none" w:sz="0" w:space="0" w:color="auto"/>
            <w:bottom w:val="none" w:sz="0" w:space="0" w:color="auto"/>
            <w:right w:val="none" w:sz="0" w:space="0" w:color="auto"/>
          </w:divBdr>
        </w:div>
        <w:div w:id="1476488892">
          <w:marLeft w:val="0"/>
          <w:marRight w:val="0"/>
          <w:marTop w:val="0"/>
          <w:marBottom w:val="0"/>
          <w:divBdr>
            <w:top w:val="none" w:sz="0" w:space="0" w:color="auto"/>
            <w:left w:val="none" w:sz="0" w:space="0" w:color="auto"/>
            <w:bottom w:val="none" w:sz="0" w:space="0" w:color="auto"/>
            <w:right w:val="none" w:sz="0" w:space="0" w:color="auto"/>
          </w:divBdr>
        </w:div>
        <w:div w:id="1249194774">
          <w:marLeft w:val="0"/>
          <w:marRight w:val="0"/>
          <w:marTop w:val="0"/>
          <w:marBottom w:val="0"/>
          <w:divBdr>
            <w:top w:val="none" w:sz="0" w:space="0" w:color="auto"/>
            <w:left w:val="none" w:sz="0" w:space="0" w:color="auto"/>
            <w:bottom w:val="none" w:sz="0" w:space="0" w:color="auto"/>
            <w:right w:val="none" w:sz="0" w:space="0" w:color="auto"/>
          </w:divBdr>
        </w:div>
        <w:div w:id="1684672186">
          <w:marLeft w:val="0"/>
          <w:marRight w:val="0"/>
          <w:marTop w:val="0"/>
          <w:marBottom w:val="0"/>
          <w:divBdr>
            <w:top w:val="none" w:sz="0" w:space="0" w:color="auto"/>
            <w:left w:val="none" w:sz="0" w:space="0" w:color="auto"/>
            <w:bottom w:val="none" w:sz="0" w:space="0" w:color="auto"/>
            <w:right w:val="none" w:sz="0" w:space="0" w:color="auto"/>
          </w:divBdr>
        </w:div>
        <w:div w:id="159322454">
          <w:marLeft w:val="0"/>
          <w:marRight w:val="0"/>
          <w:marTop w:val="0"/>
          <w:marBottom w:val="0"/>
          <w:divBdr>
            <w:top w:val="none" w:sz="0" w:space="0" w:color="auto"/>
            <w:left w:val="none" w:sz="0" w:space="0" w:color="auto"/>
            <w:bottom w:val="none" w:sz="0" w:space="0" w:color="auto"/>
            <w:right w:val="none" w:sz="0" w:space="0" w:color="auto"/>
          </w:divBdr>
        </w:div>
        <w:div w:id="791945550">
          <w:marLeft w:val="0"/>
          <w:marRight w:val="0"/>
          <w:marTop w:val="0"/>
          <w:marBottom w:val="0"/>
          <w:divBdr>
            <w:top w:val="none" w:sz="0" w:space="0" w:color="auto"/>
            <w:left w:val="none" w:sz="0" w:space="0" w:color="auto"/>
            <w:bottom w:val="none" w:sz="0" w:space="0" w:color="auto"/>
            <w:right w:val="none" w:sz="0" w:space="0" w:color="auto"/>
          </w:divBdr>
        </w:div>
        <w:div w:id="1182624354">
          <w:marLeft w:val="0"/>
          <w:marRight w:val="0"/>
          <w:marTop w:val="0"/>
          <w:marBottom w:val="0"/>
          <w:divBdr>
            <w:top w:val="none" w:sz="0" w:space="0" w:color="auto"/>
            <w:left w:val="none" w:sz="0" w:space="0" w:color="auto"/>
            <w:bottom w:val="none" w:sz="0" w:space="0" w:color="auto"/>
            <w:right w:val="none" w:sz="0" w:space="0" w:color="auto"/>
          </w:divBdr>
        </w:div>
        <w:div w:id="1521158835">
          <w:marLeft w:val="0"/>
          <w:marRight w:val="0"/>
          <w:marTop w:val="0"/>
          <w:marBottom w:val="0"/>
          <w:divBdr>
            <w:top w:val="none" w:sz="0" w:space="0" w:color="auto"/>
            <w:left w:val="none" w:sz="0" w:space="0" w:color="auto"/>
            <w:bottom w:val="none" w:sz="0" w:space="0" w:color="auto"/>
            <w:right w:val="none" w:sz="0" w:space="0" w:color="auto"/>
          </w:divBdr>
        </w:div>
      </w:divsChild>
    </w:div>
    <w:div w:id="152646689">
      <w:bodyDiv w:val="1"/>
      <w:marLeft w:val="0"/>
      <w:marRight w:val="0"/>
      <w:marTop w:val="0"/>
      <w:marBottom w:val="0"/>
      <w:divBdr>
        <w:top w:val="none" w:sz="0" w:space="0" w:color="auto"/>
        <w:left w:val="none" w:sz="0" w:space="0" w:color="auto"/>
        <w:bottom w:val="none" w:sz="0" w:space="0" w:color="auto"/>
        <w:right w:val="none" w:sz="0" w:space="0" w:color="auto"/>
      </w:divBdr>
      <w:divsChild>
        <w:div w:id="1937904058">
          <w:marLeft w:val="0"/>
          <w:marRight w:val="0"/>
          <w:marTop w:val="0"/>
          <w:marBottom w:val="0"/>
          <w:divBdr>
            <w:top w:val="none" w:sz="0" w:space="0" w:color="auto"/>
            <w:left w:val="none" w:sz="0" w:space="0" w:color="auto"/>
            <w:bottom w:val="none" w:sz="0" w:space="0" w:color="auto"/>
            <w:right w:val="none" w:sz="0" w:space="0" w:color="auto"/>
          </w:divBdr>
          <w:divsChild>
            <w:div w:id="638388577">
              <w:marLeft w:val="0"/>
              <w:marRight w:val="0"/>
              <w:marTop w:val="0"/>
              <w:marBottom w:val="0"/>
              <w:divBdr>
                <w:top w:val="none" w:sz="0" w:space="0" w:color="auto"/>
                <w:left w:val="none" w:sz="0" w:space="0" w:color="auto"/>
                <w:bottom w:val="none" w:sz="0" w:space="0" w:color="auto"/>
                <w:right w:val="none" w:sz="0" w:space="0" w:color="auto"/>
              </w:divBdr>
            </w:div>
            <w:div w:id="1466394013">
              <w:marLeft w:val="0"/>
              <w:marRight w:val="0"/>
              <w:marTop w:val="0"/>
              <w:marBottom w:val="0"/>
              <w:divBdr>
                <w:top w:val="none" w:sz="0" w:space="0" w:color="auto"/>
                <w:left w:val="none" w:sz="0" w:space="0" w:color="auto"/>
                <w:bottom w:val="none" w:sz="0" w:space="0" w:color="auto"/>
                <w:right w:val="none" w:sz="0" w:space="0" w:color="auto"/>
              </w:divBdr>
            </w:div>
            <w:div w:id="1351759992">
              <w:marLeft w:val="0"/>
              <w:marRight w:val="0"/>
              <w:marTop w:val="0"/>
              <w:marBottom w:val="0"/>
              <w:divBdr>
                <w:top w:val="none" w:sz="0" w:space="0" w:color="auto"/>
                <w:left w:val="none" w:sz="0" w:space="0" w:color="auto"/>
                <w:bottom w:val="none" w:sz="0" w:space="0" w:color="auto"/>
                <w:right w:val="none" w:sz="0" w:space="0" w:color="auto"/>
              </w:divBdr>
            </w:div>
            <w:div w:id="1716083459">
              <w:marLeft w:val="0"/>
              <w:marRight w:val="0"/>
              <w:marTop w:val="0"/>
              <w:marBottom w:val="0"/>
              <w:divBdr>
                <w:top w:val="none" w:sz="0" w:space="0" w:color="auto"/>
                <w:left w:val="none" w:sz="0" w:space="0" w:color="auto"/>
                <w:bottom w:val="none" w:sz="0" w:space="0" w:color="auto"/>
                <w:right w:val="none" w:sz="0" w:space="0" w:color="auto"/>
              </w:divBdr>
            </w:div>
            <w:div w:id="922303829">
              <w:marLeft w:val="0"/>
              <w:marRight w:val="0"/>
              <w:marTop w:val="0"/>
              <w:marBottom w:val="0"/>
              <w:divBdr>
                <w:top w:val="none" w:sz="0" w:space="0" w:color="auto"/>
                <w:left w:val="none" w:sz="0" w:space="0" w:color="auto"/>
                <w:bottom w:val="none" w:sz="0" w:space="0" w:color="auto"/>
                <w:right w:val="none" w:sz="0" w:space="0" w:color="auto"/>
              </w:divBdr>
            </w:div>
            <w:div w:id="272516273">
              <w:marLeft w:val="0"/>
              <w:marRight w:val="0"/>
              <w:marTop w:val="0"/>
              <w:marBottom w:val="0"/>
              <w:divBdr>
                <w:top w:val="none" w:sz="0" w:space="0" w:color="auto"/>
                <w:left w:val="none" w:sz="0" w:space="0" w:color="auto"/>
                <w:bottom w:val="none" w:sz="0" w:space="0" w:color="auto"/>
                <w:right w:val="none" w:sz="0" w:space="0" w:color="auto"/>
              </w:divBdr>
            </w:div>
            <w:div w:id="137149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6208">
      <w:bodyDiv w:val="1"/>
      <w:marLeft w:val="0"/>
      <w:marRight w:val="0"/>
      <w:marTop w:val="0"/>
      <w:marBottom w:val="0"/>
      <w:divBdr>
        <w:top w:val="none" w:sz="0" w:space="0" w:color="auto"/>
        <w:left w:val="none" w:sz="0" w:space="0" w:color="auto"/>
        <w:bottom w:val="none" w:sz="0" w:space="0" w:color="auto"/>
        <w:right w:val="none" w:sz="0" w:space="0" w:color="auto"/>
      </w:divBdr>
      <w:divsChild>
        <w:div w:id="1026103865">
          <w:marLeft w:val="0"/>
          <w:marRight w:val="0"/>
          <w:marTop w:val="0"/>
          <w:marBottom w:val="0"/>
          <w:divBdr>
            <w:top w:val="none" w:sz="0" w:space="0" w:color="auto"/>
            <w:left w:val="none" w:sz="0" w:space="0" w:color="auto"/>
            <w:bottom w:val="none" w:sz="0" w:space="0" w:color="auto"/>
            <w:right w:val="none" w:sz="0" w:space="0" w:color="auto"/>
          </w:divBdr>
          <w:divsChild>
            <w:div w:id="1747606431">
              <w:marLeft w:val="0"/>
              <w:marRight w:val="0"/>
              <w:marTop w:val="0"/>
              <w:marBottom w:val="0"/>
              <w:divBdr>
                <w:top w:val="none" w:sz="0" w:space="0" w:color="auto"/>
                <w:left w:val="none" w:sz="0" w:space="0" w:color="auto"/>
                <w:bottom w:val="none" w:sz="0" w:space="0" w:color="auto"/>
                <w:right w:val="none" w:sz="0" w:space="0" w:color="auto"/>
              </w:divBdr>
            </w:div>
            <w:div w:id="56443185">
              <w:marLeft w:val="0"/>
              <w:marRight w:val="0"/>
              <w:marTop w:val="0"/>
              <w:marBottom w:val="0"/>
              <w:divBdr>
                <w:top w:val="none" w:sz="0" w:space="0" w:color="auto"/>
                <w:left w:val="none" w:sz="0" w:space="0" w:color="auto"/>
                <w:bottom w:val="none" w:sz="0" w:space="0" w:color="auto"/>
                <w:right w:val="none" w:sz="0" w:space="0" w:color="auto"/>
              </w:divBdr>
            </w:div>
            <w:div w:id="386802006">
              <w:marLeft w:val="0"/>
              <w:marRight w:val="0"/>
              <w:marTop w:val="0"/>
              <w:marBottom w:val="0"/>
              <w:divBdr>
                <w:top w:val="none" w:sz="0" w:space="0" w:color="auto"/>
                <w:left w:val="none" w:sz="0" w:space="0" w:color="auto"/>
                <w:bottom w:val="none" w:sz="0" w:space="0" w:color="auto"/>
                <w:right w:val="none" w:sz="0" w:space="0" w:color="auto"/>
              </w:divBdr>
            </w:div>
            <w:div w:id="1704019737">
              <w:marLeft w:val="0"/>
              <w:marRight w:val="0"/>
              <w:marTop w:val="0"/>
              <w:marBottom w:val="0"/>
              <w:divBdr>
                <w:top w:val="none" w:sz="0" w:space="0" w:color="auto"/>
                <w:left w:val="none" w:sz="0" w:space="0" w:color="auto"/>
                <w:bottom w:val="none" w:sz="0" w:space="0" w:color="auto"/>
                <w:right w:val="none" w:sz="0" w:space="0" w:color="auto"/>
              </w:divBdr>
            </w:div>
            <w:div w:id="512108614">
              <w:marLeft w:val="0"/>
              <w:marRight w:val="0"/>
              <w:marTop w:val="0"/>
              <w:marBottom w:val="0"/>
              <w:divBdr>
                <w:top w:val="none" w:sz="0" w:space="0" w:color="auto"/>
                <w:left w:val="none" w:sz="0" w:space="0" w:color="auto"/>
                <w:bottom w:val="none" w:sz="0" w:space="0" w:color="auto"/>
                <w:right w:val="none" w:sz="0" w:space="0" w:color="auto"/>
              </w:divBdr>
            </w:div>
            <w:div w:id="569124266">
              <w:marLeft w:val="0"/>
              <w:marRight w:val="0"/>
              <w:marTop w:val="0"/>
              <w:marBottom w:val="0"/>
              <w:divBdr>
                <w:top w:val="none" w:sz="0" w:space="0" w:color="auto"/>
                <w:left w:val="none" w:sz="0" w:space="0" w:color="auto"/>
                <w:bottom w:val="none" w:sz="0" w:space="0" w:color="auto"/>
                <w:right w:val="none" w:sz="0" w:space="0" w:color="auto"/>
              </w:divBdr>
            </w:div>
            <w:div w:id="220676019">
              <w:marLeft w:val="0"/>
              <w:marRight w:val="0"/>
              <w:marTop w:val="0"/>
              <w:marBottom w:val="0"/>
              <w:divBdr>
                <w:top w:val="none" w:sz="0" w:space="0" w:color="auto"/>
                <w:left w:val="none" w:sz="0" w:space="0" w:color="auto"/>
                <w:bottom w:val="none" w:sz="0" w:space="0" w:color="auto"/>
                <w:right w:val="none" w:sz="0" w:space="0" w:color="auto"/>
              </w:divBdr>
            </w:div>
            <w:div w:id="1514803308">
              <w:marLeft w:val="0"/>
              <w:marRight w:val="0"/>
              <w:marTop w:val="0"/>
              <w:marBottom w:val="0"/>
              <w:divBdr>
                <w:top w:val="none" w:sz="0" w:space="0" w:color="auto"/>
                <w:left w:val="none" w:sz="0" w:space="0" w:color="auto"/>
                <w:bottom w:val="none" w:sz="0" w:space="0" w:color="auto"/>
                <w:right w:val="none" w:sz="0" w:space="0" w:color="auto"/>
              </w:divBdr>
            </w:div>
            <w:div w:id="337584695">
              <w:marLeft w:val="0"/>
              <w:marRight w:val="0"/>
              <w:marTop w:val="0"/>
              <w:marBottom w:val="0"/>
              <w:divBdr>
                <w:top w:val="none" w:sz="0" w:space="0" w:color="auto"/>
                <w:left w:val="none" w:sz="0" w:space="0" w:color="auto"/>
                <w:bottom w:val="none" w:sz="0" w:space="0" w:color="auto"/>
                <w:right w:val="none" w:sz="0" w:space="0" w:color="auto"/>
              </w:divBdr>
            </w:div>
            <w:div w:id="703748147">
              <w:marLeft w:val="0"/>
              <w:marRight w:val="0"/>
              <w:marTop w:val="0"/>
              <w:marBottom w:val="0"/>
              <w:divBdr>
                <w:top w:val="none" w:sz="0" w:space="0" w:color="auto"/>
                <w:left w:val="none" w:sz="0" w:space="0" w:color="auto"/>
                <w:bottom w:val="none" w:sz="0" w:space="0" w:color="auto"/>
                <w:right w:val="none" w:sz="0" w:space="0" w:color="auto"/>
              </w:divBdr>
            </w:div>
            <w:div w:id="927690473">
              <w:marLeft w:val="0"/>
              <w:marRight w:val="0"/>
              <w:marTop w:val="0"/>
              <w:marBottom w:val="0"/>
              <w:divBdr>
                <w:top w:val="none" w:sz="0" w:space="0" w:color="auto"/>
                <w:left w:val="none" w:sz="0" w:space="0" w:color="auto"/>
                <w:bottom w:val="none" w:sz="0" w:space="0" w:color="auto"/>
                <w:right w:val="none" w:sz="0" w:space="0" w:color="auto"/>
              </w:divBdr>
            </w:div>
            <w:div w:id="406000921">
              <w:marLeft w:val="0"/>
              <w:marRight w:val="0"/>
              <w:marTop w:val="0"/>
              <w:marBottom w:val="0"/>
              <w:divBdr>
                <w:top w:val="none" w:sz="0" w:space="0" w:color="auto"/>
                <w:left w:val="none" w:sz="0" w:space="0" w:color="auto"/>
                <w:bottom w:val="none" w:sz="0" w:space="0" w:color="auto"/>
                <w:right w:val="none" w:sz="0" w:space="0" w:color="auto"/>
              </w:divBdr>
            </w:div>
            <w:div w:id="1951164574">
              <w:marLeft w:val="0"/>
              <w:marRight w:val="0"/>
              <w:marTop w:val="0"/>
              <w:marBottom w:val="0"/>
              <w:divBdr>
                <w:top w:val="none" w:sz="0" w:space="0" w:color="auto"/>
                <w:left w:val="none" w:sz="0" w:space="0" w:color="auto"/>
                <w:bottom w:val="none" w:sz="0" w:space="0" w:color="auto"/>
                <w:right w:val="none" w:sz="0" w:space="0" w:color="auto"/>
              </w:divBdr>
            </w:div>
            <w:div w:id="167991429">
              <w:marLeft w:val="0"/>
              <w:marRight w:val="0"/>
              <w:marTop w:val="0"/>
              <w:marBottom w:val="0"/>
              <w:divBdr>
                <w:top w:val="none" w:sz="0" w:space="0" w:color="auto"/>
                <w:left w:val="none" w:sz="0" w:space="0" w:color="auto"/>
                <w:bottom w:val="none" w:sz="0" w:space="0" w:color="auto"/>
                <w:right w:val="none" w:sz="0" w:space="0" w:color="auto"/>
              </w:divBdr>
            </w:div>
            <w:div w:id="2000769086">
              <w:marLeft w:val="0"/>
              <w:marRight w:val="0"/>
              <w:marTop w:val="0"/>
              <w:marBottom w:val="0"/>
              <w:divBdr>
                <w:top w:val="none" w:sz="0" w:space="0" w:color="auto"/>
                <w:left w:val="none" w:sz="0" w:space="0" w:color="auto"/>
                <w:bottom w:val="none" w:sz="0" w:space="0" w:color="auto"/>
                <w:right w:val="none" w:sz="0" w:space="0" w:color="auto"/>
              </w:divBdr>
            </w:div>
            <w:div w:id="180473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50724">
      <w:bodyDiv w:val="1"/>
      <w:marLeft w:val="0"/>
      <w:marRight w:val="0"/>
      <w:marTop w:val="0"/>
      <w:marBottom w:val="0"/>
      <w:divBdr>
        <w:top w:val="none" w:sz="0" w:space="0" w:color="auto"/>
        <w:left w:val="none" w:sz="0" w:space="0" w:color="auto"/>
        <w:bottom w:val="none" w:sz="0" w:space="0" w:color="auto"/>
        <w:right w:val="none" w:sz="0" w:space="0" w:color="auto"/>
      </w:divBdr>
    </w:div>
    <w:div w:id="324212301">
      <w:bodyDiv w:val="1"/>
      <w:marLeft w:val="0"/>
      <w:marRight w:val="0"/>
      <w:marTop w:val="0"/>
      <w:marBottom w:val="0"/>
      <w:divBdr>
        <w:top w:val="none" w:sz="0" w:space="0" w:color="auto"/>
        <w:left w:val="none" w:sz="0" w:space="0" w:color="auto"/>
        <w:bottom w:val="none" w:sz="0" w:space="0" w:color="auto"/>
        <w:right w:val="none" w:sz="0" w:space="0" w:color="auto"/>
      </w:divBdr>
    </w:div>
    <w:div w:id="354379909">
      <w:bodyDiv w:val="1"/>
      <w:marLeft w:val="0"/>
      <w:marRight w:val="0"/>
      <w:marTop w:val="0"/>
      <w:marBottom w:val="0"/>
      <w:divBdr>
        <w:top w:val="none" w:sz="0" w:space="0" w:color="auto"/>
        <w:left w:val="none" w:sz="0" w:space="0" w:color="auto"/>
        <w:bottom w:val="none" w:sz="0" w:space="0" w:color="auto"/>
        <w:right w:val="none" w:sz="0" w:space="0" w:color="auto"/>
      </w:divBdr>
      <w:divsChild>
        <w:div w:id="175392016">
          <w:marLeft w:val="0"/>
          <w:marRight w:val="0"/>
          <w:marTop w:val="0"/>
          <w:marBottom w:val="0"/>
          <w:divBdr>
            <w:top w:val="none" w:sz="0" w:space="0" w:color="auto"/>
            <w:left w:val="none" w:sz="0" w:space="0" w:color="auto"/>
            <w:bottom w:val="none" w:sz="0" w:space="0" w:color="auto"/>
            <w:right w:val="none" w:sz="0" w:space="0" w:color="auto"/>
          </w:divBdr>
        </w:div>
        <w:div w:id="488449560">
          <w:marLeft w:val="0"/>
          <w:marRight w:val="0"/>
          <w:marTop w:val="0"/>
          <w:marBottom w:val="0"/>
          <w:divBdr>
            <w:top w:val="none" w:sz="0" w:space="0" w:color="auto"/>
            <w:left w:val="none" w:sz="0" w:space="0" w:color="auto"/>
            <w:bottom w:val="none" w:sz="0" w:space="0" w:color="auto"/>
            <w:right w:val="none" w:sz="0" w:space="0" w:color="auto"/>
          </w:divBdr>
        </w:div>
        <w:div w:id="32194538">
          <w:marLeft w:val="0"/>
          <w:marRight w:val="0"/>
          <w:marTop w:val="0"/>
          <w:marBottom w:val="0"/>
          <w:divBdr>
            <w:top w:val="none" w:sz="0" w:space="0" w:color="auto"/>
            <w:left w:val="none" w:sz="0" w:space="0" w:color="auto"/>
            <w:bottom w:val="none" w:sz="0" w:space="0" w:color="auto"/>
            <w:right w:val="none" w:sz="0" w:space="0" w:color="auto"/>
          </w:divBdr>
        </w:div>
      </w:divsChild>
    </w:div>
    <w:div w:id="370419998">
      <w:bodyDiv w:val="1"/>
      <w:marLeft w:val="0"/>
      <w:marRight w:val="0"/>
      <w:marTop w:val="0"/>
      <w:marBottom w:val="0"/>
      <w:divBdr>
        <w:top w:val="none" w:sz="0" w:space="0" w:color="auto"/>
        <w:left w:val="none" w:sz="0" w:space="0" w:color="auto"/>
        <w:bottom w:val="none" w:sz="0" w:space="0" w:color="auto"/>
        <w:right w:val="none" w:sz="0" w:space="0" w:color="auto"/>
      </w:divBdr>
    </w:div>
    <w:div w:id="422339553">
      <w:bodyDiv w:val="1"/>
      <w:marLeft w:val="0"/>
      <w:marRight w:val="0"/>
      <w:marTop w:val="0"/>
      <w:marBottom w:val="0"/>
      <w:divBdr>
        <w:top w:val="none" w:sz="0" w:space="0" w:color="auto"/>
        <w:left w:val="none" w:sz="0" w:space="0" w:color="auto"/>
        <w:bottom w:val="none" w:sz="0" w:space="0" w:color="auto"/>
        <w:right w:val="none" w:sz="0" w:space="0" w:color="auto"/>
      </w:divBdr>
      <w:divsChild>
        <w:div w:id="2046363395">
          <w:marLeft w:val="0"/>
          <w:marRight w:val="0"/>
          <w:marTop w:val="0"/>
          <w:marBottom w:val="0"/>
          <w:divBdr>
            <w:top w:val="none" w:sz="0" w:space="0" w:color="auto"/>
            <w:left w:val="none" w:sz="0" w:space="0" w:color="auto"/>
            <w:bottom w:val="none" w:sz="0" w:space="0" w:color="auto"/>
            <w:right w:val="none" w:sz="0" w:space="0" w:color="auto"/>
          </w:divBdr>
        </w:div>
      </w:divsChild>
    </w:div>
    <w:div w:id="440608379">
      <w:bodyDiv w:val="1"/>
      <w:marLeft w:val="0"/>
      <w:marRight w:val="0"/>
      <w:marTop w:val="0"/>
      <w:marBottom w:val="0"/>
      <w:divBdr>
        <w:top w:val="none" w:sz="0" w:space="0" w:color="auto"/>
        <w:left w:val="none" w:sz="0" w:space="0" w:color="auto"/>
        <w:bottom w:val="none" w:sz="0" w:space="0" w:color="auto"/>
        <w:right w:val="none" w:sz="0" w:space="0" w:color="auto"/>
      </w:divBdr>
      <w:divsChild>
        <w:div w:id="174195312">
          <w:marLeft w:val="0"/>
          <w:marRight w:val="0"/>
          <w:marTop w:val="0"/>
          <w:marBottom w:val="0"/>
          <w:divBdr>
            <w:top w:val="none" w:sz="0" w:space="0" w:color="auto"/>
            <w:left w:val="none" w:sz="0" w:space="0" w:color="auto"/>
            <w:bottom w:val="none" w:sz="0" w:space="0" w:color="auto"/>
            <w:right w:val="none" w:sz="0" w:space="0" w:color="auto"/>
          </w:divBdr>
          <w:divsChild>
            <w:div w:id="1817256557">
              <w:marLeft w:val="0"/>
              <w:marRight w:val="0"/>
              <w:marTop w:val="0"/>
              <w:marBottom w:val="0"/>
              <w:divBdr>
                <w:top w:val="none" w:sz="0" w:space="0" w:color="auto"/>
                <w:left w:val="none" w:sz="0" w:space="0" w:color="auto"/>
                <w:bottom w:val="none" w:sz="0" w:space="0" w:color="auto"/>
                <w:right w:val="none" w:sz="0" w:space="0" w:color="auto"/>
              </w:divBdr>
            </w:div>
            <w:div w:id="878204131">
              <w:marLeft w:val="0"/>
              <w:marRight w:val="0"/>
              <w:marTop w:val="0"/>
              <w:marBottom w:val="0"/>
              <w:divBdr>
                <w:top w:val="none" w:sz="0" w:space="0" w:color="auto"/>
                <w:left w:val="none" w:sz="0" w:space="0" w:color="auto"/>
                <w:bottom w:val="none" w:sz="0" w:space="0" w:color="auto"/>
                <w:right w:val="none" w:sz="0" w:space="0" w:color="auto"/>
              </w:divBdr>
            </w:div>
            <w:div w:id="977103563">
              <w:marLeft w:val="0"/>
              <w:marRight w:val="0"/>
              <w:marTop w:val="0"/>
              <w:marBottom w:val="0"/>
              <w:divBdr>
                <w:top w:val="none" w:sz="0" w:space="0" w:color="auto"/>
                <w:left w:val="none" w:sz="0" w:space="0" w:color="auto"/>
                <w:bottom w:val="none" w:sz="0" w:space="0" w:color="auto"/>
                <w:right w:val="none" w:sz="0" w:space="0" w:color="auto"/>
              </w:divBdr>
            </w:div>
            <w:div w:id="370963775">
              <w:marLeft w:val="0"/>
              <w:marRight w:val="0"/>
              <w:marTop w:val="0"/>
              <w:marBottom w:val="0"/>
              <w:divBdr>
                <w:top w:val="none" w:sz="0" w:space="0" w:color="auto"/>
                <w:left w:val="none" w:sz="0" w:space="0" w:color="auto"/>
                <w:bottom w:val="none" w:sz="0" w:space="0" w:color="auto"/>
                <w:right w:val="none" w:sz="0" w:space="0" w:color="auto"/>
              </w:divBdr>
            </w:div>
            <w:div w:id="397485918">
              <w:marLeft w:val="0"/>
              <w:marRight w:val="0"/>
              <w:marTop w:val="0"/>
              <w:marBottom w:val="0"/>
              <w:divBdr>
                <w:top w:val="none" w:sz="0" w:space="0" w:color="auto"/>
                <w:left w:val="none" w:sz="0" w:space="0" w:color="auto"/>
                <w:bottom w:val="none" w:sz="0" w:space="0" w:color="auto"/>
                <w:right w:val="none" w:sz="0" w:space="0" w:color="auto"/>
              </w:divBdr>
            </w:div>
            <w:div w:id="14743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7815">
      <w:bodyDiv w:val="1"/>
      <w:marLeft w:val="0"/>
      <w:marRight w:val="0"/>
      <w:marTop w:val="0"/>
      <w:marBottom w:val="0"/>
      <w:divBdr>
        <w:top w:val="none" w:sz="0" w:space="0" w:color="auto"/>
        <w:left w:val="none" w:sz="0" w:space="0" w:color="auto"/>
        <w:bottom w:val="none" w:sz="0" w:space="0" w:color="auto"/>
        <w:right w:val="none" w:sz="0" w:space="0" w:color="auto"/>
      </w:divBdr>
      <w:divsChild>
        <w:div w:id="1724862289">
          <w:marLeft w:val="0"/>
          <w:marRight w:val="0"/>
          <w:marTop w:val="0"/>
          <w:marBottom w:val="0"/>
          <w:divBdr>
            <w:top w:val="none" w:sz="0" w:space="0" w:color="auto"/>
            <w:left w:val="none" w:sz="0" w:space="0" w:color="auto"/>
            <w:bottom w:val="none" w:sz="0" w:space="0" w:color="auto"/>
            <w:right w:val="none" w:sz="0" w:space="0" w:color="auto"/>
          </w:divBdr>
        </w:div>
        <w:div w:id="154689778">
          <w:marLeft w:val="0"/>
          <w:marRight w:val="0"/>
          <w:marTop w:val="0"/>
          <w:marBottom w:val="0"/>
          <w:divBdr>
            <w:top w:val="none" w:sz="0" w:space="0" w:color="auto"/>
            <w:left w:val="none" w:sz="0" w:space="0" w:color="auto"/>
            <w:bottom w:val="none" w:sz="0" w:space="0" w:color="auto"/>
            <w:right w:val="none" w:sz="0" w:space="0" w:color="auto"/>
          </w:divBdr>
        </w:div>
        <w:div w:id="1123184968">
          <w:marLeft w:val="0"/>
          <w:marRight w:val="0"/>
          <w:marTop w:val="0"/>
          <w:marBottom w:val="0"/>
          <w:divBdr>
            <w:top w:val="none" w:sz="0" w:space="0" w:color="auto"/>
            <w:left w:val="none" w:sz="0" w:space="0" w:color="auto"/>
            <w:bottom w:val="none" w:sz="0" w:space="0" w:color="auto"/>
            <w:right w:val="none" w:sz="0" w:space="0" w:color="auto"/>
          </w:divBdr>
        </w:div>
        <w:div w:id="318509450">
          <w:marLeft w:val="0"/>
          <w:marRight w:val="0"/>
          <w:marTop w:val="0"/>
          <w:marBottom w:val="0"/>
          <w:divBdr>
            <w:top w:val="none" w:sz="0" w:space="0" w:color="auto"/>
            <w:left w:val="none" w:sz="0" w:space="0" w:color="auto"/>
            <w:bottom w:val="none" w:sz="0" w:space="0" w:color="auto"/>
            <w:right w:val="none" w:sz="0" w:space="0" w:color="auto"/>
          </w:divBdr>
        </w:div>
        <w:div w:id="1866366054">
          <w:marLeft w:val="0"/>
          <w:marRight w:val="0"/>
          <w:marTop w:val="0"/>
          <w:marBottom w:val="0"/>
          <w:divBdr>
            <w:top w:val="none" w:sz="0" w:space="0" w:color="auto"/>
            <w:left w:val="none" w:sz="0" w:space="0" w:color="auto"/>
            <w:bottom w:val="none" w:sz="0" w:space="0" w:color="auto"/>
            <w:right w:val="none" w:sz="0" w:space="0" w:color="auto"/>
          </w:divBdr>
        </w:div>
        <w:div w:id="2060976670">
          <w:marLeft w:val="0"/>
          <w:marRight w:val="0"/>
          <w:marTop w:val="0"/>
          <w:marBottom w:val="0"/>
          <w:divBdr>
            <w:top w:val="none" w:sz="0" w:space="0" w:color="auto"/>
            <w:left w:val="none" w:sz="0" w:space="0" w:color="auto"/>
            <w:bottom w:val="none" w:sz="0" w:space="0" w:color="auto"/>
            <w:right w:val="none" w:sz="0" w:space="0" w:color="auto"/>
          </w:divBdr>
        </w:div>
        <w:div w:id="1180387437">
          <w:marLeft w:val="0"/>
          <w:marRight w:val="0"/>
          <w:marTop w:val="0"/>
          <w:marBottom w:val="0"/>
          <w:divBdr>
            <w:top w:val="none" w:sz="0" w:space="0" w:color="auto"/>
            <w:left w:val="none" w:sz="0" w:space="0" w:color="auto"/>
            <w:bottom w:val="none" w:sz="0" w:space="0" w:color="auto"/>
            <w:right w:val="none" w:sz="0" w:space="0" w:color="auto"/>
          </w:divBdr>
        </w:div>
      </w:divsChild>
    </w:div>
    <w:div w:id="465708521">
      <w:bodyDiv w:val="1"/>
      <w:marLeft w:val="0"/>
      <w:marRight w:val="0"/>
      <w:marTop w:val="0"/>
      <w:marBottom w:val="0"/>
      <w:divBdr>
        <w:top w:val="none" w:sz="0" w:space="0" w:color="auto"/>
        <w:left w:val="none" w:sz="0" w:space="0" w:color="auto"/>
        <w:bottom w:val="none" w:sz="0" w:space="0" w:color="auto"/>
        <w:right w:val="none" w:sz="0" w:space="0" w:color="auto"/>
      </w:divBdr>
    </w:div>
    <w:div w:id="483279418">
      <w:bodyDiv w:val="1"/>
      <w:marLeft w:val="0"/>
      <w:marRight w:val="0"/>
      <w:marTop w:val="0"/>
      <w:marBottom w:val="0"/>
      <w:divBdr>
        <w:top w:val="none" w:sz="0" w:space="0" w:color="auto"/>
        <w:left w:val="none" w:sz="0" w:space="0" w:color="auto"/>
        <w:bottom w:val="none" w:sz="0" w:space="0" w:color="auto"/>
        <w:right w:val="none" w:sz="0" w:space="0" w:color="auto"/>
      </w:divBdr>
    </w:div>
    <w:div w:id="523325530">
      <w:bodyDiv w:val="1"/>
      <w:marLeft w:val="0"/>
      <w:marRight w:val="0"/>
      <w:marTop w:val="0"/>
      <w:marBottom w:val="0"/>
      <w:divBdr>
        <w:top w:val="none" w:sz="0" w:space="0" w:color="auto"/>
        <w:left w:val="none" w:sz="0" w:space="0" w:color="auto"/>
        <w:bottom w:val="none" w:sz="0" w:space="0" w:color="auto"/>
        <w:right w:val="none" w:sz="0" w:space="0" w:color="auto"/>
      </w:divBdr>
    </w:div>
    <w:div w:id="528030763">
      <w:bodyDiv w:val="1"/>
      <w:marLeft w:val="0"/>
      <w:marRight w:val="0"/>
      <w:marTop w:val="0"/>
      <w:marBottom w:val="0"/>
      <w:divBdr>
        <w:top w:val="none" w:sz="0" w:space="0" w:color="auto"/>
        <w:left w:val="none" w:sz="0" w:space="0" w:color="auto"/>
        <w:bottom w:val="none" w:sz="0" w:space="0" w:color="auto"/>
        <w:right w:val="none" w:sz="0" w:space="0" w:color="auto"/>
      </w:divBdr>
      <w:divsChild>
        <w:div w:id="861670713">
          <w:marLeft w:val="0"/>
          <w:marRight w:val="0"/>
          <w:marTop w:val="0"/>
          <w:marBottom w:val="0"/>
          <w:divBdr>
            <w:top w:val="none" w:sz="0" w:space="0" w:color="auto"/>
            <w:left w:val="none" w:sz="0" w:space="0" w:color="auto"/>
            <w:bottom w:val="none" w:sz="0" w:space="0" w:color="auto"/>
            <w:right w:val="none" w:sz="0" w:space="0" w:color="auto"/>
          </w:divBdr>
          <w:divsChild>
            <w:div w:id="574389738">
              <w:marLeft w:val="0"/>
              <w:marRight w:val="0"/>
              <w:marTop w:val="0"/>
              <w:marBottom w:val="0"/>
              <w:divBdr>
                <w:top w:val="none" w:sz="0" w:space="0" w:color="auto"/>
                <w:left w:val="none" w:sz="0" w:space="0" w:color="auto"/>
                <w:bottom w:val="none" w:sz="0" w:space="0" w:color="auto"/>
                <w:right w:val="none" w:sz="0" w:space="0" w:color="auto"/>
              </w:divBdr>
              <w:divsChild>
                <w:div w:id="1751190483">
                  <w:marLeft w:val="0"/>
                  <w:marRight w:val="0"/>
                  <w:marTop w:val="0"/>
                  <w:marBottom w:val="0"/>
                  <w:divBdr>
                    <w:top w:val="none" w:sz="0" w:space="0" w:color="auto"/>
                    <w:left w:val="none" w:sz="0" w:space="0" w:color="auto"/>
                    <w:bottom w:val="none" w:sz="0" w:space="0" w:color="auto"/>
                    <w:right w:val="none" w:sz="0" w:space="0" w:color="auto"/>
                  </w:divBdr>
                  <w:divsChild>
                    <w:div w:id="1550260825">
                      <w:marLeft w:val="0"/>
                      <w:marRight w:val="0"/>
                      <w:marTop w:val="0"/>
                      <w:marBottom w:val="0"/>
                      <w:divBdr>
                        <w:top w:val="none" w:sz="0" w:space="0" w:color="auto"/>
                        <w:left w:val="none" w:sz="0" w:space="0" w:color="auto"/>
                        <w:bottom w:val="none" w:sz="0" w:space="0" w:color="auto"/>
                        <w:right w:val="none" w:sz="0" w:space="0" w:color="auto"/>
                      </w:divBdr>
                      <w:divsChild>
                        <w:div w:id="1911498684">
                          <w:marLeft w:val="0"/>
                          <w:marRight w:val="0"/>
                          <w:marTop w:val="0"/>
                          <w:marBottom w:val="0"/>
                          <w:divBdr>
                            <w:top w:val="none" w:sz="0" w:space="0" w:color="auto"/>
                            <w:left w:val="none" w:sz="0" w:space="0" w:color="auto"/>
                            <w:bottom w:val="none" w:sz="0" w:space="0" w:color="auto"/>
                            <w:right w:val="none" w:sz="0" w:space="0" w:color="auto"/>
                          </w:divBdr>
                          <w:divsChild>
                            <w:div w:id="789203182">
                              <w:marLeft w:val="0"/>
                              <w:marRight w:val="0"/>
                              <w:marTop w:val="0"/>
                              <w:marBottom w:val="0"/>
                              <w:divBdr>
                                <w:top w:val="none" w:sz="0" w:space="0" w:color="auto"/>
                                <w:left w:val="none" w:sz="0" w:space="0" w:color="auto"/>
                                <w:bottom w:val="none" w:sz="0" w:space="0" w:color="auto"/>
                                <w:right w:val="none" w:sz="0" w:space="0" w:color="auto"/>
                              </w:divBdr>
                              <w:divsChild>
                                <w:div w:id="163158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84625">
          <w:marLeft w:val="0"/>
          <w:marRight w:val="0"/>
          <w:marTop w:val="0"/>
          <w:marBottom w:val="0"/>
          <w:divBdr>
            <w:top w:val="none" w:sz="0" w:space="0" w:color="auto"/>
            <w:left w:val="none" w:sz="0" w:space="0" w:color="auto"/>
            <w:bottom w:val="none" w:sz="0" w:space="0" w:color="auto"/>
            <w:right w:val="none" w:sz="0" w:space="0" w:color="auto"/>
          </w:divBdr>
          <w:divsChild>
            <w:div w:id="1205368469">
              <w:marLeft w:val="0"/>
              <w:marRight w:val="0"/>
              <w:marTop w:val="0"/>
              <w:marBottom w:val="0"/>
              <w:divBdr>
                <w:top w:val="none" w:sz="0" w:space="0" w:color="auto"/>
                <w:left w:val="none" w:sz="0" w:space="0" w:color="auto"/>
                <w:bottom w:val="none" w:sz="0" w:space="0" w:color="auto"/>
                <w:right w:val="none" w:sz="0" w:space="0" w:color="auto"/>
              </w:divBdr>
              <w:divsChild>
                <w:div w:id="1621298149">
                  <w:marLeft w:val="0"/>
                  <w:marRight w:val="0"/>
                  <w:marTop w:val="0"/>
                  <w:marBottom w:val="0"/>
                  <w:divBdr>
                    <w:top w:val="none" w:sz="0" w:space="0" w:color="auto"/>
                    <w:left w:val="none" w:sz="0" w:space="0" w:color="auto"/>
                    <w:bottom w:val="none" w:sz="0" w:space="0" w:color="auto"/>
                    <w:right w:val="none" w:sz="0" w:space="0" w:color="auto"/>
                  </w:divBdr>
                </w:div>
                <w:div w:id="1433092108">
                  <w:marLeft w:val="0"/>
                  <w:marRight w:val="0"/>
                  <w:marTop w:val="0"/>
                  <w:marBottom w:val="0"/>
                  <w:divBdr>
                    <w:top w:val="none" w:sz="0" w:space="0" w:color="auto"/>
                    <w:left w:val="none" w:sz="0" w:space="0" w:color="auto"/>
                    <w:bottom w:val="none" w:sz="0" w:space="0" w:color="auto"/>
                    <w:right w:val="none" w:sz="0" w:space="0" w:color="auto"/>
                  </w:divBdr>
                </w:div>
                <w:div w:id="478814945">
                  <w:marLeft w:val="0"/>
                  <w:marRight w:val="0"/>
                  <w:marTop w:val="0"/>
                  <w:marBottom w:val="0"/>
                  <w:divBdr>
                    <w:top w:val="none" w:sz="0" w:space="0" w:color="auto"/>
                    <w:left w:val="none" w:sz="0" w:space="0" w:color="auto"/>
                    <w:bottom w:val="none" w:sz="0" w:space="0" w:color="auto"/>
                    <w:right w:val="none" w:sz="0" w:space="0" w:color="auto"/>
                  </w:divBdr>
                  <w:divsChild>
                    <w:div w:id="701786967">
                      <w:marLeft w:val="0"/>
                      <w:marRight w:val="0"/>
                      <w:marTop w:val="0"/>
                      <w:marBottom w:val="0"/>
                      <w:divBdr>
                        <w:top w:val="none" w:sz="0" w:space="0" w:color="auto"/>
                        <w:left w:val="none" w:sz="0" w:space="0" w:color="auto"/>
                        <w:bottom w:val="none" w:sz="0" w:space="0" w:color="auto"/>
                        <w:right w:val="none" w:sz="0" w:space="0" w:color="auto"/>
                      </w:divBdr>
                    </w:div>
                  </w:divsChild>
                </w:div>
                <w:div w:id="4887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5742">
      <w:bodyDiv w:val="1"/>
      <w:marLeft w:val="0"/>
      <w:marRight w:val="0"/>
      <w:marTop w:val="0"/>
      <w:marBottom w:val="0"/>
      <w:divBdr>
        <w:top w:val="none" w:sz="0" w:space="0" w:color="auto"/>
        <w:left w:val="none" w:sz="0" w:space="0" w:color="auto"/>
        <w:bottom w:val="none" w:sz="0" w:space="0" w:color="auto"/>
        <w:right w:val="none" w:sz="0" w:space="0" w:color="auto"/>
      </w:divBdr>
    </w:div>
    <w:div w:id="684476785">
      <w:bodyDiv w:val="1"/>
      <w:marLeft w:val="0"/>
      <w:marRight w:val="0"/>
      <w:marTop w:val="0"/>
      <w:marBottom w:val="0"/>
      <w:divBdr>
        <w:top w:val="none" w:sz="0" w:space="0" w:color="auto"/>
        <w:left w:val="none" w:sz="0" w:space="0" w:color="auto"/>
        <w:bottom w:val="none" w:sz="0" w:space="0" w:color="auto"/>
        <w:right w:val="none" w:sz="0" w:space="0" w:color="auto"/>
      </w:divBdr>
    </w:div>
    <w:div w:id="699206236">
      <w:bodyDiv w:val="1"/>
      <w:marLeft w:val="0"/>
      <w:marRight w:val="0"/>
      <w:marTop w:val="0"/>
      <w:marBottom w:val="0"/>
      <w:divBdr>
        <w:top w:val="none" w:sz="0" w:space="0" w:color="auto"/>
        <w:left w:val="none" w:sz="0" w:space="0" w:color="auto"/>
        <w:bottom w:val="none" w:sz="0" w:space="0" w:color="auto"/>
        <w:right w:val="none" w:sz="0" w:space="0" w:color="auto"/>
      </w:divBdr>
    </w:div>
    <w:div w:id="828643101">
      <w:bodyDiv w:val="1"/>
      <w:marLeft w:val="0"/>
      <w:marRight w:val="0"/>
      <w:marTop w:val="0"/>
      <w:marBottom w:val="0"/>
      <w:divBdr>
        <w:top w:val="none" w:sz="0" w:space="0" w:color="auto"/>
        <w:left w:val="none" w:sz="0" w:space="0" w:color="auto"/>
        <w:bottom w:val="none" w:sz="0" w:space="0" w:color="auto"/>
        <w:right w:val="none" w:sz="0" w:space="0" w:color="auto"/>
      </w:divBdr>
    </w:div>
    <w:div w:id="939026636">
      <w:bodyDiv w:val="1"/>
      <w:marLeft w:val="0"/>
      <w:marRight w:val="0"/>
      <w:marTop w:val="0"/>
      <w:marBottom w:val="0"/>
      <w:divBdr>
        <w:top w:val="none" w:sz="0" w:space="0" w:color="auto"/>
        <w:left w:val="none" w:sz="0" w:space="0" w:color="auto"/>
        <w:bottom w:val="none" w:sz="0" w:space="0" w:color="auto"/>
        <w:right w:val="none" w:sz="0" w:space="0" w:color="auto"/>
      </w:divBdr>
    </w:div>
    <w:div w:id="944729211">
      <w:bodyDiv w:val="1"/>
      <w:marLeft w:val="0"/>
      <w:marRight w:val="0"/>
      <w:marTop w:val="0"/>
      <w:marBottom w:val="0"/>
      <w:divBdr>
        <w:top w:val="none" w:sz="0" w:space="0" w:color="auto"/>
        <w:left w:val="none" w:sz="0" w:space="0" w:color="auto"/>
        <w:bottom w:val="none" w:sz="0" w:space="0" w:color="auto"/>
        <w:right w:val="none" w:sz="0" w:space="0" w:color="auto"/>
      </w:divBdr>
      <w:divsChild>
        <w:div w:id="1493109252">
          <w:marLeft w:val="0"/>
          <w:marRight w:val="0"/>
          <w:marTop w:val="0"/>
          <w:marBottom w:val="0"/>
          <w:divBdr>
            <w:top w:val="none" w:sz="0" w:space="0" w:color="auto"/>
            <w:left w:val="none" w:sz="0" w:space="0" w:color="auto"/>
            <w:bottom w:val="none" w:sz="0" w:space="0" w:color="auto"/>
            <w:right w:val="none" w:sz="0" w:space="0" w:color="auto"/>
          </w:divBdr>
          <w:divsChild>
            <w:div w:id="2117747005">
              <w:marLeft w:val="0"/>
              <w:marRight w:val="0"/>
              <w:marTop w:val="0"/>
              <w:marBottom w:val="0"/>
              <w:divBdr>
                <w:top w:val="none" w:sz="0" w:space="0" w:color="auto"/>
                <w:left w:val="none" w:sz="0" w:space="0" w:color="auto"/>
                <w:bottom w:val="none" w:sz="0" w:space="0" w:color="auto"/>
                <w:right w:val="none" w:sz="0" w:space="0" w:color="auto"/>
              </w:divBdr>
              <w:divsChild>
                <w:div w:id="1432895636">
                  <w:marLeft w:val="0"/>
                  <w:marRight w:val="0"/>
                  <w:marTop w:val="0"/>
                  <w:marBottom w:val="0"/>
                  <w:divBdr>
                    <w:top w:val="none" w:sz="0" w:space="0" w:color="auto"/>
                    <w:left w:val="none" w:sz="0" w:space="0" w:color="auto"/>
                    <w:bottom w:val="none" w:sz="0" w:space="0" w:color="auto"/>
                    <w:right w:val="none" w:sz="0" w:space="0" w:color="auto"/>
                  </w:divBdr>
                  <w:divsChild>
                    <w:div w:id="906570667">
                      <w:marLeft w:val="0"/>
                      <w:marRight w:val="0"/>
                      <w:marTop w:val="0"/>
                      <w:marBottom w:val="0"/>
                      <w:divBdr>
                        <w:top w:val="none" w:sz="0" w:space="0" w:color="auto"/>
                        <w:left w:val="none" w:sz="0" w:space="0" w:color="auto"/>
                        <w:bottom w:val="none" w:sz="0" w:space="0" w:color="auto"/>
                        <w:right w:val="none" w:sz="0" w:space="0" w:color="auto"/>
                      </w:divBdr>
                      <w:divsChild>
                        <w:div w:id="2084063315">
                          <w:marLeft w:val="0"/>
                          <w:marRight w:val="0"/>
                          <w:marTop w:val="0"/>
                          <w:marBottom w:val="0"/>
                          <w:divBdr>
                            <w:top w:val="none" w:sz="0" w:space="0" w:color="auto"/>
                            <w:left w:val="none" w:sz="0" w:space="0" w:color="auto"/>
                            <w:bottom w:val="none" w:sz="0" w:space="0" w:color="auto"/>
                            <w:right w:val="none" w:sz="0" w:space="0" w:color="auto"/>
                          </w:divBdr>
                          <w:divsChild>
                            <w:div w:id="783959097">
                              <w:marLeft w:val="0"/>
                              <w:marRight w:val="0"/>
                              <w:marTop w:val="0"/>
                              <w:marBottom w:val="0"/>
                              <w:divBdr>
                                <w:top w:val="none" w:sz="0" w:space="0" w:color="auto"/>
                                <w:left w:val="none" w:sz="0" w:space="0" w:color="auto"/>
                                <w:bottom w:val="none" w:sz="0" w:space="0" w:color="auto"/>
                                <w:right w:val="none" w:sz="0" w:space="0" w:color="auto"/>
                              </w:divBdr>
                            </w:div>
                            <w:div w:id="1263798092">
                              <w:marLeft w:val="0"/>
                              <w:marRight w:val="0"/>
                              <w:marTop w:val="0"/>
                              <w:marBottom w:val="0"/>
                              <w:divBdr>
                                <w:top w:val="none" w:sz="0" w:space="0" w:color="auto"/>
                                <w:left w:val="none" w:sz="0" w:space="0" w:color="auto"/>
                                <w:bottom w:val="none" w:sz="0" w:space="0" w:color="auto"/>
                                <w:right w:val="none" w:sz="0" w:space="0" w:color="auto"/>
                              </w:divBdr>
                            </w:div>
                            <w:div w:id="615403445">
                              <w:marLeft w:val="0"/>
                              <w:marRight w:val="0"/>
                              <w:marTop w:val="0"/>
                              <w:marBottom w:val="0"/>
                              <w:divBdr>
                                <w:top w:val="none" w:sz="0" w:space="0" w:color="auto"/>
                                <w:left w:val="none" w:sz="0" w:space="0" w:color="auto"/>
                                <w:bottom w:val="none" w:sz="0" w:space="0" w:color="auto"/>
                                <w:right w:val="none" w:sz="0" w:space="0" w:color="auto"/>
                              </w:divBdr>
                              <w:divsChild>
                                <w:div w:id="1086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472088">
      <w:bodyDiv w:val="1"/>
      <w:marLeft w:val="0"/>
      <w:marRight w:val="0"/>
      <w:marTop w:val="0"/>
      <w:marBottom w:val="0"/>
      <w:divBdr>
        <w:top w:val="none" w:sz="0" w:space="0" w:color="auto"/>
        <w:left w:val="none" w:sz="0" w:space="0" w:color="auto"/>
        <w:bottom w:val="none" w:sz="0" w:space="0" w:color="auto"/>
        <w:right w:val="none" w:sz="0" w:space="0" w:color="auto"/>
      </w:divBdr>
    </w:div>
    <w:div w:id="993339792">
      <w:bodyDiv w:val="1"/>
      <w:marLeft w:val="0"/>
      <w:marRight w:val="0"/>
      <w:marTop w:val="0"/>
      <w:marBottom w:val="0"/>
      <w:divBdr>
        <w:top w:val="none" w:sz="0" w:space="0" w:color="auto"/>
        <w:left w:val="none" w:sz="0" w:space="0" w:color="auto"/>
        <w:bottom w:val="none" w:sz="0" w:space="0" w:color="auto"/>
        <w:right w:val="none" w:sz="0" w:space="0" w:color="auto"/>
      </w:divBdr>
    </w:div>
    <w:div w:id="1001661903">
      <w:bodyDiv w:val="1"/>
      <w:marLeft w:val="0"/>
      <w:marRight w:val="0"/>
      <w:marTop w:val="0"/>
      <w:marBottom w:val="0"/>
      <w:divBdr>
        <w:top w:val="none" w:sz="0" w:space="0" w:color="auto"/>
        <w:left w:val="none" w:sz="0" w:space="0" w:color="auto"/>
        <w:bottom w:val="none" w:sz="0" w:space="0" w:color="auto"/>
        <w:right w:val="none" w:sz="0" w:space="0" w:color="auto"/>
      </w:divBdr>
    </w:div>
    <w:div w:id="1065950741">
      <w:bodyDiv w:val="1"/>
      <w:marLeft w:val="0"/>
      <w:marRight w:val="0"/>
      <w:marTop w:val="0"/>
      <w:marBottom w:val="0"/>
      <w:divBdr>
        <w:top w:val="none" w:sz="0" w:space="0" w:color="auto"/>
        <w:left w:val="none" w:sz="0" w:space="0" w:color="auto"/>
        <w:bottom w:val="none" w:sz="0" w:space="0" w:color="auto"/>
        <w:right w:val="none" w:sz="0" w:space="0" w:color="auto"/>
      </w:divBdr>
      <w:divsChild>
        <w:div w:id="1848867519">
          <w:marLeft w:val="0"/>
          <w:marRight w:val="0"/>
          <w:marTop w:val="0"/>
          <w:marBottom w:val="0"/>
          <w:divBdr>
            <w:top w:val="none" w:sz="0" w:space="0" w:color="auto"/>
            <w:left w:val="none" w:sz="0" w:space="0" w:color="auto"/>
            <w:bottom w:val="none" w:sz="0" w:space="0" w:color="auto"/>
            <w:right w:val="none" w:sz="0" w:space="0" w:color="auto"/>
          </w:divBdr>
        </w:div>
        <w:div w:id="936794764">
          <w:marLeft w:val="0"/>
          <w:marRight w:val="0"/>
          <w:marTop w:val="0"/>
          <w:marBottom w:val="0"/>
          <w:divBdr>
            <w:top w:val="none" w:sz="0" w:space="0" w:color="auto"/>
            <w:left w:val="none" w:sz="0" w:space="0" w:color="auto"/>
            <w:bottom w:val="none" w:sz="0" w:space="0" w:color="auto"/>
            <w:right w:val="none" w:sz="0" w:space="0" w:color="auto"/>
          </w:divBdr>
          <w:divsChild>
            <w:div w:id="3945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0078">
      <w:bodyDiv w:val="1"/>
      <w:marLeft w:val="0"/>
      <w:marRight w:val="0"/>
      <w:marTop w:val="0"/>
      <w:marBottom w:val="0"/>
      <w:divBdr>
        <w:top w:val="none" w:sz="0" w:space="0" w:color="auto"/>
        <w:left w:val="none" w:sz="0" w:space="0" w:color="auto"/>
        <w:bottom w:val="none" w:sz="0" w:space="0" w:color="auto"/>
        <w:right w:val="none" w:sz="0" w:space="0" w:color="auto"/>
      </w:divBdr>
    </w:div>
    <w:div w:id="1163205494">
      <w:bodyDiv w:val="1"/>
      <w:marLeft w:val="0"/>
      <w:marRight w:val="0"/>
      <w:marTop w:val="0"/>
      <w:marBottom w:val="0"/>
      <w:divBdr>
        <w:top w:val="none" w:sz="0" w:space="0" w:color="auto"/>
        <w:left w:val="none" w:sz="0" w:space="0" w:color="auto"/>
        <w:bottom w:val="none" w:sz="0" w:space="0" w:color="auto"/>
        <w:right w:val="none" w:sz="0" w:space="0" w:color="auto"/>
      </w:divBdr>
    </w:div>
    <w:div w:id="1276904156">
      <w:bodyDiv w:val="1"/>
      <w:marLeft w:val="0"/>
      <w:marRight w:val="0"/>
      <w:marTop w:val="0"/>
      <w:marBottom w:val="0"/>
      <w:divBdr>
        <w:top w:val="none" w:sz="0" w:space="0" w:color="auto"/>
        <w:left w:val="none" w:sz="0" w:space="0" w:color="auto"/>
        <w:bottom w:val="none" w:sz="0" w:space="0" w:color="auto"/>
        <w:right w:val="none" w:sz="0" w:space="0" w:color="auto"/>
      </w:divBdr>
    </w:div>
    <w:div w:id="1306817804">
      <w:bodyDiv w:val="1"/>
      <w:marLeft w:val="0"/>
      <w:marRight w:val="0"/>
      <w:marTop w:val="0"/>
      <w:marBottom w:val="0"/>
      <w:divBdr>
        <w:top w:val="none" w:sz="0" w:space="0" w:color="auto"/>
        <w:left w:val="none" w:sz="0" w:space="0" w:color="auto"/>
        <w:bottom w:val="none" w:sz="0" w:space="0" w:color="auto"/>
        <w:right w:val="none" w:sz="0" w:space="0" w:color="auto"/>
      </w:divBdr>
    </w:div>
    <w:div w:id="1321815549">
      <w:bodyDiv w:val="1"/>
      <w:marLeft w:val="0"/>
      <w:marRight w:val="0"/>
      <w:marTop w:val="0"/>
      <w:marBottom w:val="0"/>
      <w:divBdr>
        <w:top w:val="none" w:sz="0" w:space="0" w:color="auto"/>
        <w:left w:val="none" w:sz="0" w:space="0" w:color="auto"/>
        <w:bottom w:val="none" w:sz="0" w:space="0" w:color="auto"/>
        <w:right w:val="none" w:sz="0" w:space="0" w:color="auto"/>
      </w:divBdr>
    </w:div>
    <w:div w:id="1379626448">
      <w:bodyDiv w:val="1"/>
      <w:marLeft w:val="0"/>
      <w:marRight w:val="0"/>
      <w:marTop w:val="0"/>
      <w:marBottom w:val="0"/>
      <w:divBdr>
        <w:top w:val="none" w:sz="0" w:space="0" w:color="auto"/>
        <w:left w:val="none" w:sz="0" w:space="0" w:color="auto"/>
        <w:bottom w:val="none" w:sz="0" w:space="0" w:color="auto"/>
        <w:right w:val="none" w:sz="0" w:space="0" w:color="auto"/>
      </w:divBdr>
    </w:div>
    <w:div w:id="1447119778">
      <w:bodyDiv w:val="1"/>
      <w:marLeft w:val="0"/>
      <w:marRight w:val="0"/>
      <w:marTop w:val="0"/>
      <w:marBottom w:val="0"/>
      <w:divBdr>
        <w:top w:val="none" w:sz="0" w:space="0" w:color="auto"/>
        <w:left w:val="none" w:sz="0" w:space="0" w:color="auto"/>
        <w:bottom w:val="none" w:sz="0" w:space="0" w:color="auto"/>
        <w:right w:val="none" w:sz="0" w:space="0" w:color="auto"/>
      </w:divBdr>
    </w:div>
    <w:div w:id="1466704137">
      <w:bodyDiv w:val="1"/>
      <w:marLeft w:val="0"/>
      <w:marRight w:val="0"/>
      <w:marTop w:val="0"/>
      <w:marBottom w:val="0"/>
      <w:divBdr>
        <w:top w:val="none" w:sz="0" w:space="0" w:color="auto"/>
        <w:left w:val="none" w:sz="0" w:space="0" w:color="auto"/>
        <w:bottom w:val="none" w:sz="0" w:space="0" w:color="auto"/>
        <w:right w:val="none" w:sz="0" w:space="0" w:color="auto"/>
      </w:divBdr>
    </w:div>
    <w:div w:id="1472478839">
      <w:bodyDiv w:val="1"/>
      <w:marLeft w:val="0"/>
      <w:marRight w:val="0"/>
      <w:marTop w:val="0"/>
      <w:marBottom w:val="0"/>
      <w:divBdr>
        <w:top w:val="none" w:sz="0" w:space="0" w:color="auto"/>
        <w:left w:val="none" w:sz="0" w:space="0" w:color="auto"/>
        <w:bottom w:val="none" w:sz="0" w:space="0" w:color="auto"/>
        <w:right w:val="none" w:sz="0" w:space="0" w:color="auto"/>
      </w:divBdr>
      <w:divsChild>
        <w:div w:id="161050287">
          <w:marLeft w:val="0"/>
          <w:marRight w:val="0"/>
          <w:marTop w:val="0"/>
          <w:marBottom w:val="0"/>
          <w:divBdr>
            <w:top w:val="none" w:sz="0" w:space="0" w:color="auto"/>
            <w:left w:val="none" w:sz="0" w:space="0" w:color="auto"/>
            <w:bottom w:val="none" w:sz="0" w:space="0" w:color="auto"/>
            <w:right w:val="none" w:sz="0" w:space="0" w:color="auto"/>
          </w:divBdr>
          <w:divsChild>
            <w:div w:id="2042901971">
              <w:marLeft w:val="0"/>
              <w:marRight w:val="0"/>
              <w:marTop w:val="0"/>
              <w:marBottom w:val="0"/>
              <w:divBdr>
                <w:top w:val="none" w:sz="0" w:space="0" w:color="auto"/>
                <w:left w:val="none" w:sz="0" w:space="0" w:color="auto"/>
                <w:bottom w:val="none" w:sz="0" w:space="0" w:color="auto"/>
                <w:right w:val="none" w:sz="0" w:space="0" w:color="auto"/>
              </w:divBdr>
            </w:div>
          </w:divsChild>
        </w:div>
        <w:div w:id="1352150683">
          <w:marLeft w:val="0"/>
          <w:marRight w:val="0"/>
          <w:marTop w:val="0"/>
          <w:marBottom w:val="0"/>
          <w:divBdr>
            <w:top w:val="none" w:sz="0" w:space="0" w:color="auto"/>
            <w:left w:val="none" w:sz="0" w:space="0" w:color="auto"/>
            <w:bottom w:val="none" w:sz="0" w:space="0" w:color="auto"/>
            <w:right w:val="none" w:sz="0" w:space="0" w:color="auto"/>
          </w:divBdr>
        </w:div>
        <w:div w:id="1446654421">
          <w:marLeft w:val="0"/>
          <w:marRight w:val="0"/>
          <w:marTop w:val="0"/>
          <w:marBottom w:val="0"/>
          <w:divBdr>
            <w:top w:val="none" w:sz="0" w:space="0" w:color="auto"/>
            <w:left w:val="none" w:sz="0" w:space="0" w:color="auto"/>
            <w:bottom w:val="none" w:sz="0" w:space="0" w:color="auto"/>
            <w:right w:val="none" w:sz="0" w:space="0" w:color="auto"/>
          </w:divBdr>
        </w:div>
      </w:divsChild>
    </w:div>
    <w:div w:id="1604529298">
      <w:bodyDiv w:val="1"/>
      <w:marLeft w:val="0"/>
      <w:marRight w:val="0"/>
      <w:marTop w:val="0"/>
      <w:marBottom w:val="0"/>
      <w:divBdr>
        <w:top w:val="none" w:sz="0" w:space="0" w:color="auto"/>
        <w:left w:val="none" w:sz="0" w:space="0" w:color="auto"/>
        <w:bottom w:val="none" w:sz="0" w:space="0" w:color="auto"/>
        <w:right w:val="none" w:sz="0" w:space="0" w:color="auto"/>
      </w:divBdr>
    </w:div>
    <w:div w:id="1635913692">
      <w:bodyDiv w:val="1"/>
      <w:marLeft w:val="0"/>
      <w:marRight w:val="0"/>
      <w:marTop w:val="0"/>
      <w:marBottom w:val="0"/>
      <w:divBdr>
        <w:top w:val="none" w:sz="0" w:space="0" w:color="auto"/>
        <w:left w:val="none" w:sz="0" w:space="0" w:color="auto"/>
        <w:bottom w:val="none" w:sz="0" w:space="0" w:color="auto"/>
        <w:right w:val="none" w:sz="0" w:space="0" w:color="auto"/>
      </w:divBdr>
    </w:div>
    <w:div w:id="1650285463">
      <w:bodyDiv w:val="1"/>
      <w:marLeft w:val="0"/>
      <w:marRight w:val="0"/>
      <w:marTop w:val="0"/>
      <w:marBottom w:val="0"/>
      <w:divBdr>
        <w:top w:val="none" w:sz="0" w:space="0" w:color="auto"/>
        <w:left w:val="none" w:sz="0" w:space="0" w:color="auto"/>
        <w:bottom w:val="none" w:sz="0" w:space="0" w:color="auto"/>
        <w:right w:val="none" w:sz="0" w:space="0" w:color="auto"/>
      </w:divBdr>
    </w:div>
    <w:div w:id="1650556554">
      <w:bodyDiv w:val="1"/>
      <w:marLeft w:val="0"/>
      <w:marRight w:val="0"/>
      <w:marTop w:val="0"/>
      <w:marBottom w:val="0"/>
      <w:divBdr>
        <w:top w:val="none" w:sz="0" w:space="0" w:color="auto"/>
        <w:left w:val="none" w:sz="0" w:space="0" w:color="auto"/>
        <w:bottom w:val="none" w:sz="0" w:space="0" w:color="auto"/>
        <w:right w:val="none" w:sz="0" w:space="0" w:color="auto"/>
      </w:divBdr>
    </w:div>
    <w:div w:id="1656495666">
      <w:bodyDiv w:val="1"/>
      <w:marLeft w:val="0"/>
      <w:marRight w:val="0"/>
      <w:marTop w:val="0"/>
      <w:marBottom w:val="0"/>
      <w:divBdr>
        <w:top w:val="none" w:sz="0" w:space="0" w:color="auto"/>
        <w:left w:val="none" w:sz="0" w:space="0" w:color="auto"/>
        <w:bottom w:val="none" w:sz="0" w:space="0" w:color="auto"/>
        <w:right w:val="none" w:sz="0" w:space="0" w:color="auto"/>
      </w:divBdr>
    </w:div>
    <w:div w:id="1695955494">
      <w:bodyDiv w:val="1"/>
      <w:marLeft w:val="0"/>
      <w:marRight w:val="0"/>
      <w:marTop w:val="0"/>
      <w:marBottom w:val="0"/>
      <w:divBdr>
        <w:top w:val="none" w:sz="0" w:space="0" w:color="auto"/>
        <w:left w:val="none" w:sz="0" w:space="0" w:color="auto"/>
        <w:bottom w:val="none" w:sz="0" w:space="0" w:color="auto"/>
        <w:right w:val="none" w:sz="0" w:space="0" w:color="auto"/>
      </w:divBdr>
    </w:div>
    <w:div w:id="1704550022">
      <w:bodyDiv w:val="1"/>
      <w:marLeft w:val="0"/>
      <w:marRight w:val="0"/>
      <w:marTop w:val="0"/>
      <w:marBottom w:val="0"/>
      <w:divBdr>
        <w:top w:val="none" w:sz="0" w:space="0" w:color="auto"/>
        <w:left w:val="none" w:sz="0" w:space="0" w:color="auto"/>
        <w:bottom w:val="none" w:sz="0" w:space="0" w:color="auto"/>
        <w:right w:val="none" w:sz="0" w:space="0" w:color="auto"/>
      </w:divBdr>
    </w:div>
    <w:div w:id="1758867228">
      <w:bodyDiv w:val="1"/>
      <w:marLeft w:val="0"/>
      <w:marRight w:val="0"/>
      <w:marTop w:val="0"/>
      <w:marBottom w:val="0"/>
      <w:divBdr>
        <w:top w:val="none" w:sz="0" w:space="0" w:color="auto"/>
        <w:left w:val="none" w:sz="0" w:space="0" w:color="auto"/>
        <w:bottom w:val="none" w:sz="0" w:space="0" w:color="auto"/>
        <w:right w:val="none" w:sz="0" w:space="0" w:color="auto"/>
      </w:divBdr>
    </w:div>
    <w:div w:id="1772968029">
      <w:bodyDiv w:val="1"/>
      <w:marLeft w:val="0"/>
      <w:marRight w:val="0"/>
      <w:marTop w:val="0"/>
      <w:marBottom w:val="0"/>
      <w:divBdr>
        <w:top w:val="none" w:sz="0" w:space="0" w:color="auto"/>
        <w:left w:val="none" w:sz="0" w:space="0" w:color="auto"/>
        <w:bottom w:val="none" w:sz="0" w:space="0" w:color="auto"/>
        <w:right w:val="none" w:sz="0" w:space="0" w:color="auto"/>
      </w:divBdr>
    </w:div>
    <w:div w:id="1820421007">
      <w:bodyDiv w:val="1"/>
      <w:marLeft w:val="0"/>
      <w:marRight w:val="0"/>
      <w:marTop w:val="0"/>
      <w:marBottom w:val="0"/>
      <w:divBdr>
        <w:top w:val="none" w:sz="0" w:space="0" w:color="auto"/>
        <w:left w:val="none" w:sz="0" w:space="0" w:color="auto"/>
        <w:bottom w:val="none" w:sz="0" w:space="0" w:color="auto"/>
        <w:right w:val="none" w:sz="0" w:space="0" w:color="auto"/>
      </w:divBdr>
      <w:divsChild>
        <w:div w:id="1939677872">
          <w:marLeft w:val="0"/>
          <w:marRight w:val="0"/>
          <w:marTop w:val="0"/>
          <w:marBottom w:val="0"/>
          <w:divBdr>
            <w:top w:val="none" w:sz="0" w:space="0" w:color="auto"/>
            <w:left w:val="none" w:sz="0" w:space="0" w:color="auto"/>
            <w:bottom w:val="none" w:sz="0" w:space="0" w:color="auto"/>
            <w:right w:val="none" w:sz="0" w:space="0" w:color="auto"/>
          </w:divBdr>
        </w:div>
        <w:div w:id="963729910">
          <w:marLeft w:val="0"/>
          <w:marRight w:val="0"/>
          <w:marTop w:val="0"/>
          <w:marBottom w:val="0"/>
          <w:divBdr>
            <w:top w:val="none" w:sz="0" w:space="0" w:color="auto"/>
            <w:left w:val="none" w:sz="0" w:space="0" w:color="auto"/>
            <w:bottom w:val="none" w:sz="0" w:space="0" w:color="auto"/>
            <w:right w:val="none" w:sz="0" w:space="0" w:color="auto"/>
          </w:divBdr>
        </w:div>
        <w:div w:id="1699970590">
          <w:marLeft w:val="0"/>
          <w:marRight w:val="0"/>
          <w:marTop w:val="0"/>
          <w:marBottom w:val="0"/>
          <w:divBdr>
            <w:top w:val="none" w:sz="0" w:space="0" w:color="auto"/>
            <w:left w:val="none" w:sz="0" w:space="0" w:color="auto"/>
            <w:bottom w:val="none" w:sz="0" w:space="0" w:color="auto"/>
            <w:right w:val="none" w:sz="0" w:space="0" w:color="auto"/>
          </w:divBdr>
        </w:div>
        <w:div w:id="2128353369">
          <w:marLeft w:val="0"/>
          <w:marRight w:val="0"/>
          <w:marTop w:val="0"/>
          <w:marBottom w:val="0"/>
          <w:divBdr>
            <w:top w:val="none" w:sz="0" w:space="0" w:color="auto"/>
            <w:left w:val="none" w:sz="0" w:space="0" w:color="auto"/>
            <w:bottom w:val="none" w:sz="0" w:space="0" w:color="auto"/>
            <w:right w:val="none" w:sz="0" w:space="0" w:color="auto"/>
          </w:divBdr>
        </w:div>
        <w:div w:id="669138027">
          <w:marLeft w:val="0"/>
          <w:marRight w:val="0"/>
          <w:marTop w:val="0"/>
          <w:marBottom w:val="0"/>
          <w:divBdr>
            <w:top w:val="none" w:sz="0" w:space="0" w:color="auto"/>
            <w:left w:val="none" w:sz="0" w:space="0" w:color="auto"/>
            <w:bottom w:val="none" w:sz="0" w:space="0" w:color="auto"/>
            <w:right w:val="none" w:sz="0" w:space="0" w:color="auto"/>
          </w:divBdr>
        </w:div>
        <w:div w:id="2072850825">
          <w:marLeft w:val="0"/>
          <w:marRight w:val="0"/>
          <w:marTop w:val="0"/>
          <w:marBottom w:val="0"/>
          <w:divBdr>
            <w:top w:val="none" w:sz="0" w:space="0" w:color="auto"/>
            <w:left w:val="none" w:sz="0" w:space="0" w:color="auto"/>
            <w:bottom w:val="none" w:sz="0" w:space="0" w:color="auto"/>
            <w:right w:val="none" w:sz="0" w:space="0" w:color="auto"/>
          </w:divBdr>
        </w:div>
      </w:divsChild>
    </w:div>
    <w:div w:id="1925458949">
      <w:bodyDiv w:val="1"/>
      <w:marLeft w:val="0"/>
      <w:marRight w:val="0"/>
      <w:marTop w:val="0"/>
      <w:marBottom w:val="0"/>
      <w:divBdr>
        <w:top w:val="none" w:sz="0" w:space="0" w:color="auto"/>
        <w:left w:val="none" w:sz="0" w:space="0" w:color="auto"/>
        <w:bottom w:val="none" w:sz="0" w:space="0" w:color="auto"/>
        <w:right w:val="none" w:sz="0" w:space="0" w:color="auto"/>
      </w:divBdr>
      <w:divsChild>
        <w:div w:id="1486781692">
          <w:marLeft w:val="0"/>
          <w:marRight w:val="0"/>
          <w:marTop w:val="0"/>
          <w:marBottom w:val="0"/>
          <w:divBdr>
            <w:top w:val="none" w:sz="0" w:space="0" w:color="auto"/>
            <w:left w:val="none" w:sz="0" w:space="0" w:color="auto"/>
            <w:bottom w:val="none" w:sz="0" w:space="0" w:color="auto"/>
            <w:right w:val="none" w:sz="0" w:space="0" w:color="auto"/>
          </w:divBdr>
          <w:divsChild>
            <w:div w:id="1400984094">
              <w:marLeft w:val="0"/>
              <w:marRight w:val="0"/>
              <w:marTop w:val="0"/>
              <w:marBottom w:val="0"/>
              <w:divBdr>
                <w:top w:val="none" w:sz="0" w:space="0" w:color="auto"/>
                <w:left w:val="none" w:sz="0" w:space="0" w:color="auto"/>
                <w:bottom w:val="none" w:sz="0" w:space="0" w:color="auto"/>
                <w:right w:val="none" w:sz="0" w:space="0" w:color="auto"/>
              </w:divBdr>
            </w:div>
            <w:div w:id="152266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1205">
      <w:bodyDiv w:val="1"/>
      <w:marLeft w:val="0"/>
      <w:marRight w:val="0"/>
      <w:marTop w:val="0"/>
      <w:marBottom w:val="0"/>
      <w:divBdr>
        <w:top w:val="none" w:sz="0" w:space="0" w:color="auto"/>
        <w:left w:val="none" w:sz="0" w:space="0" w:color="auto"/>
        <w:bottom w:val="none" w:sz="0" w:space="0" w:color="auto"/>
        <w:right w:val="none" w:sz="0" w:space="0" w:color="auto"/>
      </w:divBdr>
    </w:div>
    <w:div w:id="1966962552">
      <w:bodyDiv w:val="1"/>
      <w:marLeft w:val="0"/>
      <w:marRight w:val="0"/>
      <w:marTop w:val="0"/>
      <w:marBottom w:val="0"/>
      <w:divBdr>
        <w:top w:val="none" w:sz="0" w:space="0" w:color="auto"/>
        <w:left w:val="none" w:sz="0" w:space="0" w:color="auto"/>
        <w:bottom w:val="none" w:sz="0" w:space="0" w:color="auto"/>
        <w:right w:val="none" w:sz="0" w:space="0" w:color="auto"/>
      </w:divBdr>
    </w:div>
    <w:div w:id="197579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oced.edu.au/" TargetMode="External"/><Relationship Id="rId18" Type="http://schemas.openxmlformats.org/officeDocument/2006/relationships/header" Target="header3.xml"/><Relationship Id="rId26" Type="http://schemas.openxmlformats.org/officeDocument/2006/relationships/hyperlink" Target="http://creativecommons.org/licenses/by/3.0/au" TargetMode="External"/><Relationship Id="rId39" Type="http://schemas.openxmlformats.org/officeDocument/2006/relationships/image" Target="media/image12.emf"/><Relationship Id="rId21" Type="http://schemas.openxmlformats.org/officeDocument/2006/relationships/image" Target="media/image5.png"/><Relationship Id="rId34" Type="http://schemas.openxmlformats.org/officeDocument/2006/relationships/image" Target="media/image7.emf"/><Relationship Id="rId42" Type="http://schemas.openxmlformats.org/officeDocument/2006/relationships/chart" Target="charts/chart1.xml"/><Relationship Id="rId47" Type="http://schemas.openxmlformats.org/officeDocument/2006/relationships/hyperlink" Target="http://www.pc.gov.au/research/ongoing/report-on-government-services/2016" TargetMode="External"/><Relationship Id="rId50" Type="http://schemas.openxmlformats.org/officeDocument/2006/relationships/image" Target="media/image16.wmf"/><Relationship Id="rId55" Type="http://schemas.openxmlformats.org/officeDocument/2006/relationships/oleObject" Target="embeddings/oleObject4.bin"/><Relationship Id="rId63" Type="http://schemas.openxmlformats.org/officeDocument/2006/relationships/image" Target="media/image21.jpeg"/><Relationship Id="rId68" Type="http://schemas.openxmlformats.org/officeDocument/2006/relationships/hyperlink" Target="mailto:ncver@ncver.edu.au"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4.xml"/><Relationship Id="rId11" Type="http://schemas.openxmlformats.org/officeDocument/2006/relationships/image" Target="media/image2.jpeg"/><Relationship Id="rId24" Type="http://schemas.openxmlformats.org/officeDocument/2006/relationships/hyperlink" Target="mailto:ncver@ncver.edu.au" TargetMode="External"/><Relationship Id="rId32" Type="http://schemas.openxmlformats.org/officeDocument/2006/relationships/footer" Target="footer5.xml"/><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hyperlink" Target="http://www.ncver.edu.au/publications/2272.html" TargetMode="External"/><Relationship Id="rId53" Type="http://schemas.openxmlformats.org/officeDocument/2006/relationships/oleObject" Target="embeddings/oleObject3.bin"/><Relationship Id="rId58" Type="http://schemas.openxmlformats.org/officeDocument/2006/relationships/header" Target="header7.xml"/><Relationship Id="rId66" Type="http://schemas.openxmlformats.org/officeDocument/2006/relationships/hyperlink" Target="http://twitter.com/ncver" TargetMode="External"/><Relationship Id="rId74" Type="http://schemas.openxmlformats.org/officeDocument/2006/relationships/header" Target="header12.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hyperlink" Target="http://creativecommons.org/licenses/by/3.0/au" TargetMode="External"/><Relationship Id="rId28" Type="http://schemas.openxmlformats.org/officeDocument/2006/relationships/hyperlink" Target="http://www.lsay.edu.au" TargetMode="External"/><Relationship Id="rId36" Type="http://schemas.openxmlformats.org/officeDocument/2006/relationships/image" Target="media/image9.emf"/><Relationship Id="rId49" Type="http://schemas.openxmlformats.org/officeDocument/2006/relationships/oleObject" Target="embeddings/oleObject1.bin"/><Relationship Id="rId57" Type="http://schemas.openxmlformats.org/officeDocument/2006/relationships/oleObject" Target="embeddings/oleObject5.bin"/><Relationship Id="rId61" Type="http://schemas.openxmlformats.org/officeDocument/2006/relationships/header" Target="header9.xml"/><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footer" Target="footer4.xml"/><Relationship Id="rId44" Type="http://schemas.openxmlformats.org/officeDocument/2006/relationships/hyperlink" Target="http://www.ncver.edu.au/publications/2467.html" TargetMode="External"/><Relationship Id="rId52" Type="http://schemas.openxmlformats.org/officeDocument/2006/relationships/image" Target="media/image17.wmf"/><Relationship Id="rId60" Type="http://schemas.openxmlformats.org/officeDocument/2006/relationships/footer" Target="footer6.xml"/><Relationship Id="rId65" Type="http://schemas.openxmlformats.org/officeDocument/2006/relationships/hyperlink" Target="http://www.lsay.edu.au" TargetMode="External"/><Relationship Id="rId73" Type="http://schemas.openxmlformats.org/officeDocument/2006/relationships/footer" Target="foot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6.wmf"/><Relationship Id="rId27" Type="http://schemas.openxmlformats.org/officeDocument/2006/relationships/hyperlink" Target="mailto:ncver@ncver.edu.au" TargetMode="External"/><Relationship Id="rId30" Type="http://schemas.openxmlformats.org/officeDocument/2006/relationships/header" Target="header5.xml"/><Relationship Id="rId35" Type="http://schemas.openxmlformats.org/officeDocument/2006/relationships/image" Target="media/image8.emf"/><Relationship Id="rId43" Type="http://schemas.openxmlformats.org/officeDocument/2006/relationships/chart" Target="charts/chart2.xml"/><Relationship Id="rId48" Type="http://schemas.openxmlformats.org/officeDocument/2006/relationships/image" Target="media/image15.wmf"/><Relationship Id="rId56" Type="http://schemas.openxmlformats.org/officeDocument/2006/relationships/image" Target="media/image19.wmf"/><Relationship Id="rId64" Type="http://schemas.openxmlformats.org/officeDocument/2006/relationships/hyperlink" Target="mailto:ncver@ncver.edu.au" TargetMode="External"/><Relationship Id="rId69" Type="http://schemas.openxmlformats.org/officeDocument/2006/relationships/hyperlink" Target="http://www.lsay.edu.au" TargetMode="External"/><Relationship Id="rId8" Type="http://schemas.openxmlformats.org/officeDocument/2006/relationships/footnotes" Target="footnotes.xml"/><Relationship Id="rId51" Type="http://schemas.openxmlformats.org/officeDocument/2006/relationships/oleObject" Target="embeddings/oleObject2.bin"/><Relationship Id="rId72" Type="http://schemas.openxmlformats.org/officeDocument/2006/relationships/header" Target="header11.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footer" Target="footer2.xml"/><Relationship Id="rId25" Type="http://schemas.openxmlformats.org/officeDocument/2006/relationships/hyperlink" Target="http://www.lsay.edu.au" TargetMode="External"/><Relationship Id="rId33" Type="http://schemas.openxmlformats.org/officeDocument/2006/relationships/header" Target="header6.xml"/><Relationship Id="rId38" Type="http://schemas.openxmlformats.org/officeDocument/2006/relationships/image" Target="media/image11.emf"/><Relationship Id="rId46" Type="http://schemas.openxmlformats.org/officeDocument/2006/relationships/hyperlink" Target="http://www.ncver.edu.au/publications/2272.html" TargetMode="External"/><Relationship Id="rId59" Type="http://schemas.openxmlformats.org/officeDocument/2006/relationships/header" Target="header8.xml"/><Relationship Id="rId20" Type="http://schemas.openxmlformats.org/officeDocument/2006/relationships/image" Target="media/image4.png"/><Relationship Id="rId41" Type="http://schemas.openxmlformats.org/officeDocument/2006/relationships/image" Target="media/image14.emf"/><Relationship Id="rId54" Type="http://schemas.openxmlformats.org/officeDocument/2006/relationships/image" Target="media/image18.wmf"/><Relationship Id="rId62" Type="http://schemas.openxmlformats.org/officeDocument/2006/relationships/image" Target="media/image20.wmf"/><Relationship Id="rId70" Type="http://schemas.openxmlformats.org/officeDocument/2006/relationships/hyperlink" Target="http://twitter.com/ncver"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541274800818632E-2"/>
          <c:y val="4.98446129816595E-2"/>
          <c:w val="0.93187175850090687"/>
          <c:h val="0.6757231501428107"/>
        </c:manualLayout>
      </c:layout>
      <c:lineChart>
        <c:grouping val="standard"/>
        <c:varyColors val="0"/>
        <c:ser>
          <c:idx val="5"/>
          <c:order val="0"/>
          <c:tx>
            <c:strRef>
              <c:f>'Figures 1 and 2'!$B$6</c:f>
              <c:strCache>
                <c:ptCount val="1"/>
                <c:pt idx="0">
                  <c:v>NCVER ACTUAL (as at 2015 collection) (based on commencing year = first year appears in the collection)</c:v>
                </c:pt>
              </c:strCache>
            </c:strRef>
          </c:tx>
          <c:spPr>
            <a:ln w="28575">
              <a:solidFill>
                <a:srgbClr val="78278B"/>
              </a:solidFill>
            </a:ln>
          </c:spPr>
          <c:marker>
            <c:symbol val="none"/>
          </c:marker>
          <c:cat>
            <c:numRef>
              <c:f>'Figures 1 and 2'!$E$2:$L$2</c:f>
              <c:numCache>
                <c:formatCode>General</c:formatCode>
                <c:ptCount val="8"/>
                <c:pt idx="0">
                  <c:v>2008</c:v>
                </c:pt>
                <c:pt idx="1">
                  <c:v>2009</c:v>
                </c:pt>
                <c:pt idx="2">
                  <c:v>2010</c:v>
                </c:pt>
                <c:pt idx="3">
                  <c:v>2011</c:v>
                </c:pt>
                <c:pt idx="4">
                  <c:v>2012</c:v>
                </c:pt>
                <c:pt idx="5">
                  <c:v>2013</c:v>
                </c:pt>
                <c:pt idx="6">
                  <c:v>2014</c:v>
                </c:pt>
                <c:pt idx="7">
                  <c:v>2015</c:v>
                </c:pt>
              </c:numCache>
            </c:numRef>
          </c:cat>
          <c:val>
            <c:numRef>
              <c:f>'Figures 1 and 2'!$E$6:$L$6</c:f>
              <c:numCache>
                <c:formatCode>0.0</c:formatCode>
                <c:ptCount val="8"/>
                <c:pt idx="0" formatCode="General">
                  <c:v>31.26</c:v>
                </c:pt>
                <c:pt idx="1">
                  <c:v>33.75</c:v>
                </c:pt>
                <c:pt idx="2">
                  <c:v>35.11</c:v>
                </c:pt>
                <c:pt idx="3">
                  <c:v>36.49</c:v>
                </c:pt>
                <c:pt idx="4">
                  <c:v>36.07</c:v>
                </c:pt>
                <c:pt idx="5">
                  <c:v>35.15</c:v>
                </c:pt>
                <c:pt idx="6">
                  <c:v>36.14</c:v>
                </c:pt>
                <c:pt idx="7">
                  <c:v>24.88</c:v>
                </c:pt>
              </c:numCache>
            </c:numRef>
          </c:val>
          <c:smooth val="0"/>
        </c:ser>
        <c:ser>
          <c:idx val="1"/>
          <c:order val="1"/>
          <c:tx>
            <c:strRef>
              <c:f>'Figures 1 and 2'!$B$3</c:f>
              <c:strCache>
                <c:ptCount val="1"/>
                <c:pt idx="0">
                  <c:v>Current NCVER rates projection method </c:v>
                </c:pt>
              </c:strCache>
            </c:strRef>
          </c:tx>
          <c:spPr>
            <a:ln>
              <a:solidFill>
                <a:srgbClr val="439539"/>
              </a:solidFill>
            </a:ln>
          </c:spPr>
          <c:marker>
            <c:symbol val="none"/>
          </c:marker>
          <c:cat>
            <c:numRef>
              <c:f>'Figures 1 and 2'!$E$2:$L$2</c:f>
              <c:numCache>
                <c:formatCode>General</c:formatCode>
                <c:ptCount val="8"/>
                <c:pt idx="0">
                  <c:v>2008</c:v>
                </c:pt>
                <c:pt idx="1">
                  <c:v>2009</c:v>
                </c:pt>
                <c:pt idx="2">
                  <c:v>2010</c:v>
                </c:pt>
                <c:pt idx="3">
                  <c:v>2011</c:v>
                </c:pt>
                <c:pt idx="4">
                  <c:v>2012</c:v>
                </c:pt>
                <c:pt idx="5">
                  <c:v>2013</c:v>
                </c:pt>
                <c:pt idx="6">
                  <c:v>2014</c:v>
                </c:pt>
                <c:pt idx="7">
                  <c:v>2015</c:v>
                </c:pt>
              </c:numCache>
            </c:numRef>
          </c:cat>
          <c:val>
            <c:numRef>
              <c:f>'Figures 1 and 2'!$E$3:$L$3</c:f>
              <c:numCache>
                <c:formatCode>0.0</c:formatCode>
                <c:ptCount val="8"/>
                <c:pt idx="0">
                  <c:v>28.883914895826734</c:v>
                </c:pt>
                <c:pt idx="1">
                  <c:v>32.125678890964096</c:v>
                </c:pt>
                <c:pt idx="2">
                  <c:v>33.84412237200457</c:v>
                </c:pt>
                <c:pt idx="3">
                  <c:v>35.727896299978504</c:v>
                </c:pt>
                <c:pt idx="4">
                  <c:v>36.057972938258118</c:v>
                </c:pt>
                <c:pt idx="5">
                  <c:v>34.460587430506962</c:v>
                </c:pt>
                <c:pt idx="6">
                  <c:v>37.975405483359928</c:v>
                </c:pt>
              </c:numCache>
            </c:numRef>
          </c:val>
          <c:smooth val="0"/>
        </c:ser>
        <c:dLbls>
          <c:showLegendKey val="0"/>
          <c:showVal val="0"/>
          <c:showCatName val="0"/>
          <c:showSerName val="0"/>
          <c:showPercent val="0"/>
          <c:showBubbleSize val="0"/>
        </c:dLbls>
        <c:marker val="1"/>
        <c:smooth val="0"/>
        <c:axId val="39911808"/>
        <c:axId val="39914112"/>
      </c:lineChart>
      <c:catAx>
        <c:axId val="39911808"/>
        <c:scaling>
          <c:orientation val="minMax"/>
        </c:scaling>
        <c:delete val="0"/>
        <c:axPos val="b"/>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39914112"/>
        <c:crosses val="autoZero"/>
        <c:auto val="1"/>
        <c:lblAlgn val="ctr"/>
        <c:lblOffset val="100"/>
        <c:noMultiLvlLbl val="0"/>
      </c:catAx>
      <c:valAx>
        <c:axId val="39914112"/>
        <c:scaling>
          <c:orientation val="minMax"/>
          <c:min val="20"/>
        </c:scaling>
        <c:delete val="0"/>
        <c:axPos val="l"/>
        <c:majorGridlines/>
        <c:numFmt formatCode="0"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39911808"/>
        <c:crosses val="autoZero"/>
        <c:crossBetween val="between"/>
        <c:majorUnit val="5"/>
      </c:valAx>
    </c:plotArea>
    <c:legend>
      <c:legendPos val="b"/>
      <c:legendEntry>
        <c:idx val="0"/>
        <c:txPr>
          <a:bodyPr/>
          <a:lstStyle/>
          <a:p>
            <a:pPr>
              <a:defRPr sz="700">
                <a:latin typeface="Arial" panose="020B0604020202020204" pitchFamily="34" charset="0"/>
                <a:cs typeface="Arial" panose="020B0604020202020204" pitchFamily="34" charset="0"/>
              </a:defRPr>
            </a:pPr>
            <a:endParaRPr lang="en-US"/>
          </a:p>
        </c:txPr>
      </c:legendEntry>
      <c:legendEntry>
        <c:idx val="1"/>
        <c:txPr>
          <a:bodyPr/>
          <a:lstStyle/>
          <a:p>
            <a:pPr>
              <a:defRPr sz="700">
                <a:latin typeface="Arial" panose="020B0604020202020204" pitchFamily="34" charset="0"/>
                <a:cs typeface="Arial" panose="020B0604020202020204" pitchFamily="34" charset="0"/>
              </a:defRPr>
            </a:pPr>
            <a:endParaRPr lang="en-US"/>
          </a:p>
        </c:txPr>
      </c:legendEntry>
      <c:layout>
        <c:manualLayout>
          <c:xMode val="edge"/>
          <c:yMode val="edge"/>
          <c:x val="4.5529315709831271E-2"/>
          <c:y val="0.85471770016477999"/>
          <c:w val="0.93457949352008052"/>
          <c:h val="0.14200494876790709"/>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568782031043195E-2"/>
          <c:y val="4.4192097609420451E-2"/>
          <c:w val="0.9032016351938309"/>
          <c:h val="0.63977485473275375"/>
        </c:manualLayout>
      </c:layout>
      <c:lineChart>
        <c:grouping val="standard"/>
        <c:varyColors val="0"/>
        <c:ser>
          <c:idx val="5"/>
          <c:order val="0"/>
          <c:tx>
            <c:strRef>
              <c:f>'Figures 1 and 2'!$B$6</c:f>
              <c:strCache>
                <c:ptCount val="1"/>
                <c:pt idx="0">
                  <c:v>NCVER ACTUAL (as at 2015 collection) (based on commencing year = first year appears in the collection)</c:v>
                </c:pt>
              </c:strCache>
            </c:strRef>
          </c:tx>
          <c:spPr>
            <a:ln w="28575">
              <a:solidFill>
                <a:srgbClr val="78278B"/>
              </a:solidFill>
            </a:ln>
          </c:spPr>
          <c:marker>
            <c:symbol val="none"/>
          </c:marker>
          <c:cat>
            <c:numRef>
              <c:f>'Figures 1 and 2'!$E$2:$L$2</c:f>
              <c:numCache>
                <c:formatCode>General</c:formatCode>
                <c:ptCount val="8"/>
                <c:pt idx="0">
                  <c:v>2008</c:v>
                </c:pt>
                <c:pt idx="1">
                  <c:v>2009</c:v>
                </c:pt>
                <c:pt idx="2">
                  <c:v>2010</c:v>
                </c:pt>
                <c:pt idx="3">
                  <c:v>2011</c:v>
                </c:pt>
                <c:pt idx="4">
                  <c:v>2012</c:v>
                </c:pt>
                <c:pt idx="5">
                  <c:v>2013</c:v>
                </c:pt>
                <c:pt idx="6">
                  <c:v>2014</c:v>
                </c:pt>
                <c:pt idx="7">
                  <c:v>2015</c:v>
                </c:pt>
              </c:numCache>
            </c:numRef>
          </c:cat>
          <c:val>
            <c:numRef>
              <c:f>'Figures 1 and 2'!$E$6:$L$6</c:f>
              <c:numCache>
                <c:formatCode>0.0</c:formatCode>
                <c:ptCount val="8"/>
                <c:pt idx="0" formatCode="General">
                  <c:v>31.26</c:v>
                </c:pt>
                <c:pt idx="1">
                  <c:v>33.75</c:v>
                </c:pt>
                <c:pt idx="2">
                  <c:v>35.11</c:v>
                </c:pt>
                <c:pt idx="3">
                  <c:v>36.49</c:v>
                </c:pt>
                <c:pt idx="4">
                  <c:v>36.07</c:v>
                </c:pt>
                <c:pt idx="5">
                  <c:v>35.15</c:v>
                </c:pt>
                <c:pt idx="6">
                  <c:v>36.14</c:v>
                </c:pt>
                <c:pt idx="7">
                  <c:v>24.88</c:v>
                </c:pt>
              </c:numCache>
            </c:numRef>
          </c:val>
          <c:smooth val="0"/>
        </c:ser>
        <c:ser>
          <c:idx val="1"/>
          <c:order val="1"/>
          <c:tx>
            <c:strRef>
              <c:f>'Figures 1 and 2'!$B$3</c:f>
              <c:strCache>
                <c:ptCount val="1"/>
                <c:pt idx="0">
                  <c:v>Current NCVER rates projection method </c:v>
                </c:pt>
              </c:strCache>
            </c:strRef>
          </c:tx>
          <c:spPr>
            <a:ln>
              <a:solidFill>
                <a:schemeClr val="tx1"/>
              </a:solidFill>
            </a:ln>
          </c:spPr>
          <c:marker>
            <c:symbol val="none"/>
          </c:marker>
          <c:cat>
            <c:numRef>
              <c:f>'Figures 1 and 2'!$E$2:$L$2</c:f>
              <c:numCache>
                <c:formatCode>General</c:formatCode>
                <c:ptCount val="8"/>
                <c:pt idx="0">
                  <c:v>2008</c:v>
                </c:pt>
                <c:pt idx="1">
                  <c:v>2009</c:v>
                </c:pt>
                <c:pt idx="2">
                  <c:v>2010</c:v>
                </c:pt>
                <c:pt idx="3">
                  <c:v>2011</c:v>
                </c:pt>
                <c:pt idx="4">
                  <c:v>2012</c:v>
                </c:pt>
                <c:pt idx="5">
                  <c:v>2013</c:v>
                </c:pt>
                <c:pt idx="6">
                  <c:v>2014</c:v>
                </c:pt>
                <c:pt idx="7">
                  <c:v>2015</c:v>
                </c:pt>
              </c:numCache>
            </c:numRef>
          </c:cat>
          <c:val>
            <c:numRef>
              <c:f>'Figures 1 and 2'!$E$3:$L$3</c:f>
              <c:numCache>
                <c:formatCode>0.0</c:formatCode>
                <c:ptCount val="8"/>
                <c:pt idx="0">
                  <c:v>28.883914895826734</c:v>
                </c:pt>
                <c:pt idx="1">
                  <c:v>32.125678890964096</c:v>
                </c:pt>
                <c:pt idx="2">
                  <c:v>33.84412237200457</c:v>
                </c:pt>
                <c:pt idx="3">
                  <c:v>35.727896299978504</c:v>
                </c:pt>
                <c:pt idx="4">
                  <c:v>36.057972938258118</c:v>
                </c:pt>
                <c:pt idx="5">
                  <c:v>34.460587430506962</c:v>
                </c:pt>
                <c:pt idx="6">
                  <c:v>37.975405483359928</c:v>
                </c:pt>
              </c:numCache>
            </c:numRef>
          </c:val>
          <c:smooth val="0"/>
        </c:ser>
        <c:ser>
          <c:idx val="0"/>
          <c:order val="2"/>
          <c:tx>
            <c:strRef>
              <c:f>'Figures 1 and 2'!$B$4</c:f>
              <c:strCache>
                <c:ptCount val="1"/>
                <c:pt idx="0">
                  <c:v>Projected rates based on revised methodology</c:v>
                </c:pt>
              </c:strCache>
            </c:strRef>
          </c:tx>
          <c:spPr>
            <a:ln>
              <a:solidFill>
                <a:srgbClr val="439539"/>
              </a:solidFill>
            </a:ln>
          </c:spPr>
          <c:marker>
            <c:symbol val="none"/>
          </c:marker>
          <c:cat>
            <c:numRef>
              <c:f>'Figures 1 and 2'!$E$2:$L$2</c:f>
              <c:numCache>
                <c:formatCode>General</c:formatCode>
                <c:ptCount val="8"/>
                <c:pt idx="0">
                  <c:v>2008</c:v>
                </c:pt>
                <c:pt idx="1">
                  <c:v>2009</c:v>
                </c:pt>
                <c:pt idx="2">
                  <c:v>2010</c:v>
                </c:pt>
                <c:pt idx="3">
                  <c:v>2011</c:v>
                </c:pt>
                <c:pt idx="4">
                  <c:v>2012</c:v>
                </c:pt>
                <c:pt idx="5">
                  <c:v>2013</c:v>
                </c:pt>
                <c:pt idx="6">
                  <c:v>2014</c:v>
                </c:pt>
                <c:pt idx="7">
                  <c:v>2015</c:v>
                </c:pt>
              </c:numCache>
            </c:numRef>
          </c:cat>
          <c:val>
            <c:numRef>
              <c:f>'Figures 1 and 2'!$E$4:$L$4</c:f>
              <c:numCache>
                <c:formatCode>0.0</c:formatCode>
                <c:ptCount val="8"/>
                <c:pt idx="0">
                  <c:v>29.328972809349917</c:v>
                </c:pt>
                <c:pt idx="1">
                  <c:v>33.071264085200923</c:v>
                </c:pt>
                <c:pt idx="2">
                  <c:v>34.68880464070542</c:v>
                </c:pt>
                <c:pt idx="3">
                  <c:v>36.712036284650971</c:v>
                </c:pt>
                <c:pt idx="4">
                  <c:v>36.560448916606028</c:v>
                </c:pt>
                <c:pt idx="5">
                  <c:v>34.91869954579527</c:v>
                </c:pt>
                <c:pt idx="6">
                  <c:v>38.422827112079787</c:v>
                </c:pt>
              </c:numCache>
            </c:numRef>
          </c:val>
          <c:smooth val="0"/>
        </c:ser>
        <c:dLbls>
          <c:showLegendKey val="0"/>
          <c:showVal val="0"/>
          <c:showCatName val="0"/>
          <c:showSerName val="0"/>
          <c:showPercent val="0"/>
          <c:showBubbleSize val="0"/>
        </c:dLbls>
        <c:marker val="1"/>
        <c:smooth val="0"/>
        <c:axId val="40450688"/>
        <c:axId val="53519104"/>
      </c:lineChart>
      <c:catAx>
        <c:axId val="40450688"/>
        <c:scaling>
          <c:orientation val="minMax"/>
        </c:scaling>
        <c:delete val="0"/>
        <c:axPos val="b"/>
        <c:numFmt formatCode="General"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53519104"/>
        <c:crosses val="autoZero"/>
        <c:auto val="1"/>
        <c:lblAlgn val="ctr"/>
        <c:lblOffset val="100"/>
        <c:noMultiLvlLbl val="0"/>
      </c:catAx>
      <c:valAx>
        <c:axId val="53519104"/>
        <c:scaling>
          <c:orientation val="minMax"/>
          <c:min val="20"/>
        </c:scaling>
        <c:delete val="0"/>
        <c:axPos val="l"/>
        <c:majorGridlines/>
        <c:numFmt formatCode="0"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40450688"/>
        <c:crosses val="autoZero"/>
        <c:crossBetween val="between"/>
        <c:majorUnit val="5"/>
      </c:valAx>
    </c:plotArea>
    <c:legend>
      <c:legendPos val="b"/>
      <c:legendEntry>
        <c:idx val="0"/>
        <c:txPr>
          <a:bodyPr/>
          <a:lstStyle/>
          <a:p>
            <a:pPr>
              <a:defRPr sz="800">
                <a:latin typeface="Arial" panose="020B0604020202020204" pitchFamily="34" charset="0"/>
                <a:cs typeface="Arial" panose="020B0604020202020204" pitchFamily="34" charset="0"/>
              </a:defRPr>
            </a:pPr>
            <a:endParaRPr lang="en-US"/>
          </a:p>
        </c:txPr>
      </c:legendEntry>
      <c:layout>
        <c:manualLayout>
          <c:xMode val="edge"/>
          <c:yMode val="edge"/>
          <c:x val="3.7337112176145229E-2"/>
          <c:y val="0.76482332771987316"/>
          <c:w val="0.83583799812634041"/>
          <c:h val="0.23517667228012684"/>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0.32277</cdr:x>
      <cdr:y>0.16995</cdr:y>
    </cdr:from>
    <cdr:to>
      <cdr:x>0.42419</cdr:x>
      <cdr:y>0.4064</cdr:y>
    </cdr:to>
    <cdr:sp macro="" textlink="">
      <cdr:nvSpPr>
        <cdr:cNvPr id="2" name="TextBox 1"/>
        <cdr:cNvSpPr txBox="1"/>
      </cdr:nvSpPr>
      <cdr:spPr>
        <a:xfrm xmlns:a="http://schemas.openxmlformats.org/drawingml/2006/main">
          <a:off x="2909889" y="6572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userShapes>
</file>

<file path=word/drawings/drawing2.xml><?xml version="1.0" encoding="utf-8"?>
<c:userShapes xmlns:c="http://schemas.openxmlformats.org/drawingml/2006/chart">
  <cdr:relSizeAnchor xmlns:cdr="http://schemas.openxmlformats.org/drawingml/2006/chartDrawing">
    <cdr:from>
      <cdr:x>0.32277</cdr:x>
      <cdr:y>0.16995</cdr:y>
    </cdr:from>
    <cdr:to>
      <cdr:x>0.42419</cdr:x>
      <cdr:y>0.4064</cdr:y>
    </cdr:to>
    <cdr:sp macro="" textlink="">
      <cdr:nvSpPr>
        <cdr:cNvPr id="2" name="TextBox 1"/>
        <cdr:cNvSpPr txBox="1"/>
      </cdr:nvSpPr>
      <cdr:spPr>
        <a:xfrm xmlns:a="http://schemas.openxmlformats.org/drawingml/2006/main">
          <a:off x="2909889" y="6572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87140-2C6E-488D-AF1C-CC13BD9E1B9C}">
  <ds:schemaRefs>
    <ds:schemaRef ds:uri="http://schemas.openxmlformats.org/officeDocument/2006/bibliography"/>
  </ds:schemaRefs>
</ds:datastoreItem>
</file>

<file path=customXml/itemProps2.xml><?xml version="1.0" encoding="utf-8"?>
<ds:datastoreItem xmlns:ds="http://schemas.openxmlformats.org/officeDocument/2006/customXml" ds:itemID="{9129EA0F-B85B-4807-BE23-C76CB957F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22</Pages>
  <Words>5669</Words>
  <Characters>32319</Characters>
  <Application>Microsoft Office Word</Application>
  <DocSecurity>0</DocSecurity>
  <Lines>269</Lines>
  <Paragraphs>75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VET</vt:lpstr>
      <vt:lpstr/>
    </vt:vector>
  </TitlesOfParts>
  <Company>NCVER</Company>
  <LinksUpToDate>false</LinksUpToDate>
  <CharactersWithSpaces>37913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program completion rates: an evaluation of the current method</dc:title>
  <dc:creator>National Centre for Vocational Education Research</dc:creator>
  <cp:lastModifiedBy>Elise Rivett</cp:lastModifiedBy>
  <cp:revision>21</cp:revision>
  <cp:lastPrinted>2016-11-01T02:06:00Z</cp:lastPrinted>
  <dcterms:created xsi:type="dcterms:W3CDTF">2016-11-01T05:38:00Z</dcterms:created>
  <dcterms:modified xsi:type="dcterms:W3CDTF">2016-11-02T02:06:00Z</dcterms:modified>
</cp:coreProperties>
</file>