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01914074"/>
    <w:bookmarkStart w:id="1" w:name="_Toc416260885"/>
    <w:bookmarkStart w:id="2" w:name="_Toc98394872"/>
    <w:bookmarkStart w:id="3" w:name="_Toc495748330"/>
    <w:bookmarkStart w:id="4" w:name="_Toc495810630"/>
    <w:bookmarkStart w:id="5" w:name="_Toc6031787"/>
    <w:bookmarkStart w:id="6" w:name="_Toc6031844"/>
    <w:p w:rsidR="00072DD8" w:rsidRPr="00DA7709" w:rsidRDefault="00EC6DCF" w:rsidP="00072DD8">
      <w:pPr>
        <w:sectPr w:rsidR="00072DD8" w:rsidRPr="00DA7709" w:rsidSect="002F630A">
          <w:pgSz w:w="11907" w:h="16840" w:code="9"/>
          <w:pgMar w:top="1418" w:right="1701" w:bottom="1134" w:left="1418" w:header="709" w:footer="556" w:gutter="0"/>
          <w:cols w:space="708"/>
          <w:docGrid w:linePitch="360"/>
        </w:sectPr>
      </w:pPr>
      <w:r>
        <w:rPr>
          <w:noProof/>
          <w:lang w:eastAsia="en-AU"/>
        </w:rPr>
        <mc:AlternateContent>
          <mc:Choice Requires="wps">
            <w:drawing>
              <wp:anchor distT="0" distB="0" distL="114300" distR="114300" simplePos="0" relativeHeight="251700224" behindDoc="0" locked="0" layoutInCell="1" allowOverlap="1" wp14:anchorId="5552ACEB" wp14:editId="5FC08A83">
                <wp:simplePos x="0" y="0"/>
                <wp:positionH relativeFrom="column">
                  <wp:posOffset>-681355</wp:posOffset>
                </wp:positionH>
                <wp:positionV relativeFrom="paragraph">
                  <wp:posOffset>1747520</wp:posOffset>
                </wp:positionV>
                <wp:extent cx="6257925" cy="18764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187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75FE" w:rsidRPr="00704F86" w:rsidRDefault="00F975FE" w:rsidP="00072DD8">
                            <w:pPr>
                              <w:pStyle w:val="Titlepage"/>
                              <w:spacing w:after="0"/>
                              <w:rPr>
                                <w:b/>
                              </w:rPr>
                            </w:pPr>
                            <w:r>
                              <w:rPr>
                                <w:b/>
                              </w:rPr>
                              <w:t>Factors that drive RTO performance: an overview</w:t>
                            </w:r>
                          </w:p>
                          <w:p w:rsidR="00F975FE" w:rsidRPr="00753998" w:rsidRDefault="00F975FE" w:rsidP="00495934">
                            <w:pPr>
                              <w:pStyle w:val="Titlepage"/>
                              <w:spacing w:before="720" w:after="0"/>
                              <w:rPr>
                                <w:b/>
                                <w:color w:val="595959" w:themeColor="text1" w:themeTint="A6"/>
                                <w:sz w:val="27"/>
                                <w:szCs w:val="27"/>
                              </w:rPr>
                            </w:pPr>
                            <w:r>
                              <w:rPr>
                                <w:b/>
                                <w:color w:val="595959" w:themeColor="text1" w:themeTint="A6"/>
                                <w:sz w:val="27"/>
                                <w:szCs w:val="27"/>
                              </w:rPr>
                              <w:t>Josie Misko</w:t>
                            </w:r>
                          </w:p>
                          <w:p w:rsidR="00F975FE" w:rsidRDefault="00F975FE" w:rsidP="00495934">
                            <w:pPr>
                              <w:pStyle w:val="Titlepage"/>
                              <w:spacing w:after="0"/>
                              <w:rPr>
                                <w:color w:val="595959" w:themeColor="text1" w:themeTint="A6"/>
                                <w:sz w:val="27"/>
                                <w:szCs w:val="27"/>
                              </w:rPr>
                            </w:pPr>
                            <w:r>
                              <w:rPr>
                                <w:color w:val="595959" w:themeColor="text1" w:themeTint="A6"/>
                                <w:sz w:val="27"/>
                                <w:szCs w:val="27"/>
                              </w:rPr>
                              <w:t>N</w:t>
                            </w:r>
                            <w:r w:rsidR="00EC6DCF">
                              <w:rPr>
                                <w:color w:val="595959" w:themeColor="text1" w:themeTint="A6"/>
                                <w:sz w:val="27"/>
                                <w:szCs w:val="27"/>
                              </w:rPr>
                              <w:t xml:space="preserve">ational </w:t>
                            </w:r>
                            <w:r>
                              <w:rPr>
                                <w:color w:val="595959" w:themeColor="text1" w:themeTint="A6"/>
                                <w:sz w:val="27"/>
                                <w:szCs w:val="27"/>
                              </w:rPr>
                              <w:t>C</w:t>
                            </w:r>
                            <w:r w:rsidR="00EC6DCF">
                              <w:rPr>
                                <w:color w:val="595959" w:themeColor="text1" w:themeTint="A6"/>
                                <w:sz w:val="27"/>
                                <w:szCs w:val="27"/>
                              </w:rPr>
                              <w:t xml:space="preserve">entre for </w:t>
                            </w:r>
                            <w:r>
                              <w:rPr>
                                <w:color w:val="595959" w:themeColor="text1" w:themeTint="A6"/>
                                <w:sz w:val="27"/>
                                <w:szCs w:val="27"/>
                              </w:rPr>
                              <w:t>V</w:t>
                            </w:r>
                            <w:r w:rsidR="00EC6DCF">
                              <w:rPr>
                                <w:color w:val="595959" w:themeColor="text1" w:themeTint="A6"/>
                                <w:sz w:val="27"/>
                                <w:szCs w:val="27"/>
                              </w:rPr>
                              <w:t xml:space="preserve">ocational </w:t>
                            </w:r>
                            <w:r>
                              <w:rPr>
                                <w:color w:val="595959" w:themeColor="text1" w:themeTint="A6"/>
                                <w:sz w:val="27"/>
                                <w:szCs w:val="27"/>
                              </w:rPr>
                              <w:t>E</w:t>
                            </w:r>
                            <w:r w:rsidR="00EC6DCF">
                              <w:rPr>
                                <w:color w:val="595959" w:themeColor="text1" w:themeTint="A6"/>
                                <w:sz w:val="27"/>
                                <w:szCs w:val="27"/>
                              </w:rPr>
                              <w:t xml:space="preserve">ducation </w:t>
                            </w:r>
                            <w:r>
                              <w:rPr>
                                <w:color w:val="595959" w:themeColor="text1" w:themeTint="A6"/>
                                <w:sz w:val="27"/>
                                <w:szCs w:val="27"/>
                              </w:rPr>
                              <w:t>R</w:t>
                            </w:r>
                            <w:r w:rsidR="00EC6DCF">
                              <w:rPr>
                                <w:color w:val="595959" w:themeColor="text1" w:themeTint="A6"/>
                                <w:sz w:val="27"/>
                                <w:szCs w:val="27"/>
                              </w:rPr>
                              <w:t>esearch</w:t>
                            </w:r>
                          </w:p>
                          <w:p w:rsidR="00F975FE" w:rsidRPr="00FF39B1" w:rsidRDefault="00F975FE" w:rsidP="00FF39B1">
                            <w:pPr>
                              <w:pStyle w:val="Titlepagesubtitle"/>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3.65pt;margin-top:137.6pt;width:492.75pt;height:14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" filled="f" stroked="f" strokeweight=".5pt">
                <v:path arrowok="t"/>
                <v:textbox inset=",,,0">
                  <w:txbxContent>
                    <w:p w:rsidR="00F975FE" w:rsidRPr="00704F86" w:rsidRDefault="00F975FE" w:rsidP="00072DD8">
                      <w:pPr>
                        <w:pStyle w:val="Titlepage"/>
                        <w:spacing w:after="0"/>
                        <w:rPr>
                          <w:b/>
                        </w:rPr>
                      </w:pPr>
                      <w:r>
                        <w:rPr>
                          <w:b/>
                        </w:rPr>
                        <w:t>Factors that drive RTO performance: an overview</w:t>
                      </w:r>
                    </w:p>
                    <w:p w:rsidR="00F975FE" w:rsidRPr="00753998" w:rsidRDefault="00F975FE" w:rsidP="00495934">
                      <w:pPr>
                        <w:pStyle w:val="Titlepage"/>
                        <w:spacing w:before="720" w:after="0"/>
                        <w:rPr>
                          <w:b/>
                          <w:color w:val="595959" w:themeColor="text1" w:themeTint="A6"/>
                          <w:sz w:val="27"/>
                          <w:szCs w:val="27"/>
                        </w:rPr>
                      </w:pPr>
                      <w:r>
                        <w:rPr>
                          <w:b/>
                          <w:color w:val="595959" w:themeColor="text1" w:themeTint="A6"/>
                          <w:sz w:val="27"/>
                          <w:szCs w:val="27"/>
                        </w:rPr>
                        <w:t>Josie Misko</w:t>
                      </w:r>
                    </w:p>
                    <w:p w:rsidR="00F975FE" w:rsidRDefault="00F975FE" w:rsidP="00495934">
                      <w:pPr>
                        <w:pStyle w:val="Titlepage"/>
                        <w:spacing w:after="0"/>
                        <w:rPr>
                          <w:color w:val="595959" w:themeColor="text1" w:themeTint="A6"/>
                          <w:sz w:val="27"/>
                          <w:szCs w:val="27"/>
                        </w:rPr>
                      </w:pPr>
                      <w:r>
                        <w:rPr>
                          <w:color w:val="595959" w:themeColor="text1" w:themeTint="A6"/>
                          <w:sz w:val="27"/>
                          <w:szCs w:val="27"/>
                        </w:rPr>
                        <w:t>N</w:t>
                      </w:r>
                      <w:r w:rsidR="00EC6DCF">
                        <w:rPr>
                          <w:color w:val="595959" w:themeColor="text1" w:themeTint="A6"/>
                          <w:sz w:val="27"/>
                          <w:szCs w:val="27"/>
                        </w:rPr>
                        <w:t xml:space="preserve">ational </w:t>
                      </w:r>
                      <w:r>
                        <w:rPr>
                          <w:color w:val="595959" w:themeColor="text1" w:themeTint="A6"/>
                          <w:sz w:val="27"/>
                          <w:szCs w:val="27"/>
                        </w:rPr>
                        <w:t>C</w:t>
                      </w:r>
                      <w:r w:rsidR="00EC6DCF">
                        <w:rPr>
                          <w:color w:val="595959" w:themeColor="text1" w:themeTint="A6"/>
                          <w:sz w:val="27"/>
                          <w:szCs w:val="27"/>
                        </w:rPr>
                        <w:t xml:space="preserve">entre for </w:t>
                      </w:r>
                      <w:r>
                        <w:rPr>
                          <w:color w:val="595959" w:themeColor="text1" w:themeTint="A6"/>
                          <w:sz w:val="27"/>
                          <w:szCs w:val="27"/>
                        </w:rPr>
                        <w:t>V</w:t>
                      </w:r>
                      <w:r w:rsidR="00EC6DCF">
                        <w:rPr>
                          <w:color w:val="595959" w:themeColor="text1" w:themeTint="A6"/>
                          <w:sz w:val="27"/>
                          <w:szCs w:val="27"/>
                        </w:rPr>
                        <w:t xml:space="preserve">ocational </w:t>
                      </w:r>
                      <w:r>
                        <w:rPr>
                          <w:color w:val="595959" w:themeColor="text1" w:themeTint="A6"/>
                          <w:sz w:val="27"/>
                          <w:szCs w:val="27"/>
                        </w:rPr>
                        <w:t>E</w:t>
                      </w:r>
                      <w:r w:rsidR="00EC6DCF">
                        <w:rPr>
                          <w:color w:val="595959" w:themeColor="text1" w:themeTint="A6"/>
                          <w:sz w:val="27"/>
                          <w:szCs w:val="27"/>
                        </w:rPr>
                        <w:t xml:space="preserve">ducation </w:t>
                      </w:r>
                      <w:r>
                        <w:rPr>
                          <w:color w:val="595959" w:themeColor="text1" w:themeTint="A6"/>
                          <w:sz w:val="27"/>
                          <w:szCs w:val="27"/>
                        </w:rPr>
                        <w:t>R</w:t>
                      </w:r>
                      <w:r w:rsidR="00EC6DCF">
                        <w:rPr>
                          <w:color w:val="595959" w:themeColor="text1" w:themeTint="A6"/>
                          <w:sz w:val="27"/>
                          <w:szCs w:val="27"/>
                        </w:rPr>
                        <w:t>esearch</w:t>
                      </w:r>
                    </w:p>
                    <w:p w:rsidR="00F975FE" w:rsidRPr="00FF39B1" w:rsidRDefault="00F975FE" w:rsidP="00FF39B1">
                      <w:pPr>
                        <w:pStyle w:val="Titlepagesubtitle"/>
                      </w:pPr>
                    </w:p>
                  </w:txbxContent>
                </v:textbox>
              </v:shape>
            </w:pict>
          </mc:Fallback>
        </mc:AlternateContent>
      </w:r>
      <w:r w:rsidR="00773ADB">
        <w:rPr>
          <w:noProof/>
          <w:lang w:eastAsia="en-AU"/>
        </w:rPr>
        <mc:AlternateContent>
          <mc:Choice Requires="wps">
            <w:drawing>
              <wp:anchor distT="0" distB="0" distL="114300" distR="114300" simplePos="0" relativeHeight="251699200" behindDoc="0" locked="0" layoutInCell="1" allowOverlap="1" wp14:anchorId="2D72B630" wp14:editId="24C42768">
                <wp:simplePos x="0" y="0"/>
                <wp:positionH relativeFrom="column">
                  <wp:posOffset>4662170</wp:posOffset>
                </wp:positionH>
                <wp:positionV relativeFrom="paragraph">
                  <wp:posOffset>-566420</wp:posOffset>
                </wp:positionV>
                <wp:extent cx="1743075" cy="279400"/>
                <wp:effectExtent l="0" t="0" r="9525" b="63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75FE" w:rsidRPr="0088361A" w:rsidRDefault="00F975FE" w:rsidP="00072DD8">
                            <w:pPr>
                              <w:jc w:val="center"/>
                              <w:rPr>
                                <w:rFonts w:ascii="Arial Bold" w:hAnsi="Arial Bold" w:cs="Arial"/>
                                <w:b/>
                                <w:color w:val="FFFFFF" w:themeColor="background1"/>
                                <w:sz w:val="24"/>
                                <w:szCs w:val="24"/>
                              </w:rPr>
                            </w:pPr>
                            <w:r>
                              <w:rPr>
                                <w:rFonts w:ascii="Arial Bold" w:hAnsi="Arial Bold" w:cs="Arial"/>
                                <w:b/>
                                <w:caps/>
                                <w:color w:val="FFFFFF" w:themeColor="background1"/>
                                <w:sz w:val="24"/>
                                <w:szCs w:val="24"/>
                              </w:rPr>
                              <w:t>SYNTHESIS REPORT TYPE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67.1pt;margin-top:-44.6pt;width:137.25pt;height: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" filled="f" stroked="f" strokeweight=".5pt">
                <v:path arrowok="t"/>
                <v:textbox inset="1mm,0,1mm,0">
                  <w:txbxContent>
                    <w:p w:rsidR="00F975FE" w:rsidRPr="0088361A" w:rsidRDefault="00F975FE" w:rsidP="00072DD8">
                      <w:pPr>
                        <w:jc w:val="center"/>
                        <w:rPr>
                          <w:rFonts w:ascii="Arial Bold" w:hAnsi="Arial Bold" w:cs="Arial"/>
                          <w:b/>
                          <w:color w:val="FFFFFF" w:themeColor="background1"/>
                          <w:sz w:val="24"/>
                          <w:szCs w:val="24"/>
                        </w:rPr>
                      </w:pPr>
                      <w:r>
                        <w:rPr>
                          <w:rFonts w:ascii="Arial Bold" w:hAnsi="Arial Bold" w:cs="Arial"/>
                          <w:b/>
                          <w:caps/>
                          <w:color w:val="FFFFFF" w:themeColor="background1"/>
                          <w:sz w:val="24"/>
                          <w:szCs w:val="24"/>
                        </w:rPr>
                        <w:t>SYNTHESIS REPORT TYPE</w:t>
                      </w:r>
                    </w:p>
                  </w:txbxContent>
                </v:textbox>
              </v:shape>
            </w:pict>
          </mc:Fallback>
        </mc:AlternateContent>
      </w:r>
      <w:r w:rsidR="00773ADB">
        <w:rPr>
          <w:noProof/>
          <w:lang w:eastAsia="en-AU"/>
        </w:rPr>
        <mc:AlternateContent>
          <mc:Choice Requires="wps">
            <w:drawing>
              <wp:anchor distT="4294967295" distB="4294967295" distL="114300" distR="114300" simplePos="0" relativeHeight="251701248" behindDoc="0" locked="0" layoutInCell="1" allowOverlap="1" wp14:anchorId="14287DB3" wp14:editId="706B095A">
                <wp:simplePos x="0" y="0"/>
                <wp:positionH relativeFrom="column">
                  <wp:posOffset>-582295</wp:posOffset>
                </wp:positionH>
                <wp:positionV relativeFrom="paragraph">
                  <wp:posOffset>2857500</wp:posOffset>
                </wp:positionV>
                <wp:extent cx="2115820" cy="0"/>
                <wp:effectExtent l="0" t="0" r="1778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582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225pt" to="120.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" strokecolor="black [3213]" strokeweight="1pt">
                <o:lock v:ext="edit" shapetype="f"/>
              </v:line>
            </w:pict>
          </mc:Fallback>
        </mc:AlternateContent>
      </w:r>
      <w:r w:rsidR="00072DD8">
        <w:rPr>
          <w:noProof/>
          <w:lang w:eastAsia="en-AU"/>
        </w:rPr>
        <w:drawing>
          <wp:anchor distT="0" distB="0" distL="114300" distR="114300" simplePos="0" relativeHeight="251703296" behindDoc="1" locked="0" layoutInCell="1" allowOverlap="1" wp14:anchorId="11289DB9" wp14:editId="5E37875D">
            <wp:simplePos x="0" y="0"/>
            <wp:positionH relativeFrom="column">
              <wp:posOffset>-909955</wp:posOffset>
            </wp:positionH>
            <wp:positionV relativeFrom="paragraph">
              <wp:posOffset>-757555</wp:posOffset>
            </wp:positionV>
            <wp:extent cx="7572375" cy="1447280"/>
            <wp:effectExtent l="0" t="0" r="0" b="635"/>
            <wp:wrapNone/>
            <wp:docPr id="22" name="Picture 22" descr="P:\PublicationComponents\logos\NCVER LOGOS\ColourBar\ColourTabsForResearchReports\ColourBar_Purple_RightTab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ColourBar\ColourTabsForResearchReports\ColourBar_Purple_RightTab_Resiz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2375" cy="1447280"/>
                    </a:xfrm>
                    <a:prstGeom prst="rect">
                      <a:avLst/>
                    </a:prstGeom>
                    <a:noFill/>
                    <a:ln>
                      <a:noFill/>
                    </a:ln>
                  </pic:spPr>
                </pic:pic>
              </a:graphicData>
            </a:graphic>
          </wp:anchor>
        </w:drawing>
      </w:r>
      <w:r w:rsidR="00072DD8">
        <w:rPr>
          <w:noProof/>
          <w:lang w:eastAsia="en-AU"/>
        </w:rPr>
        <w:drawing>
          <wp:anchor distT="0" distB="0" distL="114300" distR="114300" simplePos="0" relativeHeight="251702272" behindDoc="0" locked="0" layoutInCell="1" allowOverlap="1">
            <wp:simplePos x="0" y="0"/>
            <wp:positionH relativeFrom="column">
              <wp:posOffset>4613576</wp:posOffset>
            </wp:positionH>
            <wp:positionV relativeFrom="paragraph">
              <wp:posOffset>9396095</wp:posOffset>
            </wp:positionV>
            <wp:extent cx="1791669" cy="247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VER_Tagline.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669" cy="247650"/>
                    </a:xfrm>
                    <a:prstGeom prst="rect">
                      <a:avLst/>
                    </a:prstGeom>
                  </pic:spPr>
                </pic:pic>
              </a:graphicData>
            </a:graphic>
          </wp:anchor>
        </w:drawing>
      </w:r>
      <w:bookmarkEnd w:id="0"/>
      <w:bookmarkEnd w:id="1"/>
      <w:r w:rsidR="00072DD8">
        <w:br w:type="page"/>
      </w:r>
      <w:bookmarkEnd w:id="2"/>
    </w:p>
    <w:p w:rsidR="00072DD8" w:rsidRPr="005C2FCF" w:rsidRDefault="00072DD8" w:rsidP="00072DD8">
      <w:pPr>
        <w:pStyle w:val="Heading3"/>
        <w:ind w:right="-1"/>
      </w:pPr>
      <w:r w:rsidRPr="005C2FCF">
        <w:lastRenderedPageBreak/>
        <w:t>Publisher’s note</w:t>
      </w:r>
    </w:p>
    <w:p w:rsidR="00072DD8" w:rsidRDefault="00072DD8" w:rsidP="00072DD8">
      <w:pPr>
        <w:pStyle w:val="Imprint"/>
      </w:pPr>
      <w:r w:rsidRPr="007C667B">
        <w:t>The views and opinions expressed in this document are thos</w:t>
      </w:r>
      <w:r w:rsidRPr="00FE792E">
        <w:t xml:space="preserve">e of </w:t>
      </w:r>
      <w:r>
        <w:t xml:space="preserve">NCVER </w:t>
      </w:r>
      <w:r w:rsidRPr="00FE792E">
        <w:t xml:space="preserve">and do not necessarily reflect the views of the Australian Government, or state and territory </w:t>
      </w:r>
      <w:r>
        <w:t>governments</w:t>
      </w:r>
      <w:r w:rsidRPr="00FE792E">
        <w:t>. Any interpretation of data is the responsibility of the author/project team.</w:t>
      </w:r>
    </w:p>
    <w:p w:rsidR="00072DD8" w:rsidRDefault="00072DD8" w:rsidP="00072DD8">
      <w:pPr>
        <w:pStyle w:val="Imprint"/>
      </w:pPr>
    </w:p>
    <w:p w:rsidR="004F315F" w:rsidRDefault="004F315F" w:rsidP="00072DD8">
      <w:pPr>
        <w:pStyle w:val="Imprint"/>
      </w:pPr>
    </w:p>
    <w:p w:rsidR="004F315F" w:rsidRDefault="004F315F" w:rsidP="00072DD8">
      <w:pPr>
        <w:pStyle w:val="Imprint"/>
      </w:pPr>
    </w:p>
    <w:p w:rsidR="004F315F" w:rsidRDefault="004F315F" w:rsidP="00072DD8">
      <w:pPr>
        <w:pStyle w:val="Imprint"/>
      </w:pPr>
    </w:p>
    <w:p w:rsidR="004F315F" w:rsidRDefault="004F315F" w:rsidP="00072DD8">
      <w:pPr>
        <w:pStyle w:val="Imprint"/>
      </w:pPr>
    </w:p>
    <w:p w:rsidR="004F315F" w:rsidRPr="007C667B" w:rsidRDefault="004F315F" w:rsidP="00072DD8">
      <w:pPr>
        <w:pStyle w:val="Imprint"/>
      </w:pPr>
    </w:p>
    <w:p w:rsidR="00072DD8" w:rsidRDefault="00A85ABF" w:rsidP="00072DD8">
      <w:pPr>
        <w:sectPr w:rsidR="00072DD8" w:rsidSect="002F630A">
          <w:footerReference w:type="even" r:id="rId11"/>
          <w:footerReference w:type="default" r:id="rId12"/>
          <w:pgSz w:w="11907" w:h="16840" w:code="9"/>
          <w:pgMar w:top="1276" w:right="1701" w:bottom="1276" w:left="1418" w:header="709" w:footer="556" w:gutter="0"/>
          <w:cols w:space="708"/>
          <w:docGrid w:linePitch="360"/>
        </w:sectPr>
      </w:pPr>
      <w:r>
        <w:rPr>
          <w:noProof/>
          <w:lang w:eastAsia="en-AU"/>
        </w:rPr>
        <w:drawing>
          <wp:anchor distT="0" distB="0" distL="114300" distR="114300" simplePos="0" relativeHeight="251694080" behindDoc="0" locked="0" layoutInCell="1" allowOverlap="1" wp14:anchorId="1DD97BB8" wp14:editId="3B6BF9F7">
            <wp:simplePos x="0" y="0"/>
            <wp:positionH relativeFrom="column">
              <wp:posOffset>1809750</wp:posOffset>
            </wp:positionH>
            <wp:positionV relativeFrom="paragraph">
              <wp:posOffset>6506210</wp:posOffset>
            </wp:positionV>
            <wp:extent cx="139065" cy="152400"/>
            <wp:effectExtent l="0" t="0" r="0"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3" cstate="print">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93056" behindDoc="0" locked="0" layoutInCell="1" allowOverlap="1" wp14:anchorId="68FFF638" wp14:editId="3E95BCA1">
                <wp:simplePos x="0" y="0"/>
                <wp:positionH relativeFrom="column">
                  <wp:posOffset>-304800</wp:posOffset>
                </wp:positionH>
                <wp:positionV relativeFrom="paragraph">
                  <wp:posOffset>1556385</wp:posOffset>
                </wp:positionV>
                <wp:extent cx="5596890" cy="5153660"/>
                <wp:effectExtent l="0" t="0" r="3810" b="889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515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5FE" w:rsidRPr="00A021FC" w:rsidRDefault="00F975FE" w:rsidP="00072DD8">
                            <w:pPr>
                              <w:pStyle w:val="Imprint"/>
                              <w:rPr>
                                <w:b/>
                              </w:rPr>
                            </w:pPr>
                            <w:r w:rsidRPr="00A021FC">
                              <w:rPr>
                                <w:b/>
                              </w:rPr>
                              <w:t xml:space="preserve">© </w:t>
                            </w:r>
                            <w:r w:rsidRPr="005B00F5">
                              <w:rPr>
                                <w:b/>
                              </w:rPr>
                              <w:t>Commonwealth of Australia</w:t>
                            </w:r>
                            <w:r>
                              <w:rPr>
                                <w:b/>
                              </w:rPr>
                              <w:t>,</w:t>
                            </w:r>
                            <w:r w:rsidRPr="00A021FC">
                              <w:rPr>
                                <w:b/>
                              </w:rPr>
                              <w:t xml:space="preserve"> </w:t>
                            </w:r>
                            <w:r>
                              <w:rPr>
                                <w:b/>
                              </w:rPr>
                              <w:t>2017</w:t>
                            </w:r>
                          </w:p>
                          <w:p w:rsidR="00F975FE" w:rsidRDefault="00F975FE" w:rsidP="00072DD8">
                            <w:pPr>
                              <w:pStyle w:val="Imprint"/>
                              <w:rPr>
                                <w:sz w:val="20"/>
                              </w:rPr>
                            </w:pPr>
                            <w:r w:rsidRPr="00E80270">
                              <w:rPr>
                                <w:noProof/>
                                <w:sz w:val="20"/>
                                <w:lang w:eastAsia="en-AU"/>
                              </w:rPr>
                              <w:drawing>
                                <wp:inline distT="0" distB="0" distL="0" distR="0" wp14:anchorId="1BEE5E4B" wp14:editId="22A42675">
                                  <wp:extent cx="850265" cy="302895"/>
                                  <wp:effectExtent l="19050" t="0" r="6985" b="0"/>
                                  <wp:docPr id="9"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F975FE" w:rsidRDefault="00F975FE" w:rsidP="00072DD8">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F975FE" w:rsidRPr="001D321A" w:rsidRDefault="00F975FE" w:rsidP="00072DD8">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rsidR="00F975FE" w:rsidRDefault="00F975FE" w:rsidP="00072DD8">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rsidR="00F975FE" w:rsidRPr="00A021FC" w:rsidRDefault="00F975FE" w:rsidP="00072DD8">
                            <w:pPr>
                              <w:pStyle w:val="Imprint"/>
                            </w:pPr>
                            <w:r w:rsidRPr="00A021FC">
                              <w:t xml:space="preserve">This document should be attributed as </w:t>
                            </w:r>
                            <w:r>
                              <w:t xml:space="preserve">Misko, J 2017, </w:t>
                            </w:r>
                            <w:proofErr w:type="gramStart"/>
                            <w:r>
                              <w:rPr>
                                <w:i/>
                              </w:rPr>
                              <w:t>Factors</w:t>
                            </w:r>
                            <w:proofErr w:type="gramEnd"/>
                            <w:r>
                              <w:rPr>
                                <w:i/>
                              </w:rPr>
                              <w:t xml:space="preserve"> that drive RTO performance: an overview, </w:t>
                            </w:r>
                            <w:r w:rsidRPr="00A021FC">
                              <w:t>NCVER, Adelaide.</w:t>
                            </w:r>
                            <w:r>
                              <w:t xml:space="preserve"> </w:t>
                            </w:r>
                          </w:p>
                          <w:p w:rsidR="00F975FE" w:rsidRPr="001D321A" w:rsidRDefault="00F975FE" w:rsidP="00072DD8">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rsidR="00F975FE" w:rsidRPr="00C9777B" w:rsidRDefault="00F975FE" w:rsidP="00072DD8">
                            <w:pPr>
                              <w:pStyle w:val="Imprint"/>
                            </w:pPr>
                            <w:r>
                              <w:rPr>
                                <w:smallCaps/>
                              </w:rPr>
                              <w:t>COVER IMAGE: GETTY IMAGES/</w:t>
                            </w:r>
                            <w:proofErr w:type="spellStart"/>
                            <w:r>
                              <w:t>iStock</w:t>
                            </w:r>
                            <w:proofErr w:type="spellEnd"/>
                          </w:p>
                          <w:p w:rsidR="00F975FE" w:rsidRPr="005C2FCF" w:rsidRDefault="00F975FE" w:rsidP="00072DD8">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F975FE" w:rsidRPr="005C2FCF" w:rsidRDefault="00F975FE" w:rsidP="00072DD8">
                            <w:pPr>
                              <w:pStyle w:val="Imprint"/>
                              <w:spacing w:before="80"/>
                              <w:rPr>
                                <w:color w:val="000000"/>
                              </w:rPr>
                            </w:pPr>
                            <w:r>
                              <w:rPr>
                                <w:color w:val="000000"/>
                              </w:rPr>
                              <w:t xml:space="preserve">Level 5, 60 Light Square, Adelaide </w:t>
                            </w:r>
                            <w:r w:rsidRPr="005C2FCF">
                              <w:rPr>
                                <w:color w:val="000000"/>
                              </w:rPr>
                              <w:t>SA 5000</w:t>
                            </w:r>
                            <w:r w:rsidRPr="005C2FCF">
                              <w:rPr>
                                <w:color w:val="000000"/>
                              </w:rPr>
                              <w:br/>
                              <w:t>PO Box 8288 Station Arcade, Adelaide SA 5000, Australia</w:t>
                            </w:r>
                          </w:p>
                          <w:p w:rsidR="00F975FE" w:rsidRPr="002C3573" w:rsidRDefault="00F975FE" w:rsidP="00072DD8">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2C3573">
                              <w:rPr>
                                <w:b/>
                              </w:rPr>
                              <w:t>Email</w:t>
                            </w:r>
                            <w:r w:rsidRPr="002C3573">
                              <w:t xml:space="preserve"> </w:t>
                            </w:r>
                            <w:hyperlink r:id="rId15" w:history="1">
                              <w:r w:rsidRPr="004B031A">
                                <w:rPr>
                                  <w:rStyle w:val="Hyperlink"/>
                                  <w:sz w:val="16"/>
                                  <w:szCs w:val="16"/>
                                </w:rPr>
                                <w:t>ncver@ncver.edu.au</w:t>
                              </w:r>
                            </w:hyperlink>
                            <w:r w:rsidRPr="002C3573">
                              <w:t xml:space="preserve">    </w:t>
                            </w:r>
                            <w:r>
                              <w:br/>
                            </w:r>
                            <w:r w:rsidRPr="002C3573">
                              <w:rPr>
                                <w:b/>
                              </w:rPr>
                              <w:t>Web</w:t>
                            </w:r>
                            <w:r w:rsidRPr="002C3573">
                              <w:t xml:space="preserve"> &lt;http</w:t>
                            </w:r>
                            <w:r>
                              <w:t>s</w:t>
                            </w:r>
                            <w:r w:rsidRPr="002C3573">
                              <w:t>://www.ncver.edu.au</w:t>
                            </w:r>
                            <w:proofErr w:type="gramStart"/>
                            <w:r w:rsidRPr="002C3573">
                              <w:t>&gt;  &lt;</w:t>
                            </w:r>
                            <w:proofErr w:type="gramEnd"/>
                            <w:r w:rsidR="008672BE">
                              <w:fldChar w:fldCharType="begin"/>
                            </w:r>
                            <w:r w:rsidR="008672BE">
                              <w:instrText xml:space="preserve"> HYPERLINK "http://www.lsay.edu.au" </w:instrText>
                            </w:r>
                            <w:r w:rsidR="008672BE">
                              <w:fldChar w:fldCharType="separate"/>
                            </w:r>
                            <w:r w:rsidRPr="004B031A">
                              <w:rPr>
                                <w:rStyle w:val="Hyperlink"/>
                                <w:sz w:val="16"/>
                                <w:szCs w:val="16"/>
                              </w:rPr>
                              <w:t>http://www.lsay.edu.au</w:t>
                            </w:r>
                            <w:r w:rsidR="008672BE">
                              <w:rPr>
                                <w:rStyle w:val="Hyperlink"/>
                                <w:sz w:val="16"/>
                                <w:szCs w:val="16"/>
                              </w:rPr>
                              <w:fldChar w:fldCharType="end"/>
                            </w:r>
                            <w:r w:rsidRPr="002C3573">
                              <w:t>&gt;</w:t>
                            </w:r>
                          </w:p>
                          <w:p w:rsidR="00F975FE" w:rsidRPr="00D212FA" w:rsidRDefault="00F975FE" w:rsidP="00072DD8">
                            <w:pPr>
                              <w:pStyle w:val="Imprint"/>
                              <w:tabs>
                                <w:tab w:val="left" w:pos="993"/>
                                <w:tab w:val="left" w:pos="3686"/>
                              </w:tabs>
                              <w:spacing w:before="0"/>
                            </w:pPr>
                            <w:r w:rsidRPr="00E65C3B">
                              <w:rPr>
                                <w:b/>
                              </w:rPr>
                              <w:t>Follow us:</w:t>
                            </w:r>
                            <w:r>
                              <w:t xml:space="preserve"> </w:t>
                            </w:r>
                            <w:r>
                              <w:tab/>
                              <w:t xml:space="preserve">   &lt;https://twitter.com/ncver&gt;</w:t>
                            </w:r>
                            <w:r>
                              <w:tab/>
                              <w:t>&lt;https://www.linkedin.com/company/ncver&gt;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4pt;margin-top:122.55pt;width:440.7pt;height:40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" filled="f" stroked="f">
                <v:textbox inset="0,,0">
                  <w:txbxContent>
                    <w:p w:rsidR="00F975FE" w:rsidRPr="00A021FC" w:rsidRDefault="00F975FE" w:rsidP="00072DD8">
                      <w:pPr>
                        <w:pStyle w:val="Imprint"/>
                        <w:rPr>
                          <w:b/>
                        </w:rPr>
                      </w:pPr>
                      <w:r w:rsidRPr="00A021FC">
                        <w:rPr>
                          <w:b/>
                        </w:rPr>
                        <w:t xml:space="preserve">© </w:t>
                      </w:r>
                      <w:r w:rsidRPr="005B00F5">
                        <w:rPr>
                          <w:b/>
                        </w:rPr>
                        <w:t>Commonwealth of Australia</w:t>
                      </w:r>
                      <w:r>
                        <w:rPr>
                          <w:b/>
                        </w:rPr>
                        <w:t>,</w:t>
                      </w:r>
                      <w:r w:rsidRPr="00A021FC">
                        <w:rPr>
                          <w:b/>
                        </w:rPr>
                        <w:t xml:space="preserve"> </w:t>
                      </w:r>
                      <w:r>
                        <w:rPr>
                          <w:b/>
                        </w:rPr>
                        <w:t>2017</w:t>
                      </w:r>
                    </w:p>
                    <w:p w:rsidR="00F975FE" w:rsidRDefault="00F975FE" w:rsidP="00072DD8">
                      <w:pPr>
                        <w:pStyle w:val="Imprint"/>
                        <w:rPr>
                          <w:sz w:val="20"/>
                        </w:rPr>
                      </w:pPr>
                      <w:r w:rsidRPr="00E80270">
                        <w:rPr>
                          <w:noProof/>
                          <w:sz w:val="20"/>
                          <w:lang w:eastAsia="en-AU"/>
                        </w:rPr>
                        <w:drawing>
                          <wp:inline distT="0" distB="0" distL="0" distR="0" wp14:anchorId="1BEE5E4B" wp14:editId="22A42675">
                            <wp:extent cx="850265" cy="302895"/>
                            <wp:effectExtent l="19050" t="0" r="6985" b="0"/>
                            <wp:docPr id="9"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7"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F975FE" w:rsidRDefault="00F975FE" w:rsidP="00072DD8">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F975FE" w:rsidRPr="001D321A" w:rsidRDefault="00F975FE" w:rsidP="00072DD8">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rsidR="00F975FE" w:rsidRDefault="00F975FE" w:rsidP="00072DD8">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rsidR="00F975FE" w:rsidRPr="00A021FC" w:rsidRDefault="00F975FE" w:rsidP="00072DD8">
                      <w:pPr>
                        <w:pStyle w:val="Imprint"/>
                      </w:pPr>
                      <w:r w:rsidRPr="00A021FC">
                        <w:t xml:space="preserve">This document should be attributed as </w:t>
                      </w:r>
                      <w:r>
                        <w:t xml:space="preserve">Misko, J 2017, </w:t>
                      </w:r>
                      <w:r>
                        <w:rPr>
                          <w:i/>
                        </w:rPr>
                        <w:t xml:space="preserve">Factors that drive RTO performance: an overview, </w:t>
                      </w:r>
                      <w:r w:rsidRPr="00A021FC">
                        <w:t>NCVER, Adelaide.</w:t>
                      </w:r>
                      <w:r>
                        <w:t xml:space="preserve"> </w:t>
                      </w:r>
                    </w:p>
                    <w:p w:rsidR="00F975FE" w:rsidRPr="001D321A" w:rsidRDefault="00F975FE" w:rsidP="00072DD8">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rsidR="00F975FE" w:rsidRPr="00C9777B" w:rsidRDefault="00F975FE" w:rsidP="00072DD8">
                      <w:pPr>
                        <w:pStyle w:val="Imprint"/>
                      </w:pPr>
                      <w:r>
                        <w:rPr>
                          <w:smallCaps/>
                        </w:rPr>
                        <w:t>COVER IMAGE: GETTY IMAGES/</w:t>
                      </w:r>
                      <w:r>
                        <w:t>iStock</w:t>
                      </w:r>
                    </w:p>
                    <w:p w:rsidR="00F975FE" w:rsidRPr="005C2FCF" w:rsidRDefault="00F975FE" w:rsidP="00072DD8">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F975FE" w:rsidRPr="005C2FCF" w:rsidRDefault="00F975FE" w:rsidP="00072DD8">
                      <w:pPr>
                        <w:pStyle w:val="Imprint"/>
                        <w:spacing w:before="80"/>
                        <w:rPr>
                          <w:color w:val="000000"/>
                        </w:rPr>
                      </w:pPr>
                      <w:r>
                        <w:rPr>
                          <w:color w:val="000000"/>
                        </w:rPr>
                        <w:t xml:space="preserve">Level 5, 60 Light Square, Adelaide </w:t>
                      </w:r>
                      <w:r w:rsidRPr="005C2FCF">
                        <w:rPr>
                          <w:color w:val="000000"/>
                        </w:rPr>
                        <w:t>SA 5000</w:t>
                      </w:r>
                      <w:r w:rsidRPr="005C2FCF">
                        <w:rPr>
                          <w:color w:val="000000"/>
                        </w:rPr>
                        <w:br/>
                        <w:t>PO Box 8288 Station Arcade, Adelaide SA 5000, Australia</w:t>
                      </w:r>
                    </w:p>
                    <w:p w:rsidR="00F975FE" w:rsidRPr="002C3573" w:rsidRDefault="00F975FE" w:rsidP="00072DD8">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2C3573">
                        <w:rPr>
                          <w:b/>
                        </w:rPr>
                        <w:t>Email</w:t>
                      </w:r>
                      <w:r w:rsidRPr="002C3573">
                        <w:t xml:space="preserve"> </w:t>
                      </w:r>
                      <w:hyperlink r:id="rId18" w:history="1">
                        <w:r w:rsidRPr="004B031A">
                          <w:rPr>
                            <w:rStyle w:val="Hyperlink"/>
                            <w:sz w:val="16"/>
                            <w:szCs w:val="16"/>
                          </w:rPr>
                          <w:t>ncver@ncver.edu.au</w:t>
                        </w:r>
                      </w:hyperlink>
                      <w:r w:rsidRPr="002C3573">
                        <w:t xml:space="preserve">    </w:t>
                      </w:r>
                      <w:r>
                        <w:br/>
                      </w:r>
                      <w:r w:rsidRPr="002C3573">
                        <w:rPr>
                          <w:b/>
                        </w:rPr>
                        <w:t>Web</w:t>
                      </w:r>
                      <w:r w:rsidRPr="002C3573">
                        <w:t xml:space="preserve"> &lt;http</w:t>
                      </w:r>
                      <w:r>
                        <w:t>s</w:t>
                      </w:r>
                      <w:r w:rsidRPr="002C3573">
                        <w:t>://www.ncver.edu.au</w:t>
                      </w:r>
                      <w:proofErr w:type="gramStart"/>
                      <w:r w:rsidRPr="002C3573">
                        <w:t>&gt;  &lt;</w:t>
                      </w:r>
                      <w:proofErr w:type="gramEnd"/>
                      <w:hyperlink r:id="rId19" w:history="1">
                        <w:r w:rsidRPr="004B031A">
                          <w:rPr>
                            <w:rStyle w:val="Hyperlink"/>
                            <w:sz w:val="16"/>
                            <w:szCs w:val="16"/>
                          </w:rPr>
                          <w:t>http://www.lsay.edu.au</w:t>
                        </w:r>
                      </w:hyperlink>
                      <w:r w:rsidRPr="002C3573">
                        <w:t>&gt;</w:t>
                      </w:r>
                    </w:p>
                    <w:p w:rsidR="00F975FE" w:rsidRPr="00D212FA" w:rsidRDefault="00F975FE" w:rsidP="00072DD8">
                      <w:pPr>
                        <w:pStyle w:val="Imprint"/>
                        <w:tabs>
                          <w:tab w:val="left" w:pos="993"/>
                          <w:tab w:val="left" w:pos="3686"/>
                        </w:tabs>
                        <w:spacing w:before="0"/>
                      </w:pPr>
                      <w:r w:rsidRPr="00E65C3B">
                        <w:rPr>
                          <w:b/>
                        </w:rPr>
                        <w:t>Follow us:</w:t>
                      </w:r>
                      <w:r>
                        <w:t xml:space="preserve"> </w:t>
                      </w:r>
                      <w:r>
                        <w:tab/>
                        <w:t xml:space="preserve">   &lt;https://twitter.com/ncver&gt;</w:t>
                      </w:r>
                      <w:r>
                        <w:tab/>
                        <w:t>&lt;https://www.linkedin.com/company/ncver&gt;</w:t>
                      </w:r>
                    </w:p>
                  </w:txbxContent>
                </v:textbox>
              </v:shape>
            </w:pict>
          </mc:Fallback>
        </mc:AlternateContent>
      </w:r>
      <w:r>
        <w:rPr>
          <w:noProof/>
          <w:lang w:eastAsia="en-AU"/>
        </w:rPr>
        <w:drawing>
          <wp:anchor distT="0" distB="0" distL="114300" distR="114300" simplePos="0" relativeHeight="251695104" behindDoc="0" locked="0" layoutInCell="1" allowOverlap="1" wp14:anchorId="343AD62B" wp14:editId="5036FFCB">
            <wp:simplePos x="0" y="0"/>
            <wp:positionH relativeFrom="column">
              <wp:posOffset>240030</wp:posOffset>
            </wp:positionH>
            <wp:positionV relativeFrom="paragraph">
              <wp:posOffset>6506210</wp:posOffset>
            </wp:positionV>
            <wp:extent cx="141605" cy="152400"/>
            <wp:effectExtent l="0" t="0" r="0" b="0"/>
            <wp:wrapNone/>
            <wp:docPr id="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00072DD8" w:rsidRPr="005C2FCF">
        <w:br w:type="page"/>
      </w:r>
    </w:p>
    <w:p w:rsidR="00E86817" w:rsidRDefault="00072DD8" w:rsidP="00A85ABF">
      <w:pPr>
        <w:pStyle w:val="Contents"/>
        <w:spacing w:after="600"/>
        <w:rPr>
          <w:noProof/>
        </w:rPr>
      </w:pPr>
      <w:r w:rsidRPr="00BE5DCB">
        <w:lastRenderedPageBreak/>
        <w:t>Contents</w:t>
      </w:r>
      <w:r w:rsidR="00272EB9">
        <w:rPr>
          <w:rFonts w:ascii="Avant Garde" w:hAnsi="Avant Garde" w:cs="Times New Roman"/>
          <w:sz w:val="19"/>
        </w:rPr>
        <w:fldChar w:fldCharType="begin"/>
      </w:r>
      <w:r>
        <w:rPr>
          <w:rFonts w:ascii="Avant Garde" w:hAnsi="Avant Garde"/>
        </w:rPr>
        <w:instrText xml:space="preserve"> TOC \t "Heading 1,1,Heading 2,2" </w:instrText>
      </w:r>
      <w:r w:rsidR="00272EB9">
        <w:rPr>
          <w:rFonts w:ascii="Avant Garde" w:hAnsi="Avant Garde" w:cs="Times New Roman"/>
          <w:sz w:val="19"/>
        </w:rPr>
        <w:fldChar w:fldCharType="separate"/>
      </w:r>
    </w:p>
    <w:p w:rsidR="00E86817" w:rsidRDefault="00E86817">
      <w:pPr>
        <w:pStyle w:val="TOC1"/>
        <w:rPr>
          <w:rFonts w:asciiTheme="minorHAnsi" w:eastAsiaTheme="minorEastAsia" w:hAnsiTheme="minorHAnsi" w:cstheme="minorBidi"/>
          <w:color w:val="auto"/>
          <w:sz w:val="22"/>
          <w:szCs w:val="22"/>
          <w:lang w:eastAsia="en-AU"/>
        </w:rPr>
      </w:pPr>
      <w:r>
        <w:t>Factors that drive RTO performance:  an overview</w:t>
      </w:r>
      <w:r>
        <w:tab/>
      </w:r>
      <w:r>
        <w:fldChar w:fldCharType="begin"/>
      </w:r>
      <w:r>
        <w:instrText xml:space="preserve"> PAGEREF _Toc499032414 \h </w:instrText>
      </w:r>
      <w:r>
        <w:fldChar w:fldCharType="separate"/>
      </w:r>
      <w:r>
        <w:t>5</w:t>
      </w:r>
      <w:r>
        <w:fldChar w:fldCharType="end"/>
      </w:r>
    </w:p>
    <w:p w:rsidR="00E86817" w:rsidRDefault="00E86817">
      <w:pPr>
        <w:pStyle w:val="TOC2"/>
        <w:rPr>
          <w:rFonts w:asciiTheme="minorHAnsi" w:eastAsiaTheme="minorEastAsia" w:hAnsiTheme="minorHAnsi" w:cstheme="minorBidi"/>
          <w:color w:val="auto"/>
          <w:sz w:val="22"/>
          <w:szCs w:val="22"/>
          <w:lang w:eastAsia="en-AU"/>
        </w:rPr>
      </w:pPr>
      <w:r>
        <w:t>Why are we interested in drivers of RTO performance?</w:t>
      </w:r>
      <w:r>
        <w:tab/>
      </w:r>
      <w:r>
        <w:fldChar w:fldCharType="begin"/>
      </w:r>
      <w:r>
        <w:instrText xml:space="preserve"> PAGEREF _Toc499032415 \h </w:instrText>
      </w:r>
      <w:r>
        <w:fldChar w:fldCharType="separate"/>
      </w:r>
      <w:r>
        <w:t>5</w:t>
      </w:r>
      <w:r>
        <w:fldChar w:fldCharType="end"/>
      </w:r>
    </w:p>
    <w:p w:rsidR="00E86817" w:rsidRDefault="00E86817">
      <w:pPr>
        <w:pStyle w:val="TOC2"/>
        <w:rPr>
          <w:rFonts w:asciiTheme="minorHAnsi" w:eastAsiaTheme="minorEastAsia" w:hAnsiTheme="minorHAnsi" w:cstheme="minorBidi"/>
          <w:color w:val="auto"/>
          <w:sz w:val="22"/>
          <w:szCs w:val="22"/>
          <w:lang w:eastAsia="en-AU"/>
        </w:rPr>
      </w:pPr>
      <w:r>
        <w:t>High performance organisations and frameworks</w:t>
      </w:r>
      <w:r>
        <w:tab/>
      </w:r>
      <w:r>
        <w:fldChar w:fldCharType="begin"/>
      </w:r>
      <w:r>
        <w:instrText xml:space="preserve"> PAGEREF _Toc499032416 \h </w:instrText>
      </w:r>
      <w:r>
        <w:fldChar w:fldCharType="separate"/>
      </w:r>
      <w:r>
        <w:t>5</w:t>
      </w:r>
      <w:r>
        <w:fldChar w:fldCharType="end"/>
      </w:r>
    </w:p>
    <w:p w:rsidR="00E86817" w:rsidRDefault="00E86817">
      <w:pPr>
        <w:pStyle w:val="TOC2"/>
        <w:rPr>
          <w:rFonts w:asciiTheme="minorHAnsi" w:eastAsiaTheme="minorEastAsia" w:hAnsiTheme="minorHAnsi" w:cstheme="minorBidi"/>
          <w:color w:val="auto"/>
          <w:sz w:val="22"/>
          <w:szCs w:val="22"/>
          <w:lang w:eastAsia="en-AU"/>
        </w:rPr>
      </w:pPr>
      <w:r>
        <w:t>Effectiveness and efficiency: indicators of performance</w:t>
      </w:r>
      <w:r>
        <w:tab/>
      </w:r>
      <w:r>
        <w:fldChar w:fldCharType="begin"/>
      </w:r>
      <w:r>
        <w:instrText xml:space="preserve"> PAGEREF _Toc499032417 \h </w:instrText>
      </w:r>
      <w:r>
        <w:fldChar w:fldCharType="separate"/>
      </w:r>
      <w:r>
        <w:t>6</w:t>
      </w:r>
      <w:r>
        <w:fldChar w:fldCharType="end"/>
      </w:r>
    </w:p>
    <w:p w:rsidR="00E86817" w:rsidRDefault="00E86817">
      <w:pPr>
        <w:pStyle w:val="TOC2"/>
        <w:rPr>
          <w:rFonts w:asciiTheme="minorHAnsi" w:eastAsiaTheme="minorEastAsia" w:hAnsiTheme="minorHAnsi" w:cstheme="minorBidi"/>
          <w:color w:val="auto"/>
          <w:sz w:val="22"/>
          <w:szCs w:val="22"/>
          <w:lang w:eastAsia="en-AU"/>
        </w:rPr>
      </w:pPr>
      <w:r>
        <w:t>International approaches</w:t>
      </w:r>
      <w:r>
        <w:tab/>
      </w:r>
      <w:r>
        <w:fldChar w:fldCharType="begin"/>
      </w:r>
      <w:r>
        <w:instrText xml:space="preserve"> PAGEREF _Toc499032418 \h </w:instrText>
      </w:r>
      <w:r>
        <w:fldChar w:fldCharType="separate"/>
      </w:r>
      <w:r>
        <w:t>11</w:t>
      </w:r>
      <w:r>
        <w:fldChar w:fldCharType="end"/>
      </w:r>
    </w:p>
    <w:p w:rsidR="00E86817" w:rsidRDefault="00E86817">
      <w:pPr>
        <w:pStyle w:val="TOC1"/>
        <w:rPr>
          <w:rFonts w:asciiTheme="minorHAnsi" w:eastAsiaTheme="minorEastAsia" w:hAnsiTheme="minorHAnsi" w:cstheme="minorBidi"/>
          <w:color w:val="auto"/>
          <w:sz w:val="22"/>
          <w:szCs w:val="22"/>
          <w:lang w:eastAsia="en-AU"/>
        </w:rPr>
      </w:pPr>
      <w:r>
        <w:t>Implications for further research</w:t>
      </w:r>
      <w:r>
        <w:tab/>
      </w:r>
      <w:r>
        <w:fldChar w:fldCharType="begin"/>
      </w:r>
      <w:r>
        <w:instrText xml:space="preserve"> PAGEREF _Toc499032419 \h </w:instrText>
      </w:r>
      <w:r>
        <w:fldChar w:fldCharType="separate"/>
      </w:r>
      <w:r>
        <w:t>18</w:t>
      </w:r>
      <w:r>
        <w:fldChar w:fldCharType="end"/>
      </w:r>
    </w:p>
    <w:p w:rsidR="00E86817" w:rsidRDefault="00E86817">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_Toc499032420 \h </w:instrText>
      </w:r>
      <w:r>
        <w:fldChar w:fldCharType="separate"/>
      </w:r>
      <w:r>
        <w:t>19</w:t>
      </w:r>
      <w:r>
        <w:fldChar w:fldCharType="end"/>
      </w:r>
    </w:p>
    <w:p w:rsidR="00E86817" w:rsidRDefault="00E86817">
      <w:pPr>
        <w:pStyle w:val="TOC1"/>
        <w:rPr>
          <w:rFonts w:asciiTheme="minorHAnsi" w:eastAsiaTheme="minorEastAsia" w:hAnsiTheme="minorHAnsi" w:cstheme="minorBidi"/>
          <w:color w:val="auto"/>
          <w:sz w:val="22"/>
          <w:szCs w:val="22"/>
          <w:lang w:eastAsia="en-AU"/>
        </w:rPr>
      </w:pPr>
      <w:r>
        <w:t>Appendix A: The United Kingdom Common Inspection Framework</w:t>
      </w:r>
      <w:r>
        <w:tab/>
      </w:r>
      <w:r>
        <w:fldChar w:fldCharType="begin"/>
      </w:r>
      <w:r>
        <w:instrText xml:space="preserve"> PAGEREF _Toc499032421 \h </w:instrText>
      </w:r>
      <w:r>
        <w:fldChar w:fldCharType="separate"/>
      </w:r>
      <w:r>
        <w:t>21</w:t>
      </w:r>
      <w:r>
        <w:fldChar w:fldCharType="end"/>
      </w:r>
    </w:p>
    <w:p w:rsidR="00072DD8" w:rsidRDefault="00272EB9" w:rsidP="00072DD8">
      <w:pPr>
        <w:pStyle w:val="Heading2"/>
      </w:pPr>
      <w:r>
        <w:rPr>
          <w:rFonts w:ascii="Avant Garde" w:hAnsi="Avant Garde"/>
          <w:noProof/>
          <w:color w:val="000000"/>
          <w:szCs w:val="19"/>
        </w:rPr>
        <w:fldChar w:fldCharType="end"/>
      </w:r>
      <w:bookmarkStart w:id="7" w:name="_Toc296497516"/>
      <w:bookmarkStart w:id="8" w:name="_Toc298162801"/>
      <w:bookmarkStart w:id="9" w:name="_Toc316371580"/>
      <w:bookmarkStart w:id="10" w:name="_Toc421789468"/>
      <w:r w:rsidR="00072DD8" w:rsidRPr="00072DD8">
        <w:t xml:space="preserve"> </w:t>
      </w:r>
      <w:bookmarkEnd w:id="7"/>
      <w:bookmarkEnd w:id="8"/>
      <w:bookmarkEnd w:id="9"/>
      <w:bookmarkEnd w:id="10"/>
    </w:p>
    <w:p w:rsidR="00072DD8" w:rsidRDefault="00272EB9" w:rsidP="00072DD8">
      <w:pPr>
        <w:pStyle w:val="Text"/>
        <w:rPr>
          <w:b/>
        </w:rPr>
      </w:pPr>
      <w:r>
        <w:rPr>
          <w:noProof/>
          <w:color w:val="000000"/>
          <w:szCs w:val="19"/>
        </w:rPr>
        <w:fldChar w:fldCharType="begin"/>
      </w:r>
      <w:r w:rsidR="00072DD8">
        <w:instrText xml:space="preserve"> TOC \f F \t "tabletitle" \c </w:instrText>
      </w:r>
      <w:r>
        <w:rPr>
          <w:noProof/>
          <w:color w:val="000000"/>
          <w:szCs w:val="19"/>
        </w:rPr>
        <w:fldChar w:fldCharType="end"/>
      </w:r>
    </w:p>
    <w:p w:rsidR="00EB0AD7" w:rsidRPr="00DA7709" w:rsidRDefault="00EB0AD7" w:rsidP="00A166CA">
      <w:pPr>
        <w:pStyle w:val="Titlepage"/>
        <w:sectPr w:rsidR="00EB0AD7" w:rsidRPr="00DA7709" w:rsidSect="006725AB">
          <w:headerReference w:type="default" r:id="rId21"/>
          <w:footerReference w:type="even" r:id="rId22"/>
          <w:footerReference w:type="default" r:id="rId23"/>
          <w:pgSz w:w="11907" w:h="16840" w:code="9"/>
          <w:pgMar w:top="1418" w:right="1701" w:bottom="1134" w:left="1418" w:header="709" w:footer="556" w:gutter="0"/>
          <w:cols w:space="708"/>
          <w:docGrid w:linePitch="360"/>
        </w:sectPr>
      </w:pPr>
    </w:p>
    <w:p w:rsidR="00C83D73" w:rsidRDefault="00C83D73" w:rsidP="00914715">
      <w:pPr>
        <w:sectPr w:rsidR="00C83D73" w:rsidSect="006725AB">
          <w:footerReference w:type="even" r:id="rId24"/>
          <w:footerReference w:type="default" r:id="rId25"/>
          <w:pgSz w:w="11907" w:h="16840" w:code="9"/>
          <w:pgMar w:top="1276" w:right="1701" w:bottom="1276" w:left="1418" w:header="709" w:footer="556" w:gutter="0"/>
          <w:cols w:space="708"/>
          <w:docGrid w:linePitch="360"/>
        </w:sectPr>
      </w:pPr>
      <w:bookmarkStart w:id="11" w:name="_Toc98394880"/>
      <w:bookmarkStart w:id="12" w:name="_Toc296423683"/>
      <w:bookmarkStart w:id="13" w:name="_Toc296497514"/>
    </w:p>
    <w:bookmarkEnd w:id="11"/>
    <w:bookmarkEnd w:id="12"/>
    <w:bookmarkEnd w:id="13"/>
    <w:p w:rsidR="00EB0AD7" w:rsidRDefault="00EB0AD7" w:rsidP="00B963CC">
      <w:pPr>
        <w:pStyle w:val="Text"/>
      </w:pPr>
    </w:p>
    <w:p w:rsidR="00F94D72" w:rsidRDefault="00F94D72">
      <w:pPr>
        <w:spacing w:before="0" w:line="240" w:lineRule="auto"/>
      </w:pPr>
      <w:r>
        <w:br w:type="page"/>
      </w:r>
      <w:bookmarkStart w:id="14" w:name="_GoBack"/>
      <w:bookmarkEnd w:id="14"/>
    </w:p>
    <w:p w:rsidR="002E0551" w:rsidRPr="00CA0F36" w:rsidRDefault="002E0551" w:rsidP="00CA0F36">
      <w:pPr>
        <w:pStyle w:val="Heading1"/>
      </w:pPr>
      <w:bookmarkStart w:id="15" w:name="_Toc491860726"/>
      <w:bookmarkStart w:id="16" w:name="_Toc416344481"/>
      <w:bookmarkStart w:id="17" w:name="_Toc402786555"/>
      <w:bookmarkStart w:id="18" w:name="_Toc401914082"/>
      <w:bookmarkStart w:id="19" w:name="_Toc499032414"/>
      <w:r w:rsidRPr="00CA0F36">
        <w:lastRenderedPageBreak/>
        <w:t xml:space="preserve">Factors </w:t>
      </w:r>
      <w:r w:rsidR="006F418C">
        <w:t xml:space="preserve">that </w:t>
      </w:r>
      <w:r w:rsidRPr="00CA0F36">
        <w:t>driv</w:t>
      </w:r>
      <w:r w:rsidR="006F418C">
        <w:t>e</w:t>
      </w:r>
      <w:r w:rsidRPr="00CA0F36">
        <w:t xml:space="preserve"> RTO </w:t>
      </w:r>
      <w:r w:rsidR="006F418C">
        <w:t>p</w:t>
      </w:r>
      <w:r w:rsidRPr="00CA0F36">
        <w:t>erformance</w:t>
      </w:r>
      <w:r w:rsidR="00F94D72">
        <w:t xml:space="preserve">: </w:t>
      </w:r>
      <w:r w:rsidR="00A85ABF">
        <w:br/>
      </w:r>
      <w:r w:rsidR="00F94D72">
        <w:t>a</w:t>
      </w:r>
      <w:r w:rsidR="00DC4BD9">
        <w:t>n</w:t>
      </w:r>
      <w:r w:rsidR="00F94D72">
        <w:t xml:space="preserve"> </w:t>
      </w:r>
      <w:r w:rsidR="003D1250">
        <w:t>overview</w:t>
      </w:r>
      <w:bookmarkEnd w:id="15"/>
      <w:bookmarkEnd w:id="19"/>
    </w:p>
    <w:p w:rsidR="006725AB" w:rsidRDefault="00250A16" w:rsidP="00CA0F36">
      <w:pPr>
        <w:pStyle w:val="Text"/>
      </w:pPr>
      <w:r>
        <w:t xml:space="preserve">In this paper we provide an overview of recent research on </w:t>
      </w:r>
      <w:r w:rsidR="000D7B02">
        <w:t xml:space="preserve">the </w:t>
      </w:r>
      <w:r>
        <w:t xml:space="preserve">factors </w:t>
      </w:r>
      <w:r w:rsidR="009B7481">
        <w:t xml:space="preserve">that </w:t>
      </w:r>
      <w:r>
        <w:t xml:space="preserve">drive the performance of </w:t>
      </w:r>
      <w:r w:rsidR="0012457E">
        <w:t>registered training organisations (</w:t>
      </w:r>
      <w:r>
        <w:t>RTOs</w:t>
      </w:r>
      <w:r w:rsidR="0012457E">
        <w:t>)</w:t>
      </w:r>
      <w:r w:rsidR="000D7B02">
        <w:t>,</w:t>
      </w:r>
      <w:r>
        <w:t xml:space="preserve"> with a view to </w:t>
      </w:r>
      <w:r w:rsidR="000E239D">
        <w:t>identifying</w:t>
      </w:r>
      <w:r w:rsidR="002C1DE5">
        <w:t xml:space="preserve"> areas for future research</w:t>
      </w:r>
      <w:r w:rsidR="00527939">
        <w:t>.</w:t>
      </w:r>
      <w:r w:rsidR="00187424">
        <w:t xml:space="preserve"> </w:t>
      </w:r>
      <w:r>
        <w:t xml:space="preserve"> </w:t>
      </w:r>
    </w:p>
    <w:p w:rsidR="006B3904" w:rsidRDefault="006B3904" w:rsidP="00CA0F36">
      <w:pPr>
        <w:pStyle w:val="Text"/>
      </w:pPr>
      <w:r>
        <w:t xml:space="preserve">This is a companion piece to another </w:t>
      </w:r>
      <w:r w:rsidR="000D7B02">
        <w:t xml:space="preserve">National Centre for Vocational Education Research (NCVER) </w:t>
      </w:r>
      <w:r>
        <w:t xml:space="preserve">report, </w:t>
      </w:r>
      <w:r w:rsidRPr="006B3904">
        <w:rPr>
          <w:i/>
        </w:rPr>
        <w:t>Are we all speaking the same language? Understanding ‘quality’ in the VET sector</w:t>
      </w:r>
      <w:r w:rsidR="0012457E">
        <w:t>, written</w:t>
      </w:r>
      <w:r w:rsidR="00C17292">
        <w:t xml:space="preserve"> </w:t>
      </w:r>
      <w:r w:rsidR="00EC6DCF">
        <w:t xml:space="preserve">by </w:t>
      </w:r>
      <w:r>
        <w:t>Tabatha Griffin.</w:t>
      </w:r>
    </w:p>
    <w:p w:rsidR="002A7A0E" w:rsidRDefault="009321E8" w:rsidP="00CA0F36">
      <w:pPr>
        <w:pStyle w:val="Text"/>
      </w:pPr>
      <w:r>
        <w:t>Initially we explore</w:t>
      </w:r>
      <w:r w:rsidR="007C3828">
        <w:t xml:space="preserve"> </w:t>
      </w:r>
      <w:r w:rsidR="007C5B22">
        <w:t>the drivers of RTO performance</w:t>
      </w:r>
      <w:r>
        <w:t xml:space="preserve">; then we discuss </w:t>
      </w:r>
      <w:r w:rsidR="007C3828">
        <w:t>findings from available literature from Australia</w:t>
      </w:r>
      <w:r>
        <w:t xml:space="preserve"> and from overseas.</w:t>
      </w:r>
      <w:r w:rsidR="002A7A0E">
        <w:t xml:space="preserve"> Finally we suggest some implications for further research. </w:t>
      </w:r>
    </w:p>
    <w:p w:rsidR="009321E8" w:rsidRDefault="007C3828" w:rsidP="00CA0F36">
      <w:pPr>
        <w:pStyle w:val="Text"/>
      </w:pPr>
      <w:r>
        <w:t xml:space="preserve">We </w:t>
      </w:r>
      <w:r w:rsidR="002A7A0E">
        <w:t xml:space="preserve">structure our discussion </w:t>
      </w:r>
      <w:r>
        <w:t xml:space="preserve">under the organising themes </w:t>
      </w:r>
      <w:r w:rsidR="009321E8">
        <w:t xml:space="preserve">of: </w:t>
      </w:r>
    </w:p>
    <w:p w:rsidR="009321E8" w:rsidRDefault="009321E8" w:rsidP="005A11A0">
      <w:pPr>
        <w:pStyle w:val="Dotpoint1"/>
        <w:ind w:left="284" w:hanging="284"/>
      </w:pPr>
      <w:r>
        <w:t>high performance organisations and frameworks</w:t>
      </w:r>
    </w:p>
    <w:p w:rsidR="009321E8" w:rsidRDefault="009321E8" w:rsidP="005A11A0">
      <w:pPr>
        <w:pStyle w:val="Dotpoint1"/>
        <w:ind w:left="284" w:hanging="284"/>
      </w:pPr>
      <w:r>
        <w:t>effectiveness and efficiency indicators of performance</w:t>
      </w:r>
    </w:p>
    <w:p w:rsidR="009321E8" w:rsidRDefault="009321E8" w:rsidP="005A11A0">
      <w:pPr>
        <w:pStyle w:val="Dotpoint1"/>
        <w:ind w:left="284" w:hanging="284"/>
      </w:pPr>
      <w:r>
        <w:t xml:space="preserve">trials of </w:t>
      </w:r>
      <w:r w:rsidR="005A11A0">
        <w:t>RTO performance indicators</w:t>
      </w:r>
    </w:p>
    <w:p w:rsidR="009321E8" w:rsidRDefault="009321E8" w:rsidP="005A11A0">
      <w:pPr>
        <w:pStyle w:val="Dotpoint1"/>
        <w:ind w:left="284" w:hanging="284"/>
      </w:pPr>
      <w:r>
        <w:t>international approaches (including for United State of America, Unite</w:t>
      </w:r>
      <w:r w:rsidR="002A7A0E">
        <w:t>d</w:t>
      </w:r>
      <w:r>
        <w:t xml:space="preserve"> Kingdom, European U</w:t>
      </w:r>
      <w:r w:rsidR="005A11A0">
        <w:t>nion, Germany, and New Zealand)</w:t>
      </w:r>
      <w:r>
        <w:t xml:space="preserve"> </w:t>
      </w:r>
    </w:p>
    <w:p w:rsidR="007C5B22" w:rsidRPr="002A7A0E" w:rsidRDefault="002A7A0E" w:rsidP="005A11A0">
      <w:pPr>
        <w:pStyle w:val="Dotpoint1"/>
        <w:ind w:left="284" w:hanging="284"/>
      </w:pPr>
      <w:proofErr w:type="gramStart"/>
      <w:r>
        <w:t>concluding</w:t>
      </w:r>
      <w:proofErr w:type="gramEnd"/>
      <w:r>
        <w:t xml:space="preserve"> remarks</w:t>
      </w:r>
      <w:r w:rsidR="005A11A0">
        <w:t>.</w:t>
      </w:r>
    </w:p>
    <w:p w:rsidR="00250A16" w:rsidRDefault="00250A16" w:rsidP="00250A16">
      <w:pPr>
        <w:pStyle w:val="Heading2"/>
      </w:pPr>
      <w:bookmarkStart w:id="20" w:name="_Toc491860727"/>
      <w:bookmarkStart w:id="21" w:name="_Toc499032415"/>
      <w:r>
        <w:t>Why are we interested in drivers of RTO performance?</w:t>
      </w:r>
      <w:bookmarkEnd w:id="20"/>
      <w:bookmarkEnd w:id="21"/>
      <w:r>
        <w:t xml:space="preserve"> </w:t>
      </w:r>
    </w:p>
    <w:p w:rsidR="009B7481" w:rsidRDefault="002E0551" w:rsidP="009B7481">
      <w:pPr>
        <w:pStyle w:val="Dotpoint1"/>
        <w:numPr>
          <w:ilvl w:val="0"/>
          <w:numId w:val="0"/>
        </w:numPr>
      </w:pPr>
      <w:r w:rsidRPr="00E333B8">
        <w:t xml:space="preserve">There are four main </w:t>
      </w:r>
      <w:r w:rsidR="000D7B02">
        <w:t>incentives for</w:t>
      </w:r>
      <w:r w:rsidR="00250A16">
        <w:t xml:space="preserve"> </w:t>
      </w:r>
      <w:r w:rsidR="000E239D">
        <w:t>investigating</w:t>
      </w:r>
      <w:r w:rsidRPr="00E333B8">
        <w:t xml:space="preserve"> drivers of RTO performance</w:t>
      </w:r>
      <w:r w:rsidR="009B7481">
        <w:t>:</w:t>
      </w:r>
    </w:p>
    <w:p w:rsidR="002E0551" w:rsidRPr="00E333B8" w:rsidRDefault="002E0551" w:rsidP="005A11A0">
      <w:pPr>
        <w:pStyle w:val="Dotpoint1"/>
        <w:ind w:left="284" w:hanging="284"/>
      </w:pPr>
      <w:r w:rsidRPr="00E333B8">
        <w:t xml:space="preserve">Governments want to </w:t>
      </w:r>
      <w:r w:rsidR="000D7B02">
        <w:t>be assured</w:t>
      </w:r>
      <w:r w:rsidRPr="00E333B8">
        <w:t xml:space="preserve"> that RTOs understand and actively apply national and jurisdictional </w:t>
      </w:r>
      <w:r w:rsidR="000D7B02">
        <w:t>vocational education and training (</w:t>
      </w:r>
      <w:r w:rsidRPr="00E333B8">
        <w:t>VET</w:t>
      </w:r>
      <w:r w:rsidR="000D7B02">
        <w:t>)</w:t>
      </w:r>
      <w:r w:rsidRPr="00E333B8">
        <w:t xml:space="preserve"> policies and regulatory frameworks, meet funding accountability requirements and deliver quality training and assessment. They also want to ensure that the reputation of the Australian VET brand is protected and promoted at home and international</w:t>
      </w:r>
      <w:r w:rsidR="0012457E">
        <w:t xml:space="preserve">ly, and that the system is well </w:t>
      </w:r>
      <w:r w:rsidRPr="00E333B8">
        <w:t xml:space="preserve">placed to contribute to national productivity. </w:t>
      </w:r>
    </w:p>
    <w:p w:rsidR="002E0551" w:rsidRPr="00E333B8" w:rsidRDefault="002E0551" w:rsidP="005A11A0">
      <w:pPr>
        <w:pStyle w:val="Dotpoint1"/>
        <w:ind w:left="284" w:hanging="284"/>
      </w:pPr>
      <w:r w:rsidRPr="00E333B8">
        <w:t xml:space="preserve">Industry sectors and occupational groups want to </w:t>
      </w:r>
      <w:r w:rsidR="000E239D">
        <w:t>be confident</w:t>
      </w:r>
      <w:r w:rsidRPr="00E333B8">
        <w:t xml:space="preserve"> that RTOs can deliver training that meets current and future skills </w:t>
      </w:r>
      <w:r>
        <w:t>demands</w:t>
      </w:r>
      <w:r w:rsidRPr="00E333B8">
        <w:t>.</w:t>
      </w:r>
    </w:p>
    <w:p w:rsidR="002E0551" w:rsidRPr="00E333B8" w:rsidRDefault="002E0551" w:rsidP="005A11A0">
      <w:pPr>
        <w:pStyle w:val="Dotpoint1"/>
        <w:ind w:left="284" w:hanging="284"/>
      </w:pPr>
      <w:r w:rsidRPr="00E333B8">
        <w:t xml:space="preserve">Students want to ensure that the training they purchase or acquire and the RTO they choose will provide them with the skills and knowledge they will </w:t>
      </w:r>
      <w:r w:rsidR="00D346C5">
        <w:t>need</w:t>
      </w:r>
      <w:r w:rsidRPr="00E333B8">
        <w:t xml:space="preserve"> for </w:t>
      </w:r>
      <w:r w:rsidR="000E239D">
        <w:t xml:space="preserve">their </w:t>
      </w:r>
      <w:r w:rsidRPr="00E333B8">
        <w:t>current and future jobs.</w:t>
      </w:r>
    </w:p>
    <w:p w:rsidR="002E0551" w:rsidRDefault="002E0551" w:rsidP="005A11A0">
      <w:pPr>
        <w:pStyle w:val="Dotpoint1"/>
        <w:ind w:left="284" w:hanging="284"/>
      </w:pPr>
      <w:r w:rsidRPr="00E333B8">
        <w:t>RTOs themselves want to ensure that they are able to maintain their share in an increasingly contestable market, as well as benchmark their performance against that of others.</w:t>
      </w:r>
    </w:p>
    <w:p w:rsidR="00056BFA" w:rsidRDefault="00006AD0" w:rsidP="00C3428E">
      <w:pPr>
        <w:pStyle w:val="Heading2"/>
      </w:pPr>
      <w:bookmarkStart w:id="22" w:name="_Toc499032416"/>
      <w:r>
        <w:t>H</w:t>
      </w:r>
      <w:r w:rsidR="00F06CF2">
        <w:t xml:space="preserve">igh </w:t>
      </w:r>
      <w:r w:rsidR="001529A6">
        <w:t>performance organisations and frameworks</w:t>
      </w:r>
      <w:bookmarkEnd w:id="22"/>
    </w:p>
    <w:p w:rsidR="00585988" w:rsidRDefault="00B4546C" w:rsidP="009A4BBB">
      <w:pPr>
        <w:pStyle w:val="Dotpoint2"/>
        <w:numPr>
          <w:ilvl w:val="0"/>
          <w:numId w:val="0"/>
        </w:numPr>
      </w:pPr>
      <w:r>
        <w:t xml:space="preserve">Over </w:t>
      </w:r>
      <w:r w:rsidR="004F48E8">
        <w:t xml:space="preserve">the last two decades </w:t>
      </w:r>
      <w:r w:rsidR="00D51413">
        <w:t xml:space="preserve">a large body </w:t>
      </w:r>
      <w:r w:rsidR="000E239D">
        <w:t xml:space="preserve">of </w:t>
      </w:r>
      <w:r w:rsidR="00190C69">
        <w:t xml:space="preserve">knowledge </w:t>
      </w:r>
      <w:r>
        <w:t xml:space="preserve">has </w:t>
      </w:r>
      <w:r w:rsidR="0012457E">
        <w:t>emerged that deals with</w:t>
      </w:r>
      <w:r>
        <w:t xml:space="preserve"> the question of </w:t>
      </w:r>
      <w:r w:rsidR="00AB18B0">
        <w:t>what drives</w:t>
      </w:r>
      <w:r w:rsidR="00D51413">
        <w:t xml:space="preserve"> efficient and effective</w:t>
      </w:r>
      <w:r w:rsidR="00A05905">
        <w:t xml:space="preserve"> performance in organisations</w:t>
      </w:r>
      <w:r w:rsidR="009A4BBB">
        <w:t>.</w:t>
      </w:r>
      <w:r w:rsidR="009A4BBB" w:rsidRPr="009A4BBB">
        <w:t xml:space="preserve"> </w:t>
      </w:r>
      <w:r w:rsidR="009A4BBB">
        <w:t>Financial performance, rates of productivity, employee commitment, labour turnover and indicators of e</w:t>
      </w:r>
      <w:r w:rsidR="0012457E">
        <w:t>mployee well</w:t>
      </w:r>
      <w:r w:rsidR="009A4BBB">
        <w:t>being are examples of the measures that have been used to indicate success</w:t>
      </w:r>
      <w:r w:rsidR="00851290">
        <w:t xml:space="preserve">. </w:t>
      </w:r>
      <w:r w:rsidR="000F0793">
        <w:t>Recent examples of the adoption of these concepts at a</w:t>
      </w:r>
      <w:r w:rsidR="00851290">
        <w:t xml:space="preserve"> </w:t>
      </w:r>
      <w:r w:rsidR="000F0793">
        <w:t>governmental level can be found</w:t>
      </w:r>
      <w:r>
        <w:t xml:space="preserve"> in </w:t>
      </w:r>
      <w:r w:rsidR="0012457E">
        <w:t xml:space="preserve">the ‘high performance frameworks’ </w:t>
      </w:r>
      <w:r w:rsidR="000F0793">
        <w:t xml:space="preserve">developed by the </w:t>
      </w:r>
      <w:r>
        <w:t>South Australia</w:t>
      </w:r>
      <w:r w:rsidR="0012457E">
        <w:t>n</w:t>
      </w:r>
      <w:r>
        <w:t xml:space="preserve"> and New South Wales</w:t>
      </w:r>
      <w:r w:rsidR="000F0793">
        <w:t xml:space="preserve"> governments</w:t>
      </w:r>
      <w:r>
        <w:t xml:space="preserve">. </w:t>
      </w:r>
    </w:p>
    <w:p w:rsidR="006E2B6A" w:rsidRDefault="00B4546C" w:rsidP="005A11A0">
      <w:pPr>
        <w:pStyle w:val="Dotpoint2"/>
        <w:numPr>
          <w:ilvl w:val="0"/>
          <w:numId w:val="0"/>
        </w:numPr>
        <w:spacing w:before="0"/>
      </w:pPr>
      <w:r>
        <w:lastRenderedPageBreak/>
        <w:t xml:space="preserve">These </w:t>
      </w:r>
      <w:r w:rsidR="000D7B02">
        <w:t xml:space="preserve">high performance </w:t>
      </w:r>
      <w:r>
        <w:t xml:space="preserve">frameworks </w:t>
      </w:r>
      <w:r w:rsidR="000E239D">
        <w:t xml:space="preserve">in part </w:t>
      </w:r>
      <w:r>
        <w:t>have been</w:t>
      </w:r>
      <w:r w:rsidR="006E2B6A">
        <w:t xml:space="preserve"> </w:t>
      </w:r>
      <w:r>
        <w:t xml:space="preserve">based on what is commonly agreed </w:t>
      </w:r>
      <w:r w:rsidR="000D7B02">
        <w:t>to represent</w:t>
      </w:r>
      <w:r>
        <w:t xml:space="preserve"> the attributes of </w:t>
      </w:r>
      <w:r w:rsidR="000E239D">
        <w:t>successful (that is, high-</w:t>
      </w:r>
      <w:r w:rsidR="00190C69">
        <w:t>performance)</w:t>
      </w:r>
      <w:r w:rsidR="00851290">
        <w:t xml:space="preserve"> </w:t>
      </w:r>
      <w:r w:rsidR="00D51413">
        <w:t>organisations</w:t>
      </w:r>
      <w:r w:rsidR="00190C69">
        <w:t>.</w:t>
      </w:r>
      <w:r w:rsidR="0012457E">
        <w:t xml:space="preserve"> </w:t>
      </w:r>
      <w:r w:rsidR="0092535E">
        <w:t>By linking people, strategy and performance, h</w:t>
      </w:r>
      <w:r w:rsidR="0012457E">
        <w:t>igh-</w:t>
      </w:r>
      <w:r>
        <w:t xml:space="preserve">performance organisations </w:t>
      </w:r>
      <w:r w:rsidR="0092535E">
        <w:t>achieve</w:t>
      </w:r>
      <w:r>
        <w:t xml:space="preserve"> success. </w:t>
      </w:r>
      <w:r w:rsidR="006E2B6A">
        <w:t xml:space="preserve">They recruit talented workers, develop their skills and capacities, and </w:t>
      </w:r>
      <w:r w:rsidR="006E2B6A" w:rsidRPr="006E2B6A">
        <w:t>creat</w:t>
      </w:r>
      <w:r w:rsidR="006E2B6A">
        <w:t xml:space="preserve">e </w:t>
      </w:r>
      <w:r w:rsidR="006E2B6A" w:rsidRPr="006E2B6A">
        <w:t>or design jobs which will provide them with challenge, responsibility and control</w:t>
      </w:r>
      <w:r w:rsidR="00441B06">
        <w:t xml:space="preserve"> (</w:t>
      </w:r>
      <w:proofErr w:type="spellStart"/>
      <w:r w:rsidR="00C11766" w:rsidRPr="001C6318">
        <w:t>Appelbaum</w:t>
      </w:r>
      <w:proofErr w:type="spellEnd"/>
      <w:r w:rsidR="00C11766" w:rsidRPr="001C6318">
        <w:t xml:space="preserve"> &amp; Batt 1994</w:t>
      </w:r>
      <w:r w:rsidR="00C11766">
        <w:t xml:space="preserve">; </w:t>
      </w:r>
      <w:r w:rsidR="00C11766" w:rsidRPr="001C6318">
        <w:t xml:space="preserve">Lawler, </w:t>
      </w:r>
      <w:proofErr w:type="spellStart"/>
      <w:r w:rsidR="00C11766" w:rsidRPr="001C6318">
        <w:t>Mohrman</w:t>
      </w:r>
      <w:proofErr w:type="spellEnd"/>
      <w:r w:rsidR="00C11766" w:rsidRPr="001C6318">
        <w:t xml:space="preserve"> &amp; Ledford 1998</w:t>
      </w:r>
      <w:r w:rsidR="00C11766">
        <w:t xml:space="preserve">; </w:t>
      </w:r>
      <w:proofErr w:type="spellStart"/>
      <w:r w:rsidR="00C11766" w:rsidRPr="001C6318">
        <w:t>Appelbaum</w:t>
      </w:r>
      <w:proofErr w:type="spellEnd"/>
      <w:r w:rsidR="0012457E">
        <w:t xml:space="preserve"> et al.</w:t>
      </w:r>
      <w:r w:rsidR="00C11766" w:rsidRPr="001C6318">
        <w:t xml:space="preserve"> 2000;</w:t>
      </w:r>
      <w:r w:rsidR="00C11766">
        <w:t xml:space="preserve"> </w:t>
      </w:r>
      <w:r w:rsidR="00C11766" w:rsidRPr="001C6318">
        <w:t xml:space="preserve">Becker, </w:t>
      </w:r>
      <w:proofErr w:type="spellStart"/>
      <w:r w:rsidR="00C11766" w:rsidRPr="001C6318">
        <w:t>Huselid</w:t>
      </w:r>
      <w:proofErr w:type="spellEnd"/>
      <w:r w:rsidR="00C11766" w:rsidRPr="001C6318">
        <w:t xml:space="preserve"> &amp; Ulrich 2001</w:t>
      </w:r>
      <w:r w:rsidR="00C11766">
        <w:t xml:space="preserve">; </w:t>
      </w:r>
      <w:proofErr w:type="spellStart"/>
      <w:r w:rsidR="00C11766" w:rsidRPr="001C6318">
        <w:t>Doehringer</w:t>
      </w:r>
      <w:proofErr w:type="spellEnd"/>
      <w:r w:rsidR="00C11766" w:rsidRPr="001C6318">
        <w:t>, Evans-</w:t>
      </w:r>
      <w:proofErr w:type="spellStart"/>
      <w:r w:rsidR="00C11766" w:rsidRPr="001C6318">
        <w:t>Klock</w:t>
      </w:r>
      <w:proofErr w:type="spellEnd"/>
      <w:r w:rsidR="00C11766" w:rsidRPr="001C6318">
        <w:t xml:space="preserve"> &amp; </w:t>
      </w:r>
      <w:proofErr w:type="spellStart"/>
      <w:r w:rsidR="00C11766" w:rsidRPr="001C6318">
        <w:t>Terkla</w:t>
      </w:r>
      <w:proofErr w:type="spellEnd"/>
      <w:r w:rsidR="00C11766" w:rsidRPr="001C6318">
        <w:t xml:space="preserve"> 2002</w:t>
      </w:r>
      <w:r w:rsidR="00C11766">
        <w:t xml:space="preserve">; Boxall 2003; </w:t>
      </w:r>
      <w:r w:rsidR="00C11766" w:rsidRPr="001C6318">
        <w:t>Sung &amp; Ashton 2005;</w:t>
      </w:r>
      <w:r w:rsidR="00C11766">
        <w:t xml:space="preserve"> </w:t>
      </w:r>
      <w:r w:rsidR="00C11766" w:rsidRPr="001C6318">
        <w:t xml:space="preserve">Guest 2006; </w:t>
      </w:r>
      <w:proofErr w:type="spellStart"/>
      <w:r w:rsidR="00C11766">
        <w:t>Mavromaras</w:t>
      </w:r>
      <w:proofErr w:type="spellEnd"/>
      <w:r w:rsidR="00C11766">
        <w:t xml:space="preserve">, McGuinness &amp; </w:t>
      </w:r>
      <w:proofErr w:type="spellStart"/>
      <w:r w:rsidR="00C11766">
        <w:t>Fok</w:t>
      </w:r>
      <w:proofErr w:type="spellEnd"/>
      <w:r w:rsidR="00C11766">
        <w:t xml:space="preserve"> 2009; </w:t>
      </w:r>
      <w:proofErr w:type="spellStart"/>
      <w:r w:rsidR="00C11766" w:rsidRPr="001C6318">
        <w:t>Stirpe</w:t>
      </w:r>
      <w:proofErr w:type="spellEnd"/>
      <w:r w:rsidR="00C11766" w:rsidRPr="001C6318">
        <w:t xml:space="preserve">, </w:t>
      </w:r>
      <w:proofErr w:type="spellStart"/>
      <w:r w:rsidR="00C11766" w:rsidRPr="001C6318">
        <w:t>Zarraga</w:t>
      </w:r>
      <w:proofErr w:type="spellEnd"/>
      <w:r w:rsidR="00C11766" w:rsidRPr="001C6318">
        <w:t xml:space="preserve"> &amp; Rigby 2009;</w:t>
      </w:r>
      <w:r w:rsidR="00C11766">
        <w:t xml:space="preserve"> SQW </w:t>
      </w:r>
      <w:r w:rsidR="0012457E">
        <w:t xml:space="preserve">Consulting </w:t>
      </w:r>
      <w:r w:rsidR="00C11766">
        <w:t>2010</w:t>
      </w:r>
      <w:r w:rsidR="00441B06">
        <w:t>)</w:t>
      </w:r>
      <w:r w:rsidR="006E2B6A">
        <w:t>.</w:t>
      </w:r>
      <w:r w:rsidR="00187424">
        <w:t xml:space="preserve"> </w:t>
      </w:r>
    </w:p>
    <w:p w:rsidR="006E2B6A" w:rsidRDefault="0012457E" w:rsidP="006E2B6A">
      <w:pPr>
        <w:pStyle w:val="Dotpoint2"/>
        <w:numPr>
          <w:ilvl w:val="0"/>
          <w:numId w:val="0"/>
        </w:numPr>
      </w:pPr>
      <w:r>
        <w:t>The South Australian G</w:t>
      </w:r>
      <w:r w:rsidR="006E2B6A">
        <w:t>overnment</w:t>
      </w:r>
      <w:r w:rsidR="0092535E">
        <w:t>’s</w:t>
      </w:r>
      <w:r w:rsidR="006E2B6A">
        <w:t xml:space="preserve"> </w:t>
      </w:r>
      <w:r w:rsidRPr="002A7A0E">
        <w:rPr>
          <w:i/>
        </w:rPr>
        <w:t>high performance framework</w:t>
      </w:r>
      <w:r w:rsidR="00C3428E">
        <w:rPr>
          <w:rStyle w:val="FootnoteReference"/>
        </w:rPr>
        <w:footnoteReference w:id="1"/>
      </w:r>
      <w:r w:rsidR="006E2B6A">
        <w:t xml:space="preserve"> </w:t>
      </w:r>
      <w:r w:rsidR="0092535E">
        <w:t xml:space="preserve">has been developed </w:t>
      </w:r>
      <w:r w:rsidR="006E2B6A">
        <w:t>for its public servic</w:t>
      </w:r>
      <w:r w:rsidR="004C2631">
        <w:t>e sectors</w:t>
      </w:r>
      <w:r w:rsidR="0092535E">
        <w:t>. Its</w:t>
      </w:r>
      <w:r w:rsidR="00036353">
        <w:t xml:space="preserve"> role </w:t>
      </w:r>
      <w:r w:rsidR="006E2B6A">
        <w:t>is to act as a ‘whole of government mechanism to measure, improve and monitor performance’ (South Australian Government 2012, p</w:t>
      </w:r>
      <w:r>
        <w:t>.</w:t>
      </w:r>
      <w:r w:rsidR="006E2B6A">
        <w:t xml:space="preserve">1). </w:t>
      </w:r>
      <w:r w:rsidR="00036353">
        <w:t xml:space="preserve">In </w:t>
      </w:r>
      <w:r>
        <w:t xml:space="preserve">New South Wales </w:t>
      </w:r>
      <w:r w:rsidR="00036353">
        <w:t>a similar framework</w:t>
      </w:r>
      <w:r>
        <w:t xml:space="preserve"> has been </w:t>
      </w:r>
      <w:r w:rsidR="0092535E">
        <w:t xml:space="preserve">established </w:t>
      </w:r>
      <w:r>
        <w:t>for the state’s Institute of Sport.</w:t>
      </w:r>
      <w:r>
        <w:rPr>
          <w:rStyle w:val="FootnoteReference"/>
        </w:rPr>
        <w:footnoteReference w:id="2"/>
      </w:r>
      <w:r>
        <w:t xml:space="preserve"> </w:t>
      </w:r>
      <w:r w:rsidR="006E2B6A">
        <w:t>The role of the Institute of Sport</w:t>
      </w:r>
      <w:r w:rsidR="00036353">
        <w:t>’s</w:t>
      </w:r>
      <w:r w:rsidR="006E2B6A">
        <w:t xml:space="preserve"> </w:t>
      </w:r>
      <w:r w:rsidR="00036353">
        <w:t xml:space="preserve">high performance framework </w:t>
      </w:r>
      <w:r w:rsidR="006E2B6A">
        <w:t xml:space="preserve">is to identify, develop, manage and </w:t>
      </w:r>
      <w:r w:rsidR="0092535E">
        <w:t xml:space="preserve">ensure the </w:t>
      </w:r>
      <w:r w:rsidR="006E2B6A">
        <w:t>progress</w:t>
      </w:r>
      <w:r w:rsidR="0092535E">
        <w:t>ion of</w:t>
      </w:r>
      <w:r w:rsidR="006E2B6A">
        <w:t xml:space="preserve"> highly capable, talented performi</w:t>
      </w:r>
      <w:r w:rsidR="000F0793">
        <w:t xml:space="preserve">ng athletes, coaches and staff </w:t>
      </w:r>
      <w:r w:rsidR="006E2B6A">
        <w:t>(New</w:t>
      </w:r>
      <w:r w:rsidR="00006AD0">
        <w:t xml:space="preserve"> South Wales Institute of Sport</w:t>
      </w:r>
      <w:r w:rsidR="004C2631">
        <w:t xml:space="preserve"> 2016</w:t>
      </w:r>
      <w:r w:rsidR="006E2B6A">
        <w:t>).</w:t>
      </w:r>
    </w:p>
    <w:p w:rsidR="00B4546C" w:rsidRDefault="00036353" w:rsidP="006E2B6A">
      <w:pPr>
        <w:pStyle w:val="Dotpoint2"/>
        <w:numPr>
          <w:ilvl w:val="0"/>
          <w:numId w:val="0"/>
        </w:numPr>
      </w:pPr>
      <w:r>
        <w:t>The p</w:t>
      </w:r>
      <w:r w:rsidR="008855EB">
        <w:t>ositiv</w:t>
      </w:r>
      <w:r w:rsidR="0092535E">
        <w:t>e outcomes associated with high-</w:t>
      </w:r>
      <w:r w:rsidR="008855EB">
        <w:t>performance organisations</w:t>
      </w:r>
      <w:r w:rsidR="0092535E">
        <w:t>,</w:t>
      </w:r>
      <w:r w:rsidR="008855EB">
        <w:t xml:space="preserve"> </w:t>
      </w:r>
      <w:r>
        <w:t>such as</w:t>
      </w:r>
      <w:r w:rsidR="008855EB">
        <w:t xml:space="preserve"> i</w:t>
      </w:r>
      <w:r w:rsidR="00B4546C">
        <w:t>ncreased productivity and profitability and reduced labour turnover and worker commitment have to be assessed against the negative outcomes</w:t>
      </w:r>
      <w:r w:rsidR="000E239D">
        <w:t>,</w:t>
      </w:r>
      <w:r w:rsidR="00E64124">
        <w:t xml:space="preserve"> such as </w:t>
      </w:r>
      <w:r w:rsidR="00B4546C">
        <w:t>increased workloads, stress and loss of individual autonomy</w:t>
      </w:r>
      <w:r w:rsidR="008855EB">
        <w:t xml:space="preserve"> (</w:t>
      </w:r>
      <w:proofErr w:type="spellStart"/>
      <w:r w:rsidR="008855EB">
        <w:t>Sparham</w:t>
      </w:r>
      <w:proofErr w:type="spellEnd"/>
      <w:r w:rsidR="008855EB">
        <w:t xml:space="preserve"> </w:t>
      </w:r>
      <w:r w:rsidR="00006AD0">
        <w:t>&amp;</w:t>
      </w:r>
      <w:r w:rsidR="008855EB">
        <w:t xml:space="preserve"> Sung 2009)</w:t>
      </w:r>
      <w:r w:rsidR="00B4546C">
        <w:t>. Nevertheless, it is becoming increasingly clear that ‘bundles’ of such practices have the best chance of raising organisational performance</w:t>
      </w:r>
      <w:r w:rsidR="008855EB">
        <w:t xml:space="preserve"> (</w:t>
      </w:r>
      <w:proofErr w:type="spellStart"/>
      <w:r w:rsidR="00E64124">
        <w:t>Appelbaum</w:t>
      </w:r>
      <w:proofErr w:type="spellEnd"/>
      <w:r w:rsidR="00E64124">
        <w:t xml:space="preserve"> &amp; Batt 1994; Lawler, </w:t>
      </w:r>
      <w:proofErr w:type="spellStart"/>
      <w:r w:rsidR="00E64124">
        <w:t>Mohrman</w:t>
      </w:r>
      <w:proofErr w:type="spellEnd"/>
      <w:r w:rsidR="00E64124">
        <w:t xml:space="preserve"> &amp; Ledford 1998; </w:t>
      </w:r>
      <w:proofErr w:type="spellStart"/>
      <w:r w:rsidR="008855EB">
        <w:t>Doehringer</w:t>
      </w:r>
      <w:proofErr w:type="spellEnd"/>
      <w:r w:rsidR="008855EB">
        <w:t>, Evans-</w:t>
      </w:r>
      <w:proofErr w:type="spellStart"/>
      <w:r w:rsidR="008855EB">
        <w:t>Klock</w:t>
      </w:r>
      <w:proofErr w:type="spellEnd"/>
      <w:r w:rsidR="008855EB">
        <w:t xml:space="preserve"> &amp; </w:t>
      </w:r>
      <w:proofErr w:type="spellStart"/>
      <w:r w:rsidR="008855EB">
        <w:t>Terkla</w:t>
      </w:r>
      <w:proofErr w:type="spellEnd"/>
      <w:r w:rsidR="008855EB">
        <w:t xml:space="preserve"> 200</w:t>
      </w:r>
      <w:r w:rsidR="00E64124">
        <w:t xml:space="preserve">2; </w:t>
      </w:r>
      <w:proofErr w:type="spellStart"/>
      <w:r w:rsidR="00E64124">
        <w:t>Stirpe</w:t>
      </w:r>
      <w:proofErr w:type="spellEnd"/>
      <w:r w:rsidR="00E64124">
        <w:t xml:space="preserve">, </w:t>
      </w:r>
      <w:proofErr w:type="spellStart"/>
      <w:r w:rsidR="00E64124">
        <w:t>Zarraga</w:t>
      </w:r>
      <w:proofErr w:type="spellEnd"/>
      <w:r w:rsidR="00E64124">
        <w:t xml:space="preserve"> &amp; Rigby 2009</w:t>
      </w:r>
      <w:r w:rsidR="008855EB">
        <w:t>)</w:t>
      </w:r>
      <w:r w:rsidR="00B4546C">
        <w:t>.</w:t>
      </w:r>
    </w:p>
    <w:p w:rsidR="008855EB" w:rsidRDefault="008855EB" w:rsidP="008855EB">
      <w:pPr>
        <w:pStyle w:val="Heading2"/>
      </w:pPr>
      <w:bookmarkStart w:id="23" w:name="_Toc499032417"/>
      <w:r>
        <w:t>Effectiveness and efficiency: indicators of performance</w:t>
      </w:r>
      <w:bookmarkEnd w:id="23"/>
    </w:p>
    <w:p w:rsidR="0091799B" w:rsidRDefault="0092535E" w:rsidP="0091799B">
      <w:pPr>
        <w:pStyle w:val="Text"/>
      </w:pPr>
      <w:r>
        <w:t xml:space="preserve">In Australia and overseas </w:t>
      </w:r>
      <w:r w:rsidR="00810D69">
        <w:t xml:space="preserve">strong interest </w:t>
      </w:r>
      <w:r>
        <w:t xml:space="preserve">has been shown </w:t>
      </w:r>
      <w:r w:rsidR="00810D69">
        <w:t xml:space="preserve">in the concept of performance indicators to measure </w:t>
      </w:r>
      <w:r w:rsidR="001703EF" w:rsidRPr="00E333B8">
        <w:t>the performance of RTOs</w:t>
      </w:r>
      <w:r w:rsidR="001703EF">
        <w:t xml:space="preserve"> and other educational institutions</w:t>
      </w:r>
      <w:r w:rsidR="000E239D">
        <w:t>, the aim being to determine their effectiveness and efficiency</w:t>
      </w:r>
      <w:r w:rsidR="00036353">
        <w:t>.</w:t>
      </w:r>
      <w:r w:rsidR="00DA2054">
        <w:rPr>
          <w:rStyle w:val="FootnoteReference"/>
        </w:rPr>
        <w:footnoteReference w:id="3"/>
      </w:r>
      <w:r w:rsidR="009B7481">
        <w:t xml:space="preserve"> These studies have used </w:t>
      </w:r>
      <w:r w:rsidR="001703EF" w:rsidRPr="00E333B8">
        <w:t>both administrative and survey data</w:t>
      </w:r>
      <w:r w:rsidR="000E239D">
        <w:t>,</w:t>
      </w:r>
      <w:r w:rsidR="001703EF" w:rsidRPr="00E333B8">
        <w:t xml:space="preserve"> collected at jurisdictional and national level</w:t>
      </w:r>
      <w:r w:rsidR="00036353">
        <w:t>s</w:t>
      </w:r>
      <w:r w:rsidR="00D823FC">
        <w:t>,</w:t>
      </w:r>
      <w:r w:rsidR="001703EF" w:rsidRPr="00E333B8">
        <w:t xml:space="preserve"> and</w:t>
      </w:r>
      <w:r w:rsidR="009B7481">
        <w:t>/or</w:t>
      </w:r>
      <w:r w:rsidR="001703EF" w:rsidRPr="00E333B8">
        <w:t xml:space="preserve"> </w:t>
      </w:r>
      <w:r>
        <w:t xml:space="preserve">undertaken </w:t>
      </w:r>
      <w:r w:rsidR="001703EF" w:rsidRPr="00E333B8">
        <w:t>more intensive consultations with RTOs themselves</w:t>
      </w:r>
      <w:r w:rsidR="00C77552">
        <w:t xml:space="preserve"> (Carrington, </w:t>
      </w:r>
      <w:proofErr w:type="spellStart"/>
      <w:r w:rsidR="00C77552">
        <w:t>Coelli</w:t>
      </w:r>
      <w:proofErr w:type="spellEnd"/>
      <w:r w:rsidR="00C77552">
        <w:t xml:space="preserve"> and Rao, 2005, Misko and Halliday-</w:t>
      </w:r>
      <w:proofErr w:type="spellStart"/>
      <w:r w:rsidR="00C77552">
        <w:t>Wynes</w:t>
      </w:r>
      <w:proofErr w:type="spellEnd"/>
      <w:r w:rsidR="00C77552">
        <w:t xml:space="preserve"> 2009, Fieger, </w:t>
      </w:r>
      <w:proofErr w:type="spellStart"/>
      <w:r w:rsidR="00C77552">
        <w:t>Karmel</w:t>
      </w:r>
      <w:proofErr w:type="spellEnd"/>
      <w:r w:rsidR="00C77552">
        <w:t xml:space="preserve"> and Stanwick 2010)</w:t>
      </w:r>
      <w:r w:rsidR="001703EF" w:rsidRPr="00E333B8">
        <w:t xml:space="preserve">. </w:t>
      </w:r>
    </w:p>
    <w:p w:rsidR="0091799B" w:rsidRDefault="0091799B" w:rsidP="0091799B">
      <w:pPr>
        <w:pStyle w:val="Text"/>
      </w:pPr>
      <w:r w:rsidRPr="00E333B8">
        <w:t xml:space="preserve">Quality and environmental factors were used to evaluate the effectiveness and efficiency of </w:t>
      </w:r>
      <w:r>
        <w:t xml:space="preserve">higher education </w:t>
      </w:r>
      <w:r w:rsidRPr="00E333B8">
        <w:t>institutes by</w:t>
      </w:r>
      <w:r>
        <w:t xml:space="preserve"> </w:t>
      </w:r>
      <w:r w:rsidRPr="007E7F6F">
        <w:t xml:space="preserve">Carrington, </w:t>
      </w:r>
      <w:proofErr w:type="spellStart"/>
      <w:r w:rsidRPr="007E7F6F">
        <w:t>Coelli</w:t>
      </w:r>
      <w:proofErr w:type="spellEnd"/>
      <w:r w:rsidRPr="007E7F6F">
        <w:t xml:space="preserve"> and Rao (2005).</w:t>
      </w:r>
      <w:r w:rsidRPr="00E333B8">
        <w:t xml:space="preserve"> </w:t>
      </w:r>
      <w:r>
        <w:t>This study examined the impact of federal government policies and changes in student numbers on the productivity growth and quality of outcomes for 35 universities, between the years of 1996 and 2000. S</w:t>
      </w:r>
      <w:r w:rsidRPr="007E2B44">
        <w:t>tudent satisfaction</w:t>
      </w:r>
      <w:r>
        <w:t xml:space="preserve"> rates</w:t>
      </w:r>
      <w:r w:rsidRPr="007E2B44">
        <w:t xml:space="preserve">, </w:t>
      </w:r>
      <w:r>
        <w:t xml:space="preserve">the </w:t>
      </w:r>
      <w:r w:rsidRPr="007E2B44">
        <w:t>proportion of students who were in f</w:t>
      </w:r>
      <w:r>
        <w:t xml:space="preserve">ull-time employment following study, </w:t>
      </w:r>
      <w:r w:rsidRPr="007E2B44">
        <w:t>and average graduate starting salary</w:t>
      </w:r>
      <w:r w:rsidRPr="00CD580B">
        <w:t xml:space="preserve"> </w:t>
      </w:r>
      <w:r>
        <w:t xml:space="preserve">were the factors used to determine quality, while the </w:t>
      </w:r>
      <w:r w:rsidRPr="007E2B44">
        <w:t xml:space="preserve">proportion of students who were from Indigenous, low </w:t>
      </w:r>
      <w:r>
        <w:t>socioeconomic status,</w:t>
      </w:r>
      <w:r w:rsidRPr="007E2B44">
        <w:t xml:space="preserve"> a</w:t>
      </w:r>
      <w:r>
        <w:t>nd rural and remote backgrounds</w:t>
      </w:r>
      <w:r w:rsidRPr="007E2B44">
        <w:t xml:space="preserve"> </w:t>
      </w:r>
      <w:r>
        <w:t>represented the environmental factors.</w:t>
      </w:r>
    </w:p>
    <w:p w:rsidR="0091799B" w:rsidRDefault="0091799B" w:rsidP="0091799B">
      <w:pPr>
        <w:pStyle w:val="Text"/>
      </w:pPr>
      <w:r w:rsidRPr="007E7F6F">
        <w:t>Misko and Halliday-</w:t>
      </w:r>
      <w:proofErr w:type="spellStart"/>
      <w:r w:rsidRPr="007E7F6F">
        <w:t>Wynes</w:t>
      </w:r>
      <w:proofErr w:type="spellEnd"/>
      <w:r w:rsidRPr="007E7F6F">
        <w:t xml:space="preserve"> (2009)</w:t>
      </w:r>
      <w:r w:rsidRPr="00E333B8">
        <w:t xml:space="preserve"> </w:t>
      </w:r>
      <w:r>
        <w:t>investigated how TAFE institutes measured their effectiveness and efficiency.</w:t>
      </w:r>
      <w:r>
        <w:rPr>
          <w:rStyle w:val="FootnoteReference"/>
        </w:rPr>
        <w:footnoteReference w:id="4"/>
      </w:r>
      <w:r w:rsidRPr="00E333B8">
        <w:t xml:space="preserve"> </w:t>
      </w:r>
      <w:r>
        <w:t xml:space="preserve">The results of their </w:t>
      </w:r>
      <w:r w:rsidR="00C77552">
        <w:t>interviews</w:t>
      </w:r>
      <w:r>
        <w:t xml:space="preserve"> show that the key drivers of effective and efficient performance are multifaceted</w:t>
      </w:r>
      <w:r w:rsidR="00C77552">
        <w:t>. Accordingly</w:t>
      </w:r>
      <w:r>
        <w:t xml:space="preserve"> understanding them must take into account the various </w:t>
      </w:r>
      <w:r>
        <w:lastRenderedPageBreak/>
        <w:t xml:space="preserve">operations that enable RTOs to deliver training outcomes, while maintaining relevance, financial and market viability, accountability and quality. The quest for effectiveness and efficiency </w:t>
      </w:r>
      <w:r w:rsidRPr="00E333B8">
        <w:t xml:space="preserve">is also driven by the organisational commitment, energy and capacity of the leadership group as a whole and </w:t>
      </w:r>
      <w:r>
        <w:t xml:space="preserve">managers of </w:t>
      </w:r>
      <w:r w:rsidRPr="00E333B8">
        <w:t xml:space="preserve">teaching and non-teaching faculties. </w:t>
      </w:r>
      <w:r>
        <w:t>Misko and Halliday-</w:t>
      </w:r>
      <w:proofErr w:type="spellStart"/>
      <w:r>
        <w:t>Wynes</w:t>
      </w:r>
      <w:proofErr w:type="spellEnd"/>
      <w:r>
        <w:t xml:space="preserve"> (2009) summarised the key drivers as follows:</w:t>
      </w:r>
    </w:p>
    <w:p w:rsidR="0091799B" w:rsidRPr="00FC7340" w:rsidRDefault="0091799B" w:rsidP="005A11A0">
      <w:pPr>
        <w:pStyle w:val="Dotpoint1"/>
        <w:ind w:left="284" w:hanging="284"/>
        <w:rPr>
          <w:i/>
        </w:rPr>
      </w:pPr>
      <w:r w:rsidRPr="00D330BE">
        <w:rPr>
          <w:i/>
        </w:rPr>
        <w:t>Meeting student and industry needs</w:t>
      </w:r>
      <w:r>
        <w:rPr>
          <w:i/>
        </w:rPr>
        <w:t xml:space="preserve">: </w:t>
      </w:r>
      <w:r>
        <w:t xml:space="preserve">the key purpose of RTOs is to provide students with relevant education and training experiences, that is, those that help them to complete desired or required courses or qualifications and to acquire skills to move into work, progress through work, or transition to further studies. Providing relevant training requires RTOs to understand what industry needs. This is the primary driver of RTO performance. However, to achieve this objective RTOs must ensure that they have the resources necessary to carry out their operations. </w:t>
      </w:r>
    </w:p>
    <w:p w:rsidR="0091799B" w:rsidRPr="00FC7340" w:rsidRDefault="0091799B" w:rsidP="005A11A0">
      <w:pPr>
        <w:pStyle w:val="Dotpoint1"/>
        <w:ind w:left="284" w:hanging="284"/>
        <w:rPr>
          <w:i/>
        </w:rPr>
      </w:pPr>
      <w:r w:rsidRPr="00E96C7B">
        <w:rPr>
          <w:i/>
        </w:rPr>
        <w:t>Negotiating, reviewing and accounting for budgets and resources</w:t>
      </w:r>
      <w:r>
        <w:rPr>
          <w:i/>
        </w:rPr>
        <w:t>:</w:t>
      </w:r>
      <w:r w:rsidRPr="00E96C7B">
        <w:rPr>
          <w:i/>
        </w:rPr>
        <w:t xml:space="preserve"> </w:t>
      </w:r>
      <w:r>
        <w:t>other drivers of performance are connected to funding, budgeting and accountability. They included negotiating the ‘purchase agreement’</w:t>
      </w:r>
      <w:r>
        <w:rPr>
          <w:rStyle w:val="FootnoteReference"/>
        </w:rPr>
        <w:footnoteReference w:id="5"/>
      </w:r>
      <w:r>
        <w:t xml:space="preserve"> with the relevant government department</w:t>
      </w:r>
      <w:r w:rsidR="00C77552">
        <w:t xml:space="preserve"> (when planning to provide government-funded training)</w:t>
      </w:r>
      <w:r>
        <w:t xml:space="preserve">, and subsequently customising the resulting agreement to local needs. </w:t>
      </w:r>
      <w:r w:rsidRPr="00C27309">
        <w:t>Once the resources ha</w:t>
      </w:r>
      <w:r>
        <w:t>d</w:t>
      </w:r>
      <w:r w:rsidRPr="00C27309">
        <w:t xml:space="preserve"> been acquired there </w:t>
      </w:r>
      <w:r>
        <w:t>wa</w:t>
      </w:r>
      <w:r w:rsidRPr="00C27309">
        <w:t xml:space="preserve">s a need to understand how the business </w:t>
      </w:r>
      <w:r>
        <w:t>wa</w:t>
      </w:r>
      <w:r w:rsidRPr="00C27309">
        <w:t xml:space="preserve">s progressing. </w:t>
      </w:r>
      <w:r>
        <w:t xml:space="preserve">In this sense the budget became an important driver of RTO performance. RTOs had developed their own approaches to regular monitoring and review of the ways in which different departments were keeping on track with meeting budget requirements. </w:t>
      </w:r>
    </w:p>
    <w:p w:rsidR="0091799B" w:rsidRPr="00FC7340" w:rsidRDefault="0091799B" w:rsidP="005A11A0">
      <w:pPr>
        <w:pStyle w:val="Dotpoint1"/>
        <w:ind w:left="284" w:hanging="284"/>
        <w:rPr>
          <w:i/>
        </w:rPr>
      </w:pPr>
      <w:r w:rsidRPr="00E96C7B">
        <w:rPr>
          <w:i/>
        </w:rPr>
        <w:t>Meeting regulatory requirements and quality assuring the business</w:t>
      </w:r>
      <w:r>
        <w:t>:</w:t>
      </w:r>
      <w:r w:rsidRPr="00E96C7B">
        <w:rPr>
          <w:i/>
        </w:rPr>
        <w:t xml:space="preserve"> </w:t>
      </w:r>
      <w:r w:rsidRPr="00FC7340">
        <w:t>m</w:t>
      </w:r>
      <w:r>
        <w:t xml:space="preserve">eeting their responsibilities for implementing government regulations, acquiring and maintaining professional accreditations, and ensuring compliance with the Australian Quality Training Framework (AQTF) standards (applying to all jurisdictions in 2009) were found to be other key drivers of performance. </w:t>
      </w:r>
    </w:p>
    <w:p w:rsidR="0091799B" w:rsidRPr="00FC7340" w:rsidRDefault="0091799B" w:rsidP="005A11A0">
      <w:pPr>
        <w:pStyle w:val="Dotpoint1"/>
        <w:ind w:left="284" w:hanging="284"/>
        <w:rPr>
          <w:i/>
        </w:rPr>
      </w:pPr>
      <w:r>
        <w:rPr>
          <w:i/>
        </w:rPr>
        <w:t>Expanding</w:t>
      </w:r>
      <w:r w:rsidRPr="00E96C7B">
        <w:rPr>
          <w:i/>
        </w:rPr>
        <w:t xml:space="preserve"> the business</w:t>
      </w:r>
      <w:r>
        <w:t>: i</w:t>
      </w:r>
      <w:r w:rsidRPr="00C27309">
        <w:t>t was not enough for institutes to depend on government funding</w:t>
      </w:r>
      <w:r>
        <w:t>,</w:t>
      </w:r>
      <w:r w:rsidRPr="00C27309">
        <w:t xml:space="preserve"> </w:t>
      </w:r>
      <w:r>
        <w:t xml:space="preserve">however, and there was a need for the RTO to increase the size of the business by complementing government funds with commercial </w:t>
      </w:r>
      <w:r w:rsidR="00C77552">
        <w:t xml:space="preserve">training </w:t>
      </w:r>
      <w:r>
        <w:t xml:space="preserve">activity. </w:t>
      </w:r>
    </w:p>
    <w:p w:rsidR="0091799B" w:rsidRPr="00720B77" w:rsidRDefault="0091799B" w:rsidP="0091799B">
      <w:pPr>
        <w:pStyle w:val="Dotpoint1"/>
        <w:numPr>
          <w:ilvl w:val="0"/>
          <w:numId w:val="0"/>
        </w:numPr>
      </w:pPr>
      <w:r>
        <w:t>O</w:t>
      </w:r>
      <w:r w:rsidRPr="00E333B8">
        <w:t>ther drivers</w:t>
      </w:r>
      <w:r>
        <w:t xml:space="preserve"> of performance included the establishment of g</w:t>
      </w:r>
      <w:r w:rsidRPr="00E333B8">
        <w:t>ood information management systems</w:t>
      </w:r>
      <w:r>
        <w:t xml:space="preserve">, </w:t>
      </w:r>
      <w:r w:rsidRPr="00E333B8">
        <w:t>the sharing of good practice with other institutes or between faculties</w:t>
      </w:r>
      <w:r>
        <w:t xml:space="preserve">, and the </w:t>
      </w:r>
      <w:r w:rsidRPr="00E333B8">
        <w:t>need to maintain</w:t>
      </w:r>
      <w:r>
        <w:t xml:space="preserve"> </w:t>
      </w:r>
      <w:r w:rsidRPr="00E333B8">
        <w:t>viability in an increasingly contestable market</w:t>
      </w:r>
      <w:r>
        <w:t>. The study by Misko and Halliday-</w:t>
      </w:r>
      <w:proofErr w:type="spellStart"/>
      <w:r>
        <w:t>Wynes</w:t>
      </w:r>
      <w:proofErr w:type="spellEnd"/>
      <w:r>
        <w:t xml:space="preserve"> (2009) illustrates the importance of looking at performance indicators that cover the breadth of RTO operations, while recognising the impact made by individuals in key positions and leadership roles.</w:t>
      </w:r>
    </w:p>
    <w:p w:rsidR="002E0551" w:rsidRPr="00E333B8" w:rsidRDefault="002E0551" w:rsidP="00CA0F36">
      <w:pPr>
        <w:pStyle w:val="Text"/>
      </w:pPr>
      <w:r w:rsidRPr="00441B06">
        <w:t xml:space="preserve">Fieger, </w:t>
      </w:r>
      <w:proofErr w:type="spellStart"/>
      <w:r w:rsidRPr="00441B06">
        <w:t>Karmel</w:t>
      </w:r>
      <w:proofErr w:type="spellEnd"/>
      <w:r w:rsidRPr="00441B06">
        <w:t xml:space="preserve"> and Stanwick</w:t>
      </w:r>
      <w:r w:rsidR="00D346C5" w:rsidRPr="00441B06">
        <w:t xml:space="preserve"> </w:t>
      </w:r>
      <w:r w:rsidR="00036353">
        <w:t>(</w:t>
      </w:r>
      <w:r w:rsidR="002F7C2B" w:rsidRPr="00441B06">
        <w:t>201</w:t>
      </w:r>
      <w:r w:rsidR="00DA34BE" w:rsidRPr="00441B06">
        <w:t>0</w:t>
      </w:r>
      <w:r w:rsidR="00036353">
        <w:t>)</w:t>
      </w:r>
      <w:r w:rsidRPr="00E333B8">
        <w:t xml:space="preserve"> compared the effectiveness and efficiency of 58 TAFE </w:t>
      </w:r>
      <w:r w:rsidR="00036353">
        <w:t xml:space="preserve">(technical and further education) </w:t>
      </w:r>
      <w:r w:rsidRPr="00E333B8">
        <w:t>institutes by using state and territory administra</w:t>
      </w:r>
      <w:r w:rsidR="00036353">
        <w:t>tive data on inputs (comprising</w:t>
      </w:r>
      <w:r w:rsidR="004C2631">
        <w:t xml:space="preserve"> expenditures on salaries</w:t>
      </w:r>
      <w:r w:rsidRPr="00E333B8">
        <w:t xml:space="preserve"> and related expenses and other costs</w:t>
      </w:r>
      <w:r w:rsidR="004C2631">
        <w:t xml:space="preserve">, </w:t>
      </w:r>
      <w:r w:rsidRPr="00E333B8">
        <w:t>excluding capital costs</w:t>
      </w:r>
      <w:r w:rsidR="004C2631">
        <w:t>) and outputs (comprising successful</w:t>
      </w:r>
      <w:r w:rsidRPr="00E333B8">
        <w:t xml:space="preserve"> full-year training </w:t>
      </w:r>
      <w:r w:rsidR="004C2631">
        <w:t>equivalents for trade/technician and non-trade/technician courses</w:t>
      </w:r>
      <w:r w:rsidRPr="00E333B8">
        <w:t xml:space="preserve"> adjusted for load pass rates). </w:t>
      </w:r>
    </w:p>
    <w:p w:rsidR="0091799B" w:rsidRPr="007E2B44" w:rsidRDefault="0092535E" w:rsidP="0091799B">
      <w:pPr>
        <w:pStyle w:val="Text"/>
      </w:pPr>
      <w:r>
        <w:t>Th</w:t>
      </w:r>
      <w:r w:rsidR="002A7A0E">
        <w:t>is research</w:t>
      </w:r>
      <w:r w:rsidR="006E6AC6">
        <w:t xml:space="preserve"> found </w:t>
      </w:r>
      <w:r w:rsidR="00EB0E12" w:rsidRPr="007E2B44">
        <w:t>that</w:t>
      </w:r>
      <w:r w:rsidR="002E0551" w:rsidRPr="007E2B44">
        <w:t xml:space="preserve"> </w:t>
      </w:r>
      <w:r w:rsidR="00D823FC">
        <w:t xml:space="preserve">the </w:t>
      </w:r>
      <w:r w:rsidR="002E0551" w:rsidRPr="007E2B44">
        <w:t xml:space="preserve">drivers of efficiency were significantly affected by environmental factors (location, </w:t>
      </w:r>
      <w:r w:rsidR="004C2631">
        <w:t>institutio</w:t>
      </w:r>
      <w:r w:rsidR="006E6AC6">
        <w:t xml:space="preserve">nal </w:t>
      </w:r>
      <w:r w:rsidR="002E0551" w:rsidRPr="007E2B44">
        <w:t>size and student mix)</w:t>
      </w:r>
      <w:r w:rsidR="00D87F31">
        <w:t>,</w:t>
      </w:r>
      <w:r w:rsidR="002E0551" w:rsidRPr="007E2B44">
        <w:t xml:space="preserve"> which</w:t>
      </w:r>
      <w:r>
        <w:t>,</w:t>
      </w:r>
      <w:r w:rsidR="002E0551" w:rsidRPr="007E2B44">
        <w:t xml:space="preserve"> by their nature</w:t>
      </w:r>
      <w:r>
        <w:t>,</w:t>
      </w:r>
      <w:r w:rsidR="002E0551" w:rsidRPr="007E2B44">
        <w:t xml:space="preserve"> are</w:t>
      </w:r>
      <w:r w:rsidR="00036353">
        <w:t xml:space="preserve"> </w:t>
      </w:r>
      <w:r w:rsidR="002A7A0E">
        <w:t xml:space="preserve">partly </w:t>
      </w:r>
      <w:r w:rsidR="00036353">
        <w:t xml:space="preserve">outside institute </w:t>
      </w:r>
      <w:r w:rsidR="00036353">
        <w:lastRenderedPageBreak/>
        <w:t>control</w:t>
      </w:r>
      <w:r w:rsidR="002A7A0E">
        <w:t xml:space="preserve"> in the short term</w:t>
      </w:r>
      <w:r w:rsidR="005A11A0">
        <w:t>.</w:t>
      </w:r>
      <w:r w:rsidR="002A7A0E">
        <w:rPr>
          <w:rStyle w:val="FootnoteReference"/>
        </w:rPr>
        <w:footnoteReference w:id="6"/>
      </w:r>
      <w:r w:rsidR="00036353">
        <w:t xml:space="preserve"> Their research also</w:t>
      </w:r>
      <w:r w:rsidR="002E0551" w:rsidRPr="007E2B44">
        <w:t xml:space="preserve"> found that the more remote institutes had higher costs of delivery</w:t>
      </w:r>
      <w:r w:rsidR="00036353">
        <w:t>, as well as</w:t>
      </w:r>
      <w:r w:rsidR="002E0551" w:rsidRPr="007E2B44">
        <w:t xml:space="preserve"> a higher number of </w:t>
      </w:r>
      <w:r w:rsidR="00E77943">
        <w:t>I</w:t>
      </w:r>
      <w:r w:rsidR="002E0551" w:rsidRPr="007E2B44">
        <w:t>ndigenous students. The least efficient were rem</w:t>
      </w:r>
      <w:r w:rsidR="004C2631">
        <w:t>ote institutes and those</w:t>
      </w:r>
      <w:r w:rsidR="002E0551" w:rsidRPr="007E2B44">
        <w:t xml:space="preserve"> </w:t>
      </w:r>
      <w:r w:rsidR="00036353">
        <w:t xml:space="preserve">with </w:t>
      </w:r>
      <w:r w:rsidR="002E0551" w:rsidRPr="007E2B44">
        <w:t xml:space="preserve">a high number of </w:t>
      </w:r>
      <w:r w:rsidR="004C2631">
        <w:t>students with a disability</w:t>
      </w:r>
      <w:r w:rsidR="002E0551" w:rsidRPr="007E2B44">
        <w:t>. The size of the institution was also key</w:t>
      </w:r>
      <w:r w:rsidR="00036353">
        <w:t>,</w:t>
      </w:r>
      <w:r w:rsidR="002E0551" w:rsidRPr="007E2B44">
        <w:t xml:space="preserve"> with very small and very large institutes </w:t>
      </w:r>
      <w:r w:rsidR="00D823FC">
        <w:t>demonstrating</w:t>
      </w:r>
      <w:r w:rsidR="002E0551" w:rsidRPr="007E2B44">
        <w:t xml:space="preserve"> lower levels of efficiency; the very small institutes were the least efficient.</w:t>
      </w:r>
      <w:r w:rsidR="002E0551">
        <w:rPr>
          <w:rStyle w:val="FootnoteReference"/>
          <w:szCs w:val="19"/>
        </w:rPr>
        <w:footnoteReference w:id="7"/>
      </w:r>
      <w:r w:rsidR="002E0551" w:rsidRPr="007E2B44">
        <w:t xml:space="preserve"> </w:t>
      </w:r>
      <w:r w:rsidR="0091799B">
        <w:t xml:space="preserve">These findings supported those of </w:t>
      </w:r>
      <w:r w:rsidR="0091799B" w:rsidRPr="007E7F6F">
        <w:t xml:space="preserve">Carrington, </w:t>
      </w:r>
      <w:proofErr w:type="spellStart"/>
      <w:r w:rsidR="0091799B" w:rsidRPr="007E7F6F">
        <w:t>Coelli</w:t>
      </w:r>
      <w:proofErr w:type="spellEnd"/>
      <w:r w:rsidR="0091799B" w:rsidRPr="007E7F6F">
        <w:t xml:space="preserve"> and Rao (</w:t>
      </w:r>
      <w:r w:rsidR="0091799B">
        <w:t xml:space="preserve">op </w:t>
      </w:r>
      <w:proofErr w:type="spellStart"/>
      <w:r w:rsidR="0091799B">
        <w:t>cit</w:t>
      </w:r>
      <w:proofErr w:type="spellEnd"/>
      <w:r w:rsidR="0091799B">
        <w:t xml:space="preserve">) </w:t>
      </w:r>
      <w:r w:rsidR="0091799B" w:rsidRPr="007E2B44">
        <w:t xml:space="preserve">that efficiency was lower for institutions </w:t>
      </w:r>
      <w:r w:rsidR="0091799B">
        <w:t>with</w:t>
      </w:r>
      <w:r w:rsidR="0091799B" w:rsidRPr="007E2B44">
        <w:t xml:space="preserve"> higher proportions of I</w:t>
      </w:r>
      <w:r w:rsidR="0091799B">
        <w:t>ndigenous students</w:t>
      </w:r>
      <w:r w:rsidR="0091799B" w:rsidRPr="007E2B44">
        <w:t xml:space="preserve"> and students in rural and remote locations.</w:t>
      </w:r>
      <w:r w:rsidR="0091799B">
        <w:t xml:space="preserve"> </w:t>
      </w:r>
    </w:p>
    <w:p w:rsidR="002E0551" w:rsidRDefault="00EB0E12" w:rsidP="00CA0F36">
      <w:pPr>
        <w:pStyle w:val="Text"/>
      </w:pPr>
      <w:r>
        <w:t xml:space="preserve">In Fieger, </w:t>
      </w:r>
      <w:proofErr w:type="spellStart"/>
      <w:r>
        <w:t>Karmel</w:t>
      </w:r>
      <w:proofErr w:type="spellEnd"/>
      <w:r>
        <w:t xml:space="preserve"> and </w:t>
      </w:r>
      <w:proofErr w:type="spellStart"/>
      <w:r>
        <w:t>Stanwick</w:t>
      </w:r>
      <w:r w:rsidR="00D823FC">
        <w:t>’s</w:t>
      </w:r>
      <w:proofErr w:type="spellEnd"/>
      <w:r w:rsidR="00D823FC">
        <w:t xml:space="preserve"> study</w:t>
      </w:r>
      <w:r w:rsidR="00036353">
        <w:t xml:space="preserve"> (2010)</w:t>
      </w:r>
      <w:r>
        <w:t>, e</w:t>
      </w:r>
      <w:r w:rsidR="002E0551" w:rsidRPr="007E2B44">
        <w:t>ffectiveness</w:t>
      </w:r>
      <w:r w:rsidR="002E0551">
        <w:t xml:space="preserve"> referred to </w:t>
      </w:r>
      <w:r w:rsidR="002E0551" w:rsidRPr="007E2B44">
        <w:t>the quality of the training</w:t>
      </w:r>
      <w:r w:rsidR="0092535E">
        <w:t>,</w:t>
      </w:r>
      <w:r w:rsidR="002E0551" w:rsidRPr="007E2B44">
        <w:t xml:space="preserve"> </w:t>
      </w:r>
      <w:r w:rsidR="00D823FC">
        <w:t xml:space="preserve">as </w:t>
      </w:r>
      <w:r w:rsidR="002E0551" w:rsidRPr="007E2B44">
        <w:t>measured by the achievement of students and whether or not they would recommend the institution to others.</w:t>
      </w:r>
      <w:r w:rsidR="002E0551">
        <w:rPr>
          <w:rStyle w:val="FootnoteReference"/>
          <w:szCs w:val="19"/>
        </w:rPr>
        <w:footnoteReference w:id="8"/>
      </w:r>
      <w:r w:rsidR="002E0551" w:rsidRPr="007E2B44">
        <w:t xml:space="preserve"> These indicators were measured by: percentage of students who achieved their main goal</w:t>
      </w:r>
      <w:r w:rsidR="00036353">
        <w:t>; load pass rates;</w:t>
      </w:r>
      <w:r w:rsidR="002E0551" w:rsidRPr="007E2B44">
        <w:t xml:space="preserve"> </w:t>
      </w:r>
      <w:r w:rsidR="004274F7">
        <w:t xml:space="preserve">and </w:t>
      </w:r>
      <w:r w:rsidR="004C2631">
        <w:t xml:space="preserve">the </w:t>
      </w:r>
      <w:r w:rsidR="002E0551" w:rsidRPr="007E2B44">
        <w:t xml:space="preserve">percentage </w:t>
      </w:r>
      <w:r w:rsidR="002F7C2B">
        <w:t xml:space="preserve">who </w:t>
      </w:r>
      <w:r w:rsidR="002E0551" w:rsidRPr="007E2B44">
        <w:t xml:space="preserve">would recommend the institution. </w:t>
      </w:r>
      <w:r w:rsidR="00D823FC">
        <w:t xml:space="preserve">Fieger, </w:t>
      </w:r>
      <w:proofErr w:type="spellStart"/>
      <w:r w:rsidR="00D823FC">
        <w:t>Karmel</w:t>
      </w:r>
      <w:proofErr w:type="spellEnd"/>
      <w:r w:rsidR="00D823FC">
        <w:t xml:space="preserve"> and Stanwick (2010) </w:t>
      </w:r>
      <w:r w:rsidR="002E0551" w:rsidRPr="00E333B8">
        <w:t xml:space="preserve">concluded </w:t>
      </w:r>
      <w:r w:rsidR="005F4399">
        <w:t xml:space="preserve">upon this basis </w:t>
      </w:r>
      <w:r w:rsidR="002E0551" w:rsidRPr="00E333B8">
        <w:t>that the more efficient instit</w:t>
      </w:r>
      <w:r w:rsidR="00036353">
        <w:t>utes</w:t>
      </w:r>
      <w:r w:rsidR="00D823FC">
        <w:t>,</w:t>
      </w:r>
      <w:r w:rsidR="00036353">
        <w:t xml:space="preserve"> on average</w:t>
      </w:r>
      <w:r w:rsidR="00D823FC">
        <w:t>,</w:t>
      </w:r>
      <w:r w:rsidR="00036353">
        <w:t xml:space="preserve"> produced better-</w:t>
      </w:r>
      <w:r w:rsidR="002E0551" w:rsidRPr="00E333B8">
        <w:t>quality</w:t>
      </w:r>
      <w:r w:rsidR="004274F7">
        <w:t xml:space="preserve"> </w:t>
      </w:r>
      <w:r w:rsidR="002E0551" w:rsidRPr="00E333B8">
        <w:t>training. The</w:t>
      </w:r>
      <w:r w:rsidR="00036353">
        <w:t xml:space="preserve"> researchers</w:t>
      </w:r>
      <w:r w:rsidR="002E0551" w:rsidRPr="00E333B8">
        <w:t xml:space="preserve"> </w:t>
      </w:r>
      <w:r w:rsidR="00036353">
        <w:t>claimed</w:t>
      </w:r>
      <w:r w:rsidR="002E0551" w:rsidRPr="00E333B8">
        <w:t xml:space="preserve"> that </w:t>
      </w:r>
      <w:r w:rsidR="00036353">
        <w:t>the study’s impact lay in its ability to assist in</w:t>
      </w:r>
      <w:r w:rsidR="002E0551" w:rsidRPr="00E333B8">
        <w:t xml:space="preserve"> benchmarking between institutes </w:t>
      </w:r>
      <w:r w:rsidR="00CD580B">
        <w:t>and therefore</w:t>
      </w:r>
      <w:r w:rsidR="002E0551" w:rsidRPr="00E333B8">
        <w:t xml:space="preserve"> infor</w:t>
      </w:r>
      <w:r w:rsidR="00036353">
        <w:t>m government planning decisions;</w:t>
      </w:r>
      <w:r w:rsidR="002E0551" w:rsidRPr="00E333B8">
        <w:t xml:space="preserve"> that is, that there was</w:t>
      </w:r>
      <w:r w:rsidR="0091799B">
        <w:t xml:space="preserve"> potentially</w:t>
      </w:r>
      <w:r w:rsidR="002E0551" w:rsidRPr="00E333B8">
        <w:t xml:space="preserve"> an optimal </w:t>
      </w:r>
      <w:r w:rsidR="004C2631">
        <w:t xml:space="preserve">institution </w:t>
      </w:r>
      <w:r w:rsidR="002E0551" w:rsidRPr="00E333B8">
        <w:t>size</w:t>
      </w:r>
      <w:r w:rsidR="0092535E">
        <w:t>, one</w:t>
      </w:r>
      <w:r w:rsidR="002E0551" w:rsidRPr="00E333B8">
        <w:t xml:space="preserve"> that predicted efficiency and effectiveness. </w:t>
      </w:r>
    </w:p>
    <w:p w:rsidR="00E876C6" w:rsidRDefault="00BF2AF4" w:rsidP="007E7F6F">
      <w:pPr>
        <w:pStyle w:val="Heading3"/>
      </w:pPr>
      <w:bookmarkStart w:id="24" w:name="_Toc491860729"/>
      <w:r>
        <w:t xml:space="preserve">RTO </w:t>
      </w:r>
      <w:r w:rsidR="00573B57">
        <w:t>p</w:t>
      </w:r>
      <w:r w:rsidR="00394E65">
        <w:t>erformance i</w:t>
      </w:r>
      <w:r w:rsidR="00E876C6">
        <w:t xml:space="preserve">ndicator </w:t>
      </w:r>
      <w:r w:rsidR="00394E65">
        <w:t>trials</w:t>
      </w:r>
      <w:bookmarkEnd w:id="24"/>
    </w:p>
    <w:p w:rsidR="007A28A3" w:rsidRDefault="000E74CA" w:rsidP="007A28A3">
      <w:pPr>
        <w:pStyle w:val="Text"/>
      </w:pPr>
      <w:r>
        <w:t xml:space="preserve">In more recent years, </w:t>
      </w:r>
      <w:r w:rsidR="00BD34A6">
        <w:t>the Australian G</w:t>
      </w:r>
      <w:r w:rsidR="0046028F">
        <w:t xml:space="preserve">overnment has </w:t>
      </w:r>
      <w:r w:rsidR="00FF6EB5">
        <w:t xml:space="preserve">driven projects </w:t>
      </w:r>
      <w:r w:rsidR="00866889">
        <w:t>investigating</w:t>
      </w:r>
      <w:r w:rsidR="00FF6EB5">
        <w:t xml:space="preserve"> the application of performance indicators </w:t>
      </w:r>
      <w:r w:rsidR="00866889">
        <w:t>to evaluate</w:t>
      </w:r>
      <w:r w:rsidR="00FF6EB5">
        <w:t xml:space="preserve"> the success of the VET system. Desktop evaluations conducted by </w:t>
      </w:r>
      <w:r w:rsidR="00BD34A6">
        <w:t>the various</w:t>
      </w:r>
      <w:r w:rsidR="00FF6EB5">
        <w:t xml:space="preserve"> state </w:t>
      </w:r>
      <w:r w:rsidR="002E0551" w:rsidRPr="00E333B8">
        <w:t xml:space="preserve">governments </w:t>
      </w:r>
      <w:r w:rsidR="00D702EF">
        <w:t>assessed the</w:t>
      </w:r>
      <w:r w:rsidR="00F117C5">
        <w:t xml:space="preserve"> </w:t>
      </w:r>
      <w:r w:rsidR="00BD34A6">
        <w:t xml:space="preserve">adequacy — </w:t>
      </w:r>
      <w:r w:rsidR="00F117C5" w:rsidRPr="00E333B8">
        <w:t xml:space="preserve">strengths, weaknesses and gaps </w:t>
      </w:r>
      <w:r w:rsidR="00BD34A6">
        <w:t xml:space="preserve">— </w:t>
      </w:r>
      <w:r w:rsidR="00F117C5" w:rsidRPr="00E333B8">
        <w:t>of a trial set of performance indica</w:t>
      </w:r>
      <w:r w:rsidR="00F117C5">
        <w:t>tors (Standing Council on Tertiary Ed</w:t>
      </w:r>
      <w:r w:rsidR="000D1A47">
        <w:t>ucation, Skills and Employment [</w:t>
      </w:r>
      <w:r w:rsidR="00F117C5">
        <w:t>SCOTESE</w:t>
      </w:r>
      <w:r w:rsidR="000D1A47">
        <w:t>]</w:t>
      </w:r>
      <w:r w:rsidR="00F117C5">
        <w:t xml:space="preserve"> Data and Performance M</w:t>
      </w:r>
      <w:r w:rsidR="00F117C5" w:rsidRPr="00DB3ACD">
        <w:t>easuremen</w:t>
      </w:r>
      <w:r w:rsidR="00F117C5">
        <w:t>t Principal C</w:t>
      </w:r>
      <w:r w:rsidR="00F117C5" w:rsidRPr="00DB3ACD">
        <w:t>ommittee</w:t>
      </w:r>
      <w:r w:rsidR="00F117C5">
        <w:t xml:space="preserve"> 2014).</w:t>
      </w:r>
      <w:r w:rsidR="000D1A47">
        <w:t xml:space="preserve"> </w:t>
      </w:r>
      <w:r w:rsidR="007A28A3">
        <w:t>In V</w:t>
      </w:r>
      <w:r w:rsidR="00BE06D6">
        <w:t>ictoria</w:t>
      </w:r>
      <w:r w:rsidR="007A28A3">
        <w:t xml:space="preserve"> and Western Australia</w:t>
      </w:r>
      <w:r w:rsidR="00BE06D6">
        <w:t xml:space="preserve"> </w:t>
      </w:r>
      <w:r w:rsidR="002D7213">
        <w:t xml:space="preserve">the </w:t>
      </w:r>
      <w:r w:rsidR="00E217E1">
        <w:t>desk</w:t>
      </w:r>
      <w:r w:rsidR="00D861F4">
        <w:t xml:space="preserve">top evaluation </w:t>
      </w:r>
      <w:r w:rsidR="00974A4A">
        <w:t>comprised the collation of</w:t>
      </w:r>
      <w:r w:rsidR="002D7213">
        <w:t xml:space="preserve"> </w:t>
      </w:r>
      <w:r w:rsidR="00BD34A6">
        <w:t>readily</w:t>
      </w:r>
      <w:r w:rsidR="002D7213">
        <w:t xml:space="preserve"> accessible data</w:t>
      </w:r>
      <w:r w:rsidR="007A28A3">
        <w:t xml:space="preserve"> </w:t>
      </w:r>
      <w:r w:rsidR="002D7213">
        <w:t xml:space="preserve">on </w:t>
      </w:r>
      <w:r w:rsidR="000D1A47">
        <w:t>performance i</w:t>
      </w:r>
      <w:r w:rsidR="007A3E40">
        <w:t>ndicators</w:t>
      </w:r>
      <w:r w:rsidR="002D7213">
        <w:t xml:space="preserve"> for a sample of RTOs</w:t>
      </w:r>
      <w:r w:rsidR="007A3E40">
        <w:t xml:space="preserve"> </w:t>
      </w:r>
      <w:r w:rsidR="00D861F4">
        <w:t>and compared these with</w:t>
      </w:r>
      <w:r w:rsidR="00D702EF">
        <w:t xml:space="preserve"> </w:t>
      </w:r>
      <w:r w:rsidR="002D7213">
        <w:t xml:space="preserve">the perceptions of </w:t>
      </w:r>
      <w:r w:rsidR="00BE06D6">
        <w:t xml:space="preserve">RTO contract </w:t>
      </w:r>
      <w:r w:rsidR="004F48D6">
        <w:t xml:space="preserve">managers </w:t>
      </w:r>
      <w:r w:rsidR="00BE06D6">
        <w:t>and</w:t>
      </w:r>
      <w:r w:rsidR="002D7213">
        <w:t xml:space="preserve"> managers from</w:t>
      </w:r>
      <w:r w:rsidR="00BE06D6">
        <w:t xml:space="preserve"> TAFE governance areas</w:t>
      </w:r>
      <w:r w:rsidR="007A28A3">
        <w:t xml:space="preserve"> (in Victoria) and</w:t>
      </w:r>
      <w:r w:rsidR="00BE06D6">
        <w:t xml:space="preserve"> contract managers and VET regulator representatives</w:t>
      </w:r>
      <w:r w:rsidR="000D1A47">
        <w:t xml:space="preserve"> (</w:t>
      </w:r>
      <w:r w:rsidR="00974A4A">
        <w:t xml:space="preserve">in </w:t>
      </w:r>
      <w:r w:rsidR="007A28A3">
        <w:t>Western Australia</w:t>
      </w:r>
      <w:r w:rsidR="004D4A3F">
        <w:t>)</w:t>
      </w:r>
      <w:r w:rsidR="001663DE" w:rsidRPr="00E333B8">
        <w:t xml:space="preserve">. </w:t>
      </w:r>
      <w:r w:rsidR="007A28A3">
        <w:t xml:space="preserve">The trial list of performance indicators used in the </w:t>
      </w:r>
      <w:r w:rsidR="00E217E1">
        <w:t>desk</w:t>
      </w:r>
      <w:r w:rsidR="00560A72">
        <w:t xml:space="preserve">top </w:t>
      </w:r>
      <w:r w:rsidR="007A28A3">
        <w:t>evaluation</w:t>
      </w:r>
      <w:r w:rsidR="00560A72">
        <w:t>s</w:t>
      </w:r>
      <w:r w:rsidR="007A28A3">
        <w:t xml:space="preserve"> </w:t>
      </w:r>
      <w:r w:rsidR="00BD34A6">
        <w:t>is</w:t>
      </w:r>
      <w:r w:rsidR="00560A72">
        <w:t xml:space="preserve"> shown in table 1.</w:t>
      </w:r>
      <w:r w:rsidR="007A28A3">
        <w:t xml:space="preserve"> </w:t>
      </w:r>
    </w:p>
    <w:p w:rsidR="00A85ABF" w:rsidRDefault="00A85ABF">
      <w:pPr>
        <w:spacing w:before="0" w:line="240" w:lineRule="auto"/>
        <w:rPr>
          <w:rFonts w:ascii="Arial" w:hAnsi="Arial"/>
          <w:b/>
          <w:sz w:val="17"/>
        </w:rPr>
      </w:pPr>
      <w:r>
        <w:br w:type="page"/>
      </w:r>
    </w:p>
    <w:p w:rsidR="00ED0D38" w:rsidRDefault="00E217E1" w:rsidP="00E217E1">
      <w:pPr>
        <w:pStyle w:val="Tabletitle0"/>
      </w:pPr>
      <w:r>
        <w:lastRenderedPageBreak/>
        <w:t>Table 1</w:t>
      </w:r>
      <w:r w:rsidR="00A85ABF">
        <w:tab/>
      </w:r>
      <w:r>
        <w:t xml:space="preserve">Trialled performance indicators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1275"/>
        <w:gridCol w:w="1276"/>
      </w:tblGrid>
      <w:tr w:rsidR="00560A72" w:rsidTr="00A85ABF">
        <w:trPr>
          <w:trHeight w:val="523"/>
        </w:trPr>
        <w:tc>
          <w:tcPr>
            <w:tcW w:w="6204" w:type="dxa"/>
            <w:tcBorders>
              <w:top w:val="single" w:sz="4" w:space="0" w:color="auto"/>
              <w:bottom w:val="single" w:sz="4" w:space="0" w:color="000000" w:themeColor="text1"/>
              <w:right w:val="nil"/>
            </w:tcBorders>
          </w:tcPr>
          <w:p w:rsidR="00ED0D38" w:rsidRDefault="00ED0D38" w:rsidP="00991846">
            <w:pPr>
              <w:pStyle w:val="Text"/>
              <w:spacing w:before="120" w:line="240" w:lineRule="auto"/>
              <w:ind w:right="0"/>
            </w:pPr>
          </w:p>
        </w:tc>
        <w:tc>
          <w:tcPr>
            <w:tcW w:w="1275" w:type="dxa"/>
            <w:tcBorders>
              <w:top w:val="single" w:sz="4" w:space="0" w:color="auto"/>
              <w:left w:val="nil"/>
              <w:bottom w:val="single" w:sz="4" w:space="0" w:color="000000" w:themeColor="text1"/>
              <w:right w:val="nil"/>
            </w:tcBorders>
          </w:tcPr>
          <w:p w:rsidR="00ED0D38" w:rsidRPr="00A85ABF" w:rsidRDefault="00ED0D38" w:rsidP="00A85ABF">
            <w:pPr>
              <w:pStyle w:val="Tablehead1"/>
              <w:jc w:val="center"/>
            </w:pPr>
            <w:r w:rsidRPr="00A85ABF">
              <w:t>Victoria</w:t>
            </w:r>
          </w:p>
        </w:tc>
        <w:tc>
          <w:tcPr>
            <w:tcW w:w="1276" w:type="dxa"/>
            <w:tcBorders>
              <w:top w:val="single" w:sz="4" w:space="0" w:color="auto"/>
              <w:left w:val="nil"/>
              <w:bottom w:val="single" w:sz="4" w:space="0" w:color="000000" w:themeColor="text1"/>
            </w:tcBorders>
          </w:tcPr>
          <w:p w:rsidR="00ED0D38" w:rsidRPr="00A85ABF" w:rsidRDefault="00ED0D38" w:rsidP="00A85ABF">
            <w:pPr>
              <w:pStyle w:val="Tablehead1"/>
              <w:jc w:val="center"/>
            </w:pPr>
            <w:r w:rsidRPr="00A85ABF">
              <w:t>Western Australia</w:t>
            </w:r>
          </w:p>
        </w:tc>
      </w:tr>
      <w:tr w:rsidR="00366BA7" w:rsidTr="00A85ABF">
        <w:trPr>
          <w:trHeight w:val="70"/>
        </w:trPr>
        <w:tc>
          <w:tcPr>
            <w:tcW w:w="6204" w:type="dxa"/>
            <w:tcBorders>
              <w:top w:val="single" w:sz="4" w:space="0" w:color="000000" w:themeColor="text1"/>
              <w:right w:val="nil"/>
            </w:tcBorders>
          </w:tcPr>
          <w:p w:rsidR="00366BA7" w:rsidRPr="00E217E1" w:rsidRDefault="00366BA7" w:rsidP="00A85ABF">
            <w:pPr>
              <w:pStyle w:val="Dotpoint1"/>
              <w:numPr>
                <w:ilvl w:val="0"/>
                <w:numId w:val="0"/>
              </w:numPr>
              <w:spacing w:before="40"/>
              <w:ind w:left="360" w:hanging="360"/>
              <w:rPr>
                <w:rFonts w:ascii="Arial" w:hAnsi="Arial"/>
                <w:sz w:val="16"/>
                <w:szCs w:val="16"/>
              </w:rPr>
            </w:pPr>
            <w:r>
              <w:rPr>
                <w:rFonts w:ascii="Arial" w:hAnsi="Arial"/>
                <w:sz w:val="16"/>
                <w:szCs w:val="16"/>
              </w:rPr>
              <w:t>I</w:t>
            </w:r>
            <w:r w:rsidRPr="00E217E1">
              <w:rPr>
                <w:rFonts w:ascii="Arial" w:hAnsi="Arial"/>
                <w:sz w:val="16"/>
                <w:szCs w:val="16"/>
              </w:rPr>
              <w:t>mproved employment status for those who have completed training</w:t>
            </w:r>
          </w:p>
        </w:tc>
        <w:tc>
          <w:tcPr>
            <w:tcW w:w="1275" w:type="dxa"/>
            <w:tcBorders>
              <w:top w:val="single" w:sz="4" w:space="0" w:color="000000" w:themeColor="text1"/>
              <w:left w:val="nil"/>
              <w:right w:val="nil"/>
            </w:tcBorders>
          </w:tcPr>
          <w:p w:rsidR="00366BA7" w:rsidRPr="00E217E1" w:rsidRDefault="00366BA7" w:rsidP="00A85ABF">
            <w:pPr>
              <w:pStyle w:val="Text"/>
              <w:spacing w:before="40"/>
              <w:jc w:val="center"/>
              <w:rPr>
                <w:rFonts w:ascii="Arial" w:hAnsi="Arial"/>
                <w:sz w:val="16"/>
                <w:szCs w:val="16"/>
              </w:rPr>
            </w:pPr>
            <w:r>
              <w:rPr>
                <w:rFonts w:ascii="Zapf Dingbats" w:hAnsi="Zapf Dingbats"/>
                <w:color w:val="000000"/>
              </w:rPr>
              <w:sym w:font="Wingdings 2" w:char="F050"/>
            </w:r>
          </w:p>
        </w:tc>
        <w:tc>
          <w:tcPr>
            <w:tcW w:w="1276" w:type="dxa"/>
            <w:tcBorders>
              <w:top w:val="single" w:sz="4" w:space="0" w:color="000000" w:themeColor="text1"/>
              <w:left w:val="nil"/>
            </w:tcBorders>
          </w:tcPr>
          <w:p w:rsidR="00366BA7" w:rsidRPr="00E217E1" w:rsidRDefault="00366BA7" w:rsidP="00A85ABF">
            <w:pPr>
              <w:pStyle w:val="Text"/>
              <w:spacing w:before="40"/>
              <w:jc w:val="center"/>
              <w:rPr>
                <w:rFonts w:ascii="Arial" w:hAnsi="Arial"/>
                <w:sz w:val="16"/>
                <w:szCs w:val="16"/>
              </w:rPr>
            </w:pPr>
            <w:r w:rsidRPr="00197E40">
              <w:rPr>
                <w:rFonts w:ascii="Zapf Dingbats" w:hAnsi="Zapf Dingbats"/>
                <w:color w:val="000000"/>
              </w:rPr>
              <w:sym w:font="Wingdings 2" w:char="F050"/>
            </w:r>
          </w:p>
        </w:tc>
      </w:tr>
      <w:tr w:rsidR="00366BA7" w:rsidTr="00A85ABF">
        <w:trPr>
          <w:trHeight w:val="80"/>
        </w:trPr>
        <w:tc>
          <w:tcPr>
            <w:tcW w:w="6204" w:type="dxa"/>
            <w:tcBorders>
              <w:right w:val="nil"/>
            </w:tcBorders>
          </w:tcPr>
          <w:p w:rsidR="00366BA7" w:rsidRPr="00E217E1" w:rsidRDefault="00366BA7" w:rsidP="00A85ABF">
            <w:pPr>
              <w:pStyle w:val="Dotpoint1"/>
              <w:numPr>
                <w:ilvl w:val="0"/>
                <w:numId w:val="0"/>
              </w:numPr>
              <w:spacing w:before="40"/>
              <w:ind w:left="360" w:hanging="360"/>
              <w:rPr>
                <w:rFonts w:ascii="Arial" w:hAnsi="Arial"/>
                <w:sz w:val="16"/>
                <w:szCs w:val="16"/>
              </w:rPr>
            </w:pPr>
            <w:r>
              <w:rPr>
                <w:rFonts w:ascii="Arial" w:hAnsi="Arial"/>
                <w:sz w:val="16"/>
                <w:szCs w:val="16"/>
              </w:rPr>
              <w:t>S</w:t>
            </w:r>
            <w:r w:rsidRPr="00E217E1">
              <w:rPr>
                <w:rFonts w:ascii="Arial" w:hAnsi="Arial"/>
                <w:sz w:val="16"/>
                <w:szCs w:val="16"/>
              </w:rPr>
              <w:t>alary of full-time workers after training</w:t>
            </w:r>
          </w:p>
        </w:tc>
        <w:tc>
          <w:tcPr>
            <w:tcW w:w="1275" w:type="dxa"/>
            <w:tcBorders>
              <w:left w:val="nil"/>
              <w:right w:val="nil"/>
            </w:tcBorders>
          </w:tcPr>
          <w:p w:rsidR="00366BA7" w:rsidRPr="00E217E1" w:rsidRDefault="00366BA7" w:rsidP="00A85ABF">
            <w:pPr>
              <w:pStyle w:val="Text"/>
              <w:spacing w:before="40"/>
              <w:jc w:val="center"/>
              <w:rPr>
                <w:rFonts w:ascii="Arial" w:hAnsi="Arial"/>
                <w:sz w:val="16"/>
                <w:szCs w:val="16"/>
              </w:rPr>
            </w:pPr>
            <w:r w:rsidRPr="00266AEB">
              <w:rPr>
                <w:rFonts w:ascii="Zapf Dingbats" w:hAnsi="Zapf Dingbats"/>
                <w:color w:val="000000"/>
              </w:rPr>
              <w:sym w:font="Wingdings 2" w:char="F050"/>
            </w:r>
          </w:p>
        </w:tc>
        <w:tc>
          <w:tcPr>
            <w:tcW w:w="1276" w:type="dxa"/>
            <w:tcBorders>
              <w:left w:val="nil"/>
            </w:tcBorders>
          </w:tcPr>
          <w:p w:rsidR="00366BA7" w:rsidRPr="00E217E1" w:rsidRDefault="00366BA7" w:rsidP="00A85ABF">
            <w:pPr>
              <w:pStyle w:val="Text"/>
              <w:spacing w:before="40"/>
              <w:jc w:val="center"/>
              <w:rPr>
                <w:rFonts w:ascii="Arial" w:hAnsi="Arial"/>
                <w:sz w:val="16"/>
                <w:szCs w:val="16"/>
              </w:rPr>
            </w:pPr>
            <w:r w:rsidRPr="00197E40">
              <w:rPr>
                <w:rFonts w:ascii="Zapf Dingbats" w:hAnsi="Zapf Dingbats"/>
                <w:color w:val="000000"/>
              </w:rPr>
              <w:sym w:font="Wingdings 2" w:char="F050"/>
            </w:r>
          </w:p>
        </w:tc>
      </w:tr>
      <w:tr w:rsidR="00366BA7" w:rsidTr="00A85ABF">
        <w:tc>
          <w:tcPr>
            <w:tcW w:w="6204" w:type="dxa"/>
            <w:tcBorders>
              <w:right w:val="nil"/>
            </w:tcBorders>
          </w:tcPr>
          <w:p w:rsidR="00366BA7" w:rsidRPr="00E217E1" w:rsidRDefault="00366BA7" w:rsidP="00A85ABF">
            <w:pPr>
              <w:pStyle w:val="Dotpoint1"/>
              <w:numPr>
                <w:ilvl w:val="0"/>
                <w:numId w:val="0"/>
              </w:numPr>
              <w:spacing w:before="40"/>
              <w:ind w:left="360" w:hanging="360"/>
              <w:rPr>
                <w:rFonts w:ascii="Arial" w:hAnsi="Arial"/>
                <w:sz w:val="16"/>
                <w:szCs w:val="16"/>
              </w:rPr>
            </w:pPr>
            <w:r>
              <w:rPr>
                <w:rFonts w:ascii="Arial" w:hAnsi="Arial"/>
                <w:sz w:val="16"/>
                <w:szCs w:val="16"/>
              </w:rPr>
              <w:t>P</w:t>
            </w:r>
            <w:r w:rsidRPr="00E217E1">
              <w:rPr>
                <w:rFonts w:ascii="Arial" w:hAnsi="Arial"/>
                <w:sz w:val="16"/>
                <w:szCs w:val="16"/>
              </w:rPr>
              <w:t>roportion of training completed</w:t>
            </w:r>
            <w:r w:rsidRPr="0092535E">
              <w:rPr>
                <w:rFonts w:ascii="Arial" w:hAnsi="Arial"/>
                <w:sz w:val="16"/>
                <w:szCs w:val="16"/>
                <w:vertAlign w:val="superscript"/>
              </w:rPr>
              <w:t>†</w:t>
            </w:r>
          </w:p>
        </w:tc>
        <w:tc>
          <w:tcPr>
            <w:tcW w:w="1275" w:type="dxa"/>
            <w:tcBorders>
              <w:left w:val="nil"/>
              <w:right w:val="nil"/>
            </w:tcBorders>
          </w:tcPr>
          <w:p w:rsidR="00366BA7" w:rsidRPr="00E217E1" w:rsidRDefault="00366BA7" w:rsidP="00A85ABF">
            <w:pPr>
              <w:pStyle w:val="Text"/>
              <w:spacing w:before="40"/>
              <w:jc w:val="center"/>
              <w:rPr>
                <w:rFonts w:ascii="Arial" w:hAnsi="Arial"/>
                <w:sz w:val="16"/>
                <w:szCs w:val="16"/>
              </w:rPr>
            </w:pPr>
            <w:r w:rsidRPr="00266AEB">
              <w:rPr>
                <w:rFonts w:ascii="Zapf Dingbats" w:hAnsi="Zapf Dingbats"/>
                <w:color w:val="000000"/>
              </w:rPr>
              <w:sym w:font="Wingdings 2" w:char="F050"/>
            </w:r>
          </w:p>
        </w:tc>
        <w:tc>
          <w:tcPr>
            <w:tcW w:w="1276" w:type="dxa"/>
            <w:tcBorders>
              <w:left w:val="nil"/>
            </w:tcBorders>
          </w:tcPr>
          <w:p w:rsidR="00366BA7" w:rsidRPr="00E217E1" w:rsidRDefault="00366BA7" w:rsidP="00A85ABF">
            <w:pPr>
              <w:pStyle w:val="Text"/>
              <w:spacing w:before="40"/>
              <w:jc w:val="center"/>
              <w:rPr>
                <w:rFonts w:ascii="Arial" w:hAnsi="Arial"/>
                <w:sz w:val="16"/>
                <w:szCs w:val="16"/>
              </w:rPr>
            </w:pPr>
          </w:p>
        </w:tc>
      </w:tr>
      <w:tr w:rsidR="00366BA7" w:rsidTr="00A85ABF">
        <w:tc>
          <w:tcPr>
            <w:tcW w:w="6204" w:type="dxa"/>
            <w:tcBorders>
              <w:bottom w:val="nil"/>
              <w:right w:val="nil"/>
            </w:tcBorders>
          </w:tcPr>
          <w:p w:rsidR="00366BA7" w:rsidRPr="00E217E1" w:rsidRDefault="00366BA7" w:rsidP="00A85ABF">
            <w:pPr>
              <w:pStyle w:val="Dotpoint1"/>
              <w:numPr>
                <w:ilvl w:val="0"/>
                <w:numId w:val="0"/>
              </w:numPr>
              <w:spacing w:before="40"/>
              <w:ind w:left="360" w:hanging="360"/>
              <w:rPr>
                <w:rFonts w:ascii="Arial" w:hAnsi="Arial"/>
                <w:sz w:val="16"/>
                <w:szCs w:val="16"/>
              </w:rPr>
            </w:pPr>
            <w:r w:rsidRPr="00E217E1">
              <w:rPr>
                <w:rFonts w:ascii="Arial" w:hAnsi="Arial"/>
                <w:sz w:val="16"/>
                <w:szCs w:val="16"/>
              </w:rPr>
              <w:t>VET graduates have improved foundation skills following training completion</w:t>
            </w:r>
            <w:r w:rsidRPr="0092535E">
              <w:rPr>
                <w:rFonts w:ascii="Arial" w:hAnsi="Arial"/>
                <w:sz w:val="16"/>
                <w:szCs w:val="16"/>
                <w:vertAlign w:val="superscript"/>
              </w:rPr>
              <w:t>†</w:t>
            </w:r>
          </w:p>
        </w:tc>
        <w:tc>
          <w:tcPr>
            <w:tcW w:w="1275" w:type="dxa"/>
            <w:tcBorders>
              <w:left w:val="nil"/>
              <w:bottom w:val="nil"/>
              <w:right w:val="nil"/>
            </w:tcBorders>
          </w:tcPr>
          <w:p w:rsidR="00366BA7" w:rsidRPr="00E217E1" w:rsidRDefault="00366BA7" w:rsidP="00A85ABF">
            <w:pPr>
              <w:pStyle w:val="Text"/>
              <w:spacing w:before="40"/>
              <w:jc w:val="center"/>
              <w:rPr>
                <w:rFonts w:ascii="Arial" w:hAnsi="Arial"/>
                <w:sz w:val="16"/>
                <w:szCs w:val="16"/>
              </w:rPr>
            </w:pPr>
            <w:r w:rsidRPr="00266AEB">
              <w:rPr>
                <w:rFonts w:ascii="Zapf Dingbats" w:hAnsi="Zapf Dingbats"/>
                <w:color w:val="000000"/>
              </w:rPr>
              <w:sym w:font="Wingdings 2" w:char="F050"/>
            </w:r>
          </w:p>
        </w:tc>
        <w:tc>
          <w:tcPr>
            <w:tcW w:w="1276" w:type="dxa"/>
            <w:tcBorders>
              <w:left w:val="nil"/>
              <w:bottom w:val="nil"/>
            </w:tcBorders>
          </w:tcPr>
          <w:p w:rsidR="00366BA7" w:rsidRPr="00E217E1" w:rsidRDefault="00366BA7" w:rsidP="00A85ABF">
            <w:pPr>
              <w:pStyle w:val="Text"/>
              <w:spacing w:before="40"/>
              <w:jc w:val="center"/>
              <w:rPr>
                <w:rFonts w:ascii="Arial" w:hAnsi="Arial"/>
                <w:sz w:val="16"/>
                <w:szCs w:val="16"/>
              </w:rPr>
            </w:pPr>
          </w:p>
        </w:tc>
      </w:tr>
      <w:tr w:rsidR="00366BA7" w:rsidTr="00A85ABF">
        <w:tc>
          <w:tcPr>
            <w:tcW w:w="6204" w:type="dxa"/>
            <w:tcBorders>
              <w:bottom w:val="nil"/>
              <w:right w:val="nil"/>
            </w:tcBorders>
          </w:tcPr>
          <w:p w:rsidR="00366BA7" w:rsidRPr="00E217E1" w:rsidRDefault="00366BA7" w:rsidP="00A85ABF">
            <w:pPr>
              <w:pStyle w:val="Dotpoint1"/>
              <w:numPr>
                <w:ilvl w:val="0"/>
                <w:numId w:val="0"/>
              </w:numPr>
              <w:spacing w:before="40"/>
              <w:ind w:left="360" w:hanging="360"/>
              <w:rPr>
                <w:rFonts w:ascii="Arial" w:hAnsi="Arial"/>
                <w:sz w:val="16"/>
                <w:szCs w:val="16"/>
              </w:rPr>
            </w:pPr>
            <w:r>
              <w:rPr>
                <w:rFonts w:ascii="Arial" w:hAnsi="Arial"/>
                <w:sz w:val="16"/>
                <w:szCs w:val="16"/>
              </w:rPr>
              <w:t>R</w:t>
            </w:r>
            <w:r w:rsidRPr="00E217E1">
              <w:rPr>
                <w:rFonts w:ascii="Arial" w:hAnsi="Arial"/>
                <w:sz w:val="16"/>
                <w:szCs w:val="16"/>
              </w:rPr>
              <w:t xml:space="preserve">ate or proportion of VET graduates going onto further study </w:t>
            </w:r>
          </w:p>
        </w:tc>
        <w:tc>
          <w:tcPr>
            <w:tcW w:w="1275" w:type="dxa"/>
            <w:tcBorders>
              <w:left w:val="nil"/>
              <w:bottom w:val="nil"/>
              <w:right w:val="nil"/>
            </w:tcBorders>
          </w:tcPr>
          <w:p w:rsidR="00366BA7" w:rsidRPr="00E217E1" w:rsidRDefault="00366BA7" w:rsidP="00A85ABF">
            <w:pPr>
              <w:pStyle w:val="Text"/>
              <w:spacing w:before="40"/>
              <w:jc w:val="center"/>
              <w:rPr>
                <w:rFonts w:ascii="Arial" w:hAnsi="Arial"/>
                <w:sz w:val="16"/>
                <w:szCs w:val="16"/>
              </w:rPr>
            </w:pPr>
            <w:r w:rsidRPr="00266AEB">
              <w:rPr>
                <w:rFonts w:ascii="Zapf Dingbats" w:hAnsi="Zapf Dingbats"/>
                <w:color w:val="000000"/>
              </w:rPr>
              <w:sym w:font="Wingdings 2" w:char="F050"/>
            </w:r>
          </w:p>
        </w:tc>
        <w:tc>
          <w:tcPr>
            <w:tcW w:w="1276" w:type="dxa"/>
            <w:tcBorders>
              <w:left w:val="nil"/>
              <w:bottom w:val="nil"/>
            </w:tcBorders>
          </w:tcPr>
          <w:p w:rsidR="00366BA7" w:rsidRPr="00E217E1" w:rsidRDefault="00366BA7" w:rsidP="00A85ABF">
            <w:pPr>
              <w:pStyle w:val="Text"/>
              <w:spacing w:before="40"/>
              <w:jc w:val="center"/>
              <w:rPr>
                <w:rFonts w:ascii="Arial" w:hAnsi="Arial"/>
                <w:sz w:val="16"/>
                <w:szCs w:val="16"/>
              </w:rPr>
            </w:pPr>
            <w:r w:rsidRPr="00D040CE">
              <w:rPr>
                <w:rFonts w:ascii="Zapf Dingbats" w:hAnsi="Zapf Dingbats"/>
                <w:color w:val="000000"/>
              </w:rPr>
              <w:sym w:font="Wingdings 2" w:char="F050"/>
            </w:r>
          </w:p>
        </w:tc>
      </w:tr>
      <w:tr w:rsidR="00366BA7" w:rsidTr="00A85ABF">
        <w:tc>
          <w:tcPr>
            <w:tcW w:w="6204" w:type="dxa"/>
            <w:tcBorders>
              <w:top w:val="nil"/>
              <w:bottom w:val="nil"/>
              <w:right w:val="nil"/>
            </w:tcBorders>
          </w:tcPr>
          <w:p w:rsidR="00366BA7" w:rsidRPr="00E217E1" w:rsidRDefault="00366BA7" w:rsidP="00A85ABF">
            <w:pPr>
              <w:pStyle w:val="Dotpoint1"/>
              <w:numPr>
                <w:ilvl w:val="0"/>
                <w:numId w:val="0"/>
              </w:numPr>
              <w:spacing w:before="40"/>
              <w:ind w:left="360" w:hanging="360"/>
              <w:rPr>
                <w:rFonts w:ascii="Arial" w:hAnsi="Arial"/>
                <w:sz w:val="16"/>
                <w:szCs w:val="16"/>
              </w:rPr>
            </w:pPr>
            <w:r w:rsidRPr="00E217E1">
              <w:rPr>
                <w:rFonts w:ascii="Arial" w:hAnsi="Arial"/>
                <w:sz w:val="16"/>
                <w:szCs w:val="16"/>
              </w:rPr>
              <w:t>VET graduates acquire skills relevant to the labour market</w:t>
            </w:r>
          </w:p>
        </w:tc>
        <w:tc>
          <w:tcPr>
            <w:tcW w:w="1275" w:type="dxa"/>
            <w:tcBorders>
              <w:top w:val="nil"/>
              <w:left w:val="nil"/>
              <w:bottom w:val="nil"/>
              <w:right w:val="nil"/>
            </w:tcBorders>
          </w:tcPr>
          <w:p w:rsidR="00366BA7" w:rsidRPr="00E217E1" w:rsidRDefault="00366BA7" w:rsidP="00A85ABF">
            <w:pPr>
              <w:pStyle w:val="Text"/>
              <w:spacing w:before="40"/>
              <w:jc w:val="center"/>
              <w:rPr>
                <w:rFonts w:ascii="Arial" w:hAnsi="Arial"/>
                <w:sz w:val="16"/>
                <w:szCs w:val="16"/>
              </w:rPr>
            </w:pPr>
            <w:r w:rsidRPr="00266AEB">
              <w:rPr>
                <w:rFonts w:ascii="Zapf Dingbats" w:hAnsi="Zapf Dingbats"/>
                <w:color w:val="000000"/>
              </w:rPr>
              <w:sym w:font="Wingdings 2" w:char="F050"/>
            </w:r>
          </w:p>
        </w:tc>
        <w:tc>
          <w:tcPr>
            <w:tcW w:w="1276" w:type="dxa"/>
            <w:tcBorders>
              <w:top w:val="nil"/>
              <w:left w:val="nil"/>
              <w:bottom w:val="nil"/>
            </w:tcBorders>
          </w:tcPr>
          <w:p w:rsidR="00366BA7" w:rsidRPr="00E217E1" w:rsidRDefault="00366BA7" w:rsidP="00A85ABF">
            <w:pPr>
              <w:pStyle w:val="Text"/>
              <w:spacing w:before="40"/>
              <w:jc w:val="center"/>
              <w:rPr>
                <w:rFonts w:ascii="Arial" w:hAnsi="Arial"/>
                <w:sz w:val="16"/>
                <w:szCs w:val="16"/>
              </w:rPr>
            </w:pPr>
            <w:r w:rsidRPr="00D040CE">
              <w:rPr>
                <w:rFonts w:ascii="Zapf Dingbats" w:hAnsi="Zapf Dingbats"/>
                <w:color w:val="000000"/>
              </w:rPr>
              <w:sym w:font="Wingdings 2" w:char="F050"/>
            </w:r>
          </w:p>
        </w:tc>
      </w:tr>
      <w:tr w:rsidR="00366BA7" w:rsidTr="00A85ABF">
        <w:tc>
          <w:tcPr>
            <w:tcW w:w="6204" w:type="dxa"/>
            <w:tcBorders>
              <w:bottom w:val="nil"/>
              <w:right w:val="nil"/>
            </w:tcBorders>
          </w:tcPr>
          <w:p w:rsidR="00366BA7" w:rsidRPr="00E217E1" w:rsidRDefault="00366BA7" w:rsidP="00A85ABF">
            <w:pPr>
              <w:pStyle w:val="Dotpoint1"/>
              <w:numPr>
                <w:ilvl w:val="0"/>
                <w:numId w:val="0"/>
              </w:numPr>
              <w:spacing w:before="40"/>
              <w:ind w:left="360" w:hanging="360"/>
              <w:rPr>
                <w:rFonts w:ascii="Arial" w:hAnsi="Arial"/>
                <w:sz w:val="16"/>
                <w:szCs w:val="16"/>
              </w:rPr>
            </w:pPr>
            <w:r>
              <w:rPr>
                <w:rFonts w:ascii="Arial" w:hAnsi="Arial"/>
                <w:sz w:val="16"/>
                <w:szCs w:val="16"/>
              </w:rPr>
              <w:t>C</w:t>
            </w:r>
            <w:r w:rsidRPr="00E217E1">
              <w:rPr>
                <w:rFonts w:ascii="Arial" w:hAnsi="Arial"/>
                <w:sz w:val="16"/>
                <w:szCs w:val="16"/>
              </w:rPr>
              <w:t>lients of the VET system are satisfied with the quality of teaching</w:t>
            </w:r>
            <w:r w:rsidRPr="00BD34A6">
              <w:rPr>
                <w:rFonts w:ascii="Arial" w:hAnsi="Arial"/>
                <w:sz w:val="16"/>
                <w:szCs w:val="16"/>
                <w:vertAlign w:val="superscript"/>
              </w:rPr>
              <w:t>†</w:t>
            </w:r>
          </w:p>
        </w:tc>
        <w:tc>
          <w:tcPr>
            <w:tcW w:w="1275" w:type="dxa"/>
            <w:tcBorders>
              <w:left w:val="nil"/>
              <w:bottom w:val="nil"/>
              <w:right w:val="nil"/>
            </w:tcBorders>
          </w:tcPr>
          <w:p w:rsidR="00366BA7" w:rsidRPr="00E217E1" w:rsidRDefault="00366BA7" w:rsidP="00A85ABF">
            <w:pPr>
              <w:pStyle w:val="Text"/>
              <w:spacing w:before="40"/>
              <w:jc w:val="center"/>
              <w:rPr>
                <w:rFonts w:ascii="Arial" w:hAnsi="Arial"/>
                <w:sz w:val="16"/>
                <w:szCs w:val="16"/>
              </w:rPr>
            </w:pPr>
            <w:r w:rsidRPr="00266AEB">
              <w:rPr>
                <w:rFonts w:ascii="Zapf Dingbats" w:hAnsi="Zapf Dingbats"/>
                <w:color w:val="000000"/>
              </w:rPr>
              <w:sym w:font="Wingdings 2" w:char="F050"/>
            </w:r>
          </w:p>
        </w:tc>
        <w:tc>
          <w:tcPr>
            <w:tcW w:w="1276" w:type="dxa"/>
            <w:tcBorders>
              <w:left w:val="nil"/>
              <w:bottom w:val="nil"/>
            </w:tcBorders>
          </w:tcPr>
          <w:p w:rsidR="00366BA7" w:rsidRPr="00E217E1" w:rsidRDefault="00366BA7" w:rsidP="00A85ABF">
            <w:pPr>
              <w:pStyle w:val="Text"/>
              <w:spacing w:before="40"/>
              <w:jc w:val="center"/>
              <w:rPr>
                <w:rFonts w:ascii="Arial" w:hAnsi="Arial"/>
                <w:sz w:val="16"/>
                <w:szCs w:val="16"/>
              </w:rPr>
            </w:pPr>
          </w:p>
        </w:tc>
      </w:tr>
      <w:tr w:rsidR="00366BA7" w:rsidTr="00A85ABF">
        <w:tc>
          <w:tcPr>
            <w:tcW w:w="6204" w:type="dxa"/>
            <w:tcBorders>
              <w:top w:val="nil"/>
              <w:right w:val="nil"/>
            </w:tcBorders>
          </w:tcPr>
          <w:p w:rsidR="00366BA7" w:rsidRPr="00E217E1" w:rsidRDefault="00366BA7" w:rsidP="00A85ABF">
            <w:pPr>
              <w:pStyle w:val="Dotpoint1"/>
              <w:numPr>
                <w:ilvl w:val="0"/>
                <w:numId w:val="0"/>
              </w:numPr>
              <w:spacing w:before="40"/>
              <w:ind w:left="360" w:hanging="360"/>
              <w:rPr>
                <w:rFonts w:ascii="Arial" w:hAnsi="Arial"/>
                <w:sz w:val="16"/>
                <w:szCs w:val="16"/>
              </w:rPr>
            </w:pPr>
            <w:r>
              <w:rPr>
                <w:rFonts w:ascii="Arial" w:hAnsi="Arial"/>
                <w:sz w:val="16"/>
                <w:szCs w:val="16"/>
              </w:rPr>
              <w:t>Le</w:t>
            </w:r>
            <w:r w:rsidRPr="00E217E1">
              <w:rPr>
                <w:rFonts w:ascii="Arial" w:hAnsi="Arial"/>
                <w:sz w:val="16"/>
                <w:szCs w:val="16"/>
              </w:rPr>
              <w:t>arners are engaged in the training process</w:t>
            </w:r>
          </w:p>
        </w:tc>
        <w:tc>
          <w:tcPr>
            <w:tcW w:w="1275" w:type="dxa"/>
            <w:tcBorders>
              <w:top w:val="nil"/>
              <w:left w:val="nil"/>
              <w:bottom w:val="nil"/>
              <w:right w:val="nil"/>
            </w:tcBorders>
          </w:tcPr>
          <w:p w:rsidR="00366BA7" w:rsidRPr="00E217E1" w:rsidRDefault="00366BA7" w:rsidP="00A85ABF">
            <w:pPr>
              <w:pStyle w:val="Text"/>
              <w:spacing w:before="40"/>
              <w:jc w:val="center"/>
              <w:rPr>
                <w:rFonts w:ascii="Arial" w:hAnsi="Arial"/>
                <w:sz w:val="16"/>
                <w:szCs w:val="16"/>
              </w:rPr>
            </w:pPr>
            <w:r w:rsidRPr="00266AEB">
              <w:rPr>
                <w:rFonts w:ascii="Zapf Dingbats" w:hAnsi="Zapf Dingbats"/>
                <w:color w:val="000000"/>
              </w:rPr>
              <w:sym w:font="Wingdings 2" w:char="F050"/>
            </w:r>
          </w:p>
        </w:tc>
        <w:tc>
          <w:tcPr>
            <w:tcW w:w="1276" w:type="dxa"/>
            <w:tcBorders>
              <w:top w:val="nil"/>
              <w:left w:val="nil"/>
              <w:bottom w:val="nil"/>
            </w:tcBorders>
          </w:tcPr>
          <w:p w:rsidR="00366BA7" w:rsidRPr="00E217E1" w:rsidRDefault="00366BA7" w:rsidP="00A85ABF">
            <w:pPr>
              <w:pStyle w:val="Text"/>
              <w:spacing w:before="40"/>
              <w:jc w:val="center"/>
              <w:rPr>
                <w:rFonts w:ascii="Arial" w:hAnsi="Arial"/>
                <w:sz w:val="16"/>
                <w:szCs w:val="16"/>
              </w:rPr>
            </w:pPr>
            <w:r w:rsidRPr="00F85AD4">
              <w:rPr>
                <w:rFonts w:ascii="Zapf Dingbats" w:hAnsi="Zapf Dingbats"/>
                <w:color w:val="000000"/>
              </w:rPr>
              <w:sym w:font="Wingdings 2" w:char="F050"/>
            </w:r>
          </w:p>
        </w:tc>
      </w:tr>
      <w:tr w:rsidR="00366BA7" w:rsidTr="00A85ABF">
        <w:tc>
          <w:tcPr>
            <w:tcW w:w="6204" w:type="dxa"/>
            <w:tcBorders>
              <w:right w:val="nil"/>
            </w:tcBorders>
          </w:tcPr>
          <w:p w:rsidR="00366BA7" w:rsidRPr="00E217E1" w:rsidRDefault="00366BA7" w:rsidP="00A85ABF">
            <w:pPr>
              <w:pStyle w:val="Dotpoint1"/>
              <w:numPr>
                <w:ilvl w:val="0"/>
                <w:numId w:val="0"/>
              </w:numPr>
              <w:spacing w:before="40"/>
              <w:ind w:left="360" w:hanging="360"/>
              <w:rPr>
                <w:rFonts w:ascii="Arial" w:hAnsi="Arial"/>
                <w:sz w:val="16"/>
                <w:szCs w:val="16"/>
              </w:rPr>
            </w:pPr>
            <w:r>
              <w:rPr>
                <w:rFonts w:ascii="Arial" w:hAnsi="Arial"/>
                <w:sz w:val="16"/>
                <w:szCs w:val="16"/>
              </w:rPr>
              <w:t>S</w:t>
            </w:r>
            <w:r w:rsidRPr="00E217E1">
              <w:rPr>
                <w:rFonts w:ascii="Arial" w:hAnsi="Arial"/>
                <w:sz w:val="16"/>
                <w:szCs w:val="16"/>
              </w:rPr>
              <w:t>tudents have a positive perception of their learning experience</w:t>
            </w:r>
          </w:p>
        </w:tc>
        <w:tc>
          <w:tcPr>
            <w:tcW w:w="1275" w:type="dxa"/>
            <w:tcBorders>
              <w:left w:val="nil"/>
              <w:bottom w:val="nil"/>
              <w:right w:val="nil"/>
            </w:tcBorders>
          </w:tcPr>
          <w:p w:rsidR="00366BA7" w:rsidRPr="00E217E1" w:rsidRDefault="00366BA7" w:rsidP="00A85ABF">
            <w:pPr>
              <w:pStyle w:val="Text"/>
              <w:spacing w:before="40"/>
              <w:jc w:val="center"/>
              <w:rPr>
                <w:rFonts w:ascii="Arial" w:hAnsi="Arial"/>
                <w:sz w:val="16"/>
                <w:szCs w:val="16"/>
              </w:rPr>
            </w:pPr>
            <w:r w:rsidRPr="00266AEB">
              <w:rPr>
                <w:rFonts w:ascii="Zapf Dingbats" w:hAnsi="Zapf Dingbats"/>
                <w:color w:val="000000"/>
              </w:rPr>
              <w:sym w:font="Wingdings 2" w:char="F050"/>
            </w:r>
          </w:p>
        </w:tc>
        <w:tc>
          <w:tcPr>
            <w:tcW w:w="1276" w:type="dxa"/>
            <w:tcBorders>
              <w:left w:val="nil"/>
              <w:bottom w:val="nil"/>
            </w:tcBorders>
          </w:tcPr>
          <w:p w:rsidR="00366BA7" w:rsidRPr="00E217E1" w:rsidRDefault="00366BA7" w:rsidP="00A85ABF">
            <w:pPr>
              <w:pStyle w:val="Text"/>
              <w:spacing w:before="40"/>
              <w:jc w:val="center"/>
              <w:rPr>
                <w:rFonts w:ascii="Arial" w:hAnsi="Arial"/>
                <w:sz w:val="16"/>
                <w:szCs w:val="16"/>
              </w:rPr>
            </w:pPr>
            <w:r w:rsidRPr="00F85AD4">
              <w:rPr>
                <w:rFonts w:ascii="Zapf Dingbats" w:hAnsi="Zapf Dingbats"/>
                <w:color w:val="000000"/>
              </w:rPr>
              <w:sym w:font="Wingdings 2" w:char="F050"/>
            </w:r>
          </w:p>
        </w:tc>
      </w:tr>
      <w:tr w:rsidR="00366BA7" w:rsidTr="00A85ABF">
        <w:tc>
          <w:tcPr>
            <w:tcW w:w="6204" w:type="dxa"/>
            <w:tcBorders>
              <w:right w:val="nil"/>
            </w:tcBorders>
          </w:tcPr>
          <w:p w:rsidR="00366BA7" w:rsidRPr="00E217E1" w:rsidRDefault="00366BA7" w:rsidP="00A85ABF">
            <w:pPr>
              <w:pStyle w:val="Dotpoint1"/>
              <w:numPr>
                <w:ilvl w:val="0"/>
                <w:numId w:val="0"/>
              </w:numPr>
              <w:spacing w:before="40"/>
              <w:ind w:left="360" w:hanging="360"/>
              <w:rPr>
                <w:rFonts w:ascii="Arial" w:hAnsi="Arial"/>
                <w:sz w:val="16"/>
                <w:szCs w:val="16"/>
              </w:rPr>
            </w:pPr>
            <w:r>
              <w:rPr>
                <w:rFonts w:ascii="Arial" w:hAnsi="Arial"/>
                <w:sz w:val="16"/>
                <w:szCs w:val="16"/>
              </w:rPr>
              <w:t>C</w:t>
            </w:r>
            <w:r w:rsidRPr="00E217E1">
              <w:rPr>
                <w:rFonts w:ascii="Arial" w:hAnsi="Arial"/>
                <w:sz w:val="16"/>
                <w:szCs w:val="16"/>
              </w:rPr>
              <w:t>lients of the VET system would recommend the institute</w:t>
            </w:r>
          </w:p>
        </w:tc>
        <w:tc>
          <w:tcPr>
            <w:tcW w:w="1275" w:type="dxa"/>
            <w:tcBorders>
              <w:left w:val="nil"/>
              <w:bottom w:val="nil"/>
              <w:right w:val="nil"/>
            </w:tcBorders>
          </w:tcPr>
          <w:p w:rsidR="00366BA7" w:rsidRPr="00E217E1" w:rsidRDefault="00366BA7" w:rsidP="00A85ABF">
            <w:pPr>
              <w:pStyle w:val="Text"/>
              <w:spacing w:before="40"/>
              <w:jc w:val="center"/>
              <w:rPr>
                <w:rFonts w:ascii="Arial" w:hAnsi="Arial"/>
                <w:sz w:val="16"/>
                <w:szCs w:val="16"/>
              </w:rPr>
            </w:pPr>
            <w:r w:rsidRPr="00266AEB">
              <w:rPr>
                <w:rFonts w:ascii="Zapf Dingbats" w:hAnsi="Zapf Dingbats"/>
                <w:color w:val="000000"/>
              </w:rPr>
              <w:sym w:font="Wingdings 2" w:char="F050"/>
            </w:r>
          </w:p>
        </w:tc>
        <w:tc>
          <w:tcPr>
            <w:tcW w:w="1276" w:type="dxa"/>
            <w:tcBorders>
              <w:left w:val="nil"/>
              <w:bottom w:val="nil"/>
            </w:tcBorders>
          </w:tcPr>
          <w:p w:rsidR="00366BA7" w:rsidRPr="00E217E1" w:rsidRDefault="00366BA7" w:rsidP="00A85ABF">
            <w:pPr>
              <w:pStyle w:val="Text"/>
              <w:spacing w:before="40"/>
              <w:jc w:val="center"/>
              <w:rPr>
                <w:rFonts w:ascii="Arial" w:hAnsi="Arial"/>
                <w:sz w:val="16"/>
                <w:szCs w:val="16"/>
              </w:rPr>
            </w:pPr>
            <w:r w:rsidRPr="00F85AD4">
              <w:rPr>
                <w:rFonts w:ascii="Zapf Dingbats" w:hAnsi="Zapf Dingbats"/>
                <w:color w:val="000000"/>
              </w:rPr>
              <w:sym w:font="Wingdings 2" w:char="F050"/>
            </w:r>
          </w:p>
        </w:tc>
      </w:tr>
      <w:tr w:rsidR="00366BA7" w:rsidTr="00A85ABF">
        <w:tc>
          <w:tcPr>
            <w:tcW w:w="6204" w:type="dxa"/>
            <w:tcBorders>
              <w:right w:val="nil"/>
            </w:tcBorders>
          </w:tcPr>
          <w:p w:rsidR="00366BA7" w:rsidRPr="00E217E1" w:rsidRDefault="00366BA7" w:rsidP="00A85ABF">
            <w:pPr>
              <w:pStyle w:val="Dotpoint1"/>
              <w:numPr>
                <w:ilvl w:val="0"/>
                <w:numId w:val="0"/>
              </w:numPr>
              <w:spacing w:before="40"/>
              <w:ind w:left="360" w:hanging="360"/>
              <w:rPr>
                <w:rFonts w:ascii="Arial" w:hAnsi="Arial"/>
                <w:sz w:val="16"/>
                <w:szCs w:val="16"/>
              </w:rPr>
            </w:pPr>
            <w:r>
              <w:rPr>
                <w:rFonts w:ascii="Arial" w:hAnsi="Arial"/>
                <w:sz w:val="16"/>
                <w:szCs w:val="16"/>
              </w:rPr>
              <w:t>S</w:t>
            </w:r>
            <w:r w:rsidRPr="00E217E1">
              <w:rPr>
                <w:rFonts w:ascii="Arial" w:hAnsi="Arial"/>
                <w:sz w:val="16"/>
                <w:szCs w:val="16"/>
              </w:rPr>
              <w:t>tudents have a positive perception of the assessment process</w:t>
            </w:r>
          </w:p>
        </w:tc>
        <w:tc>
          <w:tcPr>
            <w:tcW w:w="1275" w:type="dxa"/>
            <w:tcBorders>
              <w:left w:val="nil"/>
              <w:bottom w:val="nil"/>
              <w:right w:val="nil"/>
            </w:tcBorders>
          </w:tcPr>
          <w:p w:rsidR="00366BA7" w:rsidRPr="00E217E1" w:rsidRDefault="00366BA7" w:rsidP="00A85ABF">
            <w:pPr>
              <w:pStyle w:val="Text"/>
              <w:spacing w:before="40"/>
              <w:jc w:val="center"/>
              <w:rPr>
                <w:rFonts w:ascii="Arial" w:hAnsi="Arial"/>
                <w:sz w:val="16"/>
                <w:szCs w:val="16"/>
              </w:rPr>
            </w:pPr>
            <w:r w:rsidRPr="00266AEB">
              <w:rPr>
                <w:rFonts w:ascii="Zapf Dingbats" w:hAnsi="Zapf Dingbats"/>
                <w:color w:val="000000"/>
              </w:rPr>
              <w:sym w:font="Wingdings 2" w:char="F050"/>
            </w:r>
          </w:p>
        </w:tc>
        <w:tc>
          <w:tcPr>
            <w:tcW w:w="1276" w:type="dxa"/>
            <w:tcBorders>
              <w:left w:val="nil"/>
              <w:bottom w:val="nil"/>
            </w:tcBorders>
          </w:tcPr>
          <w:p w:rsidR="00366BA7" w:rsidRPr="00E217E1" w:rsidRDefault="00366BA7" w:rsidP="00A85ABF">
            <w:pPr>
              <w:pStyle w:val="Text"/>
              <w:spacing w:before="40"/>
              <w:jc w:val="center"/>
              <w:rPr>
                <w:rFonts w:ascii="Arial" w:hAnsi="Arial"/>
                <w:sz w:val="16"/>
                <w:szCs w:val="16"/>
              </w:rPr>
            </w:pPr>
            <w:r w:rsidRPr="00F85AD4">
              <w:rPr>
                <w:rFonts w:ascii="Zapf Dingbats" w:hAnsi="Zapf Dingbats"/>
                <w:color w:val="000000"/>
              </w:rPr>
              <w:sym w:font="Wingdings 2" w:char="F050"/>
            </w:r>
          </w:p>
        </w:tc>
      </w:tr>
      <w:tr w:rsidR="00366BA7" w:rsidTr="00A85ABF">
        <w:tc>
          <w:tcPr>
            <w:tcW w:w="6204" w:type="dxa"/>
            <w:tcBorders>
              <w:right w:val="nil"/>
            </w:tcBorders>
          </w:tcPr>
          <w:p w:rsidR="00366BA7" w:rsidRPr="00E217E1" w:rsidRDefault="00366BA7" w:rsidP="00DD0202">
            <w:pPr>
              <w:pStyle w:val="Dotpoint1"/>
              <w:numPr>
                <w:ilvl w:val="0"/>
                <w:numId w:val="0"/>
              </w:numPr>
              <w:tabs>
                <w:tab w:val="clear" w:pos="284"/>
                <w:tab w:val="left" w:pos="0"/>
              </w:tabs>
              <w:spacing w:before="40" w:line="240" w:lineRule="exact"/>
              <w:rPr>
                <w:rFonts w:ascii="Arial" w:hAnsi="Arial"/>
                <w:sz w:val="16"/>
                <w:szCs w:val="16"/>
              </w:rPr>
            </w:pPr>
            <w:r>
              <w:rPr>
                <w:rFonts w:ascii="Arial" w:hAnsi="Arial"/>
                <w:sz w:val="16"/>
                <w:szCs w:val="16"/>
              </w:rPr>
              <w:t>E</w:t>
            </w:r>
            <w:r w:rsidRPr="00E217E1">
              <w:rPr>
                <w:rFonts w:ascii="Arial" w:hAnsi="Arial"/>
                <w:sz w:val="16"/>
                <w:szCs w:val="16"/>
              </w:rPr>
              <w:t>mployers with direct relationships with RTOs are s</w:t>
            </w:r>
            <w:r>
              <w:rPr>
                <w:rFonts w:ascii="Arial" w:hAnsi="Arial"/>
                <w:sz w:val="16"/>
                <w:szCs w:val="16"/>
              </w:rPr>
              <w:t>atisfied with interactions</w:t>
            </w:r>
            <w:r w:rsidR="00DD0202">
              <w:rPr>
                <w:rFonts w:ascii="Arial" w:hAnsi="Arial"/>
                <w:sz w:val="16"/>
                <w:szCs w:val="16"/>
              </w:rPr>
              <w:br/>
            </w:r>
            <w:r>
              <w:rPr>
                <w:rFonts w:ascii="Arial" w:hAnsi="Arial"/>
                <w:sz w:val="16"/>
                <w:szCs w:val="16"/>
              </w:rPr>
              <w:t xml:space="preserve">with </w:t>
            </w:r>
            <w:r w:rsidRPr="00E217E1">
              <w:rPr>
                <w:rFonts w:ascii="Arial" w:hAnsi="Arial"/>
                <w:sz w:val="16"/>
                <w:szCs w:val="16"/>
              </w:rPr>
              <w:t>RTO staff and the training provided by the RTO.</w:t>
            </w:r>
          </w:p>
        </w:tc>
        <w:tc>
          <w:tcPr>
            <w:tcW w:w="1275" w:type="dxa"/>
            <w:tcBorders>
              <w:left w:val="nil"/>
              <w:bottom w:val="single" w:sz="4" w:space="0" w:color="000000" w:themeColor="text1"/>
              <w:right w:val="nil"/>
            </w:tcBorders>
          </w:tcPr>
          <w:p w:rsidR="00366BA7" w:rsidRPr="00E217E1" w:rsidRDefault="00366BA7" w:rsidP="00DD0202">
            <w:pPr>
              <w:pStyle w:val="Text"/>
              <w:spacing w:before="40" w:line="240" w:lineRule="exact"/>
              <w:jc w:val="center"/>
              <w:rPr>
                <w:rFonts w:ascii="Arial" w:hAnsi="Arial"/>
                <w:sz w:val="16"/>
                <w:szCs w:val="16"/>
              </w:rPr>
            </w:pPr>
            <w:r w:rsidRPr="00266AEB">
              <w:rPr>
                <w:rFonts w:ascii="Zapf Dingbats" w:hAnsi="Zapf Dingbats"/>
                <w:color w:val="000000"/>
              </w:rPr>
              <w:sym w:font="Wingdings 2" w:char="F050"/>
            </w:r>
          </w:p>
        </w:tc>
        <w:tc>
          <w:tcPr>
            <w:tcW w:w="1276" w:type="dxa"/>
            <w:tcBorders>
              <w:left w:val="nil"/>
              <w:bottom w:val="single" w:sz="4" w:space="0" w:color="000000" w:themeColor="text1"/>
            </w:tcBorders>
          </w:tcPr>
          <w:p w:rsidR="00366BA7" w:rsidRPr="00E217E1" w:rsidRDefault="00366BA7" w:rsidP="00DD0202">
            <w:pPr>
              <w:pStyle w:val="Text"/>
              <w:spacing w:before="40" w:line="240" w:lineRule="exact"/>
              <w:jc w:val="center"/>
              <w:rPr>
                <w:rFonts w:ascii="Arial" w:hAnsi="Arial"/>
                <w:sz w:val="16"/>
                <w:szCs w:val="16"/>
              </w:rPr>
            </w:pPr>
            <w:r w:rsidRPr="00F85AD4">
              <w:rPr>
                <w:rFonts w:ascii="Zapf Dingbats" w:hAnsi="Zapf Dingbats"/>
                <w:color w:val="000000"/>
              </w:rPr>
              <w:sym w:font="Wingdings 2" w:char="F050"/>
            </w:r>
          </w:p>
        </w:tc>
      </w:tr>
    </w:tbl>
    <w:p w:rsidR="001663DE" w:rsidRPr="004D4A3F" w:rsidRDefault="00560A72" w:rsidP="00A85ABF">
      <w:pPr>
        <w:pStyle w:val="Source"/>
        <w:ind w:left="284" w:hanging="284"/>
      </w:pPr>
      <w:r w:rsidRPr="00A85ABF">
        <w:t>†</w:t>
      </w:r>
      <w:r w:rsidR="00A85ABF">
        <w:tab/>
      </w:r>
      <w:r w:rsidR="004D4A3F" w:rsidRPr="004D4A3F">
        <w:t xml:space="preserve">Due to </w:t>
      </w:r>
      <w:r w:rsidR="00D56CC3">
        <w:t xml:space="preserve">a </w:t>
      </w:r>
      <w:r w:rsidR="004D4A3F" w:rsidRPr="004D4A3F">
        <w:t>lack of data availability</w:t>
      </w:r>
      <w:r w:rsidR="0092535E">
        <w:t>,</w:t>
      </w:r>
      <w:r w:rsidR="004D4A3F" w:rsidRPr="004D4A3F">
        <w:t xml:space="preserve"> </w:t>
      </w:r>
      <w:r w:rsidR="000C17A9">
        <w:t xml:space="preserve">the Western Australian </w:t>
      </w:r>
      <w:r w:rsidR="004D4A3F" w:rsidRPr="004D4A3F">
        <w:t>desktop evaluation did not assess the</w:t>
      </w:r>
      <w:r>
        <w:t>se</w:t>
      </w:r>
      <w:r w:rsidR="004D4A3F" w:rsidRPr="004D4A3F">
        <w:t xml:space="preserve"> per</w:t>
      </w:r>
      <w:r>
        <w:t>formance indicators.</w:t>
      </w:r>
    </w:p>
    <w:p w:rsidR="00FF6EB5" w:rsidRDefault="00C52374" w:rsidP="00FF6EB5">
      <w:pPr>
        <w:pStyle w:val="Dotpoint1"/>
        <w:numPr>
          <w:ilvl w:val="0"/>
          <w:numId w:val="0"/>
        </w:numPr>
      </w:pPr>
      <w:r>
        <w:t xml:space="preserve">The findings </w:t>
      </w:r>
      <w:r w:rsidR="0092535E">
        <w:t xml:space="preserve">from the desktop evaluations </w:t>
      </w:r>
      <w:r>
        <w:t xml:space="preserve">showed general agreement </w:t>
      </w:r>
      <w:r w:rsidR="00974A4A">
        <w:t>on</w:t>
      </w:r>
      <w:r>
        <w:t xml:space="preserve"> the value of having a set of performance indicators </w:t>
      </w:r>
      <w:r w:rsidR="00FC7340">
        <w:t xml:space="preserve">by </w:t>
      </w:r>
      <w:r w:rsidR="00D56CC3">
        <w:t xml:space="preserve">which </w:t>
      </w:r>
      <w:r>
        <w:t>to benchmark performance</w:t>
      </w:r>
      <w:r w:rsidR="00BD34A6">
        <w:t>, although</w:t>
      </w:r>
      <w:r>
        <w:t xml:space="preserve"> there were a number of issues with the indicators as they currently stood. These re</w:t>
      </w:r>
      <w:r w:rsidR="004C5A6A">
        <w:t>late</w:t>
      </w:r>
      <w:r>
        <w:t xml:space="preserve">d to: </w:t>
      </w:r>
    </w:p>
    <w:p w:rsidR="002E0551" w:rsidRDefault="00FC7340" w:rsidP="00A85ABF">
      <w:pPr>
        <w:pStyle w:val="Dotpoint1"/>
        <w:ind w:left="284" w:hanging="284"/>
      </w:pPr>
      <w:r>
        <w:rPr>
          <w:i/>
        </w:rPr>
        <w:t>A</w:t>
      </w:r>
      <w:r w:rsidR="00810DBF" w:rsidRPr="00BD34A6">
        <w:rPr>
          <w:i/>
        </w:rPr>
        <w:t xml:space="preserve"> </w:t>
      </w:r>
      <w:r w:rsidR="00E876C6" w:rsidRPr="00BD34A6">
        <w:rPr>
          <w:i/>
        </w:rPr>
        <w:t xml:space="preserve">low comparability </w:t>
      </w:r>
      <w:r w:rsidR="001377CE" w:rsidRPr="00BD34A6">
        <w:rPr>
          <w:i/>
        </w:rPr>
        <w:t>between</w:t>
      </w:r>
      <w:r w:rsidR="00D56CC3" w:rsidRPr="00BD34A6">
        <w:rPr>
          <w:i/>
        </w:rPr>
        <w:t xml:space="preserve"> performance</w:t>
      </w:r>
      <w:r w:rsidR="001377CE" w:rsidRPr="00BD34A6">
        <w:rPr>
          <w:i/>
        </w:rPr>
        <w:t xml:space="preserve"> indicator data </w:t>
      </w:r>
      <w:r w:rsidR="00BD34A6" w:rsidRPr="00BD34A6">
        <w:rPr>
          <w:i/>
        </w:rPr>
        <w:t>and</w:t>
      </w:r>
      <w:r w:rsidR="00E876C6" w:rsidRPr="00BD34A6">
        <w:rPr>
          <w:i/>
        </w:rPr>
        <w:t xml:space="preserve"> manager perceptions</w:t>
      </w:r>
      <w:r w:rsidR="001377CE" w:rsidRPr="00BD34A6">
        <w:rPr>
          <w:i/>
        </w:rPr>
        <w:t xml:space="preserve"> of RTO performance</w:t>
      </w:r>
      <w:r w:rsidR="00BD34A6">
        <w:t>: t</w:t>
      </w:r>
      <w:r w:rsidR="00E876C6">
        <w:t xml:space="preserve">he </w:t>
      </w:r>
      <w:r w:rsidR="001377CE">
        <w:t xml:space="preserve">performance </w:t>
      </w:r>
      <w:r w:rsidR="00E876C6">
        <w:t xml:space="preserve">indicators helped to provide some direct information on student outcomes and provider quality, but </w:t>
      </w:r>
      <w:r w:rsidR="00D56CC3">
        <w:t>they were</w:t>
      </w:r>
      <w:r w:rsidR="00E876C6">
        <w:t xml:space="preserve"> unable to </w:t>
      </w:r>
      <w:r w:rsidR="002E0551" w:rsidRPr="00E333B8">
        <w:t xml:space="preserve">help system </w:t>
      </w:r>
      <w:proofErr w:type="gramStart"/>
      <w:r w:rsidR="002E0551" w:rsidRPr="00E333B8">
        <w:t>managers</w:t>
      </w:r>
      <w:proofErr w:type="gramEnd"/>
      <w:r w:rsidR="002E0551" w:rsidRPr="00E333B8">
        <w:t xml:space="preserve"> measure compliance with actual contractual requ</w:t>
      </w:r>
      <w:r w:rsidR="00BD34A6">
        <w:t>irements or regulated standards</w:t>
      </w:r>
      <w:r>
        <w:t>.</w:t>
      </w:r>
      <w:r w:rsidR="002E0551" w:rsidRPr="00E333B8">
        <w:t xml:space="preserve"> </w:t>
      </w:r>
    </w:p>
    <w:p w:rsidR="00E876C6" w:rsidRPr="00E333B8" w:rsidRDefault="00FC7340" w:rsidP="00A85ABF">
      <w:pPr>
        <w:pStyle w:val="Dotpoint1"/>
        <w:ind w:left="284" w:hanging="284"/>
      </w:pPr>
      <w:r>
        <w:rPr>
          <w:i/>
        </w:rPr>
        <w:t>A</w:t>
      </w:r>
      <w:r w:rsidR="00810DBF" w:rsidRPr="00BD34A6">
        <w:rPr>
          <w:i/>
        </w:rPr>
        <w:t xml:space="preserve"> </w:t>
      </w:r>
      <w:r w:rsidR="00530261" w:rsidRPr="00BD34A6">
        <w:rPr>
          <w:i/>
        </w:rPr>
        <w:t>lack of clarity for end-</w:t>
      </w:r>
      <w:r w:rsidR="00E876C6" w:rsidRPr="00BD34A6">
        <w:rPr>
          <w:i/>
        </w:rPr>
        <w:t>users</w:t>
      </w:r>
      <w:r w:rsidR="00BD34A6">
        <w:t>: t</w:t>
      </w:r>
      <w:r w:rsidR="002E0551" w:rsidRPr="00E333B8">
        <w:t xml:space="preserve">he </w:t>
      </w:r>
      <w:r w:rsidR="00D919BC">
        <w:t xml:space="preserve">trial </w:t>
      </w:r>
      <w:r w:rsidR="00E876C6">
        <w:t>found that it might be</w:t>
      </w:r>
      <w:r w:rsidR="002E0551" w:rsidRPr="00E333B8">
        <w:t xml:space="preserve"> difficult for end-users to comprehend </w:t>
      </w:r>
      <w:r w:rsidR="00E876C6">
        <w:t>the indicators</w:t>
      </w:r>
      <w:r w:rsidR="00BD34A6">
        <w:t>,</w:t>
      </w:r>
      <w:r w:rsidR="00E876C6">
        <w:t xml:space="preserve"> </w:t>
      </w:r>
      <w:r w:rsidR="002E0551" w:rsidRPr="00E333B8">
        <w:t>especial</w:t>
      </w:r>
      <w:r w:rsidR="00E876C6">
        <w:t xml:space="preserve">ly if they do not understand that </w:t>
      </w:r>
      <w:r w:rsidR="00974A4A">
        <w:t xml:space="preserve">the </w:t>
      </w:r>
      <w:r w:rsidR="00E876C6">
        <w:t xml:space="preserve">performance </w:t>
      </w:r>
      <w:r w:rsidR="00530261">
        <w:t xml:space="preserve">data </w:t>
      </w:r>
      <w:r w:rsidR="00E876C6">
        <w:t xml:space="preserve">published needed to be understood in terms of student mix </w:t>
      </w:r>
      <w:r w:rsidR="002E0551" w:rsidRPr="00E333B8">
        <w:t>(characteristics)</w:t>
      </w:r>
      <w:r w:rsidR="00E876C6">
        <w:t>. Th</w:t>
      </w:r>
      <w:r w:rsidR="00362614">
        <w:t xml:space="preserve">is </w:t>
      </w:r>
      <w:r>
        <w:t>issue suggests</w:t>
      </w:r>
      <w:r w:rsidR="00362614">
        <w:t xml:space="preserve"> the need to </w:t>
      </w:r>
      <w:r w:rsidR="00974A4A">
        <w:t xml:space="preserve">compare ‘like with </w:t>
      </w:r>
      <w:r w:rsidR="00BD34A6">
        <w:t>like’</w:t>
      </w:r>
      <w:r w:rsidR="00974A4A">
        <w:t xml:space="preserve">, that is, </w:t>
      </w:r>
      <w:r w:rsidR="00BD34A6">
        <w:t>RTOs</w:t>
      </w:r>
      <w:r w:rsidR="00974A4A">
        <w:t xml:space="preserve"> with similar</w:t>
      </w:r>
      <w:r w:rsidR="002E0551" w:rsidRPr="00E333B8">
        <w:t xml:space="preserve"> student characteristics</w:t>
      </w:r>
      <w:r w:rsidR="00E876C6">
        <w:t>. It was also important to</w:t>
      </w:r>
      <w:r w:rsidR="00E876C6" w:rsidRPr="00E333B8">
        <w:t xml:space="preserve"> take into account differences by qualification type and level, and industry sector</w:t>
      </w:r>
      <w:r w:rsidR="00E16CC2">
        <w:t>.</w:t>
      </w:r>
    </w:p>
    <w:p w:rsidR="002E0551" w:rsidRPr="00E333B8" w:rsidRDefault="00FC7340" w:rsidP="00A85ABF">
      <w:pPr>
        <w:pStyle w:val="Dotpoint1"/>
        <w:ind w:left="284" w:hanging="284"/>
      </w:pPr>
      <w:r>
        <w:rPr>
          <w:i/>
        </w:rPr>
        <w:t xml:space="preserve">A </w:t>
      </w:r>
      <w:r w:rsidR="00E16CC2" w:rsidRPr="00BD34A6">
        <w:rPr>
          <w:i/>
        </w:rPr>
        <w:t>need for clear guidelines for interpretation</w:t>
      </w:r>
      <w:r w:rsidR="00BD34A6" w:rsidRPr="00BD34A6">
        <w:rPr>
          <w:i/>
        </w:rPr>
        <w:t>:</w:t>
      </w:r>
      <w:r w:rsidR="00E16CC2">
        <w:t xml:space="preserve"> </w:t>
      </w:r>
      <w:r w:rsidR="00BD34A6">
        <w:t>a</w:t>
      </w:r>
      <w:r w:rsidR="00D34F95">
        <w:t xml:space="preserve">cknowledging </w:t>
      </w:r>
      <w:r w:rsidR="00E16CC2">
        <w:t xml:space="preserve">that </w:t>
      </w:r>
      <w:r w:rsidR="002E0551" w:rsidRPr="00E333B8">
        <w:t>jurisdic</w:t>
      </w:r>
      <w:r w:rsidR="00BD34A6">
        <w:t xml:space="preserve">tions may adopt diverse locally </w:t>
      </w:r>
      <w:r w:rsidR="002E0551" w:rsidRPr="00E333B8">
        <w:t>relevant options for present</w:t>
      </w:r>
      <w:r w:rsidR="00E16CC2">
        <w:t>ing results of</w:t>
      </w:r>
      <w:r w:rsidR="002E0551" w:rsidRPr="00E333B8">
        <w:t xml:space="preserve"> RTO performance, </w:t>
      </w:r>
      <w:r w:rsidR="00E16CC2">
        <w:t xml:space="preserve">it was </w:t>
      </w:r>
      <w:r w:rsidR="002E0551" w:rsidRPr="00E333B8">
        <w:t>nevertheless</w:t>
      </w:r>
      <w:r w:rsidR="00E16CC2">
        <w:t xml:space="preserve"> important that clear </w:t>
      </w:r>
      <w:r w:rsidR="002E0551" w:rsidRPr="00E333B8">
        <w:t>guidelines for interpretation</w:t>
      </w:r>
      <w:r w:rsidR="00E16CC2">
        <w:t xml:space="preserve"> be made available. </w:t>
      </w:r>
    </w:p>
    <w:p w:rsidR="002E0551" w:rsidRPr="00E333B8" w:rsidRDefault="00FC7340" w:rsidP="00A85ABF">
      <w:pPr>
        <w:pStyle w:val="Dotpoint1"/>
        <w:ind w:left="284" w:hanging="284"/>
      </w:pPr>
      <w:r>
        <w:rPr>
          <w:i/>
        </w:rPr>
        <w:t>L</w:t>
      </w:r>
      <w:r w:rsidR="002E0551" w:rsidRPr="00BD34A6">
        <w:rPr>
          <w:i/>
        </w:rPr>
        <w:t xml:space="preserve">ow variation </w:t>
      </w:r>
      <w:r w:rsidR="00E16CC2" w:rsidRPr="00BD34A6">
        <w:rPr>
          <w:i/>
        </w:rPr>
        <w:t>in levels of positive reactions</w:t>
      </w:r>
      <w:r w:rsidR="00BD34A6">
        <w:t>: t</w:t>
      </w:r>
      <w:r w:rsidR="002F0E3A">
        <w:t>here was limited</w:t>
      </w:r>
      <w:r w:rsidR="00E16CC2">
        <w:t xml:space="preserve"> variation </w:t>
      </w:r>
      <w:r w:rsidR="002F0E3A">
        <w:t>between</w:t>
      </w:r>
      <w:r w:rsidR="00E16CC2">
        <w:t xml:space="preserve"> </w:t>
      </w:r>
      <w:r w:rsidR="002E0551" w:rsidRPr="00E333B8">
        <w:t xml:space="preserve">RTOs in </w:t>
      </w:r>
      <w:r w:rsidR="00BD34A6">
        <w:t xml:space="preserve">the </w:t>
      </w:r>
      <w:r w:rsidR="002E0551" w:rsidRPr="00E333B8">
        <w:t xml:space="preserve">levels of positive </w:t>
      </w:r>
      <w:r w:rsidR="002F0E3A" w:rsidRPr="00E333B8">
        <w:t xml:space="preserve">student </w:t>
      </w:r>
      <w:r w:rsidR="002E0551" w:rsidRPr="00E333B8">
        <w:t>perceptions of teachers and assessment</w:t>
      </w:r>
      <w:r w:rsidR="002F0E3A">
        <w:t xml:space="preserve"> experiences,</w:t>
      </w:r>
      <w:r w:rsidR="002E0551" w:rsidRPr="00E333B8">
        <w:t xml:space="preserve"> and </w:t>
      </w:r>
      <w:r>
        <w:t xml:space="preserve">the </w:t>
      </w:r>
      <w:r w:rsidR="002E0551" w:rsidRPr="00E333B8">
        <w:t xml:space="preserve">recommendations of </w:t>
      </w:r>
      <w:r w:rsidR="002F0E3A">
        <w:t xml:space="preserve">the </w:t>
      </w:r>
      <w:r w:rsidR="002E0551" w:rsidRPr="00E333B8">
        <w:t xml:space="preserve">RTO </w:t>
      </w:r>
      <w:r w:rsidR="002F0E3A">
        <w:t xml:space="preserve">by students </w:t>
      </w:r>
      <w:r w:rsidR="002E0551" w:rsidRPr="00E333B8">
        <w:t>to others</w:t>
      </w:r>
      <w:r w:rsidR="002F0E3A">
        <w:t>. This potentially reduces the meaningfulness of results</w:t>
      </w:r>
      <w:r w:rsidR="00E16CC2">
        <w:t>.</w:t>
      </w:r>
      <w:r w:rsidR="002E0551" w:rsidRPr="00E333B8">
        <w:t xml:space="preserve"> </w:t>
      </w:r>
    </w:p>
    <w:p w:rsidR="002E0551" w:rsidRPr="00E333B8" w:rsidRDefault="00FC7340" w:rsidP="00A85ABF">
      <w:pPr>
        <w:pStyle w:val="Dotpoint1"/>
        <w:ind w:left="284" w:hanging="284"/>
      </w:pPr>
      <w:r>
        <w:rPr>
          <w:i/>
        </w:rPr>
        <w:t>J</w:t>
      </w:r>
      <w:r w:rsidR="00E16CC2" w:rsidRPr="00BD34A6">
        <w:rPr>
          <w:i/>
        </w:rPr>
        <w:t>urisdictional inconsistency in indicator effect</w:t>
      </w:r>
      <w:r w:rsidR="00BD34A6">
        <w:t>: t</w:t>
      </w:r>
      <w:r w:rsidR="00E16CC2">
        <w:t xml:space="preserve">here </w:t>
      </w:r>
      <w:r w:rsidR="00D34F95">
        <w:t>we</w:t>
      </w:r>
      <w:r w:rsidR="002E0551" w:rsidRPr="00E333B8">
        <w:t xml:space="preserve">re differences in how </w:t>
      </w:r>
      <w:r w:rsidR="00D34F95">
        <w:t xml:space="preserve">the physical location of the </w:t>
      </w:r>
      <w:r w:rsidR="002E0551" w:rsidRPr="00E333B8">
        <w:t>RTO affects performance indicators, with</w:t>
      </w:r>
      <w:r w:rsidR="00BD34A6">
        <w:t xml:space="preserve"> Victoria showing no effect</w:t>
      </w:r>
      <w:r w:rsidR="00D34F95">
        <w:t xml:space="preserve"> and W</w:t>
      </w:r>
      <w:r w:rsidR="00BD34A6">
        <w:t xml:space="preserve">estern </w:t>
      </w:r>
      <w:r w:rsidR="00D34F95">
        <w:t>A</w:t>
      </w:r>
      <w:r w:rsidR="00BD34A6">
        <w:t>ustralia</w:t>
      </w:r>
      <w:r w:rsidR="00D34F95">
        <w:t xml:space="preserve"> finding that it is critical.</w:t>
      </w:r>
      <w:r w:rsidR="002E0551" w:rsidRPr="00E333B8">
        <w:t xml:space="preserve"> </w:t>
      </w:r>
    </w:p>
    <w:p w:rsidR="00E16CC2" w:rsidRDefault="00F36477" w:rsidP="00EB0E12">
      <w:pPr>
        <w:pStyle w:val="Text"/>
      </w:pPr>
      <w:r>
        <w:t>T</w:t>
      </w:r>
      <w:r w:rsidR="00DC4BD9">
        <w:t xml:space="preserve">he </w:t>
      </w:r>
      <w:r w:rsidR="00E16CC2">
        <w:t>Western Australian</w:t>
      </w:r>
      <w:r w:rsidR="00DC4BD9">
        <w:t xml:space="preserve"> </w:t>
      </w:r>
      <w:r w:rsidR="00283BAC">
        <w:t>evaluation</w:t>
      </w:r>
      <w:r>
        <w:t xml:space="preserve"> raised some other issues</w:t>
      </w:r>
      <w:r w:rsidR="00BD34A6">
        <w:t>;</w:t>
      </w:r>
      <w:r w:rsidR="00DC4BD9">
        <w:t xml:space="preserve"> namely</w:t>
      </w:r>
      <w:r w:rsidR="00BD34A6">
        <w:t>,</w:t>
      </w:r>
      <w:r w:rsidR="00CE1EA3">
        <w:t xml:space="preserve"> that the data on the various p</w:t>
      </w:r>
      <w:r w:rsidR="00283BAC">
        <w:t xml:space="preserve">erformance </w:t>
      </w:r>
      <w:r w:rsidR="00CE1EA3">
        <w:t>i</w:t>
      </w:r>
      <w:r w:rsidR="00283BAC">
        <w:t>ndicators did not accord with the indicators</w:t>
      </w:r>
      <w:r w:rsidR="00266941">
        <w:t xml:space="preserve"> that</w:t>
      </w:r>
      <w:r w:rsidR="00283BAC">
        <w:t xml:space="preserve"> </w:t>
      </w:r>
      <w:r>
        <w:t>the</w:t>
      </w:r>
      <w:r w:rsidR="00294D65">
        <w:t xml:space="preserve"> contract</w:t>
      </w:r>
      <w:r>
        <w:t xml:space="preserve"> managers </w:t>
      </w:r>
      <w:r w:rsidR="00FC7340">
        <w:t xml:space="preserve">who were </w:t>
      </w:r>
      <w:r w:rsidR="00266941">
        <w:t xml:space="preserve">consulted </w:t>
      </w:r>
      <w:r>
        <w:t xml:space="preserve">used </w:t>
      </w:r>
      <w:r w:rsidR="00283BAC">
        <w:t xml:space="preserve">in their </w:t>
      </w:r>
      <w:r w:rsidR="00FC7340">
        <w:t>various</w:t>
      </w:r>
      <w:r w:rsidR="00283BAC">
        <w:t xml:space="preserve"> areas.</w:t>
      </w:r>
      <w:r w:rsidR="001377CE">
        <w:t xml:space="preserve"> </w:t>
      </w:r>
      <w:r w:rsidR="00FC7340">
        <w:t xml:space="preserve">Furthermore, they </w:t>
      </w:r>
      <w:r w:rsidR="00974A4A">
        <w:t>were not convinced</w:t>
      </w:r>
      <w:r w:rsidR="001377CE">
        <w:t xml:space="preserve"> that the performance indicators </w:t>
      </w:r>
      <w:r w:rsidR="00B70F4E">
        <w:t>flagged</w:t>
      </w:r>
      <w:r w:rsidR="001377CE">
        <w:t xml:space="preserve"> quality training,</w:t>
      </w:r>
      <w:r w:rsidR="00B70F4E">
        <w:t xml:space="preserve"> identified risks</w:t>
      </w:r>
      <w:r w:rsidR="001377CE">
        <w:t xml:space="preserve"> or </w:t>
      </w:r>
      <w:r w:rsidR="00B70F4E">
        <w:t xml:space="preserve">demonstrated the </w:t>
      </w:r>
      <w:r w:rsidR="001377CE">
        <w:t>usefulness</w:t>
      </w:r>
      <w:r w:rsidR="00CE1EA3">
        <w:t xml:space="preserve"> of the training</w:t>
      </w:r>
      <w:r w:rsidR="001377CE">
        <w:t xml:space="preserve">. </w:t>
      </w:r>
      <w:r w:rsidR="00696CF3">
        <w:t>The</w:t>
      </w:r>
      <w:r w:rsidR="00CE1EA3">
        <w:t xml:space="preserve"> </w:t>
      </w:r>
      <w:r w:rsidR="00CE1EA3">
        <w:lastRenderedPageBreak/>
        <w:t xml:space="preserve">participants in the Western Australian evaluation </w:t>
      </w:r>
      <w:r w:rsidR="00B70F4E">
        <w:t>had a particular</w:t>
      </w:r>
      <w:r w:rsidR="00696CF3">
        <w:t xml:space="preserve"> view that q</w:t>
      </w:r>
      <w:r w:rsidR="00431B48">
        <w:t xml:space="preserve">uality outcomes needed to </w:t>
      </w:r>
      <w:r w:rsidR="00974A4A">
        <w:t>emphasise</w:t>
      </w:r>
      <w:r w:rsidR="00431B48">
        <w:t xml:space="preserve"> contract and AQTF</w:t>
      </w:r>
      <w:r w:rsidR="00FC7340">
        <w:t xml:space="preserve"> compliance</w:t>
      </w:r>
      <w:r w:rsidR="00696CF3">
        <w:t xml:space="preserve">. </w:t>
      </w:r>
      <w:r w:rsidR="00974A4A">
        <w:t>A</w:t>
      </w:r>
      <w:r w:rsidR="00294D65">
        <w:t xml:space="preserve"> number of </w:t>
      </w:r>
      <w:r w:rsidR="00974A4A">
        <w:t>additional</w:t>
      </w:r>
      <w:r w:rsidR="00294D65">
        <w:t xml:space="preserve"> issues </w:t>
      </w:r>
      <w:r w:rsidR="00974A4A">
        <w:t xml:space="preserve">were </w:t>
      </w:r>
      <w:r w:rsidR="00294D65">
        <w:t>identified by the</w:t>
      </w:r>
      <w:r w:rsidR="00696CF3">
        <w:t xml:space="preserve"> </w:t>
      </w:r>
      <w:r w:rsidR="00294D65">
        <w:t xml:space="preserve">participating </w:t>
      </w:r>
      <w:r w:rsidR="00696CF3">
        <w:t xml:space="preserve">managers </w:t>
      </w:r>
      <w:r w:rsidR="00294D65">
        <w:t>in the Western Australian evaluation. These related to</w:t>
      </w:r>
      <w:r w:rsidR="00FC7340">
        <w:t xml:space="preserve"> the following</w:t>
      </w:r>
      <w:r w:rsidR="00294D65">
        <w:t xml:space="preserve">: </w:t>
      </w:r>
    </w:p>
    <w:p w:rsidR="00294D65" w:rsidRDefault="00FC7340" w:rsidP="00A85ABF">
      <w:pPr>
        <w:pStyle w:val="Dotpoint1"/>
        <w:ind w:left="284" w:hanging="284"/>
      </w:pPr>
      <w:r>
        <w:t>The v</w:t>
      </w:r>
      <w:r w:rsidR="00294D65">
        <w:t>arious characteristics of the learner (</w:t>
      </w:r>
      <w:r w:rsidR="00B70F4E">
        <w:t>for example,</w:t>
      </w:r>
      <w:r w:rsidR="00294D65">
        <w:t xml:space="preserve"> geographical location, English proficiency level, high</w:t>
      </w:r>
      <w:r w:rsidR="00B70F4E">
        <w:t>est qualification level below Y</w:t>
      </w:r>
      <w:r w:rsidR="00294D65">
        <w:t xml:space="preserve">ear 11 or equivalent) were not </w:t>
      </w:r>
      <w:r>
        <w:t>taken into account</w:t>
      </w:r>
      <w:r w:rsidR="00294D65">
        <w:t xml:space="preserve"> in t</w:t>
      </w:r>
      <w:r w:rsidR="00B70F4E">
        <w:t>he performance indicator trial.</w:t>
      </w:r>
    </w:p>
    <w:p w:rsidR="006C6584" w:rsidRDefault="00B70F4E" w:rsidP="00A85ABF">
      <w:pPr>
        <w:pStyle w:val="Dotpoint1"/>
        <w:ind w:left="284" w:hanging="284"/>
      </w:pPr>
      <w:r>
        <w:t>E</w:t>
      </w:r>
      <w:r w:rsidR="000A682C">
        <w:t>mployers providing feedback may not have</w:t>
      </w:r>
      <w:r w:rsidR="00294D65">
        <w:t xml:space="preserve"> had</w:t>
      </w:r>
      <w:r w:rsidR="000A682C">
        <w:t xml:space="preserve"> a direct relationship with the RTO because </w:t>
      </w:r>
      <w:r w:rsidR="00294D65">
        <w:t>83% of students we</w:t>
      </w:r>
      <w:r w:rsidR="002E0551" w:rsidRPr="00E333B8">
        <w:t>re not in apprenticeships</w:t>
      </w:r>
      <w:r>
        <w:t>.</w:t>
      </w:r>
      <w:r w:rsidR="002E0551" w:rsidRPr="00E333B8">
        <w:t xml:space="preserve"> </w:t>
      </w:r>
    </w:p>
    <w:p w:rsidR="002E0551" w:rsidRPr="00E333B8" w:rsidRDefault="00B70F4E" w:rsidP="00A85ABF">
      <w:pPr>
        <w:pStyle w:val="Dotpoint1"/>
        <w:ind w:left="284" w:hanging="284"/>
      </w:pPr>
      <w:r>
        <w:t>T</w:t>
      </w:r>
      <w:r w:rsidR="000A682C">
        <w:t xml:space="preserve">he level of </w:t>
      </w:r>
      <w:r w:rsidR="00FF6EB5">
        <w:t xml:space="preserve">trainer </w:t>
      </w:r>
      <w:r w:rsidR="000A682C">
        <w:t xml:space="preserve">qualifications required by the </w:t>
      </w:r>
      <w:r>
        <w:t xml:space="preserve">performance indicator </w:t>
      </w:r>
      <w:r w:rsidR="000A682C">
        <w:t xml:space="preserve">was higher than that required by </w:t>
      </w:r>
      <w:r w:rsidR="006C6584">
        <w:t>the AQTF standards</w:t>
      </w:r>
      <w:r>
        <w:t>.</w:t>
      </w:r>
      <w:r w:rsidR="00E16CC2">
        <w:t xml:space="preserve"> </w:t>
      </w:r>
    </w:p>
    <w:p w:rsidR="002E0551" w:rsidRPr="00E333B8" w:rsidRDefault="00B70F4E" w:rsidP="00A85ABF">
      <w:pPr>
        <w:pStyle w:val="Dotpoint1"/>
        <w:ind w:left="284" w:hanging="284"/>
      </w:pPr>
      <w:r>
        <w:t>T</w:t>
      </w:r>
      <w:r w:rsidR="00294D65">
        <w:t xml:space="preserve">he </w:t>
      </w:r>
      <w:r w:rsidR="002E0551" w:rsidRPr="00E333B8">
        <w:t>lack of feedback from consumers</w:t>
      </w:r>
      <w:r w:rsidR="00294D65">
        <w:t xml:space="preserve"> ma</w:t>
      </w:r>
      <w:r>
        <w:t>de</w:t>
      </w:r>
      <w:r w:rsidR="00294D65">
        <w:t xml:space="preserve"> it</w:t>
      </w:r>
      <w:r w:rsidR="001377CE">
        <w:t xml:space="preserve"> </w:t>
      </w:r>
      <w:r w:rsidR="002E0551" w:rsidRPr="00E333B8">
        <w:t xml:space="preserve">difficult to know how they would interpret the </w:t>
      </w:r>
      <w:r w:rsidR="00294D65">
        <w:t>performance indicator</w:t>
      </w:r>
      <w:r w:rsidR="00FC7340">
        <w:t xml:space="preserve"> data whe</w:t>
      </w:r>
      <w:r w:rsidR="002E0551" w:rsidRPr="00E333B8">
        <w:t>n choosing an RTO</w:t>
      </w:r>
      <w:r>
        <w:t>.</w:t>
      </w:r>
    </w:p>
    <w:p w:rsidR="002E0551" w:rsidRPr="00E333B8" w:rsidRDefault="00F06CF2" w:rsidP="00A85ABF">
      <w:pPr>
        <w:pStyle w:val="Dotpoint1"/>
        <w:ind w:left="284" w:hanging="284"/>
      </w:pPr>
      <w:r>
        <w:t xml:space="preserve">NCVER’s National </w:t>
      </w:r>
      <w:r w:rsidR="006374BE">
        <w:t xml:space="preserve">Student </w:t>
      </w:r>
      <w:r w:rsidR="002E0551" w:rsidRPr="00E333B8">
        <w:t>O</w:t>
      </w:r>
      <w:r w:rsidR="006374BE">
        <w:t>utcome</w:t>
      </w:r>
      <w:r w:rsidR="00E97EC0">
        <w:t>s</w:t>
      </w:r>
      <w:r w:rsidR="006374BE">
        <w:t xml:space="preserve"> </w:t>
      </w:r>
      <w:r w:rsidR="002E0551" w:rsidRPr="00E333B8">
        <w:t>S</w:t>
      </w:r>
      <w:r w:rsidR="006374BE">
        <w:t>urvey</w:t>
      </w:r>
      <w:r>
        <w:t>’s</w:t>
      </w:r>
      <w:r w:rsidR="002E0551" w:rsidRPr="00E333B8">
        <w:t xml:space="preserve"> sampling errors, low response rates, use of aggregated results,</w:t>
      </w:r>
      <w:r w:rsidR="006C6584">
        <w:t xml:space="preserve"> and</w:t>
      </w:r>
      <w:r w:rsidR="002E0551" w:rsidRPr="00E333B8">
        <w:t xml:space="preserve"> lack of data on</w:t>
      </w:r>
      <w:r w:rsidR="00E97EC0">
        <w:t xml:space="preserve"> private training organisations.</w:t>
      </w:r>
      <w:r w:rsidR="002E0551" w:rsidRPr="00E333B8">
        <w:t xml:space="preserve"> </w:t>
      </w:r>
    </w:p>
    <w:p w:rsidR="002A3C0D" w:rsidRDefault="00E97EC0" w:rsidP="00A85ABF">
      <w:pPr>
        <w:pStyle w:val="Dotpoint1"/>
        <w:ind w:left="284" w:hanging="284"/>
      </w:pPr>
      <w:r>
        <w:t>E</w:t>
      </w:r>
      <w:r w:rsidR="00F928DF">
        <w:t xml:space="preserve">ffective </w:t>
      </w:r>
      <w:r w:rsidR="00696CF3">
        <w:t xml:space="preserve">ways to </w:t>
      </w:r>
      <w:r w:rsidR="002E0551" w:rsidRPr="00E333B8">
        <w:t>present the data</w:t>
      </w:r>
      <w:r>
        <w:t xml:space="preserve"> </w:t>
      </w:r>
      <w:r w:rsidR="005135B9">
        <w:t xml:space="preserve">to aid interpretation and meaning </w:t>
      </w:r>
      <w:r>
        <w:t>were required</w:t>
      </w:r>
      <w:r w:rsidR="007A77D6">
        <w:t xml:space="preserve"> (</w:t>
      </w:r>
      <w:r w:rsidR="006C6584">
        <w:t xml:space="preserve">for example, the </w:t>
      </w:r>
      <w:r w:rsidR="00294D65">
        <w:t>end-</w:t>
      </w:r>
      <w:r w:rsidR="007A77D6">
        <w:t xml:space="preserve">user may not understand </w:t>
      </w:r>
      <w:r w:rsidR="002E0551" w:rsidRPr="00E333B8">
        <w:t>standard deviations</w:t>
      </w:r>
      <w:r w:rsidR="006C6584">
        <w:t>).</w:t>
      </w:r>
    </w:p>
    <w:p w:rsidR="002A6F81" w:rsidRDefault="002A6F81" w:rsidP="007A77D6">
      <w:pPr>
        <w:pStyle w:val="Dotpoint1"/>
        <w:numPr>
          <w:ilvl w:val="0"/>
          <w:numId w:val="0"/>
        </w:numPr>
      </w:pPr>
      <w:r>
        <w:t xml:space="preserve">On the basis of </w:t>
      </w:r>
      <w:r w:rsidR="006C6584">
        <w:t xml:space="preserve">these desktop evaluations the </w:t>
      </w:r>
      <w:r w:rsidR="002A3C0D">
        <w:t xml:space="preserve">performance indicators </w:t>
      </w:r>
      <w:r>
        <w:t>were refined and implemented in</w:t>
      </w:r>
      <w:r w:rsidR="002A3C0D">
        <w:t xml:space="preserve"> the </w:t>
      </w:r>
      <w:r w:rsidR="005135B9">
        <w:t xml:space="preserve">field </w:t>
      </w:r>
      <w:r w:rsidR="002A3C0D">
        <w:t>trial</w:t>
      </w:r>
      <w:r w:rsidR="00E97EC0">
        <w:t>,</w:t>
      </w:r>
      <w:r w:rsidR="00C52374">
        <w:t xml:space="preserve"> which took place in 2014</w:t>
      </w:r>
      <w:r w:rsidR="002A3C0D">
        <w:t xml:space="preserve">. </w:t>
      </w:r>
      <w:r w:rsidR="00F02E89">
        <w:t xml:space="preserve">This trial was also evaluated and the final </w:t>
      </w:r>
      <w:r>
        <w:t xml:space="preserve">report affirmed the application of the </w:t>
      </w:r>
      <w:r w:rsidR="002B0204">
        <w:t>methodology to measure performance across states and territories, the regions and RTOs</w:t>
      </w:r>
      <w:r w:rsidR="006374BE">
        <w:t xml:space="preserve"> (</w:t>
      </w:r>
      <w:r w:rsidR="00FC7340">
        <w:t xml:space="preserve">Victoria University </w:t>
      </w:r>
      <w:r w:rsidR="006374BE">
        <w:t>Centre for International Research on Education Systems 2015).</w:t>
      </w:r>
      <w:r w:rsidR="00474328">
        <w:t xml:space="preserve"> </w:t>
      </w:r>
      <w:r>
        <w:t>The report made the following suggestions:</w:t>
      </w:r>
    </w:p>
    <w:p w:rsidR="002A6F81" w:rsidRDefault="00E97EC0" w:rsidP="00A85ABF">
      <w:pPr>
        <w:pStyle w:val="Dotpoint1"/>
        <w:ind w:left="284" w:hanging="284"/>
      </w:pPr>
      <w:r>
        <w:t>D</w:t>
      </w:r>
      <w:r w:rsidR="00474328">
        <w:t xml:space="preserve">ata on module completers and non-completers </w:t>
      </w:r>
      <w:r>
        <w:t xml:space="preserve">should </w:t>
      </w:r>
      <w:r w:rsidR="00C52374">
        <w:t>be added</w:t>
      </w:r>
      <w:r w:rsidR="00474328">
        <w:t xml:space="preserve"> to </w:t>
      </w:r>
      <w:r w:rsidR="00DD2921">
        <w:t xml:space="preserve">data on </w:t>
      </w:r>
      <w:r w:rsidR="00474328">
        <w:t xml:space="preserve">course completion because it would help </w:t>
      </w:r>
      <w:r w:rsidR="00FC7340">
        <w:t xml:space="preserve">to </w:t>
      </w:r>
      <w:r w:rsidR="00474328">
        <w:t>support risk assessment and quality assurance processes for</w:t>
      </w:r>
      <w:r w:rsidR="00DD2921">
        <w:t xml:space="preserve"> training</w:t>
      </w:r>
      <w:r w:rsidR="00474328">
        <w:t xml:space="preserve"> departments and regulators</w:t>
      </w:r>
      <w:r>
        <w:t>.</w:t>
      </w:r>
    </w:p>
    <w:p w:rsidR="002A6F81" w:rsidRDefault="00E97EC0" w:rsidP="00A85ABF">
      <w:pPr>
        <w:pStyle w:val="Dotpoint1"/>
        <w:ind w:left="284" w:hanging="284"/>
      </w:pPr>
      <w:r>
        <w:t>T</w:t>
      </w:r>
      <w:r w:rsidR="003928C4">
        <w:t xml:space="preserve">he </w:t>
      </w:r>
      <w:r w:rsidR="00474328">
        <w:t>sampling framework used to collect data on employer views could be applied across j</w:t>
      </w:r>
      <w:r w:rsidR="00FC7340">
        <w:t>urisdictions and regions</w:t>
      </w:r>
      <w:r w:rsidR="00474328">
        <w:t xml:space="preserve"> and could be used to obtain</w:t>
      </w:r>
      <w:r w:rsidR="003928C4">
        <w:t xml:space="preserve"> information at the R</w:t>
      </w:r>
      <w:r>
        <w:t>TO level.</w:t>
      </w:r>
    </w:p>
    <w:p w:rsidR="002A6F81" w:rsidRDefault="00E97EC0" w:rsidP="00A85ABF">
      <w:pPr>
        <w:pStyle w:val="Dotpoint1"/>
        <w:ind w:left="284" w:hanging="284"/>
      </w:pPr>
      <w:r>
        <w:t>B</w:t>
      </w:r>
      <w:r w:rsidR="00DD2921">
        <w:t xml:space="preserve">enchmarks should also take account of </w:t>
      </w:r>
      <w:r w:rsidR="00474328">
        <w:t xml:space="preserve">student pre-course intentions </w:t>
      </w:r>
      <w:r w:rsidR="00FC7340">
        <w:t>to ensure</w:t>
      </w:r>
      <w:r w:rsidR="00DD2921">
        <w:t xml:space="preserve"> a meaningful indication of training experiences and outcomes (for example, getting a job or going on to further training)</w:t>
      </w:r>
      <w:r w:rsidR="00474328">
        <w:t>.</w:t>
      </w:r>
      <w:r w:rsidR="00DD2921">
        <w:t xml:space="preserve"> </w:t>
      </w:r>
      <w:r w:rsidR="00CA6836">
        <w:t xml:space="preserve">The evaluation found that the </w:t>
      </w:r>
      <w:r w:rsidR="006374BE">
        <w:t xml:space="preserve">performance </w:t>
      </w:r>
      <w:r w:rsidR="00CA6836">
        <w:t>indicators as they stood did not take into account the characteristics of RTO student populations</w:t>
      </w:r>
      <w:r w:rsidR="00FC7340">
        <w:t>,</w:t>
      </w:r>
      <w:r w:rsidR="00CA6836">
        <w:t xml:space="preserve"> </w:t>
      </w:r>
      <w:r w:rsidR="00FC7340">
        <w:t>thus enabling</w:t>
      </w:r>
      <w:r w:rsidR="00CA6836">
        <w:t xml:space="preserve"> ‘fair comparisons’ across RTOs</w:t>
      </w:r>
      <w:r>
        <w:t>.</w:t>
      </w:r>
    </w:p>
    <w:p w:rsidR="002A6F81" w:rsidRDefault="00D52281" w:rsidP="00A85ABF">
      <w:pPr>
        <w:pStyle w:val="Dotpoint1"/>
        <w:ind w:left="284" w:hanging="284"/>
      </w:pPr>
      <w:r>
        <w:t>I</w:t>
      </w:r>
      <w:r w:rsidR="002A6F81">
        <w:t xml:space="preserve">nformation on the </w:t>
      </w:r>
      <w:r w:rsidR="003928C4">
        <w:t xml:space="preserve">current state of the labour market </w:t>
      </w:r>
      <w:r w:rsidR="002A6F81">
        <w:t xml:space="preserve">should be included </w:t>
      </w:r>
      <w:r w:rsidR="003928C4">
        <w:t>when presen</w:t>
      </w:r>
      <w:r w:rsidR="002A6F81">
        <w:t>ting employment-related outcome</w:t>
      </w:r>
      <w:r>
        <w:t>s.</w:t>
      </w:r>
      <w:r w:rsidR="003928C4">
        <w:t xml:space="preserve"> </w:t>
      </w:r>
    </w:p>
    <w:p w:rsidR="005F66F2" w:rsidRDefault="005135B9" w:rsidP="00A85ABF">
      <w:pPr>
        <w:pStyle w:val="Dotpoint1"/>
        <w:ind w:left="284" w:hanging="284"/>
      </w:pPr>
      <w:r>
        <w:t>Slightly adapted b</w:t>
      </w:r>
      <w:r w:rsidR="00BD138D">
        <w:t>ox and whisker charts</w:t>
      </w:r>
      <w:r w:rsidR="00F06CF2">
        <w:rPr>
          <w:rStyle w:val="FootnoteReference"/>
        </w:rPr>
        <w:footnoteReference w:id="9"/>
      </w:r>
      <w:r w:rsidR="00BD138D">
        <w:t xml:space="preserve"> </w:t>
      </w:r>
      <w:r w:rsidR="002A6F81">
        <w:t>could be used to present an</w:t>
      </w:r>
      <w:r w:rsidR="00BD138D">
        <w:t xml:space="preserve"> RTO’s own data </w:t>
      </w:r>
      <w:r>
        <w:t xml:space="preserve">as a point with an overlay of that of </w:t>
      </w:r>
      <w:r w:rsidR="00BD138D">
        <w:t xml:space="preserve">all other </w:t>
      </w:r>
      <w:r w:rsidR="00D52281">
        <w:t>RTOs</w:t>
      </w:r>
      <w:r>
        <w:t xml:space="preserve"> as the Box and Whisker set</w:t>
      </w:r>
      <w:r w:rsidR="00D52281">
        <w:t>. Benchmarks would use base-</w:t>
      </w:r>
      <w:r w:rsidR="00BD138D">
        <w:t xml:space="preserve">year results to compare performance over time, and progression could be measured in terms of percentage change from the previous year. </w:t>
      </w:r>
      <w:r w:rsidR="003928C4">
        <w:t xml:space="preserve">Recommendations were made for ensuring that data </w:t>
      </w:r>
      <w:r w:rsidR="00D52281">
        <w:t>are</w:t>
      </w:r>
      <w:r w:rsidR="003928C4">
        <w:t xml:space="preserve"> presented with explanations to enable </w:t>
      </w:r>
      <w:r w:rsidR="00FC7340">
        <w:t>clear and meaningful</w:t>
      </w:r>
      <w:r w:rsidR="003928C4">
        <w:t xml:space="preserve"> interpretations. </w:t>
      </w:r>
    </w:p>
    <w:p w:rsidR="006A6854" w:rsidRDefault="00266941" w:rsidP="003928C4">
      <w:pPr>
        <w:pStyle w:val="Heading2"/>
      </w:pPr>
      <w:bookmarkStart w:id="25" w:name="_Toc499032418"/>
      <w:r>
        <w:lastRenderedPageBreak/>
        <w:t>International approaches</w:t>
      </w:r>
      <w:bookmarkEnd w:id="25"/>
    </w:p>
    <w:p w:rsidR="003928C4" w:rsidRDefault="003928C4" w:rsidP="006A6854">
      <w:pPr>
        <w:pStyle w:val="Text"/>
      </w:pPr>
      <w:r>
        <w:t xml:space="preserve">Ensuring that </w:t>
      </w:r>
      <w:r w:rsidR="00E50F51">
        <w:t xml:space="preserve">the performance of </w:t>
      </w:r>
      <w:r>
        <w:t>training provider</w:t>
      </w:r>
      <w:r w:rsidR="00E50F51">
        <w:t>s</w:t>
      </w:r>
      <w:r>
        <w:t xml:space="preserve"> is efficient and effective is a common concern of VET systems </w:t>
      </w:r>
      <w:r w:rsidR="008255DD">
        <w:t>internationally</w:t>
      </w:r>
      <w:r>
        <w:t xml:space="preserve">. </w:t>
      </w:r>
      <w:r w:rsidR="00E50F51">
        <w:t>Increasingly</w:t>
      </w:r>
      <w:r w:rsidR="00D52281">
        <w:t>,</w:t>
      </w:r>
      <w:r w:rsidR="00E50F51">
        <w:t xml:space="preserve"> this performance is driven by the need to be relevant to employer needs</w:t>
      </w:r>
      <w:r w:rsidR="00F47678">
        <w:t xml:space="preserve"> and</w:t>
      </w:r>
      <w:r w:rsidR="00E50F51">
        <w:t xml:space="preserve"> </w:t>
      </w:r>
      <w:r w:rsidR="00F47678">
        <w:t xml:space="preserve">to </w:t>
      </w:r>
      <w:r w:rsidR="00E50F51">
        <w:t>produce good outcomes for students</w:t>
      </w:r>
      <w:r w:rsidR="00266941">
        <w:t>, and</w:t>
      </w:r>
      <w:r w:rsidR="00FC7340">
        <w:t xml:space="preserve"> is</w:t>
      </w:r>
      <w:r w:rsidR="00266941">
        <w:t xml:space="preserve"> measured by </w:t>
      </w:r>
      <w:r w:rsidR="00006AD0">
        <w:t>some clear</w:t>
      </w:r>
      <w:r w:rsidR="00266941">
        <w:t xml:space="preserve"> indicators of performance. </w:t>
      </w:r>
      <w:r w:rsidR="002F630A">
        <w:t xml:space="preserve">A brief description of </w:t>
      </w:r>
      <w:r w:rsidR="002F3748">
        <w:t>performance indicator or accountability frameworks being applied in other countries and the European Union follows.</w:t>
      </w:r>
    </w:p>
    <w:p w:rsidR="00E50F51" w:rsidRDefault="00E50F51" w:rsidP="00E50F51">
      <w:pPr>
        <w:pStyle w:val="Heading3"/>
      </w:pPr>
      <w:r>
        <w:t>United States of America</w:t>
      </w:r>
    </w:p>
    <w:p w:rsidR="00394E65" w:rsidRDefault="00394E65" w:rsidP="009D71E0">
      <w:pPr>
        <w:pStyle w:val="Text"/>
      </w:pPr>
      <w:r w:rsidRPr="008A073C">
        <w:t>The Voluntary Framework of Accountability (VFA) is a tool established by the American Community Colleges Association</w:t>
      </w:r>
      <w:r w:rsidR="00266559">
        <w:t xml:space="preserve"> (</w:t>
      </w:r>
      <w:r w:rsidR="00266559" w:rsidRPr="00737FA7">
        <w:t>American As</w:t>
      </w:r>
      <w:r w:rsidR="00D52281">
        <w:t>sociation of Community Colleges</w:t>
      </w:r>
      <w:r w:rsidR="00266559">
        <w:t xml:space="preserve"> 2014)</w:t>
      </w:r>
      <w:r w:rsidRPr="008A073C">
        <w:t xml:space="preserve"> to </w:t>
      </w:r>
      <w:r w:rsidR="006374BE">
        <w:t>help community colleges</w:t>
      </w:r>
      <w:r w:rsidR="00266559">
        <w:t xml:space="preserve"> </w:t>
      </w:r>
      <w:r w:rsidR="00FC7340">
        <w:t xml:space="preserve">to </w:t>
      </w:r>
      <w:r w:rsidR="00266559">
        <w:t xml:space="preserve">evaluate and make more transparent their performance on specific measures. These measures </w:t>
      </w:r>
      <w:r w:rsidR="00D52281">
        <w:t>cover</w:t>
      </w:r>
      <w:r w:rsidR="00266559">
        <w:t xml:space="preserve"> </w:t>
      </w:r>
      <w:r w:rsidR="00EB0E12">
        <w:t>student progress and outcomes</w:t>
      </w:r>
      <w:r w:rsidR="006374BE">
        <w:t>,</w:t>
      </w:r>
      <w:r w:rsidR="00266559">
        <w:t xml:space="preserve"> </w:t>
      </w:r>
      <w:r w:rsidR="00D52281">
        <w:t xml:space="preserve">along with </w:t>
      </w:r>
      <w:r w:rsidR="00EB0E12">
        <w:t>wor</w:t>
      </w:r>
      <w:r w:rsidR="00D52281">
        <w:t>kforce, economic</w:t>
      </w:r>
      <w:r w:rsidR="00EB0E12">
        <w:t xml:space="preserve"> and community development</w:t>
      </w:r>
      <w:r w:rsidR="00D52281">
        <w:t xml:space="preserve"> factors</w:t>
      </w:r>
      <w:r w:rsidR="006374BE">
        <w:t>. The framework</w:t>
      </w:r>
      <w:r w:rsidR="00D52281">
        <w:t>, which</w:t>
      </w:r>
      <w:r w:rsidR="006374BE">
        <w:t xml:space="preserve"> </w:t>
      </w:r>
      <w:r w:rsidR="00266559">
        <w:t xml:space="preserve">provides </w:t>
      </w:r>
      <w:r w:rsidR="00EC758F">
        <w:t xml:space="preserve">colleges </w:t>
      </w:r>
      <w:r w:rsidR="00266559">
        <w:t xml:space="preserve">with </w:t>
      </w:r>
      <w:r w:rsidR="00EB0E12">
        <w:t>an</w:t>
      </w:r>
      <w:r w:rsidR="000846C3">
        <w:t xml:space="preserve"> approach for assessing </w:t>
      </w:r>
      <w:r w:rsidR="00D52281">
        <w:t>learning outcomes,</w:t>
      </w:r>
      <w:r w:rsidR="00EC758F">
        <w:t xml:space="preserve"> also </w:t>
      </w:r>
      <w:r w:rsidRPr="008A073C">
        <w:t xml:space="preserve">takes into account the special groups and purposes that community colleges serve. In doing so it helps colleges </w:t>
      </w:r>
      <w:r w:rsidR="00D52281">
        <w:t xml:space="preserve">to </w:t>
      </w:r>
      <w:r w:rsidRPr="008A073C">
        <w:t xml:space="preserve">understand how well they are doing in meeting student needs and the extent </w:t>
      </w:r>
      <w:r w:rsidR="00D52281">
        <w:t xml:space="preserve">of </w:t>
      </w:r>
      <w:r w:rsidR="00FC7340">
        <w:t xml:space="preserve">their </w:t>
      </w:r>
      <w:r w:rsidR="00D52281">
        <w:t>progress</w:t>
      </w:r>
      <w:r w:rsidR="00FC7340">
        <w:t xml:space="preserve"> in the</w:t>
      </w:r>
      <w:r w:rsidRPr="008A073C">
        <w:t xml:space="preserve"> implementation of education and training policy. The </w:t>
      </w:r>
      <w:r w:rsidR="00D52281">
        <w:t>framework</w:t>
      </w:r>
      <w:r w:rsidRPr="008A073C">
        <w:t xml:space="preserve"> also helps colleges </w:t>
      </w:r>
      <w:r w:rsidR="00D52281">
        <w:t xml:space="preserve">to </w:t>
      </w:r>
      <w:r w:rsidRPr="008A073C">
        <w:t xml:space="preserve">report </w:t>
      </w:r>
      <w:r w:rsidR="00D52281">
        <w:t xml:space="preserve">their success </w:t>
      </w:r>
      <w:r w:rsidRPr="008A073C">
        <w:t xml:space="preserve">to the community and </w:t>
      </w:r>
      <w:r w:rsidR="00D52281">
        <w:t>to policy-</w:t>
      </w:r>
      <w:r w:rsidR="000846C3">
        <w:t xml:space="preserve">makers </w:t>
      </w:r>
      <w:r w:rsidRPr="008A073C">
        <w:t>in terms of student progress and achievement, implementation of career a</w:t>
      </w:r>
      <w:r w:rsidR="00EB0E12">
        <w:t>n</w:t>
      </w:r>
      <w:r w:rsidRPr="008A073C">
        <w:t>d technical education programs (credit and non-credit), and tra</w:t>
      </w:r>
      <w:r w:rsidR="000846C3">
        <w:t xml:space="preserve">nsparency </w:t>
      </w:r>
      <w:r w:rsidR="00FC7340">
        <w:t>of</w:t>
      </w:r>
      <w:r w:rsidR="000846C3">
        <w:t xml:space="preserve"> reporting outcomes</w:t>
      </w:r>
      <w:r w:rsidRPr="008A073C">
        <w:t xml:space="preserve">. </w:t>
      </w:r>
    </w:p>
    <w:p w:rsidR="00266941" w:rsidRDefault="00FF6EB5" w:rsidP="009D71E0">
      <w:pPr>
        <w:pStyle w:val="Text"/>
      </w:pPr>
      <w:r>
        <w:t xml:space="preserve">The </w:t>
      </w:r>
      <w:r w:rsidR="00201935">
        <w:t xml:space="preserve">applicability of the </w:t>
      </w:r>
      <w:r w:rsidR="00D52281" w:rsidRPr="008A073C">
        <w:t>Voluntary Framework of Accountability</w:t>
      </w:r>
      <w:r w:rsidR="00201935">
        <w:t xml:space="preserve"> for making institutional comparisons</w:t>
      </w:r>
      <w:r w:rsidR="00D52281">
        <w:t xml:space="preserve"> </w:t>
      </w:r>
      <w:r>
        <w:t xml:space="preserve">has been questioned </w:t>
      </w:r>
      <w:r w:rsidR="00FC7340">
        <w:t xml:space="preserve">however </w:t>
      </w:r>
      <w:r>
        <w:t>(Lopez 2014)</w:t>
      </w:r>
      <w:r w:rsidR="00201935">
        <w:t xml:space="preserve">. </w:t>
      </w:r>
      <w:r w:rsidR="00006AD0">
        <w:t xml:space="preserve">As </w:t>
      </w:r>
      <w:r w:rsidR="00E252A6">
        <w:t>also demonstrated</w:t>
      </w:r>
      <w:r w:rsidR="00201935">
        <w:t xml:space="preserve"> </w:t>
      </w:r>
      <w:r w:rsidR="00006AD0">
        <w:t>in</w:t>
      </w:r>
      <w:r w:rsidR="00201935">
        <w:t xml:space="preserve"> the Australian performance indicator trials</w:t>
      </w:r>
      <w:r w:rsidR="00D52281">
        <w:t>,</w:t>
      </w:r>
      <w:r w:rsidR="00006AD0">
        <w:t xml:space="preserve"> Lopez found there is a n</w:t>
      </w:r>
      <w:r w:rsidR="00201935">
        <w:t>eed to ensure</w:t>
      </w:r>
      <w:r w:rsidR="006E2DD2">
        <w:t xml:space="preserve"> that</w:t>
      </w:r>
      <w:r w:rsidR="00201935">
        <w:t xml:space="preserve"> </w:t>
      </w:r>
      <w:r w:rsidR="00A83E2C">
        <w:t>‘</w:t>
      </w:r>
      <w:r w:rsidR="00201935">
        <w:t>like with like</w:t>
      </w:r>
      <w:r w:rsidR="00A83E2C">
        <w:t>’</w:t>
      </w:r>
      <w:r w:rsidR="00201935">
        <w:t xml:space="preserve"> </w:t>
      </w:r>
      <w:r w:rsidR="005135B9">
        <w:t xml:space="preserve">student-body </w:t>
      </w:r>
      <w:r w:rsidR="00201935">
        <w:t>comparisons are made</w:t>
      </w:r>
      <w:r w:rsidR="009D71E0">
        <w:t>. He suggests the establishment of discrete groups for c</w:t>
      </w:r>
      <w:r w:rsidR="00D52281">
        <w:t>omparisons (including all large urban,</w:t>
      </w:r>
      <w:r w:rsidR="009D71E0">
        <w:t xml:space="preserve"> public two-year institutions)</w:t>
      </w:r>
      <w:r w:rsidR="00006AD0">
        <w:t>,</w:t>
      </w:r>
      <w:r w:rsidR="009D71E0">
        <w:t xml:space="preserve"> noting that performance will also be affected by student mix (students’ </w:t>
      </w:r>
      <w:r w:rsidR="00E252A6">
        <w:t>socio</w:t>
      </w:r>
      <w:r w:rsidR="00006AD0">
        <w:t>economic status</w:t>
      </w:r>
      <w:r w:rsidR="009D71E0">
        <w:t>, prior work experience and college readiness)</w:t>
      </w:r>
      <w:r w:rsidR="00D52281">
        <w:t>,</w:t>
      </w:r>
      <w:r w:rsidR="009D71E0">
        <w:t xml:space="preserve"> which will have an impact on student achievement. In addition, the influence of student transfer from other institutions should also be taken into account when </w:t>
      </w:r>
      <w:r w:rsidR="00E252A6">
        <w:t>attempting</w:t>
      </w:r>
      <w:r w:rsidR="009D71E0">
        <w:t xml:space="preserve"> to isolate the performance attributable to specific institutions. Other</w:t>
      </w:r>
      <w:r w:rsidR="00D52281">
        <w:t xml:space="preserve"> considerations are school size</w:t>
      </w:r>
      <w:r w:rsidR="009D71E0">
        <w:t xml:space="preserve"> and </w:t>
      </w:r>
      <w:r w:rsidR="000B05EC">
        <w:t>differing college goals and purposes</w:t>
      </w:r>
      <w:r w:rsidR="008C5279">
        <w:t>. Focu</w:t>
      </w:r>
      <w:r w:rsidR="009D71E0">
        <w:t>sing on the need for accountability may also limit an institute</w:t>
      </w:r>
      <w:r w:rsidR="001F2DF9">
        <w:t>’</w:t>
      </w:r>
      <w:r w:rsidR="009D71E0">
        <w:t xml:space="preserve">s ability to showcase </w:t>
      </w:r>
      <w:r w:rsidR="00E252A6">
        <w:t>its</w:t>
      </w:r>
      <w:r w:rsidR="009D71E0">
        <w:t xml:space="preserve"> other positive achievements. </w:t>
      </w:r>
      <w:r w:rsidR="00F42581">
        <w:t>Lopez</w:t>
      </w:r>
      <w:r w:rsidR="009D71E0">
        <w:t xml:space="preserve"> suggests the use of longitudinal data to identify best practices for improving retention. </w:t>
      </w:r>
    </w:p>
    <w:p w:rsidR="00266941" w:rsidRDefault="00266941" w:rsidP="00266941">
      <w:pPr>
        <w:pStyle w:val="Heading3"/>
      </w:pPr>
      <w:r>
        <w:t>United Kingdom</w:t>
      </w:r>
    </w:p>
    <w:p w:rsidR="00004B1C" w:rsidRDefault="00FF6EB5" w:rsidP="00266941">
      <w:pPr>
        <w:pStyle w:val="Text"/>
      </w:pPr>
      <w:r>
        <w:t>In the United Kingdom t</w:t>
      </w:r>
      <w:r w:rsidR="00266941">
        <w:t>he Post-16 Skills Plan</w:t>
      </w:r>
      <w:r w:rsidR="007800BE">
        <w:t xml:space="preserve"> 2016 (UK </w:t>
      </w:r>
      <w:r w:rsidR="007800BE" w:rsidRPr="00C86521">
        <w:t xml:space="preserve">Department of Business Innovation </w:t>
      </w:r>
      <w:r w:rsidR="007800BE">
        <w:t>&amp;</w:t>
      </w:r>
      <w:r w:rsidR="007800BE" w:rsidRPr="00C86521">
        <w:t xml:space="preserve"> Skills</w:t>
      </w:r>
      <w:r w:rsidR="007800BE">
        <w:t xml:space="preserve"> &amp; Department of Education 2016) </w:t>
      </w:r>
      <w:r w:rsidR="00266941">
        <w:t>provides a framework for reform</w:t>
      </w:r>
      <w:r>
        <w:t>ing the</w:t>
      </w:r>
      <w:r w:rsidR="00266941">
        <w:t xml:space="preserve"> education system</w:t>
      </w:r>
      <w:r>
        <w:t xml:space="preserve"> and sets out some expectations </w:t>
      </w:r>
      <w:r w:rsidR="00004B1C">
        <w:t xml:space="preserve">for </w:t>
      </w:r>
      <w:r w:rsidR="007800BE">
        <w:t xml:space="preserve">the </w:t>
      </w:r>
      <w:r>
        <w:t xml:space="preserve">performance of colleges and providers delivering further education. </w:t>
      </w:r>
      <w:r w:rsidR="00004B1C">
        <w:t>It provides another example of how policy and government expectations drive the performance of RTOs.</w:t>
      </w:r>
    </w:p>
    <w:p w:rsidR="007800BE" w:rsidRDefault="00FF6EB5" w:rsidP="00C86521">
      <w:pPr>
        <w:pStyle w:val="Text"/>
      </w:pPr>
      <w:r>
        <w:t xml:space="preserve">The plan </w:t>
      </w:r>
      <w:r w:rsidR="00EC758F">
        <w:t xml:space="preserve">aims to </w:t>
      </w:r>
      <w:r w:rsidR="00DB66B7">
        <w:t>provide young</w:t>
      </w:r>
      <w:r w:rsidR="00266941">
        <w:t xml:space="preserve"> people and adults with opportunities to develop </w:t>
      </w:r>
      <w:r w:rsidR="00F35A68">
        <w:t xml:space="preserve">or progress to </w:t>
      </w:r>
      <w:r w:rsidR="00266941">
        <w:t xml:space="preserve">the higher-level technical and specialist skills required </w:t>
      </w:r>
      <w:r w:rsidR="00F35A68">
        <w:t xml:space="preserve">and valued by employers and </w:t>
      </w:r>
      <w:r w:rsidR="00E252A6">
        <w:t xml:space="preserve">necessary </w:t>
      </w:r>
      <w:r w:rsidR="00266941">
        <w:t>for the future</w:t>
      </w:r>
      <w:r w:rsidR="000B05EC">
        <w:t>.</w:t>
      </w:r>
      <w:r w:rsidR="007800BE">
        <w:t xml:space="preserve"> </w:t>
      </w:r>
      <w:r w:rsidR="000B05EC">
        <w:t>It plans on a</w:t>
      </w:r>
      <w:r w:rsidR="007800BE">
        <w:t>chieving this objective</w:t>
      </w:r>
      <w:r w:rsidR="00C86521">
        <w:t xml:space="preserve"> by giving </w:t>
      </w:r>
      <w:r w:rsidR="00266941">
        <w:t xml:space="preserve">students two </w:t>
      </w:r>
      <w:r w:rsidR="00C86521">
        <w:t xml:space="preserve">educational pathway </w:t>
      </w:r>
      <w:r w:rsidR="00266941">
        <w:t>options</w:t>
      </w:r>
      <w:r w:rsidR="006E2DD2">
        <w:t>,</w:t>
      </w:r>
      <w:r w:rsidR="00EC758F">
        <w:t xml:space="preserve"> </w:t>
      </w:r>
      <w:r w:rsidR="00C86521">
        <w:t xml:space="preserve">with </w:t>
      </w:r>
      <w:r w:rsidR="006E2DD2">
        <w:t xml:space="preserve">the </w:t>
      </w:r>
      <w:r w:rsidR="00EC758F">
        <w:t>opportunity to move easily between them</w:t>
      </w:r>
      <w:r w:rsidR="00266941">
        <w:t>. The first option is to follow a new technical education pa</w:t>
      </w:r>
      <w:r w:rsidR="007800BE">
        <w:t>thway (to be developed to world-</w:t>
      </w:r>
      <w:r w:rsidR="00266941">
        <w:t>class standards); the second is to retain the traditional academic pathway (hist</w:t>
      </w:r>
      <w:r w:rsidR="007800BE">
        <w:t>orically considered to be world-class).</w:t>
      </w:r>
    </w:p>
    <w:p w:rsidR="00F35A68" w:rsidRDefault="00266941" w:rsidP="00C86521">
      <w:pPr>
        <w:pStyle w:val="Text"/>
      </w:pPr>
      <w:r>
        <w:lastRenderedPageBreak/>
        <w:t xml:space="preserve">The technical education option (including apprenticeship programs) comprises 15 routes to skilled employment. Students who are not </w:t>
      </w:r>
      <w:r w:rsidR="000B05EC">
        <w:t xml:space="preserve">yet </w:t>
      </w:r>
      <w:r>
        <w:t xml:space="preserve">ready to enter the technical route will be provided with customised support for a year. </w:t>
      </w:r>
      <w:r w:rsidR="00F35A68">
        <w:t>The plan was to expand apprenticeships and establish a new Institute of Apprenticeships</w:t>
      </w:r>
      <w:r w:rsidR="006120F9">
        <w:t>,</w:t>
      </w:r>
      <w:r w:rsidR="00F35A68">
        <w:t xml:space="preserve"> </w:t>
      </w:r>
      <w:r w:rsidR="007800BE">
        <w:t xml:space="preserve">designed </w:t>
      </w:r>
      <w:r w:rsidR="00F35A68">
        <w:t xml:space="preserve">to regulate the quality of apprenticeship provision. </w:t>
      </w:r>
      <w:r w:rsidR="00B478EA">
        <w:t xml:space="preserve">The implementation of such a plan and other related reforms would require </w:t>
      </w:r>
      <w:r w:rsidR="00F35A68">
        <w:t>p</w:t>
      </w:r>
      <w:r w:rsidR="00273AFA">
        <w:t>roviders to be</w:t>
      </w:r>
      <w:r w:rsidR="00C86521" w:rsidRPr="00C86521">
        <w:t xml:space="preserve"> ‘resilient and financially sustainable, led and </w:t>
      </w:r>
      <w:r w:rsidR="000836A1">
        <w:t>governed effectively, and focus</w:t>
      </w:r>
      <w:r w:rsidR="00C86521" w:rsidRPr="00C86521">
        <w:t xml:space="preserve">ed on local needs’ (Department of Business Innovation </w:t>
      </w:r>
      <w:r w:rsidR="007800BE">
        <w:t>&amp;</w:t>
      </w:r>
      <w:r w:rsidR="00C86521" w:rsidRPr="00C86521">
        <w:t xml:space="preserve"> Skills</w:t>
      </w:r>
      <w:r w:rsidR="006120F9">
        <w:t xml:space="preserve"> &amp; Department of Education</w:t>
      </w:r>
      <w:r w:rsidR="00C86521" w:rsidRPr="00C86521">
        <w:t xml:space="preserve"> 2016, p</w:t>
      </w:r>
      <w:r w:rsidR="007800BE">
        <w:t xml:space="preserve">. </w:t>
      </w:r>
      <w:r w:rsidR="00C86521" w:rsidRPr="00C86521">
        <w:t xml:space="preserve">8). </w:t>
      </w:r>
      <w:r w:rsidR="00E252A6">
        <w:t>Providers</w:t>
      </w:r>
      <w:r w:rsidR="00C86521" w:rsidRPr="00C86521">
        <w:t xml:space="preserve"> will also be expected to participate in a ‘strong network of colleges’ (p</w:t>
      </w:r>
      <w:r w:rsidR="006120F9">
        <w:t>.</w:t>
      </w:r>
      <w:r w:rsidR="00C86521" w:rsidRPr="00C86521">
        <w:t>8)</w:t>
      </w:r>
      <w:r w:rsidR="00F35A68">
        <w:t>.</w:t>
      </w:r>
    </w:p>
    <w:p w:rsidR="005E27DE" w:rsidRDefault="000B05EC" w:rsidP="00762C5E">
      <w:pPr>
        <w:pStyle w:val="Text"/>
      </w:pPr>
      <w:r>
        <w:t>Earlier i</w:t>
      </w:r>
      <w:r w:rsidR="006E2DD2">
        <w:t>n 2015 t</w:t>
      </w:r>
      <w:r w:rsidR="00F35A68">
        <w:t xml:space="preserve">he </w:t>
      </w:r>
      <w:r w:rsidR="006120F9">
        <w:t>UK G</w:t>
      </w:r>
      <w:r w:rsidR="00F35A68">
        <w:t xml:space="preserve">overnment </w:t>
      </w:r>
      <w:r>
        <w:t xml:space="preserve">also </w:t>
      </w:r>
      <w:r w:rsidR="000F78F9">
        <w:t>announced the implem</w:t>
      </w:r>
      <w:r w:rsidR="006120F9">
        <w:t>entation of a national program</w:t>
      </w:r>
      <w:r w:rsidR="000F78F9">
        <w:t xml:space="preserve"> of area-based review</w:t>
      </w:r>
      <w:r w:rsidR="005E27DE">
        <w:t>s</w:t>
      </w:r>
      <w:r w:rsidR="006120F9">
        <w:t>,</w:t>
      </w:r>
      <w:r w:rsidR="005E27DE">
        <w:t xml:space="preserve"> which would look at </w:t>
      </w:r>
      <w:r w:rsidR="006120F9">
        <w:t xml:space="preserve">both </w:t>
      </w:r>
      <w:r w:rsidR="005E27DE">
        <w:t xml:space="preserve">the educational </w:t>
      </w:r>
      <w:r w:rsidR="00F35A68">
        <w:t>and the</w:t>
      </w:r>
      <w:r w:rsidR="005E27DE">
        <w:t xml:space="preserve"> financial performance of </w:t>
      </w:r>
      <w:r w:rsidR="006120F9">
        <w:t xml:space="preserve">sixth form and further education </w:t>
      </w:r>
      <w:r w:rsidR="001E5862">
        <w:t>colleges.</w:t>
      </w:r>
      <w:r w:rsidR="005E27DE">
        <w:t xml:space="preserve"> These reviews were </w:t>
      </w:r>
      <w:r w:rsidR="00E252A6">
        <w:t>partly</w:t>
      </w:r>
      <w:r w:rsidR="005E27DE">
        <w:t xml:space="preserve"> driven by the </w:t>
      </w:r>
      <w:r w:rsidR="006120F9">
        <w:t>declining numbers of 16 to 19-</w:t>
      </w:r>
      <w:r w:rsidR="005E27DE">
        <w:t xml:space="preserve">year-olds in the </w:t>
      </w:r>
      <w:r w:rsidR="00D25749">
        <w:t xml:space="preserve">general </w:t>
      </w:r>
      <w:r w:rsidR="005E27DE">
        <w:t>population</w:t>
      </w:r>
      <w:r w:rsidR="006120F9">
        <w:t xml:space="preserve">, potentially </w:t>
      </w:r>
      <w:r w:rsidR="005E27DE">
        <w:t>affect</w:t>
      </w:r>
      <w:r w:rsidR="006120F9">
        <w:t>ing</w:t>
      </w:r>
      <w:r w:rsidR="005E27DE">
        <w:t xml:space="preserve"> the financial viability of some providers. </w:t>
      </w:r>
      <w:r w:rsidR="002639A8">
        <w:t xml:space="preserve">In addition, the </w:t>
      </w:r>
      <w:r w:rsidR="00B478EA">
        <w:t xml:space="preserve">government reported that </w:t>
      </w:r>
      <w:r w:rsidR="006120F9">
        <w:t xml:space="preserve">the </w:t>
      </w:r>
      <w:r w:rsidR="002639A8">
        <w:t xml:space="preserve">Further Education and Sixth Form College Commissioners had identified more room for fiscal improvements and efficiencies. </w:t>
      </w:r>
      <w:r w:rsidR="00F35A68">
        <w:t xml:space="preserve">The announcement </w:t>
      </w:r>
      <w:r w:rsidR="006120F9">
        <w:t>foreshadowed the</w:t>
      </w:r>
      <w:r w:rsidR="005E27DE">
        <w:t xml:space="preserve"> need to ‘move faster to fewer, often larger and more resilient and more efficient providers’</w:t>
      </w:r>
      <w:r w:rsidR="00762C5E">
        <w:t>.</w:t>
      </w:r>
      <w:r w:rsidR="00187424">
        <w:t xml:space="preserve"> </w:t>
      </w:r>
      <w:r w:rsidR="002639A8">
        <w:t>Such institutions were expected to be ‘</w:t>
      </w:r>
      <w:r w:rsidR="00EE604D">
        <w:t>genuine centres of expertise, able to support progression up to a high level of professional and technical disciplines while sup</w:t>
      </w:r>
      <w:r w:rsidR="00762C5E">
        <w:t xml:space="preserve">porting institutions that </w:t>
      </w:r>
      <w:r w:rsidR="00EE604D">
        <w:t>achieve excellence in essential basic skills —</w:t>
      </w:r>
      <w:r w:rsidR="006120F9">
        <w:t xml:space="preserve"> </w:t>
      </w:r>
      <w:r w:rsidR="00EE604D">
        <w:t>English and Mathematics</w:t>
      </w:r>
      <w:r w:rsidR="002639A8">
        <w:t xml:space="preserve">’ </w:t>
      </w:r>
      <w:r w:rsidR="00EE604D">
        <w:t>(</w:t>
      </w:r>
      <w:r w:rsidR="00E252A6">
        <w:t xml:space="preserve">United Kingdom </w:t>
      </w:r>
      <w:r w:rsidR="00EE604D">
        <w:t>Her Majesty’s Government 2015</w:t>
      </w:r>
      <w:r w:rsidR="00762C5E">
        <w:t>, p</w:t>
      </w:r>
      <w:r w:rsidR="006120F9">
        <w:t>.</w:t>
      </w:r>
      <w:r w:rsidR="00762C5E">
        <w:t>3</w:t>
      </w:r>
      <w:r w:rsidR="00EE604D">
        <w:t xml:space="preserve">). </w:t>
      </w:r>
      <w:r w:rsidR="0081494B">
        <w:t xml:space="preserve">The reviews would focus on current and future </w:t>
      </w:r>
      <w:r w:rsidR="00B478EA">
        <w:t xml:space="preserve">learner </w:t>
      </w:r>
      <w:r w:rsidR="0081494B">
        <w:t>needs and employers</w:t>
      </w:r>
      <w:r w:rsidR="006E2DD2">
        <w:t>,</w:t>
      </w:r>
      <w:r w:rsidR="0081494B">
        <w:t xml:space="preserve"> taking into consideration </w:t>
      </w:r>
      <w:r w:rsidR="00B478EA">
        <w:t xml:space="preserve">relevant </w:t>
      </w:r>
      <w:r w:rsidR="0081494B">
        <w:t>d</w:t>
      </w:r>
      <w:r w:rsidR="00B478EA">
        <w:t xml:space="preserve">emographic shifts and implications for funding and financing. </w:t>
      </w:r>
    </w:p>
    <w:p w:rsidR="001E5862" w:rsidRDefault="00ED0905" w:rsidP="00762C5E">
      <w:pPr>
        <w:pStyle w:val="Text"/>
      </w:pPr>
      <w:r>
        <w:t>The reviews would take into account</w:t>
      </w:r>
      <w:r w:rsidR="001E5862">
        <w:t>:</w:t>
      </w:r>
    </w:p>
    <w:p w:rsidR="001E5862" w:rsidRDefault="006120F9" w:rsidP="005A11A0">
      <w:pPr>
        <w:pStyle w:val="Dotpoint1"/>
        <w:ind w:left="284" w:hanging="284"/>
      </w:pPr>
      <w:r>
        <w:t>l</w:t>
      </w:r>
      <w:r w:rsidR="001E5862">
        <w:t>ocal economic environments and agreements (including labour market needs and outcome agreements in place)</w:t>
      </w:r>
    </w:p>
    <w:p w:rsidR="001E5862" w:rsidRDefault="006120F9" w:rsidP="005A11A0">
      <w:pPr>
        <w:pStyle w:val="Dotpoint1"/>
        <w:ind w:left="284" w:hanging="284"/>
      </w:pPr>
      <w:r>
        <w:t>i</w:t>
      </w:r>
      <w:r w:rsidR="0081494B">
        <w:t>mplementation of n</w:t>
      </w:r>
      <w:r w:rsidR="001E5862">
        <w:t>ational government polic</w:t>
      </w:r>
      <w:r w:rsidR="0081494B">
        <w:t xml:space="preserve">ies related to apprenticeships, post-16 reforms, creation of </w:t>
      </w:r>
      <w:r>
        <w:t>centres of excellence, and high-</w:t>
      </w:r>
      <w:r w:rsidR="0081494B">
        <w:t>quality basic skills provision (En</w:t>
      </w:r>
      <w:r w:rsidR="00E83331">
        <w:t>glish and m</w:t>
      </w:r>
      <w:r w:rsidR="0081494B">
        <w:t xml:space="preserve">athematics) </w:t>
      </w:r>
    </w:p>
    <w:p w:rsidR="001E5862" w:rsidRDefault="006120F9" w:rsidP="005A11A0">
      <w:pPr>
        <w:pStyle w:val="Dotpoint1"/>
        <w:ind w:left="284" w:hanging="284"/>
      </w:pPr>
      <w:r>
        <w:t>s</w:t>
      </w:r>
      <w:r w:rsidR="0081494B">
        <w:t>tudent a</w:t>
      </w:r>
      <w:r w:rsidR="001E5862">
        <w:t>ccess to quality provision, especially for 16 to 19–year-olds and students with special education needs and disabilities</w:t>
      </w:r>
    </w:p>
    <w:p w:rsidR="0081494B" w:rsidRDefault="00E252A6" w:rsidP="005A11A0">
      <w:pPr>
        <w:pStyle w:val="Dotpoint1"/>
        <w:ind w:left="284" w:hanging="284"/>
      </w:pPr>
      <w:r>
        <w:t xml:space="preserve">providers’ </w:t>
      </w:r>
      <w:r w:rsidR="006120F9">
        <w:t>a</w:t>
      </w:r>
      <w:r w:rsidR="0081494B">
        <w:t>bility to operate with efficiency in a tight financial environment</w:t>
      </w:r>
    </w:p>
    <w:p w:rsidR="00ED0905" w:rsidRDefault="006120F9" w:rsidP="005A11A0">
      <w:pPr>
        <w:pStyle w:val="Dotpoint1"/>
        <w:ind w:left="284" w:hanging="284"/>
      </w:pPr>
      <w:r>
        <w:t>p</w:t>
      </w:r>
      <w:r w:rsidR="0081494B">
        <w:t>rovision of effective support for unem</w:t>
      </w:r>
      <w:r w:rsidR="00E252A6">
        <w:t>ployed groups to return to work</w:t>
      </w:r>
      <w:r w:rsidR="00ED0905">
        <w:t xml:space="preserve"> </w:t>
      </w:r>
    </w:p>
    <w:p w:rsidR="00762C5E" w:rsidRDefault="00E252A6" w:rsidP="005A11A0">
      <w:pPr>
        <w:pStyle w:val="Dotpoint1"/>
        <w:ind w:left="284" w:hanging="284"/>
      </w:pPr>
      <w:proofErr w:type="gramStart"/>
      <w:r>
        <w:t>providers</w:t>
      </w:r>
      <w:proofErr w:type="gramEnd"/>
      <w:r>
        <w:t xml:space="preserve">’ </w:t>
      </w:r>
      <w:r w:rsidR="006120F9">
        <w:t>a</w:t>
      </w:r>
      <w:r w:rsidR="0081494B">
        <w:t>bility to meet legal responsibilities under relevant legislation</w:t>
      </w:r>
      <w:r w:rsidR="00B4531C">
        <w:t>.</w:t>
      </w:r>
      <w:r w:rsidR="0081494B">
        <w:t xml:space="preserve"> </w:t>
      </w:r>
    </w:p>
    <w:p w:rsidR="00E252A6" w:rsidRDefault="00B478EA" w:rsidP="00C86521">
      <w:pPr>
        <w:pStyle w:val="Text"/>
      </w:pPr>
      <w:r>
        <w:t xml:space="preserve">We can </w:t>
      </w:r>
      <w:r w:rsidR="00D13020">
        <w:t xml:space="preserve">learn more about </w:t>
      </w:r>
      <w:r w:rsidR="006120F9">
        <w:t xml:space="preserve">the </w:t>
      </w:r>
      <w:r w:rsidR="00A24793">
        <w:t>performance expectations</w:t>
      </w:r>
      <w:r w:rsidR="00D13020">
        <w:t xml:space="preserve"> </w:t>
      </w:r>
      <w:r w:rsidR="006120F9">
        <w:t>for</w:t>
      </w:r>
      <w:r w:rsidR="00D13020">
        <w:t xml:space="preserve"> </w:t>
      </w:r>
      <w:r w:rsidR="006120F9">
        <w:t xml:space="preserve">further education and sixth form colleges </w:t>
      </w:r>
      <w:r w:rsidR="00D13020">
        <w:t>in the United Kingdom from the Common Inspection Framework</w:t>
      </w:r>
      <w:r w:rsidR="005A11A0">
        <w:t>,</w:t>
      </w:r>
      <w:r w:rsidR="006B40A5" w:rsidRPr="006B40A5">
        <w:rPr>
          <w:rStyle w:val="FootnoteReference"/>
        </w:rPr>
        <w:t xml:space="preserve"> </w:t>
      </w:r>
      <w:r w:rsidR="006B40A5">
        <w:rPr>
          <w:rStyle w:val="FootnoteReference"/>
        </w:rPr>
        <w:footnoteReference w:id="10"/>
      </w:r>
      <w:r w:rsidR="00D13020">
        <w:t xml:space="preserve"> </w:t>
      </w:r>
      <w:r w:rsidR="00DF6EC0">
        <w:t xml:space="preserve">which is </w:t>
      </w:r>
      <w:r w:rsidR="00D13020">
        <w:t>used to evaluate</w:t>
      </w:r>
      <w:r w:rsidR="0055463D">
        <w:t xml:space="preserve"> their</w:t>
      </w:r>
      <w:r w:rsidR="00D13020">
        <w:t xml:space="preserve"> performance. </w:t>
      </w:r>
      <w:r w:rsidR="00DF6EC0">
        <w:t>E</w:t>
      </w:r>
      <w:r w:rsidR="00DF6EC0" w:rsidRPr="00971316">
        <w:t>ndor</w:t>
      </w:r>
      <w:r w:rsidR="00DF6EC0">
        <w:t>sed for use from September 201</w:t>
      </w:r>
      <w:r w:rsidR="006B40A5">
        <w:t>5</w:t>
      </w:r>
      <w:r w:rsidR="00DF6EC0">
        <w:t xml:space="preserve"> </w:t>
      </w:r>
      <w:r w:rsidR="004C6642">
        <w:t xml:space="preserve">onwards </w:t>
      </w:r>
      <w:r w:rsidR="00DF6EC0">
        <w:t>this f</w:t>
      </w:r>
      <w:r w:rsidR="00D13020" w:rsidRPr="00971316">
        <w:t>ramework applies to training provision that is supported in part by</w:t>
      </w:r>
      <w:r w:rsidR="006B40A5">
        <w:t xml:space="preserve"> government</w:t>
      </w:r>
      <w:r w:rsidR="00D13020" w:rsidRPr="00971316">
        <w:t xml:space="preserve"> funding agencies</w:t>
      </w:r>
      <w:r w:rsidR="00D13020">
        <w:t xml:space="preserve"> (Skills Funding Agency or Education Funding Agency). </w:t>
      </w:r>
      <w:r w:rsidR="00D13020" w:rsidRPr="0007493A">
        <w:t xml:space="preserve">The aim of the Common Inspection Framework </w:t>
      </w:r>
      <w:r w:rsidR="000B05EC">
        <w:t>was</w:t>
      </w:r>
      <w:r w:rsidR="00D13020" w:rsidRPr="0007493A">
        <w:t xml:space="preserve"> to provide guidelines for the types of </w:t>
      </w:r>
      <w:r w:rsidR="00DF6EC0">
        <w:t>issues</w:t>
      </w:r>
      <w:r w:rsidR="00D13020" w:rsidRPr="0007493A">
        <w:t xml:space="preserve"> inspectors will look for </w:t>
      </w:r>
      <w:r w:rsidR="00D13020">
        <w:t>whe</w:t>
      </w:r>
      <w:r w:rsidR="00D13020" w:rsidRPr="0007493A">
        <w:t xml:space="preserve">n examining and assessing provider effectiveness and </w:t>
      </w:r>
      <w:r w:rsidR="00E252A6">
        <w:t xml:space="preserve">their </w:t>
      </w:r>
      <w:r w:rsidR="00D13020" w:rsidRPr="0007493A">
        <w:t>efficiency of provision.</w:t>
      </w:r>
      <w:r w:rsidR="004C6642">
        <w:t xml:space="preserve"> The handbook used by inspectors provides additional information on what is to be covered in inspections.</w:t>
      </w:r>
      <w:r w:rsidR="004C6642">
        <w:rPr>
          <w:rStyle w:val="FootnoteReference"/>
        </w:rPr>
        <w:footnoteReference w:id="11"/>
      </w:r>
    </w:p>
    <w:p w:rsidR="00D13020" w:rsidRDefault="00E252A6" w:rsidP="00C86521">
      <w:pPr>
        <w:pStyle w:val="Text"/>
      </w:pPr>
      <w:r>
        <w:lastRenderedPageBreak/>
        <w:t>T</w:t>
      </w:r>
      <w:r w:rsidR="00D13020">
        <w:t>here are three key areas for assessment</w:t>
      </w:r>
      <w:r w:rsidR="00DF6EC0">
        <w:t>,</w:t>
      </w:r>
      <w:r w:rsidR="00D13020">
        <w:t xml:space="preserve"> called the </w:t>
      </w:r>
      <w:r w:rsidR="00D13020" w:rsidRPr="00D13020">
        <w:rPr>
          <w:i/>
        </w:rPr>
        <w:t>key aspect judgments</w:t>
      </w:r>
      <w:r w:rsidR="00D13020">
        <w:t>. The</w:t>
      </w:r>
      <w:r w:rsidR="00B4531C">
        <w:t xml:space="preserve"> key aspect judgments are focu</w:t>
      </w:r>
      <w:r w:rsidR="00D13020">
        <w:t xml:space="preserve">sed on learner outcomes, </w:t>
      </w:r>
      <w:r w:rsidR="00CE593F">
        <w:t xml:space="preserve">the </w:t>
      </w:r>
      <w:r w:rsidR="00D13020">
        <w:t xml:space="preserve">quality of teaching, learning and assessment, and </w:t>
      </w:r>
      <w:r w:rsidR="00CE593F">
        <w:t xml:space="preserve">the </w:t>
      </w:r>
      <w:r w:rsidR="00D13020">
        <w:t xml:space="preserve">effectiveness of leadership and management. </w:t>
      </w:r>
      <w:r w:rsidR="007547F2">
        <w:t>In Appendix A we list some of the details of the criteria used to make judgements on these three aspects. We do this to indicate that such a framework can be used by providers to guide and drive their performance.</w:t>
      </w:r>
    </w:p>
    <w:p w:rsidR="00684435" w:rsidRDefault="007547F2" w:rsidP="00C6383D">
      <w:pPr>
        <w:pStyle w:val="Dotpoint1"/>
        <w:numPr>
          <w:ilvl w:val="0"/>
          <w:numId w:val="0"/>
        </w:numPr>
      </w:pPr>
      <w:r>
        <w:t>In</w:t>
      </w:r>
      <w:r w:rsidR="00C6383D" w:rsidRPr="00684435">
        <w:t xml:space="preserve"> 2014</w:t>
      </w:r>
      <w:r w:rsidR="00E252A6">
        <w:t>,</w:t>
      </w:r>
      <w:r w:rsidR="00C6383D" w:rsidRPr="00684435">
        <w:t xml:space="preserve"> Ofsted released a report based on </w:t>
      </w:r>
      <w:r w:rsidR="004345EC">
        <w:t>its</w:t>
      </w:r>
      <w:r w:rsidR="00C6383D" w:rsidRPr="00684435">
        <w:t xml:space="preserve"> visits to 20 providers judged to be ‘outstanding’. They found that the key characteristic</w:t>
      </w:r>
      <w:r w:rsidR="00E252A6">
        <w:t>s of outstanding performance were</w:t>
      </w:r>
      <w:r w:rsidR="00C6383D" w:rsidRPr="00684435">
        <w:t xml:space="preserve"> related to ‘sharply focussed leadership, unequivocal and well-informed direction’ (Ofsted 2014</w:t>
      </w:r>
      <w:r w:rsidR="00AC1468">
        <w:t>a</w:t>
      </w:r>
      <w:r w:rsidR="00B4531C">
        <w:t>,</w:t>
      </w:r>
      <w:r w:rsidR="00684435">
        <w:t xml:space="preserve"> p</w:t>
      </w:r>
      <w:r w:rsidR="00B4531C">
        <w:t>.</w:t>
      </w:r>
      <w:r w:rsidR="00684435">
        <w:t>6</w:t>
      </w:r>
      <w:r w:rsidR="00C6383D" w:rsidRPr="00684435">
        <w:t>) and consistent application of soundl</w:t>
      </w:r>
      <w:r w:rsidR="00E252A6">
        <w:t>y</w:t>
      </w:r>
      <w:r w:rsidR="00CE593F">
        <w:t xml:space="preserve"> </w:t>
      </w:r>
      <w:r w:rsidR="00B4531C">
        <w:t>based teaching strategies, with</w:t>
      </w:r>
      <w:r w:rsidR="00C6383D" w:rsidRPr="00684435">
        <w:t xml:space="preserve"> all teachers and staff having high expectations of student performance. </w:t>
      </w:r>
      <w:r w:rsidR="00684435">
        <w:t xml:space="preserve">Inspectors also reported that outstanding practice </w:t>
      </w:r>
      <w:r w:rsidR="004345EC">
        <w:t>in the teaching of English and m</w:t>
      </w:r>
      <w:r w:rsidR="00684435">
        <w:t>athematics was ‘consistently not wide spread’ (</w:t>
      </w:r>
      <w:r w:rsidR="001038D7">
        <w:t xml:space="preserve">ibid </w:t>
      </w:r>
      <w:r w:rsidR="00684435">
        <w:t>p</w:t>
      </w:r>
      <w:r w:rsidR="004345EC">
        <w:t>.</w:t>
      </w:r>
      <w:r w:rsidR="005F7202">
        <w:t>7</w:t>
      </w:r>
      <w:r w:rsidR="00684435">
        <w:t>) and that expertise available in teacher education departments was no</w:t>
      </w:r>
      <w:r w:rsidR="004345EC">
        <w:t>t being used or shared in whole-of-</w:t>
      </w:r>
      <w:r w:rsidR="00684435">
        <w:t xml:space="preserve">college staff development programs. There was also </w:t>
      </w:r>
      <w:r w:rsidR="00E2715D">
        <w:t>insufficient skilling of teachers</w:t>
      </w:r>
      <w:r w:rsidR="00B4531C">
        <w:t xml:space="preserve"> to support work-based learning</w:t>
      </w:r>
      <w:r w:rsidR="00E2715D">
        <w:t>.</w:t>
      </w:r>
    </w:p>
    <w:p w:rsidR="008E39B2" w:rsidRDefault="008E39B2" w:rsidP="006A6854">
      <w:pPr>
        <w:pStyle w:val="Heading3"/>
      </w:pPr>
      <w:r>
        <w:t xml:space="preserve">European Union </w:t>
      </w:r>
    </w:p>
    <w:p w:rsidR="003C65D1" w:rsidRDefault="00D4536B" w:rsidP="00886BA9">
      <w:pPr>
        <w:pStyle w:val="Text"/>
      </w:pPr>
      <w:r>
        <w:t xml:space="preserve">The </w:t>
      </w:r>
      <w:r w:rsidR="00D43F90">
        <w:t xml:space="preserve">European Union </w:t>
      </w:r>
      <w:r w:rsidR="006A6854">
        <w:t xml:space="preserve">approach to measuring the effectiveness of </w:t>
      </w:r>
      <w:r w:rsidR="00C93D98">
        <w:t>its</w:t>
      </w:r>
      <w:r w:rsidR="006A6854">
        <w:t xml:space="preserve"> VET systems is based on aligning a set of statistical indicators with the </w:t>
      </w:r>
      <w:r w:rsidR="00C10353">
        <w:t xml:space="preserve">range of VET and lifelong learning areas </w:t>
      </w:r>
      <w:r w:rsidR="00D43F90">
        <w:t>(</w:t>
      </w:r>
      <w:proofErr w:type="spellStart"/>
      <w:r w:rsidR="00C93D98">
        <w:t>Cedefop</w:t>
      </w:r>
      <w:proofErr w:type="spellEnd"/>
      <w:r w:rsidR="00C10353">
        <w:t xml:space="preserve"> 2017)</w:t>
      </w:r>
      <w:r w:rsidR="003C65D1">
        <w:t xml:space="preserve">. </w:t>
      </w:r>
      <w:r w:rsidR="00A721B2">
        <w:t xml:space="preserve">These indicators </w:t>
      </w:r>
      <w:r w:rsidR="00C10353">
        <w:t>have been develo</w:t>
      </w:r>
      <w:r w:rsidR="00C93D98">
        <w:t>ped to support the Europe 2020 S</w:t>
      </w:r>
      <w:r w:rsidR="00C10353">
        <w:t>trategy</w:t>
      </w:r>
      <w:r w:rsidR="00E252A6">
        <w:t xml:space="preserve"> (European Commission 2010)</w:t>
      </w:r>
      <w:r w:rsidR="00C93D98">
        <w:t>, which</w:t>
      </w:r>
      <w:r w:rsidR="00A721B2">
        <w:t xml:space="preserve"> relates to skill development for ‘smart, sustainable and inclusive growth’. </w:t>
      </w:r>
      <w:r w:rsidR="00472CDF">
        <w:t xml:space="preserve">Indicators for member states </w:t>
      </w:r>
      <w:r w:rsidR="00917324">
        <w:t>are reported in</w:t>
      </w:r>
      <w:r w:rsidR="00472CDF">
        <w:t xml:space="preserve"> terms of an index number, where 100 </w:t>
      </w:r>
      <w:r w:rsidR="00917324">
        <w:t>is</w:t>
      </w:r>
      <w:r w:rsidR="00472CDF">
        <w:t xml:space="preserve"> the EU average. </w:t>
      </w:r>
      <w:r w:rsidR="0098487E">
        <w:t>The</w:t>
      </w:r>
      <w:r w:rsidR="00917324">
        <w:t>se indicators</w:t>
      </w:r>
      <w:r w:rsidR="0098487E">
        <w:t xml:space="preserve"> provide some ‘headline figures’ for summary overviews of country progress and performance, and are aligned with key policy priorities in the Europe 2020 Strategy. </w:t>
      </w:r>
      <w:r w:rsidR="003C65D1">
        <w:t xml:space="preserve">Although the unit of comparison is </w:t>
      </w:r>
      <w:r w:rsidR="006A6854">
        <w:t xml:space="preserve">at the member state level, </w:t>
      </w:r>
      <w:r w:rsidR="003C65D1">
        <w:t>the indicators themselves can be used by systems as targets</w:t>
      </w:r>
      <w:r w:rsidR="00C93D98">
        <w:t>,</w:t>
      </w:r>
      <w:r w:rsidR="003C65D1">
        <w:t xml:space="preserve"> </w:t>
      </w:r>
      <w:r w:rsidR="00E25150">
        <w:t xml:space="preserve">which in turn can be used </w:t>
      </w:r>
      <w:r w:rsidR="003C65D1">
        <w:t xml:space="preserve">to drive RTO performance within the state. </w:t>
      </w:r>
    </w:p>
    <w:p w:rsidR="002B4811" w:rsidRDefault="00B4531C" w:rsidP="00886BA9">
      <w:pPr>
        <w:pStyle w:val="Text"/>
      </w:pPr>
      <w:r>
        <w:t>The</w:t>
      </w:r>
      <w:r w:rsidR="00E25150">
        <w:t xml:space="preserve"> European</w:t>
      </w:r>
      <w:r>
        <w:t xml:space="preserve"> Union</w:t>
      </w:r>
      <w:r w:rsidR="00E25150">
        <w:t xml:space="preserve"> </w:t>
      </w:r>
      <w:r w:rsidR="003C65D1">
        <w:t xml:space="preserve">indicators </w:t>
      </w:r>
      <w:r w:rsidR="002E393C">
        <w:t xml:space="preserve">comprise a combination of </w:t>
      </w:r>
      <w:r w:rsidR="00E25150">
        <w:t xml:space="preserve">statistics on </w:t>
      </w:r>
      <w:r w:rsidR="002E393C">
        <w:t>participation and outcomes</w:t>
      </w:r>
      <w:r w:rsidR="00C93D98">
        <w:t>,</w:t>
      </w:r>
      <w:r w:rsidR="00E25150">
        <w:t xml:space="preserve"> and</w:t>
      </w:r>
      <w:r w:rsidR="002E393C">
        <w:t xml:space="preserve"> </w:t>
      </w:r>
      <w:r w:rsidR="003C65D1">
        <w:t xml:space="preserve">have </w:t>
      </w:r>
      <w:r w:rsidR="00E252A6">
        <w:t>been grouped under three themes:</w:t>
      </w:r>
    </w:p>
    <w:p w:rsidR="00917324" w:rsidRPr="00E252A6" w:rsidRDefault="002B4811" w:rsidP="005A11A0">
      <w:pPr>
        <w:pStyle w:val="Dotpoint1"/>
        <w:ind w:left="284" w:hanging="284"/>
        <w:rPr>
          <w:i/>
        </w:rPr>
      </w:pPr>
      <w:r w:rsidRPr="00C93D98">
        <w:rPr>
          <w:i/>
        </w:rPr>
        <w:t>Access, attractiveness and flexibility</w:t>
      </w:r>
      <w:r w:rsidR="00E252A6" w:rsidRPr="00E252A6">
        <w:t>: i</w:t>
      </w:r>
      <w:r w:rsidR="00BB323C" w:rsidRPr="00E252A6">
        <w:t>n</w:t>
      </w:r>
      <w:r w:rsidR="00BB323C">
        <w:t xml:space="preserve"> the main</w:t>
      </w:r>
      <w:r w:rsidR="00C93D98">
        <w:t>,</w:t>
      </w:r>
      <w:r w:rsidR="00BB323C">
        <w:t xml:space="preserve"> th</w:t>
      </w:r>
      <w:r w:rsidR="00E25150">
        <w:t xml:space="preserve">is set of </w:t>
      </w:r>
      <w:r w:rsidR="00BB323C">
        <w:t>indicator</w:t>
      </w:r>
      <w:r w:rsidR="00AC7B8A">
        <w:t>s</w:t>
      </w:r>
      <w:r w:rsidR="00AC5A46">
        <w:t xml:space="preserve"> </w:t>
      </w:r>
      <w:r w:rsidR="00E25150">
        <w:t>represent</w:t>
      </w:r>
      <w:r w:rsidR="00AC5A46">
        <w:t>s</w:t>
      </w:r>
      <w:r w:rsidR="00AC7B8A">
        <w:t xml:space="preserve"> measures of participation rather than outcomes</w:t>
      </w:r>
      <w:r w:rsidR="00EE55D9">
        <w:t xml:space="preserve"> from the system. </w:t>
      </w:r>
      <w:r w:rsidR="00AC7B8A">
        <w:t>They include levels of participation</w:t>
      </w:r>
      <w:r w:rsidR="00917324">
        <w:t xml:space="preserve"> in:</w:t>
      </w:r>
    </w:p>
    <w:p w:rsidR="00917324" w:rsidRDefault="00C93D98" w:rsidP="005A11A0">
      <w:pPr>
        <w:pStyle w:val="Dotpoint2"/>
        <w:tabs>
          <w:tab w:val="clear" w:pos="567"/>
        </w:tabs>
        <w:ind w:left="567" w:hanging="284"/>
      </w:pPr>
      <w:r>
        <w:t>i</w:t>
      </w:r>
      <w:r w:rsidR="002B4811">
        <w:t>nitial VET</w:t>
      </w:r>
      <w:r w:rsidR="00917324">
        <w:t xml:space="preserve"> (IVET)</w:t>
      </w:r>
      <w:r w:rsidR="00632571">
        <w:t xml:space="preserve"> by upper secondary students</w:t>
      </w:r>
      <w:r>
        <w:t>,</w:t>
      </w:r>
      <w:r w:rsidR="00EE55D9">
        <w:t xml:space="preserve"> </w:t>
      </w:r>
      <w:r w:rsidR="00917324">
        <w:t>with a separate indicator referring to the participation of girls</w:t>
      </w:r>
    </w:p>
    <w:p w:rsidR="00917324" w:rsidRDefault="00C93D98" w:rsidP="005A11A0">
      <w:pPr>
        <w:pStyle w:val="Dotpoint2"/>
        <w:tabs>
          <w:tab w:val="clear" w:pos="567"/>
        </w:tabs>
        <w:ind w:left="567" w:hanging="284"/>
      </w:pPr>
      <w:r>
        <w:t xml:space="preserve">continuing vocational training </w:t>
      </w:r>
      <w:r w:rsidR="00917324">
        <w:t xml:space="preserve">(CVT) for all </w:t>
      </w:r>
      <w:r w:rsidR="00632571">
        <w:t>employees</w:t>
      </w:r>
      <w:r w:rsidR="00AC7B8A">
        <w:t>, and those in small enterprises</w:t>
      </w:r>
    </w:p>
    <w:p w:rsidR="00917324" w:rsidRDefault="00AC7B8A" w:rsidP="005A11A0">
      <w:pPr>
        <w:pStyle w:val="Dotpoint2"/>
        <w:tabs>
          <w:tab w:val="clear" w:pos="567"/>
        </w:tabs>
        <w:ind w:left="567" w:hanging="284"/>
      </w:pPr>
      <w:r>
        <w:t>non-formal education and training that relates to jobs</w:t>
      </w:r>
      <w:r w:rsidR="00917324">
        <w:t xml:space="preserve"> and </w:t>
      </w:r>
      <w:r w:rsidR="002B4811">
        <w:t xml:space="preserve">lifelong learning </w:t>
      </w:r>
      <w:r w:rsidR="00C93D98">
        <w:t xml:space="preserve">(by adults who are older, lowly </w:t>
      </w:r>
      <w:r w:rsidR="00632571">
        <w:t xml:space="preserve">educated </w:t>
      </w:r>
      <w:r>
        <w:t xml:space="preserve">or </w:t>
      </w:r>
      <w:r w:rsidR="00632571">
        <w:t>unemployed)</w:t>
      </w:r>
    </w:p>
    <w:p w:rsidR="002B4811" w:rsidRDefault="00AC5A46" w:rsidP="005A11A0">
      <w:pPr>
        <w:pStyle w:val="Dotpoint2"/>
        <w:tabs>
          <w:tab w:val="clear" w:pos="567"/>
        </w:tabs>
        <w:ind w:left="567" w:hanging="284"/>
      </w:pPr>
      <w:proofErr w:type="gramStart"/>
      <w:r>
        <w:t>the</w:t>
      </w:r>
      <w:proofErr w:type="gramEnd"/>
      <w:r>
        <w:t xml:space="preserve"> percentage of enterprises providing training, young graduates who have gone into further education</w:t>
      </w:r>
      <w:r w:rsidR="00517307">
        <w:t>,</w:t>
      </w:r>
      <w:r>
        <w:t xml:space="preserve"> and people who have wanted to participate in VET but did not do so.</w:t>
      </w:r>
      <w:r w:rsidR="00187424">
        <w:t xml:space="preserve"> </w:t>
      </w:r>
      <w:r>
        <w:t xml:space="preserve"> </w:t>
      </w:r>
    </w:p>
    <w:p w:rsidR="007547F2" w:rsidRDefault="007547F2" w:rsidP="005A11A0">
      <w:pPr>
        <w:pStyle w:val="Dotpoint1"/>
        <w:ind w:left="284" w:hanging="284"/>
      </w:pPr>
      <w:r w:rsidRPr="007547F2">
        <w:rPr>
          <w:i/>
        </w:rPr>
        <w:t>Financial costs:</w:t>
      </w:r>
      <w:r>
        <w:t xml:space="preserve"> these indicators refer to the level of public expenditures on initial VET, including the per-pupil cost, </w:t>
      </w:r>
      <w:r w:rsidR="00B17C94">
        <w:t>as well as</w:t>
      </w:r>
      <w:r>
        <w:t xml:space="preserve"> enterprise expenditures on Continuing Vocational Training courses.</w:t>
      </w:r>
    </w:p>
    <w:p w:rsidR="00917324" w:rsidRPr="00E252A6" w:rsidRDefault="00632571" w:rsidP="005A11A0">
      <w:pPr>
        <w:pStyle w:val="Dotpoint1"/>
        <w:ind w:left="284" w:hanging="284"/>
        <w:rPr>
          <w:i/>
        </w:rPr>
      </w:pPr>
      <w:r w:rsidRPr="00C93D98">
        <w:rPr>
          <w:i/>
        </w:rPr>
        <w:t>Skill development</w:t>
      </w:r>
      <w:r w:rsidR="007547F2">
        <w:rPr>
          <w:i/>
        </w:rPr>
        <w:t xml:space="preserve">, </w:t>
      </w:r>
      <w:r w:rsidR="00AC7B8A" w:rsidRPr="00C93D98">
        <w:rPr>
          <w:i/>
        </w:rPr>
        <w:t>labour market relevance</w:t>
      </w:r>
      <w:r w:rsidR="007547F2">
        <w:rPr>
          <w:i/>
        </w:rPr>
        <w:t xml:space="preserve"> and efficiency</w:t>
      </w:r>
      <w:r w:rsidR="00E252A6" w:rsidRPr="00E252A6">
        <w:t>:</w:t>
      </w:r>
      <w:r w:rsidR="00E252A6">
        <w:rPr>
          <w:i/>
        </w:rPr>
        <w:t xml:space="preserve"> </w:t>
      </w:r>
      <w:r w:rsidR="00E252A6">
        <w:t>t</w:t>
      </w:r>
      <w:r w:rsidR="00AC7B8A">
        <w:t xml:space="preserve">hese indicators are </w:t>
      </w:r>
      <w:r w:rsidR="00800AD2">
        <w:t xml:space="preserve">mainly training and education and employment </w:t>
      </w:r>
      <w:r w:rsidR="00772343">
        <w:t>outcomes</w:t>
      </w:r>
      <w:r w:rsidR="006A00FD">
        <w:t xml:space="preserve"> </w:t>
      </w:r>
      <w:r w:rsidR="00C93D98">
        <w:t>and</w:t>
      </w:r>
      <w:r w:rsidR="00656644">
        <w:t xml:space="preserve"> </w:t>
      </w:r>
      <w:r w:rsidR="002E393C">
        <w:t>comprise</w:t>
      </w:r>
      <w:r w:rsidR="00656644">
        <w:t xml:space="preserve"> </w:t>
      </w:r>
      <w:r w:rsidR="0098487E">
        <w:t>measures of the</w:t>
      </w:r>
      <w:r w:rsidR="00917324">
        <w:t>:</w:t>
      </w:r>
    </w:p>
    <w:p w:rsidR="00917324" w:rsidRDefault="00656644" w:rsidP="005A11A0">
      <w:pPr>
        <w:pStyle w:val="Dotpoint2"/>
        <w:tabs>
          <w:tab w:val="clear" w:pos="567"/>
        </w:tabs>
        <w:ind w:left="567" w:hanging="284"/>
      </w:pPr>
      <w:r>
        <w:t xml:space="preserve">average </w:t>
      </w:r>
      <w:r w:rsidR="00772343">
        <w:t>number of foreign languages learnt</w:t>
      </w:r>
      <w:r>
        <w:t xml:space="preserve">, </w:t>
      </w:r>
      <w:r w:rsidR="0098487E">
        <w:t xml:space="preserve">the </w:t>
      </w:r>
      <w:r>
        <w:t xml:space="preserve">proportion of </w:t>
      </w:r>
      <w:r w:rsidR="00C93D98">
        <w:t>initial VET</w:t>
      </w:r>
      <w:r w:rsidR="00800AD2">
        <w:t xml:space="preserve"> </w:t>
      </w:r>
      <w:r>
        <w:t xml:space="preserve">graduates from upper secondary school with STEM </w:t>
      </w:r>
      <w:r w:rsidR="00C93D98">
        <w:t xml:space="preserve">(science, technology, engineering, mathematics) </w:t>
      </w:r>
      <w:r>
        <w:t>qualifications</w:t>
      </w:r>
      <w:r w:rsidR="00917324">
        <w:t xml:space="preserve">, and </w:t>
      </w:r>
      <w:r>
        <w:t>the proportion of first</w:t>
      </w:r>
      <w:r w:rsidR="00800AD2">
        <w:t>-</w:t>
      </w:r>
      <w:r>
        <w:t xml:space="preserve">time tertiary education graduates </w:t>
      </w:r>
      <w:r w:rsidR="00C93D98">
        <w:t>who are graduates from short-</w:t>
      </w:r>
      <w:r>
        <w:t>cycle VET</w:t>
      </w:r>
    </w:p>
    <w:p w:rsidR="001C6FEE" w:rsidRDefault="00656644" w:rsidP="005A11A0">
      <w:pPr>
        <w:pStyle w:val="Dotpoint2"/>
        <w:tabs>
          <w:tab w:val="clear" w:pos="567"/>
        </w:tabs>
        <w:ind w:left="567" w:hanging="284"/>
      </w:pPr>
      <w:r>
        <w:lastRenderedPageBreak/>
        <w:t xml:space="preserve">employment rates from </w:t>
      </w:r>
      <w:r w:rsidR="00C93D98">
        <w:t>initial VET</w:t>
      </w:r>
      <w:r>
        <w:t xml:space="preserve"> programs </w:t>
      </w:r>
      <w:r w:rsidR="00917324">
        <w:t>for</w:t>
      </w:r>
      <w:r w:rsidR="00C93D98">
        <w:t xml:space="preserve"> 20 to 34-</w:t>
      </w:r>
      <w:r>
        <w:t>year-olds</w:t>
      </w:r>
      <w:r w:rsidR="00800AD2">
        <w:t xml:space="preserve">, and employment </w:t>
      </w:r>
      <w:r w:rsidR="0098487E">
        <w:t>gains</w:t>
      </w:r>
      <w:r w:rsidR="00800AD2">
        <w:t xml:space="preserve"> for </w:t>
      </w:r>
      <w:r w:rsidR="00C93D98">
        <w:t>initial VET</w:t>
      </w:r>
      <w:r w:rsidR="00800AD2">
        <w:t xml:space="preserve"> graduates</w:t>
      </w:r>
      <w:r w:rsidR="00517307">
        <w:t>,</w:t>
      </w:r>
      <w:r w:rsidR="00800AD2">
        <w:t xml:space="preserve"> </w:t>
      </w:r>
      <w:r w:rsidR="0098487E">
        <w:t>compared with graduates from the general stream, a</w:t>
      </w:r>
      <w:r w:rsidR="00E252A6">
        <w:t>long with gains for</w:t>
      </w:r>
      <w:r w:rsidR="0098487E">
        <w:t xml:space="preserve"> the lowly educated</w:t>
      </w:r>
      <w:r w:rsidR="002E393C">
        <w:t xml:space="preserve"> </w:t>
      </w:r>
    </w:p>
    <w:p w:rsidR="00800AD2" w:rsidRDefault="00800AD2" w:rsidP="005A11A0">
      <w:pPr>
        <w:pStyle w:val="Dotpoint2"/>
        <w:tabs>
          <w:tab w:val="clear" w:pos="567"/>
        </w:tabs>
        <w:ind w:left="567" w:hanging="284"/>
      </w:pPr>
      <w:proofErr w:type="gramStart"/>
      <w:r>
        <w:t>the</w:t>
      </w:r>
      <w:proofErr w:type="gramEnd"/>
      <w:r>
        <w:t xml:space="preserve"> proportion of workers who have been helped by training to raise their skill levels, </w:t>
      </w:r>
      <w:r w:rsidR="001C6FEE">
        <w:t xml:space="preserve">as well as the </w:t>
      </w:r>
      <w:r>
        <w:t>proportion of workers whos</w:t>
      </w:r>
      <w:r w:rsidR="002E393C">
        <w:t>e s</w:t>
      </w:r>
      <w:r w:rsidR="00C93D98">
        <w:t>kills match their job roles</w:t>
      </w:r>
      <w:r w:rsidR="00DD0202">
        <w:t>.</w:t>
      </w:r>
    </w:p>
    <w:p w:rsidR="001C6FEE" w:rsidRPr="00E252A6" w:rsidRDefault="0098487E" w:rsidP="005A11A0">
      <w:pPr>
        <w:pStyle w:val="Dotpoint1"/>
        <w:ind w:left="284" w:hanging="284"/>
        <w:rPr>
          <w:i/>
        </w:rPr>
      </w:pPr>
      <w:r w:rsidRPr="00C93D98">
        <w:rPr>
          <w:i/>
        </w:rPr>
        <w:t xml:space="preserve">Overall transitions and labour market </w:t>
      </w:r>
      <w:r w:rsidRPr="00517307">
        <w:rPr>
          <w:i/>
        </w:rPr>
        <w:t>trends</w:t>
      </w:r>
      <w:r w:rsidR="00E252A6">
        <w:t xml:space="preserve">: </w:t>
      </w:r>
      <w:r w:rsidR="005F7913" w:rsidRPr="00585B28">
        <w:t xml:space="preserve">these indicators are </w:t>
      </w:r>
      <w:r w:rsidR="00E252A6">
        <w:t xml:space="preserve">generally </w:t>
      </w:r>
      <w:r w:rsidR="00C93D98">
        <w:t>concerned with</w:t>
      </w:r>
      <w:r w:rsidR="00517307">
        <w:t xml:space="preserve"> </w:t>
      </w:r>
      <w:r w:rsidR="005F7913" w:rsidRPr="00585B28">
        <w:t>education and employment outcomes</w:t>
      </w:r>
      <w:r w:rsidR="001C6FEE" w:rsidRPr="00585B28">
        <w:t xml:space="preserve"> for different groups</w:t>
      </w:r>
      <w:r w:rsidR="00D527E3">
        <w:t>,</w:t>
      </w:r>
      <w:r w:rsidR="001C6FEE" w:rsidRPr="00585B28">
        <w:t xml:space="preserve"> and disengagement</w:t>
      </w:r>
      <w:r w:rsidR="00517307">
        <w:t>,</w:t>
      </w:r>
      <w:r w:rsidR="00C93D98">
        <w:t xml:space="preserve"> and</w:t>
      </w:r>
      <w:r w:rsidR="005F7913" w:rsidRPr="00585B28">
        <w:t xml:space="preserve"> include i</w:t>
      </w:r>
      <w:r w:rsidR="004D02D5" w:rsidRPr="00585B28">
        <w:t xml:space="preserve">ndicators </w:t>
      </w:r>
      <w:r w:rsidR="005F7913" w:rsidRPr="00585B28">
        <w:t xml:space="preserve">such as </w:t>
      </w:r>
      <w:r w:rsidR="004D02D5" w:rsidRPr="00585B28">
        <w:t>rates of</w:t>
      </w:r>
      <w:r w:rsidR="005F7913" w:rsidRPr="00585B28">
        <w:t>:</w:t>
      </w:r>
      <w:r w:rsidR="004D02D5" w:rsidRPr="00585B28">
        <w:t xml:space="preserve"> </w:t>
      </w:r>
    </w:p>
    <w:p w:rsidR="003C65D1" w:rsidRDefault="004D02D5" w:rsidP="005A11A0">
      <w:pPr>
        <w:pStyle w:val="Dotpoint2"/>
        <w:tabs>
          <w:tab w:val="clear" w:pos="567"/>
        </w:tabs>
        <w:ind w:left="567" w:hanging="284"/>
      </w:pPr>
      <w:r>
        <w:t>early exits from education and training</w:t>
      </w:r>
      <w:r w:rsidR="00E72A5B">
        <w:t>, and adults with lower educational attainment levels</w:t>
      </w:r>
    </w:p>
    <w:p w:rsidR="003C65D1" w:rsidRDefault="003C65D1" w:rsidP="005A11A0">
      <w:pPr>
        <w:pStyle w:val="Dotpoint2"/>
        <w:tabs>
          <w:tab w:val="clear" w:pos="567"/>
        </w:tabs>
        <w:ind w:left="567" w:hanging="284"/>
      </w:pPr>
      <w:r>
        <w:t>attainment of</w:t>
      </w:r>
      <w:r w:rsidR="00C93D98">
        <w:t xml:space="preserve"> tertiary qualifications for 30 to 34-</w:t>
      </w:r>
      <w:r>
        <w:t>year-olds</w:t>
      </w:r>
    </w:p>
    <w:p w:rsidR="002E393C" w:rsidRDefault="00E72A5B" w:rsidP="005A11A0">
      <w:pPr>
        <w:pStyle w:val="Dotpoint2"/>
        <w:tabs>
          <w:tab w:val="clear" w:pos="567"/>
        </w:tabs>
        <w:ind w:left="567" w:hanging="284"/>
      </w:pPr>
      <w:r>
        <w:t>employmen</w:t>
      </w:r>
      <w:r w:rsidR="007C731B">
        <w:t xml:space="preserve">t for recent graduates and </w:t>
      </w:r>
      <w:r w:rsidR="00C93D98">
        <w:t>20 to 64-year-</w:t>
      </w:r>
      <w:r>
        <w:t>olds in general</w:t>
      </w:r>
      <w:r w:rsidR="00C93D98">
        <w:t>,</w:t>
      </w:r>
      <w:r>
        <w:t xml:space="preserve"> as well as those w</w:t>
      </w:r>
      <w:r w:rsidR="007C731B">
        <w:t>ith</w:t>
      </w:r>
      <w:r>
        <w:t xml:space="preserve"> low levels of educational attainment</w:t>
      </w:r>
    </w:p>
    <w:p w:rsidR="002E393C" w:rsidRDefault="005A11A0" w:rsidP="005A11A0">
      <w:pPr>
        <w:pStyle w:val="Dotpoint2"/>
        <w:tabs>
          <w:tab w:val="clear" w:pos="567"/>
        </w:tabs>
        <w:ind w:left="567" w:hanging="284"/>
      </w:pPr>
      <w:r>
        <w:t>u</w:t>
      </w:r>
      <w:r w:rsidR="00E72A5B">
        <w:t xml:space="preserve">nemployment for </w:t>
      </w:r>
      <w:r w:rsidR="00C93D98">
        <w:t>20 to 24-year-olds and 20 to 34-</w:t>
      </w:r>
      <w:r w:rsidR="00E72A5B">
        <w:t xml:space="preserve">year-olds </w:t>
      </w:r>
    </w:p>
    <w:p w:rsidR="003C65D1" w:rsidRDefault="00C93D98" w:rsidP="005A11A0">
      <w:pPr>
        <w:pStyle w:val="Dotpoint2"/>
        <w:tabs>
          <w:tab w:val="clear" w:pos="567"/>
        </w:tabs>
        <w:ind w:left="567" w:hanging="284"/>
      </w:pPr>
      <w:r>
        <w:t>18 to 24-</w:t>
      </w:r>
      <w:r w:rsidR="001C6FEE">
        <w:t>year-olds</w:t>
      </w:r>
      <w:r w:rsidR="002E393C">
        <w:t xml:space="preserve"> who are not in employment</w:t>
      </w:r>
      <w:r w:rsidR="00D527E3">
        <w:t>,</w:t>
      </w:r>
      <w:r w:rsidR="002E393C">
        <w:t xml:space="preserve"> education and training </w:t>
      </w:r>
    </w:p>
    <w:p w:rsidR="0098487E" w:rsidRDefault="00D527E3" w:rsidP="005A11A0">
      <w:pPr>
        <w:pStyle w:val="Dotpoint2"/>
        <w:tabs>
          <w:tab w:val="clear" w:pos="567"/>
        </w:tabs>
        <w:ind w:left="567" w:hanging="284"/>
      </w:pPr>
      <w:proofErr w:type="gramStart"/>
      <w:r>
        <w:t>e</w:t>
      </w:r>
      <w:r w:rsidR="00E72A5B">
        <w:t>mployment</w:t>
      </w:r>
      <w:proofErr w:type="gramEnd"/>
      <w:r w:rsidR="00E72A5B">
        <w:t xml:space="preserve"> for those who have medium or high qualifications</w:t>
      </w:r>
      <w:r>
        <w:t>.</w:t>
      </w:r>
    </w:p>
    <w:p w:rsidR="00BC05C7" w:rsidRDefault="00BC05C7" w:rsidP="00BC05C7">
      <w:pPr>
        <w:pStyle w:val="Heading3"/>
      </w:pPr>
      <w:r>
        <w:t xml:space="preserve">Germany </w:t>
      </w:r>
    </w:p>
    <w:p w:rsidR="00BF59E3" w:rsidRDefault="00BC05C7" w:rsidP="00BC05C7">
      <w:pPr>
        <w:pStyle w:val="Text"/>
      </w:pPr>
      <w:r>
        <w:t xml:space="preserve">The German Dual System and other continental </w:t>
      </w:r>
      <w:r w:rsidR="00BF59E3">
        <w:t xml:space="preserve">dual system </w:t>
      </w:r>
      <w:r>
        <w:t xml:space="preserve">approaches to level 3 apprenticeships (similar to </w:t>
      </w:r>
      <w:r w:rsidR="00C93D98">
        <w:t>Australia’s</w:t>
      </w:r>
      <w:r>
        <w:t xml:space="preserve"> traditional apprenticeship pathways) are </w:t>
      </w:r>
      <w:r w:rsidR="00D74A79">
        <w:t>regarded</w:t>
      </w:r>
      <w:r>
        <w:t xml:space="preserve"> as credible models for effective vocational education and training. The dual system offers a pathway to highly skilled jobs for those individuals who </w:t>
      </w:r>
      <w:r w:rsidR="00C93D98">
        <w:t xml:space="preserve">have </w:t>
      </w:r>
      <w:r w:rsidR="00D74A79">
        <w:t>selected</w:t>
      </w:r>
      <w:r w:rsidR="00C93D98">
        <w:t xml:space="preserve"> not to transition to </w:t>
      </w:r>
      <w:r>
        <w:t xml:space="preserve">tertiary pathways. </w:t>
      </w:r>
    </w:p>
    <w:p w:rsidR="00BC05C7" w:rsidRDefault="00BF59E3" w:rsidP="00BC05C7">
      <w:pPr>
        <w:pStyle w:val="Text"/>
      </w:pPr>
      <w:r>
        <w:t>These systems enable close connection between employers and trainees</w:t>
      </w:r>
      <w:r w:rsidR="00D74A79">
        <w:t>,</w:t>
      </w:r>
      <w:r>
        <w:t xml:space="preserve"> </w:t>
      </w:r>
      <w:r w:rsidR="00517307">
        <w:t>a connection that</w:t>
      </w:r>
      <w:r>
        <w:t xml:space="preserve"> continue</w:t>
      </w:r>
      <w:r w:rsidR="007C731B">
        <w:t>s</w:t>
      </w:r>
      <w:r>
        <w:t xml:space="preserve"> for three or four years</w:t>
      </w:r>
      <w:r w:rsidR="00B17C94">
        <w:t xml:space="preserve">. They </w:t>
      </w:r>
      <w:r>
        <w:t xml:space="preserve">aim to increase the school-to-work transition rates for vocational students. In this regard they are generally effective. </w:t>
      </w:r>
      <w:r w:rsidR="007C731B">
        <w:t>Following</w:t>
      </w:r>
      <w:r>
        <w:t xml:space="preserve"> the completion of their programs</w:t>
      </w:r>
      <w:r w:rsidR="007C731B">
        <w:t>,</w:t>
      </w:r>
      <w:r>
        <w:t xml:space="preserve"> 66% of graduates from the apprenticeship programs remain employed with their training firms. Firm size is a large driver of this performance</w:t>
      </w:r>
      <w:r w:rsidR="00D74A79">
        <w:t>,</w:t>
      </w:r>
      <w:r>
        <w:t xml:space="preserve"> with apprentices more likely to be retained in industry </w:t>
      </w:r>
      <w:r w:rsidR="00D74A79">
        <w:t>sectors with larger firms. The system</w:t>
      </w:r>
      <w:r>
        <w:t xml:space="preserve"> </w:t>
      </w:r>
      <w:r w:rsidR="00D74A79">
        <w:t>experience</w:t>
      </w:r>
      <w:r w:rsidR="007C731B">
        <w:t>s</w:t>
      </w:r>
      <w:r>
        <w:t xml:space="preserve"> some challenges </w:t>
      </w:r>
      <w:r w:rsidR="00D74A79">
        <w:t>relating</w:t>
      </w:r>
      <w:r>
        <w:t xml:space="preserve"> to competition for training pl</w:t>
      </w:r>
      <w:r w:rsidR="00D74A79">
        <w:t>aces, such that in many instances lower-</w:t>
      </w:r>
      <w:r>
        <w:t>achieving youth are less likely to obtain a training place</w:t>
      </w:r>
      <w:r w:rsidR="00D74A79">
        <w:t xml:space="preserve"> in the dual system</w:t>
      </w:r>
      <w:r>
        <w:t>. Th</w:t>
      </w:r>
      <w:r w:rsidR="00D74A79">
        <w:t>is group is</w:t>
      </w:r>
      <w:r>
        <w:t xml:space="preserve"> also more vulnerable to</w:t>
      </w:r>
      <w:r w:rsidR="00D74A79">
        <w:t xml:space="preserve"> both</w:t>
      </w:r>
      <w:r>
        <w:t xml:space="preserve"> unemployment and long-term </w:t>
      </w:r>
      <w:r w:rsidR="00D74A79">
        <w:t>unemployment, and even i</w:t>
      </w:r>
      <w:r>
        <w:t xml:space="preserve">f they have a job it is more likely to be of lower skill and status level, and lower paid. Because they have not been part of the dual system they are less likely to have the occupation-specific skills required in the German labour market and are discriminated </w:t>
      </w:r>
      <w:r w:rsidR="00B17C94">
        <w:t xml:space="preserve">against </w:t>
      </w:r>
      <w:r>
        <w:t>by employers because of their low skills (</w:t>
      </w:r>
      <w:proofErr w:type="spellStart"/>
      <w:r>
        <w:t>Solg</w:t>
      </w:r>
      <w:r w:rsidR="00D74A79">
        <w:t>a</w:t>
      </w:r>
      <w:proofErr w:type="spellEnd"/>
      <w:r w:rsidR="00D74A79">
        <w:t xml:space="preserve"> et al.</w:t>
      </w:r>
      <w:r>
        <w:t xml:space="preserve"> 2014).</w:t>
      </w:r>
      <w:r w:rsidR="00BC05C7">
        <w:t xml:space="preserve"> </w:t>
      </w:r>
    </w:p>
    <w:p w:rsidR="00BC05C7" w:rsidRDefault="00AD1547" w:rsidP="00AD1547">
      <w:pPr>
        <w:pStyle w:val="Heading3"/>
      </w:pPr>
      <w:r w:rsidRPr="00AD1547">
        <w:t>New Zealand</w:t>
      </w:r>
    </w:p>
    <w:p w:rsidR="00217F84" w:rsidRDefault="00AD1547" w:rsidP="00417795">
      <w:pPr>
        <w:pStyle w:val="Text"/>
      </w:pPr>
      <w:r>
        <w:t xml:space="preserve">New Zealand has </w:t>
      </w:r>
      <w:r w:rsidR="00217F84">
        <w:t>a</w:t>
      </w:r>
      <w:r>
        <w:t xml:space="preserve"> </w:t>
      </w:r>
      <w:r w:rsidR="00F61920">
        <w:t xml:space="preserve">range of tertiary education </w:t>
      </w:r>
      <w:r w:rsidR="002A6B8D">
        <w:t>organisations</w:t>
      </w:r>
      <w:r>
        <w:t xml:space="preserve"> (</w:t>
      </w:r>
      <w:r w:rsidR="002A6B8D">
        <w:t>TEOs)</w:t>
      </w:r>
      <w:r w:rsidR="0049524B">
        <w:t>,</w:t>
      </w:r>
      <w:r w:rsidR="002A6B8D">
        <w:t xml:space="preserve"> </w:t>
      </w:r>
      <w:r>
        <w:t xml:space="preserve">including </w:t>
      </w:r>
      <w:r w:rsidR="00F61920">
        <w:t>universities</w:t>
      </w:r>
      <w:r>
        <w:t>,</w:t>
      </w:r>
      <w:r w:rsidR="00F61920">
        <w:t xml:space="preserve"> polytechnics, </w:t>
      </w:r>
      <w:proofErr w:type="spellStart"/>
      <w:r w:rsidR="00F61920" w:rsidRPr="0049524B">
        <w:rPr>
          <w:i/>
        </w:rPr>
        <w:t>w</w:t>
      </w:r>
      <w:r w:rsidR="001038D7">
        <w:rPr>
          <w:i/>
        </w:rPr>
        <w:t>ā</w:t>
      </w:r>
      <w:r w:rsidR="00F61920" w:rsidRPr="0049524B">
        <w:rPr>
          <w:i/>
        </w:rPr>
        <w:t>nanga</w:t>
      </w:r>
      <w:proofErr w:type="spellEnd"/>
      <w:r w:rsidR="001038D7">
        <w:t>,</w:t>
      </w:r>
      <w:r w:rsidR="001038D7">
        <w:rPr>
          <w:rStyle w:val="FootnoteReference"/>
        </w:rPr>
        <w:footnoteReference w:id="12"/>
      </w:r>
      <w:r w:rsidR="00F61920">
        <w:t xml:space="preserve"> private training establishments, </w:t>
      </w:r>
      <w:r w:rsidR="0049524B">
        <w:t xml:space="preserve">industry training organisations </w:t>
      </w:r>
      <w:r w:rsidR="002A6B8D">
        <w:t>and a range of other providers</w:t>
      </w:r>
      <w:r>
        <w:t xml:space="preserve">. </w:t>
      </w:r>
      <w:r w:rsidR="00517307">
        <w:t xml:space="preserve">All of these institutions, with the exception of universities, deliver vocational education, which encompasses </w:t>
      </w:r>
      <w:r w:rsidR="000D1542">
        <w:t xml:space="preserve">applied research and </w:t>
      </w:r>
      <w:r w:rsidR="0049524B">
        <w:t xml:space="preserve">the </w:t>
      </w:r>
      <w:r w:rsidR="000D1542">
        <w:t xml:space="preserve">skills required by industry. </w:t>
      </w:r>
    </w:p>
    <w:p w:rsidR="006B7792" w:rsidRDefault="00205960" w:rsidP="00BE271A">
      <w:pPr>
        <w:pStyle w:val="Text"/>
      </w:pPr>
      <w:r>
        <w:lastRenderedPageBreak/>
        <w:t xml:space="preserve">New Zealand’s </w:t>
      </w:r>
      <w:r w:rsidR="002C1B75">
        <w:t>Terti</w:t>
      </w:r>
      <w:r w:rsidR="0049524B">
        <w:t>ary Education Strategy for 2014—</w:t>
      </w:r>
      <w:r w:rsidR="002C1B75">
        <w:t xml:space="preserve">2019 </w:t>
      </w:r>
      <w:r w:rsidR="00AF1E6E">
        <w:t xml:space="preserve">(New Zealand Qualifications Authority </w:t>
      </w:r>
      <w:r>
        <w:t xml:space="preserve">2014) </w:t>
      </w:r>
      <w:r w:rsidR="00217F84">
        <w:t>set</w:t>
      </w:r>
      <w:r w:rsidR="006B7792">
        <w:t>s</w:t>
      </w:r>
      <w:r w:rsidR="00217F84">
        <w:t xml:space="preserve"> </w:t>
      </w:r>
      <w:r w:rsidR="002C1B75">
        <w:t xml:space="preserve">out the </w:t>
      </w:r>
      <w:r w:rsidR="0049524B">
        <w:t xml:space="preserve">New Zealand Government’s </w:t>
      </w:r>
      <w:r w:rsidR="002C1B75">
        <w:t xml:space="preserve">current vision for its tertiary education sector. </w:t>
      </w:r>
      <w:r w:rsidR="006B7792">
        <w:t>I</w:t>
      </w:r>
      <w:r w:rsidR="007C731B">
        <w:t>t wa</w:t>
      </w:r>
      <w:r w:rsidR="006B7792">
        <w:t>s preceded by the Tertiary Ed</w:t>
      </w:r>
      <w:r w:rsidR="0049524B">
        <w:t>ucation Strategies of 2010—</w:t>
      </w:r>
      <w:r w:rsidR="00AF1E6E">
        <w:t>2015</w:t>
      </w:r>
      <w:r w:rsidR="0049524B">
        <w:t xml:space="preserve"> and 2007—</w:t>
      </w:r>
      <w:r w:rsidR="006B7792">
        <w:t xml:space="preserve">2012. </w:t>
      </w:r>
    </w:p>
    <w:p w:rsidR="00BE271A" w:rsidRDefault="00AF1E6E" w:rsidP="00BE271A">
      <w:pPr>
        <w:pStyle w:val="Text"/>
      </w:pPr>
      <w:r>
        <w:t xml:space="preserve">The vision of the current strategy is for New Zealand </w:t>
      </w:r>
      <w:r w:rsidR="00217F84">
        <w:t>to have</w:t>
      </w:r>
      <w:r w:rsidR="00926419">
        <w:t xml:space="preserve"> a tertiary system that compare</w:t>
      </w:r>
      <w:r w:rsidR="00217F84">
        <w:t>s</w:t>
      </w:r>
      <w:r w:rsidR="00926419">
        <w:t xml:space="preserve"> well with the best in the world</w:t>
      </w:r>
      <w:r w:rsidR="00E55F89">
        <w:t xml:space="preserve"> and is</w:t>
      </w:r>
      <w:r w:rsidR="002C1B75">
        <w:t xml:space="preserve"> more ‘flexible and strategic’</w:t>
      </w:r>
      <w:r w:rsidR="00E55F89">
        <w:t xml:space="preserve"> than previously</w:t>
      </w:r>
      <w:r w:rsidR="002C1B75">
        <w:t xml:space="preserve">. The sector </w:t>
      </w:r>
      <w:r w:rsidR="006B7792">
        <w:t xml:space="preserve">is expected </w:t>
      </w:r>
      <w:r w:rsidR="002C1B75">
        <w:t>not only to perform well in its own area but also perform well for the economy as a whole</w:t>
      </w:r>
      <w:r w:rsidR="0049524B">
        <w:t>,</w:t>
      </w:r>
      <w:r w:rsidR="00EB4B0A">
        <w:t xml:space="preserve"> responding </w:t>
      </w:r>
      <w:r w:rsidR="0049524B">
        <w:t>rapidly</w:t>
      </w:r>
      <w:r w:rsidR="00926419">
        <w:t xml:space="preserve"> to changing technologies, ‘patterns of demand’ and skill needs</w:t>
      </w:r>
      <w:r w:rsidR="006B7792">
        <w:t xml:space="preserve">. The skills and knowledge that individuals acquire </w:t>
      </w:r>
      <w:r w:rsidR="00926419">
        <w:t>in training</w:t>
      </w:r>
      <w:r w:rsidR="006B7792">
        <w:t xml:space="preserve"> are expected to be </w:t>
      </w:r>
      <w:r w:rsidR="00926419">
        <w:t>relevant to</w:t>
      </w:r>
      <w:r w:rsidR="0049524B">
        <w:t xml:space="preserve"> </w:t>
      </w:r>
      <w:r w:rsidR="00517307">
        <w:t xml:space="preserve">the </w:t>
      </w:r>
      <w:r w:rsidR="0049524B">
        <w:t>available</w:t>
      </w:r>
      <w:r w:rsidR="00926419">
        <w:t xml:space="preserve"> labour market opportunities (New Zealand </w:t>
      </w:r>
      <w:r>
        <w:t xml:space="preserve">Qualifications Authority </w:t>
      </w:r>
      <w:r w:rsidR="00926419">
        <w:t>2014, p</w:t>
      </w:r>
      <w:r w:rsidR="0049524B">
        <w:t>.</w:t>
      </w:r>
      <w:r w:rsidR="00926419">
        <w:t>6).</w:t>
      </w:r>
    </w:p>
    <w:p w:rsidR="0055463D" w:rsidRPr="0055463D" w:rsidRDefault="006B7792" w:rsidP="0055463D">
      <w:pPr>
        <w:pStyle w:val="Dotpoint1"/>
        <w:numPr>
          <w:ilvl w:val="0"/>
          <w:numId w:val="0"/>
        </w:numPr>
      </w:pPr>
      <w:r>
        <w:t xml:space="preserve">The three </w:t>
      </w:r>
      <w:r w:rsidR="0055463D">
        <w:t xml:space="preserve">areas of </w:t>
      </w:r>
      <w:r>
        <w:t xml:space="preserve">performance </w:t>
      </w:r>
      <w:r w:rsidR="007C731B">
        <w:t>that</w:t>
      </w:r>
      <w:r>
        <w:t xml:space="preserve"> </w:t>
      </w:r>
      <w:r w:rsidR="00EB4B0A">
        <w:t>T</w:t>
      </w:r>
      <w:r w:rsidR="003E624B">
        <w:t>EOs</w:t>
      </w:r>
      <w:r w:rsidR="0055463D">
        <w:t xml:space="preserve"> deliver</w:t>
      </w:r>
      <w:r w:rsidR="007C731B">
        <w:t>ing</w:t>
      </w:r>
      <w:r w:rsidR="0055463D">
        <w:t xml:space="preserve"> vocational education and training are </w:t>
      </w:r>
      <w:r w:rsidR="007C731B">
        <w:t xml:space="preserve">expected </w:t>
      </w:r>
      <w:r w:rsidR="0055463D">
        <w:t>to improve</w:t>
      </w:r>
      <w:r w:rsidR="007C731B">
        <w:t xml:space="preserve"> are</w:t>
      </w:r>
      <w:r w:rsidR="0055463D">
        <w:t>:</w:t>
      </w:r>
      <w:r w:rsidR="00187424">
        <w:t xml:space="preserve"> </w:t>
      </w:r>
    </w:p>
    <w:p w:rsidR="00BE271A" w:rsidRDefault="00BE271A" w:rsidP="005A11A0">
      <w:pPr>
        <w:pStyle w:val="Dotpoint1"/>
        <w:ind w:left="284" w:hanging="284"/>
      </w:pPr>
      <w:r>
        <w:t>access</w:t>
      </w:r>
      <w:r w:rsidR="007C731B">
        <w:t>,</w:t>
      </w:r>
      <w:r>
        <w:t xml:space="preserve"> by maintaining and raising existing levels of participation, especially for some groups of learners</w:t>
      </w:r>
    </w:p>
    <w:p w:rsidR="00BE271A" w:rsidRDefault="00BE271A" w:rsidP="005A11A0">
      <w:pPr>
        <w:pStyle w:val="Dotpoint1"/>
        <w:ind w:left="284" w:hanging="284"/>
      </w:pPr>
      <w:r>
        <w:t>achievement</w:t>
      </w:r>
      <w:r w:rsidR="007C731B">
        <w:t>,</w:t>
      </w:r>
      <w:r>
        <w:t xml:space="preserve"> by improving rates of qualification attainment, the numbers progressing to further study, and quality of TEO provision</w:t>
      </w:r>
    </w:p>
    <w:p w:rsidR="00BE271A" w:rsidRDefault="00BE271A" w:rsidP="005A11A0">
      <w:pPr>
        <w:pStyle w:val="Dotpoint1"/>
        <w:ind w:left="284" w:hanging="284"/>
      </w:pPr>
      <w:proofErr w:type="gramStart"/>
      <w:r>
        <w:t>outcomes</w:t>
      </w:r>
      <w:proofErr w:type="gramEnd"/>
      <w:r w:rsidR="007C731B">
        <w:t>,</w:t>
      </w:r>
      <w:r>
        <w:t xml:space="preserve"> by </w:t>
      </w:r>
      <w:r w:rsidR="0049524B">
        <w:t>ensuring</w:t>
      </w:r>
      <w:r>
        <w:t xml:space="preserve"> that </w:t>
      </w:r>
      <w:r w:rsidR="0049524B">
        <w:t xml:space="preserve">a larger proportion </w:t>
      </w:r>
      <w:r>
        <w:t>of the population gain</w:t>
      </w:r>
      <w:r w:rsidR="0049524B">
        <w:t>s</w:t>
      </w:r>
      <w:r>
        <w:t xml:space="preserve"> economic, social an</w:t>
      </w:r>
      <w:r w:rsidR="007C731B">
        <w:t xml:space="preserve">d cultural benefits from their </w:t>
      </w:r>
      <w:r>
        <w:t>tertiary studies</w:t>
      </w:r>
      <w:r w:rsidR="0049524B">
        <w:t>.</w:t>
      </w:r>
      <w:r>
        <w:t xml:space="preserve"> </w:t>
      </w:r>
    </w:p>
    <w:p w:rsidR="000D1542" w:rsidRDefault="00441E65" w:rsidP="003E624B">
      <w:pPr>
        <w:pStyle w:val="Text"/>
      </w:pPr>
      <w:r>
        <w:t>The government is also focus</w:t>
      </w:r>
      <w:r w:rsidR="00BE271A">
        <w:t xml:space="preserve">ed on meeting its treaty obligations by supporting education through </w:t>
      </w:r>
      <w:r w:rsidR="0049524B">
        <w:t xml:space="preserve">the </w:t>
      </w:r>
      <w:r w:rsidR="007C731B">
        <w:t>Māori l</w:t>
      </w:r>
      <w:r w:rsidR="00BE271A">
        <w:t xml:space="preserve">anguage, </w:t>
      </w:r>
      <w:proofErr w:type="spellStart"/>
      <w:r w:rsidR="00BE271A">
        <w:t>T</w:t>
      </w:r>
      <w:r w:rsidR="00517307">
        <w:t>ikanga</w:t>
      </w:r>
      <w:proofErr w:type="spellEnd"/>
      <w:r w:rsidR="00517307">
        <w:t xml:space="preserve"> Māori, and </w:t>
      </w:r>
      <w:proofErr w:type="spellStart"/>
      <w:r w:rsidR="00517307">
        <w:t>Matau</w:t>
      </w:r>
      <w:r>
        <w:t>ranga</w:t>
      </w:r>
      <w:proofErr w:type="spellEnd"/>
      <w:r>
        <w:t xml:space="preserve"> Māori and </w:t>
      </w:r>
      <w:r w:rsidR="0049524B">
        <w:t>revitalising the</w:t>
      </w:r>
      <w:r w:rsidR="00BE271A">
        <w:t xml:space="preserve"> Māori language itself. </w:t>
      </w:r>
      <w:r w:rsidR="00AF3940">
        <w:t xml:space="preserve">Six strategic priorities form part of this strategy and set out the areas in which the government expects to see improvement over the life of the strategy. </w:t>
      </w:r>
    </w:p>
    <w:p w:rsidR="00AF3940" w:rsidRDefault="00AF3940" w:rsidP="003E624B">
      <w:pPr>
        <w:pStyle w:val="Text"/>
      </w:pPr>
      <w:r>
        <w:t>The indicators of success in each of these areas can be used to ident</w:t>
      </w:r>
      <w:r w:rsidR="007C731B">
        <w:t>ify what TEOs are expected to demonstrate</w:t>
      </w:r>
      <w:r>
        <w:t xml:space="preserve"> to show improvement</w:t>
      </w:r>
      <w:r w:rsidR="00217F84">
        <w:t xml:space="preserve">. Underpinning these strategies are </w:t>
      </w:r>
      <w:r w:rsidR="000D1542">
        <w:t xml:space="preserve">some </w:t>
      </w:r>
      <w:r w:rsidR="00217F84">
        <w:t>fundamental assumptions</w:t>
      </w:r>
      <w:r w:rsidR="000D1542">
        <w:t>, including that ‘</w:t>
      </w:r>
      <w:r w:rsidR="00217F84">
        <w:t>performa</w:t>
      </w:r>
      <w:r w:rsidR="00441E65">
        <w:t>nce is</w:t>
      </w:r>
      <w:r w:rsidR="00217F84">
        <w:t xml:space="preserve"> driven </w:t>
      </w:r>
      <w:r w:rsidR="000D1542">
        <w:t xml:space="preserve">by </w:t>
      </w:r>
      <w:r w:rsidR="00217F84">
        <w:t>how teaching and research is delivered, who is taught and what is taught and researched’ (</w:t>
      </w:r>
      <w:r w:rsidR="00441E65">
        <w:t xml:space="preserve">New Zealand Qualifications Authority 2014, </w:t>
      </w:r>
      <w:r w:rsidR="00217F84">
        <w:t>p</w:t>
      </w:r>
      <w:r w:rsidR="0049524B">
        <w:t>.</w:t>
      </w:r>
      <w:r w:rsidR="00217F84">
        <w:t>21)</w:t>
      </w:r>
      <w:r w:rsidR="000D1542">
        <w:t>.</w:t>
      </w:r>
    </w:p>
    <w:p w:rsidR="00B17C94" w:rsidRDefault="00B17C94">
      <w:pPr>
        <w:spacing w:before="0" w:line="240" w:lineRule="auto"/>
      </w:pPr>
      <w:r>
        <w:br w:type="page"/>
      </w:r>
    </w:p>
    <w:p w:rsidR="000D1542" w:rsidRPr="00574487" w:rsidRDefault="002A6B8D" w:rsidP="00574487">
      <w:pPr>
        <w:pStyle w:val="Tabletitle0"/>
      </w:pPr>
      <w:r>
        <w:lastRenderedPageBreak/>
        <w:t>Table 2</w:t>
      </w:r>
      <w:r>
        <w:tab/>
      </w:r>
      <w:r w:rsidR="000D1542" w:rsidRPr="00574487">
        <w:t>New Zealand Tertiary</w:t>
      </w:r>
      <w:r w:rsidR="0049524B">
        <w:t xml:space="preserve"> Education Strategy 2014–</w:t>
      </w:r>
      <w:r w:rsidR="00C35E93">
        <w:t>2019: s</w:t>
      </w:r>
      <w:r w:rsidR="000D1542" w:rsidRPr="00574487">
        <w:t xml:space="preserve">trategic priorities and indicators of success relating to </w:t>
      </w:r>
      <w:r w:rsidR="00BE271A" w:rsidRPr="00574487">
        <w:t>TEO</w:t>
      </w:r>
      <w:r w:rsidR="000D1542" w:rsidRPr="00574487">
        <w:t xml:space="preserve"> performance</w:t>
      </w:r>
    </w:p>
    <w:tbl>
      <w:tblPr>
        <w:tblStyle w:val="TableGrid"/>
        <w:tblW w:w="9242" w:type="dxa"/>
        <w:tblLayout w:type="fixed"/>
        <w:tblLook w:val="04A0" w:firstRow="1" w:lastRow="0" w:firstColumn="1" w:lastColumn="0" w:noHBand="0" w:noVBand="1"/>
      </w:tblPr>
      <w:tblGrid>
        <w:gridCol w:w="2235"/>
        <w:gridCol w:w="7007"/>
      </w:tblGrid>
      <w:tr w:rsidR="00217F84" w:rsidTr="005A11A0">
        <w:tc>
          <w:tcPr>
            <w:tcW w:w="2235" w:type="dxa"/>
            <w:tcBorders>
              <w:left w:val="nil"/>
              <w:bottom w:val="single" w:sz="4" w:space="0" w:color="000000" w:themeColor="text1"/>
              <w:right w:val="nil"/>
            </w:tcBorders>
          </w:tcPr>
          <w:p w:rsidR="00217F84" w:rsidRPr="005A11A0" w:rsidRDefault="00217F84" w:rsidP="003E624B">
            <w:pPr>
              <w:pStyle w:val="Tabletext"/>
              <w:rPr>
                <w:b/>
              </w:rPr>
            </w:pPr>
            <w:r w:rsidRPr="005A11A0">
              <w:rPr>
                <w:b/>
              </w:rPr>
              <w:t>Strategy</w:t>
            </w:r>
          </w:p>
        </w:tc>
        <w:tc>
          <w:tcPr>
            <w:tcW w:w="7007" w:type="dxa"/>
            <w:tcBorders>
              <w:left w:val="nil"/>
              <w:bottom w:val="single" w:sz="4" w:space="0" w:color="000000" w:themeColor="text1"/>
              <w:right w:val="nil"/>
            </w:tcBorders>
          </w:tcPr>
          <w:p w:rsidR="00217F84" w:rsidRPr="005A11A0" w:rsidRDefault="00217F84" w:rsidP="003E624B">
            <w:pPr>
              <w:pStyle w:val="Tabletext"/>
              <w:rPr>
                <w:b/>
              </w:rPr>
            </w:pPr>
            <w:r w:rsidRPr="005A11A0">
              <w:rPr>
                <w:b/>
              </w:rPr>
              <w:t>Indicators of success for TEOs</w:t>
            </w:r>
          </w:p>
        </w:tc>
      </w:tr>
      <w:tr w:rsidR="00217F84" w:rsidTr="005A11A0">
        <w:tc>
          <w:tcPr>
            <w:tcW w:w="2235" w:type="dxa"/>
            <w:tcBorders>
              <w:left w:val="nil"/>
              <w:right w:val="nil"/>
            </w:tcBorders>
          </w:tcPr>
          <w:p w:rsidR="00217F84" w:rsidRPr="00C35E93" w:rsidRDefault="00217F84" w:rsidP="00C35E93">
            <w:pPr>
              <w:pStyle w:val="Tabletext"/>
              <w:numPr>
                <w:ilvl w:val="0"/>
                <w:numId w:val="6"/>
              </w:numPr>
              <w:rPr>
                <w:rFonts w:cs="Arial"/>
              </w:rPr>
            </w:pPr>
            <w:r w:rsidRPr="00C35E93">
              <w:rPr>
                <w:rFonts w:cs="Arial"/>
              </w:rPr>
              <w:t>Delivering skills for Industry</w:t>
            </w:r>
          </w:p>
          <w:p w:rsidR="00217F84" w:rsidRPr="00C35E93" w:rsidRDefault="00217F84" w:rsidP="00C35E93">
            <w:pPr>
              <w:pStyle w:val="Tabletext"/>
              <w:rPr>
                <w:rFonts w:cs="Arial"/>
              </w:rPr>
            </w:pPr>
          </w:p>
        </w:tc>
        <w:tc>
          <w:tcPr>
            <w:tcW w:w="7007" w:type="dxa"/>
            <w:tcBorders>
              <w:left w:val="nil"/>
              <w:right w:val="nil"/>
            </w:tcBorders>
          </w:tcPr>
          <w:p w:rsidR="00217F84" w:rsidRPr="00C35E93" w:rsidRDefault="00217F84" w:rsidP="003E624B">
            <w:pPr>
              <w:pStyle w:val="Tabletext"/>
              <w:rPr>
                <w:rFonts w:cs="Arial"/>
              </w:rPr>
            </w:pPr>
            <w:r w:rsidRPr="00C35E93">
              <w:rPr>
                <w:rFonts w:cs="Arial"/>
              </w:rPr>
              <w:t>Industry and TEOs invest time and money and expertise in developing skills, transferable skills, and specific qualifications matched to the labour market</w:t>
            </w:r>
            <w:r w:rsidR="0049524B">
              <w:rPr>
                <w:rFonts w:cs="Arial"/>
              </w:rPr>
              <w:t>.</w:t>
            </w:r>
          </w:p>
        </w:tc>
      </w:tr>
      <w:tr w:rsidR="00217F84" w:rsidTr="005A11A0">
        <w:tc>
          <w:tcPr>
            <w:tcW w:w="2235" w:type="dxa"/>
            <w:tcBorders>
              <w:left w:val="nil"/>
              <w:right w:val="nil"/>
            </w:tcBorders>
          </w:tcPr>
          <w:p w:rsidR="00217F84" w:rsidRPr="00C35E93" w:rsidRDefault="00217F84" w:rsidP="00C35E93">
            <w:pPr>
              <w:pStyle w:val="Tabletext"/>
              <w:numPr>
                <w:ilvl w:val="0"/>
                <w:numId w:val="6"/>
              </w:numPr>
              <w:rPr>
                <w:rFonts w:cs="Arial"/>
              </w:rPr>
            </w:pPr>
            <w:r w:rsidRPr="00C35E93">
              <w:rPr>
                <w:rFonts w:cs="Arial"/>
              </w:rPr>
              <w:t>Getting at risk people into a career</w:t>
            </w:r>
          </w:p>
        </w:tc>
        <w:tc>
          <w:tcPr>
            <w:tcW w:w="7007" w:type="dxa"/>
            <w:tcBorders>
              <w:left w:val="nil"/>
              <w:bottom w:val="single" w:sz="4" w:space="0" w:color="000000" w:themeColor="text1"/>
              <w:right w:val="nil"/>
            </w:tcBorders>
          </w:tcPr>
          <w:p w:rsidR="00217F84" w:rsidRPr="00C35E93" w:rsidRDefault="00217F84" w:rsidP="003E624B">
            <w:pPr>
              <w:pStyle w:val="Tabletext"/>
              <w:rPr>
                <w:rFonts w:cs="Arial"/>
              </w:rPr>
            </w:pPr>
            <w:r w:rsidRPr="00C35E93">
              <w:rPr>
                <w:rFonts w:cs="Arial"/>
              </w:rPr>
              <w:t>TEOs, schools and government and industry work together to ensure these young people have appropriate access and incentives to gain relevant qualifications and core skills for sustainable employment.</w:t>
            </w:r>
          </w:p>
        </w:tc>
      </w:tr>
      <w:tr w:rsidR="005A11A0" w:rsidTr="005A11A0">
        <w:trPr>
          <w:trHeight w:val="185"/>
        </w:trPr>
        <w:tc>
          <w:tcPr>
            <w:tcW w:w="2235" w:type="dxa"/>
            <w:vMerge w:val="restart"/>
            <w:tcBorders>
              <w:left w:val="nil"/>
              <w:right w:val="nil"/>
            </w:tcBorders>
          </w:tcPr>
          <w:p w:rsidR="005A11A0" w:rsidRPr="00C35E93" w:rsidRDefault="005A11A0" w:rsidP="00C35E93">
            <w:pPr>
              <w:pStyle w:val="Tabletext"/>
              <w:numPr>
                <w:ilvl w:val="0"/>
                <w:numId w:val="6"/>
              </w:numPr>
              <w:rPr>
                <w:rFonts w:cs="Arial"/>
              </w:rPr>
            </w:pPr>
            <w:r w:rsidRPr="00C35E93">
              <w:rPr>
                <w:rFonts w:cs="Arial"/>
              </w:rPr>
              <w:t>Boosting achievement of Māori and Pasifika people</w:t>
            </w:r>
          </w:p>
        </w:tc>
        <w:tc>
          <w:tcPr>
            <w:tcW w:w="7007" w:type="dxa"/>
            <w:tcBorders>
              <w:left w:val="nil"/>
              <w:bottom w:val="nil"/>
              <w:right w:val="nil"/>
            </w:tcBorders>
          </w:tcPr>
          <w:p w:rsidR="005A11A0" w:rsidRPr="00C35E93" w:rsidRDefault="005A11A0" w:rsidP="003E624B">
            <w:pPr>
              <w:pStyle w:val="Tabletext"/>
              <w:rPr>
                <w:rFonts w:cs="Arial"/>
              </w:rPr>
            </w:pPr>
            <w:r w:rsidRPr="00C35E93">
              <w:rPr>
                <w:rFonts w:cs="Arial"/>
              </w:rPr>
              <w:t>TEOs set and achieve appropriate learning targets for Māori/Pasifika learners</w:t>
            </w:r>
            <w:r>
              <w:rPr>
                <w:rFonts w:cs="Arial"/>
              </w:rPr>
              <w:t>.</w:t>
            </w:r>
          </w:p>
        </w:tc>
      </w:tr>
      <w:tr w:rsidR="005A11A0" w:rsidTr="00AB11A4">
        <w:tc>
          <w:tcPr>
            <w:tcW w:w="2235" w:type="dxa"/>
            <w:vMerge/>
            <w:tcBorders>
              <w:left w:val="nil"/>
              <w:right w:val="nil"/>
            </w:tcBorders>
          </w:tcPr>
          <w:p w:rsidR="005A11A0" w:rsidRPr="00C35E93" w:rsidRDefault="005A11A0" w:rsidP="003E624B">
            <w:pPr>
              <w:pStyle w:val="Tabletext"/>
              <w:jc w:val="both"/>
              <w:rPr>
                <w:rFonts w:cs="Arial"/>
              </w:rPr>
            </w:pPr>
          </w:p>
        </w:tc>
        <w:tc>
          <w:tcPr>
            <w:tcW w:w="7007" w:type="dxa"/>
            <w:tcBorders>
              <w:top w:val="nil"/>
              <w:left w:val="nil"/>
              <w:bottom w:val="nil"/>
              <w:right w:val="nil"/>
            </w:tcBorders>
          </w:tcPr>
          <w:p w:rsidR="005A11A0" w:rsidRPr="00C35E93" w:rsidRDefault="005A11A0" w:rsidP="005A11A0">
            <w:pPr>
              <w:pStyle w:val="Tabletext"/>
              <w:spacing w:before="120"/>
              <w:rPr>
                <w:rFonts w:cs="Arial"/>
              </w:rPr>
            </w:pPr>
            <w:r w:rsidRPr="00C35E93">
              <w:rPr>
                <w:rFonts w:cs="Arial"/>
              </w:rPr>
              <w:t>TEOs set appropriate performance targets for number of Māori/Pasifika teachers in their organisations</w:t>
            </w:r>
            <w:r>
              <w:rPr>
                <w:rFonts w:cs="Arial"/>
              </w:rPr>
              <w:t>.</w:t>
            </w:r>
          </w:p>
        </w:tc>
      </w:tr>
      <w:tr w:rsidR="005A11A0" w:rsidTr="00AB11A4">
        <w:tc>
          <w:tcPr>
            <w:tcW w:w="2235" w:type="dxa"/>
            <w:vMerge/>
            <w:tcBorders>
              <w:left w:val="nil"/>
              <w:bottom w:val="nil"/>
              <w:right w:val="nil"/>
            </w:tcBorders>
          </w:tcPr>
          <w:p w:rsidR="005A11A0" w:rsidRPr="00C35E93" w:rsidRDefault="005A11A0" w:rsidP="003E624B">
            <w:pPr>
              <w:pStyle w:val="Tabletext"/>
              <w:jc w:val="both"/>
              <w:rPr>
                <w:rFonts w:cs="Arial"/>
              </w:rPr>
            </w:pPr>
          </w:p>
        </w:tc>
        <w:tc>
          <w:tcPr>
            <w:tcW w:w="7007" w:type="dxa"/>
            <w:tcBorders>
              <w:top w:val="nil"/>
              <w:left w:val="nil"/>
              <w:bottom w:val="nil"/>
              <w:right w:val="nil"/>
            </w:tcBorders>
          </w:tcPr>
          <w:p w:rsidR="005A11A0" w:rsidRPr="00C35E93" w:rsidRDefault="005A11A0" w:rsidP="005A11A0">
            <w:pPr>
              <w:pStyle w:val="Tabletext"/>
              <w:spacing w:before="120"/>
              <w:rPr>
                <w:rFonts w:cs="Arial"/>
              </w:rPr>
            </w:pPr>
            <w:r w:rsidRPr="00C35E93">
              <w:rPr>
                <w:rFonts w:cs="Arial"/>
              </w:rPr>
              <w:t>Opportunities in TEOs for Māori/ Pasifika learners to participate in study and research that will engage them as Māori</w:t>
            </w:r>
            <w:r>
              <w:rPr>
                <w:rFonts w:cs="Arial"/>
              </w:rPr>
              <w:t xml:space="preserve">/Pasifika </w:t>
            </w:r>
            <w:r w:rsidRPr="00C35E93">
              <w:rPr>
                <w:rFonts w:cs="Arial"/>
              </w:rPr>
              <w:t>within tertiary education</w:t>
            </w:r>
            <w:r>
              <w:rPr>
                <w:rFonts w:cs="Arial"/>
              </w:rPr>
              <w:t>.</w:t>
            </w:r>
          </w:p>
        </w:tc>
      </w:tr>
      <w:tr w:rsidR="00217F84" w:rsidTr="005A11A0">
        <w:tc>
          <w:tcPr>
            <w:tcW w:w="2235" w:type="dxa"/>
            <w:tcBorders>
              <w:top w:val="nil"/>
              <w:left w:val="nil"/>
              <w:right w:val="nil"/>
            </w:tcBorders>
          </w:tcPr>
          <w:p w:rsidR="00217F84" w:rsidRPr="00C35E93" w:rsidRDefault="00217F84" w:rsidP="003E624B">
            <w:pPr>
              <w:pStyle w:val="Tabletext"/>
              <w:jc w:val="both"/>
              <w:rPr>
                <w:rFonts w:cs="Arial"/>
              </w:rPr>
            </w:pPr>
          </w:p>
        </w:tc>
        <w:tc>
          <w:tcPr>
            <w:tcW w:w="7007" w:type="dxa"/>
            <w:tcBorders>
              <w:top w:val="nil"/>
              <w:left w:val="nil"/>
              <w:bottom w:val="single" w:sz="4" w:space="0" w:color="000000" w:themeColor="text1"/>
              <w:right w:val="nil"/>
            </w:tcBorders>
          </w:tcPr>
          <w:p w:rsidR="00217F84" w:rsidRPr="00C35E93" w:rsidRDefault="00217F84" w:rsidP="005A11A0">
            <w:pPr>
              <w:pStyle w:val="Tabletext"/>
              <w:spacing w:before="120"/>
              <w:rPr>
                <w:rFonts w:cs="Arial"/>
              </w:rPr>
            </w:pPr>
            <w:r w:rsidRPr="00C35E93">
              <w:rPr>
                <w:rFonts w:cs="Arial"/>
              </w:rPr>
              <w:t>TEOs engage Pasifika communities in the mentoring and pastoral care of Pasifika learners</w:t>
            </w:r>
            <w:r w:rsidR="0049524B">
              <w:rPr>
                <w:rFonts w:cs="Arial"/>
              </w:rPr>
              <w:t>.</w:t>
            </w:r>
          </w:p>
        </w:tc>
      </w:tr>
      <w:tr w:rsidR="005A11A0" w:rsidTr="008208A3">
        <w:tc>
          <w:tcPr>
            <w:tcW w:w="2235" w:type="dxa"/>
            <w:vMerge w:val="restart"/>
            <w:tcBorders>
              <w:left w:val="nil"/>
              <w:right w:val="nil"/>
            </w:tcBorders>
          </w:tcPr>
          <w:p w:rsidR="005A11A0" w:rsidRPr="00C35E93" w:rsidRDefault="005A11A0" w:rsidP="00C35E93">
            <w:pPr>
              <w:pStyle w:val="Tabletext"/>
              <w:numPr>
                <w:ilvl w:val="0"/>
                <w:numId w:val="6"/>
              </w:numPr>
              <w:rPr>
                <w:rFonts w:cs="Arial"/>
              </w:rPr>
            </w:pPr>
            <w:r w:rsidRPr="00C35E93">
              <w:rPr>
                <w:rFonts w:cs="Arial"/>
              </w:rPr>
              <w:t>Strengthening research-based institutions</w:t>
            </w:r>
          </w:p>
        </w:tc>
        <w:tc>
          <w:tcPr>
            <w:tcW w:w="7007" w:type="dxa"/>
            <w:tcBorders>
              <w:left w:val="nil"/>
              <w:bottom w:val="nil"/>
              <w:right w:val="nil"/>
            </w:tcBorders>
          </w:tcPr>
          <w:p w:rsidR="005A11A0" w:rsidRPr="00C35E93" w:rsidRDefault="005A11A0" w:rsidP="003E624B">
            <w:pPr>
              <w:pStyle w:val="Tabletext"/>
              <w:rPr>
                <w:rFonts w:cs="Arial"/>
              </w:rPr>
            </w:pPr>
            <w:r w:rsidRPr="00C35E93">
              <w:rPr>
                <w:rFonts w:cs="Arial"/>
              </w:rPr>
              <w:t>TEOs, industry, and research organisations collaborate more to share expertise, transfer knowledge, and progress joint research programmes to deliver greater impact</w:t>
            </w:r>
            <w:r>
              <w:rPr>
                <w:rFonts w:cs="Arial"/>
              </w:rPr>
              <w:t>.</w:t>
            </w:r>
          </w:p>
        </w:tc>
      </w:tr>
      <w:tr w:rsidR="005A11A0" w:rsidTr="008208A3">
        <w:tc>
          <w:tcPr>
            <w:tcW w:w="2235" w:type="dxa"/>
            <w:vMerge/>
            <w:tcBorders>
              <w:left w:val="nil"/>
              <w:right w:val="nil"/>
            </w:tcBorders>
          </w:tcPr>
          <w:p w:rsidR="005A11A0" w:rsidRPr="00C35E93" w:rsidRDefault="005A11A0" w:rsidP="00C35E93">
            <w:pPr>
              <w:pStyle w:val="Tabletext"/>
              <w:rPr>
                <w:rFonts w:cs="Arial"/>
              </w:rPr>
            </w:pPr>
          </w:p>
        </w:tc>
        <w:tc>
          <w:tcPr>
            <w:tcW w:w="7007" w:type="dxa"/>
            <w:tcBorders>
              <w:top w:val="nil"/>
              <w:left w:val="nil"/>
              <w:bottom w:val="single" w:sz="4" w:space="0" w:color="000000" w:themeColor="text1"/>
              <w:right w:val="nil"/>
            </w:tcBorders>
          </w:tcPr>
          <w:p w:rsidR="005A11A0" w:rsidRPr="00C35E93" w:rsidRDefault="005A11A0" w:rsidP="005A11A0">
            <w:pPr>
              <w:pStyle w:val="Tabletext"/>
              <w:spacing w:before="120"/>
              <w:rPr>
                <w:rFonts w:cs="Arial"/>
              </w:rPr>
            </w:pPr>
            <w:r w:rsidRPr="00C35E93">
              <w:rPr>
                <w:rFonts w:cs="Arial"/>
              </w:rPr>
              <w:t>TEOs develop strategies and monitoring systems to measure their progress in contributing to innovative activity</w:t>
            </w:r>
            <w:r>
              <w:rPr>
                <w:rFonts w:cs="Arial"/>
              </w:rPr>
              <w:t>.</w:t>
            </w:r>
          </w:p>
        </w:tc>
      </w:tr>
      <w:tr w:rsidR="005A11A0" w:rsidTr="006B6A62">
        <w:tc>
          <w:tcPr>
            <w:tcW w:w="2235" w:type="dxa"/>
            <w:vMerge w:val="restart"/>
            <w:tcBorders>
              <w:left w:val="nil"/>
              <w:right w:val="nil"/>
            </w:tcBorders>
          </w:tcPr>
          <w:p w:rsidR="005A11A0" w:rsidRPr="00C35E93" w:rsidRDefault="005A11A0" w:rsidP="00C35E93">
            <w:pPr>
              <w:pStyle w:val="Tabletext"/>
              <w:numPr>
                <w:ilvl w:val="0"/>
                <w:numId w:val="6"/>
              </w:numPr>
              <w:rPr>
                <w:rFonts w:cs="Arial"/>
              </w:rPr>
            </w:pPr>
            <w:r w:rsidRPr="00C35E93">
              <w:rPr>
                <w:rFonts w:cs="Arial"/>
              </w:rPr>
              <w:t>Growing international links</w:t>
            </w:r>
          </w:p>
        </w:tc>
        <w:tc>
          <w:tcPr>
            <w:tcW w:w="7007" w:type="dxa"/>
            <w:tcBorders>
              <w:left w:val="nil"/>
              <w:bottom w:val="nil"/>
              <w:right w:val="nil"/>
            </w:tcBorders>
          </w:tcPr>
          <w:p w:rsidR="005A11A0" w:rsidRPr="00C35E93" w:rsidRDefault="005A11A0" w:rsidP="003E624B">
            <w:pPr>
              <w:pStyle w:val="Tabletext"/>
              <w:rPr>
                <w:rFonts w:cs="Arial"/>
              </w:rPr>
            </w:pPr>
            <w:r w:rsidRPr="00C35E93">
              <w:rPr>
                <w:rFonts w:cs="Arial"/>
              </w:rPr>
              <w:t>TEOs increase the economic value of onshore enrolments at both undergraduate and postgraduate level</w:t>
            </w:r>
            <w:r>
              <w:rPr>
                <w:rFonts w:cs="Arial"/>
              </w:rPr>
              <w:t>.</w:t>
            </w:r>
          </w:p>
        </w:tc>
      </w:tr>
      <w:tr w:rsidR="005A11A0" w:rsidTr="006B6A62">
        <w:tc>
          <w:tcPr>
            <w:tcW w:w="2235" w:type="dxa"/>
            <w:vMerge/>
            <w:tcBorders>
              <w:left w:val="nil"/>
              <w:right w:val="nil"/>
            </w:tcBorders>
          </w:tcPr>
          <w:p w:rsidR="005A11A0" w:rsidRPr="00C35E93" w:rsidRDefault="005A11A0" w:rsidP="003E624B">
            <w:pPr>
              <w:pStyle w:val="Tabletext"/>
              <w:rPr>
                <w:rFonts w:cs="Arial"/>
              </w:rPr>
            </w:pPr>
          </w:p>
        </w:tc>
        <w:tc>
          <w:tcPr>
            <w:tcW w:w="7007" w:type="dxa"/>
            <w:tcBorders>
              <w:top w:val="nil"/>
              <w:left w:val="nil"/>
              <w:bottom w:val="nil"/>
              <w:right w:val="nil"/>
            </w:tcBorders>
          </w:tcPr>
          <w:p w:rsidR="005A11A0" w:rsidRPr="00C35E93" w:rsidRDefault="005A11A0" w:rsidP="005A11A0">
            <w:pPr>
              <w:pStyle w:val="Tabletext"/>
              <w:spacing w:before="120"/>
              <w:rPr>
                <w:rFonts w:cs="Arial"/>
              </w:rPr>
            </w:pPr>
            <w:r w:rsidRPr="00C35E93">
              <w:rPr>
                <w:rFonts w:cs="Arial"/>
              </w:rPr>
              <w:t>TEOs increase the economic value derived from the provision of education products and services delivered offshore</w:t>
            </w:r>
            <w:r>
              <w:rPr>
                <w:rFonts w:cs="Arial"/>
              </w:rPr>
              <w:t>.</w:t>
            </w:r>
          </w:p>
        </w:tc>
      </w:tr>
      <w:tr w:rsidR="005A11A0" w:rsidTr="006B6A62">
        <w:tc>
          <w:tcPr>
            <w:tcW w:w="2235" w:type="dxa"/>
            <w:vMerge/>
            <w:tcBorders>
              <w:left w:val="nil"/>
              <w:right w:val="nil"/>
            </w:tcBorders>
          </w:tcPr>
          <w:p w:rsidR="005A11A0" w:rsidRPr="00C35E93" w:rsidRDefault="005A11A0" w:rsidP="003E624B">
            <w:pPr>
              <w:pStyle w:val="Tabletext"/>
              <w:rPr>
                <w:rFonts w:cs="Arial"/>
              </w:rPr>
            </w:pPr>
          </w:p>
        </w:tc>
        <w:tc>
          <w:tcPr>
            <w:tcW w:w="7007" w:type="dxa"/>
            <w:tcBorders>
              <w:top w:val="nil"/>
              <w:left w:val="nil"/>
              <w:bottom w:val="nil"/>
              <w:right w:val="nil"/>
            </w:tcBorders>
          </w:tcPr>
          <w:p w:rsidR="005A11A0" w:rsidRPr="00C35E93" w:rsidRDefault="005A11A0" w:rsidP="005A11A0">
            <w:pPr>
              <w:pStyle w:val="Tabletext"/>
              <w:spacing w:before="120"/>
              <w:rPr>
                <w:rFonts w:cs="Arial"/>
              </w:rPr>
            </w:pPr>
            <w:r w:rsidRPr="00C35E93">
              <w:rPr>
                <w:rFonts w:cs="Arial"/>
              </w:rPr>
              <w:t>TEOs develop and maintain research and education delivery partnerships with overseas institutions that create enduring economic, social and cultural benefits, with a focus on identifying and developing opportunities for growing existing key markets and emerging markets.</w:t>
            </w:r>
          </w:p>
        </w:tc>
      </w:tr>
      <w:tr w:rsidR="005A11A0" w:rsidTr="006B6A62">
        <w:tc>
          <w:tcPr>
            <w:tcW w:w="2235" w:type="dxa"/>
            <w:vMerge/>
            <w:tcBorders>
              <w:left w:val="nil"/>
              <w:right w:val="nil"/>
            </w:tcBorders>
          </w:tcPr>
          <w:p w:rsidR="005A11A0" w:rsidRPr="00C35E93" w:rsidRDefault="005A11A0" w:rsidP="003E624B">
            <w:pPr>
              <w:pStyle w:val="Tabletext"/>
              <w:rPr>
                <w:rFonts w:cs="Arial"/>
              </w:rPr>
            </w:pPr>
          </w:p>
        </w:tc>
        <w:tc>
          <w:tcPr>
            <w:tcW w:w="7007" w:type="dxa"/>
            <w:tcBorders>
              <w:top w:val="nil"/>
              <w:left w:val="nil"/>
              <w:right w:val="nil"/>
            </w:tcBorders>
          </w:tcPr>
          <w:p w:rsidR="005A11A0" w:rsidRPr="00C35E93" w:rsidRDefault="005A11A0" w:rsidP="005A11A0">
            <w:pPr>
              <w:pStyle w:val="Tabletext"/>
              <w:spacing w:before="120"/>
              <w:rPr>
                <w:rFonts w:cs="Arial"/>
              </w:rPr>
            </w:pPr>
            <w:r w:rsidRPr="00C35E93">
              <w:rPr>
                <w:rFonts w:cs="Arial"/>
              </w:rPr>
              <w:t>There is increased movement of people and ideas between TEOs and overseas institutions, particularly those of our key trading partners in Asia, including strong research connections, gr</w:t>
            </w:r>
            <w:r>
              <w:rPr>
                <w:rFonts w:cs="Arial"/>
              </w:rPr>
              <w:t>e</w:t>
            </w:r>
            <w:r w:rsidRPr="00C35E93">
              <w:rPr>
                <w:rFonts w:cs="Arial"/>
              </w:rPr>
              <w:t>ater recruitment of international students, and more New Zealand students being supported to study abroad.</w:t>
            </w:r>
          </w:p>
        </w:tc>
      </w:tr>
    </w:tbl>
    <w:p w:rsidR="0049524B" w:rsidRDefault="0049524B" w:rsidP="005A11A0">
      <w:pPr>
        <w:pStyle w:val="Source"/>
      </w:pPr>
      <w:r>
        <w:t>Source: New Zealand Qualifications Authority (2014).</w:t>
      </w:r>
    </w:p>
    <w:p w:rsidR="00A27AC4" w:rsidRDefault="00205960" w:rsidP="003E624B">
      <w:pPr>
        <w:pStyle w:val="Text"/>
      </w:pPr>
      <w:r>
        <w:t xml:space="preserve">We can also get an idea of the </w:t>
      </w:r>
      <w:r w:rsidR="00B17C94">
        <w:t xml:space="preserve">contract design factors </w:t>
      </w:r>
      <w:r>
        <w:t xml:space="preserve">that will drive the performance of TEOs when we examine the </w:t>
      </w:r>
      <w:r w:rsidR="00A27AC4">
        <w:t xml:space="preserve">New Zealand </w:t>
      </w:r>
      <w:r>
        <w:t xml:space="preserve">Tertiary Education Commission’s Performance-Linked Funding expectations </w:t>
      </w:r>
      <w:r w:rsidR="00A27AC4">
        <w:t xml:space="preserve">for TEOs </w:t>
      </w:r>
      <w:r w:rsidR="00202DF9">
        <w:t>that</w:t>
      </w:r>
      <w:r w:rsidR="00A27AC4">
        <w:t xml:space="preserve"> receive public funding </w:t>
      </w:r>
      <w:r>
        <w:t>(</w:t>
      </w:r>
      <w:r w:rsidR="00A27AC4">
        <w:t>New Zealand</w:t>
      </w:r>
      <w:r w:rsidR="00C35E93" w:rsidRPr="00C35E93">
        <w:t xml:space="preserve"> </w:t>
      </w:r>
      <w:r w:rsidR="00C35E93">
        <w:t>Tertiary Education Commission</w:t>
      </w:r>
      <w:r w:rsidR="00A27AC4">
        <w:t xml:space="preserve"> 2016). The performance of TEOs on the Student Achievement Component </w:t>
      </w:r>
      <w:r w:rsidR="005C073F">
        <w:t>(that is</w:t>
      </w:r>
      <w:r w:rsidR="0049524B">
        <w:t>,</w:t>
      </w:r>
      <w:r w:rsidR="005C073F">
        <w:t xml:space="preserve"> the educational achievement</w:t>
      </w:r>
      <w:r w:rsidR="00F62FBE">
        <w:t xml:space="preserve"> component</w:t>
      </w:r>
      <w:r w:rsidR="005C073F">
        <w:t xml:space="preserve">) </w:t>
      </w:r>
      <w:r w:rsidR="00A27AC4">
        <w:t>of their funding is monitored by taking into account their</w:t>
      </w:r>
      <w:r w:rsidR="00F6734B">
        <w:t xml:space="preserve"> </w:t>
      </w:r>
      <w:r w:rsidR="009B3BC6">
        <w:t>achievement</w:t>
      </w:r>
      <w:r w:rsidR="00F6734B">
        <w:t xml:space="preserve"> on group</w:t>
      </w:r>
      <w:r w:rsidR="00404683">
        <w:t xml:space="preserve">s of qualifications </w:t>
      </w:r>
      <w:r w:rsidR="00F6734B">
        <w:t>of the New Zealand Qualification</w:t>
      </w:r>
      <w:r w:rsidR="009A4738">
        <w:t>s</w:t>
      </w:r>
      <w:r w:rsidR="00F6734B">
        <w:t xml:space="preserve"> Framework. If TEOs perform over the 50</w:t>
      </w:r>
      <w:r w:rsidR="00F6734B" w:rsidRPr="00223653">
        <w:t>th</w:t>
      </w:r>
      <w:r w:rsidR="00F6734B">
        <w:t xml:space="preserve"> percentile </w:t>
      </w:r>
      <w:r w:rsidR="001D2995">
        <w:t>in the</w:t>
      </w:r>
      <w:r w:rsidR="00F6734B">
        <w:t xml:space="preserve"> grouped qualifications</w:t>
      </w:r>
      <w:r w:rsidR="007C731B">
        <w:t>,</w:t>
      </w:r>
      <w:r w:rsidR="00F6734B">
        <w:t xml:space="preserve"> they will receive all of the funding due to them. Up to 5% of the funding will also be based on the TEO’s performance in the previous years.</w:t>
      </w:r>
      <w:r w:rsidR="005C073F">
        <w:t xml:space="preserve"> The educational </w:t>
      </w:r>
      <w:r w:rsidR="001D2995">
        <w:t>performance</w:t>
      </w:r>
      <w:r w:rsidR="005C073F">
        <w:t xml:space="preserve"> indicator</w:t>
      </w:r>
      <w:r w:rsidR="00404683">
        <w:t>s</w:t>
      </w:r>
      <w:r w:rsidR="005C073F">
        <w:t xml:space="preserve"> taken into account are rates of</w:t>
      </w:r>
      <w:r w:rsidR="00A27AC4">
        <w:t>:</w:t>
      </w:r>
      <w:r w:rsidR="00187424">
        <w:t xml:space="preserve"> </w:t>
      </w:r>
    </w:p>
    <w:p w:rsidR="00A27AC4" w:rsidRDefault="00A27AC4" w:rsidP="005A11A0">
      <w:pPr>
        <w:pStyle w:val="Dotpoint1"/>
        <w:ind w:left="284" w:hanging="284"/>
      </w:pPr>
      <w:r>
        <w:t>c</w:t>
      </w:r>
      <w:r w:rsidR="00AD1547">
        <w:t>ourse completion</w:t>
      </w:r>
      <w:r w:rsidR="005C073F">
        <w:t xml:space="preserve">s: measures of the successful completions of courses as a proportion of all enrolments for a given year </w:t>
      </w:r>
    </w:p>
    <w:p w:rsidR="00A27AC4" w:rsidRDefault="00A27AC4" w:rsidP="005A11A0">
      <w:pPr>
        <w:pStyle w:val="Dotpoint1"/>
        <w:ind w:left="284" w:hanging="284"/>
      </w:pPr>
      <w:r>
        <w:t>q</w:t>
      </w:r>
      <w:r w:rsidR="00AD1547">
        <w:t>ualification completion</w:t>
      </w:r>
      <w:r w:rsidR="00926419">
        <w:t>s</w:t>
      </w:r>
      <w:r w:rsidR="005C073F">
        <w:t>: measures of successful completions of qualifications as a proportion of course enrolments for a given year</w:t>
      </w:r>
    </w:p>
    <w:p w:rsidR="002C45A8" w:rsidRDefault="005C073F" w:rsidP="005A11A0">
      <w:pPr>
        <w:pStyle w:val="Dotpoint1"/>
        <w:ind w:left="284" w:hanging="284"/>
      </w:pPr>
      <w:r>
        <w:t xml:space="preserve">retention (completion/continuation): measures of the proportion of students in a given year </w:t>
      </w:r>
      <w:r w:rsidR="00223653">
        <w:t>who</w:t>
      </w:r>
      <w:r>
        <w:t xml:space="preserve"> complete a qualification, or re-enrol with the same org</w:t>
      </w:r>
      <w:r w:rsidR="002C45A8">
        <w:t>anisation in the following year</w:t>
      </w:r>
    </w:p>
    <w:p w:rsidR="005C073F" w:rsidRDefault="00AD1547" w:rsidP="005A11A0">
      <w:pPr>
        <w:pStyle w:val="Dotpoint1"/>
        <w:ind w:left="284" w:hanging="284"/>
      </w:pPr>
      <w:proofErr w:type="gramStart"/>
      <w:r w:rsidRPr="002C45A8">
        <w:t>progression</w:t>
      </w:r>
      <w:proofErr w:type="gramEnd"/>
      <w:r w:rsidR="005C073F" w:rsidRPr="002C45A8">
        <w:t>: measures of the proportion of students who progress to a higher level of study after completing the qualification in the previous year</w:t>
      </w:r>
      <w:bookmarkStart w:id="26" w:name="_Toc491860731"/>
      <w:r w:rsidR="001D2995">
        <w:t xml:space="preserve">. </w:t>
      </w:r>
      <w:r w:rsidR="00E55F89">
        <w:t xml:space="preserve">These </w:t>
      </w:r>
      <w:r w:rsidR="00BE271A">
        <w:t xml:space="preserve">metrics </w:t>
      </w:r>
      <w:r w:rsidR="00E55F89">
        <w:t>can be used to compare performance over time. For example</w:t>
      </w:r>
      <w:r w:rsidR="00223653">
        <w:t>,</w:t>
      </w:r>
      <w:r w:rsidR="00E55F89">
        <w:t xml:space="preserve"> between 2010 and 2012 there were more New Zealanders completing qualifications than ‘ever before’</w:t>
      </w:r>
      <w:r w:rsidR="00223653">
        <w:t>,</w:t>
      </w:r>
      <w:r w:rsidR="00E55F89">
        <w:t xml:space="preserve"> with 23% completing bachelor</w:t>
      </w:r>
      <w:r w:rsidR="00223653">
        <w:t>’</w:t>
      </w:r>
      <w:r w:rsidR="00E55F89">
        <w:t xml:space="preserve">s degrees. </w:t>
      </w:r>
    </w:p>
    <w:p w:rsidR="00E254DC" w:rsidRDefault="00F975FE" w:rsidP="005A11A0">
      <w:pPr>
        <w:pStyle w:val="Dotpoint1"/>
        <w:ind w:left="284" w:hanging="284"/>
      </w:pPr>
      <w:r>
        <w:lastRenderedPageBreak/>
        <w:t xml:space="preserve">When the performance of institutions does not meet expectations it triggers a range of responses from the Commission. TEOs will be </w:t>
      </w:r>
      <w:r w:rsidR="00E254DC">
        <w:t xml:space="preserve">subject to more frequent and intense visits or engagements with the Commission. They may be asked to pay back the funds allocated, or have to abide by new funding conditions. They could also have funding suspended, revoked and have any funding allocations for the future made conditional on their past performance.  </w:t>
      </w:r>
    </w:p>
    <w:bookmarkEnd w:id="26"/>
    <w:p w:rsidR="00E86817" w:rsidRDefault="00E86817">
      <w:pPr>
        <w:spacing w:before="0" w:line="240" w:lineRule="auto"/>
        <w:rPr>
          <w:rFonts w:ascii="Arial" w:hAnsi="Arial" w:cs="Tahoma"/>
          <w:color w:val="000000"/>
          <w:kern w:val="28"/>
          <w:sz w:val="44"/>
          <w:szCs w:val="56"/>
        </w:rPr>
      </w:pPr>
      <w:r>
        <w:br w:type="page"/>
      </w:r>
    </w:p>
    <w:p w:rsidR="00394E65" w:rsidRDefault="00E254DC" w:rsidP="005A11A0">
      <w:pPr>
        <w:pStyle w:val="Heading1"/>
        <w:spacing w:before="240"/>
      </w:pPr>
      <w:bookmarkStart w:id="27" w:name="_Toc499032419"/>
      <w:r>
        <w:lastRenderedPageBreak/>
        <w:t>Implications for further research</w:t>
      </w:r>
      <w:bookmarkEnd w:id="27"/>
    </w:p>
    <w:p w:rsidR="003E1C51" w:rsidRDefault="00492B87" w:rsidP="00CA0F36">
      <w:pPr>
        <w:pStyle w:val="Text"/>
      </w:pPr>
      <w:r>
        <w:t>As highlighted in this overview</w:t>
      </w:r>
      <w:r w:rsidR="006F418C">
        <w:t>, there</w:t>
      </w:r>
      <w:r w:rsidR="002E0551" w:rsidRPr="00E333B8">
        <w:t xml:space="preserve"> has been</w:t>
      </w:r>
      <w:r w:rsidR="009D17CC">
        <w:t xml:space="preserve"> and continues to be</w:t>
      </w:r>
      <w:r w:rsidR="002E0551" w:rsidRPr="00E333B8">
        <w:t xml:space="preserve"> substantial work</w:t>
      </w:r>
      <w:r w:rsidR="007C731B">
        <w:t xml:space="preserve"> undertaken</w:t>
      </w:r>
      <w:r w:rsidR="002E0551" w:rsidRPr="00E333B8">
        <w:t xml:space="preserve"> </w:t>
      </w:r>
      <w:r w:rsidR="00834246">
        <w:t>on</w:t>
      </w:r>
      <w:r w:rsidR="002E0551" w:rsidRPr="00E333B8">
        <w:t xml:space="preserve"> </w:t>
      </w:r>
      <w:r w:rsidR="002D5DB7">
        <w:t xml:space="preserve">performance indicators and </w:t>
      </w:r>
      <w:r w:rsidR="009D17CC">
        <w:t>drivers of RTO performance</w:t>
      </w:r>
      <w:r w:rsidR="009A4738">
        <w:t xml:space="preserve"> both in Australia and overseas</w:t>
      </w:r>
      <w:r w:rsidR="00834246">
        <w:t xml:space="preserve">. </w:t>
      </w:r>
      <w:r w:rsidR="00E254DC">
        <w:t xml:space="preserve">Based on </w:t>
      </w:r>
      <w:r w:rsidR="003B44E6">
        <w:t xml:space="preserve">our review of this work </w:t>
      </w:r>
      <w:r w:rsidR="00E254DC">
        <w:t xml:space="preserve">we are of the view that </w:t>
      </w:r>
      <w:r w:rsidR="003130EE">
        <w:t>at this stage any avenues for fu</w:t>
      </w:r>
      <w:r w:rsidR="00955E9B">
        <w:t xml:space="preserve">rther research </w:t>
      </w:r>
      <w:r w:rsidR="002E0551">
        <w:t xml:space="preserve">could </w:t>
      </w:r>
      <w:r w:rsidR="00AE081D">
        <w:t xml:space="preserve">focus </w:t>
      </w:r>
      <w:r w:rsidR="00955E9B">
        <w:t xml:space="preserve">more closely </w:t>
      </w:r>
      <w:r w:rsidR="00AE081D">
        <w:t>on how</w:t>
      </w:r>
      <w:r w:rsidR="003E1C51">
        <w:t>:</w:t>
      </w:r>
    </w:p>
    <w:p w:rsidR="003E1C51" w:rsidRDefault="003E1C51" w:rsidP="005A11A0">
      <w:pPr>
        <w:pStyle w:val="Dotpoint1"/>
        <w:ind w:left="284" w:hanging="284"/>
      </w:pPr>
      <w:r>
        <w:t xml:space="preserve">requirements for </w:t>
      </w:r>
      <w:r w:rsidR="00E25150">
        <w:t xml:space="preserve">accountability and efficiency </w:t>
      </w:r>
      <w:r w:rsidR="009B3BC6">
        <w:t>accommodate</w:t>
      </w:r>
      <w:r w:rsidR="00E25150">
        <w:t xml:space="preserve"> the </w:t>
      </w:r>
      <w:r>
        <w:t xml:space="preserve">training </w:t>
      </w:r>
      <w:r w:rsidR="00E25150">
        <w:t>needs of</w:t>
      </w:r>
      <w:r w:rsidR="003B44E6">
        <w:t xml:space="preserve"> students from </w:t>
      </w:r>
      <w:r w:rsidR="00E25150">
        <w:t xml:space="preserve"> different equity groups</w:t>
      </w:r>
      <w:r w:rsidR="003B44E6">
        <w:t>, including from regional and remote locations</w:t>
      </w:r>
    </w:p>
    <w:p w:rsidR="002D5DB7" w:rsidRDefault="003B44E6" w:rsidP="005A11A0">
      <w:pPr>
        <w:pStyle w:val="Dotpoint1"/>
        <w:ind w:left="284" w:hanging="284"/>
      </w:pPr>
      <w:r>
        <w:t xml:space="preserve">the quality of </w:t>
      </w:r>
      <w:r w:rsidR="003E1C51">
        <w:t>teaching and learning</w:t>
      </w:r>
      <w:r>
        <w:t xml:space="preserve"> that occurs </w:t>
      </w:r>
      <w:r w:rsidR="00886DA7">
        <w:t>within institutions drives the</w:t>
      </w:r>
      <w:r>
        <w:t xml:space="preserve"> achievement of effective outcomes</w:t>
      </w:r>
    </w:p>
    <w:p w:rsidR="002D5DB7" w:rsidRDefault="002D5DB7" w:rsidP="005A11A0">
      <w:pPr>
        <w:pStyle w:val="Dotpoint1"/>
        <w:ind w:left="284" w:hanging="284"/>
      </w:pPr>
      <w:proofErr w:type="gramStart"/>
      <w:r>
        <w:t>systems</w:t>
      </w:r>
      <w:proofErr w:type="gramEnd"/>
      <w:r>
        <w:t xml:space="preserve"> can ensure that benchmarking of RTO performance is based on </w:t>
      </w:r>
      <w:r w:rsidRPr="002D5DB7">
        <w:rPr>
          <w:i/>
        </w:rPr>
        <w:t>like with like</w:t>
      </w:r>
      <w:r w:rsidR="00187424">
        <w:t xml:space="preserve"> </w:t>
      </w:r>
      <w:r w:rsidR="00886DA7">
        <w:t xml:space="preserve">student-body </w:t>
      </w:r>
      <w:r>
        <w:t xml:space="preserve">comparisons. Here there may be </w:t>
      </w:r>
      <w:r w:rsidR="00AE081D">
        <w:t xml:space="preserve">opportunity to </w:t>
      </w:r>
      <w:r w:rsidR="00417795">
        <w:t>undertake a quantitative analysis</w:t>
      </w:r>
      <w:r w:rsidR="00223653">
        <w:t>,</w:t>
      </w:r>
      <w:r w:rsidR="00417795">
        <w:t xml:space="preserve"> </w:t>
      </w:r>
      <w:r>
        <w:t>apply</w:t>
      </w:r>
      <w:r w:rsidR="00417795">
        <w:t>ing</w:t>
      </w:r>
      <w:r>
        <w:t xml:space="preserve"> </w:t>
      </w:r>
      <w:r w:rsidR="00AE081D">
        <w:t xml:space="preserve">the performance indicators </w:t>
      </w:r>
      <w:r w:rsidR="00417795">
        <w:t xml:space="preserve">used in the </w:t>
      </w:r>
      <w:r w:rsidR="007C731B">
        <w:t xml:space="preserve">Australian </w:t>
      </w:r>
      <w:r w:rsidR="00AE081D" w:rsidRPr="007C731B">
        <w:t>indicator trials</w:t>
      </w:r>
      <w:r w:rsidR="00AE081D">
        <w:t xml:space="preserve"> to data from the Total VET Activity Collection</w:t>
      </w:r>
      <w:r w:rsidR="009A4738">
        <w:t xml:space="preserve"> maintained by NCVER</w:t>
      </w:r>
      <w:r w:rsidR="00886DA7">
        <w:t xml:space="preserve">. This can enable us to look at the </w:t>
      </w:r>
      <w:r>
        <w:t xml:space="preserve">performance </w:t>
      </w:r>
      <w:r w:rsidR="009B3BC6">
        <w:t>of</w:t>
      </w:r>
      <w:r w:rsidR="00417795">
        <w:t xml:space="preserve"> </w:t>
      </w:r>
      <w:r w:rsidR="00886DA7">
        <w:t xml:space="preserve">all </w:t>
      </w:r>
      <w:r w:rsidR="00417795">
        <w:t>RTOs</w:t>
      </w:r>
      <w:r w:rsidR="007C731B">
        <w:t>,</w:t>
      </w:r>
      <w:r w:rsidR="00417795">
        <w:t xml:space="preserve"> including private RTOs</w:t>
      </w:r>
      <w:r>
        <w:t xml:space="preserve">. </w:t>
      </w:r>
    </w:p>
    <w:p w:rsidR="002B0204" w:rsidRDefault="00C51C2F" w:rsidP="00417795">
      <w:pPr>
        <w:pStyle w:val="Text"/>
      </w:pPr>
      <w:r w:rsidRPr="00417795">
        <w:t xml:space="preserve">This is not to say that other approaches to ensuring </w:t>
      </w:r>
      <w:r w:rsidR="007C731B">
        <w:t xml:space="preserve">that </w:t>
      </w:r>
      <w:r w:rsidRPr="00417795">
        <w:t xml:space="preserve">accountability and efficiencies are not important for </w:t>
      </w:r>
      <w:r w:rsidR="00C35E93">
        <w:t>VET systems but that research c</w:t>
      </w:r>
      <w:r w:rsidRPr="00417795">
        <w:t xml:space="preserve">ould now concentrate more on the quality and outcomes of </w:t>
      </w:r>
      <w:r w:rsidR="00E40729" w:rsidRPr="00417795">
        <w:t>training</w:t>
      </w:r>
      <w:r w:rsidRPr="00417795">
        <w:t>.</w:t>
      </w:r>
      <w:r>
        <w:t xml:space="preserve"> </w:t>
      </w:r>
      <w:bookmarkStart w:id="28" w:name="_Toc491860732"/>
    </w:p>
    <w:p w:rsidR="000B05EC" w:rsidRDefault="000B05EC" w:rsidP="00BF59E3">
      <w:pPr>
        <w:pStyle w:val="Heading1"/>
      </w:pPr>
    </w:p>
    <w:p w:rsidR="00C13438" w:rsidRDefault="00C13438">
      <w:pPr>
        <w:spacing w:before="0" w:line="240" w:lineRule="auto"/>
        <w:rPr>
          <w:rFonts w:ascii="Arial" w:hAnsi="Arial" w:cs="Tahoma"/>
          <w:color w:val="000000"/>
          <w:kern w:val="28"/>
          <w:sz w:val="44"/>
          <w:szCs w:val="56"/>
        </w:rPr>
      </w:pPr>
      <w:r>
        <w:br w:type="page"/>
      </w:r>
    </w:p>
    <w:p w:rsidR="009D71E0" w:rsidRDefault="00CC4A27" w:rsidP="00BF59E3">
      <w:pPr>
        <w:pStyle w:val="Heading1"/>
      </w:pPr>
      <w:bookmarkStart w:id="29" w:name="_Toc499032420"/>
      <w:r>
        <w:lastRenderedPageBreak/>
        <w:t>References</w:t>
      </w:r>
      <w:bookmarkEnd w:id="28"/>
      <w:bookmarkEnd w:id="29"/>
    </w:p>
    <w:p w:rsidR="00C0089C" w:rsidRDefault="002F7E94" w:rsidP="00252076">
      <w:pPr>
        <w:pStyle w:val="References"/>
      </w:pPr>
      <w:r w:rsidRPr="000C310B">
        <w:t>American As</w:t>
      </w:r>
      <w:r w:rsidR="004B0979" w:rsidRPr="000C310B">
        <w:t>sociation of Community Colleges,</w:t>
      </w:r>
      <w:r w:rsidR="00C51C2F" w:rsidRPr="000C310B">
        <w:t xml:space="preserve"> </w:t>
      </w:r>
      <w:r w:rsidRPr="006B4CCB">
        <w:rPr>
          <w:i/>
        </w:rPr>
        <w:t>Voluntary Framework of Accountabilit</w:t>
      </w:r>
      <w:r w:rsidR="004B0979" w:rsidRPr="006B4CCB">
        <w:rPr>
          <w:i/>
        </w:rPr>
        <w:t>y</w:t>
      </w:r>
      <w:r w:rsidR="004B0979" w:rsidRPr="000C310B">
        <w:t>,</w:t>
      </w:r>
      <w:r w:rsidR="00A83D49">
        <w:t xml:space="preserve"> viewed October 2017,</w:t>
      </w:r>
      <w:r w:rsidRPr="000C310B">
        <w:t xml:space="preserve"> </w:t>
      </w:r>
      <w:r w:rsidR="00223653">
        <w:t>&lt;</w:t>
      </w:r>
      <w:r w:rsidR="00A83D49" w:rsidRPr="00A83D49">
        <w:t xml:space="preserve"> https://vfa.aacc.nche.edu/Documents/VFAOutcomesReportWebFINAL.pdf</w:t>
      </w:r>
      <w:r w:rsidR="00223653">
        <w:t>&gt;.</w:t>
      </w:r>
    </w:p>
    <w:p w:rsidR="00C0089C" w:rsidRDefault="00C51E97" w:rsidP="00252076">
      <w:pPr>
        <w:pStyle w:val="References"/>
      </w:pPr>
      <w:proofErr w:type="spellStart"/>
      <w:r w:rsidRPr="000C310B">
        <w:t>Appelbaum</w:t>
      </w:r>
      <w:proofErr w:type="spellEnd"/>
      <w:r w:rsidRPr="000C310B">
        <w:t xml:space="preserve">, E, Bailey, T, Berg, P &amp; </w:t>
      </w:r>
      <w:proofErr w:type="spellStart"/>
      <w:r w:rsidRPr="000C310B">
        <w:t>Kalleberg</w:t>
      </w:r>
      <w:proofErr w:type="spellEnd"/>
      <w:r w:rsidRPr="000C310B">
        <w:t xml:space="preserve">, AL </w:t>
      </w:r>
      <w:r w:rsidR="006B4CCB">
        <w:t xml:space="preserve">2000, </w:t>
      </w:r>
      <w:r w:rsidR="006B4CCB" w:rsidRPr="006B4CCB">
        <w:rPr>
          <w:i/>
        </w:rPr>
        <w:t>Manufacturing advantage: w</w:t>
      </w:r>
      <w:r w:rsidRPr="006B4CCB">
        <w:rPr>
          <w:i/>
        </w:rPr>
        <w:t>hy high performance work systems pay off</w:t>
      </w:r>
      <w:r w:rsidRPr="000C310B">
        <w:t>, Cornell University Press, Ithaca</w:t>
      </w:r>
      <w:r w:rsidR="00223653">
        <w:t>, NY</w:t>
      </w:r>
      <w:r w:rsidRPr="000C310B">
        <w:t>.</w:t>
      </w:r>
    </w:p>
    <w:p w:rsidR="00C51E97" w:rsidRPr="000C310B" w:rsidRDefault="00C51E97" w:rsidP="00252076">
      <w:pPr>
        <w:pStyle w:val="References"/>
      </w:pPr>
      <w:proofErr w:type="spellStart"/>
      <w:r w:rsidRPr="000C310B">
        <w:t>Appelbaum</w:t>
      </w:r>
      <w:proofErr w:type="spellEnd"/>
      <w:r w:rsidRPr="000C310B">
        <w:t>, E &amp; Batt, R 199</w:t>
      </w:r>
      <w:r w:rsidR="006B4CCB">
        <w:t xml:space="preserve">4, </w:t>
      </w:r>
      <w:proofErr w:type="gramStart"/>
      <w:r w:rsidR="006B4CCB" w:rsidRPr="006B4CCB">
        <w:rPr>
          <w:i/>
        </w:rPr>
        <w:t>The</w:t>
      </w:r>
      <w:proofErr w:type="gramEnd"/>
      <w:r w:rsidR="006B4CCB" w:rsidRPr="006B4CCB">
        <w:rPr>
          <w:i/>
        </w:rPr>
        <w:t xml:space="preserve"> new American workplace: t</w:t>
      </w:r>
      <w:r w:rsidRPr="006B4CCB">
        <w:rPr>
          <w:i/>
        </w:rPr>
        <w:t>ransforming work systems in the United States</w:t>
      </w:r>
      <w:r w:rsidR="00223653">
        <w:t>, ILR Press, Ithaca, NY</w:t>
      </w:r>
      <w:r w:rsidRPr="000C310B">
        <w:t>.</w:t>
      </w:r>
    </w:p>
    <w:p w:rsidR="00111103" w:rsidRDefault="00C51E97" w:rsidP="00252076">
      <w:pPr>
        <w:pStyle w:val="References"/>
      </w:pPr>
      <w:r w:rsidRPr="000C310B">
        <w:t xml:space="preserve">Becker, BE, </w:t>
      </w:r>
      <w:proofErr w:type="spellStart"/>
      <w:r w:rsidRPr="000C310B">
        <w:t>Huselid</w:t>
      </w:r>
      <w:proofErr w:type="spellEnd"/>
      <w:r w:rsidRPr="000C310B">
        <w:t>, MA &amp; Ulr</w:t>
      </w:r>
      <w:r w:rsidR="006B4CCB">
        <w:t xml:space="preserve">ich, D 2001, </w:t>
      </w:r>
      <w:r w:rsidR="006B4CCB" w:rsidRPr="006B4CCB">
        <w:rPr>
          <w:i/>
        </w:rPr>
        <w:t>The HR scorecard: l</w:t>
      </w:r>
      <w:r w:rsidRPr="006B4CCB">
        <w:rPr>
          <w:i/>
        </w:rPr>
        <w:t>inking people, strategy and performance</w:t>
      </w:r>
      <w:r w:rsidRPr="000C310B">
        <w:t>, Harvard Business Sch</w:t>
      </w:r>
      <w:r w:rsidR="00223653">
        <w:t>ool Press, Boston, MA</w:t>
      </w:r>
      <w:r w:rsidRPr="000C310B">
        <w:t>.</w:t>
      </w:r>
    </w:p>
    <w:p w:rsidR="004B0979" w:rsidRPr="000C310B" w:rsidRDefault="004B0979" w:rsidP="00252076">
      <w:pPr>
        <w:pStyle w:val="References"/>
      </w:pPr>
      <w:proofErr w:type="gramStart"/>
      <w:r w:rsidRPr="000C310B">
        <w:t xml:space="preserve">Carrington, R, </w:t>
      </w:r>
      <w:proofErr w:type="spellStart"/>
      <w:r w:rsidR="0021360D" w:rsidRPr="000C310B">
        <w:t>Coelli</w:t>
      </w:r>
      <w:proofErr w:type="spellEnd"/>
      <w:r w:rsidR="0021360D" w:rsidRPr="000C310B">
        <w:t xml:space="preserve"> T</w:t>
      </w:r>
      <w:r w:rsidR="006B4CCB">
        <w:t>, &amp; Rao P, 2005, ‘</w:t>
      </w:r>
      <w:r w:rsidRPr="000C310B">
        <w:t>The performan</w:t>
      </w:r>
      <w:r w:rsidR="00223653">
        <w:t>ce of Australian u</w:t>
      </w:r>
      <w:r w:rsidR="006B4CCB">
        <w:t>niversities, c</w:t>
      </w:r>
      <w:r w:rsidRPr="000C310B">
        <w:t>onceptual</w:t>
      </w:r>
      <w:r w:rsidR="00223653">
        <w:t xml:space="preserve"> issues and preliminary results’</w:t>
      </w:r>
      <w:r w:rsidRPr="000C310B">
        <w:t xml:space="preserve">, </w:t>
      </w:r>
      <w:r w:rsidRPr="006B4CCB">
        <w:rPr>
          <w:i/>
        </w:rPr>
        <w:t xml:space="preserve">Economic Papers, </w:t>
      </w:r>
      <w:r w:rsidR="00223653">
        <w:t>vol.</w:t>
      </w:r>
      <w:r w:rsidRPr="00223653">
        <w:t>24</w:t>
      </w:r>
      <w:r w:rsidR="0021360D" w:rsidRPr="00223653">
        <w:t>,</w:t>
      </w:r>
      <w:r w:rsidR="0021360D" w:rsidRPr="000C310B">
        <w:t xml:space="preserve"> n</w:t>
      </w:r>
      <w:r w:rsidR="00223653">
        <w:t>o.</w:t>
      </w:r>
      <w:r w:rsidRPr="000C310B">
        <w:t>2</w:t>
      </w:r>
      <w:r w:rsidR="00223653">
        <w:t>,</w:t>
      </w:r>
      <w:r w:rsidRPr="000C310B">
        <w:t xml:space="preserve"> pp</w:t>
      </w:r>
      <w:r w:rsidR="00223653">
        <w:t>.145—</w:t>
      </w:r>
      <w:r w:rsidRPr="000C310B">
        <w:t>63.</w:t>
      </w:r>
      <w:proofErr w:type="gramEnd"/>
    </w:p>
    <w:p w:rsidR="00C51E97" w:rsidRPr="000C310B" w:rsidRDefault="00C51E97" w:rsidP="00252076">
      <w:pPr>
        <w:pStyle w:val="References"/>
      </w:pPr>
      <w:proofErr w:type="gramStart"/>
      <w:r w:rsidRPr="000C310B">
        <w:t xml:space="preserve">Boxall, P 2003, ‘HR strategy and competitive advantage’, </w:t>
      </w:r>
      <w:r w:rsidRPr="006B4CCB">
        <w:rPr>
          <w:i/>
        </w:rPr>
        <w:t xml:space="preserve">Human Resource Management Journal, </w:t>
      </w:r>
      <w:r w:rsidRPr="00223653">
        <w:t>vol.13</w:t>
      </w:r>
      <w:r w:rsidR="00223653">
        <w:t>, no.3, pp.5—</w:t>
      </w:r>
      <w:r w:rsidRPr="000C310B">
        <w:t>20.</w:t>
      </w:r>
      <w:proofErr w:type="gramEnd"/>
    </w:p>
    <w:p w:rsidR="0021360D" w:rsidRPr="000C310B" w:rsidRDefault="0021360D" w:rsidP="00252076">
      <w:pPr>
        <w:pStyle w:val="References"/>
        <w:rPr>
          <w:rStyle w:val="volume"/>
        </w:rPr>
      </w:pPr>
      <w:proofErr w:type="spellStart"/>
      <w:r w:rsidRPr="000C310B">
        <w:t>Cedefop</w:t>
      </w:r>
      <w:proofErr w:type="spellEnd"/>
      <w:r w:rsidRPr="000C310B">
        <w:t xml:space="preserve"> 2017, </w:t>
      </w:r>
      <w:r w:rsidRPr="00273AFA">
        <w:rPr>
          <w:i/>
        </w:rPr>
        <w:t xml:space="preserve">On the way to 2020: data for vocational </w:t>
      </w:r>
      <w:r w:rsidR="00223653">
        <w:rPr>
          <w:i/>
        </w:rPr>
        <w:t>education and training policies: c</w:t>
      </w:r>
      <w:r w:rsidRPr="00273AFA">
        <w:rPr>
          <w:i/>
        </w:rPr>
        <w:t>ountry statistical overvie</w:t>
      </w:r>
      <w:r w:rsidR="00223653">
        <w:rPr>
          <w:i/>
        </w:rPr>
        <w:t>ws —</w:t>
      </w:r>
      <w:r w:rsidRPr="00273AFA">
        <w:rPr>
          <w:i/>
        </w:rPr>
        <w:t xml:space="preserve"> 2016 update</w:t>
      </w:r>
      <w:r w:rsidR="00273AFA">
        <w:t>,</w:t>
      </w:r>
      <w:r w:rsidR="00223653">
        <w:t xml:space="preserve"> </w:t>
      </w:r>
      <w:proofErr w:type="spellStart"/>
      <w:r w:rsidR="00223653">
        <w:t>Cedefop</w:t>
      </w:r>
      <w:proofErr w:type="spellEnd"/>
      <w:r w:rsidR="00223653">
        <w:t xml:space="preserve"> research paper no.</w:t>
      </w:r>
      <w:r w:rsidRPr="000C310B">
        <w:t>61</w:t>
      </w:r>
      <w:r w:rsidR="00111103">
        <w:t>,</w:t>
      </w:r>
      <w:r w:rsidR="00273AFA" w:rsidRPr="000C310B">
        <w:t xml:space="preserve"> Publications Office</w:t>
      </w:r>
      <w:r w:rsidR="00223653">
        <w:t>,</w:t>
      </w:r>
      <w:r w:rsidR="00273AFA" w:rsidRPr="000C310B">
        <w:t xml:space="preserve"> </w:t>
      </w:r>
      <w:r w:rsidR="00223653" w:rsidRPr="000C310B">
        <w:t>Luxembourg</w:t>
      </w:r>
      <w:r w:rsidR="00223653">
        <w:t>, viewed August 2017, &lt;</w:t>
      </w:r>
      <w:hyperlink r:id="rId26" w:history="1">
        <w:r w:rsidR="00273AFA" w:rsidRPr="00673A8D">
          <w:rPr>
            <w:rStyle w:val="Hyperlink"/>
            <w:sz w:val="18"/>
          </w:rPr>
          <w:t>http://dx.doi.org/10.2801/414017</w:t>
        </w:r>
      </w:hyperlink>
      <w:r w:rsidR="00223653">
        <w:t>&gt;</w:t>
      </w:r>
      <w:r w:rsidR="00273AFA">
        <w:t>.</w:t>
      </w:r>
      <w:r w:rsidR="00273AFA" w:rsidRPr="00273AFA">
        <w:t xml:space="preserve"> </w:t>
      </w:r>
    </w:p>
    <w:p w:rsidR="00C51E97" w:rsidRPr="000C310B" w:rsidRDefault="00C51E97" w:rsidP="00252076">
      <w:pPr>
        <w:pStyle w:val="References"/>
      </w:pPr>
      <w:proofErr w:type="spellStart"/>
      <w:r w:rsidRPr="000C310B">
        <w:t>Doehringer</w:t>
      </w:r>
      <w:proofErr w:type="spellEnd"/>
      <w:r w:rsidRPr="000C310B">
        <w:t>, PB, Evans-</w:t>
      </w:r>
      <w:proofErr w:type="spellStart"/>
      <w:r w:rsidRPr="000C310B">
        <w:t>Klock</w:t>
      </w:r>
      <w:proofErr w:type="spellEnd"/>
      <w:r w:rsidRPr="000C310B">
        <w:t xml:space="preserve">, C, </w:t>
      </w:r>
      <w:proofErr w:type="spellStart"/>
      <w:r w:rsidRPr="000C310B">
        <w:t>Terkl</w:t>
      </w:r>
      <w:r w:rsidR="006B4CCB">
        <w:t>a</w:t>
      </w:r>
      <w:proofErr w:type="spellEnd"/>
      <w:r w:rsidR="006B4CCB">
        <w:t xml:space="preserve"> DG 2002, </w:t>
      </w:r>
      <w:r w:rsidR="006B4CCB" w:rsidRPr="006B4CCB">
        <w:rPr>
          <w:i/>
        </w:rPr>
        <w:t>Start-up factories: h</w:t>
      </w:r>
      <w:r w:rsidRPr="006B4CCB">
        <w:rPr>
          <w:i/>
        </w:rPr>
        <w:t>igh performance management, job quality, and regional advantage</w:t>
      </w:r>
      <w:r w:rsidRPr="000C310B">
        <w:t>, Oxford University Press and WE Upjohn Institute for Employment Research, New York.</w:t>
      </w:r>
    </w:p>
    <w:p w:rsidR="001D693B" w:rsidRPr="000C310B" w:rsidRDefault="00E429BA" w:rsidP="00252076">
      <w:pPr>
        <w:pStyle w:val="References"/>
      </w:pPr>
      <w:r w:rsidRPr="000C310B">
        <w:t xml:space="preserve">European </w:t>
      </w:r>
      <w:r w:rsidR="00223653">
        <w:t>Commission</w:t>
      </w:r>
      <w:r w:rsidRPr="000C310B">
        <w:t xml:space="preserve"> </w:t>
      </w:r>
      <w:r w:rsidR="009E3ACD">
        <w:t>2010, ‘</w:t>
      </w:r>
      <w:r w:rsidR="004C1DDD" w:rsidRPr="000C310B">
        <w:t xml:space="preserve">Europe </w:t>
      </w:r>
      <w:r w:rsidRPr="000C310B">
        <w:t>2020</w:t>
      </w:r>
      <w:r w:rsidR="009E3ACD">
        <w:t xml:space="preserve"> Strategy’, EU, viewed October 2017, &lt;</w:t>
      </w:r>
      <w:hyperlink r:id="rId27" w:history="1">
        <w:r w:rsidRPr="000C310B">
          <w:rPr>
            <w:rStyle w:val="Hyperlink"/>
            <w:sz w:val="18"/>
          </w:rPr>
          <w:t>https://ec.europa.eu/info/strategy/european-semester/framework/europe-2020-strategy_en</w:t>
        </w:r>
      </w:hyperlink>
      <w:r w:rsidR="009E3ACD">
        <w:t>&gt;</w:t>
      </w:r>
      <w:r w:rsidR="004B0979" w:rsidRPr="000C310B">
        <w:t>.</w:t>
      </w:r>
    </w:p>
    <w:p w:rsidR="000836A1" w:rsidRDefault="00DA34BE" w:rsidP="00252076">
      <w:pPr>
        <w:pStyle w:val="References"/>
      </w:pPr>
      <w:r w:rsidRPr="000C310B">
        <w:t xml:space="preserve">Fieger, P, </w:t>
      </w:r>
      <w:proofErr w:type="spellStart"/>
      <w:r w:rsidRPr="000C310B">
        <w:t>Karmel</w:t>
      </w:r>
      <w:proofErr w:type="spellEnd"/>
      <w:r w:rsidRPr="000C310B">
        <w:t xml:space="preserve">, T &amp; Stanwick, J 2010, </w:t>
      </w:r>
      <w:proofErr w:type="gramStart"/>
      <w:r w:rsidRPr="000836A1">
        <w:rPr>
          <w:i/>
        </w:rPr>
        <w:t>An</w:t>
      </w:r>
      <w:proofErr w:type="gramEnd"/>
      <w:r w:rsidRPr="000836A1">
        <w:rPr>
          <w:i/>
        </w:rPr>
        <w:t xml:space="preserve"> investigation of TAFE efficiency</w:t>
      </w:r>
      <w:r w:rsidRPr="000C310B">
        <w:t>, NCVER, Adelaide</w:t>
      </w:r>
      <w:r w:rsidR="000836A1">
        <w:t>.</w:t>
      </w:r>
    </w:p>
    <w:p w:rsidR="00C51E97" w:rsidRDefault="00C51E97" w:rsidP="00252076">
      <w:pPr>
        <w:pStyle w:val="References"/>
      </w:pPr>
      <w:r w:rsidRPr="000C310B">
        <w:t>Guest, D 2</w:t>
      </w:r>
      <w:r w:rsidR="009E3ACD">
        <w:t>006, ‘Smarter ways of working: t</w:t>
      </w:r>
      <w:r w:rsidRPr="000C310B">
        <w:t xml:space="preserve">he benefits of and barriers to adoption of high performance working’, SSDA </w:t>
      </w:r>
      <w:r w:rsidR="00955C55" w:rsidRPr="000C310B">
        <w:t xml:space="preserve">catalyst research paper, issue </w:t>
      </w:r>
      <w:r w:rsidRPr="000C310B">
        <w:t xml:space="preserve">no.3, Sector Skills Development Agency, </w:t>
      </w:r>
      <w:proofErr w:type="spellStart"/>
      <w:r w:rsidRPr="000C310B">
        <w:t>Wath</w:t>
      </w:r>
      <w:proofErr w:type="spellEnd"/>
      <w:r w:rsidRPr="000C310B">
        <w:t xml:space="preserve"> upon </w:t>
      </w:r>
      <w:proofErr w:type="spellStart"/>
      <w:r w:rsidRPr="000C310B">
        <w:t>Dearne</w:t>
      </w:r>
      <w:proofErr w:type="spellEnd"/>
      <w:r w:rsidR="00955C55">
        <w:t>, England</w:t>
      </w:r>
      <w:r w:rsidRPr="000C310B">
        <w:t xml:space="preserve">. </w:t>
      </w:r>
    </w:p>
    <w:p w:rsidR="00955C55" w:rsidRDefault="00955C55" w:rsidP="00252076">
      <w:pPr>
        <w:pStyle w:val="References"/>
      </w:pPr>
      <w:r w:rsidRPr="000C310B">
        <w:t xml:space="preserve">Lawler, E III, </w:t>
      </w:r>
      <w:proofErr w:type="spellStart"/>
      <w:r w:rsidRPr="000C310B">
        <w:t>Mohrman</w:t>
      </w:r>
      <w:proofErr w:type="spellEnd"/>
      <w:r w:rsidRPr="000C310B">
        <w:t xml:space="preserve">, SA &amp; Ledford, GE Jnr 1998, </w:t>
      </w:r>
      <w:r w:rsidRPr="009A00C9">
        <w:rPr>
          <w:i/>
        </w:rPr>
        <w:t>Strategies for high performance</w:t>
      </w:r>
      <w:r>
        <w:rPr>
          <w:i/>
        </w:rPr>
        <w:t xml:space="preserve"> organisations — the CEO report: e</w:t>
      </w:r>
      <w:r w:rsidRPr="009A00C9">
        <w:rPr>
          <w:i/>
        </w:rPr>
        <w:t>mployee involveme</w:t>
      </w:r>
      <w:r>
        <w:rPr>
          <w:i/>
        </w:rPr>
        <w:t>nt, TQM, and re-engineering in F</w:t>
      </w:r>
      <w:r w:rsidRPr="009A00C9">
        <w:rPr>
          <w:i/>
        </w:rPr>
        <w:t>ortune 1000 corporations</w:t>
      </w:r>
      <w:r w:rsidRPr="000C310B">
        <w:t xml:space="preserve">, </w:t>
      </w:r>
      <w:proofErr w:type="spellStart"/>
      <w:r w:rsidRPr="000C310B">
        <w:t>Jossey</w:t>
      </w:r>
      <w:proofErr w:type="spellEnd"/>
      <w:r w:rsidRPr="000C310B">
        <w:t xml:space="preserve"> Bass, San Francisco</w:t>
      </w:r>
      <w:r>
        <w:t>.</w:t>
      </w:r>
    </w:p>
    <w:p w:rsidR="009A00C9" w:rsidRDefault="004B0979" w:rsidP="00252076">
      <w:pPr>
        <w:pStyle w:val="References"/>
        <w:rPr>
          <w:rStyle w:val="volume"/>
        </w:rPr>
      </w:pPr>
      <w:r w:rsidRPr="000C310B">
        <w:t xml:space="preserve">Lopez, OS </w:t>
      </w:r>
      <w:r w:rsidR="002F7E94" w:rsidRPr="000C310B">
        <w:t>2014</w:t>
      </w:r>
      <w:r w:rsidRPr="000C310B">
        <w:t>,</w:t>
      </w:r>
      <w:r w:rsidR="002F7E94" w:rsidRPr="000C310B">
        <w:t xml:space="preserve"> </w:t>
      </w:r>
      <w:r w:rsidR="006B4CCB">
        <w:t>‘</w:t>
      </w:r>
      <w:hyperlink r:id="rId28" w:history="1">
        <w:r w:rsidRPr="000C310B">
          <w:t>Beyond Community College accountability: u</w:t>
        </w:r>
        <w:r w:rsidR="002F7E94" w:rsidRPr="000C310B">
          <w:t xml:space="preserve">sing </w:t>
        </w:r>
        <w:r w:rsidRPr="000C310B">
          <w:t>data to investigate b</w:t>
        </w:r>
        <w:r w:rsidR="002F7E94" w:rsidRPr="000C310B">
          <w:t xml:space="preserve">est </w:t>
        </w:r>
        <w:r w:rsidRPr="000C310B">
          <w:t>practices for i</w:t>
        </w:r>
        <w:r w:rsidR="002F7E94" w:rsidRPr="000C310B">
          <w:t xml:space="preserve">nstitutional </w:t>
        </w:r>
        <w:r w:rsidRPr="000C310B">
          <w:t>i</w:t>
        </w:r>
        <w:r w:rsidR="002F7E94" w:rsidRPr="000C310B">
          <w:t>mprovement</w:t>
        </w:r>
      </w:hyperlink>
      <w:r w:rsidR="006B4CCB">
        <w:t>’</w:t>
      </w:r>
      <w:r w:rsidRPr="000C310B">
        <w:t>,</w:t>
      </w:r>
      <w:r w:rsidR="002F7E94" w:rsidRPr="00955C55">
        <w:rPr>
          <w:i/>
        </w:rPr>
        <w:t xml:space="preserve"> </w:t>
      </w:r>
      <w:hyperlink r:id="rId29" w:history="1">
        <w:r w:rsidR="002F7E94" w:rsidRPr="00955C55">
          <w:rPr>
            <w:rStyle w:val="journalname"/>
            <w:i/>
          </w:rPr>
          <w:t>Community College Journal of Research and Practice</w:t>
        </w:r>
        <w:r w:rsidR="009A00C9" w:rsidRPr="00955C55">
          <w:rPr>
            <w:rStyle w:val="journalname"/>
            <w:i/>
          </w:rPr>
          <w:t>,</w:t>
        </w:r>
        <w:r w:rsidR="002F7E94" w:rsidRPr="00955C55">
          <w:rPr>
            <w:i/>
          </w:rPr>
          <w:t xml:space="preserve"> </w:t>
        </w:r>
      </w:hyperlink>
      <w:r w:rsidR="0021360D" w:rsidRPr="000C310B">
        <w:t>v</w:t>
      </w:r>
      <w:r w:rsidR="00955C55">
        <w:rPr>
          <w:rStyle w:val="volume"/>
        </w:rPr>
        <w:t>ol.</w:t>
      </w:r>
      <w:r w:rsidR="002F7E94" w:rsidRPr="000C310B">
        <w:rPr>
          <w:rStyle w:val="volume"/>
        </w:rPr>
        <w:t>38</w:t>
      </w:r>
      <w:r w:rsidRPr="000C310B">
        <w:rPr>
          <w:rStyle w:val="volume"/>
        </w:rPr>
        <w:t xml:space="preserve">, </w:t>
      </w:r>
      <w:r w:rsidR="0021360D" w:rsidRPr="000C310B">
        <w:rPr>
          <w:rStyle w:val="volume"/>
        </w:rPr>
        <w:t>i</w:t>
      </w:r>
      <w:r w:rsidR="00955C55">
        <w:rPr>
          <w:rStyle w:val="volume"/>
        </w:rPr>
        <w:t>ssue 1</w:t>
      </w:r>
      <w:r w:rsidRPr="000C310B">
        <w:rPr>
          <w:rStyle w:val="volume"/>
        </w:rPr>
        <w:t>.</w:t>
      </w:r>
    </w:p>
    <w:p w:rsidR="00C51E97" w:rsidRPr="000C310B" w:rsidRDefault="00C51E97" w:rsidP="00252076">
      <w:pPr>
        <w:pStyle w:val="References"/>
        <w:rPr>
          <w:rStyle w:val="volume"/>
        </w:rPr>
      </w:pPr>
      <w:proofErr w:type="spellStart"/>
      <w:r w:rsidRPr="000C310B">
        <w:t>Mavromaros</w:t>
      </w:r>
      <w:proofErr w:type="spellEnd"/>
      <w:r w:rsidRPr="000C310B">
        <w:t xml:space="preserve">, K, McGuinness, S &amp; </w:t>
      </w:r>
      <w:proofErr w:type="spellStart"/>
      <w:r w:rsidRPr="000C310B">
        <w:t>Fok</w:t>
      </w:r>
      <w:proofErr w:type="spellEnd"/>
      <w:r w:rsidRPr="000C310B">
        <w:t xml:space="preserve">, YK 2009, </w:t>
      </w:r>
      <w:r w:rsidRPr="009A00C9">
        <w:rPr>
          <w:i/>
        </w:rPr>
        <w:t xml:space="preserve">The incidence and wage effects of </w:t>
      </w:r>
      <w:proofErr w:type="spellStart"/>
      <w:r w:rsidRPr="009A00C9">
        <w:rPr>
          <w:i/>
        </w:rPr>
        <w:t>overskilling</w:t>
      </w:r>
      <w:proofErr w:type="spellEnd"/>
      <w:r w:rsidRPr="009A00C9">
        <w:rPr>
          <w:i/>
        </w:rPr>
        <w:t xml:space="preserve"> among employed VET graduates</w:t>
      </w:r>
      <w:r w:rsidR="00955C55">
        <w:t>, Monograph s</w:t>
      </w:r>
      <w:r w:rsidRPr="000C310B">
        <w:t>eries, 03/2009, NCVER, Adelaide.</w:t>
      </w:r>
    </w:p>
    <w:p w:rsidR="002F7E94" w:rsidRPr="000C310B" w:rsidRDefault="002F7E94" w:rsidP="00252076">
      <w:pPr>
        <w:pStyle w:val="References"/>
      </w:pPr>
      <w:r w:rsidRPr="000C310B">
        <w:t>Misko J, &amp; Halliday-</w:t>
      </w:r>
      <w:proofErr w:type="spellStart"/>
      <w:r w:rsidRPr="000C310B">
        <w:t>Wynes</w:t>
      </w:r>
      <w:proofErr w:type="spellEnd"/>
      <w:r w:rsidR="004B0979" w:rsidRPr="000C310B">
        <w:t xml:space="preserve"> S 2009, </w:t>
      </w:r>
      <w:proofErr w:type="gramStart"/>
      <w:r w:rsidR="004B0979" w:rsidRPr="00BE171E">
        <w:rPr>
          <w:i/>
        </w:rPr>
        <w:t>Tracking</w:t>
      </w:r>
      <w:proofErr w:type="gramEnd"/>
      <w:r w:rsidR="004B0979" w:rsidRPr="00BE171E">
        <w:rPr>
          <w:i/>
        </w:rPr>
        <w:t xml:space="preserve"> our success: h</w:t>
      </w:r>
      <w:r w:rsidRPr="00BE171E">
        <w:rPr>
          <w:i/>
        </w:rPr>
        <w:t>ow TAFEs measure their effectiveness and efficiency</w:t>
      </w:r>
      <w:r w:rsidRPr="000C310B">
        <w:t>, NCVER, Adelaide</w:t>
      </w:r>
      <w:r w:rsidR="002F3083" w:rsidRPr="000C310B">
        <w:t>.</w:t>
      </w:r>
    </w:p>
    <w:p w:rsidR="002B0204" w:rsidRDefault="000C310B" w:rsidP="00252076">
      <w:pPr>
        <w:pStyle w:val="References"/>
        <w:rPr>
          <w:rStyle w:val="Hyperlink"/>
          <w:sz w:val="18"/>
        </w:rPr>
      </w:pPr>
      <w:r w:rsidRPr="000C310B">
        <w:t>New South Wales</w:t>
      </w:r>
      <w:r w:rsidR="00BE171E">
        <w:t xml:space="preserve"> Institute of Sport 2016</w:t>
      </w:r>
      <w:r w:rsidRPr="000C310B">
        <w:t xml:space="preserve">, </w:t>
      </w:r>
      <w:r w:rsidR="00955C55">
        <w:rPr>
          <w:i/>
        </w:rPr>
        <w:t>High Performance Framework 2017—</w:t>
      </w:r>
      <w:r w:rsidRPr="00BE171E">
        <w:rPr>
          <w:i/>
        </w:rPr>
        <w:t>2020</w:t>
      </w:r>
      <w:r w:rsidR="00BE171E">
        <w:t>, &lt;viewed September 2017</w:t>
      </w:r>
      <w:r w:rsidRPr="000C310B">
        <w:t xml:space="preserve">, </w:t>
      </w:r>
      <w:r w:rsidR="00955C55">
        <w:t>&lt;</w:t>
      </w:r>
      <w:hyperlink r:id="rId30" w:history="1">
        <w:r w:rsidRPr="000C310B">
          <w:rPr>
            <w:rStyle w:val="Hyperlink"/>
            <w:sz w:val="18"/>
          </w:rPr>
          <w:t>https://www.nswis.com.au/wp-content/uploads/2016/08/17-20-HP-framework-2017-V04.pdf</w:t>
        </w:r>
      </w:hyperlink>
      <w:r w:rsidR="00955C55">
        <w:t>&gt;.</w:t>
      </w:r>
    </w:p>
    <w:p w:rsidR="00285545" w:rsidRDefault="00285545" w:rsidP="00252076">
      <w:pPr>
        <w:pStyle w:val="References"/>
      </w:pPr>
      <w:proofErr w:type="gramStart"/>
      <w:r>
        <w:t xml:space="preserve">New Zealand Qualifications Authority 2014, </w:t>
      </w:r>
      <w:r w:rsidRPr="006B4CCB">
        <w:rPr>
          <w:i/>
        </w:rPr>
        <w:t>Tertiary Ed</w:t>
      </w:r>
      <w:r w:rsidR="00955C55">
        <w:rPr>
          <w:i/>
        </w:rPr>
        <w:t>ucation Strategy 2014—</w:t>
      </w:r>
      <w:r w:rsidRPr="006B4CCB">
        <w:rPr>
          <w:i/>
        </w:rPr>
        <w:t>2019</w:t>
      </w:r>
      <w:r>
        <w:t xml:space="preserve">, </w:t>
      </w:r>
      <w:r w:rsidR="00955C55">
        <w:t xml:space="preserve">Wellington, </w:t>
      </w:r>
      <w:r>
        <w:t xml:space="preserve">viewed September 2017, </w:t>
      </w:r>
      <w:r w:rsidR="00955C55">
        <w:t>&lt;</w:t>
      </w:r>
      <w:hyperlink r:id="rId31" w:history="1">
        <w:r w:rsidRPr="00403F21">
          <w:rPr>
            <w:rStyle w:val="Hyperlink"/>
            <w:sz w:val="18"/>
          </w:rPr>
          <w:t>https://education.govt.nz/assets/Documents/Further-education/Tertiary-Education-Strategy.pdf</w:t>
        </w:r>
      </w:hyperlink>
      <w:r w:rsidR="00955C55">
        <w:t>&gt;.</w:t>
      </w:r>
      <w:proofErr w:type="gramEnd"/>
    </w:p>
    <w:p w:rsidR="00165FA4" w:rsidRDefault="00165FA4" w:rsidP="00252076">
      <w:pPr>
        <w:pStyle w:val="References"/>
      </w:pPr>
      <w:r>
        <w:t>New Zealan</w:t>
      </w:r>
      <w:r w:rsidR="00BE171E">
        <w:t>d Tertiary Education Commission</w:t>
      </w:r>
      <w:r>
        <w:t xml:space="preserve"> 2016, </w:t>
      </w:r>
      <w:r w:rsidR="00955C55">
        <w:t>‘</w:t>
      </w:r>
      <w:r>
        <w:t>Performance-l</w:t>
      </w:r>
      <w:r w:rsidR="00BE171E">
        <w:t>inked funding</w:t>
      </w:r>
      <w:r w:rsidR="00955C55">
        <w:t>’</w:t>
      </w:r>
      <w:r w:rsidR="00BE171E">
        <w:t xml:space="preserve">, </w:t>
      </w:r>
      <w:r w:rsidR="00955C55">
        <w:t xml:space="preserve">Wellington, </w:t>
      </w:r>
      <w:r w:rsidR="00BE171E">
        <w:t>viewed September</w:t>
      </w:r>
      <w:r>
        <w:t xml:space="preserve"> 2017, &lt;</w:t>
      </w:r>
      <w:hyperlink r:id="rId32" w:history="1">
        <w:r w:rsidRPr="00C6081C">
          <w:rPr>
            <w:rStyle w:val="Hyperlink"/>
            <w:sz w:val="18"/>
          </w:rPr>
          <w:t>http://www.tec.govt.nz/funding/funding-and-performance/funding/performance-linked/</w:t>
        </w:r>
      </w:hyperlink>
      <w:r>
        <w:t>&gt;</w:t>
      </w:r>
      <w:r w:rsidR="00955C55">
        <w:t>.</w:t>
      </w:r>
    </w:p>
    <w:p w:rsidR="004D0C55" w:rsidRDefault="004D0C55" w:rsidP="004D0C55">
      <w:pPr>
        <w:pStyle w:val="References"/>
      </w:pPr>
      <w:r>
        <w:t>New Zealand Tertiary Education Commission, 2016, Performance consequences framework, viewed October 2017, &lt;</w:t>
      </w:r>
      <w:r w:rsidRPr="00A62628">
        <w:t>http://www.tec.govt.nz/funding/funding-and-performance/monitoring-tertiary-education-sector/performance-consequences-framework/</w:t>
      </w:r>
      <w:r>
        <w:t>&gt;</w:t>
      </w:r>
    </w:p>
    <w:p w:rsidR="00955C55" w:rsidRDefault="001F7423" w:rsidP="00252076">
      <w:pPr>
        <w:pStyle w:val="References"/>
      </w:pPr>
      <w:proofErr w:type="gramStart"/>
      <w:r w:rsidRPr="001F7423">
        <w:t xml:space="preserve">Ofsted </w:t>
      </w:r>
      <w:r w:rsidR="00955C55">
        <w:t xml:space="preserve">2012, </w:t>
      </w:r>
      <w:r w:rsidR="00955C55" w:rsidRPr="00AB4A74">
        <w:rPr>
          <w:i/>
        </w:rPr>
        <w:t>Handbook for the inspection of further education and skills</w:t>
      </w:r>
      <w:r w:rsidR="00955C55">
        <w:t xml:space="preserve">, viewed January 2015, </w:t>
      </w:r>
      <w:r w:rsidR="00955C55" w:rsidRPr="008B5FFE">
        <w:t>&lt;</w:t>
      </w:r>
      <w:hyperlink r:id="rId33" w:history="1">
        <w:r w:rsidR="00955C55" w:rsidRPr="008B5FFE">
          <w:t>https://www.gov.uk/government/uploads/system/uploads/attachment_data/file/393485/Handbook_for_the_inspection_of_further_education_and_skills.pdf</w:t>
        </w:r>
      </w:hyperlink>
      <w:r w:rsidR="00955C55" w:rsidRPr="008B5FFE">
        <w:t>&gt;.</w:t>
      </w:r>
      <w:proofErr w:type="gramEnd"/>
    </w:p>
    <w:p w:rsidR="001F7423" w:rsidRDefault="00955C55" w:rsidP="00252076">
      <w:pPr>
        <w:pStyle w:val="References"/>
      </w:pPr>
      <w:r>
        <w:t>——</w:t>
      </w:r>
      <w:r w:rsidR="001F7423" w:rsidRPr="001F7423">
        <w:t>2014</w:t>
      </w:r>
      <w:r w:rsidR="001C6DFB">
        <w:t>a</w:t>
      </w:r>
      <w:r w:rsidR="001F7423" w:rsidRPr="001F7423">
        <w:t xml:space="preserve">, </w:t>
      </w:r>
      <w:r w:rsidR="001F7423" w:rsidRPr="00955C55">
        <w:rPr>
          <w:i/>
        </w:rPr>
        <w:t>Teaching, learning and assessment i</w:t>
      </w:r>
      <w:r w:rsidR="001C6DFB" w:rsidRPr="00955C55">
        <w:rPr>
          <w:i/>
        </w:rPr>
        <w:t>n further education and skills —</w:t>
      </w:r>
      <w:r w:rsidR="001F7423" w:rsidRPr="00955C55">
        <w:rPr>
          <w:i/>
        </w:rPr>
        <w:t xml:space="preserve"> what works and why</w:t>
      </w:r>
      <w:r w:rsidR="001F7423" w:rsidRPr="001F7423">
        <w:t xml:space="preserve">, viewed September 2017, </w:t>
      </w:r>
      <w:r>
        <w:t>&lt;</w:t>
      </w:r>
      <w:hyperlink r:id="rId34" w:history="1">
        <w:r w:rsidR="00C0089C" w:rsidRPr="00CA63C3">
          <w:rPr>
            <w:rStyle w:val="Hyperlink"/>
            <w:sz w:val="18"/>
          </w:rPr>
          <w:t>https://www.gov.uk/government/uploads/system/uploads/attachment_data/file/379156/Teaching_2C_20learning_20and_20assessment_20in_20further_20education_20and_20skills_20_E2_80_93_20what_20works_20and_20why.pdf</w:t>
        </w:r>
      </w:hyperlink>
      <w:r>
        <w:t>&gt;.</w:t>
      </w:r>
    </w:p>
    <w:p w:rsidR="00AC1468" w:rsidRDefault="00AC1468" w:rsidP="00252076">
      <w:pPr>
        <w:pStyle w:val="References"/>
      </w:pPr>
      <w:r>
        <w:t xml:space="preserve">——2014b, New way of inspecting good and outstanding schools, </w:t>
      </w:r>
      <w:hyperlink r:id="rId35" w:history="1">
        <w:r w:rsidRPr="00082AFD">
          <w:rPr>
            <w:rStyle w:val="Hyperlink"/>
            <w:sz w:val="18"/>
          </w:rPr>
          <w:t>https://www.gov.uk/government/news/new-way-of-inspecting-good-and-outstanding-schools-proposed</w:t>
        </w:r>
      </w:hyperlink>
      <w:r>
        <w:t>, viewed January 2015</w:t>
      </w:r>
    </w:p>
    <w:p w:rsidR="00111103" w:rsidRPr="000C310B" w:rsidRDefault="00111103" w:rsidP="00111103">
      <w:pPr>
        <w:pStyle w:val="References"/>
      </w:pPr>
      <w:proofErr w:type="spellStart"/>
      <w:r>
        <w:t>Solga</w:t>
      </w:r>
      <w:proofErr w:type="spellEnd"/>
      <w:r w:rsidR="00955C55">
        <w:t>,</w:t>
      </w:r>
      <w:r>
        <w:t xml:space="preserve"> H, </w:t>
      </w:r>
      <w:proofErr w:type="spellStart"/>
      <w:r w:rsidRPr="000C310B">
        <w:t>Protsch</w:t>
      </w:r>
      <w:proofErr w:type="spellEnd"/>
      <w:r w:rsidR="00955C55">
        <w:t>,</w:t>
      </w:r>
      <w:r>
        <w:t xml:space="preserve"> P, </w:t>
      </w:r>
      <w:proofErr w:type="spellStart"/>
      <w:r>
        <w:t>Ebner</w:t>
      </w:r>
      <w:proofErr w:type="spellEnd"/>
      <w:r w:rsidR="00955C55">
        <w:t>,</w:t>
      </w:r>
      <w:r>
        <w:t xml:space="preserve"> C &amp; </w:t>
      </w:r>
      <w:proofErr w:type="spellStart"/>
      <w:r w:rsidRPr="000C310B">
        <w:t>Brzinsky</w:t>
      </w:r>
      <w:proofErr w:type="spellEnd"/>
      <w:r w:rsidRPr="000C310B">
        <w:t>-Fay</w:t>
      </w:r>
      <w:r w:rsidR="00955C55">
        <w:t>,</w:t>
      </w:r>
      <w:r>
        <w:t xml:space="preserve"> C 2014, </w:t>
      </w:r>
      <w:r w:rsidRPr="00111103">
        <w:rPr>
          <w:i/>
        </w:rPr>
        <w:t>The German vocational education and training system: its institutional configuration, strengths, and challenges</w:t>
      </w:r>
      <w:r w:rsidRPr="000C310B">
        <w:t xml:space="preserve">, </w:t>
      </w:r>
      <w:r w:rsidR="00955C55">
        <w:t xml:space="preserve">Berlin, </w:t>
      </w:r>
      <w:r w:rsidRPr="000C310B">
        <w:t>viewed August 2017,</w:t>
      </w:r>
      <w:r>
        <w:t xml:space="preserve"> </w:t>
      </w:r>
      <w:r w:rsidRPr="000C310B">
        <w:t>&lt;</w:t>
      </w:r>
      <w:hyperlink r:id="rId36" w:history="1">
        <w:r w:rsidRPr="00CA63C3">
          <w:rPr>
            <w:rStyle w:val="Hyperlink"/>
            <w:sz w:val="18"/>
          </w:rPr>
          <w:t>https://bibliothek.wzb.eu/pdf/2014/i14-502.pdf</w:t>
        </w:r>
      </w:hyperlink>
      <w:r w:rsidRPr="000C310B">
        <w:t>&gt;</w:t>
      </w:r>
      <w:r w:rsidR="00955C55">
        <w:t>.</w:t>
      </w:r>
      <w:r w:rsidRPr="000C310B">
        <w:t xml:space="preserve"> </w:t>
      </w:r>
    </w:p>
    <w:p w:rsidR="00165FA4" w:rsidRDefault="000C310B" w:rsidP="00252076">
      <w:pPr>
        <w:pStyle w:val="References"/>
      </w:pPr>
      <w:proofErr w:type="gramStart"/>
      <w:r w:rsidRPr="000C310B">
        <w:lastRenderedPageBreak/>
        <w:t>South Australia</w:t>
      </w:r>
      <w:r w:rsidR="00955C55">
        <w:t>n</w:t>
      </w:r>
      <w:r w:rsidR="009B3BC6">
        <w:t xml:space="preserve"> Government</w:t>
      </w:r>
      <w:r w:rsidRPr="000C310B">
        <w:t xml:space="preserve"> 2012, </w:t>
      </w:r>
      <w:r w:rsidRPr="006B4CCB">
        <w:rPr>
          <w:i/>
        </w:rPr>
        <w:t>Overview of the High Performa</w:t>
      </w:r>
      <w:r w:rsidR="00111103" w:rsidRPr="006B4CCB">
        <w:rPr>
          <w:i/>
        </w:rPr>
        <w:t>nce Framework</w:t>
      </w:r>
      <w:r w:rsidR="00111103">
        <w:t>, viewed September</w:t>
      </w:r>
      <w:r w:rsidRPr="000C310B">
        <w:t xml:space="preserve"> 2017, &lt;</w:t>
      </w:r>
      <w:hyperlink r:id="rId37" w:history="1">
        <w:r w:rsidRPr="000C310B">
          <w:rPr>
            <w:rStyle w:val="Hyperlink"/>
          </w:rPr>
          <w:t>http://hpf.sa.gov.au/overview/why-do-we-need-the-hpf/index.html</w:t>
        </w:r>
      </w:hyperlink>
      <w:r w:rsidRPr="000C310B">
        <w:t>&gt;</w:t>
      </w:r>
      <w:r w:rsidR="00955C55">
        <w:t>.</w:t>
      </w:r>
      <w:proofErr w:type="gramEnd"/>
    </w:p>
    <w:p w:rsidR="00165FA4" w:rsidRDefault="00C51E97" w:rsidP="00252076">
      <w:pPr>
        <w:pStyle w:val="References"/>
      </w:pPr>
      <w:proofErr w:type="spellStart"/>
      <w:r w:rsidRPr="000C310B">
        <w:t>Sparham</w:t>
      </w:r>
      <w:proofErr w:type="spellEnd"/>
      <w:r w:rsidRPr="000C310B">
        <w:t xml:space="preserve">, E &amp; Sung, J 2009, </w:t>
      </w:r>
      <w:r w:rsidRPr="006B4CCB">
        <w:rPr>
          <w:i/>
        </w:rPr>
        <w:t>‘Hi</w:t>
      </w:r>
      <w:r w:rsidR="006B4CCB" w:rsidRPr="006B4CCB">
        <w:rPr>
          <w:i/>
        </w:rPr>
        <w:t>gh performance work practices: w</w:t>
      </w:r>
      <w:r w:rsidRPr="006B4CCB">
        <w:rPr>
          <w:i/>
        </w:rPr>
        <w:t>ork intensification or “win” and win’</w:t>
      </w:r>
      <w:r w:rsidR="009B3BC6">
        <w:t>, Working p</w:t>
      </w:r>
      <w:r w:rsidRPr="000C310B">
        <w:t xml:space="preserve">aper no.50, Centre for Labour Market Studies, University of Leicester, </w:t>
      </w:r>
      <w:proofErr w:type="gramStart"/>
      <w:r w:rsidRPr="000C310B">
        <w:t>Leicester</w:t>
      </w:r>
      <w:proofErr w:type="gramEnd"/>
      <w:r w:rsidRPr="000C310B">
        <w:t>.</w:t>
      </w:r>
    </w:p>
    <w:p w:rsidR="001E2F6F" w:rsidRDefault="00C51E97" w:rsidP="005A11A0">
      <w:pPr>
        <w:pStyle w:val="References"/>
        <w:spacing w:before="120"/>
      </w:pPr>
      <w:r w:rsidRPr="000C310B">
        <w:t xml:space="preserve">SQW Consulting 2010, ‘Best strategies in skills utilisation’, </w:t>
      </w:r>
      <w:r w:rsidR="00955C55">
        <w:t xml:space="preserve">Skills Development Scotland, viewed October 2017, </w:t>
      </w:r>
      <w:hyperlink r:id="rId38" w:history="1">
        <w:r w:rsidR="001E2F6F" w:rsidRPr="00404D53">
          <w:rPr>
            <w:rStyle w:val="Hyperlink"/>
            <w:sz w:val="18"/>
          </w:rPr>
          <w:t>http://www.scottish-enterprise.com/~/media/SE/Resources/Documents/ABC/Best-strategies-In-skills-utilisation-full.ashx</w:t>
        </w:r>
      </w:hyperlink>
      <w:r w:rsidR="001E2F6F">
        <w:t>&gt;.</w:t>
      </w:r>
    </w:p>
    <w:p w:rsidR="00165FA4" w:rsidRDefault="00DB3ACD" w:rsidP="00252076">
      <w:pPr>
        <w:pStyle w:val="References"/>
      </w:pPr>
      <w:r w:rsidRPr="000C310B">
        <w:t>Standing Council on Tertiary Education, Skills and Employment (SCOTESE)</w:t>
      </w:r>
      <w:r w:rsidR="001E2F6F">
        <w:t>,</w:t>
      </w:r>
      <w:r w:rsidRPr="000C310B">
        <w:t xml:space="preserve"> Data and Performance </w:t>
      </w:r>
      <w:r w:rsidR="001E2F6F">
        <w:t>Measurement Principal Committee</w:t>
      </w:r>
      <w:r w:rsidRPr="000C310B">
        <w:t xml:space="preserve"> 2014, </w:t>
      </w:r>
      <w:r w:rsidR="001E2F6F">
        <w:t>‘</w:t>
      </w:r>
      <w:r w:rsidRPr="000C310B">
        <w:t>Out of Session Meeting 28th</w:t>
      </w:r>
      <w:r w:rsidR="00AC5A46" w:rsidRPr="000C310B">
        <w:t xml:space="preserve"> January 2014, </w:t>
      </w:r>
      <w:r w:rsidRPr="000C310B">
        <w:t>Paper 14</w:t>
      </w:r>
      <w:r w:rsidR="00AC5A46" w:rsidRPr="000C310B">
        <w:t xml:space="preserve"> (</w:t>
      </w:r>
      <w:r w:rsidRPr="000C310B">
        <w:t>including Attachment A</w:t>
      </w:r>
      <w:r w:rsidR="003A0334" w:rsidRPr="000C310B">
        <w:t xml:space="preserve"> comprising</w:t>
      </w:r>
      <w:r w:rsidRPr="000C310B">
        <w:t xml:space="preserve">: Report of Victoria’s desktop evaluation of RTO </w:t>
      </w:r>
      <w:r w:rsidR="009B3BC6" w:rsidRPr="000C310B">
        <w:t xml:space="preserve">performance indicators and measures </w:t>
      </w:r>
      <w:r w:rsidR="003A0334" w:rsidRPr="000C310B">
        <w:t xml:space="preserve">and </w:t>
      </w:r>
      <w:r w:rsidRPr="000C310B">
        <w:t xml:space="preserve">Report of Western Australia’s desktop evaluation of a trial set of RTO </w:t>
      </w:r>
      <w:r w:rsidR="009B3BC6" w:rsidRPr="000C310B">
        <w:t xml:space="preserve">quality </w:t>
      </w:r>
      <w:r w:rsidR="009B3BC6">
        <w:t xml:space="preserve">performance indicators </w:t>
      </w:r>
      <w:r w:rsidR="001E2F6F">
        <w:t>—</w:t>
      </w:r>
      <w:r w:rsidRPr="000C310B">
        <w:t xml:space="preserve"> December 2013</w:t>
      </w:r>
      <w:r w:rsidR="00AC5A46" w:rsidRPr="000C310B">
        <w:t>)</w:t>
      </w:r>
      <w:r w:rsidR="001E2F6F">
        <w:t>’, Canberra</w:t>
      </w:r>
      <w:r w:rsidR="00111103">
        <w:t>.</w:t>
      </w:r>
    </w:p>
    <w:p w:rsidR="00C51E97" w:rsidRDefault="00C51E97" w:rsidP="00252076">
      <w:pPr>
        <w:pStyle w:val="References"/>
      </w:pPr>
      <w:proofErr w:type="spellStart"/>
      <w:r w:rsidRPr="000C310B">
        <w:t>Stirpe</w:t>
      </w:r>
      <w:proofErr w:type="spellEnd"/>
      <w:r w:rsidRPr="000C310B">
        <w:t xml:space="preserve">, L, </w:t>
      </w:r>
      <w:proofErr w:type="spellStart"/>
      <w:r w:rsidRPr="000C310B">
        <w:t>Zarraga</w:t>
      </w:r>
      <w:proofErr w:type="spellEnd"/>
      <w:r w:rsidRPr="000C310B">
        <w:t xml:space="preserve"> &amp; Rigby, M 2009, ‘High performance work systems and company performance in mall firms’, paper presented at the London South Bank University Collaborative Partners Conference, Faculty of Business, Computing and Information Management, London So</w:t>
      </w:r>
      <w:r w:rsidR="001E2F6F">
        <w:t>uth Bank University</w:t>
      </w:r>
      <w:r w:rsidR="005A11A0">
        <w:t xml:space="preserve">, 2—3 February 2009, viewed </w:t>
      </w:r>
      <w:r w:rsidR="001E2F6F">
        <w:t>October 2017,</w:t>
      </w:r>
      <w:r w:rsidRPr="000C310B">
        <w:t xml:space="preserve"> </w:t>
      </w:r>
      <w:r w:rsidR="001E2F6F">
        <w:t>&lt;</w:t>
      </w:r>
      <w:hyperlink r:id="rId39" w:history="1">
        <w:r w:rsidRPr="000C310B">
          <w:t>http://bus.lsbu.ac.uk/resources/Main/files/collaborative-partners-conference-2009/Rigby.doc</w:t>
        </w:r>
      </w:hyperlink>
      <w:r w:rsidR="001E2F6F">
        <w:t>&gt;.</w:t>
      </w:r>
    </w:p>
    <w:p w:rsidR="00C51E97" w:rsidRDefault="00C51E97" w:rsidP="00252076">
      <w:pPr>
        <w:pStyle w:val="References"/>
      </w:pPr>
      <w:proofErr w:type="gramStart"/>
      <w:r w:rsidRPr="000C310B">
        <w:t xml:space="preserve">Sung, J &amp; Ashton, D 2005, </w:t>
      </w:r>
      <w:r w:rsidRPr="006B4CCB">
        <w:rPr>
          <w:i/>
        </w:rPr>
        <w:t>Hi</w:t>
      </w:r>
      <w:r w:rsidR="001E2F6F">
        <w:rPr>
          <w:i/>
        </w:rPr>
        <w:t>gh performance work practices: l</w:t>
      </w:r>
      <w:r w:rsidRPr="006B4CCB">
        <w:rPr>
          <w:i/>
        </w:rPr>
        <w:t>inking strategy and skills to performance outcomes</w:t>
      </w:r>
      <w:r w:rsidRPr="000C310B">
        <w:t>, Department of Trade and Industry and Chartered Institute of Personnel and Development (CIPD), United Kingdom.</w:t>
      </w:r>
      <w:proofErr w:type="gramEnd"/>
    </w:p>
    <w:p w:rsidR="009E3ACD" w:rsidRDefault="009E3ACD" w:rsidP="009E3ACD">
      <w:pPr>
        <w:pStyle w:val="References"/>
      </w:pPr>
      <w:proofErr w:type="gramStart"/>
      <w:r>
        <w:t xml:space="preserve">United Kingdom </w:t>
      </w:r>
      <w:r w:rsidRPr="000836A1">
        <w:t xml:space="preserve">Department for Business, Innovation </w:t>
      </w:r>
      <w:r>
        <w:t>&amp;</w:t>
      </w:r>
      <w:r w:rsidRPr="000836A1">
        <w:t xml:space="preserve"> Skills &amp; Department for Education</w:t>
      </w:r>
      <w:r>
        <w:t xml:space="preserve"> </w:t>
      </w:r>
      <w:r w:rsidRPr="000836A1">
        <w:t xml:space="preserve">2016, </w:t>
      </w:r>
      <w:r w:rsidRPr="000836A1">
        <w:rPr>
          <w:i/>
        </w:rPr>
        <w:t>Post-16 Skills Plan</w:t>
      </w:r>
      <w:r w:rsidRPr="000836A1">
        <w:t>, Stationery Office, London, viewed Oct</w:t>
      </w:r>
      <w:r>
        <w:t>ober</w:t>
      </w:r>
      <w:r w:rsidRPr="000836A1">
        <w:t xml:space="preserve"> 2017, &lt;https://www.gov.uk/government/publications/post-16-skills-plan-and-independent-report-on-technical-education&gt;.</w:t>
      </w:r>
      <w:proofErr w:type="gramEnd"/>
    </w:p>
    <w:p w:rsidR="00955C55" w:rsidRDefault="00955C55" w:rsidP="009E3ACD">
      <w:pPr>
        <w:pStyle w:val="References"/>
      </w:pPr>
      <w:r>
        <w:t xml:space="preserve">United Kingdom Her Majesty’s Government 2015, </w:t>
      </w:r>
      <w:proofErr w:type="gramStart"/>
      <w:r w:rsidRPr="009A00C9">
        <w:rPr>
          <w:i/>
        </w:rPr>
        <w:t>Reviewing</w:t>
      </w:r>
      <w:proofErr w:type="gramEnd"/>
      <w:r w:rsidRPr="009A00C9">
        <w:rPr>
          <w:i/>
        </w:rPr>
        <w:t xml:space="preserve"> post-16 education and training institutions</w:t>
      </w:r>
      <w:r w:rsidR="005A11A0">
        <w:t xml:space="preserve">, viewed </w:t>
      </w:r>
      <w:r>
        <w:t>October 2017, &lt;</w:t>
      </w:r>
      <w:hyperlink r:id="rId40" w:history="1">
        <w:r w:rsidRPr="001F7423">
          <w:rPr>
            <w:rStyle w:val="Hyperlink"/>
          </w:rPr>
          <w:t>https://www.gov.uk/government/uploads/system/uploads/attachment_data/file/446516/BIS-15-433-reviewing-post-16-education-policy.pdf</w:t>
        </w:r>
      </w:hyperlink>
      <w:r>
        <w:t>&gt;.</w:t>
      </w:r>
    </w:p>
    <w:p w:rsidR="000B05EC" w:rsidRDefault="009B3BC6" w:rsidP="009B3BC6">
      <w:pPr>
        <w:pStyle w:val="References"/>
        <w:rPr>
          <w:rStyle w:val="Hyperlink"/>
        </w:rPr>
      </w:pPr>
      <w:r w:rsidRPr="000C310B">
        <w:t>Victoria University Centre for International R</w:t>
      </w:r>
      <w:r>
        <w:t xml:space="preserve">esearch into Education Systems </w:t>
      </w:r>
      <w:r w:rsidRPr="000C310B">
        <w:t xml:space="preserve">2015, </w:t>
      </w:r>
      <w:r w:rsidRPr="006B4CCB">
        <w:rPr>
          <w:i/>
        </w:rPr>
        <w:t>RTO Performance Indicators Project: extract of final evaluation report</w:t>
      </w:r>
      <w:r w:rsidRPr="000C310B">
        <w:t>, prepared for Higher Education and Skills Group, Victorian Department of Educat</w:t>
      </w:r>
      <w:r>
        <w:t>ion and Training, viewed August</w:t>
      </w:r>
      <w:r w:rsidRPr="000C310B">
        <w:t xml:space="preserve"> 2017, &lt;</w:t>
      </w:r>
      <w:hyperlink r:id="rId41" w:history="1">
        <w:r w:rsidRPr="000C310B">
          <w:rPr>
            <w:rStyle w:val="Hyperlink"/>
          </w:rPr>
          <w:t>http://www.education.vic.gov.au/Documents/training/providers/rto/RTOPITrialCIRESEvalSum.pdf</w:t>
        </w:r>
      </w:hyperlink>
      <w:r w:rsidRPr="000C310B">
        <w:rPr>
          <w:rStyle w:val="Hyperlink"/>
        </w:rPr>
        <w:t>&gt;</w:t>
      </w:r>
      <w:r>
        <w:rPr>
          <w:rStyle w:val="Hyperlink"/>
        </w:rPr>
        <w:t>.</w:t>
      </w:r>
    </w:p>
    <w:p w:rsidR="000B05EC" w:rsidRDefault="000B05EC">
      <w:pPr>
        <w:spacing w:before="0" w:line="240" w:lineRule="auto"/>
        <w:rPr>
          <w:rStyle w:val="Hyperlink"/>
        </w:rPr>
      </w:pPr>
      <w:r>
        <w:rPr>
          <w:rStyle w:val="Hyperlink"/>
        </w:rPr>
        <w:br w:type="page"/>
      </w:r>
    </w:p>
    <w:p w:rsidR="009B3BC6" w:rsidRDefault="000B05EC" w:rsidP="000B05EC">
      <w:pPr>
        <w:pStyle w:val="Heading1"/>
        <w:rPr>
          <w:rStyle w:val="Hyperlink"/>
          <w:rFonts w:ascii="Arial" w:hAnsi="Arial"/>
          <w:color w:val="000000"/>
          <w:sz w:val="44"/>
        </w:rPr>
      </w:pPr>
      <w:bookmarkStart w:id="30" w:name="_Toc499032421"/>
      <w:r w:rsidRPr="000B05EC">
        <w:rPr>
          <w:rStyle w:val="Hyperlink"/>
          <w:rFonts w:ascii="Arial" w:hAnsi="Arial"/>
          <w:color w:val="000000"/>
          <w:sz w:val="44"/>
        </w:rPr>
        <w:lastRenderedPageBreak/>
        <w:t>Appendix A: The United Kingdom Common Inspection Framework</w:t>
      </w:r>
      <w:bookmarkEnd w:id="30"/>
    </w:p>
    <w:p w:rsidR="007547F2" w:rsidRPr="007547F2" w:rsidRDefault="007547F2" w:rsidP="007547F2">
      <w:pPr>
        <w:pStyle w:val="Text"/>
      </w:pPr>
      <w:r>
        <w:t xml:space="preserve">The key aspect judgments of the Common Inspection Framework are focused on learner outcomes, the quality of teaching, learning and assessment, and the effectiveness of leadership and management. Here we provide some of the key components of these judgements. </w:t>
      </w:r>
    </w:p>
    <w:p w:rsidR="000B05EC" w:rsidRDefault="000B05EC" w:rsidP="000B05EC">
      <w:pPr>
        <w:pStyle w:val="Dotpoint1"/>
        <w:ind w:left="284" w:hanging="284"/>
      </w:pPr>
      <w:r w:rsidRPr="003C77B4">
        <w:rPr>
          <w:i/>
        </w:rPr>
        <w:t>Learner outcomes</w:t>
      </w:r>
      <w:r>
        <w:t xml:space="preserve">: providers must produce evidence of success and progress rates (relative to learner ‘starting points and learning goals’), retention, development of personal, social and employability skills, and progression to courses that lead to higher qualifications or sustainable employment in jobs that ‘meet local and national needs’. </w:t>
      </w:r>
    </w:p>
    <w:p w:rsidR="000B05EC" w:rsidRDefault="000B05EC" w:rsidP="000B05EC">
      <w:pPr>
        <w:pStyle w:val="Dotpoint1"/>
        <w:numPr>
          <w:ilvl w:val="0"/>
          <w:numId w:val="0"/>
        </w:numPr>
        <w:ind w:left="284"/>
      </w:pPr>
      <w:r>
        <w:t>Information from students will also be obtained on the extent to which they have enjoyed their courses and whether the courses met their needs. Inspectors will also want to see evidence that the ‘achievement gaps are narrowing’ between different groups.</w:t>
      </w:r>
    </w:p>
    <w:p w:rsidR="000B05EC" w:rsidRDefault="000B05EC" w:rsidP="000B05EC">
      <w:pPr>
        <w:pStyle w:val="Dotpoint1"/>
        <w:ind w:left="284" w:hanging="284"/>
      </w:pPr>
      <w:r w:rsidRPr="003C77B4">
        <w:rPr>
          <w:i/>
        </w:rPr>
        <w:t>The quality of teaching, learning and assessment</w:t>
      </w:r>
      <w:r>
        <w:t>: inspectors will expect to find evidence on the extent to which learners benefit from high expectations, engagement, caring and supportive environments and motivated staff. Teachers will be expected to be skilful in identifying learner starting points; planning for, delivering and monitoring student progress; and setting ‘challenging tasks that extend learning for all learners’.</w:t>
      </w:r>
    </w:p>
    <w:p w:rsidR="000B05EC" w:rsidRDefault="000B05EC" w:rsidP="000B05EC">
      <w:pPr>
        <w:pStyle w:val="Dotpoint1"/>
        <w:numPr>
          <w:ilvl w:val="0"/>
          <w:numId w:val="0"/>
        </w:numPr>
        <w:ind w:left="284"/>
      </w:pPr>
      <w:r>
        <w:t xml:space="preserve">Inspectors will also want to be assured that students know how to improve their outcomes from teacher feedback on assessments, which is expected to be timely, specific and accurate. Inspectors will also want to see evidence of learners developing the English and mathematics skills that will help them to achieve their learning goals and career aspirations, as well as evidence of advice and guidance supporting their learning. The extent to which equality, diversity and safety for students are promoted will also be assessed, as will the use of technology in delivery and assessment. </w:t>
      </w:r>
    </w:p>
    <w:p w:rsidR="000B05EC" w:rsidRDefault="000B05EC" w:rsidP="000B05EC">
      <w:pPr>
        <w:pStyle w:val="Dotpoint1"/>
        <w:ind w:left="284" w:hanging="284"/>
      </w:pPr>
      <w:r w:rsidRPr="003C77B4">
        <w:rPr>
          <w:i/>
        </w:rPr>
        <w:t>The effectiveness of leadership and management</w:t>
      </w:r>
      <w:r>
        <w:t xml:space="preserve">: leaders, managers and governors (if applicable) are expected to demonstrate high expectations for learners and attain high standards of quality and performance themselves. They will also need to provide evidence of ‘rigorous’ performance management systems, which align professional development requirements to performance and include strategies to address ‘under-performance’. Inspectors will also look for the extent to which providers can ‘successfully plan, develop and manage the curriculum to meet the needs and interests of learners, employers and local and national community’. </w:t>
      </w:r>
    </w:p>
    <w:p w:rsidR="000B05EC" w:rsidRDefault="000B05EC" w:rsidP="000B05EC">
      <w:pPr>
        <w:pStyle w:val="Dotpoint1"/>
        <w:numPr>
          <w:ilvl w:val="0"/>
          <w:numId w:val="0"/>
        </w:numPr>
        <w:ind w:left="284"/>
      </w:pPr>
      <w:r>
        <w:t>Information about institutional processes for actively promoting equality and diversity, addressing bullying and discrimination, and reducing achievement gaps is also required. Providers must have strong internal processes for monitoring and evaluating their own performance, taking into account ‘user’ views and putting in place measures for improvement. It is important that information on how ‘leaders and managers safeguard’ all learners is also made available to inspectors. From September 2014 inspectors were to provide a rating of effectiveness for safety.</w:t>
      </w:r>
    </w:p>
    <w:p w:rsidR="000B05EC" w:rsidRDefault="000B05EC" w:rsidP="000B05EC">
      <w:pPr>
        <w:pStyle w:val="Dotpoint1"/>
        <w:ind w:left="284" w:hanging="284"/>
      </w:pPr>
      <w:r w:rsidRPr="003C77B4">
        <w:rPr>
          <w:i/>
        </w:rPr>
        <w:t>The self-report</w:t>
      </w:r>
      <w:r>
        <w:t>: this report documents t</w:t>
      </w:r>
      <w:r w:rsidR="007547F2">
        <w:t>he results of a provider’s self-</w:t>
      </w:r>
      <w:r>
        <w:t xml:space="preserve">assessment process. There is no obligation on providers to complete a formal self-assessment report but a provider must show evidence of having undergone a self-assessment process. This self-assessment, irrespective of format, will help inspectors to analyse how the organisation has used self-assessment results to improve its performance. The self-assessment process the college has undergone will also provide </w:t>
      </w:r>
      <w:r>
        <w:lastRenderedPageBreak/>
        <w:t xml:space="preserve">inspectors with information enabling them to assess the effectiveness of leadership and management. Providers must also show that they have shared this information with the governing body, if applicable. </w:t>
      </w:r>
    </w:p>
    <w:p w:rsidR="000B05EC" w:rsidRDefault="000B05EC" w:rsidP="000B05EC">
      <w:pPr>
        <w:pStyle w:val="Dotpoint1"/>
        <w:ind w:left="284" w:hanging="284"/>
      </w:pPr>
      <w:r w:rsidRPr="003C77B4">
        <w:rPr>
          <w:i/>
        </w:rPr>
        <w:t>The grading of institutional performance</w:t>
      </w:r>
      <w:r>
        <w:t>: a grading schema is also applied to the performance of providers across these three aspect judgments (grade 1: outstanding; grade 2: good; grade 3: requires improvement; and grade 4: inadequate). If any of the components of the three aspects attracts a grade of ‘inadequate’, then the grading for the whole aspect is judged as ‘inadequate’. Inspectors will also award a grade for overall effectiveness and will take into account how the provider has met the needs of learners of different characteristics, especially those with learning difficulties and disabilities. They will also take into account the judgments made about the other three aspects (that is, learner outcomes; the quality of teaching, learning and assessment; and effectiveness of leadership and management).</w:t>
      </w:r>
    </w:p>
    <w:p w:rsidR="000B05EC" w:rsidRDefault="000B05EC" w:rsidP="000B05EC">
      <w:pPr>
        <w:pStyle w:val="Dotpoint1"/>
        <w:numPr>
          <w:ilvl w:val="0"/>
          <w:numId w:val="0"/>
        </w:numPr>
        <w:ind w:left="284"/>
      </w:pPr>
      <w:r>
        <w:t xml:space="preserve">An overall effectiveness rating, of ‘outstanding’, ‘good’, ‘requires improvement’ or ‘inadequate’, is then applied. Typically, this judgment has been used to identify the nature and frequency of further reviews. In October 2014 Ofsted launched a consultation </w:t>
      </w:r>
      <w:r w:rsidRPr="004345EC">
        <w:t xml:space="preserve">strategy </w:t>
      </w:r>
      <w:r>
        <w:t>designed to identify potential</w:t>
      </w:r>
      <w:r w:rsidRPr="004345EC">
        <w:t xml:space="preserve"> improve</w:t>
      </w:r>
      <w:r>
        <w:t>ments in the system. It noted that ‘t</w:t>
      </w:r>
      <w:r w:rsidRPr="00E85BFD">
        <w:t>he oversight that we have between our inspections is not as effective as it should be. At the moment, it can be five years or even more between inspections for a good scho</w:t>
      </w:r>
      <w:r>
        <w:t>ol or college. This is too long’ (Ofsted 2014b, p.4).</w:t>
      </w:r>
      <w:r w:rsidRPr="00E85BFD">
        <w:t xml:space="preserve"> </w:t>
      </w:r>
      <w:r>
        <w:t xml:space="preserve">The proposal was for ‘good’ schools to receive a short inspection every three years (unless there had been a dramatic decline in performance). Annual summaries of school performance information would be available on the Ofsted website. Some shorter inspection pilots have been established. </w:t>
      </w:r>
    </w:p>
    <w:p w:rsidR="000B05EC" w:rsidRDefault="000B05EC" w:rsidP="009B3BC6">
      <w:pPr>
        <w:pStyle w:val="References"/>
        <w:rPr>
          <w:rStyle w:val="Hyperlink"/>
        </w:rPr>
      </w:pPr>
    </w:p>
    <w:p w:rsidR="009B3BC6" w:rsidRPr="000C310B" w:rsidRDefault="009B3BC6" w:rsidP="009E3ACD">
      <w:pPr>
        <w:pStyle w:val="References"/>
      </w:pPr>
    </w:p>
    <w:p w:rsidR="00A05905" w:rsidRDefault="00A05905" w:rsidP="0058537F">
      <w:pPr>
        <w:pStyle w:val="References"/>
      </w:pPr>
    </w:p>
    <w:p w:rsidR="00A05905" w:rsidRDefault="00A05905" w:rsidP="0058537F">
      <w:pPr>
        <w:pStyle w:val="References"/>
      </w:pPr>
    </w:p>
    <w:p w:rsidR="001D693B" w:rsidRDefault="001D693B" w:rsidP="001D693B">
      <w:pPr>
        <w:spacing w:before="100" w:beforeAutospacing="1" w:after="100" w:afterAutospacing="1" w:line="240" w:lineRule="auto"/>
      </w:pPr>
    </w:p>
    <w:bookmarkEnd w:id="3"/>
    <w:bookmarkEnd w:id="4"/>
    <w:bookmarkEnd w:id="5"/>
    <w:bookmarkEnd w:id="6"/>
    <w:bookmarkEnd w:id="16"/>
    <w:bookmarkEnd w:id="17"/>
    <w:bookmarkEnd w:id="18"/>
    <w:p w:rsidR="00CB1213" w:rsidRDefault="00CB1213">
      <w:pPr>
        <w:spacing w:before="0" w:line="240" w:lineRule="auto"/>
      </w:pPr>
      <w:r>
        <w:br w:type="page"/>
      </w:r>
    </w:p>
    <w:p w:rsidR="009D71E0" w:rsidRPr="00E333B8" w:rsidRDefault="00CB1213" w:rsidP="009D71E0">
      <w:pPr>
        <w:spacing w:before="100" w:beforeAutospacing="1" w:after="100" w:afterAutospacing="1" w:line="240" w:lineRule="auto"/>
      </w:pPr>
      <w:r w:rsidRPr="00CB1213">
        <w:rPr>
          <w:noProof/>
          <w:lang w:eastAsia="en-AU"/>
        </w:rPr>
        <w:lastRenderedPageBreak/>
        <w:drawing>
          <wp:anchor distT="0" distB="0" distL="114300" distR="114300" simplePos="0" relativeHeight="251709440" behindDoc="0" locked="0" layoutInCell="1" allowOverlap="1" wp14:anchorId="6F0CB90F" wp14:editId="56246EF5">
            <wp:simplePos x="0" y="0"/>
            <wp:positionH relativeFrom="column">
              <wp:posOffset>3932555</wp:posOffset>
            </wp:positionH>
            <wp:positionV relativeFrom="paragraph">
              <wp:posOffset>8872855</wp:posOffset>
            </wp:positionV>
            <wp:extent cx="137795" cy="151765"/>
            <wp:effectExtent l="0" t="0" r="0" b="635"/>
            <wp:wrapNone/>
            <wp:docPr id="11" name="Picture 11"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3" cstate="print">
                      <a:biLevel thresh="50000"/>
                      <a:extLst>
                        <a:ext uri="{28A0092B-C50C-407E-A947-70E740481C1C}">
                          <a14:useLocalDpi xmlns:a14="http://schemas.microsoft.com/office/drawing/2010/main" val="0"/>
                        </a:ext>
                      </a:extLst>
                    </a:blip>
                    <a:srcRect/>
                    <a:stretch>
                      <a:fillRect/>
                    </a:stretch>
                  </pic:blipFill>
                  <pic:spPr bwMode="auto">
                    <a:xfrm>
                      <a:off x="0" y="0"/>
                      <a:ext cx="137795" cy="151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B1213">
        <w:rPr>
          <w:noProof/>
          <w:lang w:eastAsia="en-AU"/>
        </w:rPr>
        <w:drawing>
          <wp:anchor distT="0" distB="0" distL="114300" distR="114300" simplePos="0" relativeHeight="251708416" behindDoc="0" locked="0" layoutInCell="1" allowOverlap="1" wp14:anchorId="39C1FD96" wp14:editId="622A328A">
            <wp:simplePos x="0" y="0"/>
            <wp:positionH relativeFrom="column">
              <wp:posOffset>2455545</wp:posOffset>
            </wp:positionH>
            <wp:positionV relativeFrom="paragraph">
              <wp:posOffset>8870950</wp:posOffset>
            </wp:positionV>
            <wp:extent cx="140335" cy="151130"/>
            <wp:effectExtent l="0" t="0" r="0" b="1270"/>
            <wp:wrapNone/>
            <wp:docPr id="10"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335" cy="151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B1213">
        <w:rPr>
          <w:noProof/>
          <w:lang w:eastAsia="en-AU"/>
        </w:rPr>
        <mc:AlternateContent>
          <mc:Choice Requires="wps">
            <w:drawing>
              <wp:anchor distT="0" distB="0" distL="114300" distR="114300" simplePos="0" relativeHeight="251707392" behindDoc="0" locked="0" layoutInCell="1" allowOverlap="1" wp14:anchorId="07E1CA2D" wp14:editId="7C15E55A">
                <wp:simplePos x="0" y="0"/>
                <wp:positionH relativeFrom="column">
                  <wp:posOffset>1016000</wp:posOffset>
                </wp:positionH>
                <wp:positionV relativeFrom="paragraph">
                  <wp:posOffset>7720965</wp:posOffset>
                </wp:positionV>
                <wp:extent cx="5143500" cy="13106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5143500" cy="1310640"/>
                        </a:xfrm>
                        <a:prstGeom prst="rect">
                          <a:avLst/>
                        </a:prstGeom>
                        <a:noFill/>
                        <a:ln w="6350">
                          <a:noFill/>
                        </a:ln>
                        <a:effectLst/>
                      </wps:spPr>
                      <wps:txbx>
                        <w:txbxContent>
                          <w:p w:rsidR="00CB1213" w:rsidRPr="00CB1213" w:rsidRDefault="00CB1213" w:rsidP="00CB1213">
                            <w:pPr>
                              <w:pStyle w:val="Imprint"/>
                              <w:jc w:val="right"/>
                              <w:rPr>
                                <w:rFonts w:ascii="Arial" w:hAnsi="Arial" w:cs="Arial"/>
                                <w:b/>
                                <w:sz w:val="19"/>
                                <w:szCs w:val="19"/>
                              </w:rPr>
                            </w:pPr>
                            <w:r w:rsidRPr="00CB1213">
                              <w:rPr>
                                <w:rFonts w:ascii="Arial" w:hAnsi="Arial" w:cs="Arial"/>
                                <w:b/>
                                <w:sz w:val="19"/>
                                <w:szCs w:val="19"/>
                              </w:rPr>
                              <w:t>National Centre for Vocational Education Research</w:t>
                            </w:r>
                          </w:p>
                          <w:p w:rsidR="00CB1213" w:rsidRPr="00CB1213" w:rsidRDefault="00CB1213" w:rsidP="00CB1213">
                            <w:pPr>
                              <w:pStyle w:val="Imprint"/>
                              <w:jc w:val="right"/>
                              <w:rPr>
                                <w:rFonts w:ascii="Arial" w:hAnsi="Arial" w:cs="Arial"/>
                                <w:color w:val="000000"/>
                              </w:rPr>
                            </w:pPr>
                            <w:r w:rsidRPr="00CB1213">
                              <w:rPr>
                                <w:rFonts w:ascii="Arial" w:hAnsi="Arial" w:cs="Arial"/>
                                <w:color w:val="000000"/>
                              </w:rPr>
                              <w:t>Level 5, 60 Light Square, Adelaide, SA 5000</w:t>
                            </w:r>
                            <w:r w:rsidRPr="00CB1213">
                              <w:rPr>
                                <w:rFonts w:ascii="Arial" w:hAnsi="Arial" w:cs="Arial"/>
                                <w:color w:val="000000"/>
                              </w:rPr>
                              <w:br/>
                              <w:t>PO Box 8288 Station Arcade, Adelaide SA 5000, Australia</w:t>
                            </w:r>
                          </w:p>
                          <w:p w:rsidR="00CB1213" w:rsidRDefault="00CB1213" w:rsidP="00CB1213">
                            <w:pPr>
                              <w:pStyle w:val="Imprint"/>
                              <w:jc w:val="right"/>
                              <w:rPr>
                                <w:rFonts w:ascii="Arial" w:hAnsi="Arial" w:cs="Arial"/>
                                <w:szCs w:val="16"/>
                              </w:rPr>
                            </w:pPr>
                            <w:r w:rsidRPr="00CB1213">
                              <w:rPr>
                                <w:rFonts w:ascii="Arial" w:hAnsi="Arial" w:cs="Arial"/>
                                <w:b/>
                              </w:rPr>
                              <w:t>Phone</w:t>
                            </w:r>
                            <w:r w:rsidRPr="00CB1213">
                              <w:rPr>
                                <w:rFonts w:ascii="Arial" w:hAnsi="Arial" w:cs="Arial"/>
                              </w:rPr>
                              <w:t xml:space="preserve"> +61 8 8230 </w:t>
                            </w:r>
                            <w:proofErr w:type="gramStart"/>
                            <w:r w:rsidRPr="00CB1213">
                              <w:rPr>
                                <w:rFonts w:ascii="Arial" w:hAnsi="Arial" w:cs="Arial"/>
                              </w:rPr>
                              <w:t xml:space="preserve">8400  </w:t>
                            </w:r>
                            <w:r w:rsidRPr="00CB1213">
                              <w:rPr>
                                <w:rFonts w:ascii="Arial" w:hAnsi="Arial" w:cs="Arial"/>
                                <w:b/>
                              </w:rPr>
                              <w:t>Email</w:t>
                            </w:r>
                            <w:proofErr w:type="gramEnd"/>
                            <w:r w:rsidRPr="00CB1213">
                              <w:rPr>
                                <w:rFonts w:ascii="Arial" w:hAnsi="Arial" w:cs="Arial"/>
                              </w:rPr>
                              <w:t xml:space="preserve"> </w:t>
                            </w:r>
                            <w:hyperlink r:id="rId42" w:history="1">
                              <w:r w:rsidRPr="00CB1213">
                                <w:rPr>
                                  <w:rFonts w:ascii="Arial" w:hAnsi="Arial" w:cs="Arial"/>
                                  <w:szCs w:val="16"/>
                                </w:rPr>
                                <w:t>ncver@ncver.edu.au</w:t>
                              </w:r>
                            </w:hyperlink>
                            <w:r w:rsidRPr="00CB1213">
                              <w:rPr>
                                <w:rFonts w:ascii="Arial" w:hAnsi="Arial" w:cs="Arial"/>
                                <w:szCs w:val="16"/>
                              </w:rPr>
                              <w:t xml:space="preserve">  </w:t>
                            </w:r>
                            <w:r w:rsidRPr="00CB1213">
                              <w:rPr>
                                <w:rFonts w:ascii="Arial" w:hAnsi="Arial" w:cs="Arial"/>
                                <w:b/>
                                <w:szCs w:val="16"/>
                              </w:rPr>
                              <w:t>Web</w:t>
                            </w:r>
                            <w:r w:rsidRPr="00CB1213">
                              <w:rPr>
                                <w:rFonts w:ascii="Arial" w:hAnsi="Arial" w:cs="Arial"/>
                                <w:szCs w:val="16"/>
                              </w:rPr>
                              <w:t xml:space="preserve"> &lt;https://www.ncver.edu.au&gt;  </w:t>
                            </w:r>
                          </w:p>
                          <w:p w:rsidR="00CB1213" w:rsidRPr="00CB1213" w:rsidRDefault="00CB1213" w:rsidP="00CB1213">
                            <w:pPr>
                              <w:pStyle w:val="Imprint"/>
                              <w:jc w:val="right"/>
                              <w:rPr>
                                <w:rFonts w:ascii="Arial" w:hAnsi="Arial" w:cs="Arial"/>
                              </w:rPr>
                            </w:pPr>
                            <w:r w:rsidRPr="00CB1213">
                              <w:rPr>
                                <w:rFonts w:ascii="Arial" w:hAnsi="Arial" w:cs="Arial"/>
                              </w:rPr>
                              <w:t xml:space="preserve">Follow us:        </w:t>
                            </w:r>
                            <w:r w:rsidRPr="00CB1213">
                              <w:rPr>
                                <w:rFonts w:ascii="Arial" w:hAnsi="Arial" w:cs="Arial"/>
                                <w:szCs w:val="16"/>
                              </w:rPr>
                              <w:t>&lt;</w:t>
                            </w:r>
                            <w:hyperlink r:id="rId43" w:history="1">
                              <w:r w:rsidRPr="00CB1213">
                                <w:rPr>
                                  <w:rFonts w:ascii="Arial" w:hAnsi="Arial" w:cs="Arial"/>
                                  <w:szCs w:val="16"/>
                                </w:rPr>
                                <w:t>https://twitter.com/ncver</w:t>
                              </w:r>
                            </w:hyperlink>
                            <w:r w:rsidRPr="00CB1213">
                              <w:rPr>
                                <w:rFonts w:ascii="Arial" w:hAnsi="Arial" w:cs="Arial"/>
                                <w:szCs w:val="16"/>
                              </w:rPr>
                              <w:t xml:space="preserve">&gt;         </w:t>
                            </w:r>
                            <w:r w:rsidRPr="00CB1213">
                              <w:rPr>
                                <w:rFonts w:ascii="Arial" w:hAnsi="Arial" w:cs="Arial"/>
                              </w:rPr>
                              <w:t>&lt;https://www.linkedin.com/company/ncver&gt;</w:t>
                            </w:r>
                          </w:p>
                          <w:p w:rsidR="00CB1213" w:rsidRPr="00CB1213" w:rsidRDefault="00CB1213" w:rsidP="00CB1213">
                            <w:pPr>
                              <w:pStyle w:val="Imprint"/>
                              <w:jc w:val="right"/>
                              <w:rPr>
                                <w:rFonts w:ascii="Arial" w:hAnsi="Arial" w:cs="Arial"/>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80pt;margin-top:607.95pt;width:405pt;height:10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" filled="f" stroked="f" strokeweight=".5pt">
                <v:textbox>
                  <w:txbxContent>
                    <w:p w:rsidR="00CB1213" w:rsidRPr="00CB1213" w:rsidRDefault="00CB1213" w:rsidP="00CB1213">
                      <w:pPr>
                        <w:pStyle w:val="Imprint"/>
                        <w:jc w:val="right"/>
                        <w:rPr>
                          <w:rFonts w:ascii="Arial" w:hAnsi="Arial" w:cs="Arial"/>
                          <w:b/>
                          <w:sz w:val="19"/>
                          <w:szCs w:val="19"/>
                        </w:rPr>
                      </w:pPr>
                      <w:r w:rsidRPr="00CB1213">
                        <w:rPr>
                          <w:rFonts w:ascii="Arial" w:hAnsi="Arial" w:cs="Arial"/>
                          <w:b/>
                          <w:sz w:val="19"/>
                          <w:szCs w:val="19"/>
                        </w:rPr>
                        <w:t>National Centre for Vocational Education Research</w:t>
                      </w:r>
                    </w:p>
                    <w:p w:rsidR="00CB1213" w:rsidRPr="00CB1213" w:rsidRDefault="00CB1213" w:rsidP="00CB1213">
                      <w:pPr>
                        <w:pStyle w:val="Imprint"/>
                        <w:jc w:val="right"/>
                        <w:rPr>
                          <w:rFonts w:ascii="Arial" w:hAnsi="Arial" w:cs="Arial"/>
                          <w:color w:val="000000"/>
                        </w:rPr>
                      </w:pPr>
                      <w:r w:rsidRPr="00CB1213">
                        <w:rPr>
                          <w:rFonts w:ascii="Arial" w:hAnsi="Arial" w:cs="Arial"/>
                          <w:color w:val="000000"/>
                        </w:rPr>
                        <w:t>Level 5, 60 Light Square, Adelaide, SA 5000</w:t>
                      </w:r>
                      <w:r w:rsidRPr="00CB1213">
                        <w:rPr>
                          <w:rFonts w:ascii="Arial" w:hAnsi="Arial" w:cs="Arial"/>
                          <w:color w:val="000000"/>
                        </w:rPr>
                        <w:br/>
                        <w:t>PO Box 8288 Station Arcade, Adelaide SA 5000, Australia</w:t>
                      </w:r>
                    </w:p>
                    <w:p w:rsidR="00CB1213" w:rsidRDefault="00CB1213" w:rsidP="00CB1213">
                      <w:pPr>
                        <w:pStyle w:val="Imprint"/>
                        <w:jc w:val="right"/>
                        <w:rPr>
                          <w:rFonts w:ascii="Arial" w:hAnsi="Arial" w:cs="Arial"/>
                          <w:szCs w:val="16"/>
                        </w:rPr>
                      </w:pPr>
                      <w:r w:rsidRPr="00CB1213">
                        <w:rPr>
                          <w:rFonts w:ascii="Arial" w:hAnsi="Arial" w:cs="Arial"/>
                          <w:b/>
                        </w:rPr>
                        <w:t>Phone</w:t>
                      </w:r>
                      <w:r w:rsidRPr="00CB1213">
                        <w:rPr>
                          <w:rFonts w:ascii="Arial" w:hAnsi="Arial" w:cs="Arial"/>
                        </w:rPr>
                        <w:t xml:space="preserve"> +61 8 8230 </w:t>
                      </w:r>
                      <w:proofErr w:type="gramStart"/>
                      <w:r w:rsidRPr="00CB1213">
                        <w:rPr>
                          <w:rFonts w:ascii="Arial" w:hAnsi="Arial" w:cs="Arial"/>
                        </w:rPr>
                        <w:t xml:space="preserve">8400  </w:t>
                      </w:r>
                      <w:r w:rsidRPr="00CB1213">
                        <w:rPr>
                          <w:rFonts w:ascii="Arial" w:hAnsi="Arial" w:cs="Arial"/>
                          <w:b/>
                        </w:rPr>
                        <w:t>Email</w:t>
                      </w:r>
                      <w:proofErr w:type="gramEnd"/>
                      <w:r w:rsidRPr="00CB1213">
                        <w:rPr>
                          <w:rFonts w:ascii="Arial" w:hAnsi="Arial" w:cs="Arial"/>
                        </w:rPr>
                        <w:t xml:space="preserve"> </w:t>
                      </w:r>
                      <w:hyperlink r:id="rId44" w:history="1">
                        <w:r w:rsidRPr="00CB1213">
                          <w:rPr>
                            <w:rStyle w:val="Abouttheresearchpubtitle"/>
                            <w:rFonts w:ascii="Arial" w:hAnsi="Arial" w:cs="Arial"/>
                            <w:szCs w:val="16"/>
                          </w:rPr>
                          <w:t>ncver@ncver.edu.au</w:t>
                        </w:r>
                      </w:hyperlink>
                      <w:r w:rsidRPr="00CB1213">
                        <w:rPr>
                          <w:rFonts w:ascii="Arial" w:hAnsi="Arial" w:cs="Arial"/>
                          <w:szCs w:val="16"/>
                        </w:rPr>
                        <w:t xml:space="preserve">  </w:t>
                      </w:r>
                      <w:r w:rsidRPr="00CB1213">
                        <w:rPr>
                          <w:rFonts w:ascii="Arial" w:hAnsi="Arial" w:cs="Arial"/>
                          <w:b/>
                          <w:szCs w:val="16"/>
                        </w:rPr>
                        <w:t>Web</w:t>
                      </w:r>
                      <w:r w:rsidRPr="00CB1213">
                        <w:rPr>
                          <w:rFonts w:ascii="Arial" w:hAnsi="Arial" w:cs="Arial"/>
                          <w:szCs w:val="16"/>
                        </w:rPr>
                        <w:t xml:space="preserve"> &lt;https://www.ncver.edu.au&gt;  </w:t>
                      </w:r>
                    </w:p>
                    <w:p w:rsidR="00CB1213" w:rsidRPr="00CB1213" w:rsidRDefault="00CB1213" w:rsidP="00CB1213">
                      <w:pPr>
                        <w:pStyle w:val="Imprint"/>
                        <w:jc w:val="right"/>
                        <w:rPr>
                          <w:rFonts w:ascii="Arial" w:hAnsi="Arial" w:cs="Arial"/>
                        </w:rPr>
                      </w:pPr>
                      <w:r w:rsidRPr="00CB1213">
                        <w:rPr>
                          <w:rFonts w:ascii="Arial" w:hAnsi="Arial" w:cs="Arial"/>
                        </w:rPr>
                        <w:t xml:space="preserve">Follow us:        </w:t>
                      </w:r>
                      <w:r w:rsidRPr="00CB1213">
                        <w:rPr>
                          <w:rFonts w:ascii="Arial" w:hAnsi="Arial" w:cs="Arial"/>
                          <w:szCs w:val="16"/>
                        </w:rPr>
                        <w:t>&lt;</w:t>
                      </w:r>
                      <w:hyperlink r:id="rId45" w:history="1">
                        <w:r w:rsidRPr="00CB1213">
                          <w:rPr>
                            <w:rStyle w:val="Abouttheresearchpubtitle"/>
                            <w:rFonts w:ascii="Arial" w:hAnsi="Arial" w:cs="Arial"/>
                            <w:szCs w:val="16"/>
                          </w:rPr>
                          <w:t>https://twitter.com/ncver</w:t>
                        </w:r>
                      </w:hyperlink>
                      <w:r w:rsidRPr="00CB1213">
                        <w:rPr>
                          <w:rFonts w:ascii="Arial" w:hAnsi="Arial" w:cs="Arial"/>
                          <w:szCs w:val="16"/>
                        </w:rPr>
                        <w:t xml:space="preserve">&gt;         </w:t>
                      </w:r>
                      <w:r w:rsidRPr="00CB1213">
                        <w:rPr>
                          <w:rFonts w:ascii="Arial" w:hAnsi="Arial" w:cs="Arial"/>
                        </w:rPr>
                        <w:t>&lt;https://www.linkedin.com/company/ncver&gt;</w:t>
                      </w:r>
                    </w:p>
                    <w:p w:rsidR="00CB1213" w:rsidRPr="00CB1213" w:rsidRDefault="00CB1213" w:rsidP="00CB1213">
                      <w:pPr>
                        <w:pStyle w:val="Imprint"/>
                        <w:jc w:val="right"/>
                        <w:rPr>
                          <w:rFonts w:ascii="Arial" w:hAnsi="Arial" w:cs="Arial"/>
                          <w:szCs w:val="16"/>
                        </w:rPr>
                      </w:pPr>
                    </w:p>
                  </w:txbxContent>
                </v:textbox>
              </v:shape>
            </w:pict>
          </mc:Fallback>
        </mc:AlternateContent>
      </w:r>
      <w:r w:rsidRPr="00CB1213">
        <w:rPr>
          <w:noProof/>
          <w:lang w:eastAsia="en-AU"/>
        </w:rPr>
        <w:drawing>
          <wp:anchor distT="0" distB="0" distL="114300" distR="114300" simplePos="0" relativeHeight="251705344" behindDoc="0" locked="0" layoutInCell="1" allowOverlap="1" wp14:anchorId="01F03A57" wp14:editId="77FADD17">
            <wp:simplePos x="0" y="0"/>
            <wp:positionH relativeFrom="column">
              <wp:posOffset>3838575</wp:posOffset>
            </wp:positionH>
            <wp:positionV relativeFrom="paragraph">
              <wp:posOffset>7041515</wp:posOffset>
            </wp:positionV>
            <wp:extent cx="2275840" cy="485775"/>
            <wp:effectExtent l="0" t="0" r="0" b="9525"/>
            <wp:wrapNone/>
            <wp:docPr id="5" name="Picture 5" descr="P:\PublicationComponents\logos\NCVER LOGOS\WMF - word\No lines\NCVER_Floating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NCVER LOGOS\WMF - word\No lines\NCVER_Floating_Blue.wm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7584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13">
        <w:rPr>
          <w:noProof/>
          <w:lang w:eastAsia="en-AU"/>
        </w:rPr>
        <w:drawing>
          <wp:anchor distT="0" distB="0" distL="114300" distR="114300" simplePos="0" relativeHeight="251706368" behindDoc="0" locked="0" layoutInCell="1" allowOverlap="1" wp14:anchorId="6E00B21E" wp14:editId="2BBE15EC">
            <wp:simplePos x="0" y="0"/>
            <wp:positionH relativeFrom="column">
              <wp:posOffset>-1041400</wp:posOffset>
            </wp:positionH>
            <wp:positionV relativeFrom="paragraph">
              <wp:posOffset>9239250</wp:posOffset>
            </wp:positionV>
            <wp:extent cx="7541260" cy="560705"/>
            <wp:effectExtent l="0" t="0" r="2540" b="0"/>
            <wp:wrapNone/>
            <wp:docPr id="7" name="Picture 7" descr="P:\PublicationDesigns\Rebranding2014\Final files\NCV2717_A4_Brochure_Cover\ColourBar_Corporat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PublicationDesigns\Rebranding2014\Final files\NCV2717_A4_Brochure_Cover\ColourBar_CorporateBlue.jpg"/>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b="22369"/>
                    <a:stretch/>
                  </pic:blipFill>
                  <pic:spPr bwMode="auto">
                    <a:xfrm>
                      <a:off x="0" y="0"/>
                      <a:ext cx="7541260" cy="560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D71E0" w:rsidRPr="00E333B8" w:rsidSect="006725AB">
      <w:footerReference w:type="even" r:id="rId48"/>
      <w:footerReference w:type="default" r:id="rId49"/>
      <w:type w:val="continuous"/>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FE" w:rsidRDefault="00F975FE">
      <w:r>
        <w:separator/>
      </w:r>
    </w:p>
  </w:endnote>
  <w:endnote w:type="continuationSeparator" w:id="0">
    <w:p w:rsidR="00F975FE" w:rsidRDefault="00F9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Zapf Dingbats">
    <w:altName w:val="Wingdings 2"/>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FE" w:rsidRPr="00C83D73" w:rsidRDefault="00F975FE" w:rsidP="002F6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FE" w:rsidRPr="00C83D73" w:rsidRDefault="00F975FE" w:rsidP="002F63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FE" w:rsidRPr="00E333AC" w:rsidRDefault="00F975FE" w:rsidP="002F63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FE" w:rsidRPr="00A85ABF" w:rsidRDefault="00F975FE" w:rsidP="00A85ABF">
    <w:pPr>
      <w:pStyle w:val="Footer"/>
      <w:tabs>
        <w:tab w:val="clear" w:pos="8505"/>
        <w:tab w:val="right" w:pos="9639"/>
      </w:tabs>
      <w:ind w:left="-567"/>
    </w:pPr>
    <w:r w:rsidRPr="00A85ABF">
      <w:t>NCVER</w:t>
    </w:r>
    <w:r w:rsidRPr="00A85ABF">
      <w:tab/>
    </w:r>
    <w:r w:rsidRPr="00A85ABF">
      <w:rPr>
        <w:rStyle w:val="PageNumber"/>
        <w:rFonts w:ascii="Arial" w:hAnsi="Arial"/>
        <w:sz w:val="17"/>
      </w:rPr>
      <w:fldChar w:fldCharType="begin"/>
    </w:r>
    <w:r w:rsidRPr="00A85ABF">
      <w:rPr>
        <w:rStyle w:val="PageNumber"/>
        <w:rFonts w:ascii="Arial" w:hAnsi="Arial"/>
        <w:sz w:val="17"/>
      </w:rPr>
      <w:instrText xml:space="preserve"> PAGE </w:instrText>
    </w:r>
    <w:r w:rsidRPr="00A85ABF">
      <w:rPr>
        <w:rStyle w:val="PageNumber"/>
        <w:rFonts w:ascii="Arial" w:hAnsi="Arial"/>
        <w:sz w:val="17"/>
      </w:rPr>
      <w:fldChar w:fldCharType="separate"/>
    </w:r>
    <w:r w:rsidR="00E86817">
      <w:rPr>
        <w:rStyle w:val="PageNumber"/>
        <w:rFonts w:ascii="Arial" w:hAnsi="Arial"/>
        <w:noProof/>
        <w:sz w:val="17"/>
      </w:rPr>
      <w:t>3</w:t>
    </w:r>
    <w:r w:rsidRPr="00A85ABF">
      <w:rPr>
        <w:rStyle w:val="PageNumber"/>
        <w:rFonts w:ascii="Arial" w:hAnsi="Arial"/>
        <w:sz w:val="1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FE" w:rsidRPr="005A11A0" w:rsidRDefault="005A11A0" w:rsidP="005A11A0">
    <w:pPr>
      <w:pStyle w:val="Footer"/>
      <w:tabs>
        <w:tab w:val="clear" w:pos="8505"/>
        <w:tab w:val="right" w:pos="9214"/>
      </w:tabs>
      <w:ind w:left="-567"/>
      <w:rPr>
        <w:rFonts w:cs="Arial"/>
        <w:b w:val="0"/>
      </w:rPr>
    </w:pPr>
    <w:r w:rsidRPr="005A11A0">
      <w:rPr>
        <w:rFonts w:cs="Arial"/>
      </w:rPr>
      <w:fldChar w:fldCharType="begin"/>
    </w:r>
    <w:r w:rsidRPr="005A11A0">
      <w:rPr>
        <w:rFonts w:cs="Arial"/>
      </w:rPr>
      <w:instrText xml:space="preserve"> PAGE   \* MERGEFORMAT </w:instrText>
    </w:r>
    <w:r w:rsidRPr="005A11A0">
      <w:rPr>
        <w:rFonts w:cs="Arial"/>
      </w:rPr>
      <w:fldChar w:fldCharType="separate"/>
    </w:r>
    <w:r w:rsidR="00E86817">
      <w:rPr>
        <w:rFonts w:cs="Arial"/>
        <w:noProof/>
      </w:rPr>
      <w:t>4</w:t>
    </w:r>
    <w:r w:rsidRPr="005A11A0">
      <w:rPr>
        <w:rFonts w:cs="Arial"/>
        <w:noProof/>
      </w:rPr>
      <w:fldChar w:fldCharType="end"/>
    </w:r>
    <w:r w:rsidRPr="00072DD8">
      <w:rPr>
        <w:rFonts w:cs="Arial"/>
        <w:noProof/>
      </w:rPr>
      <w:tab/>
    </w:r>
    <w:r w:rsidRPr="00072DD8">
      <w:rPr>
        <w:rFonts w:cs="Arial"/>
      </w:rPr>
      <w:t xml:space="preserve">Factors </w:t>
    </w:r>
    <w:r>
      <w:rPr>
        <w:rFonts w:cs="Arial"/>
      </w:rPr>
      <w:t>that drive</w:t>
    </w:r>
    <w:r w:rsidRPr="00072DD8">
      <w:rPr>
        <w:rFonts w:cs="Arial"/>
      </w:rPr>
      <w:t xml:space="preserve"> RTO performance: an overview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FE" w:rsidRPr="00C83D73" w:rsidRDefault="00F975FE" w:rsidP="00C83D7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FE" w:rsidRPr="00072DD8" w:rsidRDefault="00F975FE" w:rsidP="005A11A0">
    <w:pPr>
      <w:pStyle w:val="Footer"/>
      <w:tabs>
        <w:tab w:val="clear" w:pos="8505"/>
        <w:tab w:val="right" w:pos="9214"/>
      </w:tabs>
      <w:ind w:left="-851"/>
      <w:rPr>
        <w:rFonts w:cs="Arial"/>
        <w:b w:val="0"/>
      </w:rPr>
    </w:pPr>
    <w:r w:rsidRPr="00072DD8">
      <w:rPr>
        <w:rFonts w:cs="Arial"/>
        <w:b w:val="0"/>
      </w:rPr>
      <w:fldChar w:fldCharType="begin"/>
    </w:r>
    <w:r w:rsidRPr="00072DD8">
      <w:rPr>
        <w:rFonts w:cs="Arial"/>
      </w:rPr>
      <w:instrText xml:space="preserve"> PAGE   \* MERGEFORMAT </w:instrText>
    </w:r>
    <w:r w:rsidRPr="00072DD8">
      <w:rPr>
        <w:rFonts w:cs="Arial"/>
        <w:b w:val="0"/>
      </w:rPr>
      <w:fldChar w:fldCharType="separate"/>
    </w:r>
    <w:r w:rsidR="00E86817">
      <w:rPr>
        <w:rFonts w:cs="Arial"/>
        <w:noProof/>
      </w:rPr>
      <w:t>20</w:t>
    </w:r>
    <w:r w:rsidRPr="00072DD8">
      <w:rPr>
        <w:rFonts w:cs="Arial"/>
        <w:b w:val="0"/>
        <w:noProof/>
      </w:rPr>
      <w:fldChar w:fldCharType="end"/>
    </w:r>
    <w:r w:rsidRPr="00072DD8">
      <w:rPr>
        <w:rFonts w:cs="Arial"/>
        <w:noProof/>
      </w:rPr>
      <w:tab/>
    </w:r>
    <w:r w:rsidRPr="00072DD8">
      <w:rPr>
        <w:rFonts w:cs="Arial"/>
      </w:rPr>
      <w:t xml:space="preserve">Factors </w:t>
    </w:r>
    <w:r w:rsidR="00A85ABF">
      <w:rPr>
        <w:rFonts w:cs="Arial"/>
      </w:rPr>
      <w:t>that drive</w:t>
    </w:r>
    <w:r w:rsidRPr="00072DD8">
      <w:rPr>
        <w:rFonts w:cs="Arial"/>
      </w:rPr>
      <w:t xml:space="preserve"> RTO performance: an overview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FE" w:rsidRPr="00072DD8" w:rsidRDefault="00A85ABF" w:rsidP="00A85ABF">
    <w:pPr>
      <w:pStyle w:val="Footer"/>
      <w:tabs>
        <w:tab w:val="clear" w:pos="8505"/>
        <w:tab w:val="right" w:pos="9356"/>
      </w:tabs>
      <w:ind w:hanging="709"/>
      <w:rPr>
        <w:rFonts w:cs="Arial"/>
        <w:b w:val="0"/>
      </w:rPr>
    </w:pPr>
    <w:r w:rsidRPr="00A85ABF">
      <w:t>NCVER</w:t>
    </w:r>
    <w:r>
      <w:tab/>
    </w:r>
    <w:r w:rsidR="00F975FE" w:rsidRPr="00072DD8">
      <w:rPr>
        <w:rFonts w:cs="Arial"/>
      </w:rPr>
      <w:tab/>
    </w:r>
    <w:r w:rsidR="00F975FE" w:rsidRPr="00A85ABF">
      <w:rPr>
        <w:rFonts w:cs="Arial"/>
      </w:rPr>
      <w:fldChar w:fldCharType="begin"/>
    </w:r>
    <w:r w:rsidR="00F975FE" w:rsidRPr="00A85ABF">
      <w:rPr>
        <w:rFonts w:cs="Arial"/>
      </w:rPr>
      <w:instrText xml:space="preserve"> PAGE   \* MERGEFORMAT </w:instrText>
    </w:r>
    <w:r w:rsidR="00F975FE" w:rsidRPr="00A85ABF">
      <w:rPr>
        <w:rFonts w:cs="Arial"/>
      </w:rPr>
      <w:fldChar w:fldCharType="separate"/>
    </w:r>
    <w:r w:rsidR="00E86817">
      <w:rPr>
        <w:rFonts w:cs="Arial"/>
        <w:noProof/>
      </w:rPr>
      <w:t>21</w:t>
    </w:r>
    <w:r w:rsidR="00F975FE" w:rsidRPr="00A85ABF">
      <w:rPr>
        <w:rFonts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FE" w:rsidRDefault="00F975FE">
      <w:r>
        <w:separator/>
      </w:r>
    </w:p>
  </w:footnote>
  <w:footnote w:type="continuationSeparator" w:id="0">
    <w:p w:rsidR="00F975FE" w:rsidRDefault="00F975FE">
      <w:r>
        <w:continuationSeparator/>
      </w:r>
    </w:p>
  </w:footnote>
  <w:footnote w:id="1">
    <w:p w:rsidR="00F975FE" w:rsidRPr="005A11A0" w:rsidRDefault="00F975FE" w:rsidP="005A11A0">
      <w:pPr>
        <w:pStyle w:val="FootnoteText"/>
        <w:ind w:left="284" w:right="-143" w:hanging="284"/>
      </w:pPr>
      <w:r w:rsidRPr="005A11A0">
        <w:rPr>
          <w:rStyle w:val="FootnoteReference"/>
          <w:vertAlign w:val="baseline"/>
        </w:rPr>
        <w:footnoteRef/>
      </w:r>
      <w:r w:rsidRPr="005A11A0">
        <w:t xml:space="preserve"> </w:t>
      </w:r>
      <w:r w:rsidR="005A11A0">
        <w:tab/>
      </w:r>
      <w:r w:rsidRPr="005A11A0">
        <w:t>&lt;</w:t>
      </w:r>
      <w:hyperlink r:id="rId1" w:history="1">
        <w:r w:rsidRPr="005A11A0">
          <w:rPr>
            <w:rStyle w:val="Hyperlink"/>
            <w:sz w:val="16"/>
          </w:rPr>
          <w:t>http://www.hpf.sa.gov.au/</w:t>
        </w:r>
      </w:hyperlink>
      <w:r w:rsidRPr="005A11A0">
        <w:t xml:space="preserve">&gt;. </w:t>
      </w:r>
    </w:p>
  </w:footnote>
  <w:footnote w:id="2">
    <w:p w:rsidR="00F975FE" w:rsidRPr="005A11A0" w:rsidRDefault="00F975FE" w:rsidP="005A11A0">
      <w:pPr>
        <w:pStyle w:val="FootnoteText"/>
        <w:ind w:left="284" w:hanging="284"/>
      </w:pPr>
      <w:r w:rsidRPr="005A11A0">
        <w:rPr>
          <w:rStyle w:val="FootnoteReference"/>
          <w:vertAlign w:val="baseline"/>
        </w:rPr>
        <w:footnoteRef/>
      </w:r>
      <w:r w:rsidRPr="005A11A0">
        <w:t xml:space="preserve"> </w:t>
      </w:r>
      <w:r w:rsidR="005A11A0">
        <w:tab/>
      </w:r>
      <w:r w:rsidRPr="005A11A0">
        <w:t>&lt;https://www.nswis.com.au/wp-content/uploads/2016/08/17-20-HP-framework-2017-V04.pdf&gt;.</w:t>
      </w:r>
    </w:p>
  </w:footnote>
  <w:footnote w:id="3">
    <w:p w:rsidR="00F975FE" w:rsidRPr="005A11A0" w:rsidRDefault="00F975FE" w:rsidP="005A11A0">
      <w:pPr>
        <w:pStyle w:val="FootnoteText"/>
        <w:ind w:left="284" w:hanging="284"/>
      </w:pPr>
      <w:r w:rsidRPr="005A11A0">
        <w:rPr>
          <w:rStyle w:val="FootnoteReference"/>
          <w:vertAlign w:val="baseline"/>
        </w:rPr>
        <w:footnoteRef/>
      </w:r>
      <w:r w:rsidRPr="005A11A0">
        <w:t xml:space="preserve"> </w:t>
      </w:r>
      <w:r w:rsidR="005A11A0">
        <w:tab/>
      </w:r>
      <w:r w:rsidRPr="005A11A0">
        <w:t xml:space="preserve">Some studies and papers that have dealt with the issue of performance indicators can be found in </w:t>
      </w:r>
      <w:proofErr w:type="spellStart"/>
      <w:r w:rsidRPr="005A11A0">
        <w:t>VOCEDplus</w:t>
      </w:r>
      <w:proofErr w:type="spellEnd"/>
      <w:r w:rsidRPr="005A11A0">
        <w:t xml:space="preserve">  </w:t>
      </w:r>
      <w:hyperlink r:id="rId2" w:history="1">
        <w:r w:rsidRPr="005A11A0">
          <w:rPr>
            <w:rStyle w:val="Hyperlink"/>
            <w:sz w:val="16"/>
          </w:rPr>
          <w:t>here</w:t>
        </w:r>
      </w:hyperlink>
      <w:r w:rsidRPr="005A11A0">
        <w:t xml:space="preserve">. </w:t>
      </w:r>
    </w:p>
  </w:footnote>
  <w:footnote w:id="4">
    <w:p w:rsidR="00F975FE" w:rsidRDefault="00F975FE" w:rsidP="005A11A0">
      <w:pPr>
        <w:pStyle w:val="FootnoteText"/>
        <w:ind w:left="284" w:right="-143" w:hanging="284"/>
      </w:pPr>
      <w:r w:rsidRPr="005A11A0">
        <w:rPr>
          <w:rStyle w:val="FootnoteReference"/>
          <w:vertAlign w:val="baseline"/>
        </w:rPr>
        <w:footnoteRef/>
      </w:r>
      <w:r w:rsidR="005A11A0">
        <w:tab/>
      </w:r>
      <w:r w:rsidRPr="005A11A0">
        <w:t xml:space="preserve">Interviews with, and information collected from, RTO personnel: nine TAFE directors and 59 senior and middle managers in metropolitan and rural TAFE institutes across South Australia, Victoria, Queensland and New South Wales.   </w:t>
      </w:r>
    </w:p>
  </w:footnote>
  <w:footnote w:id="5">
    <w:p w:rsidR="00F975FE" w:rsidRDefault="00F975FE" w:rsidP="0091799B">
      <w:pPr>
        <w:pStyle w:val="FootnoteText"/>
      </w:pPr>
      <w:r w:rsidRPr="00A85ABF">
        <w:rPr>
          <w:rStyle w:val="FootnoteReference"/>
          <w:vertAlign w:val="baseline"/>
        </w:rPr>
        <w:footnoteRef/>
      </w:r>
      <w:r w:rsidRPr="00A85ABF">
        <w:t xml:space="preserve"> </w:t>
      </w:r>
      <w:r w:rsidR="00A85ABF">
        <w:tab/>
      </w:r>
      <w:r>
        <w:t xml:space="preserve">The ‘purchase agreement’ is the funding agreement negotiated between the state and territory department responsible for education and training and the provider. In this agreement the government department agrees to purchase a specific number of training hours and set of services from providers.  </w:t>
      </w:r>
    </w:p>
  </w:footnote>
  <w:footnote w:id="6">
    <w:p w:rsidR="00F975FE" w:rsidRPr="005A11A0" w:rsidRDefault="00F975FE" w:rsidP="005A11A0">
      <w:pPr>
        <w:pStyle w:val="FootnoteText"/>
        <w:ind w:left="284" w:hanging="284"/>
      </w:pPr>
      <w:r w:rsidRPr="005A11A0">
        <w:rPr>
          <w:rStyle w:val="FootnoteReference"/>
          <w:vertAlign w:val="baseline"/>
        </w:rPr>
        <w:footnoteRef/>
      </w:r>
      <w:r w:rsidRPr="005A11A0">
        <w:t xml:space="preserve"> </w:t>
      </w:r>
      <w:r w:rsidR="005A11A0">
        <w:tab/>
      </w:r>
      <w:r w:rsidRPr="005A11A0">
        <w:t xml:space="preserve">Institutes can be considered to have some control over factors such as size and location of delivery over time. For example, they can decide to scale down their face-to-face delivery by increasing their use of online and other distance learning delivery arrangements, or decide that they may no longer deliver certain programs. </w:t>
      </w:r>
    </w:p>
  </w:footnote>
  <w:footnote w:id="7">
    <w:p w:rsidR="00F975FE" w:rsidRPr="005A11A0" w:rsidRDefault="00F975FE" w:rsidP="005A11A0">
      <w:pPr>
        <w:pStyle w:val="FootnoteText"/>
        <w:ind w:left="284" w:hanging="284"/>
      </w:pPr>
      <w:r w:rsidRPr="005A11A0">
        <w:rPr>
          <w:rStyle w:val="FootnoteReference"/>
          <w:vertAlign w:val="baseline"/>
        </w:rPr>
        <w:footnoteRef/>
      </w:r>
      <w:r w:rsidRPr="005A11A0">
        <w:t xml:space="preserve"> </w:t>
      </w:r>
      <w:r w:rsidR="005A11A0">
        <w:tab/>
      </w:r>
      <w:r w:rsidRPr="005A11A0">
        <w:t>To calculate the technical and scale-efficiency estimates they used the following benchmarks:  technical efficiency 1.0 = efficient; a 0.8 = 80% efficiency relative to the peers; scale efficiency: 0.50 = institutes operating at a very inefficient size; .95 = institutes operating at a near optimal size.</w:t>
      </w:r>
    </w:p>
  </w:footnote>
  <w:footnote w:id="8">
    <w:p w:rsidR="00F975FE" w:rsidRDefault="00F975FE" w:rsidP="005A11A0">
      <w:pPr>
        <w:pStyle w:val="FootnoteText"/>
        <w:ind w:left="284" w:hanging="284"/>
      </w:pPr>
      <w:r w:rsidRPr="005A11A0">
        <w:rPr>
          <w:rStyle w:val="FootnoteReference"/>
          <w:vertAlign w:val="baseline"/>
        </w:rPr>
        <w:footnoteRef/>
      </w:r>
      <w:r w:rsidRPr="005A11A0">
        <w:t xml:space="preserve"> </w:t>
      </w:r>
      <w:r w:rsidR="005A11A0">
        <w:tab/>
      </w:r>
      <w:r w:rsidRPr="005A11A0">
        <w:t>These were used as proxies for the effort that teachers put into their delivery.</w:t>
      </w:r>
    </w:p>
  </w:footnote>
  <w:footnote w:id="9">
    <w:p w:rsidR="00F975FE" w:rsidRPr="00A85ABF" w:rsidRDefault="00F975FE" w:rsidP="005A11A0">
      <w:pPr>
        <w:pStyle w:val="FootnoteText"/>
        <w:ind w:left="284" w:hanging="284"/>
        <w:rPr>
          <w:rFonts w:ascii="Arial" w:hAnsi="Arial" w:cs="Arial"/>
        </w:rPr>
      </w:pPr>
      <w:r w:rsidRPr="00A85ABF">
        <w:rPr>
          <w:rStyle w:val="FootnoteReference"/>
          <w:rFonts w:ascii="Arial" w:hAnsi="Arial" w:cs="Arial"/>
          <w:vertAlign w:val="baseline"/>
        </w:rPr>
        <w:footnoteRef/>
      </w:r>
      <w:r w:rsidRPr="00A85ABF">
        <w:rPr>
          <w:rFonts w:ascii="Arial" w:hAnsi="Arial" w:cs="Arial"/>
        </w:rPr>
        <w:t xml:space="preserve"> </w:t>
      </w:r>
      <w:r w:rsidR="00A85ABF">
        <w:rPr>
          <w:rFonts w:ascii="Arial" w:hAnsi="Arial" w:cs="Arial"/>
        </w:rPr>
        <w:tab/>
      </w:r>
      <w:r w:rsidRPr="00A85ABF">
        <w:rPr>
          <w:rStyle w:val="tgc"/>
          <w:rFonts w:ascii="Arial" w:hAnsi="Arial" w:cs="Arial"/>
          <w:color w:val="222222"/>
        </w:rPr>
        <w:t xml:space="preserve">Box and whisker charts are graphs which present the shape of a distribution in quartiles. They highlight the means and outliers.  </w:t>
      </w:r>
    </w:p>
  </w:footnote>
  <w:footnote w:id="10">
    <w:p w:rsidR="00F975FE" w:rsidRPr="004C6642" w:rsidRDefault="00F975FE" w:rsidP="005A11A0">
      <w:pPr>
        <w:pStyle w:val="FootnoteText"/>
        <w:ind w:left="284" w:hanging="284"/>
        <w:rPr>
          <w:szCs w:val="16"/>
        </w:rPr>
      </w:pPr>
      <w:r w:rsidRPr="005A11A0">
        <w:rPr>
          <w:rStyle w:val="FootnoteReference"/>
          <w:vertAlign w:val="baseline"/>
        </w:rPr>
        <w:footnoteRef/>
      </w:r>
      <w:r w:rsidRPr="005A11A0">
        <w:t xml:space="preserve"> </w:t>
      </w:r>
      <w:r w:rsidR="005A11A0">
        <w:tab/>
        <w:t>&lt;</w:t>
      </w:r>
      <w:hyperlink r:id="rId3" w:history="1">
        <w:r w:rsidRPr="00082AFD">
          <w:rPr>
            <w:rStyle w:val="Hyperlink"/>
            <w:sz w:val="16"/>
          </w:rPr>
          <w:t>https://www.gov.uk/government/publications/common-inspection-framework-education-skills-and-early-years-from-september-2015</w:t>
        </w:r>
      </w:hyperlink>
      <w:r w:rsidR="005A11A0">
        <w:t>&gt;</w:t>
      </w:r>
      <w:r>
        <w:t xml:space="preserve"> </w:t>
      </w:r>
    </w:p>
  </w:footnote>
  <w:footnote w:id="11">
    <w:p w:rsidR="00F975FE" w:rsidRDefault="00F975FE" w:rsidP="005A11A0">
      <w:pPr>
        <w:pStyle w:val="FootnoteText"/>
        <w:ind w:left="284" w:hanging="284"/>
      </w:pPr>
      <w:r w:rsidRPr="005A11A0">
        <w:rPr>
          <w:rStyle w:val="FootnoteReference"/>
          <w:vertAlign w:val="baseline"/>
        </w:rPr>
        <w:footnoteRef/>
      </w:r>
      <w:r w:rsidR="005A11A0">
        <w:rPr>
          <w:szCs w:val="16"/>
        </w:rPr>
        <w:tab/>
        <w:t>&lt;</w:t>
      </w:r>
      <w:hyperlink r:id="rId4" w:history="1">
        <w:r w:rsidRPr="004C6642">
          <w:rPr>
            <w:rStyle w:val="Hyperlink"/>
            <w:sz w:val="16"/>
            <w:szCs w:val="16"/>
          </w:rPr>
          <w:t>https://www.gov.uk/government/publications/school-inspection-handbook-from-september-2015</w:t>
        </w:r>
      </w:hyperlink>
      <w:r w:rsidR="005A11A0">
        <w:rPr>
          <w:rStyle w:val="Hyperlink"/>
          <w:sz w:val="16"/>
          <w:szCs w:val="16"/>
        </w:rPr>
        <w:t>&gt;</w:t>
      </w:r>
    </w:p>
  </w:footnote>
  <w:footnote w:id="12">
    <w:p w:rsidR="00F975FE" w:rsidRDefault="00F975FE" w:rsidP="005A11A0">
      <w:pPr>
        <w:pStyle w:val="FootnoteText"/>
        <w:ind w:left="284" w:hanging="284"/>
      </w:pPr>
      <w:r w:rsidRPr="005A11A0">
        <w:rPr>
          <w:rStyle w:val="FootnoteReference"/>
          <w:vertAlign w:val="baseline"/>
        </w:rPr>
        <w:footnoteRef/>
      </w:r>
      <w:r w:rsidR="005A11A0" w:rsidRPr="005A11A0">
        <w:tab/>
      </w:r>
      <w:r>
        <w:t xml:space="preserve">The New Zealand Qualifications Authority states: </w:t>
      </w:r>
      <w:r>
        <w:rPr>
          <w:rStyle w:val="Emphasis"/>
          <w:lang w:val="en-NZ"/>
        </w:rPr>
        <w:t xml:space="preserve">A </w:t>
      </w:r>
      <w:proofErr w:type="spellStart"/>
      <w:r>
        <w:rPr>
          <w:rStyle w:val="Emphasis"/>
          <w:lang w:val="en-NZ"/>
        </w:rPr>
        <w:t>wānanga</w:t>
      </w:r>
      <w:proofErr w:type="spellEnd"/>
      <w:r>
        <w:rPr>
          <w:rStyle w:val="Emphasis"/>
          <w:lang w:val="en-NZ"/>
        </w:rPr>
        <w:t xml:space="preserve"> is characterised by teaching and research that maintains, advances, and disseminates knowledge and develops intellectual independence, and assists the application of knowledge regarding </w:t>
      </w:r>
      <w:proofErr w:type="spellStart"/>
      <w:r>
        <w:rPr>
          <w:rStyle w:val="Emphasis"/>
          <w:lang w:val="en-NZ"/>
        </w:rPr>
        <w:t>ahuatanga</w:t>
      </w:r>
      <w:proofErr w:type="spellEnd"/>
      <w:r>
        <w:rPr>
          <w:rStyle w:val="Emphasis"/>
          <w:lang w:val="en-NZ"/>
        </w:rPr>
        <w:t xml:space="preserve"> Maori (Maori tradition) according to </w:t>
      </w:r>
      <w:proofErr w:type="spellStart"/>
      <w:r>
        <w:rPr>
          <w:rStyle w:val="Emphasis"/>
          <w:lang w:val="en-NZ"/>
        </w:rPr>
        <w:t>tikanga</w:t>
      </w:r>
      <w:proofErr w:type="spellEnd"/>
      <w:r>
        <w:rPr>
          <w:rStyle w:val="Emphasis"/>
          <w:lang w:val="en-NZ"/>
        </w:rPr>
        <w:t xml:space="preserve"> Maori (Maori custom).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FE" w:rsidRPr="00D66D9A" w:rsidRDefault="00F975FE" w:rsidP="002F63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728E1"/>
    <w:multiLevelType w:val="hybridMultilevel"/>
    <w:tmpl w:val="EB8C0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FE56D6"/>
    <w:multiLevelType w:val="hybridMultilevel"/>
    <w:tmpl w:val="3D28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8247CE"/>
    <w:multiLevelType w:val="hybridMultilevel"/>
    <w:tmpl w:val="2A988218"/>
    <w:lvl w:ilvl="0" w:tplc="316452FE">
      <w:start w:val="1"/>
      <w:numFmt w:val="bullet"/>
      <w:pStyle w:val="BulletList"/>
      <w:lvlText w:val=""/>
      <w:lvlJc w:val="left"/>
      <w:pPr>
        <w:tabs>
          <w:tab w:val="num" w:pos="757"/>
        </w:tabs>
        <w:ind w:left="757" w:hanging="397"/>
      </w:pPr>
      <w:rPr>
        <w:rFonts w:ascii="Symbol" w:hAnsi="Symbol" w:hint="default"/>
        <w:sz w:val="18"/>
      </w:rPr>
    </w:lvl>
    <w:lvl w:ilvl="1" w:tplc="0E40F548">
      <w:start w:val="1"/>
      <w:numFmt w:val="bullet"/>
      <w:lvlText w:val=""/>
      <w:lvlJc w:val="left"/>
      <w:pPr>
        <w:tabs>
          <w:tab w:val="num" w:pos="1477"/>
        </w:tabs>
        <w:ind w:left="1477" w:hanging="397"/>
      </w:pPr>
      <w:rPr>
        <w:rFonts w:ascii="Symbol" w:hAnsi="Symbol" w:hint="default"/>
        <w:sz w:val="18"/>
      </w:rPr>
    </w:lvl>
    <w:lvl w:ilvl="2" w:tplc="7BAC00C4">
      <w:start w:val="1"/>
      <w:numFmt w:val="decimal"/>
      <w:lvlText w:val="%3."/>
      <w:lvlJc w:val="left"/>
      <w:pPr>
        <w:tabs>
          <w:tab w:val="num" w:pos="2160"/>
        </w:tabs>
        <w:ind w:left="2160" w:hanging="360"/>
      </w:pPr>
      <w:rPr>
        <w:rFonts w:hint="default"/>
        <w:sz w:val="1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4731FA7"/>
    <w:multiLevelType w:val="hybridMultilevel"/>
    <w:tmpl w:val="7766F9D8"/>
    <w:lvl w:ilvl="0" w:tplc="FB98B028">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B250187"/>
    <w:multiLevelType w:val="multilevel"/>
    <w:tmpl w:val="DC86B65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DB15288"/>
    <w:multiLevelType w:val="hybridMultilevel"/>
    <w:tmpl w:val="F0C2E0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588D6842"/>
    <w:multiLevelType w:val="hybridMultilevel"/>
    <w:tmpl w:val="DAE40626"/>
    <w:lvl w:ilvl="0" w:tplc="4B02EA6C">
      <w:start w:val="1"/>
      <w:numFmt w:val="decimal"/>
      <w:pStyle w:val="NumberedListContinu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10A02C5"/>
    <w:multiLevelType w:val="hybridMultilevel"/>
    <w:tmpl w:val="BEA66406"/>
    <w:lvl w:ilvl="0" w:tplc="A0D0ED80">
      <w:start w:val="1"/>
      <w:numFmt w:val="bullet"/>
      <w:pStyle w:val="Dotpoint2"/>
      <w:lvlText w:val="-"/>
      <w:lvlJc w:val="left"/>
      <w:pPr>
        <w:ind w:left="786"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nsid w:val="6E6568BB"/>
    <w:multiLevelType w:val="hybridMultilevel"/>
    <w:tmpl w:val="DC86B65E"/>
    <w:lvl w:ilvl="0" w:tplc="FB20ABCA">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C42FB1"/>
    <w:multiLevelType w:val="hybridMultilevel"/>
    <w:tmpl w:val="5B64732C"/>
    <w:lvl w:ilvl="0" w:tplc="CA188448">
      <w:start w:val="1"/>
      <w:numFmt w:val="bullet"/>
      <w:pStyle w:val="DotPoints"/>
      <w:lvlText w:val=""/>
      <w:lvlJc w:val="left"/>
      <w:pPr>
        <w:tabs>
          <w:tab w:val="num" w:pos="454"/>
        </w:tabs>
        <w:ind w:left="454" w:hanging="397"/>
      </w:pPr>
      <w:rPr>
        <w:rFonts w:ascii="Symbol" w:hAnsi="Symbol" w:hint="default"/>
        <w:color w:val="333399"/>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4BA59D2"/>
    <w:multiLevelType w:val="multilevel"/>
    <w:tmpl w:val="DC86B65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2"/>
  </w:num>
  <w:num w:numId="5">
    <w:abstractNumId w:val="6"/>
  </w:num>
  <w:num w:numId="6">
    <w:abstractNumId w:val="5"/>
  </w:num>
  <w:num w:numId="7">
    <w:abstractNumId w:val="1"/>
  </w:num>
  <w:num w:numId="8">
    <w:abstractNumId w:val="0"/>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10"/>
  </w:num>
  <w:num w:numId="21">
    <w:abstractNumId w:val="4"/>
  </w:num>
  <w:num w:numId="22">
    <w:abstractNumId w:val="3"/>
  </w:num>
  <w:num w:numId="23">
    <w:abstractNumId w:val="7"/>
  </w:num>
  <w:num w:numId="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79873">
      <o:colormru v:ext="edit" colors="#ffc42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51"/>
    <w:rsid w:val="00001C1B"/>
    <w:rsid w:val="00004B1C"/>
    <w:rsid w:val="00006AD0"/>
    <w:rsid w:val="000108B2"/>
    <w:rsid w:val="00022290"/>
    <w:rsid w:val="00024BAE"/>
    <w:rsid w:val="00030C0F"/>
    <w:rsid w:val="00036353"/>
    <w:rsid w:val="00042814"/>
    <w:rsid w:val="00045E77"/>
    <w:rsid w:val="0004657F"/>
    <w:rsid w:val="000533F9"/>
    <w:rsid w:val="00056BFA"/>
    <w:rsid w:val="00057354"/>
    <w:rsid w:val="0006125F"/>
    <w:rsid w:val="000656A6"/>
    <w:rsid w:val="00070331"/>
    <w:rsid w:val="00072DD8"/>
    <w:rsid w:val="00074BD4"/>
    <w:rsid w:val="000836A1"/>
    <w:rsid w:val="00083C29"/>
    <w:rsid w:val="000846C3"/>
    <w:rsid w:val="000A4472"/>
    <w:rsid w:val="000A682C"/>
    <w:rsid w:val="000A6A74"/>
    <w:rsid w:val="000B05EC"/>
    <w:rsid w:val="000B1421"/>
    <w:rsid w:val="000B150D"/>
    <w:rsid w:val="000C17A9"/>
    <w:rsid w:val="000C1B31"/>
    <w:rsid w:val="000C310B"/>
    <w:rsid w:val="000D1083"/>
    <w:rsid w:val="000D1542"/>
    <w:rsid w:val="000D1A47"/>
    <w:rsid w:val="000D5BB6"/>
    <w:rsid w:val="000D7B02"/>
    <w:rsid w:val="000E239D"/>
    <w:rsid w:val="000E691E"/>
    <w:rsid w:val="000E74CA"/>
    <w:rsid w:val="000F0793"/>
    <w:rsid w:val="000F1C30"/>
    <w:rsid w:val="000F2527"/>
    <w:rsid w:val="000F78F9"/>
    <w:rsid w:val="001038D7"/>
    <w:rsid w:val="001066E9"/>
    <w:rsid w:val="0010761A"/>
    <w:rsid w:val="00111103"/>
    <w:rsid w:val="0011212A"/>
    <w:rsid w:val="00112B0F"/>
    <w:rsid w:val="00113805"/>
    <w:rsid w:val="00123B5C"/>
    <w:rsid w:val="0012457E"/>
    <w:rsid w:val="00135C75"/>
    <w:rsid w:val="001377CE"/>
    <w:rsid w:val="00150874"/>
    <w:rsid w:val="001509F3"/>
    <w:rsid w:val="00151ED1"/>
    <w:rsid w:val="001529A6"/>
    <w:rsid w:val="001549BB"/>
    <w:rsid w:val="0016206D"/>
    <w:rsid w:val="00163812"/>
    <w:rsid w:val="001647B6"/>
    <w:rsid w:val="00165FA4"/>
    <w:rsid w:val="001663DE"/>
    <w:rsid w:val="001703EF"/>
    <w:rsid w:val="00171AD6"/>
    <w:rsid w:val="00173D85"/>
    <w:rsid w:val="00175BC0"/>
    <w:rsid w:val="00187424"/>
    <w:rsid w:val="00187BF6"/>
    <w:rsid w:val="00190C69"/>
    <w:rsid w:val="001934C2"/>
    <w:rsid w:val="001B43CF"/>
    <w:rsid w:val="001C004A"/>
    <w:rsid w:val="001C6318"/>
    <w:rsid w:val="001C6DFB"/>
    <w:rsid w:val="001C6FEE"/>
    <w:rsid w:val="001D2995"/>
    <w:rsid w:val="001D693B"/>
    <w:rsid w:val="001E2F6F"/>
    <w:rsid w:val="001E5862"/>
    <w:rsid w:val="001F2DF9"/>
    <w:rsid w:val="001F7423"/>
    <w:rsid w:val="001F78CF"/>
    <w:rsid w:val="001F7D84"/>
    <w:rsid w:val="00200010"/>
    <w:rsid w:val="00201935"/>
    <w:rsid w:val="00202DF9"/>
    <w:rsid w:val="00205960"/>
    <w:rsid w:val="00205DA6"/>
    <w:rsid w:val="00205FAB"/>
    <w:rsid w:val="0021360D"/>
    <w:rsid w:val="002168A5"/>
    <w:rsid w:val="00217F84"/>
    <w:rsid w:val="00222273"/>
    <w:rsid w:val="00223310"/>
    <w:rsid w:val="00223653"/>
    <w:rsid w:val="002277A9"/>
    <w:rsid w:val="00233BFA"/>
    <w:rsid w:val="00247EA0"/>
    <w:rsid w:val="00250A16"/>
    <w:rsid w:val="00251024"/>
    <w:rsid w:val="00252076"/>
    <w:rsid w:val="002639A8"/>
    <w:rsid w:val="00266559"/>
    <w:rsid w:val="00266941"/>
    <w:rsid w:val="00272EB9"/>
    <w:rsid w:val="00273AFA"/>
    <w:rsid w:val="00275F1F"/>
    <w:rsid w:val="00283BAC"/>
    <w:rsid w:val="0028464B"/>
    <w:rsid w:val="00284FCB"/>
    <w:rsid w:val="00285545"/>
    <w:rsid w:val="002914DA"/>
    <w:rsid w:val="002936E4"/>
    <w:rsid w:val="00294D65"/>
    <w:rsid w:val="00295E63"/>
    <w:rsid w:val="002A3C0D"/>
    <w:rsid w:val="002A6B8D"/>
    <w:rsid w:val="002A6F81"/>
    <w:rsid w:val="002A7A0E"/>
    <w:rsid w:val="002B0204"/>
    <w:rsid w:val="002B1C6E"/>
    <w:rsid w:val="002B4811"/>
    <w:rsid w:val="002C1B75"/>
    <w:rsid w:val="002C1DE5"/>
    <w:rsid w:val="002C45A8"/>
    <w:rsid w:val="002C61C4"/>
    <w:rsid w:val="002D5896"/>
    <w:rsid w:val="002D5DB7"/>
    <w:rsid w:val="002D61F7"/>
    <w:rsid w:val="002D7213"/>
    <w:rsid w:val="002E0551"/>
    <w:rsid w:val="002E196B"/>
    <w:rsid w:val="002E393C"/>
    <w:rsid w:val="002E61A4"/>
    <w:rsid w:val="002F0E3A"/>
    <w:rsid w:val="002F0FAD"/>
    <w:rsid w:val="002F3083"/>
    <w:rsid w:val="002F3748"/>
    <w:rsid w:val="002F4CC4"/>
    <w:rsid w:val="002F630A"/>
    <w:rsid w:val="002F7C2B"/>
    <w:rsid w:val="002F7E94"/>
    <w:rsid w:val="00300FAB"/>
    <w:rsid w:val="003130EE"/>
    <w:rsid w:val="00315CE7"/>
    <w:rsid w:val="00323C21"/>
    <w:rsid w:val="0033376E"/>
    <w:rsid w:val="00340183"/>
    <w:rsid w:val="00344B1E"/>
    <w:rsid w:val="00350B64"/>
    <w:rsid w:val="00354756"/>
    <w:rsid w:val="00357509"/>
    <w:rsid w:val="0036101C"/>
    <w:rsid w:val="00362614"/>
    <w:rsid w:val="00366BA7"/>
    <w:rsid w:val="0037539D"/>
    <w:rsid w:val="003804E3"/>
    <w:rsid w:val="003900C9"/>
    <w:rsid w:val="0039263D"/>
    <w:rsid w:val="003928C4"/>
    <w:rsid w:val="00394E65"/>
    <w:rsid w:val="00395440"/>
    <w:rsid w:val="00395447"/>
    <w:rsid w:val="003A0334"/>
    <w:rsid w:val="003B0363"/>
    <w:rsid w:val="003B16DA"/>
    <w:rsid w:val="003B44E6"/>
    <w:rsid w:val="003B483E"/>
    <w:rsid w:val="003C65D1"/>
    <w:rsid w:val="003D1250"/>
    <w:rsid w:val="003D14BA"/>
    <w:rsid w:val="003D4B3E"/>
    <w:rsid w:val="003D6476"/>
    <w:rsid w:val="003E1C51"/>
    <w:rsid w:val="003E624B"/>
    <w:rsid w:val="003E67CB"/>
    <w:rsid w:val="003F5B20"/>
    <w:rsid w:val="00404683"/>
    <w:rsid w:val="004170AC"/>
    <w:rsid w:val="00417795"/>
    <w:rsid w:val="004274F7"/>
    <w:rsid w:val="00431B48"/>
    <w:rsid w:val="00432F30"/>
    <w:rsid w:val="004342C9"/>
    <w:rsid w:val="004345EC"/>
    <w:rsid w:val="00435388"/>
    <w:rsid w:val="00441B06"/>
    <w:rsid w:val="00441E65"/>
    <w:rsid w:val="00446BEA"/>
    <w:rsid w:val="00452372"/>
    <w:rsid w:val="004538E5"/>
    <w:rsid w:val="00456222"/>
    <w:rsid w:val="0046028F"/>
    <w:rsid w:val="00472CDF"/>
    <w:rsid w:val="00474328"/>
    <w:rsid w:val="00476351"/>
    <w:rsid w:val="00492B87"/>
    <w:rsid w:val="0049524B"/>
    <w:rsid w:val="00495934"/>
    <w:rsid w:val="004979A7"/>
    <w:rsid w:val="004A0AD1"/>
    <w:rsid w:val="004A372A"/>
    <w:rsid w:val="004B0979"/>
    <w:rsid w:val="004B190D"/>
    <w:rsid w:val="004B6A85"/>
    <w:rsid w:val="004C1DDD"/>
    <w:rsid w:val="004C2631"/>
    <w:rsid w:val="004C5A6A"/>
    <w:rsid w:val="004C630C"/>
    <w:rsid w:val="004C6642"/>
    <w:rsid w:val="004D02D5"/>
    <w:rsid w:val="004D0C55"/>
    <w:rsid w:val="004D4A3F"/>
    <w:rsid w:val="004E7227"/>
    <w:rsid w:val="004F0B76"/>
    <w:rsid w:val="004F14FF"/>
    <w:rsid w:val="004F315F"/>
    <w:rsid w:val="004F48D6"/>
    <w:rsid w:val="004F48E8"/>
    <w:rsid w:val="005052A5"/>
    <w:rsid w:val="005071D7"/>
    <w:rsid w:val="005135B9"/>
    <w:rsid w:val="00517307"/>
    <w:rsid w:val="0051792D"/>
    <w:rsid w:val="0052276C"/>
    <w:rsid w:val="00527939"/>
    <w:rsid w:val="00530261"/>
    <w:rsid w:val="005327DC"/>
    <w:rsid w:val="00532FE1"/>
    <w:rsid w:val="0055463D"/>
    <w:rsid w:val="00560A72"/>
    <w:rsid w:val="00565656"/>
    <w:rsid w:val="005674AD"/>
    <w:rsid w:val="00567512"/>
    <w:rsid w:val="00570758"/>
    <w:rsid w:val="00573B57"/>
    <w:rsid w:val="00574487"/>
    <w:rsid w:val="005752E9"/>
    <w:rsid w:val="00581F49"/>
    <w:rsid w:val="0058537F"/>
    <w:rsid w:val="00585988"/>
    <w:rsid w:val="00585B28"/>
    <w:rsid w:val="00590B22"/>
    <w:rsid w:val="00591E2A"/>
    <w:rsid w:val="005935DF"/>
    <w:rsid w:val="005A11A0"/>
    <w:rsid w:val="005B00F5"/>
    <w:rsid w:val="005B5647"/>
    <w:rsid w:val="005C073F"/>
    <w:rsid w:val="005C277E"/>
    <w:rsid w:val="005C50F8"/>
    <w:rsid w:val="005C5CED"/>
    <w:rsid w:val="005D63CE"/>
    <w:rsid w:val="005E27DE"/>
    <w:rsid w:val="005E4764"/>
    <w:rsid w:val="005F4399"/>
    <w:rsid w:val="005F66F2"/>
    <w:rsid w:val="005F7202"/>
    <w:rsid w:val="005F7913"/>
    <w:rsid w:val="00606763"/>
    <w:rsid w:val="00610B4F"/>
    <w:rsid w:val="006120F9"/>
    <w:rsid w:val="00621FAA"/>
    <w:rsid w:val="006275E3"/>
    <w:rsid w:val="00632571"/>
    <w:rsid w:val="006374BE"/>
    <w:rsid w:val="0064183A"/>
    <w:rsid w:val="00643BB6"/>
    <w:rsid w:val="00644BD0"/>
    <w:rsid w:val="00652973"/>
    <w:rsid w:val="00656644"/>
    <w:rsid w:val="006714BE"/>
    <w:rsid w:val="006725AB"/>
    <w:rsid w:val="0067712D"/>
    <w:rsid w:val="00680777"/>
    <w:rsid w:val="00684435"/>
    <w:rsid w:val="00694A98"/>
    <w:rsid w:val="00696A48"/>
    <w:rsid w:val="00696CF3"/>
    <w:rsid w:val="006A00FD"/>
    <w:rsid w:val="006A22A7"/>
    <w:rsid w:val="006A2D96"/>
    <w:rsid w:val="006A4868"/>
    <w:rsid w:val="006A6854"/>
    <w:rsid w:val="006A68AE"/>
    <w:rsid w:val="006B3904"/>
    <w:rsid w:val="006B40A5"/>
    <w:rsid w:val="006B4CCB"/>
    <w:rsid w:val="006B7792"/>
    <w:rsid w:val="006C3104"/>
    <w:rsid w:val="006C5DA9"/>
    <w:rsid w:val="006C6523"/>
    <w:rsid w:val="006C6584"/>
    <w:rsid w:val="006C7518"/>
    <w:rsid w:val="006D546E"/>
    <w:rsid w:val="006D68B1"/>
    <w:rsid w:val="006E0926"/>
    <w:rsid w:val="006E252A"/>
    <w:rsid w:val="006E2B6A"/>
    <w:rsid w:val="006E2DD2"/>
    <w:rsid w:val="006E6AC6"/>
    <w:rsid w:val="006F418C"/>
    <w:rsid w:val="006F67DA"/>
    <w:rsid w:val="006F7837"/>
    <w:rsid w:val="00702C20"/>
    <w:rsid w:val="007037A4"/>
    <w:rsid w:val="00711CF9"/>
    <w:rsid w:val="00730E81"/>
    <w:rsid w:val="00731EC8"/>
    <w:rsid w:val="00737FA7"/>
    <w:rsid w:val="007412E2"/>
    <w:rsid w:val="007547F2"/>
    <w:rsid w:val="00760BFC"/>
    <w:rsid w:val="00762C5E"/>
    <w:rsid w:val="00772343"/>
    <w:rsid w:val="00773ADB"/>
    <w:rsid w:val="007800BE"/>
    <w:rsid w:val="0078371C"/>
    <w:rsid w:val="00783987"/>
    <w:rsid w:val="00783AC6"/>
    <w:rsid w:val="00783F44"/>
    <w:rsid w:val="007919E0"/>
    <w:rsid w:val="007A28A3"/>
    <w:rsid w:val="007A3E40"/>
    <w:rsid w:val="007A77D6"/>
    <w:rsid w:val="007B65C2"/>
    <w:rsid w:val="007C3828"/>
    <w:rsid w:val="007C50A7"/>
    <w:rsid w:val="007C5B22"/>
    <w:rsid w:val="007C731B"/>
    <w:rsid w:val="007D2128"/>
    <w:rsid w:val="007D67EE"/>
    <w:rsid w:val="007E120B"/>
    <w:rsid w:val="007E771F"/>
    <w:rsid w:val="007E7F6F"/>
    <w:rsid w:val="007F1048"/>
    <w:rsid w:val="00800200"/>
    <w:rsid w:val="00800AD2"/>
    <w:rsid w:val="00806C1C"/>
    <w:rsid w:val="00807913"/>
    <w:rsid w:val="00810579"/>
    <w:rsid w:val="00810D69"/>
    <w:rsid w:val="00810DBF"/>
    <w:rsid w:val="00814689"/>
    <w:rsid w:val="0081494B"/>
    <w:rsid w:val="00821B7B"/>
    <w:rsid w:val="00824DA1"/>
    <w:rsid w:val="008255DD"/>
    <w:rsid w:val="00826757"/>
    <w:rsid w:val="00834246"/>
    <w:rsid w:val="00843582"/>
    <w:rsid w:val="00851290"/>
    <w:rsid w:val="00862088"/>
    <w:rsid w:val="008664CF"/>
    <w:rsid w:val="00866889"/>
    <w:rsid w:val="008672BE"/>
    <w:rsid w:val="008855EB"/>
    <w:rsid w:val="00886BA9"/>
    <w:rsid w:val="00886DA7"/>
    <w:rsid w:val="008A2A81"/>
    <w:rsid w:val="008A33AC"/>
    <w:rsid w:val="008B2D04"/>
    <w:rsid w:val="008C0A74"/>
    <w:rsid w:val="008C5279"/>
    <w:rsid w:val="008D0272"/>
    <w:rsid w:val="008E39B2"/>
    <w:rsid w:val="008F20BA"/>
    <w:rsid w:val="008F5023"/>
    <w:rsid w:val="008F6B7E"/>
    <w:rsid w:val="00901D16"/>
    <w:rsid w:val="00905057"/>
    <w:rsid w:val="009058B5"/>
    <w:rsid w:val="00906F99"/>
    <w:rsid w:val="00914715"/>
    <w:rsid w:val="00917324"/>
    <w:rsid w:val="0091799B"/>
    <w:rsid w:val="0092535E"/>
    <w:rsid w:val="00926419"/>
    <w:rsid w:val="009321E8"/>
    <w:rsid w:val="00933317"/>
    <w:rsid w:val="00937B23"/>
    <w:rsid w:val="00937B4D"/>
    <w:rsid w:val="00952F16"/>
    <w:rsid w:val="009538E6"/>
    <w:rsid w:val="00955C55"/>
    <w:rsid w:val="00955E9B"/>
    <w:rsid w:val="00957BAC"/>
    <w:rsid w:val="00966E30"/>
    <w:rsid w:val="009704E4"/>
    <w:rsid w:val="00974A4A"/>
    <w:rsid w:val="00977032"/>
    <w:rsid w:val="009775C7"/>
    <w:rsid w:val="0098487E"/>
    <w:rsid w:val="00985D65"/>
    <w:rsid w:val="00991846"/>
    <w:rsid w:val="0099311F"/>
    <w:rsid w:val="009A00C9"/>
    <w:rsid w:val="009A0289"/>
    <w:rsid w:val="009A4738"/>
    <w:rsid w:val="009A4BBB"/>
    <w:rsid w:val="009B3BC6"/>
    <w:rsid w:val="009B7481"/>
    <w:rsid w:val="009C0D3F"/>
    <w:rsid w:val="009C22BE"/>
    <w:rsid w:val="009C388D"/>
    <w:rsid w:val="009D17CC"/>
    <w:rsid w:val="009D28A7"/>
    <w:rsid w:val="009D6BA9"/>
    <w:rsid w:val="009D71E0"/>
    <w:rsid w:val="009E0377"/>
    <w:rsid w:val="009E231A"/>
    <w:rsid w:val="009E2F64"/>
    <w:rsid w:val="009E3ACD"/>
    <w:rsid w:val="00A0109A"/>
    <w:rsid w:val="00A05905"/>
    <w:rsid w:val="00A06F2C"/>
    <w:rsid w:val="00A10E2B"/>
    <w:rsid w:val="00A13A2B"/>
    <w:rsid w:val="00A166CA"/>
    <w:rsid w:val="00A17B12"/>
    <w:rsid w:val="00A229B0"/>
    <w:rsid w:val="00A24793"/>
    <w:rsid w:val="00A2676C"/>
    <w:rsid w:val="00A279C0"/>
    <w:rsid w:val="00A27AC4"/>
    <w:rsid w:val="00A30084"/>
    <w:rsid w:val="00A33A12"/>
    <w:rsid w:val="00A35232"/>
    <w:rsid w:val="00A40A5A"/>
    <w:rsid w:val="00A41B4A"/>
    <w:rsid w:val="00A50895"/>
    <w:rsid w:val="00A52FEF"/>
    <w:rsid w:val="00A5491C"/>
    <w:rsid w:val="00A721B2"/>
    <w:rsid w:val="00A73318"/>
    <w:rsid w:val="00A83D49"/>
    <w:rsid w:val="00A83E2C"/>
    <w:rsid w:val="00A85ABF"/>
    <w:rsid w:val="00A97FF1"/>
    <w:rsid w:val="00AA44D4"/>
    <w:rsid w:val="00AB18B0"/>
    <w:rsid w:val="00AB1AB5"/>
    <w:rsid w:val="00AC142C"/>
    <w:rsid w:val="00AC1468"/>
    <w:rsid w:val="00AC38DC"/>
    <w:rsid w:val="00AC5A46"/>
    <w:rsid w:val="00AC79A9"/>
    <w:rsid w:val="00AC7B8A"/>
    <w:rsid w:val="00AD1238"/>
    <w:rsid w:val="00AD1547"/>
    <w:rsid w:val="00AD78E3"/>
    <w:rsid w:val="00AE081D"/>
    <w:rsid w:val="00AF1005"/>
    <w:rsid w:val="00AF1E6E"/>
    <w:rsid w:val="00AF3940"/>
    <w:rsid w:val="00AF5CBC"/>
    <w:rsid w:val="00AF6116"/>
    <w:rsid w:val="00AF7BB0"/>
    <w:rsid w:val="00B008B8"/>
    <w:rsid w:val="00B07979"/>
    <w:rsid w:val="00B14169"/>
    <w:rsid w:val="00B17C94"/>
    <w:rsid w:val="00B24A1E"/>
    <w:rsid w:val="00B33C76"/>
    <w:rsid w:val="00B41272"/>
    <w:rsid w:val="00B4531C"/>
    <w:rsid w:val="00B4546C"/>
    <w:rsid w:val="00B478EA"/>
    <w:rsid w:val="00B47BD9"/>
    <w:rsid w:val="00B67403"/>
    <w:rsid w:val="00B70F4E"/>
    <w:rsid w:val="00B71261"/>
    <w:rsid w:val="00B76961"/>
    <w:rsid w:val="00B829C7"/>
    <w:rsid w:val="00B85CAC"/>
    <w:rsid w:val="00B86D06"/>
    <w:rsid w:val="00B86F33"/>
    <w:rsid w:val="00B924DF"/>
    <w:rsid w:val="00B963CC"/>
    <w:rsid w:val="00BB323C"/>
    <w:rsid w:val="00BB738F"/>
    <w:rsid w:val="00BC05C7"/>
    <w:rsid w:val="00BC5E09"/>
    <w:rsid w:val="00BD138D"/>
    <w:rsid w:val="00BD34A6"/>
    <w:rsid w:val="00BE06D6"/>
    <w:rsid w:val="00BE171E"/>
    <w:rsid w:val="00BE271A"/>
    <w:rsid w:val="00BE32D1"/>
    <w:rsid w:val="00BF0197"/>
    <w:rsid w:val="00BF12B1"/>
    <w:rsid w:val="00BF2AF4"/>
    <w:rsid w:val="00BF59E3"/>
    <w:rsid w:val="00BF690E"/>
    <w:rsid w:val="00C0089C"/>
    <w:rsid w:val="00C015C5"/>
    <w:rsid w:val="00C0471C"/>
    <w:rsid w:val="00C053D5"/>
    <w:rsid w:val="00C10353"/>
    <w:rsid w:val="00C11766"/>
    <w:rsid w:val="00C13438"/>
    <w:rsid w:val="00C17292"/>
    <w:rsid w:val="00C27309"/>
    <w:rsid w:val="00C3039F"/>
    <w:rsid w:val="00C3428E"/>
    <w:rsid w:val="00C35E93"/>
    <w:rsid w:val="00C40215"/>
    <w:rsid w:val="00C43934"/>
    <w:rsid w:val="00C44D86"/>
    <w:rsid w:val="00C51C2F"/>
    <w:rsid w:val="00C51E97"/>
    <w:rsid w:val="00C5220C"/>
    <w:rsid w:val="00C52374"/>
    <w:rsid w:val="00C54125"/>
    <w:rsid w:val="00C56620"/>
    <w:rsid w:val="00C63294"/>
    <w:rsid w:val="00C6383D"/>
    <w:rsid w:val="00C6544C"/>
    <w:rsid w:val="00C668CB"/>
    <w:rsid w:val="00C673D5"/>
    <w:rsid w:val="00C75B2F"/>
    <w:rsid w:val="00C77552"/>
    <w:rsid w:val="00C77DC6"/>
    <w:rsid w:val="00C83D73"/>
    <w:rsid w:val="00C86521"/>
    <w:rsid w:val="00C926F0"/>
    <w:rsid w:val="00C93D98"/>
    <w:rsid w:val="00CA0F36"/>
    <w:rsid w:val="00CA6836"/>
    <w:rsid w:val="00CB0723"/>
    <w:rsid w:val="00CB1213"/>
    <w:rsid w:val="00CB3780"/>
    <w:rsid w:val="00CC377B"/>
    <w:rsid w:val="00CC4A27"/>
    <w:rsid w:val="00CD2A46"/>
    <w:rsid w:val="00CD580B"/>
    <w:rsid w:val="00CD5F32"/>
    <w:rsid w:val="00CE1EA3"/>
    <w:rsid w:val="00CE4291"/>
    <w:rsid w:val="00CE593F"/>
    <w:rsid w:val="00CF14E3"/>
    <w:rsid w:val="00CF4409"/>
    <w:rsid w:val="00D043C7"/>
    <w:rsid w:val="00D056F3"/>
    <w:rsid w:val="00D107AE"/>
    <w:rsid w:val="00D10BE3"/>
    <w:rsid w:val="00D13020"/>
    <w:rsid w:val="00D145E3"/>
    <w:rsid w:val="00D20C0B"/>
    <w:rsid w:val="00D25749"/>
    <w:rsid w:val="00D274D7"/>
    <w:rsid w:val="00D330BE"/>
    <w:rsid w:val="00D33237"/>
    <w:rsid w:val="00D346C5"/>
    <w:rsid w:val="00D34F95"/>
    <w:rsid w:val="00D366BC"/>
    <w:rsid w:val="00D37F97"/>
    <w:rsid w:val="00D41960"/>
    <w:rsid w:val="00D43707"/>
    <w:rsid w:val="00D43D05"/>
    <w:rsid w:val="00D43F90"/>
    <w:rsid w:val="00D4536B"/>
    <w:rsid w:val="00D479EA"/>
    <w:rsid w:val="00D503F4"/>
    <w:rsid w:val="00D51413"/>
    <w:rsid w:val="00D52281"/>
    <w:rsid w:val="00D527E3"/>
    <w:rsid w:val="00D54880"/>
    <w:rsid w:val="00D56118"/>
    <w:rsid w:val="00D56CC3"/>
    <w:rsid w:val="00D702EF"/>
    <w:rsid w:val="00D74A79"/>
    <w:rsid w:val="00D8090E"/>
    <w:rsid w:val="00D823FC"/>
    <w:rsid w:val="00D82514"/>
    <w:rsid w:val="00D84A82"/>
    <w:rsid w:val="00D861F4"/>
    <w:rsid w:val="00D8716A"/>
    <w:rsid w:val="00D87F31"/>
    <w:rsid w:val="00D908F2"/>
    <w:rsid w:val="00D919BC"/>
    <w:rsid w:val="00DA2054"/>
    <w:rsid w:val="00DA34BE"/>
    <w:rsid w:val="00DA56E7"/>
    <w:rsid w:val="00DA7192"/>
    <w:rsid w:val="00DA7709"/>
    <w:rsid w:val="00DB059D"/>
    <w:rsid w:val="00DB3ACD"/>
    <w:rsid w:val="00DB599C"/>
    <w:rsid w:val="00DB6660"/>
    <w:rsid w:val="00DB66B7"/>
    <w:rsid w:val="00DC4BD9"/>
    <w:rsid w:val="00DC5F5C"/>
    <w:rsid w:val="00DD0202"/>
    <w:rsid w:val="00DD23EF"/>
    <w:rsid w:val="00DD2921"/>
    <w:rsid w:val="00DD69EE"/>
    <w:rsid w:val="00DE17F8"/>
    <w:rsid w:val="00DF2B88"/>
    <w:rsid w:val="00DF6EC0"/>
    <w:rsid w:val="00E005F3"/>
    <w:rsid w:val="00E02904"/>
    <w:rsid w:val="00E06B95"/>
    <w:rsid w:val="00E123CB"/>
    <w:rsid w:val="00E16B3E"/>
    <w:rsid w:val="00E16CC2"/>
    <w:rsid w:val="00E217E1"/>
    <w:rsid w:val="00E229F8"/>
    <w:rsid w:val="00E25150"/>
    <w:rsid w:val="00E252A6"/>
    <w:rsid w:val="00E254DC"/>
    <w:rsid w:val="00E2715D"/>
    <w:rsid w:val="00E365F8"/>
    <w:rsid w:val="00E36C87"/>
    <w:rsid w:val="00E40501"/>
    <w:rsid w:val="00E40729"/>
    <w:rsid w:val="00E41EBC"/>
    <w:rsid w:val="00E429BA"/>
    <w:rsid w:val="00E45672"/>
    <w:rsid w:val="00E4621D"/>
    <w:rsid w:val="00E50F51"/>
    <w:rsid w:val="00E52313"/>
    <w:rsid w:val="00E55F89"/>
    <w:rsid w:val="00E56EC1"/>
    <w:rsid w:val="00E64124"/>
    <w:rsid w:val="00E72A5B"/>
    <w:rsid w:val="00E7412B"/>
    <w:rsid w:val="00E77943"/>
    <w:rsid w:val="00E811C3"/>
    <w:rsid w:val="00E81A91"/>
    <w:rsid w:val="00E83331"/>
    <w:rsid w:val="00E8465E"/>
    <w:rsid w:val="00E86817"/>
    <w:rsid w:val="00E876C6"/>
    <w:rsid w:val="00E908F7"/>
    <w:rsid w:val="00E95948"/>
    <w:rsid w:val="00E96C7B"/>
    <w:rsid w:val="00E97EC0"/>
    <w:rsid w:val="00EA3031"/>
    <w:rsid w:val="00EA3334"/>
    <w:rsid w:val="00EB0AD7"/>
    <w:rsid w:val="00EB0E12"/>
    <w:rsid w:val="00EB4B0A"/>
    <w:rsid w:val="00EC1BFF"/>
    <w:rsid w:val="00EC4FB3"/>
    <w:rsid w:val="00EC6DCF"/>
    <w:rsid w:val="00EC758F"/>
    <w:rsid w:val="00ED01AC"/>
    <w:rsid w:val="00ED0905"/>
    <w:rsid w:val="00ED0D38"/>
    <w:rsid w:val="00EE1452"/>
    <w:rsid w:val="00EE3B69"/>
    <w:rsid w:val="00EE42D9"/>
    <w:rsid w:val="00EE55D9"/>
    <w:rsid w:val="00EE604D"/>
    <w:rsid w:val="00EF1D01"/>
    <w:rsid w:val="00F00F64"/>
    <w:rsid w:val="00F02E89"/>
    <w:rsid w:val="00F0565E"/>
    <w:rsid w:val="00F06CF2"/>
    <w:rsid w:val="00F117C5"/>
    <w:rsid w:val="00F35A68"/>
    <w:rsid w:val="00F36477"/>
    <w:rsid w:val="00F415F3"/>
    <w:rsid w:val="00F42581"/>
    <w:rsid w:val="00F42E6D"/>
    <w:rsid w:val="00F430AF"/>
    <w:rsid w:val="00F43AC4"/>
    <w:rsid w:val="00F47678"/>
    <w:rsid w:val="00F52927"/>
    <w:rsid w:val="00F5298F"/>
    <w:rsid w:val="00F61920"/>
    <w:rsid w:val="00F62FBE"/>
    <w:rsid w:val="00F6734B"/>
    <w:rsid w:val="00F6742E"/>
    <w:rsid w:val="00F7424D"/>
    <w:rsid w:val="00F928DF"/>
    <w:rsid w:val="00F94A89"/>
    <w:rsid w:val="00F94D72"/>
    <w:rsid w:val="00F97072"/>
    <w:rsid w:val="00F975FE"/>
    <w:rsid w:val="00FA2FF1"/>
    <w:rsid w:val="00FA37FC"/>
    <w:rsid w:val="00FA68C1"/>
    <w:rsid w:val="00FA79F7"/>
    <w:rsid w:val="00FB5304"/>
    <w:rsid w:val="00FB53F5"/>
    <w:rsid w:val="00FB5BA4"/>
    <w:rsid w:val="00FC20B7"/>
    <w:rsid w:val="00FC2925"/>
    <w:rsid w:val="00FC65D7"/>
    <w:rsid w:val="00FC7340"/>
    <w:rsid w:val="00FD542B"/>
    <w:rsid w:val="00FE38A9"/>
    <w:rsid w:val="00FE3F74"/>
    <w:rsid w:val="00FE4A2D"/>
    <w:rsid w:val="00FE6E75"/>
    <w:rsid w:val="00FF39B1"/>
    <w:rsid w:val="00FF42D7"/>
    <w:rsid w:val="00FF5931"/>
    <w:rsid w:val="00FF6EB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colormru v:ext="edit" colors="#ffc42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iPriority="0"/>
    <w:lsdException w:name="header" w:unhideWhenUsed="1"/>
    <w:lsdException w:name="footer" w:uiPriority="0" w:unhideWhenUsed="1"/>
    <w:lsdException w:name="caption" w:uiPriority="35" w:qFormat="1"/>
    <w:lsdException w:name="table of figures" w:unhideWhenUsed="1"/>
    <w:lsdException w:name="annotation reference" w:uiPriority="0"/>
    <w:lsdException w:name="page number" w:uiPriority="0" w:unhideWhenUsed="1"/>
    <w:lsdException w:name="List Bullet" w:uiPriority="0"/>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FollowedHyperlink" w:uiPriority="0"/>
    <w:lsdException w:name="Strong" w:uiPriority="22" w:qFormat="1"/>
    <w:lsdException w:name="Emphasis" w:uiPriority="20" w:qFormat="1"/>
    <w:lsdException w:name="Plain Text" w:uiPriority="0"/>
    <w:lsdException w:name="HTML Top of Form" w:unhideWhenUsed="1"/>
    <w:lsdException w:name="HTML Bottom of Form" w:unhideWhenUsed="1"/>
    <w:lsdException w:name="Normal (Web)"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71"/>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C3039F"/>
    <w:pPr>
      <w:spacing w:before="160" w:line="260" w:lineRule="exact"/>
    </w:pPr>
    <w:rPr>
      <w:rFonts w:ascii="Trebuchet MS" w:hAnsi="Trebuchet MS"/>
      <w:sz w:val="19"/>
      <w:lang w:val="en-AU"/>
    </w:rPr>
  </w:style>
  <w:style w:type="paragraph" w:styleId="Heading1">
    <w:name w:val="heading 1"/>
    <w:next w:val="Text"/>
    <w:link w:val="Heading1Char"/>
    <w:qFormat/>
    <w:rsid w:val="00D479EA"/>
    <w:pPr>
      <w:keepNext/>
      <w:spacing w:after="360"/>
      <w:outlineLvl w:val="0"/>
    </w:pPr>
    <w:rPr>
      <w:rFonts w:ascii="Arial" w:hAnsi="Arial" w:cs="Tahoma"/>
      <w:color w:val="000000"/>
      <w:kern w:val="28"/>
      <w:sz w:val="44"/>
      <w:szCs w:val="56"/>
      <w:lang w:val="en-AU"/>
    </w:rPr>
  </w:style>
  <w:style w:type="paragraph" w:styleId="Heading2">
    <w:name w:val="heading 2"/>
    <w:next w:val="Text"/>
    <w:qFormat/>
    <w:rsid w:val="004F0B76"/>
    <w:pPr>
      <w:keepNext/>
      <w:spacing w:before="360"/>
      <w:ind w:right="-369"/>
      <w:outlineLvl w:val="1"/>
    </w:pPr>
    <w:rPr>
      <w:rFonts w:ascii="Arial" w:hAnsi="Arial" w:cs="Tahoma"/>
      <w:sz w:val="28"/>
      <w:lang w:val="en-AU"/>
    </w:rPr>
  </w:style>
  <w:style w:type="paragraph" w:styleId="Heading3">
    <w:name w:val="heading 3"/>
    <w:next w:val="Text"/>
    <w:link w:val="Heading3Char"/>
    <w:qFormat/>
    <w:rsid w:val="004F0B76"/>
    <w:pPr>
      <w:spacing w:before="280"/>
      <w:outlineLvl w:val="2"/>
    </w:pPr>
    <w:rPr>
      <w:rFonts w:ascii="Arial" w:hAnsi="Arial" w:cs="Tahoma"/>
      <w:color w:val="000000"/>
      <w:sz w:val="24"/>
      <w:lang w:val="en-AU"/>
    </w:rPr>
  </w:style>
  <w:style w:type="paragraph" w:styleId="Heading4">
    <w:name w:val="heading 4"/>
    <w:next w:val="Text"/>
    <w:link w:val="Heading4Char"/>
    <w:qFormat/>
    <w:rsid w:val="006D546E"/>
    <w:pPr>
      <w:spacing w:before="240"/>
      <w:outlineLvl w:val="3"/>
    </w:pPr>
    <w:rPr>
      <w:rFonts w:ascii="Tahoma" w:hAnsi="Tahoma"/>
      <w:i/>
      <w:sz w:val="24"/>
      <w:lang w:val="en-AU"/>
    </w:rPr>
  </w:style>
  <w:style w:type="paragraph" w:styleId="Heading5">
    <w:name w:val="heading 5"/>
    <w:basedOn w:val="Normal"/>
    <w:next w:val="Normal"/>
    <w:qFormat/>
    <w:rsid w:val="006D546E"/>
    <w:pPr>
      <w:keepNext/>
      <w:outlineLvl w:val="4"/>
    </w:pPr>
    <w:rPr>
      <w:rFonts w:ascii="Tahoma" w:hAnsi="Tahoma"/>
      <w:b/>
    </w:rPr>
  </w:style>
  <w:style w:type="paragraph" w:styleId="Heading6">
    <w:name w:val="heading 6"/>
    <w:basedOn w:val="Normal"/>
    <w:next w:val="Normal"/>
    <w:qFormat/>
    <w:rsid w:val="006D546E"/>
    <w:pPr>
      <w:keepNext/>
      <w:ind w:left="2977"/>
      <w:outlineLvl w:val="5"/>
    </w:pPr>
    <w:rPr>
      <w:rFonts w:ascii="Tahoma" w:hAnsi="Tahoma"/>
      <w:sz w:val="20"/>
    </w:rPr>
  </w:style>
  <w:style w:type="paragraph" w:styleId="Heading7">
    <w:name w:val="heading 7"/>
    <w:basedOn w:val="Normal"/>
    <w:next w:val="Normal"/>
    <w:qFormat/>
    <w:rsid w:val="006D546E"/>
    <w:pPr>
      <w:keepNext/>
      <w:jc w:val="center"/>
      <w:outlineLvl w:val="6"/>
    </w:pPr>
    <w:rPr>
      <w:rFonts w:ascii="Tahoma" w:hAnsi="Tahoma"/>
      <w:spacing w:val="20"/>
      <w:sz w:val="20"/>
    </w:rPr>
  </w:style>
  <w:style w:type="paragraph" w:styleId="Heading8">
    <w:name w:val="heading 8"/>
    <w:basedOn w:val="Normal"/>
    <w:next w:val="Normal"/>
    <w:qFormat/>
    <w:rsid w:val="006D546E"/>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D479E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D479EA"/>
    <w:rPr>
      <w:rFonts w:ascii="Trebuchet MS" w:hAnsi="Trebuchet MS"/>
      <w:sz w:val="19"/>
      <w:lang w:val="en-AU"/>
    </w:rPr>
  </w:style>
  <w:style w:type="character" w:customStyle="1" w:styleId="Heading3Char">
    <w:name w:val="Heading 3 Char"/>
    <w:basedOn w:val="DefaultParagraphFont"/>
    <w:link w:val="Heading3"/>
    <w:rsid w:val="004F0B76"/>
    <w:rPr>
      <w:rFonts w:ascii="Arial" w:hAnsi="Arial" w:cs="Tahoma"/>
      <w:color w:val="000000"/>
      <w:sz w:val="24"/>
      <w:lang w:val="en-AU"/>
    </w:rPr>
  </w:style>
  <w:style w:type="character" w:customStyle="1" w:styleId="Heading4Char">
    <w:name w:val="Heading 4 Char"/>
    <w:basedOn w:val="DefaultParagraphFont"/>
    <w:link w:val="Heading4"/>
    <w:rsid w:val="00251024"/>
    <w:rPr>
      <w:rFonts w:ascii="Tahoma" w:hAnsi="Tahoma"/>
      <w:i/>
      <w:sz w:val="24"/>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rsid w:val="005A11A0"/>
    <w:pPr>
      <w:tabs>
        <w:tab w:val="right" w:pos="8505"/>
      </w:tabs>
      <w:spacing w:before="0"/>
    </w:pPr>
    <w:rPr>
      <w:rFonts w:ascii="Arial" w:hAnsi="Arial"/>
      <w:b/>
      <w:sz w:val="17"/>
      <w:szCs w:val="17"/>
    </w:rPr>
  </w:style>
  <w:style w:type="character" w:customStyle="1" w:styleId="FooterChar">
    <w:name w:val="Footer Char"/>
    <w:link w:val="Footer"/>
    <w:rsid w:val="005A11A0"/>
    <w:rPr>
      <w:rFonts w:ascii="Arial" w:hAnsi="Arial"/>
      <w:b/>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5A11A0"/>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6D546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150874"/>
    <w:pPr>
      <w:tabs>
        <w:tab w:val="left" w:pos="992"/>
      </w:tabs>
      <w:spacing w:before="20" w:after="20"/>
    </w:pPr>
    <w:rPr>
      <w:rFonts w:ascii="Tahoma" w:hAnsi="Tahoma"/>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4E7227"/>
    <w:pPr>
      <w:tabs>
        <w:tab w:val="left" w:pos="284"/>
      </w:tabs>
      <w:spacing w:before="80"/>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5C277E"/>
    <w:pPr>
      <w:numPr>
        <w:numId w:val="1"/>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pPr>
  </w:style>
  <w:style w:type="paragraph" w:customStyle="1" w:styleId="NumberedListContinuing">
    <w:name w:val="NumberedListContinuing"/>
    <w:basedOn w:val="Dotpoint1"/>
    <w:rsid w:val="00CE4291"/>
    <w:pPr>
      <w:numPr>
        <w:numId w:val="5"/>
      </w:numPr>
      <w:tabs>
        <w:tab w:val="clear" w:pos="284"/>
      </w:tabs>
    </w:pPr>
    <w:rPr>
      <w:lang w:eastAsia="en-AU"/>
    </w:rPr>
  </w:style>
  <w:style w:type="paragraph" w:customStyle="1" w:styleId="Source">
    <w:name w:val="Source"/>
    <w:rsid w:val="00113805"/>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uiPriority w:val="99"/>
    <w:rsid w:val="00251024"/>
    <w:rPr>
      <w:rFonts w:ascii="Trebuchet MS" w:hAnsi="Trebuchet MS"/>
      <w:sz w:val="16"/>
      <w:lang w:val="en-AU"/>
    </w:rPr>
  </w:style>
  <w:style w:type="paragraph" w:styleId="NormalWeb">
    <w:name w:val="Normal (Web)"/>
    <w:basedOn w:val="Normal"/>
    <w:uiPriority w:val="99"/>
    <w:rsid w:val="009058B5"/>
    <w:pPr>
      <w:spacing w:before="100" w:beforeAutospacing="1" w:after="240"/>
    </w:pPr>
    <w:rPr>
      <w:sz w:val="18"/>
      <w:szCs w:val="18"/>
    </w:rPr>
  </w:style>
  <w:style w:type="paragraph" w:customStyle="1" w:styleId="Titlepage">
    <w:name w:val="Title page"/>
    <w:basedOn w:val="Heading1"/>
    <w:next w:val="Titlepagesubtitle"/>
    <w:link w:val="TitlepageChar"/>
    <w:qFormat/>
    <w:rsid w:val="006D68B1"/>
    <w:pPr>
      <w:spacing w:after="120"/>
    </w:pPr>
    <w:rPr>
      <w:rFonts w:cs="Arial"/>
      <w:color w:val="0081C6"/>
      <w:sz w:val="55"/>
      <w:szCs w:val="55"/>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6D546E"/>
    <w:pPr>
      <w:ind w:left="720"/>
      <w:contextualSpacing/>
    </w:pPr>
  </w:style>
  <w:style w:type="character" w:styleId="PlaceholderText">
    <w:name w:val="Placeholder Text"/>
    <w:basedOn w:val="DefaultParagraphFont"/>
    <w:uiPriority w:val="99"/>
    <w:semiHidden/>
    <w:rsid w:val="00C5220C"/>
    <w:rPr>
      <w:color w:val="808080"/>
    </w:rPr>
  </w:style>
  <w:style w:type="paragraph" w:customStyle="1" w:styleId="Tabletitle0">
    <w:name w:val="Tabletitle"/>
    <w:next w:val="Text"/>
    <w:rsid w:val="00A85ABF"/>
    <w:pPr>
      <w:spacing w:before="360" w:after="80"/>
      <w:ind w:left="851" w:hanging="851"/>
    </w:pPr>
    <w:rPr>
      <w:rFonts w:ascii="Arial" w:hAnsi="Arial"/>
      <w:b/>
      <w:sz w:val="17"/>
      <w:lang w:val="en-AU"/>
    </w:rPr>
  </w:style>
  <w:style w:type="paragraph" w:customStyle="1" w:styleId="PublicationTitle">
    <w:name w:val="Publication Title"/>
    <w:qFormat/>
    <w:rsid w:val="006D546E"/>
    <w:pPr>
      <w:spacing w:before="3200" w:after="840"/>
      <w:ind w:left="1701"/>
    </w:pPr>
    <w:rPr>
      <w:rFonts w:ascii="Tahoma" w:hAnsi="Tahoma" w:cs="Tahoma"/>
      <w:color w:val="000000"/>
      <w:kern w:val="28"/>
      <w:sz w:val="56"/>
      <w:szCs w:val="56"/>
      <w:lang w:val="en-AU"/>
    </w:rPr>
  </w:style>
  <w:style w:type="paragraph" w:customStyle="1" w:styleId="Authors">
    <w:name w:val="Authors"/>
    <w:qFormat/>
    <w:rsid w:val="006D546E"/>
    <w:pPr>
      <w:ind w:left="1701" w:right="-1"/>
    </w:pPr>
    <w:rPr>
      <w:rFonts w:ascii="Tahoma" w:hAnsi="Tahoma" w:cs="Tahoma"/>
      <w:sz w:val="28"/>
      <w:lang w:val="en-AU"/>
    </w:rPr>
  </w:style>
  <w:style w:type="paragraph" w:customStyle="1" w:styleId="Contents">
    <w:name w:val="Contents"/>
    <w:qFormat/>
    <w:rsid w:val="00072DD8"/>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6D546E"/>
    <w:pPr>
      <w:spacing w:before="360"/>
    </w:pPr>
    <w:rPr>
      <w:rFonts w:ascii="Tahoma" w:hAnsi="Tahoma" w:cs="Tahoma"/>
      <w:i/>
      <w:sz w:val="28"/>
      <w:lang w:val="en-AU"/>
    </w:rPr>
  </w:style>
  <w:style w:type="paragraph" w:customStyle="1" w:styleId="Abouttheresearch">
    <w:name w:val="About the research"/>
    <w:uiPriority w:val="1"/>
    <w:qFormat/>
    <w:rsid w:val="006D546E"/>
    <w:rPr>
      <w:rFonts w:ascii="Tahoma" w:hAnsi="Tahoma" w:cs="Tahoma"/>
      <w:color w:val="000000"/>
      <w:kern w:val="28"/>
      <w:sz w:val="56"/>
      <w:szCs w:val="56"/>
      <w:lang w:val="en-AU"/>
    </w:rPr>
  </w:style>
  <w:style w:type="paragraph" w:customStyle="1" w:styleId="Keymessages">
    <w:name w:val="Key messages"/>
    <w:uiPriority w:val="1"/>
    <w:qFormat/>
    <w:rsid w:val="006D546E"/>
    <w:pPr>
      <w:spacing w:before="360"/>
    </w:pPr>
    <w:rPr>
      <w:rFonts w:ascii="Tahoma" w:hAnsi="Tahoma" w:cs="Tahoma"/>
      <w:sz w:val="28"/>
      <w:lang w:val="en-AU"/>
    </w:rPr>
  </w:style>
  <w:style w:type="paragraph" w:customStyle="1" w:styleId="Organisation">
    <w:name w:val="Organisation"/>
    <w:basedOn w:val="Authors"/>
    <w:uiPriority w:val="1"/>
    <w:qFormat/>
    <w:rsid w:val="006D546E"/>
    <w:pPr>
      <w:spacing w:before="120"/>
      <w:ind w:right="0"/>
    </w:pPr>
    <w:rPr>
      <w:sz w:val="24"/>
    </w:rPr>
  </w:style>
  <w:style w:type="paragraph" w:styleId="CommentText">
    <w:name w:val="annotation text"/>
    <w:basedOn w:val="Normal"/>
    <w:link w:val="CommentTextChar"/>
    <w:semiHidden/>
    <w:rsid w:val="00251024"/>
    <w:pPr>
      <w:spacing w:before="0" w:line="240" w:lineRule="auto"/>
    </w:pPr>
    <w:rPr>
      <w:rFonts w:ascii="Times New Roman" w:hAnsi="Times New Roman"/>
      <w:sz w:val="20"/>
      <w:lang w:eastAsia="en-AU"/>
    </w:rPr>
  </w:style>
  <w:style w:type="character" w:customStyle="1" w:styleId="CommentTextChar">
    <w:name w:val="Comment Text Char"/>
    <w:basedOn w:val="DefaultParagraphFont"/>
    <w:link w:val="CommentText"/>
    <w:semiHidden/>
    <w:rsid w:val="00251024"/>
    <w:rPr>
      <w:lang w:val="en-AU" w:eastAsia="en-AU"/>
    </w:rPr>
  </w:style>
  <w:style w:type="paragraph" w:styleId="CommentSubject">
    <w:name w:val="annotation subject"/>
    <w:basedOn w:val="CommentText"/>
    <w:next w:val="CommentText"/>
    <w:link w:val="CommentSubjectChar"/>
    <w:semiHidden/>
    <w:rsid w:val="00251024"/>
    <w:rPr>
      <w:b/>
      <w:bCs/>
    </w:rPr>
  </w:style>
  <w:style w:type="character" w:customStyle="1" w:styleId="CommentSubjectChar">
    <w:name w:val="Comment Subject Char"/>
    <w:basedOn w:val="CommentTextChar"/>
    <w:link w:val="CommentSubject"/>
    <w:semiHidden/>
    <w:rsid w:val="00251024"/>
    <w:rPr>
      <w:b/>
      <w:bCs/>
      <w:lang w:val="en-AU" w:eastAsia="en-AU"/>
    </w:rPr>
  </w:style>
  <w:style w:type="character" w:styleId="FollowedHyperlink">
    <w:name w:val="FollowedHyperlink"/>
    <w:rsid w:val="00251024"/>
    <w:rPr>
      <w:color w:val="800080"/>
      <w:u w:val="single"/>
    </w:rPr>
  </w:style>
  <w:style w:type="character" w:styleId="Strong">
    <w:name w:val="Strong"/>
    <w:uiPriority w:val="22"/>
    <w:semiHidden/>
    <w:qFormat/>
    <w:rsid w:val="00251024"/>
    <w:rPr>
      <w:b/>
      <w:bCs/>
    </w:rPr>
  </w:style>
  <w:style w:type="paragraph" w:styleId="Title">
    <w:name w:val="Title"/>
    <w:basedOn w:val="Normal"/>
    <w:link w:val="TitleChar"/>
    <w:uiPriority w:val="10"/>
    <w:semiHidden/>
    <w:qFormat/>
    <w:rsid w:val="0025102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251024"/>
    <w:rPr>
      <w:rFonts w:asciiTheme="majorHAnsi" w:eastAsiaTheme="majorEastAsia" w:hAnsiTheme="majorHAnsi" w:cstheme="majorBidi"/>
      <w:color w:val="17365D" w:themeColor="text2" w:themeShade="BF"/>
      <w:spacing w:val="5"/>
      <w:kern w:val="28"/>
      <w:sz w:val="52"/>
      <w:szCs w:val="52"/>
      <w:lang w:val="en-AU"/>
    </w:rPr>
  </w:style>
  <w:style w:type="paragraph" w:styleId="Revision">
    <w:name w:val="Revision"/>
    <w:hidden/>
    <w:uiPriority w:val="71"/>
    <w:rsid w:val="00251024"/>
    <w:rPr>
      <w:sz w:val="22"/>
      <w:lang w:val="en-AU" w:eastAsia="en-AU"/>
    </w:rPr>
  </w:style>
  <w:style w:type="paragraph" w:customStyle="1" w:styleId="DotPoints">
    <w:name w:val="DotPoints"/>
    <w:basedOn w:val="Normal"/>
    <w:rsid w:val="00251024"/>
    <w:pPr>
      <w:numPr>
        <w:numId w:val="3"/>
      </w:numPr>
      <w:spacing w:before="0" w:line="240" w:lineRule="auto"/>
    </w:pPr>
    <w:rPr>
      <w:rFonts w:ascii="Verdana" w:hAnsi="Verdana"/>
      <w:sz w:val="22"/>
      <w:szCs w:val="24"/>
      <w:lang w:eastAsia="en-AU"/>
    </w:rPr>
  </w:style>
  <w:style w:type="character" w:styleId="FootnoteReference">
    <w:name w:val="footnote reference"/>
    <w:basedOn w:val="DefaultParagraphFont"/>
    <w:uiPriority w:val="99"/>
    <w:rsid w:val="00251024"/>
    <w:rPr>
      <w:vertAlign w:val="superscript"/>
    </w:rPr>
  </w:style>
  <w:style w:type="paragraph" w:styleId="ListBullet">
    <w:name w:val="List Bullet"/>
    <w:basedOn w:val="Normal"/>
    <w:unhideWhenUsed/>
    <w:rsid w:val="00251024"/>
    <w:pPr>
      <w:widowControl w:val="0"/>
      <w:spacing w:before="0" w:after="60" w:line="240" w:lineRule="auto"/>
      <w:ind w:left="284" w:hanging="284"/>
    </w:pPr>
    <w:rPr>
      <w:rFonts w:ascii="Times New Roman" w:hAnsi="Times New Roman"/>
      <w:sz w:val="24"/>
    </w:rPr>
  </w:style>
  <w:style w:type="paragraph" w:customStyle="1" w:styleId="BulletList">
    <w:name w:val="BulletList"/>
    <w:basedOn w:val="Normal"/>
    <w:rsid w:val="00251024"/>
    <w:pPr>
      <w:numPr>
        <w:numId w:val="4"/>
      </w:numPr>
      <w:spacing w:before="0" w:line="240" w:lineRule="auto"/>
    </w:pPr>
    <w:rPr>
      <w:rFonts w:ascii="Times New Roman" w:hAnsi="Times New Roman"/>
      <w:sz w:val="24"/>
      <w:szCs w:val="24"/>
      <w:lang w:eastAsia="en-AU"/>
    </w:rPr>
  </w:style>
  <w:style w:type="paragraph" w:customStyle="1" w:styleId="NumericalList">
    <w:name w:val="Numerical List"/>
    <w:basedOn w:val="Text"/>
    <w:rsid w:val="00251024"/>
    <w:pPr>
      <w:tabs>
        <w:tab w:val="left" w:pos="404"/>
      </w:tabs>
      <w:spacing w:before="0" w:line="240" w:lineRule="auto"/>
      <w:ind w:left="389" w:right="0" w:hanging="389"/>
    </w:pPr>
    <w:rPr>
      <w:rFonts w:ascii="Verdana" w:hAnsi="Verdana" w:cs="Arial"/>
      <w:lang w:eastAsia="en-AU"/>
    </w:rPr>
  </w:style>
  <w:style w:type="paragraph" w:customStyle="1" w:styleId="Default">
    <w:name w:val="Default"/>
    <w:rsid w:val="00251024"/>
    <w:pPr>
      <w:autoSpaceDE w:val="0"/>
      <w:autoSpaceDN w:val="0"/>
      <w:adjustRightInd w:val="0"/>
    </w:pPr>
    <w:rPr>
      <w:rFonts w:ascii="Garamond" w:eastAsia="Calibri" w:hAnsi="Garamond" w:cs="Garamond"/>
      <w:color w:val="000000"/>
      <w:sz w:val="24"/>
      <w:szCs w:val="24"/>
      <w:lang w:val="en-AU"/>
    </w:rPr>
  </w:style>
  <w:style w:type="character" w:styleId="Emphasis">
    <w:name w:val="Emphasis"/>
    <w:basedOn w:val="DefaultParagraphFont"/>
    <w:uiPriority w:val="20"/>
    <w:qFormat/>
    <w:rsid w:val="00251024"/>
    <w:rPr>
      <w:i/>
      <w:iCs/>
    </w:rPr>
  </w:style>
  <w:style w:type="paragraph" w:customStyle="1" w:styleId="Author">
    <w:name w:val="Author"/>
    <w:basedOn w:val="Heading2"/>
    <w:uiPriority w:val="1"/>
    <w:qFormat/>
    <w:rsid w:val="00A166CA"/>
    <w:pPr>
      <w:spacing w:before="0"/>
    </w:pPr>
  </w:style>
  <w:style w:type="paragraph" w:customStyle="1" w:styleId="Titlepagesubtitle">
    <w:name w:val="Title page sub title"/>
    <w:basedOn w:val="Titlepage"/>
    <w:link w:val="TitlepagesubtitleChar"/>
    <w:uiPriority w:val="1"/>
    <w:qFormat/>
    <w:rsid w:val="00A166CA"/>
    <w:rPr>
      <w:sz w:val="44"/>
      <w:szCs w:val="44"/>
    </w:rPr>
  </w:style>
  <w:style w:type="character" w:customStyle="1" w:styleId="Heading1Char">
    <w:name w:val="Heading 1 Char"/>
    <w:basedOn w:val="DefaultParagraphFont"/>
    <w:link w:val="Heading1"/>
    <w:rsid w:val="00D479EA"/>
    <w:rPr>
      <w:rFonts w:ascii="Arial" w:hAnsi="Arial" w:cs="Tahoma"/>
      <w:color w:val="000000"/>
      <w:kern w:val="28"/>
      <w:sz w:val="44"/>
      <w:szCs w:val="56"/>
      <w:lang w:val="en-AU"/>
    </w:rPr>
  </w:style>
  <w:style w:type="character" w:customStyle="1" w:styleId="TitlepageChar">
    <w:name w:val="Title page Char"/>
    <w:basedOn w:val="Heading1Char"/>
    <w:link w:val="Titlepage"/>
    <w:rsid w:val="006D68B1"/>
    <w:rPr>
      <w:rFonts w:ascii="Arial" w:hAnsi="Arial" w:cs="Arial"/>
      <w:color w:val="0081C6"/>
      <w:kern w:val="28"/>
      <w:sz w:val="55"/>
      <w:szCs w:val="55"/>
      <w:lang w:val="en-AU"/>
    </w:rPr>
  </w:style>
  <w:style w:type="character" w:customStyle="1" w:styleId="TitlepagesubtitleChar">
    <w:name w:val="Title page sub title Char"/>
    <w:basedOn w:val="TitlepageChar"/>
    <w:link w:val="Titlepagesubtitle"/>
    <w:uiPriority w:val="1"/>
    <w:rsid w:val="006D68B1"/>
    <w:rPr>
      <w:rFonts w:ascii="Arial" w:hAnsi="Arial" w:cs="Arial"/>
      <w:color w:val="0081C6"/>
      <w:kern w:val="28"/>
      <w:sz w:val="44"/>
      <w:szCs w:val="44"/>
      <w:lang w:val="en-AU"/>
    </w:rPr>
  </w:style>
  <w:style w:type="character" w:customStyle="1" w:styleId="entryauthor7">
    <w:name w:val="entryauthor7"/>
    <w:basedOn w:val="DefaultParagraphFont"/>
    <w:rsid w:val="00201935"/>
    <w:rPr>
      <w:i/>
      <w:iCs/>
      <w:sz w:val="21"/>
      <w:szCs w:val="21"/>
    </w:rPr>
  </w:style>
  <w:style w:type="character" w:customStyle="1" w:styleId="journalname">
    <w:name w:val="journalname"/>
    <w:basedOn w:val="DefaultParagraphFont"/>
    <w:rsid w:val="00201935"/>
  </w:style>
  <w:style w:type="character" w:customStyle="1" w:styleId="volume">
    <w:name w:val="volume"/>
    <w:basedOn w:val="DefaultParagraphFont"/>
    <w:rsid w:val="00201935"/>
  </w:style>
  <w:style w:type="character" w:customStyle="1" w:styleId="st1">
    <w:name w:val="st1"/>
    <w:basedOn w:val="DefaultParagraphFont"/>
    <w:rsid w:val="001D693B"/>
  </w:style>
  <w:style w:type="character" w:customStyle="1" w:styleId="current-selection">
    <w:name w:val="current-selection"/>
    <w:basedOn w:val="DefaultParagraphFont"/>
    <w:rsid w:val="002F7E94"/>
  </w:style>
  <w:style w:type="character" w:customStyle="1" w:styleId="ls1">
    <w:name w:val="ls1"/>
    <w:basedOn w:val="DefaultParagraphFont"/>
    <w:rsid w:val="002F7E94"/>
  </w:style>
  <w:style w:type="character" w:customStyle="1" w:styleId="fc0">
    <w:name w:val="fc0"/>
    <w:basedOn w:val="DefaultParagraphFont"/>
    <w:rsid w:val="002F7E94"/>
  </w:style>
  <w:style w:type="character" w:customStyle="1" w:styleId="ls5">
    <w:name w:val="ls5"/>
    <w:basedOn w:val="DefaultParagraphFont"/>
    <w:rsid w:val="002F7E94"/>
  </w:style>
  <w:style w:type="character" w:styleId="CommentReference">
    <w:name w:val="annotation reference"/>
    <w:basedOn w:val="DefaultParagraphFont"/>
    <w:semiHidden/>
    <w:rsid w:val="00EA3334"/>
    <w:rPr>
      <w:sz w:val="16"/>
      <w:szCs w:val="16"/>
    </w:rPr>
  </w:style>
  <w:style w:type="paragraph" w:customStyle="1" w:styleId="PullQuote">
    <w:name w:val="PullQuote"/>
    <w:basedOn w:val="Normal"/>
    <w:uiPriority w:val="1"/>
    <w:qFormat/>
    <w:rsid w:val="00FC20B7"/>
    <w:pPr>
      <w:pBdr>
        <w:top w:val="single" w:sz="8" w:space="1" w:color="auto"/>
      </w:pBdr>
      <w:spacing w:before="0" w:line="280" w:lineRule="exact"/>
      <w:ind w:left="-425"/>
    </w:pPr>
    <w:rPr>
      <w:rFonts w:ascii="Arial" w:hAnsi="Arial" w:cs="Arial"/>
      <w:b/>
      <w:sz w:val="17"/>
      <w:szCs w:val="17"/>
    </w:rPr>
  </w:style>
  <w:style w:type="character" w:customStyle="1" w:styleId="tgc">
    <w:name w:val="_tgc"/>
    <w:basedOn w:val="DefaultParagraphFont"/>
    <w:rsid w:val="00F06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iPriority="0"/>
    <w:lsdException w:name="header" w:unhideWhenUsed="1"/>
    <w:lsdException w:name="footer" w:uiPriority="0" w:unhideWhenUsed="1"/>
    <w:lsdException w:name="caption" w:uiPriority="35" w:qFormat="1"/>
    <w:lsdException w:name="table of figures" w:unhideWhenUsed="1"/>
    <w:lsdException w:name="annotation reference" w:uiPriority="0"/>
    <w:lsdException w:name="page number" w:uiPriority="0" w:unhideWhenUsed="1"/>
    <w:lsdException w:name="List Bullet" w:uiPriority="0"/>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FollowedHyperlink" w:uiPriority="0"/>
    <w:lsdException w:name="Strong" w:uiPriority="22" w:qFormat="1"/>
    <w:lsdException w:name="Emphasis" w:uiPriority="20" w:qFormat="1"/>
    <w:lsdException w:name="Plain Text" w:uiPriority="0"/>
    <w:lsdException w:name="HTML Top of Form" w:unhideWhenUsed="1"/>
    <w:lsdException w:name="HTML Bottom of Form" w:unhideWhenUsed="1"/>
    <w:lsdException w:name="Normal (Web)"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71"/>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C3039F"/>
    <w:pPr>
      <w:spacing w:before="160" w:line="260" w:lineRule="exact"/>
    </w:pPr>
    <w:rPr>
      <w:rFonts w:ascii="Trebuchet MS" w:hAnsi="Trebuchet MS"/>
      <w:sz w:val="19"/>
      <w:lang w:val="en-AU"/>
    </w:rPr>
  </w:style>
  <w:style w:type="paragraph" w:styleId="Heading1">
    <w:name w:val="heading 1"/>
    <w:next w:val="Text"/>
    <w:link w:val="Heading1Char"/>
    <w:qFormat/>
    <w:rsid w:val="00D479EA"/>
    <w:pPr>
      <w:keepNext/>
      <w:spacing w:after="360"/>
      <w:outlineLvl w:val="0"/>
    </w:pPr>
    <w:rPr>
      <w:rFonts w:ascii="Arial" w:hAnsi="Arial" w:cs="Tahoma"/>
      <w:color w:val="000000"/>
      <w:kern w:val="28"/>
      <w:sz w:val="44"/>
      <w:szCs w:val="56"/>
      <w:lang w:val="en-AU"/>
    </w:rPr>
  </w:style>
  <w:style w:type="paragraph" w:styleId="Heading2">
    <w:name w:val="heading 2"/>
    <w:next w:val="Text"/>
    <w:qFormat/>
    <w:rsid w:val="004F0B76"/>
    <w:pPr>
      <w:keepNext/>
      <w:spacing w:before="360"/>
      <w:ind w:right="-369"/>
      <w:outlineLvl w:val="1"/>
    </w:pPr>
    <w:rPr>
      <w:rFonts w:ascii="Arial" w:hAnsi="Arial" w:cs="Tahoma"/>
      <w:sz w:val="28"/>
      <w:lang w:val="en-AU"/>
    </w:rPr>
  </w:style>
  <w:style w:type="paragraph" w:styleId="Heading3">
    <w:name w:val="heading 3"/>
    <w:next w:val="Text"/>
    <w:link w:val="Heading3Char"/>
    <w:qFormat/>
    <w:rsid w:val="004F0B76"/>
    <w:pPr>
      <w:spacing w:before="280"/>
      <w:outlineLvl w:val="2"/>
    </w:pPr>
    <w:rPr>
      <w:rFonts w:ascii="Arial" w:hAnsi="Arial" w:cs="Tahoma"/>
      <w:color w:val="000000"/>
      <w:sz w:val="24"/>
      <w:lang w:val="en-AU"/>
    </w:rPr>
  </w:style>
  <w:style w:type="paragraph" w:styleId="Heading4">
    <w:name w:val="heading 4"/>
    <w:next w:val="Text"/>
    <w:link w:val="Heading4Char"/>
    <w:qFormat/>
    <w:rsid w:val="006D546E"/>
    <w:pPr>
      <w:spacing w:before="240"/>
      <w:outlineLvl w:val="3"/>
    </w:pPr>
    <w:rPr>
      <w:rFonts w:ascii="Tahoma" w:hAnsi="Tahoma"/>
      <w:i/>
      <w:sz w:val="24"/>
      <w:lang w:val="en-AU"/>
    </w:rPr>
  </w:style>
  <w:style w:type="paragraph" w:styleId="Heading5">
    <w:name w:val="heading 5"/>
    <w:basedOn w:val="Normal"/>
    <w:next w:val="Normal"/>
    <w:qFormat/>
    <w:rsid w:val="006D546E"/>
    <w:pPr>
      <w:keepNext/>
      <w:outlineLvl w:val="4"/>
    </w:pPr>
    <w:rPr>
      <w:rFonts w:ascii="Tahoma" w:hAnsi="Tahoma"/>
      <w:b/>
    </w:rPr>
  </w:style>
  <w:style w:type="paragraph" w:styleId="Heading6">
    <w:name w:val="heading 6"/>
    <w:basedOn w:val="Normal"/>
    <w:next w:val="Normal"/>
    <w:qFormat/>
    <w:rsid w:val="006D546E"/>
    <w:pPr>
      <w:keepNext/>
      <w:ind w:left="2977"/>
      <w:outlineLvl w:val="5"/>
    </w:pPr>
    <w:rPr>
      <w:rFonts w:ascii="Tahoma" w:hAnsi="Tahoma"/>
      <w:sz w:val="20"/>
    </w:rPr>
  </w:style>
  <w:style w:type="paragraph" w:styleId="Heading7">
    <w:name w:val="heading 7"/>
    <w:basedOn w:val="Normal"/>
    <w:next w:val="Normal"/>
    <w:qFormat/>
    <w:rsid w:val="006D546E"/>
    <w:pPr>
      <w:keepNext/>
      <w:jc w:val="center"/>
      <w:outlineLvl w:val="6"/>
    </w:pPr>
    <w:rPr>
      <w:rFonts w:ascii="Tahoma" w:hAnsi="Tahoma"/>
      <w:spacing w:val="20"/>
      <w:sz w:val="20"/>
    </w:rPr>
  </w:style>
  <w:style w:type="paragraph" w:styleId="Heading8">
    <w:name w:val="heading 8"/>
    <w:basedOn w:val="Normal"/>
    <w:next w:val="Normal"/>
    <w:qFormat/>
    <w:rsid w:val="006D546E"/>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D479E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D479EA"/>
    <w:rPr>
      <w:rFonts w:ascii="Trebuchet MS" w:hAnsi="Trebuchet MS"/>
      <w:sz w:val="19"/>
      <w:lang w:val="en-AU"/>
    </w:rPr>
  </w:style>
  <w:style w:type="character" w:customStyle="1" w:styleId="Heading3Char">
    <w:name w:val="Heading 3 Char"/>
    <w:basedOn w:val="DefaultParagraphFont"/>
    <w:link w:val="Heading3"/>
    <w:rsid w:val="004F0B76"/>
    <w:rPr>
      <w:rFonts w:ascii="Arial" w:hAnsi="Arial" w:cs="Tahoma"/>
      <w:color w:val="000000"/>
      <w:sz w:val="24"/>
      <w:lang w:val="en-AU"/>
    </w:rPr>
  </w:style>
  <w:style w:type="character" w:customStyle="1" w:styleId="Heading4Char">
    <w:name w:val="Heading 4 Char"/>
    <w:basedOn w:val="DefaultParagraphFont"/>
    <w:link w:val="Heading4"/>
    <w:rsid w:val="00251024"/>
    <w:rPr>
      <w:rFonts w:ascii="Tahoma" w:hAnsi="Tahoma"/>
      <w:i/>
      <w:sz w:val="24"/>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rsid w:val="005A11A0"/>
    <w:pPr>
      <w:tabs>
        <w:tab w:val="right" w:pos="8505"/>
      </w:tabs>
      <w:spacing w:before="0"/>
    </w:pPr>
    <w:rPr>
      <w:rFonts w:ascii="Arial" w:hAnsi="Arial"/>
      <w:b/>
      <w:sz w:val="17"/>
      <w:szCs w:val="17"/>
    </w:rPr>
  </w:style>
  <w:style w:type="character" w:customStyle="1" w:styleId="FooterChar">
    <w:name w:val="Footer Char"/>
    <w:link w:val="Footer"/>
    <w:rsid w:val="005A11A0"/>
    <w:rPr>
      <w:rFonts w:ascii="Arial" w:hAnsi="Arial"/>
      <w:b/>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5A11A0"/>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6D546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150874"/>
    <w:pPr>
      <w:tabs>
        <w:tab w:val="left" w:pos="992"/>
      </w:tabs>
      <w:spacing w:before="20" w:after="20"/>
    </w:pPr>
    <w:rPr>
      <w:rFonts w:ascii="Tahoma" w:hAnsi="Tahoma"/>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4E7227"/>
    <w:pPr>
      <w:tabs>
        <w:tab w:val="left" w:pos="284"/>
      </w:tabs>
      <w:spacing w:before="80"/>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5C277E"/>
    <w:pPr>
      <w:numPr>
        <w:numId w:val="1"/>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pPr>
  </w:style>
  <w:style w:type="paragraph" w:customStyle="1" w:styleId="NumberedListContinuing">
    <w:name w:val="NumberedListContinuing"/>
    <w:basedOn w:val="Dotpoint1"/>
    <w:rsid w:val="00CE4291"/>
    <w:pPr>
      <w:numPr>
        <w:numId w:val="5"/>
      </w:numPr>
      <w:tabs>
        <w:tab w:val="clear" w:pos="284"/>
      </w:tabs>
    </w:pPr>
    <w:rPr>
      <w:lang w:eastAsia="en-AU"/>
    </w:rPr>
  </w:style>
  <w:style w:type="paragraph" w:customStyle="1" w:styleId="Source">
    <w:name w:val="Source"/>
    <w:rsid w:val="00113805"/>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uiPriority w:val="99"/>
    <w:rsid w:val="00251024"/>
    <w:rPr>
      <w:rFonts w:ascii="Trebuchet MS" w:hAnsi="Trebuchet MS"/>
      <w:sz w:val="16"/>
      <w:lang w:val="en-AU"/>
    </w:rPr>
  </w:style>
  <w:style w:type="paragraph" w:styleId="NormalWeb">
    <w:name w:val="Normal (Web)"/>
    <w:basedOn w:val="Normal"/>
    <w:uiPriority w:val="99"/>
    <w:rsid w:val="009058B5"/>
    <w:pPr>
      <w:spacing w:before="100" w:beforeAutospacing="1" w:after="240"/>
    </w:pPr>
    <w:rPr>
      <w:sz w:val="18"/>
      <w:szCs w:val="18"/>
    </w:rPr>
  </w:style>
  <w:style w:type="paragraph" w:customStyle="1" w:styleId="Titlepage">
    <w:name w:val="Title page"/>
    <w:basedOn w:val="Heading1"/>
    <w:next w:val="Titlepagesubtitle"/>
    <w:link w:val="TitlepageChar"/>
    <w:qFormat/>
    <w:rsid w:val="006D68B1"/>
    <w:pPr>
      <w:spacing w:after="120"/>
    </w:pPr>
    <w:rPr>
      <w:rFonts w:cs="Arial"/>
      <w:color w:val="0081C6"/>
      <w:sz w:val="55"/>
      <w:szCs w:val="55"/>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6D546E"/>
    <w:pPr>
      <w:ind w:left="720"/>
      <w:contextualSpacing/>
    </w:pPr>
  </w:style>
  <w:style w:type="character" w:styleId="PlaceholderText">
    <w:name w:val="Placeholder Text"/>
    <w:basedOn w:val="DefaultParagraphFont"/>
    <w:uiPriority w:val="99"/>
    <w:semiHidden/>
    <w:rsid w:val="00C5220C"/>
    <w:rPr>
      <w:color w:val="808080"/>
    </w:rPr>
  </w:style>
  <w:style w:type="paragraph" w:customStyle="1" w:styleId="Tabletitle0">
    <w:name w:val="Tabletitle"/>
    <w:next w:val="Text"/>
    <w:rsid w:val="00A85ABF"/>
    <w:pPr>
      <w:spacing w:before="360" w:after="80"/>
      <w:ind w:left="851" w:hanging="851"/>
    </w:pPr>
    <w:rPr>
      <w:rFonts w:ascii="Arial" w:hAnsi="Arial"/>
      <w:b/>
      <w:sz w:val="17"/>
      <w:lang w:val="en-AU"/>
    </w:rPr>
  </w:style>
  <w:style w:type="paragraph" w:customStyle="1" w:styleId="PublicationTitle">
    <w:name w:val="Publication Title"/>
    <w:qFormat/>
    <w:rsid w:val="006D546E"/>
    <w:pPr>
      <w:spacing w:before="3200" w:after="840"/>
      <w:ind w:left="1701"/>
    </w:pPr>
    <w:rPr>
      <w:rFonts w:ascii="Tahoma" w:hAnsi="Tahoma" w:cs="Tahoma"/>
      <w:color w:val="000000"/>
      <w:kern w:val="28"/>
      <w:sz w:val="56"/>
      <w:szCs w:val="56"/>
      <w:lang w:val="en-AU"/>
    </w:rPr>
  </w:style>
  <w:style w:type="paragraph" w:customStyle="1" w:styleId="Authors">
    <w:name w:val="Authors"/>
    <w:qFormat/>
    <w:rsid w:val="006D546E"/>
    <w:pPr>
      <w:ind w:left="1701" w:right="-1"/>
    </w:pPr>
    <w:rPr>
      <w:rFonts w:ascii="Tahoma" w:hAnsi="Tahoma" w:cs="Tahoma"/>
      <w:sz w:val="28"/>
      <w:lang w:val="en-AU"/>
    </w:rPr>
  </w:style>
  <w:style w:type="paragraph" w:customStyle="1" w:styleId="Contents">
    <w:name w:val="Contents"/>
    <w:qFormat/>
    <w:rsid w:val="00072DD8"/>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6D546E"/>
    <w:pPr>
      <w:spacing w:before="360"/>
    </w:pPr>
    <w:rPr>
      <w:rFonts w:ascii="Tahoma" w:hAnsi="Tahoma" w:cs="Tahoma"/>
      <w:i/>
      <w:sz w:val="28"/>
      <w:lang w:val="en-AU"/>
    </w:rPr>
  </w:style>
  <w:style w:type="paragraph" w:customStyle="1" w:styleId="Abouttheresearch">
    <w:name w:val="About the research"/>
    <w:uiPriority w:val="1"/>
    <w:qFormat/>
    <w:rsid w:val="006D546E"/>
    <w:rPr>
      <w:rFonts w:ascii="Tahoma" w:hAnsi="Tahoma" w:cs="Tahoma"/>
      <w:color w:val="000000"/>
      <w:kern w:val="28"/>
      <w:sz w:val="56"/>
      <w:szCs w:val="56"/>
      <w:lang w:val="en-AU"/>
    </w:rPr>
  </w:style>
  <w:style w:type="paragraph" w:customStyle="1" w:styleId="Keymessages">
    <w:name w:val="Key messages"/>
    <w:uiPriority w:val="1"/>
    <w:qFormat/>
    <w:rsid w:val="006D546E"/>
    <w:pPr>
      <w:spacing w:before="360"/>
    </w:pPr>
    <w:rPr>
      <w:rFonts w:ascii="Tahoma" w:hAnsi="Tahoma" w:cs="Tahoma"/>
      <w:sz w:val="28"/>
      <w:lang w:val="en-AU"/>
    </w:rPr>
  </w:style>
  <w:style w:type="paragraph" w:customStyle="1" w:styleId="Organisation">
    <w:name w:val="Organisation"/>
    <w:basedOn w:val="Authors"/>
    <w:uiPriority w:val="1"/>
    <w:qFormat/>
    <w:rsid w:val="006D546E"/>
    <w:pPr>
      <w:spacing w:before="120"/>
      <w:ind w:right="0"/>
    </w:pPr>
    <w:rPr>
      <w:sz w:val="24"/>
    </w:rPr>
  </w:style>
  <w:style w:type="paragraph" w:styleId="CommentText">
    <w:name w:val="annotation text"/>
    <w:basedOn w:val="Normal"/>
    <w:link w:val="CommentTextChar"/>
    <w:semiHidden/>
    <w:rsid w:val="00251024"/>
    <w:pPr>
      <w:spacing w:before="0" w:line="240" w:lineRule="auto"/>
    </w:pPr>
    <w:rPr>
      <w:rFonts w:ascii="Times New Roman" w:hAnsi="Times New Roman"/>
      <w:sz w:val="20"/>
      <w:lang w:eastAsia="en-AU"/>
    </w:rPr>
  </w:style>
  <w:style w:type="character" w:customStyle="1" w:styleId="CommentTextChar">
    <w:name w:val="Comment Text Char"/>
    <w:basedOn w:val="DefaultParagraphFont"/>
    <w:link w:val="CommentText"/>
    <w:semiHidden/>
    <w:rsid w:val="00251024"/>
    <w:rPr>
      <w:lang w:val="en-AU" w:eastAsia="en-AU"/>
    </w:rPr>
  </w:style>
  <w:style w:type="paragraph" w:styleId="CommentSubject">
    <w:name w:val="annotation subject"/>
    <w:basedOn w:val="CommentText"/>
    <w:next w:val="CommentText"/>
    <w:link w:val="CommentSubjectChar"/>
    <w:semiHidden/>
    <w:rsid w:val="00251024"/>
    <w:rPr>
      <w:b/>
      <w:bCs/>
    </w:rPr>
  </w:style>
  <w:style w:type="character" w:customStyle="1" w:styleId="CommentSubjectChar">
    <w:name w:val="Comment Subject Char"/>
    <w:basedOn w:val="CommentTextChar"/>
    <w:link w:val="CommentSubject"/>
    <w:semiHidden/>
    <w:rsid w:val="00251024"/>
    <w:rPr>
      <w:b/>
      <w:bCs/>
      <w:lang w:val="en-AU" w:eastAsia="en-AU"/>
    </w:rPr>
  </w:style>
  <w:style w:type="character" w:styleId="FollowedHyperlink">
    <w:name w:val="FollowedHyperlink"/>
    <w:rsid w:val="00251024"/>
    <w:rPr>
      <w:color w:val="800080"/>
      <w:u w:val="single"/>
    </w:rPr>
  </w:style>
  <w:style w:type="character" w:styleId="Strong">
    <w:name w:val="Strong"/>
    <w:uiPriority w:val="22"/>
    <w:semiHidden/>
    <w:qFormat/>
    <w:rsid w:val="00251024"/>
    <w:rPr>
      <w:b/>
      <w:bCs/>
    </w:rPr>
  </w:style>
  <w:style w:type="paragraph" w:styleId="Title">
    <w:name w:val="Title"/>
    <w:basedOn w:val="Normal"/>
    <w:link w:val="TitleChar"/>
    <w:uiPriority w:val="10"/>
    <w:semiHidden/>
    <w:qFormat/>
    <w:rsid w:val="0025102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251024"/>
    <w:rPr>
      <w:rFonts w:asciiTheme="majorHAnsi" w:eastAsiaTheme="majorEastAsia" w:hAnsiTheme="majorHAnsi" w:cstheme="majorBidi"/>
      <w:color w:val="17365D" w:themeColor="text2" w:themeShade="BF"/>
      <w:spacing w:val="5"/>
      <w:kern w:val="28"/>
      <w:sz w:val="52"/>
      <w:szCs w:val="52"/>
      <w:lang w:val="en-AU"/>
    </w:rPr>
  </w:style>
  <w:style w:type="paragraph" w:styleId="Revision">
    <w:name w:val="Revision"/>
    <w:hidden/>
    <w:uiPriority w:val="71"/>
    <w:rsid w:val="00251024"/>
    <w:rPr>
      <w:sz w:val="22"/>
      <w:lang w:val="en-AU" w:eastAsia="en-AU"/>
    </w:rPr>
  </w:style>
  <w:style w:type="paragraph" w:customStyle="1" w:styleId="DotPoints">
    <w:name w:val="DotPoints"/>
    <w:basedOn w:val="Normal"/>
    <w:rsid w:val="00251024"/>
    <w:pPr>
      <w:numPr>
        <w:numId w:val="3"/>
      </w:numPr>
      <w:spacing w:before="0" w:line="240" w:lineRule="auto"/>
    </w:pPr>
    <w:rPr>
      <w:rFonts w:ascii="Verdana" w:hAnsi="Verdana"/>
      <w:sz w:val="22"/>
      <w:szCs w:val="24"/>
      <w:lang w:eastAsia="en-AU"/>
    </w:rPr>
  </w:style>
  <w:style w:type="character" w:styleId="FootnoteReference">
    <w:name w:val="footnote reference"/>
    <w:basedOn w:val="DefaultParagraphFont"/>
    <w:uiPriority w:val="99"/>
    <w:rsid w:val="00251024"/>
    <w:rPr>
      <w:vertAlign w:val="superscript"/>
    </w:rPr>
  </w:style>
  <w:style w:type="paragraph" w:styleId="ListBullet">
    <w:name w:val="List Bullet"/>
    <w:basedOn w:val="Normal"/>
    <w:unhideWhenUsed/>
    <w:rsid w:val="00251024"/>
    <w:pPr>
      <w:widowControl w:val="0"/>
      <w:spacing w:before="0" w:after="60" w:line="240" w:lineRule="auto"/>
      <w:ind w:left="284" w:hanging="284"/>
    </w:pPr>
    <w:rPr>
      <w:rFonts w:ascii="Times New Roman" w:hAnsi="Times New Roman"/>
      <w:sz w:val="24"/>
    </w:rPr>
  </w:style>
  <w:style w:type="paragraph" w:customStyle="1" w:styleId="BulletList">
    <w:name w:val="BulletList"/>
    <w:basedOn w:val="Normal"/>
    <w:rsid w:val="00251024"/>
    <w:pPr>
      <w:numPr>
        <w:numId w:val="4"/>
      </w:numPr>
      <w:spacing w:before="0" w:line="240" w:lineRule="auto"/>
    </w:pPr>
    <w:rPr>
      <w:rFonts w:ascii="Times New Roman" w:hAnsi="Times New Roman"/>
      <w:sz w:val="24"/>
      <w:szCs w:val="24"/>
      <w:lang w:eastAsia="en-AU"/>
    </w:rPr>
  </w:style>
  <w:style w:type="paragraph" w:customStyle="1" w:styleId="NumericalList">
    <w:name w:val="Numerical List"/>
    <w:basedOn w:val="Text"/>
    <w:rsid w:val="00251024"/>
    <w:pPr>
      <w:tabs>
        <w:tab w:val="left" w:pos="404"/>
      </w:tabs>
      <w:spacing w:before="0" w:line="240" w:lineRule="auto"/>
      <w:ind w:left="389" w:right="0" w:hanging="389"/>
    </w:pPr>
    <w:rPr>
      <w:rFonts w:ascii="Verdana" w:hAnsi="Verdana" w:cs="Arial"/>
      <w:lang w:eastAsia="en-AU"/>
    </w:rPr>
  </w:style>
  <w:style w:type="paragraph" w:customStyle="1" w:styleId="Default">
    <w:name w:val="Default"/>
    <w:rsid w:val="00251024"/>
    <w:pPr>
      <w:autoSpaceDE w:val="0"/>
      <w:autoSpaceDN w:val="0"/>
      <w:adjustRightInd w:val="0"/>
    </w:pPr>
    <w:rPr>
      <w:rFonts w:ascii="Garamond" w:eastAsia="Calibri" w:hAnsi="Garamond" w:cs="Garamond"/>
      <w:color w:val="000000"/>
      <w:sz w:val="24"/>
      <w:szCs w:val="24"/>
      <w:lang w:val="en-AU"/>
    </w:rPr>
  </w:style>
  <w:style w:type="character" w:styleId="Emphasis">
    <w:name w:val="Emphasis"/>
    <w:basedOn w:val="DefaultParagraphFont"/>
    <w:uiPriority w:val="20"/>
    <w:qFormat/>
    <w:rsid w:val="00251024"/>
    <w:rPr>
      <w:i/>
      <w:iCs/>
    </w:rPr>
  </w:style>
  <w:style w:type="paragraph" w:customStyle="1" w:styleId="Author">
    <w:name w:val="Author"/>
    <w:basedOn w:val="Heading2"/>
    <w:uiPriority w:val="1"/>
    <w:qFormat/>
    <w:rsid w:val="00A166CA"/>
    <w:pPr>
      <w:spacing w:before="0"/>
    </w:pPr>
  </w:style>
  <w:style w:type="paragraph" w:customStyle="1" w:styleId="Titlepagesubtitle">
    <w:name w:val="Title page sub title"/>
    <w:basedOn w:val="Titlepage"/>
    <w:link w:val="TitlepagesubtitleChar"/>
    <w:uiPriority w:val="1"/>
    <w:qFormat/>
    <w:rsid w:val="00A166CA"/>
    <w:rPr>
      <w:sz w:val="44"/>
      <w:szCs w:val="44"/>
    </w:rPr>
  </w:style>
  <w:style w:type="character" w:customStyle="1" w:styleId="Heading1Char">
    <w:name w:val="Heading 1 Char"/>
    <w:basedOn w:val="DefaultParagraphFont"/>
    <w:link w:val="Heading1"/>
    <w:rsid w:val="00D479EA"/>
    <w:rPr>
      <w:rFonts w:ascii="Arial" w:hAnsi="Arial" w:cs="Tahoma"/>
      <w:color w:val="000000"/>
      <w:kern w:val="28"/>
      <w:sz w:val="44"/>
      <w:szCs w:val="56"/>
      <w:lang w:val="en-AU"/>
    </w:rPr>
  </w:style>
  <w:style w:type="character" w:customStyle="1" w:styleId="TitlepageChar">
    <w:name w:val="Title page Char"/>
    <w:basedOn w:val="Heading1Char"/>
    <w:link w:val="Titlepage"/>
    <w:rsid w:val="006D68B1"/>
    <w:rPr>
      <w:rFonts w:ascii="Arial" w:hAnsi="Arial" w:cs="Arial"/>
      <w:color w:val="0081C6"/>
      <w:kern w:val="28"/>
      <w:sz w:val="55"/>
      <w:szCs w:val="55"/>
      <w:lang w:val="en-AU"/>
    </w:rPr>
  </w:style>
  <w:style w:type="character" w:customStyle="1" w:styleId="TitlepagesubtitleChar">
    <w:name w:val="Title page sub title Char"/>
    <w:basedOn w:val="TitlepageChar"/>
    <w:link w:val="Titlepagesubtitle"/>
    <w:uiPriority w:val="1"/>
    <w:rsid w:val="006D68B1"/>
    <w:rPr>
      <w:rFonts w:ascii="Arial" w:hAnsi="Arial" w:cs="Arial"/>
      <w:color w:val="0081C6"/>
      <w:kern w:val="28"/>
      <w:sz w:val="44"/>
      <w:szCs w:val="44"/>
      <w:lang w:val="en-AU"/>
    </w:rPr>
  </w:style>
  <w:style w:type="character" w:customStyle="1" w:styleId="entryauthor7">
    <w:name w:val="entryauthor7"/>
    <w:basedOn w:val="DefaultParagraphFont"/>
    <w:rsid w:val="00201935"/>
    <w:rPr>
      <w:i/>
      <w:iCs/>
      <w:sz w:val="21"/>
      <w:szCs w:val="21"/>
    </w:rPr>
  </w:style>
  <w:style w:type="character" w:customStyle="1" w:styleId="journalname">
    <w:name w:val="journalname"/>
    <w:basedOn w:val="DefaultParagraphFont"/>
    <w:rsid w:val="00201935"/>
  </w:style>
  <w:style w:type="character" w:customStyle="1" w:styleId="volume">
    <w:name w:val="volume"/>
    <w:basedOn w:val="DefaultParagraphFont"/>
    <w:rsid w:val="00201935"/>
  </w:style>
  <w:style w:type="character" w:customStyle="1" w:styleId="st1">
    <w:name w:val="st1"/>
    <w:basedOn w:val="DefaultParagraphFont"/>
    <w:rsid w:val="001D693B"/>
  </w:style>
  <w:style w:type="character" w:customStyle="1" w:styleId="current-selection">
    <w:name w:val="current-selection"/>
    <w:basedOn w:val="DefaultParagraphFont"/>
    <w:rsid w:val="002F7E94"/>
  </w:style>
  <w:style w:type="character" w:customStyle="1" w:styleId="ls1">
    <w:name w:val="ls1"/>
    <w:basedOn w:val="DefaultParagraphFont"/>
    <w:rsid w:val="002F7E94"/>
  </w:style>
  <w:style w:type="character" w:customStyle="1" w:styleId="fc0">
    <w:name w:val="fc0"/>
    <w:basedOn w:val="DefaultParagraphFont"/>
    <w:rsid w:val="002F7E94"/>
  </w:style>
  <w:style w:type="character" w:customStyle="1" w:styleId="ls5">
    <w:name w:val="ls5"/>
    <w:basedOn w:val="DefaultParagraphFont"/>
    <w:rsid w:val="002F7E94"/>
  </w:style>
  <w:style w:type="character" w:styleId="CommentReference">
    <w:name w:val="annotation reference"/>
    <w:basedOn w:val="DefaultParagraphFont"/>
    <w:semiHidden/>
    <w:rsid w:val="00EA3334"/>
    <w:rPr>
      <w:sz w:val="16"/>
      <w:szCs w:val="16"/>
    </w:rPr>
  </w:style>
  <w:style w:type="paragraph" w:customStyle="1" w:styleId="PullQuote">
    <w:name w:val="PullQuote"/>
    <w:basedOn w:val="Normal"/>
    <w:uiPriority w:val="1"/>
    <w:qFormat/>
    <w:rsid w:val="00FC20B7"/>
    <w:pPr>
      <w:pBdr>
        <w:top w:val="single" w:sz="8" w:space="1" w:color="auto"/>
      </w:pBdr>
      <w:spacing w:before="0" w:line="280" w:lineRule="exact"/>
      <w:ind w:left="-425"/>
    </w:pPr>
    <w:rPr>
      <w:rFonts w:ascii="Arial" w:hAnsi="Arial" w:cs="Arial"/>
      <w:b/>
      <w:sz w:val="17"/>
      <w:szCs w:val="17"/>
    </w:rPr>
  </w:style>
  <w:style w:type="character" w:customStyle="1" w:styleId="tgc">
    <w:name w:val="_tgc"/>
    <w:basedOn w:val="DefaultParagraphFont"/>
    <w:rsid w:val="00F0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4286">
      <w:bodyDiv w:val="1"/>
      <w:marLeft w:val="0"/>
      <w:marRight w:val="0"/>
      <w:marTop w:val="0"/>
      <w:marBottom w:val="0"/>
      <w:divBdr>
        <w:top w:val="none" w:sz="0" w:space="0" w:color="auto"/>
        <w:left w:val="none" w:sz="0" w:space="0" w:color="auto"/>
        <w:bottom w:val="none" w:sz="0" w:space="0" w:color="auto"/>
        <w:right w:val="none" w:sz="0" w:space="0" w:color="auto"/>
      </w:divBdr>
    </w:div>
    <w:div w:id="230501190">
      <w:bodyDiv w:val="1"/>
      <w:marLeft w:val="0"/>
      <w:marRight w:val="0"/>
      <w:marTop w:val="0"/>
      <w:marBottom w:val="0"/>
      <w:divBdr>
        <w:top w:val="none" w:sz="0" w:space="0" w:color="auto"/>
        <w:left w:val="none" w:sz="0" w:space="0" w:color="auto"/>
        <w:bottom w:val="none" w:sz="0" w:space="0" w:color="auto"/>
        <w:right w:val="none" w:sz="0" w:space="0" w:color="auto"/>
      </w:divBdr>
    </w:div>
    <w:div w:id="295571771">
      <w:bodyDiv w:val="1"/>
      <w:marLeft w:val="0"/>
      <w:marRight w:val="0"/>
      <w:marTop w:val="0"/>
      <w:marBottom w:val="0"/>
      <w:divBdr>
        <w:top w:val="none" w:sz="0" w:space="0" w:color="auto"/>
        <w:left w:val="none" w:sz="0" w:space="0" w:color="auto"/>
        <w:bottom w:val="none" w:sz="0" w:space="0" w:color="auto"/>
        <w:right w:val="none" w:sz="0" w:space="0" w:color="auto"/>
      </w:divBdr>
    </w:div>
    <w:div w:id="341510596">
      <w:bodyDiv w:val="1"/>
      <w:marLeft w:val="0"/>
      <w:marRight w:val="0"/>
      <w:marTop w:val="0"/>
      <w:marBottom w:val="0"/>
      <w:divBdr>
        <w:top w:val="none" w:sz="0" w:space="0" w:color="auto"/>
        <w:left w:val="none" w:sz="0" w:space="0" w:color="auto"/>
        <w:bottom w:val="none" w:sz="0" w:space="0" w:color="auto"/>
        <w:right w:val="none" w:sz="0" w:space="0" w:color="auto"/>
      </w:divBdr>
    </w:div>
    <w:div w:id="403571349">
      <w:bodyDiv w:val="1"/>
      <w:marLeft w:val="0"/>
      <w:marRight w:val="0"/>
      <w:marTop w:val="0"/>
      <w:marBottom w:val="0"/>
      <w:divBdr>
        <w:top w:val="none" w:sz="0" w:space="0" w:color="auto"/>
        <w:left w:val="none" w:sz="0" w:space="0" w:color="auto"/>
        <w:bottom w:val="none" w:sz="0" w:space="0" w:color="auto"/>
        <w:right w:val="none" w:sz="0" w:space="0" w:color="auto"/>
      </w:divBdr>
    </w:div>
    <w:div w:id="425081522">
      <w:bodyDiv w:val="1"/>
      <w:marLeft w:val="0"/>
      <w:marRight w:val="0"/>
      <w:marTop w:val="0"/>
      <w:marBottom w:val="0"/>
      <w:divBdr>
        <w:top w:val="none" w:sz="0" w:space="0" w:color="auto"/>
        <w:left w:val="none" w:sz="0" w:space="0" w:color="auto"/>
        <w:bottom w:val="none" w:sz="0" w:space="0" w:color="auto"/>
        <w:right w:val="none" w:sz="0" w:space="0" w:color="auto"/>
      </w:divBdr>
    </w:div>
    <w:div w:id="510215869">
      <w:bodyDiv w:val="1"/>
      <w:marLeft w:val="0"/>
      <w:marRight w:val="0"/>
      <w:marTop w:val="0"/>
      <w:marBottom w:val="0"/>
      <w:divBdr>
        <w:top w:val="none" w:sz="0" w:space="0" w:color="auto"/>
        <w:left w:val="none" w:sz="0" w:space="0" w:color="auto"/>
        <w:bottom w:val="none" w:sz="0" w:space="0" w:color="auto"/>
        <w:right w:val="none" w:sz="0" w:space="0" w:color="auto"/>
      </w:divBdr>
    </w:div>
    <w:div w:id="724330087">
      <w:bodyDiv w:val="1"/>
      <w:marLeft w:val="0"/>
      <w:marRight w:val="0"/>
      <w:marTop w:val="0"/>
      <w:marBottom w:val="0"/>
      <w:divBdr>
        <w:top w:val="none" w:sz="0" w:space="0" w:color="auto"/>
        <w:left w:val="none" w:sz="0" w:space="0" w:color="auto"/>
        <w:bottom w:val="none" w:sz="0" w:space="0" w:color="auto"/>
        <w:right w:val="none" w:sz="0" w:space="0" w:color="auto"/>
      </w:divBdr>
      <w:divsChild>
        <w:div w:id="409618425">
          <w:marLeft w:val="0"/>
          <w:marRight w:val="0"/>
          <w:marTop w:val="0"/>
          <w:marBottom w:val="0"/>
          <w:divBdr>
            <w:top w:val="none" w:sz="0" w:space="0" w:color="auto"/>
            <w:left w:val="none" w:sz="0" w:space="0" w:color="auto"/>
            <w:bottom w:val="none" w:sz="0" w:space="0" w:color="auto"/>
            <w:right w:val="none" w:sz="0" w:space="0" w:color="auto"/>
          </w:divBdr>
          <w:divsChild>
            <w:div w:id="1655178768">
              <w:marLeft w:val="0"/>
              <w:marRight w:val="0"/>
              <w:marTop w:val="0"/>
              <w:marBottom w:val="0"/>
              <w:divBdr>
                <w:top w:val="none" w:sz="0" w:space="0" w:color="auto"/>
                <w:left w:val="none" w:sz="0" w:space="0" w:color="auto"/>
                <w:bottom w:val="none" w:sz="0" w:space="0" w:color="auto"/>
                <w:right w:val="none" w:sz="0" w:space="0" w:color="auto"/>
              </w:divBdr>
              <w:divsChild>
                <w:div w:id="3922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6091">
      <w:bodyDiv w:val="1"/>
      <w:marLeft w:val="0"/>
      <w:marRight w:val="0"/>
      <w:marTop w:val="0"/>
      <w:marBottom w:val="0"/>
      <w:divBdr>
        <w:top w:val="none" w:sz="0" w:space="0" w:color="auto"/>
        <w:left w:val="none" w:sz="0" w:space="0" w:color="auto"/>
        <w:bottom w:val="none" w:sz="0" w:space="0" w:color="auto"/>
        <w:right w:val="none" w:sz="0" w:space="0" w:color="auto"/>
      </w:divBdr>
      <w:divsChild>
        <w:div w:id="979188041">
          <w:marLeft w:val="0"/>
          <w:marRight w:val="0"/>
          <w:marTop w:val="100"/>
          <w:marBottom w:val="100"/>
          <w:divBdr>
            <w:top w:val="none" w:sz="0" w:space="0" w:color="auto"/>
            <w:left w:val="none" w:sz="0" w:space="0" w:color="auto"/>
            <w:bottom w:val="none" w:sz="0" w:space="0" w:color="auto"/>
            <w:right w:val="none" w:sz="0" w:space="0" w:color="auto"/>
          </w:divBdr>
          <w:divsChild>
            <w:div w:id="807477151">
              <w:marLeft w:val="0"/>
              <w:marRight w:val="0"/>
              <w:marTop w:val="0"/>
              <w:marBottom w:val="0"/>
              <w:divBdr>
                <w:top w:val="none" w:sz="0" w:space="0" w:color="auto"/>
                <w:left w:val="none" w:sz="0" w:space="0" w:color="auto"/>
                <w:bottom w:val="none" w:sz="0" w:space="0" w:color="auto"/>
                <w:right w:val="none" w:sz="0" w:space="0" w:color="auto"/>
              </w:divBdr>
              <w:divsChild>
                <w:div w:id="515577041">
                  <w:marLeft w:val="105"/>
                  <w:marRight w:val="105"/>
                  <w:marTop w:val="105"/>
                  <w:marBottom w:val="105"/>
                  <w:divBdr>
                    <w:top w:val="none" w:sz="0" w:space="0" w:color="auto"/>
                    <w:left w:val="none" w:sz="0" w:space="0" w:color="auto"/>
                    <w:bottom w:val="none" w:sz="0" w:space="0" w:color="auto"/>
                    <w:right w:val="none" w:sz="0" w:space="0" w:color="auto"/>
                  </w:divBdr>
                  <w:divsChild>
                    <w:div w:id="1770657347">
                      <w:marLeft w:val="0"/>
                      <w:marRight w:val="0"/>
                      <w:marTop w:val="0"/>
                      <w:marBottom w:val="0"/>
                      <w:divBdr>
                        <w:top w:val="none" w:sz="0" w:space="0" w:color="auto"/>
                        <w:left w:val="none" w:sz="0" w:space="0" w:color="auto"/>
                        <w:bottom w:val="none" w:sz="0" w:space="0" w:color="auto"/>
                        <w:right w:val="none" w:sz="0" w:space="0" w:color="auto"/>
                      </w:divBdr>
                      <w:divsChild>
                        <w:div w:id="902983557">
                          <w:marLeft w:val="0"/>
                          <w:marRight w:val="0"/>
                          <w:marTop w:val="0"/>
                          <w:marBottom w:val="0"/>
                          <w:divBdr>
                            <w:top w:val="none" w:sz="0" w:space="0" w:color="auto"/>
                            <w:left w:val="none" w:sz="0" w:space="0" w:color="auto"/>
                            <w:bottom w:val="none" w:sz="0" w:space="0" w:color="auto"/>
                            <w:right w:val="none" w:sz="0" w:space="0" w:color="auto"/>
                          </w:divBdr>
                          <w:divsChild>
                            <w:div w:id="43023130">
                              <w:marLeft w:val="0"/>
                              <w:marRight w:val="0"/>
                              <w:marTop w:val="0"/>
                              <w:marBottom w:val="0"/>
                              <w:divBdr>
                                <w:top w:val="none" w:sz="0" w:space="0" w:color="auto"/>
                                <w:left w:val="none" w:sz="0" w:space="0" w:color="auto"/>
                                <w:bottom w:val="none" w:sz="0" w:space="0" w:color="auto"/>
                                <w:right w:val="none" w:sz="0" w:space="0" w:color="auto"/>
                              </w:divBdr>
                              <w:divsChild>
                                <w:div w:id="332994118">
                                  <w:marLeft w:val="0"/>
                                  <w:marRight w:val="0"/>
                                  <w:marTop w:val="0"/>
                                  <w:marBottom w:val="0"/>
                                  <w:divBdr>
                                    <w:top w:val="none" w:sz="0" w:space="0" w:color="auto"/>
                                    <w:left w:val="none" w:sz="0" w:space="0" w:color="auto"/>
                                    <w:bottom w:val="none" w:sz="0" w:space="0" w:color="auto"/>
                                    <w:right w:val="none" w:sz="0" w:space="0" w:color="auto"/>
                                  </w:divBdr>
                                  <w:divsChild>
                                    <w:div w:id="2075354920">
                                      <w:marLeft w:val="105"/>
                                      <w:marRight w:val="105"/>
                                      <w:marTop w:val="105"/>
                                      <w:marBottom w:val="105"/>
                                      <w:divBdr>
                                        <w:top w:val="none" w:sz="0" w:space="0" w:color="auto"/>
                                        <w:left w:val="none" w:sz="0" w:space="0" w:color="auto"/>
                                        <w:bottom w:val="none" w:sz="0" w:space="0" w:color="auto"/>
                                        <w:right w:val="none" w:sz="0" w:space="0" w:color="auto"/>
                                      </w:divBdr>
                                      <w:divsChild>
                                        <w:div w:id="1020355868">
                                          <w:marLeft w:val="0"/>
                                          <w:marRight w:val="0"/>
                                          <w:marTop w:val="0"/>
                                          <w:marBottom w:val="0"/>
                                          <w:divBdr>
                                            <w:top w:val="none" w:sz="0" w:space="0" w:color="auto"/>
                                            <w:left w:val="none" w:sz="0" w:space="0" w:color="auto"/>
                                            <w:bottom w:val="none" w:sz="0" w:space="0" w:color="auto"/>
                                            <w:right w:val="none" w:sz="0" w:space="0" w:color="auto"/>
                                          </w:divBdr>
                                          <w:divsChild>
                                            <w:div w:id="1461609417">
                                              <w:marLeft w:val="0"/>
                                              <w:marRight w:val="0"/>
                                              <w:marTop w:val="0"/>
                                              <w:marBottom w:val="0"/>
                                              <w:divBdr>
                                                <w:top w:val="none" w:sz="0" w:space="0" w:color="auto"/>
                                                <w:left w:val="none" w:sz="0" w:space="0" w:color="auto"/>
                                                <w:bottom w:val="none" w:sz="0" w:space="0" w:color="auto"/>
                                                <w:right w:val="none" w:sz="0" w:space="0" w:color="auto"/>
                                              </w:divBdr>
                                              <w:divsChild>
                                                <w:div w:id="961154561">
                                                  <w:marLeft w:val="0"/>
                                                  <w:marRight w:val="0"/>
                                                  <w:marTop w:val="0"/>
                                                  <w:marBottom w:val="0"/>
                                                  <w:divBdr>
                                                    <w:top w:val="none" w:sz="0" w:space="0" w:color="auto"/>
                                                    <w:left w:val="none" w:sz="0" w:space="0" w:color="auto"/>
                                                    <w:bottom w:val="none" w:sz="0" w:space="0" w:color="auto"/>
                                                    <w:right w:val="none" w:sz="0" w:space="0" w:color="auto"/>
                                                  </w:divBdr>
                                                  <w:divsChild>
                                                    <w:div w:id="1371303214">
                                                      <w:marLeft w:val="0"/>
                                                      <w:marRight w:val="0"/>
                                                      <w:marTop w:val="0"/>
                                                      <w:marBottom w:val="0"/>
                                                      <w:divBdr>
                                                        <w:top w:val="none" w:sz="0" w:space="0" w:color="auto"/>
                                                        <w:left w:val="none" w:sz="0" w:space="0" w:color="auto"/>
                                                        <w:bottom w:val="none" w:sz="0" w:space="0" w:color="auto"/>
                                                        <w:right w:val="none" w:sz="0" w:space="0" w:color="auto"/>
                                                      </w:divBdr>
                                                      <w:divsChild>
                                                        <w:div w:id="2077775623">
                                                          <w:marLeft w:val="0"/>
                                                          <w:marRight w:val="0"/>
                                                          <w:marTop w:val="0"/>
                                                          <w:marBottom w:val="0"/>
                                                          <w:divBdr>
                                                            <w:top w:val="none" w:sz="0" w:space="0" w:color="auto"/>
                                                            <w:left w:val="none" w:sz="0" w:space="0" w:color="auto"/>
                                                            <w:bottom w:val="none" w:sz="0" w:space="0" w:color="auto"/>
                                                            <w:right w:val="none" w:sz="0" w:space="0" w:color="auto"/>
                                                          </w:divBdr>
                                                          <w:divsChild>
                                                            <w:div w:id="22051144">
                                                              <w:marLeft w:val="0"/>
                                                              <w:marRight w:val="0"/>
                                                              <w:marTop w:val="0"/>
                                                              <w:marBottom w:val="0"/>
                                                              <w:divBdr>
                                                                <w:top w:val="none" w:sz="0" w:space="0" w:color="auto"/>
                                                                <w:left w:val="none" w:sz="0" w:space="0" w:color="auto"/>
                                                                <w:bottom w:val="none" w:sz="0" w:space="0" w:color="auto"/>
                                                                <w:right w:val="none" w:sz="0" w:space="0" w:color="auto"/>
                                                              </w:divBdr>
                                                              <w:divsChild>
                                                                <w:div w:id="349532942">
                                                                  <w:marLeft w:val="105"/>
                                                                  <w:marRight w:val="105"/>
                                                                  <w:marTop w:val="105"/>
                                                                  <w:marBottom w:val="105"/>
                                                                  <w:divBdr>
                                                                    <w:top w:val="none" w:sz="0" w:space="0" w:color="auto"/>
                                                                    <w:left w:val="none" w:sz="0" w:space="0" w:color="auto"/>
                                                                    <w:bottom w:val="none" w:sz="0" w:space="0" w:color="auto"/>
                                                                    <w:right w:val="none" w:sz="0" w:space="0" w:color="auto"/>
                                                                  </w:divBdr>
                                                                  <w:divsChild>
                                                                    <w:div w:id="954213239">
                                                                      <w:marLeft w:val="0"/>
                                                                      <w:marRight w:val="0"/>
                                                                      <w:marTop w:val="0"/>
                                                                      <w:marBottom w:val="0"/>
                                                                      <w:divBdr>
                                                                        <w:top w:val="none" w:sz="0" w:space="0" w:color="auto"/>
                                                                        <w:left w:val="none" w:sz="0" w:space="0" w:color="auto"/>
                                                                        <w:bottom w:val="none" w:sz="0" w:space="0" w:color="auto"/>
                                                                        <w:right w:val="none" w:sz="0" w:space="0" w:color="auto"/>
                                                                      </w:divBdr>
                                                                      <w:divsChild>
                                                                        <w:div w:id="587929586">
                                                                          <w:marLeft w:val="0"/>
                                                                          <w:marRight w:val="0"/>
                                                                          <w:marTop w:val="0"/>
                                                                          <w:marBottom w:val="0"/>
                                                                          <w:divBdr>
                                                                            <w:top w:val="none" w:sz="0" w:space="0" w:color="auto"/>
                                                                            <w:left w:val="none" w:sz="0" w:space="0" w:color="auto"/>
                                                                            <w:bottom w:val="none" w:sz="0" w:space="0" w:color="auto"/>
                                                                            <w:right w:val="none" w:sz="0" w:space="0" w:color="auto"/>
                                                                          </w:divBdr>
                                                                          <w:divsChild>
                                                                            <w:div w:id="1794515581">
                                                                              <w:marLeft w:val="0"/>
                                                                              <w:marRight w:val="0"/>
                                                                              <w:marTop w:val="0"/>
                                                                              <w:marBottom w:val="0"/>
                                                                              <w:divBdr>
                                                                                <w:top w:val="none" w:sz="0" w:space="0" w:color="auto"/>
                                                                                <w:left w:val="none" w:sz="0" w:space="0" w:color="auto"/>
                                                                                <w:bottom w:val="none" w:sz="0" w:space="0" w:color="auto"/>
                                                                                <w:right w:val="none" w:sz="0" w:space="0" w:color="auto"/>
                                                                              </w:divBdr>
                                                                              <w:divsChild>
                                                                                <w:div w:id="693653919">
                                                                                  <w:marLeft w:val="0"/>
                                                                                  <w:marRight w:val="0"/>
                                                                                  <w:marTop w:val="0"/>
                                                                                  <w:marBottom w:val="0"/>
                                                                                  <w:divBdr>
                                                                                    <w:top w:val="none" w:sz="0" w:space="0" w:color="auto"/>
                                                                                    <w:left w:val="none" w:sz="0" w:space="0" w:color="auto"/>
                                                                                    <w:bottom w:val="none" w:sz="0" w:space="0" w:color="auto"/>
                                                                                    <w:right w:val="none" w:sz="0" w:space="0" w:color="auto"/>
                                                                                  </w:divBdr>
                                                                                  <w:divsChild>
                                                                                    <w:div w:id="168757083">
                                                                                      <w:marLeft w:val="0"/>
                                                                                      <w:marRight w:val="0"/>
                                                                                      <w:marTop w:val="0"/>
                                                                                      <w:marBottom w:val="0"/>
                                                                                      <w:divBdr>
                                                                                        <w:top w:val="none" w:sz="0" w:space="0" w:color="auto"/>
                                                                                        <w:left w:val="none" w:sz="0" w:space="0" w:color="auto"/>
                                                                                        <w:bottom w:val="none" w:sz="0" w:space="0" w:color="auto"/>
                                                                                        <w:right w:val="none" w:sz="0" w:space="0" w:color="auto"/>
                                                                                      </w:divBdr>
                                                                                      <w:divsChild>
                                                                                        <w:div w:id="479730914">
                                                                                          <w:marLeft w:val="0"/>
                                                                                          <w:marRight w:val="0"/>
                                                                                          <w:marTop w:val="150"/>
                                                                                          <w:marBottom w:val="75"/>
                                                                                          <w:divBdr>
                                                                                            <w:top w:val="none" w:sz="0" w:space="0" w:color="auto"/>
                                                                                            <w:left w:val="none" w:sz="0" w:space="0" w:color="auto"/>
                                                                                            <w:bottom w:val="none" w:sz="0" w:space="0" w:color="auto"/>
                                                                                            <w:right w:val="none" w:sz="0" w:space="0" w:color="auto"/>
                                                                                          </w:divBdr>
                                                                                        </w:div>
                                                                                        <w:div w:id="255024308">
                                                                                          <w:marLeft w:val="0"/>
                                                                                          <w:marRight w:val="0"/>
                                                                                          <w:marTop w:val="150"/>
                                                                                          <w:marBottom w:val="0"/>
                                                                                          <w:divBdr>
                                                                                            <w:top w:val="none" w:sz="0" w:space="0" w:color="auto"/>
                                                                                            <w:left w:val="none" w:sz="0" w:space="0" w:color="auto"/>
                                                                                            <w:bottom w:val="none" w:sz="0" w:space="0" w:color="auto"/>
                                                                                            <w:right w:val="none" w:sz="0" w:space="0" w:color="auto"/>
                                                                                          </w:divBdr>
                                                                                          <w:divsChild>
                                                                                            <w:div w:id="386997260">
                                                                                              <w:marLeft w:val="0"/>
                                                                                              <w:marRight w:val="0"/>
                                                                                              <w:marTop w:val="0"/>
                                                                                              <w:marBottom w:val="0"/>
                                                                                              <w:divBdr>
                                                                                                <w:top w:val="none" w:sz="0" w:space="0" w:color="auto"/>
                                                                                                <w:left w:val="none" w:sz="0" w:space="0" w:color="auto"/>
                                                                                                <w:bottom w:val="none" w:sz="0" w:space="0" w:color="auto"/>
                                                                                                <w:right w:val="none" w:sz="0" w:space="0" w:color="auto"/>
                                                                                              </w:divBdr>
                                                                                            </w:div>
                                                                                          </w:divsChild>
                                                                                        </w:div>
                                                                                        <w:div w:id="3874559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464981">
      <w:bodyDiv w:val="1"/>
      <w:marLeft w:val="0"/>
      <w:marRight w:val="0"/>
      <w:marTop w:val="0"/>
      <w:marBottom w:val="0"/>
      <w:divBdr>
        <w:top w:val="none" w:sz="0" w:space="0" w:color="auto"/>
        <w:left w:val="none" w:sz="0" w:space="0" w:color="auto"/>
        <w:bottom w:val="none" w:sz="0" w:space="0" w:color="auto"/>
        <w:right w:val="none" w:sz="0" w:space="0" w:color="auto"/>
      </w:divBdr>
    </w:div>
    <w:div w:id="1387219593">
      <w:bodyDiv w:val="1"/>
      <w:marLeft w:val="0"/>
      <w:marRight w:val="0"/>
      <w:marTop w:val="0"/>
      <w:marBottom w:val="0"/>
      <w:divBdr>
        <w:top w:val="none" w:sz="0" w:space="0" w:color="auto"/>
        <w:left w:val="none" w:sz="0" w:space="0" w:color="auto"/>
        <w:bottom w:val="none" w:sz="0" w:space="0" w:color="auto"/>
        <w:right w:val="none" w:sz="0" w:space="0" w:color="auto"/>
      </w:divBdr>
    </w:div>
    <w:div w:id="1521239646">
      <w:bodyDiv w:val="1"/>
      <w:marLeft w:val="0"/>
      <w:marRight w:val="0"/>
      <w:marTop w:val="0"/>
      <w:marBottom w:val="0"/>
      <w:divBdr>
        <w:top w:val="none" w:sz="0" w:space="0" w:color="auto"/>
        <w:left w:val="none" w:sz="0" w:space="0" w:color="auto"/>
        <w:bottom w:val="none" w:sz="0" w:space="0" w:color="auto"/>
        <w:right w:val="none" w:sz="0" w:space="0" w:color="auto"/>
      </w:divBdr>
    </w:div>
    <w:div w:id="1805196369">
      <w:bodyDiv w:val="1"/>
      <w:marLeft w:val="0"/>
      <w:marRight w:val="0"/>
      <w:marTop w:val="0"/>
      <w:marBottom w:val="0"/>
      <w:divBdr>
        <w:top w:val="none" w:sz="0" w:space="0" w:color="auto"/>
        <w:left w:val="none" w:sz="0" w:space="0" w:color="auto"/>
        <w:bottom w:val="none" w:sz="0" w:space="0" w:color="auto"/>
        <w:right w:val="none" w:sz="0" w:space="0" w:color="auto"/>
      </w:divBdr>
    </w:div>
    <w:div w:id="1837453621">
      <w:bodyDiv w:val="1"/>
      <w:marLeft w:val="0"/>
      <w:marRight w:val="0"/>
      <w:marTop w:val="0"/>
      <w:marBottom w:val="0"/>
      <w:divBdr>
        <w:top w:val="none" w:sz="0" w:space="0" w:color="auto"/>
        <w:left w:val="none" w:sz="0" w:space="0" w:color="auto"/>
        <w:bottom w:val="none" w:sz="0" w:space="0" w:color="auto"/>
        <w:right w:val="none" w:sz="0" w:space="0" w:color="auto"/>
      </w:divBdr>
    </w:div>
    <w:div w:id="1988973007">
      <w:bodyDiv w:val="1"/>
      <w:marLeft w:val="0"/>
      <w:marRight w:val="0"/>
      <w:marTop w:val="0"/>
      <w:marBottom w:val="0"/>
      <w:divBdr>
        <w:top w:val="none" w:sz="0" w:space="0" w:color="auto"/>
        <w:left w:val="none" w:sz="0" w:space="0" w:color="auto"/>
        <w:bottom w:val="none" w:sz="0" w:space="0" w:color="auto"/>
        <w:right w:val="none" w:sz="0" w:space="0" w:color="auto"/>
      </w:divBdr>
      <w:divsChild>
        <w:div w:id="1473407967">
          <w:marLeft w:val="0"/>
          <w:marRight w:val="0"/>
          <w:marTop w:val="0"/>
          <w:marBottom w:val="0"/>
          <w:divBdr>
            <w:top w:val="none" w:sz="0" w:space="0" w:color="auto"/>
            <w:left w:val="none" w:sz="0" w:space="0" w:color="auto"/>
            <w:bottom w:val="none" w:sz="0" w:space="0" w:color="auto"/>
            <w:right w:val="none" w:sz="0" w:space="0" w:color="auto"/>
          </w:divBdr>
          <w:divsChild>
            <w:div w:id="913665424">
              <w:marLeft w:val="0"/>
              <w:marRight w:val="0"/>
              <w:marTop w:val="0"/>
              <w:marBottom w:val="0"/>
              <w:divBdr>
                <w:top w:val="none" w:sz="0" w:space="0" w:color="auto"/>
                <w:left w:val="none" w:sz="0" w:space="0" w:color="auto"/>
                <w:bottom w:val="none" w:sz="0" w:space="0" w:color="auto"/>
                <w:right w:val="none" w:sz="0" w:space="0" w:color="auto"/>
              </w:divBdr>
              <w:divsChild>
                <w:div w:id="803355150">
                  <w:marLeft w:val="0"/>
                  <w:marRight w:val="0"/>
                  <w:marTop w:val="231"/>
                  <w:marBottom w:val="231"/>
                  <w:divBdr>
                    <w:top w:val="none" w:sz="0" w:space="0" w:color="auto"/>
                    <w:left w:val="none" w:sz="0" w:space="0" w:color="auto"/>
                    <w:bottom w:val="none" w:sz="0" w:space="0" w:color="auto"/>
                    <w:right w:val="none" w:sz="0" w:space="0" w:color="auto"/>
                  </w:divBdr>
                  <w:divsChild>
                    <w:div w:id="260770571">
                      <w:marLeft w:val="0"/>
                      <w:marRight w:val="0"/>
                      <w:marTop w:val="0"/>
                      <w:marBottom w:val="0"/>
                      <w:divBdr>
                        <w:top w:val="none" w:sz="0" w:space="0" w:color="auto"/>
                        <w:left w:val="none" w:sz="0" w:space="0" w:color="auto"/>
                        <w:bottom w:val="none" w:sz="0" w:space="0" w:color="auto"/>
                        <w:right w:val="none" w:sz="0" w:space="0" w:color="auto"/>
                      </w:divBdr>
                      <w:divsChild>
                        <w:div w:id="1675105848">
                          <w:marLeft w:val="0"/>
                          <w:marRight w:val="0"/>
                          <w:marTop w:val="0"/>
                          <w:marBottom w:val="0"/>
                          <w:divBdr>
                            <w:top w:val="none" w:sz="0" w:space="0" w:color="auto"/>
                            <w:left w:val="none" w:sz="0" w:space="0" w:color="auto"/>
                            <w:bottom w:val="none" w:sz="0" w:space="0" w:color="auto"/>
                            <w:right w:val="none" w:sz="0" w:space="0" w:color="auto"/>
                          </w:divBdr>
                        </w:div>
                        <w:div w:id="1658879746">
                          <w:marLeft w:val="0"/>
                          <w:marRight w:val="0"/>
                          <w:marTop w:val="0"/>
                          <w:marBottom w:val="0"/>
                          <w:divBdr>
                            <w:top w:val="none" w:sz="0" w:space="0" w:color="auto"/>
                            <w:left w:val="none" w:sz="0" w:space="0" w:color="auto"/>
                            <w:bottom w:val="none" w:sz="0" w:space="0" w:color="auto"/>
                            <w:right w:val="none" w:sz="0" w:space="0" w:color="auto"/>
                          </w:divBdr>
                        </w:div>
                        <w:div w:id="646973866">
                          <w:marLeft w:val="0"/>
                          <w:marRight w:val="0"/>
                          <w:marTop w:val="0"/>
                          <w:marBottom w:val="0"/>
                          <w:divBdr>
                            <w:top w:val="none" w:sz="0" w:space="0" w:color="auto"/>
                            <w:left w:val="none" w:sz="0" w:space="0" w:color="auto"/>
                            <w:bottom w:val="none" w:sz="0" w:space="0" w:color="auto"/>
                            <w:right w:val="none" w:sz="0" w:space="0" w:color="auto"/>
                          </w:divBdr>
                        </w:div>
                        <w:div w:id="1300645310">
                          <w:marLeft w:val="0"/>
                          <w:marRight w:val="0"/>
                          <w:marTop w:val="0"/>
                          <w:marBottom w:val="0"/>
                          <w:divBdr>
                            <w:top w:val="none" w:sz="0" w:space="0" w:color="auto"/>
                            <w:left w:val="none" w:sz="0" w:space="0" w:color="auto"/>
                            <w:bottom w:val="none" w:sz="0" w:space="0" w:color="auto"/>
                            <w:right w:val="none" w:sz="0" w:space="0" w:color="auto"/>
                          </w:divBdr>
                        </w:div>
                        <w:div w:id="581960974">
                          <w:marLeft w:val="0"/>
                          <w:marRight w:val="0"/>
                          <w:marTop w:val="0"/>
                          <w:marBottom w:val="0"/>
                          <w:divBdr>
                            <w:top w:val="none" w:sz="0" w:space="0" w:color="auto"/>
                            <w:left w:val="none" w:sz="0" w:space="0" w:color="auto"/>
                            <w:bottom w:val="none" w:sz="0" w:space="0" w:color="auto"/>
                            <w:right w:val="none" w:sz="0" w:space="0" w:color="auto"/>
                          </w:divBdr>
                        </w:div>
                        <w:div w:id="1692099782">
                          <w:marLeft w:val="0"/>
                          <w:marRight w:val="0"/>
                          <w:marTop w:val="0"/>
                          <w:marBottom w:val="0"/>
                          <w:divBdr>
                            <w:top w:val="none" w:sz="0" w:space="0" w:color="auto"/>
                            <w:left w:val="none" w:sz="0" w:space="0" w:color="auto"/>
                            <w:bottom w:val="none" w:sz="0" w:space="0" w:color="auto"/>
                            <w:right w:val="none" w:sz="0" w:space="0" w:color="auto"/>
                          </w:divBdr>
                        </w:div>
                        <w:div w:id="765460920">
                          <w:marLeft w:val="0"/>
                          <w:marRight w:val="0"/>
                          <w:marTop w:val="0"/>
                          <w:marBottom w:val="0"/>
                          <w:divBdr>
                            <w:top w:val="none" w:sz="0" w:space="0" w:color="auto"/>
                            <w:left w:val="none" w:sz="0" w:space="0" w:color="auto"/>
                            <w:bottom w:val="none" w:sz="0" w:space="0" w:color="auto"/>
                            <w:right w:val="none" w:sz="0" w:space="0" w:color="auto"/>
                          </w:divBdr>
                        </w:div>
                        <w:div w:id="1804425562">
                          <w:marLeft w:val="0"/>
                          <w:marRight w:val="0"/>
                          <w:marTop w:val="0"/>
                          <w:marBottom w:val="0"/>
                          <w:divBdr>
                            <w:top w:val="none" w:sz="0" w:space="0" w:color="auto"/>
                            <w:left w:val="none" w:sz="0" w:space="0" w:color="auto"/>
                            <w:bottom w:val="none" w:sz="0" w:space="0" w:color="auto"/>
                            <w:right w:val="none" w:sz="0" w:space="0" w:color="auto"/>
                          </w:divBdr>
                        </w:div>
                        <w:div w:id="51081781">
                          <w:marLeft w:val="0"/>
                          <w:marRight w:val="0"/>
                          <w:marTop w:val="0"/>
                          <w:marBottom w:val="0"/>
                          <w:divBdr>
                            <w:top w:val="none" w:sz="0" w:space="0" w:color="auto"/>
                            <w:left w:val="none" w:sz="0" w:space="0" w:color="auto"/>
                            <w:bottom w:val="none" w:sz="0" w:space="0" w:color="auto"/>
                            <w:right w:val="none" w:sz="0" w:space="0" w:color="auto"/>
                          </w:divBdr>
                        </w:div>
                        <w:div w:id="2116440557">
                          <w:marLeft w:val="0"/>
                          <w:marRight w:val="0"/>
                          <w:marTop w:val="0"/>
                          <w:marBottom w:val="0"/>
                          <w:divBdr>
                            <w:top w:val="none" w:sz="0" w:space="0" w:color="auto"/>
                            <w:left w:val="none" w:sz="0" w:space="0" w:color="auto"/>
                            <w:bottom w:val="none" w:sz="0" w:space="0" w:color="auto"/>
                            <w:right w:val="none" w:sz="0" w:space="0" w:color="auto"/>
                          </w:divBdr>
                        </w:div>
                        <w:div w:id="568418721">
                          <w:marLeft w:val="0"/>
                          <w:marRight w:val="0"/>
                          <w:marTop w:val="0"/>
                          <w:marBottom w:val="0"/>
                          <w:divBdr>
                            <w:top w:val="none" w:sz="0" w:space="0" w:color="auto"/>
                            <w:left w:val="none" w:sz="0" w:space="0" w:color="auto"/>
                            <w:bottom w:val="none" w:sz="0" w:space="0" w:color="auto"/>
                            <w:right w:val="none" w:sz="0" w:space="0" w:color="auto"/>
                          </w:divBdr>
                        </w:div>
                        <w:div w:id="989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ncver@ncver.edu.au" TargetMode="External"/><Relationship Id="rId26" Type="http://schemas.openxmlformats.org/officeDocument/2006/relationships/hyperlink" Target="http://dx.doi.org/10.2801/414017" TargetMode="External"/><Relationship Id="rId39" Type="http://schemas.openxmlformats.org/officeDocument/2006/relationships/hyperlink" Target="http://bus.lsbu.ac.uk/resources/Main/files/collaborative-partners-conference-2009/Rigby.doc"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s://www.gov.uk/government/uploads/system/uploads/attachment_data/file/379156/Teaching_2C_20learning_20and_20assessment_20in_20further_20education_20and_20skills_20_E2_80_93_20what_20works_20and_20why.pdf" TargetMode="External"/><Relationship Id="rId42" Type="http://schemas.openxmlformats.org/officeDocument/2006/relationships/hyperlink" Target="mailto:ncver@ncver.edu.au" TargetMode="External"/><Relationship Id="rId47" Type="http://schemas.openxmlformats.org/officeDocument/2006/relationships/image" Target="media/image7.jpe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0.wmf"/><Relationship Id="rId25" Type="http://schemas.openxmlformats.org/officeDocument/2006/relationships/footer" Target="footer6.xml"/><Relationship Id="rId33" Type="http://schemas.openxmlformats.org/officeDocument/2006/relationships/hyperlink" Target="https://www.gov.uk/government/uploads/system/uploads/attachment_data/file/393485/Handbook_for_the_inspection_of_further_education_and_skills.pdf" TargetMode="External"/><Relationship Id="rId38" Type="http://schemas.openxmlformats.org/officeDocument/2006/relationships/hyperlink" Target="http://www.scottish-enterprise.com/~/media/SE/Resources/Documents/ABC/Best-strategies-In-skills-utilisation-full.ashx" TargetMode="External"/><Relationship Id="rId46" Type="http://schemas.openxmlformats.org/officeDocument/2006/relationships/image" Target="media/image6.wmf"/><Relationship Id="rId2" Type="http://schemas.openxmlformats.org/officeDocument/2006/relationships/numbering" Target="numbering.xml"/><Relationship Id="rId20" Type="http://schemas.openxmlformats.org/officeDocument/2006/relationships/image" Target="media/image5.png"/><Relationship Id="rId29" Type="http://schemas.openxmlformats.org/officeDocument/2006/relationships/hyperlink" Target="http://www.tandfonline.com/toc/ucjc20/38/1" TargetMode="External"/><Relationship Id="rId41" Type="http://schemas.openxmlformats.org/officeDocument/2006/relationships/hyperlink" Target="http://www.education.vic.gov.au/Documents/training/providers/rto/RTOPITrialCIRESEvalSum.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yperlink" Target="http://www.tec.govt.nz/funding/funding-and-performance/funding/performance-linked/" TargetMode="External"/><Relationship Id="rId37" Type="http://schemas.openxmlformats.org/officeDocument/2006/relationships/hyperlink" Target="http://hpf.sa.gov.au/overview/why-do-we-need-the-hpf/index.html" TargetMode="External"/><Relationship Id="rId40" Type="http://schemas.openxmlformats.org/officeDocument/2006/relationships/hyperlink" Target="https://www.gov.uk/government/uploads/system/uploads/attachment_data/file/446516/BIS-15-433-reviewing-post-16-education-policy.pdf" TargetMode="External"/><Relationship Id="rId45" Type="http://schemas.openxmlformats.org/officeDocument/2006/relationships/hyperlink" Target="https://twitter.com/ncver" TargetMode="External"/><Relationship Id="rId5" Type="http://schemas.openxmlformats.org/officeDocument/2006/relationships/settings" Target="settings.xml"/><Relationship Id="rId15" Type="http://schemas.openxmlformats.org/officeDocument/2006/relationships/hyperlink" Target="mailto:ncver@ncver.edu.au" TargetMode="External"/><Relationship Id="rId23" Type="http://schemas.openxmlformats.org/officeDocument/2006/relationships/footer" Target="footer4.xml"/><Relationship Id="rId28" Type="http://schemas.openxmlformats.org/officeDocument/2006/relationships/hyperlink" Target="http://www.tandfonline.com/doi/abs/10.1080/10668926.2012.762592" TargetMode="External"/><Relationship Id="rId36" Type="http://schemas.openxmlformats.org/officeDocument/2006/relationships/hyperlink" Target="https://bibliothek.wzb.eu/pdf/2014/i14-502.pdf" TargetMode="External"/><Relationship Id="rId49" Type="http://schemas.openxmlformats.org/officeDocument/2006/relationships/footer" Target="footer8.xml"/><Relationship Id="rId10" Type="http://schemas.openxmlformats.org/officeDocument/2006/relationships/image" Target="media/image2.wmf"/><Relationship Id="rId19" Type="http://schemas.openxmlformats.org/officeDocument/2006/relationships/hyperlink" Target="http://www.lsay.edu.au" TargetMode="External"/><Relationship Id="rId31" Type="http://schemas.openxmlformats.org/officeDocument/2006/relationships/hyperlink" Target="https://education.govt.nz/assets/Documents/Further-education/Tertiary-Education-Strategy.pdf" TargetMode="External"/><Relationship Id="rId44" Type="http://schemas.openxmlformats.org/officeDocument/2006/relationships/hyperlink" Target="mailto:ncver@ncver.edu.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footer" Target="footer3.xml"/><Relationship Id="rId27" Type="http://schemas.openxmlformats.org/officeDocument/2006/relationships/hyperlink" Target="https://ec.europa.eu/info/strategy/european-semester/framework/europe-2020-strategy_en" TargetMode="External"/><Relationship Id="rId30" Type="http://schemas.openxmlformats.org/officeDocument/2006/relationships/hyperlink" Target="https://www.nswis.com.au/wp-content/uploads/2016/08/17-20-HP-framework-2017-V04.pdf" TargetMode="External"/><Relationship Id="rId35" Type="http://schemas.openxmlformats.org/officeDocument/2006/relationships/hyperlink" Target="https://www.gov.uk/government/news/new-way-of-inspecting-good-and-outstanding-schools-proposed" TargetMode="External"/><Relationship Id="rId43" Type="http://schemas.openxmlformats.org/officeDocument/2006/relationships/hyperlink" Target="https://twitter.com/ncver" TargetMode="External"/><Relationship Id="rId48"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ommon-inspection-framework-education-skills-and-early-years-from-september-2015" TargetMode="External"/><Relationship Id="rId2" Type="http://schemas.openxmlformats.org/officeDocument/2006/relationships/hyperlink" Target="http://www.voced.edu.au/search/site/tm_metadata.documentno:(%22TNC%2078.186%22%20OR%20%22NZ%2043.17%22%20OR%20%22TNC%20127.04%22%20OR%20%22TNC%20124.385%22%20OR%20%22TNC%20127.909%22%20OR%20%22TNC%20128.260%22%20OR%20%22TNC%20128.365%22%20OR%20%22TNC%20128.548%22%20OR%20%22INT%2058.199%22%20OR%20%22TNC%201.157%22%20OR%20%22TNC%20115.1603%22%20OR%20%22TNC%2095.30%22%20OR%20%22TNC%2070.714%22%20OR%20%22TNC%20121.272%22%20OR%20%22IRD%2088.230%22%20OR%20%22WA%2015.3%22%20OR%20%22TNC%20100.568%22%20OR%20%22TNC%20100.910%22%20OR%20%22TNC%2087.1377%22%20OR%20%22TNC%2080.535%22%20OR%20%22TNC%2064.406%22%20OR%20%22IRD%2088.224%22)?expert_search=1" TargetMode="External"/><Relationship Id="rId1" Type="http://schemas.openxmlformats.org/officeDocument/2006/relationships/hyperlink" Target="http://www.hpf.sa.gov.au/" TargetMode="External"/><Relationship Id="rId4" Type="http://schemas.openxmlformats.org/officeDocument/2006/relationships/hyperlink" Target="https://www.gov.uk/government/publications/school-inspection-handbook-from-september-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48B4-F5E1-42FD-96FD-F47375D6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7751</Words>
  <Characters>46818</Characters>
  <Application>Microsoft Office Word</Application>
  <DocSecurity>0</DocSecurity>
  <Lines>743</Lines>
  <Paragraphs>279</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54290</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that drive RTO performance: an overview</dc:title>
  <dc:creator>Elise Rivett</dc:creator>
  <cp:lastModifiedBy>Elise Rivett</cp:lastModifiedBy>
  <cp:revision>3</cp:revision>
  <cp:lastPrinted>2017-10-14T03:30:00Z</cp:lastPrinted>
  <dcterms:created xsi:type="dcterms:W3CDTF">2017-11-21T02:26:00Z</dcterms:created>
  <dcterms:modified xsi:type="dcterms:W3CDTF">2017-11-21T02:28:00Z</dcterms:modified>
</cp:coreProperties>
</file>